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DA9C7B0">
      <w:pPr>
        <w:rPr>
          <w:rFonts w:hint="eastAsia" w:ascii="宋体" w:hAnsi="宋体" w:eastAsia="宋体" w:cs="宋体"/>
          <w:color w:val="auto"/>
          <w:highlight w:val="none"/>
        </w:rPr>
      </w:pPr>
      <w:bookmarkStart w:id="1" w:name="_GoBack"/>
    </w:p>
    <w:p w14:paraId="336DEE03">
      <w:pPr>
        <w:pStyle w:val="9"/>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10F09FA4">
      <w:pPr>
        <w:pStyle w:val="9"/>
        <w:jc w:val="center"/>
        <w:rPr>
          <w:rFonts w:hint="eastAsia" w:ascii="宋体" w:hAnsi="宋体" w:eastAsia="宋体" w:cs="宋体"/>
          <w:color w:val="auto"/>
          <w:highlight w:val="none"/>
        </w:rPr>
      </w:pPr>
    </w:p>
    <w:p w14:paraId="24C259F2">
      <w:pPr>
        <w:pStyle w:val="9"/>
        <w:jc w:val="center"/>
        <w:rPr>
          <w:rFonts w:hint="eastAsia" w:ascii="宋体" w:hAnsi="宋体" w:eastAsia="宋体" w:cs="宋体"/>
          <w:color w:val="auto"/>
          <w:highlight w:val="none"/>
        </w:rPr>
      </w:pPr>
    </w:p>
    <w:p w14:paraId="0E7CF4A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 xml:space="preserve"> </w:t>
      </w:r>
    </w:p>
    <w:p w14:paraId="0F681BE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p>
    <w:p w14:paraId="69BACE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72"/>
          <w:szCs w:val="72"/>
          <w:highlight w:val="none"/>
        </w:rPr>
      </w:pPr>
    </w:p>
    <w:p w14:paraId="1D8D2FC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政府采购招标文件</w:t>
      </w:r>
    </w:p>
    <w:p w14:paraId="2C654563">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4164E67">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tzya2025-hy17</w:t>
      </w:r>
      <w:r>
        <w:rPr>
          <w:rFonts w:hint="eastAsia" w:ascii="宋体" w:hAnsi="宋体" w:eastAsia="宋体" w:cs="宋体"/>
          <w:color w:val="auto"/>
          <w:kern w:val="0"/>
          <w:sz w:val="28"/>
          <w:szCs w:val="28"/>
          <w:highlight w:val="none"/>
          <w:u w:val="single"/>
        </w:rPr>
        <w:t xml:space="preserve"> </w:t>
      </w:r>
    </w:p>
    <w:p w14:paraId="55D0FF2C">
      <w:pPr>
        <w:pStyle w:val="9"/>
        <w:jc w:val="center"/>
        <w:rPr>
          <w:rFonts w:hint="eastAsia" w:ascii="宋体" w:hAnsi="宋体" w:eastAsia="宋体" w:cs="宋体"/>
          <w:color w:val="auto"/>
          <w:highlight w:val="none"/>
        </w:rPr>
      </w:pPr>
    </w:p>
    <w:p w14:paraId="2B0AE617">
      <w:pPr>
        <w:pStyle w:val="9"/>
        <w:jc w:val="center"/>
        <w:rPr>
          <w:rFonts w:hint="eastAsia" w:ascii="宋体" w:hAnsi="宋体" w:eastAsia="宋体" w:cs="宋体"/>
          <w:color w:val="auto"/>
          <w:highlight w:val="none"/>
        </w:rPr>
      </w:pPr>
    </w:p>
    <w:p w14:paraId="5D65B1F8">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黄岩区抗战时期中共黄岩县委机关旧址、岱石庙、铁米筛井省级文保单位安防项目</w:t>
      </w:r>
    </w:p>
    <w:p w14:paraId="2264523B">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台州市黄岩区博物馆</w:t>
      </w:r>
    </w:p>
    <w:p w14:paraId="0920EE1E">
      <w:pPr>
        <w:pStyle w:val="9"/>
        <w:rPr>
          <w:rFonts w:hint="eastAsia" w:ascii="宋体" w:hAnsi="宋体" w:eastAsia="宋体" w:cs="宋体"/>
          <w:color w:val="auto"/>
          <w:highlight w:val="none"/>
        </w:rPr>
      </w:pPr>
    </w:p>
    <w:p w14:paraId="5A8C99E7">
      <w:pPr>
        <w:pStyle w:val="9"/>
        <w:rPr>
          <w:rFonts w:hint="eastAsia" w:ascii="宋体" w:hAnsi="宋体" w:eastAsia="宋体" w:cs="宋体"/>
          <w:color w:val="auto"/>
          <w:highlight w:val="none"/>
        </w:rPr>
      </w:pPr>
    </w:p>
    <w:p w14:paraId="6E35E39C">
      <w:pPr>
        <w:pStyle w:val="9"/>
        <w:rPr>
          <w:rFonts w:hint="eastAsia" w:ascii="宋体" w:hAnsi="宋体" w:eastAsia="宋体" w:cs="宋体"/>
          <w:color w:val="auto"/>
          <w:highlight w:val="none"/>
        </w:rPr>
      </w:pPr>
    </w:p>
    <w:p w14:paraId="22B6FB7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1D691448">
      <w:pPr>
        <w:pStyle w:val="9"/>
        <w:rPr>
          <w:rFonts w:hint="eastAsia" w:ascii="宋体" w:hAnsi="宋体" w:eastAsia="宋体" w:cs="宋体"/>
          <w:color w:val="auto"/>
          <w:highlight w:val="none"/>
        </w:rPr>
      </w:pPr>
    </w:p>
    <w:p w14:paraId="7D163FAD">
      <w:pPr>
        <w:pStyle w:val="9"/>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8"/>
          <w:szCs w:val="28"/>
          <w:highlight w:val="none"/>
          <w:lang w:eastAsia="zh-CN"/>
        </w:rPr>
        <w:t>二○二五年六月</w:t>
      </w:r>
    </w:p>
    <w:p w14:paraId="373DC45F">
      <w:pPr>
        <w:pStyle w:val="9"/>
        <w:jc w:val="center"/>
        <w:rPr>
          <w:rFonts w:hint="eastAsia" w:ascii="宋体" w:hAnsi="宋体" w:eastAsia="宋体" w:cs="宋体"/>
          <w:color w:val="auto"/>
          <w:kern w:val="0"/>
          <w:szCs w:val="21"/>
          <w:highlight w:val="none"/>
        </w:rPr>
      </w:pPr>
    </w:p>
    <w:p w14:paraId="4F7BB8C9">
      <w:pPr>
        <w:pStyle w:val="9"/>
        <w:rPr>
          <w:rFonts w:hint="eastAsia" w:ascii="宋体" w:hAnsi="宋体" w:eastAsia="宋体" w:cs="宋体"/>
          <w:color w:val="auto"/>
          <w:highlight w:val="none"/>
        </w:rPr>
      </w:pPr>
    </w:p>
    <w:p w14:paraId="1CA24615">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17704CFB">
      <w:pPr>
        <w:spacing w:line="360" w:lineRule="auto"/>
        <w:rPr>
          <w:rFonts w:hint="eastAsia" w:ascii="宋体" w:hAnsi="宋体" w:eastAsia="宋体" w:cs="宋体"/>
          <w:color w:val="auto"/>
          <w:sz w:val="28"/>
          <w:szCs w:val="28"/>
          <w:highlight w:val="none"/>
        </w:rPr>
      </w:pPr>
    </w:p>
    <w:p w14:paraId="42569FA1">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38AE85E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2575954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29DA792A">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1A6BA7C8">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691DE8E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5740EEF0">
      <w:pPr>
        <w:pStyle w:val="9"/>
        <w:jc w:val="center"/>
        <w:rPr>
          <w:rFonts w:hint="eastAsia" w:ascii="宋体" w:hAnsi="宋体" w:eastAsia="宋体" w:cs="宋体"/>
          <w:color w:val="auto"/>
          <w:highlight w:val="none"/>
        </w:rPr>
      </w:pPr>
    </w:p>
    <w:p w14:paraId="5BD37258">
      <w:pPr>
        <w:pStyle w:val="9"/>
        <w:jc w:val="center"/>
        <w:rPr>
          <w:rFonts w:hint="eastAsia" w:ascii="宋体" w:hAnsi="宋体" w:eastAsia="宋体" w:cs="宋体"/>
          <w:color w:val="auto"/>
          <w:highlight w:val="none"/>
        </w:rPr>
      </w:pPr>
    </w:p>
    <w:p w14:paraId="32CC38BE">
      <w:pPr>
        <w:pStyle w:val="9"/>
        <w:jc w:val="center"/>
        <w:rPr>
          <w:rFonts w:hint="eastAsia" w:ascii="宋体" w:hAnsi="宋体" w:eastAsia="宋体" w:cs="宋体"/>
          <w:color w:val="auto"/>
          <w:highlight w:val="none"/>
        </w:rPr>
      </w:pPr>
    </w:p>
    <w:p w14:paraId="751D67BC">
      <w:pPr>
        <w:pStyle w:val="9"/>
        <w:jc w:val="center"/>
        <w:rPr>
          <w:rFonts w:hint="eastAsia" w:ascii="宋体" w:hAnsi="宋体" w:eastAsia="宋体" w:cs="宋体"/>
          <w:color w:val="auto"/>
          <w:highlight w:val="none"/>
        </w:rPr>
      </w:pPr>
    </w:p>
    <w:p w14:paraId="47A052E8">
      <w:pPr>
        <w:pStyle w:val="9"/>
        <w:jc w:val="center"/>
        <w:rPr>
          <w:rFonts w:hint="eastAsia" w:ascii="宋体" w:hAnsi="宋体" w:eastAsia="宋体" w:cs="宋体"/>
          <w:color w:val="auto"/>
          <w:highlight w:val="none"/>
        </w:rPr>
      </w:pPr>
    </w:p>
    <w:p w14:paraId="693693B4">
      <w:pPr>
        <w:pStyle w:val="9"/>
        <w:jc w:val="center"/>
        <w:rPr>
          <w:rFonts w:hint="eastAsia" w:ascii="宋体" w:hAnsi="宋体" w:eastAsia="宋体" w:cs="宋体"/>
          <w:color w:val="auto"/>
          <w:highlight w:val="none"/>
        </w:rPr>
      </w:pPr>
    </w:p>
    <w:p w14:paraId="7B6C1468">
      <w:pPr>
        <w:pStyle w:val="9"/>
        <w:jc w:val="center"/>
        <w:rPr>
          <w:rFonts w:hint="eastAsia" w:ascii="宋体" w:hAnsi="宋体" w:eastAsia="宋体" w:cs="宋体"/>
          <w:color w:val="auto"/>
          <w:highlight w:val="none"/>
        </w:rPr>
      </w:pPr>
    </w:p>
    <w:p w14:paraId="7FC52508">
      <w:pPr>
        <w:pStyle w:val="9"/>
        <w:jc w:val="center"/>
        <w:rPr>
          <w:rFonts w:hint="eastAsia" w:ascii="宋体" w:hAnsi="宋体" w:eastAsia="宋体" w:cs="宋体"/>
          <w:color w:val="auto"/>
          <w:highlight w:val="none"/>
        </w:rPr>
      </w:pPr>
    </w:p>
    <w:p w14:paraId="37078784">
      <w:pPr>
        <w:pStyle w:val="9"/>
        <w:jc w:val="center"/>
        <w:rPr>
          <w:rFonts w:hint="eastAsia" w:ascii="宋体" w:hAnsi="宋体" w:eastAsia="宋体" w:cs="宋体"/>
          <w:color w:val="auto"/>
          <w:highlight w:val="none"/>
        </w:rPr>
      </w:pPr>
    </w:p>
    <w:p w14:paraId="0DF4A38E">
      <w:pPr>
        <w:pStyle w:val="9"/>
        <w:jc w:val="center"/>
        <w:rPr>
          <w:rFonts w:hint="eastAsia" w:ascii="宋体" w:hAnsi="宋体" w:eastAsia="宋体" w:cs="宋体"/>
          <w:color w:val="auto"/>
          <w:highlight w:val="none"/>
        </w:rPr>
      </w:pPr>
    </w:p>
    <w:p w14:paraId="7E38BE87">
      <w:pPr>
        <w:pStyle w:val="9"/>
        <w:jc w:val="center"/>
        <w:rPr>
          <w:rFonts w:hint="eastAsia" w:ascii="宋体" w:hAnsi="宋体" w:eastAsia="宋体" w:cs="宋体"/>
          <w:color w:val="auto"/>
          <w:highlight w:val="none"/>
        </w:rPr>
      </w:pPr>
    </w:p>
    <w:p w14:paraId="64FAA337">
      <w:pPr>
        <w:pStyle w:val="9"/>
        <w:jc w:val="center"/>
        <w:rPr>
          <w:rFonts w:hint="eastAsia" w:ascii="宋体" w:hAnsi="宋体" w:eastAsia="宋体" w:cs="宋体"/>
          <w:color w:val="auto"/>
          <w:highlight w:val="none"/>
        </w:rPr>
      </w:pPr>
    </w:p>
    <w:p w14:paraId="14B32ADF">
      <w:pPr>
        <w:pStyle w:val="9"/>
        <w:jc w:val="center"/>
        <w:rPr>
          <w:rFonts w:hint="eastAsia" w:ascii="宋体" w:hAnsi="宋体" w:eastAsia="宋体" w:cs="宋体"/>
          <w:color w:val="auto"/>
          <w:highlight w:val="none"/>
        </w:rPr>
      </w:pPr>
    </w:p>
    <w:p w14:paraId="5640F88D">
      <w:pPr>
        <w:pStyle w:val="9"/>
        <w:jc w:val="center"/>
        <w:rPr>
          <w:rFonts w:hint="eastAsia" w:ascii="宋体" w:hAnsi="宋体" w:eastAsia="宋体" w:cs="宋体"/>
          <w:color w:val="auto"/>
          <w:highlight w:val="none"/>
        </w:rPr>
      </w:pPr>
    </w:p>
    <w:p w14:paraId="19502F5D">
      <w:pPr>
        <w:pStyle w:val="9"/>
        <w:jc w:val="center"/>
        <w:rPr>
          <w:rFonts w:hint="eastAsia" w:ascii="宋体" w:hAnsi="宋体" w:eastAsia="宋体" w:cs="宋体"/>
          <w:color w:val="auto"/>
          <w:highlight w:val="none"/>
        </w:rPr>
      </w:pPr>
    </w:p>
    <w:p w14:paraId="75350A43">
      <w:pPr>
        <w:pStyle w:val="9"/>
        <w:jc w:val="center"/>
        <w:rPr>
          <w:rFonts w:hint="eastAsia" w:ascii="宋体" w:hAnsi="宋体" w:eastAsia="宋体" w:cs="宋体"/>
          <w:color w:val="auto"/>
          <w:highlight w:val="none"/>
        </w:rPr>
      </w:pPr>
    </w:p>
    <w:p w14:paraId="0B4F214F">
      <w:pPr>
        <w:pStyle w:val="9"/>
        <w:jc w:val="center"/>
        <w:rPr>
          <w:rFonts w:hint="eastAsia" w:ascii="宋体" w:hAnsi="宋体" w:eastAsia="宋体" w:cs="宋体"/>
          <w:color w:val="auto"/>
          <w:highlight w:val="none"/>
        </w:rPr>
      </w:pPr>
    </w:p>
    <w:p w14:paraId="5EA91CF4">
      <w:pPr>
        <w:pStyle w:val="9"/>
        <w:rPr>
          <w:rFonts w:hint="eastAsia" w:ascii="宋体" w:hAnsi="宋体" w:eastAsia="宋体" w:cs="宋体"/>
          <w:color w:val="auto"/>
          <w:highlight w:val="none"/>
        </w:rPr>
      </w:pPr>
    </w:p>
    <w:p w14:paraId="7DAED9A3">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02AE19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Cs w:val="21"/>
          <w:highlight w:val="none"/>
          <w:lang w:eastAsia="zh-CN"/>
        </w:rPr>
        <w:t>台州市黄岩区博物馆</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黄岩区抗战时期中共黄岩县委机关旧址、岱石庙、铁米筛井省级文保单位安防项目</w:t>
      </w:r>
      <w:r>
        <w:rPr>
          <w:rFonts w:hint="eastAsia" w:ascii="宋体" w:hAnsi="宋体" w:eastAsia="宋体" w:cs="宋体"/>
          <w:color w:val="auto"/>
          <w:szCs w:val="21"/>
          <w:highlight w:val="none"/>
        </w:rPr>
        <w:t>进行公开招标采购，欢迎合格供应商前来投标。</w:t>
      </w:r>
    </w:p>
    <w:p w14:paraId="1F5858C5">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tzya2025-hy17</w:t>
      </w:r>
    </w:p>
    <w:p w14:paraId="5DEC5E0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二、招标项目概况：</w:t>
      </w:r>
    </w:p>
    <w:tbl>
      <w:tblPr>
        <w:tblStyle w:val="23"/>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487"/>
        <w:gridCol w:w="1541"/>
        <w:gridCol w:w="762"/>
        <w:gridCol w:w="813"/>
        <w:gridCol w:w="1150"/>
        <w:gridCol w:w="1069"/>
      </w:tblGrid>
      <w:tr w14:paraId="6C96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47" w:type="dxa"/>
            <w:vAlign w:val="center"/>
          </w:tcPr>
          <w:p w14:paraId="620B62FE">
            <w:pPr>
              <w:tabs>
                <w:tab w:val="left" w:pos="8280"/>
              </w:tabs>
              <w:autoSpaceDE w:val="0"/>
              <w:autoSpaceDN w:val="0"/>
              <w:adjustRightInd w:val="0"/>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487" w:type="dxa"/>
            <w:vAlign w:val="center"/>
          </w:tcPr>
          <w:p w14:paraId="166302E9">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541" w:type="dxa"/>
            <w:vAlign w:val="center"/>
          </w:tcPr>
          <w:p w14:paraId="611FD2D3">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762" w:type="dxa"/>
            <w:vAlign w:val="center"/>
          </w:tcPr>
          <w:p w14:paraId="31412FE6">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13" w:type="dxa"/>
            <w:vAlign w:val="center"/>
          </w:tcPr>
          <w:p w14:paraId="60BFE68C">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50" w:type="dxa"/>
            <w:vAlign w:val="center"/>
          </w:tcPr>
          <w:p w14:paraId="65CEA717">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w:t>
            </w:r>
          </w:p>
          <w:p w14:paraId="48AD9D4E">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069" w:type="dxa"/>
            <w:vAlign w:val="center"/>
          </w:tcPr>
          <w:p w14:paraId="69AF4AFF">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91D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47" w:type="dxa"/>
            <w:vAlign w:val="center"/>
          </w:tcPr>
          <w:p w14:paraId="4E10E3EB">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87" w:type="dxa"/>
            <w:vAlign w:val="center"/>
          </w:tcPr>
          <w:p w14:paraId="6183439F">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黄岩区抗战时期中共黄岩县委机关旧址、岱石庙、铁米筛井省级文保单位</w:t>
            </w:r>
            <w:r>
              <w:rPr>
                <w:rFonts w:hint="eastAsia" w:ascii="宋体" w:hAnsi="宋体" w:cs="宋体"/>
                <w:color w:val="auto"/>
                <w:szCs w:val="21"/>
                <w:highlight w:val="none"/>
                <w:lang w:eastAsia="zh-CN"/>
              </w:rPr>
              <w:t>安防项目</w:t>
            </w:r>
          </w:p>
        </w:tc>
        <w:tc>
          <w:tcPr>
            <w:tcW w:w="1541" w:type="dxa"/>
            <w:vAlign w:val="center"/>
          </w:tcPr>
          <w:p w14:paraId="6219C2A9">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762" w:type="dxa"/>
            <w:vAlign w:val="center"/>
          </w:tcPr>
          <w:p w14:paraId="68B444BC">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3" w:type="dxa"/>
            <w:vAlign w:val="center"/>
          </w:tcPr>
          <w:p w14:paraId="3053C00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150" w:type="dxa"/>
            <w:vAlign w:val="center"/>
          </w:tcPr>
          <w:p w14:paraId="085E0B61">
            <w:pPr>
              <w:tabs>
                <w:tab w:val="left" w:pos="8280"/>
              </w:tabs>
              <w:autoSpaceDE w:val="0"/>
              <w:autoSpaceDN w:val="0"/>
              <w:adjustRightInd w:val="0"/>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110</w:t>
            </w:r>
          </w:p>
        </w:tc>
        <w:tc>
          <w:tcPr>
            <w:tcW w:w="1069" w:type="dxa"/>
            <w:vAlign w:val="center"/>
          </w:tcPr>
          <w:p w14:paraId="1312BE8C">
            <w:pPr>
              <w:tabs>
                <w:tab w:val="left" w:pos="8280"/>
              </w:tabs>
              <w:autoSpaceDE w:val="0"/>
              <w:autoSpaceDN w:val="0"/>
              <w:adjustRightInd w:val="0"/>
              <w:ind w:right="25"/>
              <w:jc w:val="center"/>
              <w:rPr>
                <w:rFonts w:hint="default" w:ascii="宋体" w:hAnsi="宋体" w:eastAsia="宋体" w:cs="宋体"/>
                <w:color w:val="auto"/>
                <w:szCs w:val="21"/>
                <w:highlight w:val="none"/>
                <w:lang w:val="en-US" w:eastAsia="zh-CN"/>
              </w:rPr>
            </w:pPr>
          </w:p>
        </w:tc>
      </w:tr>
      <w:bookmarkEnd w:id="0"/>
    </w:tbl>
    <w:p w14:paraId="6AAE4E89">
      <w:pPr>
        <w:widowControl/>
        <w:tabs>
          <w:tab w:val="left" w:pos="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Cs w:val="21"/>
          <w:highlight w:val="none"/>
          <w:u w:val="single"/>
        </w:rPr>
        <w:t>提供备份投标文件），请各投标人按照要求进行。</w:t>
      </w:r>
    </w:p>
    <w:p w14:paraId="00BC885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三、合格投标人的资格条件：</w:t>
      </w:r>
    </w:p>
    <w:p w14:paraId="2407CCE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w:t>
      </w:r>
    </w:p>
    <w:p w14:paraId="28667719">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51D3C68">
      <w:pPr>
        <w:spacing w:line="360" w:lineRule="auto"/>
        <w:ind w:firstLine="632" w:firstLineChars="3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本项目不接受联合体投标。</w:t>
      </w:r>
    </w:p>
    <w:p w14:paraId="69112703">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3BED093">
      <w:pPr>
        <w:snapToGrid w:val="0"/>
        <w:spacing w:line="360" w:lineRule="auto"/>
        <w:ind w:firstLine="498" w:firstLineChars="23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四、招标文件获取的方式、时间:</w:t>
      </w:r>
    </w:p>
    <w:p w14:paraId="05DBAB0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本项目招标文件实行“浙江政府采购网”</w:t>
      </w:r>
      <w:r>
        <w:rPr>
          <w:rStyle w:val="26"/>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在线获取，不提供招标文件纸质版。供应商获取招标文件前应先完成“浙江政府采购网”的账号注册。</w:t>
      </w:r>
    </w:p>
    <w:p w14:paraId="0B8394E6">
      <w:pPr>
        <w:spacing w:line="360" w:lineRule="auto"/>
        <w:ind w:firstLine="422" w:firstLineChars="200"/>
        <w:rPr>
          <w:rStyle w:val="26"/>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6"/>
          <w:rFonts w:hint="eastAsia" w:ascii="宋体" w:hAnsi="宋体" w:eastAsia="宋体" w:cs="宋体"/>
          <w:color w:val="auto"/>
          <w:sz w:val="21"/>
          <w:szCs w:val="21"/>
          <w:highlight w:val="none"/>
        </w:rPr>
        <w:t>方式：潜在供应商登陆政府采购云平台，在线申请获取招标文件</w:t>
      </w:r>
      <w:r>
        <w:rPr>
          <w:rStyle w:val="26"/>
          <w:rFonts w:hint="eastAsia" w:ascii="宋体" w:hAnsi="宋体" w:eastAsia="宋体" w:cs="宋体"/>
          <w:b w:val="0"/>
          <w:bCs/>
          <w:color w:val="auto"/>
          <w:sz w:val="21"/>
          <w:szCs w:val="21"/>
          <w:highlight w:val="none"/>
        </w:rPr>
        <w:t>（进入“项目采购”应用，在获取招标文件菜单中选择项目，申请获取招标文件，本项目招标文件不收取工本费；</w:t>
      </w:r>
      <w:r>
        <w:rPr>
          <w:rStyle w:val="26"/>
          <w:rFonts w:hint="eastAsia" w:ascii="宋体" w:hAnsi="宋体" w:eastAsia="宋体" w:cs="宋体"/>
          <w:b w:val="0"/>
          <w:bCs/>
          <w:color w:val="auto"/>
          <w:sz w:val="21"/>
          <w:szCs w:val="21"/>
          <w:highlight w:val="none"/>
          <w:u w:val="single"/>
        </w:rPr>
        <w:t>仅需浏览招标文件的供应商可点击“游客，浏览招标文件”直接下载招标文件浏览</w:t>
      </w:r>
      <w:r>
        <w:rPr>
          <w:rStyle w:val="26"/>
          <w:rFonts w:hint="eastAsia" w:ascii="宋体" w:hAnsi="宋体" w:eastAsia="宋体" w:cs="宋体"/>
          <w:b w:val="0"/>
          <w:bCs/>
          <w:color w:val="auto"/>
          <w:sz w:val="21"/>
          <w:szCs w:val="21"/>
          <w:highlight w:val="none"/>
        </w:rPr>
        <w:t>）；</w:t>
      </w:r>
    </w:p>
    <w:p w14:paraId="6437E1BA">
      <w:pPr>
        <w:spacing w:line="360" w:lineRule="auto"/>
        <w:ind w:firstLine="422" w:firstLineChars="200"/>
        <w:rPr>
          <w:rFonts w:hint="eastAsia" w:ascii="宋体" w:hAnsi="宋体" w:eastAsia="宋体" w:cs="宋体"/>
          <w:color w:val="auto"/>
          <w:szCs w:val="21"/>
          <w:highlight w:val="none"/>
        </w:rPr>
      </w:pPr>
      <w:r>
        <w:rPr>
          <w:rStyle w:val="26"/>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0DFE1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6"/>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5E96A8C3">
      <w:pPr>
        <w:pStyle w:val="18"/>
        <w:spacing w:before="0" w:beforeAutospacing="0" w:after="0" w:afterAutospacing="0" w:line="360" w:lineRule="auto"/>
        <w:ind w:firstLine="480"/>
        <w:rPr>
          <w:rFonts w:hint="eastAsia" w:ascii="宋体" w:hAnsi="宋体" w:eastAsia="宋体" w:cs="宋体"/>
          <w:color w:val="auto"/>
          <w:sz w:val="21"/>
          <w:szCs w:val="21"/>
          <w:highlight w:val="none"/>
        </w:rPr>
      </w:pPr>
      <w:r>
        <w:rPr>
          <w:rStyle w:val="26"/>
          <w:rFonts w:hint="eastAsia" w:ascii="宋体" w:hAnsi="宋体" w:eastAsia="宋体" w:cs="宋体"/>
          <w:b w:val="0"/>
          <w:color w:val="auto"/>
          <w:sz w:val="21"/>
          <w:szCs w:val="21"/>
          <w:highlight w:val="none"/>
        </w:rPr>
        <w:t>5、供应商获取招标文件时须提交的文件资料：无；</w:t>
      </w:r>
    </w:p>
    <w:p w14:paraId="445C82C7">
      <w:pPr>
        <w:pStyle w:val="18"/>
        <w:spacing w:before="0" w:beforeAutospacing="0" w:after="0" w:afterAutospacing="0" w:line="360" w:lineRule="auto"/>
        <w:ind w:firstLine="480"/>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5453F62">
      <w:pPr>
        <w:pStyle w:val="18"/>
        <w:spacing w:before="0" w:beforeAutospacing="0" w:after="0" w:afterAutospacing="0" w:line="360" w:lineRule="auto"/>
        <w:ind w:firstLine="48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注：请供应商按上述要求获取招标文件，如未在“政府采购云平台”系统内完成相关流程，引起的投标无效责任自负。</w:t>
      </w:r>
    </w:p>
    <w:p w14:paraId="7FF53C5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14:paraId="23050AB2">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072FC3A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六、投标须知：</w:t>
      </w:r>
    </w:p>
    <w:p w14:paraId="337D4078">
      <w:pPr>
        <w:pStyle w:val="54"/>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1、投标截止时间与地点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2025年  月  日14:30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 xml:space="preserve">，地点：通过“政府采购云平台（www.zcygov.cn）”实行在线投标响应   </w:t>
      </w:r>
    </w:p>
    <w:p w14:paraId="0A7EE086">
      <w:pPr>
        <w:pStyle w:val="54"/>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2、开标时间及地点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2025年  月  日14:30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，地点：</w:t>
      </w:r>
      <w:r>
        <w:rPr>
          <w:rFonts w:hint="eastAsia" w:ascii="宋体" w:hAnsi="宋体" w:eastAsia="宋体" w:cs="宋体"/>
          <w:color w:val="auto"/>
          <w:kern w:val="2"/>
          <w:szCs w:val="24"/>
          <w:highlight w:val="none"/>
        </w:rPr>
        <w:t>通过“政府采购云平台（www.zcygov.cn）”实行在线投标响应</w:t>
      </w:r>
    </w:p>
    <w:p w14:paraId="66ED14E2">
      <w:pPr>
        <w:pStyle w:val="54"/>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sz w:val="21"/>
          <w:szCs w:val="21"/>
          <w:highlight w:val="none"/>
          <w:lang w:eastAsia="zh-CN"/>
        </w:rPr>
        <w:t>2025年  月  日15:00</w:t>
      </w:r>
      <w:r>
        <w:rPr>
          <w:rFonts w:hint="eastAsia" w:ascii="宋体" w:hAnsi="宋体" w:eastAsia="宋体" w:cs="宋体"/>
          <w:color w:val="auto"/>
          <w:sz w:val="21"/>
          <w:szCs w:val="21"/>
          <w:highlight w:val="none"/>
          <w:lang w:eastAsia="zh-CN"/>
        </w:rPr>
        <w:t>整</w:t>
      </w:r>
    </w:p>
    <w:p w14:paraId="5ECF963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14:paraId="1A8B4FCC">
      <w:pPr>
        <w:pStyle w:val="12"/>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”，并按照本招标文件和“政府采购云平台”的要求，通过“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供应商未按规定加密的投标文件，“政府采购云平台”将予以拒收。</w:t>
      </w:r>
    </w:p>
    <w:p w14:paraId="09277451">
      <w:pPr>
        <w:pStyle w:val="12"/>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14:paraId="75D4BFD5">
      <w:pPr>
        <w:pStyle w:val="54"/>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14:paraId="548549BE">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Cs w:val="21"/>
          <w:highlight w:val="none"/>
        </w:rPr>
        <w:fldChar w:fldCharType="begin"/>
      </w:r>
      <w:r>
        <w:rPr>
          <w:rFonts w:hint="eastAsia" w:ascii="宋体" w:hAnsi="宋体" w:eastAsia="宋体" w:cs="宋体"/>
          <w:b/>
          <w:bCs/>
          <w:color w:val="auto"/>
          <w:kern w:val="0"/>
          <w:szCs w:val="21"/>
          <w:highlight w:val="none"/>
        </w:rPr>
        <w:instrText xml:space="preserve"> HYPERLINK "https://service.zcygov.cn/#/knowledges/CW1EtGwBFdiHxlNd6I3m/6IMVAG0BFdiHx" </w:instrText>
      </w:r>
      <w:r>
        <w:rPr>
          <w:rFonts w:hint="eastAsia" w:ascii="宋体" w:hAnsi="宋体" w:eastAsia="宋体" w:cs="宋体"/>
          <w:b/>
          <w:bCs/>
          <w:color w:val="auto"/>
          <w:kern w:val="0"/>
          <w:szCs w:val="21"/>
          <w:highlight w:val="none"/>
        </w:rPr>
        <w:fldChar w:fldCharType="separate"/>
      </w:r>
      <w:r>
        <w:rPr>
          <w:rFonts w:hint="eastAsia" w:ascii="宋体" w:hAnsi="宋体" w:eastAsia="宋体" w:cs="宋体"/>
          <w:b/>
          <w:bCs/>
          <w:color w:val="auto"/>
          <w:kern w:val="0"/>
          <w:szCs w:val="21"/>
          <w:highlight w:val="none"/>
        </w:rPr>
        <w:t>https://service.zcygov.cn/#/knowledges/CW1EtGwBFdiHxlNd6I3m/6IMVAG0BFdiHx</w:t>
      </w:r>
      <w:r>
        <w:rPr>
          <w:rFonts w:hint="eastAsia" w:ascii="宋体" w:hAnsi="宋体" w:eastAsia="宋体" w:cs="宋体"/>
          <w:b/>
          <w:bCs/>
          <w:color w:val="auto"/>
          <w:kern w:val="0"/>
          <w:szCs w:val="21"/>
          <w:highlight w:val="none"/>
        </w:rPr>
        <w:fldChar w:fldCharType="end"/>
      </w:r>
    </w:p>
    <w:p w14:paraId="435B596B">
      <w:pPr>
        <w:pStyle w:val="12"/>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lNdQ8Na?keyword=%E6%8A%95%E6%A0%87。</w:t>
      </w:r>
    </w:p>
    <w:p w14:paraId="2936E721">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w:t>
      </w:r>
      <w:r>
        <w:rPr>
          <w:rFonts w:hint="eastAsia" w:ascii="宋体" w:hAnsi="宋体" w:eastAsia="宋体" w:cs="宋体"/>
          <w:b/>
          <w:bCs/>
          <w:color w:val="auto"/>
          <w:kern w:val="0"/>
          <w:szCs w:val="21"/>
          <w:highlight w:val="none"/>
        </w:rPr>
        <w:t>文件的，应当先行撤回原文件，补充、修改后重新传输递交。投标截止时间前未完成传输的，视为撤回投标文件。</w:t>
      </w:r>
    </w:p>
    <w:p w14:paraId="5DED55D4">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eastAsia="宋体" w:cs="宋体"/>
          <w:b/>
          <w:bCs/>
          <w:color w:val="auto"/>
          <w:kern w:val="0"/>
          <w:sz w:val="21"/>
          <w:szCs w:val="21"/>
          <w:highlight w:val="none"/>
          <w:lang w:val="en-US" w:eastAsia="zh-CN" w:bidi="ar-SA"/>
        </w:rPr>
        <w:t>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401999DB">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0"/>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投标供应商仅递交备份投标文件的，投标无效。</w:t>
      </w:r>
    </w:p>
    <w:p w14:paraId="70298C3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4191444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八、投标人信用信息查询渠道及截止时点、信用信息查询记录和证据留存的具体方式、信用信息的使用规则：</w:t>
      </w:r>
    </w:p>
    <w:p w14:paraId="46C732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t>
      </w:r>
      <w:r>
        <w:rPr>
          <w:rFonts w:hint="eastAsia" w:ascii="宋体" w:hAnsi="宋体" w:eastAsia="宋体" w:cs="宋体"/>
          <w:color w:val="auto"/>
          <w:kern w:val="0"/>
          <w:szCs w:val="21"/>
          <w:highlight w:val="none"/>
        </w:rPr>
        <w:t>http://zfcg.czt.zj.gov.cn</w:t>
      </w:r>
      <w:r>
        <w:rPr>
          <w:rFonts w:hint="eastAsia" w:ascii="宋体" w:hAnsi="宋体" w:eastAsia="宋体" w:cs="宋体"/>
          <w:color w:val="auto"/>
          <w:szCs w:val="21"/>
          <w:highlight w:val="none"/>
        </w:rPr>
        <w:t>）。</w:t>
      </w:r>
    </w:p>
    <w:p w14:paraId="7166C09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38F700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14:paraId="695E1A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w:t>
      </w:r>
      <w:r>
        <w:rPr>
          <w:rFonts w:hint="eastAsia" w:ascii="宋体" w:hAnsi="宋体" w:eastAsia="宋体" w:cs="宋体"/>
          <w:color w:val="auto"/>
          <w:szCs w:val="21"/>
          <w:highlight w:val="none"/>
        </w:rPr>
        <w:t>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14:paraId="3FEFE72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、相关注意事项：</w:t>
      </w:r>
    </w:p>
    <w:p w14:paraId="5B92567F">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391C82E">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9AB77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0D24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3BB4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251A705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44B863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7804DFC9">
      <w:pPr>
        <w:pStyle w:val="9"/>
        <w:spacing w:after="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5CB5260">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十</w:t>
      </w:r>
      <w:r>
        <w:rPr>
          <w:rFonts w:hint="eastAsia" w:ascii="宋体" w:hAnsi="宋体" w:eastAsia="宋体" w:cs="宋体"/>
          <w:b/>
          <w:bCs/>
          <w:color w:val="auto"/>
          <w:kern w:val="0"/>
          <w:szCs w:val="21"/>
          <w:highlight w:val="none"/>
        </w:rPr>
        <w:t>、联系方式：</w:t>
      </w:r>
    </w:p>
    <w:p w14:paraId="142E06ED">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14:paraId="1DB409B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46B9C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6D0A1E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37FB6C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5E3010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2A5B53D">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14:paraId="7057193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台州市黄岩区博物馆</w:t>
      </w:r>
    </w:p>
    <w:p w14:paraId="0BA15A5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eastAsia="宋体" w:cs="宋体"/>
          <w:color w:val="auto"/>
          <w:sz w:val="21"/>
          <w:szCs w:val="21"/>
          <w:highlight w:val="none"/>
          <w:lang w:val="en-US" w:eastAsia="zh-CN"/>
        </w:rPr>
        <w:t>周先生</w:t>
      </w:r>
      <w:r>
        <w:rPr>
          <w:rFonts w:hint="eastAsia" w:ascii="宋体" w:hAnsi="宋体" w:eastAsia="宋体" w:cs="宋体"/>
          <w:color w:val="auto"/>
          <w:szCs w:val="21"/>
          <w:highlight w:val="none"/>
        </w:rPr>
        <w:t xml:space="preserve">    询问联系电话：</w:t>
      </w:r>
      <w:r>
        <w:rPr>
          <w:rFonts w:hint="eastAsia" w:ascii="宋体" w:hAnsi="宋体" w:eastAsia="宋体" w:cs="宋体"/>
          <w:color w:val="auto"/>
          <w:sz w:val="21"/>
          <w:szCs w:val="21"/>
          <w:highlight w:val="none"/>
          <w:lang w:val="en-US" w:eastAsia="zh-CN"/>
        </w:rPr>
        <w:t>0576-81120607</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XXXX</w:t>
      </w:r>
      <w:r>
        <w:rPr>
          <w:rFonts w:hint="eastAsia" w:ascii="宋体" w:hAnsi="宋体" w:eastAsia="宋体" w:cs="宋体"/>
          <w:color w:val="auto"/>
          <w:szCs w:val="21"/>
          <w:highlight w:val="none"/>
        </w:rPr>
        <w:t xml:space="preserve">      质疑联系电话：0576-</w:t>
      </w:r>
      <w:r>
        <w:rPr>
          <w:rFonts w:hint="eastAsia" w:ascii="宋体" w:hAnsi="宋体" w:eastAsia="宋体" w:cs="宋体"/>
          <w:color w:val="auto"/>
          <w:szCs w:val="21"/>
          <w:highlight w:val="none"/>
          <w:lang w:val="en-US" w:eastAsia="zh-CN"/>
        </w:rPr>
        <w:t>XXXXXXXX</w:t>
      </w:r>
    </w:p>
    <w:p w14:paraId="759170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采购人地址：台州市黄岩区二环南路288号</w:t>
      </w:r>
    </w:p>
    <w:p w14:paraId="1B430DB2">
      <w:pPr>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14:paraId="4A925BA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5A50E8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64044DE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0DE14E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0F4B1F6D">
      <w:pPr>
        <w:pStyle w:val="21"/>
        <w:numPr>
          <w:ilvl w:val="0"/>
          <w:numId w:val="0"/>
        </w:numPr>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银行（中标项目贷款咨询）</w:t>
      </w:r>
    </w:p>
    <w:p w14:paraId="18319ABA">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w:t>
      </w:r>
      <w:r>
        <w:rPr>
          <w:rFonts w:hint="eastAsia" w:ascii="宋体" w:hAnsi="宋体" w:eastAsia="宋体" w:cs="宋体"/>
          <w:b w:val="0"/>
          <w:bCs w:val="0"/>
          <w:color w:val="auto"/>
          <w:sz w:val="21"/>
          <w:szCs w:val="21"/>
          <w:highlight w:val="none"/>
        </w:rPr>
        <w:t>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43AF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24ABED0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3D72E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089284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1F7E5E2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55395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3568D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0E541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DC5C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48B217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689AE1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529F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1C24B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4F5A0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52299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701FD8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CE3A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8F035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2A2005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1185F0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1C574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6FFAA3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CD113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86499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39C77B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23B383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B1116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2604BAC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22F0F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82EA6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1709A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9114E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10ABB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262C12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6A500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6CDE3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AB59D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8A2DA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1AEF7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206E0B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16C0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6DC4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6284B89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2D1D77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22F8EF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D900B2D">
      <w:pPr>
        <w:jc w:val="both"/>
        <w:rPr>
          <w:rFonts w:hint="eastAsia" w:ascii="宋体" w:hAnsi="宋体" w:eastAsia="宋体" w:cs="宋体"/>
          <w:b/>
          <w:bCs/>
          <w:color w:val="auto"/>
          <w:sz w:val="21"/>
          <w:szCs w:val="21"/>
          <w:highlight w:val="none"/>
        </w:rPr>
      </w:pPr>
    </w:p>
    <w:p w14:paraId="113F8CBC">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w:t>
      </w:r>
      <w:r>
        <w:rPr>
          <w:rFonts w:hint="eastAsia" w:ascii="宋体" w:hAnsi="宋体" w:eastAsia="宋体" w:cs="宋体"/>
          <w:b w:val="0"/>
          <w:bCs w:val="0"/>
          <w:color w:val="auto"/>
          <w:sz w:val="21"/>
          <w:szCs w:val="21"/>
          <w:highlight w:val="none"/>
        </w:rPr>
        <w:t>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017C0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0DBD5E2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B2C773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6C4DB1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80700E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EFD4F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C585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8290C4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257F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09C5D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0908A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8B74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C432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3C700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A2B93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D0CC0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313CC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EE59FA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71FA49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4F720F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7B05BDB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5AA3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1AAD7A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4F7536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356DFD9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0B9CDDD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6350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637D2F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74DAB3F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3B8806E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0D8E247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2595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4EF9FA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577D5DC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3705D8A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4653F4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5908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68A5C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229FC46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8E4C8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2A1ADF2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720F27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5825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14292C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0FC4FE3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75AD2A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281641C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24C3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8BBECE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516815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35F946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4B0578F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67B0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94A672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6F885E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DBD7C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4952B8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754F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46FE949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0DB7BC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163ED76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FACAB8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4EE9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65D856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5FC371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2878FEB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0E67EF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228B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C8669D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6701550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192C4E1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6EA8CEE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6B3ABDB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4273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B78B7F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6DEF6AD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074A7C6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81B35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1D86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FE556A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1B0310F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78DFF8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E8EBB6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0359823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2C1F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2BE323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46101D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3FED9F6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4EA713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21E4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1BDE20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1489827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7CC717D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5AF041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6605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44FC699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0C96CD8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2710BCB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4BF75A9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251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220922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061776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11C2C04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5C840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31A7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F19A6C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02354E3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16AFBB8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4EC6C3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696C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08F7C9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765EF6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7779BFD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71FFD43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2F58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D5E30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02D6900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58F5D1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4399BA1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AFE485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72C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2B2040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2E20EA4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0BCE9F9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042C13E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04DD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D23DA3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0A95C4C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3A9959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69F5CC8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2A8006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4F6959C9">
      <w:pPr>
        <w:pStyle w:val="30"/>
        <w:rPr>
          <w:rFonts w:hint="eastAsia" w:ascii="宋体" w:hAnsi="宋体" w:eastAsia="宋体" w:cs="宋体"/>
          <w:color w:val="auto"/>
          <w:highlight w:val="none"/>
        </w:rPr>
      </w:pPr>
    </w:p>
    <w:p w14:paraId="6D7E34F1">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2DA31887">
      <w:pPr>
        <w:spacing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r>
        <w:rPr>
          <w:rFonts w:hint="eastAsia" w:ascii="宋体" w:hAnsi="宋体" w:eastAsia="宋体" w:cs="宋体"/>
          <w:b/>
          <w:color w:val="auto"/>
          <w:szCs w:val="21"/>
          <w:highlight w:val="none"/>
        </w:rPr>
        <w:t>。</w:t>
      </w:r>
    </w:p>
    <w:p w14:paraId="66812D71">
      <w:pPr>
        <w:jc w:val="right"/>
        <w:rPr>
          <w:rFonts w:hint="eastAsia" w:ascii="宋体" w:hAnsi="宋体" w:eastAsia="宋体" w:cs="宋体"/>
          <w:color w:val="auto"/>
          <w:szCs w:val="21"/>
          <w:highlight w:val="none"/>
        </w:rPr>
      </w:pPr>
    </w:p>
    <w:p w14:paraId="4E0C7E06">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2519CDD">
      <w:pPr>
        <w:pStyle w:val="9"/>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二○二五年六月</w:t>
      </w:r>
    </w:p>
    <w:p w14:paraId="07FEE628">
      <w:pPr>
        <w:pStyle w:val="9"/>
        <w:jc w:val="right"/>
        <w:rPr>
          <w:rFonts w:hint="eastAsia" w:ascii="宋体" w:hAnsi="宋体" w:eastAsia="宋体" w:cs="宋体"/>
          <w:color w:val="auto"/>
          <w:szCs w:val="21"/>
          <w:highlight w:val="none"/>
        </w:rPr>
      </w:pPr>
    </w:p>
    <w:p w14:paraId="3E3A32C1">
      <w:pPr>
        <w:pStyle w:val="9"/>
        <w:jc w:val="right"/>
        <w:rPr>
          <w:rFonts w:hint="eastAsia" w:ascii="宋体" w:hAnsi="宋体" w:eastAsia="宋体" w:cs="宋体"/>
          <w:color w:val="auto"/>
          <w:sz w:val="24"/>
          <w:highlight w:val="none"/>
        </w:rPr>
      </w:pPr>
    </w:p>
    <w:p w14:paraId="3CD5397E">
      <w:pPr>
        <w:pStyle w:val="21"/>
        <w:rPr>
          <w:rFonts w:hint="eastAsia" w:ascii="宋体" w:hAnsi="宋体" w:eastAsia="宋体" w:cs="宋体"/>
          <w:color w:val="auto"/>
          <w:sz w:val="24"/>
          <w:highlight w:val="none"/>
        </w:rPr>
      </w:pPr>
    </w:p>
    <w:p w14:paraId="683746F2">
      <w:pPr>
        <w:rPr>
          <w:rFonts w:hint="eastAsia" w:ascii="宋体" w:hAnsi="宋体" w:eastAsia="宋体" w:cs="宋体"/>
          <w:color w:val="auto"/>
          <w:highlight w:val="none"/>
        </w:rPr>
      </w:pPr>
    </w:p>
    <w:p w14:paraId="78B53067">
      <w:pPr>
        <w:numPr>
          <w:ilvl w:val="0"/>
          <w:numId w:val="3"/>
        </w:numPr>
        <w:spacing w:line="360" w:lineRule="auto"/>
        <w:jc w:val="center"/>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199982B1">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53390164">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14:paraId="0332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14:paraId="6F127FD9">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23" w:type="dxa"/>
            <w:vAlign w:val="center"/>
          </w:tcPr>
          <w:p w14:paraId="3806EEE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692" w:type="dxa"/>
            <w:vAlign w:val="center"/>
          </w:tcPr>
          <w:p w14:paraId="14125418">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2D33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7F2904B9">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23" w:type="dxa"/>
            <w:vAlign w:val="center"/>
          </w:tcPr>
          <w:p w14:paraId="0FEA95F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692" w:type="dxa"/>
            <w:vAlign w:val="center"/>
          </w:tcPr>
          <w:p w14:paraId="137EE37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14:paraId="5CD791E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p>
        </w:tc>
      </w:tr>
      <w:tr w14:paraId="0710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12093D3D">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23" w:type="dxa"/>
            <w:vAlign w:val="center"/>
          </w:tcPr>
          <w:p w14:paraId="698BBC3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692" w:type="dxa"/>
            <w:vAlign w:val="center"/>
          </w:tcPr>
          <w:p w14:paraId="78E63AB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符合招标公告资格要求的供应商</w:t>
            </w:r>
          </w:p>
        </w:tc>
      </w:tr>
      <w:tr w14:paraId="4696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2A8D5C7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23" w:type="dxa"/>
            <w:vAlign w:val="center"/>
          </w:tcPr>
          <w:p w14:paraId="5168EDF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692" w:type="dxa"/>
            <w:vAlign w:val="center"/>
          </w:tcPr>
          <w:p w14:paraId="5BA4C28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97F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14:paraId="55BC8B9D">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23" w:type="dxa"/>
            <w:vAlign w:val="center"/>
          </w:tcPr>
          <w:p w14:paraId="763E41F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692" w:type="dxa"/>
            <w:vAlign w:val="center"/>
          </w:tcPr>
          <w:p w14:paraId="20E093E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741923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42C7BA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26B5C7A6">
            <w:pPr>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0ADD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23E29FC2">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23" w:type="dxa"/>
            <w:vAlign w:val="center"/>
          </w:tcPr>
          <w:p w14:paraId="0EABD5C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p>
        </w:tc>
        <w:tc>
          <w:tcPr>
            <w:tcW w:w="6692" w:type="dxa"/>
            <w:vAlign w:val="center"/>
          </w:tcPr>
          <w:p w14:paraId="3DBB079C">
            <w:pPr>
              <w:spacing w:line="240" w:lineRule="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投标有效期为90天，投标有效期从提交投标文件的截止之日起算。</w:t>
            </w:r>
          </w:p>
        </w:tc>
      </w:tr>
      <w:tr w14:paraId="5386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43BC36A3">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23" w:type="dxa"/>
            <w:vAlign w:val="center"/>
          </w:tcPr>
          <w:p w14:paraId="52E4D05D">
            <w:pPr>
              <w:pStyle w:val="9"/>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电子投标文件的传输递交</w:t>
            </w:r>
          </w:p>
        </w:tc>
        <w:tc>
          <w:tcPr>
            <w:tcW w:w="6692" w:type="dxa"/>
            <w:vAlign w:val="center"/>
          </w:tcPr>
          <w:p w14:paraId="661FB938">
            <w:pPr>
              <w:spacing w:line="24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2025年  月  日14:30</w:t>
            </w:r>
            <w:r>
              <w:rPr>
                <w:rFonts w:hint="eastAsia" w:ascii="宋体" w:hAnsi="宋体" w:eastAsia="宋体" w:cs="宋体"/>
                <w:b/>
                <w:bCs/>
                <w:color w:val="auto"/>
                <w:szCs w:val="21"/>
                <w:highlight w:val="none"/>
                <w:u w:val="single"/>
                <w:lang w:eastAsia="zh-CN"/>
              </w:rPr>
              <w:t>整</w:t>
            </w:r>
          </w:p>
          <w:p w14:paraId="689E67C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16B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7028CCE9">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23" w:type="dxa"/>
            <w:vAlign w:val="center"/>
          </w:tcPr>
          <w:p w14:paraId="5B72861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备份投标文件的递交</w:t>
            </w:r>
          </w:p>
        </w:tc>
        <w:tc>
          <w:tcPr>
            <w:tcW w:w="6692" w:type="dxa"/>
            <w:vAlign w:val="center"/>
          </w:tcPr>
          <w:p w14:paraId="51B75DFC">
            <w:pPr>
              <w:pStyle w:val="54"/>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1DE95735">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2025年  月  日14:30</w:t>
            </w:r>
            <w:r>
              <w:rPr>
                <w:rFonts w:hint="eastAsia" w:ascii="宋体" w:hAnsi="宋体" w:eastAsia="宋体" w:cs="宋体"/>
                <w:b/>
                <w:bCs/>
                <w:color w:val="auto"/>
                <w:szCs w:val="21"/>
                <w:highlight w:val="none"/>
                <w:u w:val="single"/>
                <w:lang w:eastAsia="zh-CN"/>
              </w:rPr>
              <w:t>整</w:t>
            </w:r>
          </w:p>
        </w:tc>
      </w:tr>
      <w:tr w14:paraId="234A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2D91C3C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23" w:type="dxa"/>
            <w:vAlign w:val="center"/>
          </w:tcPr>
          <w:p w14:paraId="3326366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692" w:type="dxa"/>
            <w:vAlign w:val="center"/>
          </w:tcPr>
          <w:p w14:paraId="717E02DD">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B7239CA">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7DA9C802">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224040FE">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如电子投标文件解密成功，则备份投标文件不再拆封。</w:t>
            </w:r>
          </w:p>
        </w:tc>
      </w:tr>
      <w:tr w14:paraId="6783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14:paraId="5408CD5C">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23" w:type="dxa"/>
            <w:vAlign w:val="center"/>
          </w:tcPr>
          <w:p w14:paraId="6615491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电子投标文件解密时间及地点</w:t>
            </w:r>
          </w:p>
        </w:tc>
        <w:tc>
          <w:tcPr>
            <w:tcW w:w="6692" w:type="dxa"/>
            <w:vAlign w:val="center"/>
          </w:tcPr>
          <w:p w14:paraId="38FC4D4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rPr>
              <w:t>（北京时间）</w:t>
            </w:r>
          </w:p>
          <w:p w14:paraId="5B633443">
            <w:pPr>
              <w:pStyle w:val="53"/>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630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14:paraId="130520B6">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23" w:type="dxa"/>
            <w:vAlign w:val="center"/>
          </w:tcPr>
          <w:p w14:paraId="66BB34F0">
            <w:pPr>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692" w:type="dxa"/>
            <w:vAlign w:val="center"/>
          </w:tcPr>
          <w:p w14:paraId="4B1ECCF8">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▲”的条款是实质性条款，投标文件须作出实质性响应，否则作无效投标处理。</w:t>
            </w:r>
          </w:p>
        </w:tc>
      </w:tr>
      <w:tr w14:paraId="5B4E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0CCAC765">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23" w:type="dxa"/>
            <w:vAlign w:val="center"/>
          </w:tcPr>
          <w:p w14:paraId="0D062D3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692" w:type="dxa"/>
            <w:vAlign w:val="center"/>
          </w:tcPr>
          <w:p w14:paraId="5E06C6E3">
            <w:pPr>
              <w:numPr>
                <w:ilvl w:val="0"/>
                <w:numId w:val="4"/>
              </w:num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6D856E65">
            <w:pPr>
              <w:numPr>
                <w:ilvl w:val="0"/>
                <w:numId w:val="4"/>
              </w:numPr>
              <w:spacing w:line="24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7C45D1E4">
            <w:pPr>
              <w:numPr>
                <w:ilvl w:val="0"/>
                <w:numId w:val="4"/>
              </w:numPr>
              <w:spacing w:line="24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6FB403EE">
            <w:pPr>
              <w:numPr>
                <w:ilvl w:val="0"/>
                <w:numId w:val="0"/>
              </w:numPr>
              <w:spacing w:line="240" w:lineRule="auto"/>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4、现场演示：</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要求。</w:t>
            </w:r>
          </w:p>
        </w:tc>
      </w:tr>
      <w:tr w14:paraId="63B2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63C1B3CD">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23" w:type="dxa"/>
            <w:vAlign w:val="center"/>
          </w:tcPr>
          <w:p w14:paraId="702E0200">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中小企业扶持政策</w:t>
            </w:r>
          </w:p>
        </w:tc>
        <w:tc>
          <w:tcPr>
            <w:tcW w:w="6692" w:type="dxa"/>
            <w:vAlign w:val="center"/>
          </w:tcPr>
          <w:p w14:paraId="3D8635CB">
            <w:pPr>
              <w:pStyle w:val="53"/>
              <w:spacing w:line="24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1B1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199A5014">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23" w:type="dxa"/>
            <w:vAlign w:val="center"/>
          </w:tcPr>
          <w:p w14:paraId="0746D1F4">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6692" w:type="dxa"/>
            <w:vAlign w:val="center"/>
          </w:tcPr>
          <w:p w14:paraId="70F1D13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737756C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B792E5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210F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45A0F9EB">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2123" w:type="dxa"/>
            <w:vAlign w:val="center"/>
          </w:tcPr>
          <w:p w14:paraId="06F82D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692" w:type="dxa"/>
            <w:vAlign w:val="center"/>
          </w:tcPr>
          <w:p w14:paraId="41808F5B">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本招标文件的解释权属于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1A4B4537">
      <w:pPr>
        <w:spacing w:line="360" w:lineRule="auto"/>
        <w:rPr>
          <w:rFonts w:hint="eastAsia" w:ascii="宋体" w:hAnsi="宋体" w:eastAsia="宋体" w:cs="宋体"/>
          <w:b/>
          <w:bCs/>
          <w:color w:val="auto"/>
          <w:szCs w:val="21"/>
          <w:highlight w:val="none"/>
        </w:rPr>
      </w:pPr>
    </w:p>
    <w:p w14:paraId="36B6C7ED">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64C71D6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14:paraId="6F837C5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本招标文件适用于本次项目的招标、投标、评标、定标、验收、合同履约、付款等行为（法律、法规另有规定的，从其规定）。</w:t>
      </w:r>
    </w:p>
    <w:p w14:paraId="622F454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641F1DF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“采购组织机构”指采购人委托组织招标的采购代理机构。</w:t>
      </w:r>
    </w:p>
    <w:p w14:paraId="272BB3A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采购代理机构</w:t>
      </w:r>
      <w:r>
        <w:rPr>
          <w:rFonts w:hint="eastAsia" w:ascii="宋体" w:hAnsi="宋体" w:eastAsia="宋体" w:cs="宋体"/>
          <w:color w:val="auto"/>
          <w:szCs w:val="21"/>
          <w:highlight w:val="none"/>
        </w:rPr>
        <w:t>采购本次项目的国家机关、事业单位和团体组织。</w:t>
      </w:r>
    </w:p>
    <w:p w14:paraId="68F2143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3、投标人：是指向采购</w:t>
      </w:r>
      <w:r>
        <w:rPr>
          <w:rFonts w:hint="eastAsia" w:ascii="宋体" w:hAnsi="宋体" w:eastAsia="宋体" w:cs="宋体"/>
          <w:color w:val="auto"/>
          <w:szCs w:val="21"/>
          <w:highlight w:val="none"/>
          <w:lang w:val="zh-CN"/>
        </w:rPr>
        <w:t>组织</w:t>
      </w:r>
      <w:r>
        <w:rPr>
          <w:rFonts w:hint="eastAsia" w:ascii="宋体" w:hAnsi="宋体" w:eastAsia="宋体" w:cs="宋体"/>
          <w:color w:val="auto"/>
          <w:szCs w:val="21"/>
          <w:highlight w:val="none"/>
        </w:rPr>
        <w:t>机构提交投标文件的单位或个人。</w:t>
      </w:r>
    </w:p>
    <w:p w14:paraId="1C994E8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1355452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0C40C21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33007EC0">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2880458D">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（三）投标费用</w:t>
      </w:r>
    </w:p>
    <w:p w14:paraId="1399BFCC">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不论投标结果如何，投标人均应自行承担所有与投标有关的全部费用（招标文件有相关规定除外）。</w:t>
      </w:r>
    </w:p>
    <w:p w14:paraId="0F089BCA">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1B38E026">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1、投标人投标所使用的资格、信誉、荣誉、业绩与企业认证必须为本法人所拥有。投标人投标所使用的采购项目实施人员必须为本法人员工。▲其中涉及资格条件的如非本法人所拥有，则投标无效。</w:t>
      </w:r>
    </w:p>
    <w:p w14:paraId="069B5573">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Cs w:val="21"/>
          <w:highlight w:val="none"/>
        </w:rPr>
        <w:tab/>
      </w:r>
    </w:p>
    <w:p w14:paraId="7DB53C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F7E6B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0780BF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51B3A98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6、投标文件格式中的表格式样可以根据项目差别做适当调整,但应当保持表格样式基本形态不变。</w:t>
      </w:r>
    </w:p>
    <w:p w14:paraId="1636C9D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6876B11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C869C9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▲9、本项目不允许</w:t>
      </w:r>
      <w:r>
        <w:rPr>
          <w:rFonts w:hint="eastAsia" w:ascii="宋体" w:hAnsi="宋体" w:eastAsia="宋体" w:cs="宋体"/>
          <w:color w:val="auto"/>
          <w:szCs w:val="21"/>
          <w:highlight w:val="none"/>
          <w:lang w:val="en-US" w:eastAsia="zh-CN"/>
        </w:rPr>
        <w:t>转包、</w:t>
      </w:r>
      <w:r>
        <w:rPr>
          <w:rFonts w:hint="eastAsia" w:ascii="宋体" w:hAnsi="宋体" w:eastAsia="宋体" w:cs="宋体"/>
          <w:color w:val="auto"/>
          <w:szCs w:val="21"/>
          <w:highlight w:val="none"/>
        </w:rPr>
        <w:t>分包。</w:t>
      </w:r>
    </w:p>
    <w:p w14:paraId="5DFEA739">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二、招标文件</w:t>
      </w:r>
    </w:p>
    <w:p w14:paraId="2672BBE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（一）招标文件由招标文件总目录所列内容组成。</w:t>
      </w:r>
    </w:p>
    <w:p w14:paraId="5C33163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（二）招标文件的澄清或修改</w:t>
      </w:r>
    </w:p>
    <w:p w14:paraId="67AF48B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14:paraId="4ABDB9C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DCB9FCA">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w:t>
      </w:r>
    </w:p>
    <w:p w14:paraId="0983101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本项目实行电子投标，供应商应准备</w:t>
      </w:r>
      <w:r>
        <w:rPr>
          <w:rFonts w:hint="eastAsia" w:ascii="宋体" w:hAnsi="宋体" w:eastAsia="宋体" w:cs="宋体"/>
          <w:bCs/>
          <w:color w:val="auto"/>
          <w:szCs w:val="21"/>
          <w:highlight w:val="none"/>
        </w:rPr>
        <w:t>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36B6CEEA">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电子投标文件按</w:t>
      </w:r>
      <w:r>
        <w:rPr>
          <w:rFonts w:hint="eastAsia" w:ascii="宋体" w:hAnsi="宋体" w:eastAsia="宋体" w:cs="宋体"/>
          <w:bCs/>
          <w:color w:val="auto"/>
          <w:szCs w:val="21"/>
          <w:highlight w:val="none"/>
        </w:rPr>
        <w:t>政府采购</w:t>
      </w:r>
      <w:r>
        <w:rPr>
          <w:rFonts w:hint="eastAsia" w:ascii="宋体" w:hAnsi="宋体" w:eastAsia="宋体" w:cs="宋体"/>
          <w:bCs/>
          <w:color w:val="auto"/>
          <w:szCs w:val="21"/>
          <w:highlight w:val="none"/>
          <w:lang w:val="zh-CN"/>
        </w:rPr>
        <w:t>云平台供应商项目采购</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电子招投标操作指南</w:t>
      </w:r>
      <w:r>
        <w:rPr>
          <w:rFonts w:hint="eastAsia" w:ascii="宋体" w:hAnsi="宋体" w:eastAsia="宋体" w:cs="宋体"/>
          <w:bCs/>
          <w:color w:val="auto"/>
          <w:szCs w:val="21"/>
          <w:highlight w:val="none"/>
        </w:rPr>
        <w:t>（网址：https://helpcenter.zcygov.cn/document/#/document/detail?siteCode=beijing&amp;manualId=359&amp;topicId=1447）</w:t>
      </w:r>
      <w:r>
        <w:rPr>
          <w:rFonts w:hint="eastAsia" w:ascii="宋体" w:hAnsi="宋体" w:eastAsia="宋体" w:cs="宋体"/>
          <w:bCs/>
          <w:color w:val="auto"/>
          <w:szCs w:val="21"/>
          <w:highlight w:val="none"/>
          <w:lang w:val="zh-CN"/>
        </w:rPr>
        <w:t>及本招标文件要求制作、加密并</w:t>
      </w:r>
      <w:r>
        <w:rPr>
          <w:rFonts w:hint="eastAsia" w:ascii="宋体" w:hAnsi="宋体" w:eastAsia="宋体" w:cs="宋体"/>
          <w:bCs/>
          <w:color w:val="auto"/>
          <w:szCs w:val="21"/>
          <w:highlight w:val="none"/>
        </w:rPr>
        <w:t>传输</w:t>
      </w:r>
      <w:r>
        <w:rPr>
          <w:rFonts w:hint="eastAsia" w:ascii="宋体" w:hAnsi="宋体" w:eastAsia="宋体" w:cs="宋体"/>
          <w:bCs/>
          <w:color w:val="auto"/>
          <w:szCs w:val="21"/>
          <w:highlight w:val="none"/>
          <w:lang w:val="zh-CN"/>
        </w:rPr>
        <w:t>递交。</w:t>
      </w:r>
    </w:p>
    <w:p w14:paraId="4853ECA3">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3B61E3A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442DCC9B">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▲未传输递交电子投标文件及未按规定提供相应的备份投标文件的，投标无效。</w:t>
      </w:r>
    </w:p>
    <w:p w14:paraId="5A7609F8">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w:t>
      </w:r>
      <w:r>
        <w:rPr>
          <w:rFonts w:hint="eastAsia" w:ascii="宋体" w:hAnsi="宋体" w:eastAsia="宋体" w:cs="宋体"/>
          <w:b/>
          <w:bCs/>
          <w:color w:val="auto"/>
          <w:szCs w:val="21"/>
          <w:highlight w:val="none"/>
        </w:rPr>
        <w:t>投标文件的组成</w:t>
      </w:r>
    </w:p>
    <w:p w14:paraId="16B747A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投标人接到招标文件后，按照招标文件的要求提供</w:t>
      </w:r>
      <w:r>
        <w:rPr>
          <w:rFonts w:hint="eastAsia" w:ascii="宋体" w:hAnsi="宋体" w:eastAsia="宋体" w:cs="宋体"/>
          <w:color w:val="auto"/>
          <w:szCs w:val="21"/>
          <w:highlight w:val="none"/>
        </w:rPr>
        <w:t>投标文件（包含电子投标文件和备份投标文件）：由资格证明文件、商务与技术文件和报价文件三部分组成。</w:t>
      </w:r>
    </w:p>
    <w:p w14:paraId="33B7404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14:paraId="2D55239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1、资格证明文件的组成：</w:t>
      </w:r>
    </w:p>
    <w:p w14:paraId="5DF8E18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1E0F3DA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810CB7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25D211B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（4）投标人认为需要说明的其他材料；</w:t>
      </w:r>
    </w:p>
    <w:p w14:paraId="270AFE2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2、商务与技术文件的组成：</w:t>
      </w:r>
    </w:p>
    <w:p w14:paraId="79C880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268FCC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0BB474B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w:t>
      </w:r>
      <w:r>
        <w:rPr>
          <w:rFonts w:hint="eastAsia" w:ascii="宋体" w:hAnsi="宋体" w:eastAsia="宋体" w:cs="宋体"/>
          <w:color w:val="auto"/>
          <w:sz w:val="21"/>
          <w:szCs w:val="21"/>
          <w:highlight w:val="none"/>
        </w:rPr>
        <w:t>面性、准确性、针对性，对项目重点、难点的把握，解决方案及合理化建议)。</w:t>
      </w:r>
    </w:p>
    <w:p w14:paraId="3F1DB8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14:paraId="1D05461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14:paraId="78617FC8">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14:paraId="2A2E6D3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14:paraId="41C4078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14:paraId="3AEDA51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14:paraId="55A1856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14:paraId="4BBC1883">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14:paraId="7176D74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6775581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CE6CA6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40DD22C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4854A71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28E14858">
      <w:pPr>
        <w:keepNext w:val="0"/>
        <w:keepLines w:val="0"/>
        <w:pageBreakBefore w:val="0"/>
        <w:kinsoku/>
        <w:wordWrap/>
        <w:overflowPunct/>
        <w:topLinePunct w:val="0"/>
        <w:bidi w:val="0"/>
        <w:spacing w:line="41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524FFB6E">
      <w:pPr>
        <w:keepNext w:val="0"/>
        <w:keepLines w:val="0"/>
        <w:pageBreakBefore w:val="0"/>
        <w:kinsoku/>
        <w:wordWrap/>
        <w:overflowPunct/>
        <w:topLinePunct w:val="0"/>
        <w:bidi w:val="0"/>
        <w:spacing w:line="410" w:lineRule="exac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1F6AC5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56F437C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（1）报价文件由开标一览表、报价明细表、中小企业声明函，以及投标人认为其他需要说明的内容组成。</w:t>
      </w:r>
    </w:p>
    <w:p w14:paraId="26A5B96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附条件</w:t>
      </w:r>
      <w:r>
        <w:rPr>
          <w:rFonts w:hint="eastAsia" w:ascii="宋体" w:hAnsi="宋体" w:eastAsia="宋体" w:cs="宋体"/>
          <w:color w:val="auto"/>
          <w:sz w:val="21"/>
          <w:szCs w:val="21"/>
          <w:highlight w:val="none"/>
        </w:rPr>
        <w:t>的报价将被拒绝。</w:t>
      </w:r>
    </w:p>
    <w:p w14:paraId="03807F9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投标总报价包括项目的供货、运输、安装、总体调试、技术培训、税金、验收、售后服务等为完成本次项且涉及的一切费用。</w:t>
      </w:r>
    </w:p>
    <w:p w14:paraId="63B762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（4）政府采购优惠政策相关资料。</w:t>
      </w:r>
    </w:p>
    <w:p w14:paraId="2A1DB4B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▲（5）相关报价单需打印或用不</w:t>
      </w:r>
      <w:r>
        <w:rPr>
          <w:rFonts w:hint="eastAsia" w:ascii="宋体" w:hAnsi="宋体" w:cs="宋体"/>
          <w:color w:val="auto"/>
          <w:szCs w:val="21"/>
          <w:highlight w:val="none"/>
          <w:lang w:val="en-US" w:eastAsia="zh-CN"/>
        </w:rPr>
        <w:t>褪</w:t>
      </w:r>
      <w:r>
        <w:rPr>
          <w:rFonts w:hint="eastAsia" w:ascii="宋体" w:hAnsi="宋体" w:eastAsia="宋体" w:cs="宋体"/>
          <w:color w:val="auto"/>
          <w:szCs w:val="21"/>
          <w:highlight w:val="none"/>
        </w:rPr>
        <w:t>色的墨水</w:t>
      </w:r>
      <w:r>
        <w:rPr>
          <w:rFonts w:hint="eastAsia" w:ascii="宋体" w:hAnsi="宋体" w:eastAsia="宋体" w:cs="宋体"/>
          <w:color w:val="auto"/>
          <w:szCs w:val="21"/>
          <w:highlight w:val="none"/>
        </w:rPr>
        <w:t>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由于字迹模糊或表达不清引起的后果由投标人负责。</w:t>
      </w:r>
    </w:p>
    <w:p w14:paraId="2C545E8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（6）投标报价应按招标文件中相关附表格式填写。</w:t>
      </w:r>
    </w:p>
    <w:p w14:paraId="3C9CA6D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（二）投标文件的制作、封装及递交要求</w:t>
      </w:r>
    </w:p>
    <w:p w14:paraId="33EA9FDF">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23DA0EC5">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16FD3CA">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45F60BCA">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B9DF55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0AA6655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2、投标文件的制作</w:t>
      </w:r>
    </w:p>
    <w:p w14:paraId="72E5D79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（1）投标人应按照投标文件组成内容及项目招标需求制作投标文件，不按招标文件要求制作投标文件由此产生的责任由投标人自行承担。</w:t>
      </w:r>
    </w:p>
    <w:p w14:paraId="693153A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14:paraId="041B90C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Cs w:val="21"/>
          <w:highlight w:val="none"/>
        </w:rPr>
        <w:t>。</w:t>
      </w:r>
    </w:p>
    <w:p w14:paraId="3116EAB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486C282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（5）若投标人不按招标文件的要求提供资格审查材料，其风险由投标人自行承担。</w:t>
      </w:r>
    </w:p>
    <w:p w14:paraId="50F6507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（6）与本次投标无关的内容请不要制作在内，确保投标文件有针对性、简洁明了，同时节约纸</w:t>
      </w:r>
      <w:r>
        <w:rPr>
          <w:rFonts w:hint="eastAsia" w:ascii="宋体" w:hAnsi="宋体" w:eastAsia="宋体" w:cs="宋体"/>
          <w:color w:val="auto"/>
          <w:szCs w:val="21"/>
          <w:highlight w:val="none"/>
        </w:rPr>
        <w:t>张；投标文件建议以A4纸大小双面打印并装订。</w:t>
      </w:r>
    </w:p>
    <w:p w14:paraId="39310FB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cs="宋体"/>
          <w:b/>
          <w:bCs/>
          <w:color w:val="auto"/>
          <w:szCs w:val="21"/>
          <w:highlight w:val="none"/>
          <w:lang w:val="en-US" w:eastAsia="zh-CN"/>
        </w:rPr>
        <w:t>备份</w:t>
      </w:r>
      <w:r>
        <w:rPr>
          <w:rFonts w:hint="eastAsia" w:ascii="宋体" w:hAnsi="宋体" w:eastAsia="宋体" w:cs="宋体"/>
          <w:b/>
          <w:bCs/>
          <w:color w:val="auto"/>
          <w:szCs w:val="21"/>
          <w:highlight w:val="none"/>
        </w:rPr>
        <w:t>投标文件的封装要求</w:t>
      </w:r>
    </w:p>
    <w:p w14:paraId="5F417C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0625E2B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40A39DE5">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4、投标文件的递交要求</w:t>
      </w:r>
    </w:p>
    <w:p w14:paraId="330A44A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szCs w:val="21"/>
          <w:highlight w:val="none"/>
        </w:rPr>
        <w:t>、</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547A3B2D">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18B069F2">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59CDB056">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w:t>
      </w:r>
      <w:r>
        <w:rPr>
          <w:rFonts w:hint="eastAsia" w:ascii="宋体" w:hAnsi="宋体" w:eastAsia="宋体" w:cs="宋体"/>
          <w:b w:val="0"/>
          <w:bCs w:val="0"/>
          <w:color w:val="auto"/>
          <w:kern w:val="2"/>
          <w:sz w:val="21"/>
          <w:szCs w:val="21"/>
          <w:highlight w:val="none"/>
          <w:lang w:val="en-US" w:eastAsia="zh-CN" w:bidi="ar-SA"/>
        </w:rPr>
        <w:t>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3484159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0BB47677">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13ED8E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（3）如有特殊情况，采购代理机构延长截止时间和开标时间，采购代理机构和投标人的权利和义务将受到新的截止时间和开标时间的约束。</w:t>
      </w:r>
    </w:p>
    <w:p w14:paraId="78292D96">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5、投标文件的补充、修改和撤回。</w:t>
      </w:r>
    </w:p>
    <w:p w14:paraId="4E2E4EA4">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w:t>
      </w:r>
      <w:r>
        <w:rPr>
          <w:rFonts w:hint="eastAsia" w:ascii="宋体" w:hAnsi="宋体" w:eastAsia="宋体" w:cs="宋体"/>
          <w:color w:val="auto"/>
          <w:kern w:val="2"/>
          <w:sz w:val="21"/>
          <w:szCs w:val="21"/>
          <w:highlight w:val="none"/>
          <w:lang w:val="en-GB" w:eastAsia="zh-CN" w:bidi="ar-SA"/>
        </w:rPr>
        <w:t>。投标截止时间后递交的投标</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1F62DD4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）投标截止时间后，投标供应商不得撤回、修改投标文件。</w:t>
      </w:r>
    </w:p>
    <w:p w14:paraId="1CEE31C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在开标后规定的投标有效期内，投标人不能撤销投标文件。</w:t>
      </w:r>
    </w:p>
    <w:p w14:paraId="03C5B65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（三）投标文件的有效期</w:t>
      </w:r>
    </w:p>
    <w:p w14:paraId="5100DB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自投标截止日起90天投标文件应保持有效。有效期不足的投标文件将被拒绝。</w:t>
      </w:r>
    </w:p>
    <w:p w14:paraId="75A8850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在符合相关法律法规规定的情况下，采购人可与投标人协商延长投标文件的有效期，这种要求和答复均以书面形式进行。</w:t>
      </w:r>
    </w:p>
    <w:p w14:paraId="709BE0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3、中标人的投标文件自开标之</w:t>
      </w:r>
      <w:r>
        <w:rPr>
          <w:rFonts w:hint="eastAsia" w:ascii="宋体" w:hAnsi="宋体" w:eastAsia="宋体" w:cs="宋体"/>
          <w:color w:val="auto"/>
          <w:szCs w:val="21"/>
          <w:highlight w:val="none"/>
        </w:rPr>
        <w:t>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3902BC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3B5C524B">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14:paraId="5A49073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0571A05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（一）组建评标委员会</w:t>
      </w:r>
    </w:p>
    <w:p w14:paraId="6874D9A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评标委员会由采购人代表和评审专家组成，成员人数为5人以上单数，其中评审专家不得少于成员总数的三分之二。</w:t>
      </w:r>
    </w:p>
    <w:p w14:paraId="25941E8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（二）评标程序</w:t>
      </w:r>
    </w:p>
    <w:p w14:paraId="748CCF2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14:paraId="56C976C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1BF61226">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2、符合性审查</w:t>
      </w:r>
    </w:p>
    <w:p w14:paraId="62C4D4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DC86EA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3、综合比较与评价</w:t>
      </w:r>
    </w:p>
    <w:p w14:paraId="2195D0B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14:paraId="145C30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056654D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（3）评标时，评标委员会各成员应当独立对每个投标人的投标文件进行评价，并汇总每个投标人的得分。</w:t>
      </w:r>
    </w:p>
    <w:p w14:paraId="378823F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4、得分确认及评审报告编写</w:t>
      </w:r>
    </w:p>
    <w:p w14:paraId="10BA11C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（1）评标委员会对报价文件进行复核，对于系统计算出的价格分及总得分进行确认；</w:t>
      </w:r>
    </w:p>
    <w:p w14:paraId="154BFB3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625AC00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（3）评标委员会按评标原则及得分情况编写评审报告。</w:t>
      </w:r>
    </w:p>
    <w:p w14:paraId="6FC26A8F">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5、评价</w:t>
      </w:r>
    </w:p>
    <w:p w14:paraId="2C3DEC4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采购组织机构对评标委员会评审专家进行评价。</w:t>
      </w:r>
    </w:p>
    <w:p w14:paraId="1B9CD55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（三）澄清问题的形式</w:t>
      </w:r>
    </w:p>
    <w:p w14:paraId="75A46E5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，并不得超出投标文件的范围或者改变投标文件的实质性内容。</w:t>
      </w:r>
    </w:p>
    <w:p w14:paraId="5F91CE0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（四）错误修正</w:t>
      </w:r>
    </w:p>
    <w:p w14:paraId="5E261E9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投标文件报价出现前后不一致的，除招标文件另有规定外，按照下列规定修正：</w:t>
      </w:r>
    </w:p>
    <w:p w14:paraId="178D98D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r>
        <w:rPr>
          <w:rFonts w:hint="eastAsia" w:ascii="宋体" w:hAnsi="宋体" w:eastAsia="宋体" w:cs="宋体"/>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Cs w:val="21"/>
          <w:highlight w:val="none"/>
        </w:rPr>
        <w:t>；</w:t>
      </w:r>
    </w:p>
    <w:p w14:paraId="7B5FB67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18A804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00D5401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70C45B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同时出现两种以上不一致的，按照前款规定的顺序修正。修正应当采用书面形式，并加盖公章，或者由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Cs w:val="21"/>
          <w:highlight w:val="none"/>
        </w:rPr>
        <w:t>的，其投标无效。</w:t>
      </w:r>
    </w:p>
    <w:p w14:paraId="27F571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（五）投标人存在下列情况之一的，投标无效</w:t>
      </w:r>
    </w:p>
    <w:p w14:paraId="33406E8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7A1166D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2、不具备招标文件中规定的资格要求的。</w:t>
      </w:r>
      <w:r>
        <w:rPr>
          <w:rFonts w:hint="eastAsia" w:ascii="宋体" w:hAnsi="宋体" w:eastAsia="宋体" w:cs="宋体"/>
          <w:color w:val="auto"/>
          <w:szCs w:val="21"/>
          <w:highlight w:val="none"/>
        </w:rPr>
        <w:tab/>
      </w:r>
    </w:p>
    <w:p w14:paraId="31FC295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3、投标文件含有采购人不能接受的附加条件的。</w:t>
      </w:r>
    </w:p>
    <w:p w14:paraId="7F88288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4、投标人的授权委托代理人未能出具身份证明或与法定代表人授权委托人身份不符的；</w:t>
      </w:r>
    </w:p>
    <w:p w14:paraId="35FAEF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5、投标人的电子投标文件无法按时解密的。</w:t>
      </w:r>
    </w:p>
    <w:p w14:paraId="0A1B7B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6、电子投标文件解密失败的，且未在规定时间内提交备份投标文件的；</w:t>
      </w:r>
    </w:p>
    <w:p w14:paraId="7E8EDA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7、电子投标文件未按规定要求提供电子签章的；</w:t>
      </w:r>
    </w:p>
    <w:p w14:paraId="408575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1F066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9、报价超过招标文件中规定的预算价/最高限(单)价。 </w:t>
      </w:r>
    </w:p>
    <w:p w14:paraId="0947CE2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10、投标参数未如实填写，完全复制粘贴招标参数的。</w:t>
      </w:r>
    </w:p>
    <w:p w14:paraId="438288A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11、投标文件提供虚假材料的。 </w:t>
      </w:r>
    </w:p>
    <w:p w14:paraId="76ADAD0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12、不符合中华人民共和国财政部令第87号《政府采购货物和服务招标投标管理办法》第三十七条情形之一的，视为投标人串通投标，其投标无效，并移送采购监管部门：</w:t>
      </w:r>
    </w:p>
    <w:p w14:paraId="0C0EC0D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6912F1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21ADBE3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258FCC8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45A961B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308FD9B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、不符合法律、法规和招标文件中规定的其他实质性要求的（招标文件中打“▲”内容及被拒绝的条款）。</w:t>
      </w:r>
    </w:p>
    <w:p w14:paraId="5EE7A27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（六）有下列情况之一的，本次招标作为废标处理</w:t>
      </w:r>
    </w:p>
    <w:p w14:paraId="116F870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1、出现影响采购公正的违法、违规行为的；</w:t>
      </w:r>
    </w:p>
    <w:p w14:paraId="039CE59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2、评标委员会发现招标文件存在歧义、重大缺陷导致评标工作无法进行，或者招标文件内容违反国家有关强制性规定的；</w:t>
      </w:r>
    </w:p>
    <w:p w14:paraId="12F0022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3、因重大变故，采购任务取消的；</w:t>
      </w:r>
    </w:p>
    <w:p w14:paraId="4DA7CEB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4、法律、法规和招标文件规定的其他导致评标结果无效的。</w:t>
      </w:r>
    </w:p>
    <w:p w14:paraId="3AF10DB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（七）评标原则和评标办法</w:t>
      </w:r>
    </w:p>
    <w:p w14:paraId="57F623B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0D1A4E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2、评标办法。具体评标内容及评分标准等详见《第三章：评标</w:t>
      </w:r>
      <w:r>
        <w:rPr>
          <w:rFonts w:hint="eastAsia" w:ascii="宋体" w:hAnsi="宋体" w:cs="宋体"/>
          <w:color w:val="auto"/>
          <w:szCs w:val="21"/>
          <w:highlight w:val="none"/>
          <w:lang w:val="en-US" w:eastAsia="zh-CN"/>
        </w:rPr>
        <w:t>办</w:t>
      </w:r>
      <w:r>
        <w:rPr>
          <w:rFonts w:hint="eastAsia" w:ascii="宋体" w:hAnsi="宋体" w:eastAsia="宋体" w:cs="宋体"/>
          <w:color w:val="auto"/>
          <w:szCs w:val="21"/>
          <w:highlight w:val="none"/>
        </w:rPr>
        <w:t>法及评分标准》。</w:t>
      </w:r>
    </w:p>
    <w:p w14:paraId="21E9176A">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（八）评标过程的监控</w:t>
      </w:r>
    </w:p>
    <w:p w14:paraId="3FDCAB5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14:paraId="24969C05">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六、定标</w:t>
      </w:r>
    </w:p>
    <w:p w14:paraId="20F3FA9B">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EED3C4C">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2541B23D">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3、发出中标通知书。采购组织机构在发布中标结果的同时，向中标人发出中标通知书。</w:t>
      </w:r>
    </w:p>
    <w:p w14:paraId="5B24F4B3">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0BBBA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招标代理费：按照《国家发展改革委关于进一步放开建设项目专业服务价格的通知》（发改价格2015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E50CB3B">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474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190C72D3">
            <w:pPr>
              <w:keepNext w:val="0"/>
              <w:keepLines w:val="0"/>
              <w:pageBreakBefore w:val="0"/>
              <w:kinsoku/>
              <w:wordWrap/>
              <w:overflowPunct/>
              <w:topLinePunct w:val="0"/>
              <w:bidi w:val="0"/>
              <w:ind w:firstLine="1470"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0471526">
            <w:pPr>
              <w:keepNext w:val="0"/>
              <w:keepLines w:val="0"/>
              <w:pageBreakBefore w:val="0"/>
              <w:kinsoku/>
              <w:wordWrap/>
              <w:overflowPunct/>
              <w:topLinePunct w:val="0"/>
              <w:bidi w:val="0"/>
              <w:ind w:firstLine="1054" w:firstLineChars="5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666FF647">
            <w:pPr>
              <w:keepNext w:val="0"/>
              <w:keepLines w:val="0"/>
              <w:pageBreakBefore w:val="0"/>
              <w:kinsoku/>
              <w:wordWrap/>
              <w:overflowPunct/>
              <w:topLinePunct w:val="0"/>
              <w:bidi w:val="0"/>
              <w:ind w:firstLine="1476"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5B34690">
            <w:pPr>
              <w:keepNext w:val="0"/>
              <w:keepLines w:val="0"/>
              <w:pageBreakBefore w:val="0"/>
              <w:kinsoku/>
              <w:wordWrap/>
              <w:overflowPunct/>
              <w:topLinePunct w:val="0"/>
              <w:bidi w:val="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19DECAC">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r>
      <w:tr w14:paraId="463A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14DB827">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1D0324F">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69E5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81EC314">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ACB332C">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14:paraId="1B3B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261ADD">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DF9131F">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768B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464DF2B">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3A9E25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058B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CC91F6">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B090D16">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7BB9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344F0C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07644688">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8C7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227750CC">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5B731FA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61175F0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七、合同签订及公告</w:t>
      </w:r>
    </w:p>
    <w:p w14:paraId="2CA3F5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（一）签订合同</w:t>
      </w:r>
    </w:p>
    <w:p w14:paraId="2B014FC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1、采购人应当自中标通知书发出之日起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日内，按照招标文件和中标人投标文件的规定，与中标人签订书面合同。所签订的合同不得对招标文件确定的事项和中标人投标文件作实质性修改。</w:t>
      </w:r>
    </w:p>
    <w:p w14:paraId="0DCC4F4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2、采购人不得向中标人提出任何不合理的要求作为签订合同的条件。</w:t>
      </w:r>
    </w:p>
    <w:p w14:paraId="19FFE84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3、中标供应商无故拖延、拒签合同的,取消中标资格。</w:t>
      </w:r>
    </w:p>
    <w:p w14:paraId="6EE121B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CC1C60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14:paraId="179593A7">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（二）合同公告及备案</w:t>
      </w:r>
    </w:p>
    <w:p w14:paraId="454699F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14:paraId="1FF421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14:paraId="2B355EEF">
      <w:pPr>
        <w:spacing w:line="360" w:lineRule="auto"/>
        <w:rPr>
          <w:rFonts w:hint="eastAsia" w:ascii="宋体" w:hAnsi="宋体" w:eastAsia="宋体" w:cs="宋体"/>
          <w:b/>
          <w:color w:val="auto"/>
          <w:sz w:val="36"/>
          <w:szCs w:val="36"/>
          <w:highlight w:val="none"/>
        </w:rPr>
      </w:pPr>
    </w:p>
    <w:p w14:paraId="40E2631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66FBC7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63377C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一、采购组织机构将组织评标委员会，对投标人提供的投标文件进行综合评审。</w:t>
      </w:r>
    </w:p>
    <w:p w14:paraId="41A0FB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二、本次招标项目的评标方法为综合评分法，总计100分，其中</w:t>
      </w:r>
      <w:r>
        <w:rPr>
          <w:rFonts w:hint="eastAsia" w:ascii="宋体" w:hAnsi="宋体" w:eastAsia="宋体" w:cs="宋体"/>
          <w:color w:val="auto"/>
          <w:szCs w:val="21"/>
          <w:highlight w:val="none"/>
          <w:lang w:val="zh-CN"/>
        </w:rPr>
        <w:t>商务技术文件分值</w:t>
      </w:r>
      <w:r>
        <w:rPr>
          <w:rFonts w:hint="eastAsia" w:ascii="宋体" w:hAnsi="宋体" w:cs="宋体"/>
          <w:color w:val="auto"/>
          <w:szCs w:val="21"/>
          <w:highlight w:val="none"/>
          <w:lang w:val="en-US" w:eastAsia="zh-CN"/>
        </w:rPr>
        <w:t>70</w:t>
      </w:r>
      <w:r>
        <w:rPr>
          <w:rFonts w:hint="eastAsia" w:ascii="宋体" w:hAnsi="宋体" w:eastAsia="宋体" w:cs="宋体"/>
          <w:color w:val="auto"/>
          <w:szCs w:val="21"/>
          <w:highlight w:val="none"/>
          <w:lang w:val="zh-CN"/>
        </w:rPr>
        <w:t>分，投标报价分值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。评标标准按评分细化条款及分值进行评审。</w:t>
      </w:r>
    </w:p>
    <w:p w14:paraId="175F28F1">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w:t>
      </w:r>
      <w:r>
        <w:rPr>
          <w:rFonts w:hint="eastAsia" w:ascii="宋体" w:hAnsi="宋体" w:eastAsia="宋体" w:cs="宋体"/>
          <w:color w:val="auto"/>
          <w:szCs w:val="21"/>
          <w:highlight w:val="none"/>
          <w:lang w:val="zh-CN"/>
        </w:rPr>
        <w:t>）商务技术文件中的客观分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Cs w:val="21"/>
          <w:highlight w:val="none"/>
          <w:lang w:val="zh-CN"/>
        </w:rPr>
        <w:t>其余在规定的分值内单独评定打分</w:t>
      </w:r>
      <w:r>
        <w:rPr>
          <w:rFonts w:hint="eastAsia" w:ascii="宋体" w:hAnsi="宋体" w:eastAsia="宋体" w:cs="宋体"/>
          <w:color w:val="auto"/>
          <w:szCs w:val="21"/>
          <w:highlight w:val="none"/>
        </w:rPr>
        <w:t>（小数点后保留1位）</w:t>
      </w:r>
      <w:r>
        <w:rPr>
          <w:rFonts w:hint="eastAsia" w:ascii="宋体" w:hAnsi="宋体" w:eastAsia="宋体" w:cs="宋体"/>
          <w:color w:val="auto"/>
          <w:szCs w:val="21"/>
          <w:highlight w:val="none"/>
          <w:lang w:val="zh-CN"/>
        </w:rPr>
        <w:t>。</w:t>
      </w:r>
    </w:p>
    <w:p w14:paraId="4C5AB147">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Cs w:val="21"/>
          <w:highlight w:val="none"/>
        </w:rPr>
        <w:t>（小数点后保留2位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，计算公式为：</w:t>
      </w:r>
    </w:p>
    <w:p w14:paraId="7A96047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商务技术文件</w:t>
      </w:r>
      <w:r>
        <w:rPr>
          <w:rFonts w:hint="eastAsia" w:ascii="宋体" w:hAnsi="宋体" w:eastAsia="宋体" w:cs="宋体"/>
          <w:color w:val="auto"/>
          <w:szCs w:val="21"/>
          <w:highlight w:val="none"/>
        </w:rPr>
        <w:t>得分</w:t>
      </w:r>
      <w:r>
        <w:rPr>
          <w:rFonts w:hint="eastAsia" w:ascii="宋体" w:hAnsi="宋体" w:eastAsia="宋体" w:cs="宋体"/>
          <w:color w:val="auto"/>
          <w:szCs w:val="21"/>
          <w:highlight w:val="none"/>
          <w:lang w:val="zh-CN"/>
        </w:rPr>
        <w:t>=评标委员会所有成员评分合计数/评标委员会组成人员数。</w:t>
      </w:r>
    </w:p>
    <w:p w14:paraId="63302269">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（三）投标报价得分采用低价优先法计算</w:t>
      </w:r>
      <w:r>
        <w:rPr>
          <w:rFonts w:hint="eastAsia" w:ascii="宋体" w:hAnsi="宋体" w:eastAsia="宋体" w:cs="宋体"/>
          <w:color w:val="auto"/>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，即满足招标文件要求且投标价格最低的投标报价为评标基准价，其报价得满分。其他投标人的投标报价得分按下列公式计算：</w:t>
      </w:r>
    </w:p>
    <w:p w14:paraId="5EA29677">
      <w:pPr>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投标报价得分=(评标基准价／投标报价)×</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val="zh-CN"/>
        </w:rPr>
        <w:t>%×100 。</w:t>
      </w:r>
    </w:p>
    <w:p w14:paraId="6250CFE3">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（四）投标人综合得分＝商务技术文件得分＋投标报价得分。</w:t>
      </w:r>
    </w:p>
    <w:p w14:paraId="1214A68C">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（五）政府采购政策及优惠：</w:t>
      </w:r>
    </w:p>
    <w:p w14:paraId="0C32A33D">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关于小型、微型企业（简称小微企业）投标：①根据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14:paraId="27C1DB7E">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752FE1C4">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268851A2">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7EC45639">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0B1AD3DA">
      <w:pPr>
        <w:pStyle w:val="9"/>
        <w:spacing w:line="360" w:lineRule="auto"/>
        <w:ind w:firstLine="562" w:firstLineChars="200"/>
        <w:jc w:val="left"/>
        <w:rPr>
          <w:rFonts w:hint="eastAsia" w:ascii="宋体" w:hAnsi="宋体" w:eastAsia="宋体" w:cs="宋体"/>
          <w:color w:val="auto"/>
          <w:szCs w:val="21"/>
          <w:highlight w:val="none"/>
          <w:lang w:val="zh-CN"/>
        </w:rPr>
      </w:pPr>
      <w:r>
        <w:rPr>
          <w:rFonts w:hint="eastAsia" w:ascii="宋体" w:hAnsi="宋体" w:eastAsia="宋体" w:cs="宋体"/>
          <w:b/>
          <w:bCs/>
          <w:color w:val="auto"/>
          <w:sz w:val="28"/>
          <w:szCs w:val="28"/>
          <w:highlight w:val="none"/>
          <w:u w:val="single"/>
        </w:rPr>
        <w:t>*</w:t>
      </w:r>
      <w:r>
        <w:rPr>
          <w:rFonts w:hint="eastAsia" w:ascii="宋体" w:hAnsi="宋体" w:eastAsia="宋体" w:cs="宋体"/>
          <w:b/>
          <w:bCs/>
          <w:color w:val="auto"/>
          <w:szCs w:val="21"/>
          <w:highlight w:val="none"/>
          <w:u w:val="single"/>
          <w:lang w:val="zh-CN"/>
        </w:rPr>
        <w:t>以上证明材料不提供或提供不全的视为自动放弃优惠政策。</w:t>
      </w:r>
    </w:p>
    <w:p w14:paraId="79771D71">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文件实质性要求前提下，</w:t>
      </w: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文件中规定的各项因素进行综合评审后，以评审总得分最高的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en-US" w:eastAsia="zh-CN"/>
        </w:rPr>
        <w:t>第一</w:t>
      </w:r>
      <w:r>
        <w:rPr>
          <w:rFonts w:hint="eastAsia" w:ascii="宋体" w:hAnsi="宋体" w:eastAsia="宋体" w:cs="宋体"/>
          <w:color w:val="auto"/>
          <w:szCs w:val="21"/>
          <w:highlight w:val="none"/>
        </w:rPr>
        <w:t>中标候选人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评审总得分</w:t>
      </w:r>
      <w:r>
        <w:rPr>
          <w:rFonts w:hint="eastAsia" w:ascii="宋体" w:hAnsi="宋体" w:cs="宋体"/>
          <w:color w:val="auto"/>
          <w:szCs w:val="21"/>
          <w:highlight w:val="none"/>
          <w:lang w:val="en-US" w:eastAsia="zh-CN"/>
        </w:rPr>
        <w:t>次</w:t>
      </w:r>
      <w:r>
        <w:rPr>
          <w:rFonts w:hint="eastAsia" w:ascii="宋体" w:hAnsi="宋体" w:eastAsia="宋体" w:cs="宋体"/>
          <w:color w:val="auto"/>
          <w:szCs w:val="21"/>
          <w:highlight w:val="none"/>
          <w:lang w:val="zh-CN"/>
        </w:rPr>
        <w:t>高的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en-US" w:eastAsia="zh-CN"/>
        </w:rPr>
        <w:t>第二</w:t>
      </w:r>
      <w:r>
        <w:rPr>
          <w:rFonts w:hint="eastAsia" w:ascii="宋体" w:hAnsi="宋体" w:eastAsia="宋体" w:cs="宋体"/>
          <w:color w:val="auto"/>
          <w:szCs w:val="21"/>
          <w:highlight w:val="none"/>
        </w:rPr>
        <w:t>中标候选人</w:t>
      </w:r>
      <w:r>
        <w:rPr>
          <w:rFonts w:hint="eastAsia" w:ascii="宋体" w:hAnsi="宋体" w:eastAsia="宋体" w:cs="宋体"/>
          <w:color w:val="auto"/>
          <w:szCs w:val="21"/>
          <w:highlight w:val="none"/>
          <w:lang w:val="zh-CN"/>
        </w:rPr>
        <w:t>。</w:t>
      </w:r>
    </w:p>
    <w:p w14:paraId="40B668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40C8EB7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17DA43F4">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46C2F7F0">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14:paraId="6BC36F8E">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rPr>
        <w:t>评标打分标准表</w:t>
      </w:r>
      <w:r>
        <w:rPr>
          <w:rFonts w:hint="eastAsia" w:ascii="宋体" w:hAnsi="宋体" w:eastAsia="宋体" w:cs="宋体"/>
          <w:color w:val="auto"/>
          <w:szCs w:val="21"/>
          <w:highlight w:val="none"/>
          <w:lang w:val="zh-CN"/>
        </w:rPr>
        <w:t xml:space="preserve"> </w:t>
      </w:r>
    </w:p>
    <w:tbl>
      <w:tblPr>
        <w:tblStyle w:val="23"/>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8"/>
        <w:gridCol w:w="999"/>
        <w:gridCol w:w="6590"/>
        <w:gridCol w:w="675"/>
      </w:tblGrid>
      <w:tr w14:paraId="7B5F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jc w:val="center"/>
        </w:trPr>
        <w:tc>
          <w:tcPr>
            <w:tcW w:w="1837" w:type="dxa"/>
            <w:gridSpan w:val="2"/>
            <w:vAlign w:val="center"/>
          </w:tcPr>
          <w:p w14:paraId="1B817BC6">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6590" w:type="dxa"/>
            <w:vAlign w:val="center"/>
          </w:tcPr>
          <w:p w14:paraId="3C0666FA">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675" w:type="dxa"/>
            <w:vAlign w:val="center"/>
          </w:tcPr>
          <w:p w14:paraId="0910318F">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14:paraId="18EB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jc w:val="center"/>
        </w:trPr>
        <w:tc>
          <w:tcPr>
            <w:tcW w:w="838" w:type="dxa"/>
            <w:vMerge w:val="restart"/>
            <w:vAlign w:val="center"/>
          </w:tcPr>
          <w:p w14:paraId="70AA2D21">
            <w:pPr>
              <w:widowControl/>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商务分</w:t>
            </w:r>
          </w:p>
          <w:p w14:paraId="00647BAA">
            <w:pP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p>
        </w:tc>
        <w:tc>
          <w:tcPr>
            <w:tcW w:w="999" w:type="dxa"/>
            <w:vAlign w:val="center"/>
          </w:tcPr>
          <w:p w14:paraId="384AACB1">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承接经验</w:t>
            </w:r>
          </w:p>
        </w:tc>
        <w:tc>
          <w:tcPr>
            <w:tcW w:w="6590" w:type="dxa"/>
            <w:vAlign w:val="center"/>
          </w:tcPr>
          <w:p w14:paraId="23C7740B">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投标人自2022年1月1日以来（以合同签订时间为准），承接过</w:t>
            </w:r>
            <w:r>
              <w:rPr>
                <w:rFonts w:hint="eastAsia" w:ascii="宋体" w:hAnsi="宋体" w:eastAsia="宋体" w:cs="宋体"/>
                <w:color w:val="auto"/>
                <w:szCs w:val="21"/>
                <w:highlight w:val="none"/>
              </w:rPr>
              <w:t>类似</w:t>
            </w:r>
            <w:r>
              <w:rPr>
                <w:rFonts w:hint="eastAsia" w:ascii="宋体" w:hAnsi="宋体" w:eastAsia="宋体" w:cs="宋体"/>
                <w:color w:val="auto"/>
                <w:kern w:val="2"/>
                <w:sz w:val="21"/>
                <w:szCs w:val="21"/>
                <w:highlight w:val="none"/>
                <w:lang w:val="en-US" w:eastAsia="zh-CN" w:bidi="ar-SA"/>
              </w:rPr>
              <w:t>文物保护单位</w:t>
            </w:r>
            <w:r>
              <w:rPr>
                <w:rFonts w:hint="eastAsia" w:ascii="宋体" w:hAnsi="宋体" w:eastAsia="宋体" w:cs="宋体"/>
                <w:color w:val="auto"/>
                <w:szCs w:val="21"/>
                <w:highlight w:val="none"/>
              </w:rPr>
              <w:t>安防项目的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每提供1</w:t>
            </w:r>
            <w:r>
              <w:rPr>
                <w:rFonts w:hint="eastAsia" w:ascii="宋体" w:hAnsi="宋体" w:eastAsia="宋体" w:cs="宋体"/>
                <w:color w:val="auto"/>
                <w:kern w:val="2"/>
                <w:sz w:val="21"/>
                <w:szCs w:val="21"/>
                <w:highlight w:val="none"/>
                <w:lang w:val="en-US" w:eastAsia="zh-CN" w:bidi="ar-SA"/>
              </w:rPr>
              <w:t>个合同得0.5</w:t>
            </w:r>
            <w:r>
              <w:rPr>
                <w:rFonts w:hint="eastAsia" w:ascii="宋体" w:hAnsi="宋体" w:eastAsia="宋体" w:cs="宋体"/>
                <w:color w:val="auto"/>
                <w:szCs w:val="21"/>
                <w:highlight w:val="none"/>
                <w:lang w:val="en-US" w:eastAsia="zh-CN"/>
              </w:rPr>
              <w:t>分，本项最高得3分。</w:t>
            </w:r>
          </w:p>
          <w:p w14:paraId="3187091D">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（须提供</w:t>
            </w:r>
            <w:r>
              <w:rPr>
                <w:rFonts w:hint="eastAsia" w:ascii="宋体" w:hAnsi="宋体" w:eastAsia="宋体" w:cs="宋体"/>
                <w:b/>
                <w:bCs/>
                <w:color w:val="auto"/>
                <w:szCs w:val="21"/>
                <w:highlight w:val="none"/>
                <w:lang w:val="en-US" w:eastAsia="zh-CN"/>
              </w:rPr>
              <w:t>有效的合同、</w:t>
            </w:r>
            <w:r>
              <w:rPr>
                <w:rFonts w:hint="eastAsia" w:ascii="宋体" w:hAnsi="宋体" w:eastAsia="宋体" w:cs="宋体"/>
                <w:b/>
                <w:bCs/>
                <w:color w:val="auto"/>
                <w:szCs w:val="21"/>
                <w:highlight w:val="none"/>
                <w:lang w:val="en-US" w:eastAsia="zh-CN"/>
              </w:rPr>
              <w:t>省文物局</w:t>
            </w:r>
            <w:r>
              <w:rPr>
                <w:rFonts w:hint="eastAsia" w:ascii="宋体" w:hAnsi="宋体" w:eastAsia="宋体" w:cs="宋体"/>
                <w:b/>
                <w:bCs/>
                <w:color w:val="auto"/>
                <w:szCs w:val="21"/>
                <w:highlight w:val="none"/>
                <w:lang w:val="en-US" w:eastAsia="zh-CN"/>
              </w:rPr>
              <w:t>验收通过的</w:t>
            </w:r>
            <w:r>
              <w:rPr>
                <w:rFonts w:hint="eastAsia" w:ascii="宋体" w:hAnsi="宋体" w:cs="宋体"/>
                <w:b/>
                <w:bCs/>
                <w:color w:val="auto"/>
                <w:szCs w:val="21"/>
                <w:highlight w:val="none"/>
                <w:lang w:val="en-US" w:eastAsia="zh-CN"/>
              </w:rPr>
              <w:t>批复</w:t>
            </w:r>
            <w:r>
              <w:rPr>
                <w:rFonts w:hint="eastAsia" w:ascii="宋体" w:hAnsi="宋体" w:eastAsia="宋体" w:cs="宋体"/>
                <w:b/>
                <w:bCs/>
                <w:color w:val="auto"/>
                <w:szCs w:val="21"/>
                <w:highlight w:val="none"/>
                <w:lang w:val="en-US" w:eastAsia="zh-CN"/>
              </w:rPr>
              <w:t>文件</w:t>
            </w:r>
            <w:r>
              <w:rPr>
                <w:rFonts w:hint="eastAsia" w:ascii="宋体" w:hAnsi="宋体" w:eastAsia="宋体" w:cs="宋体"/>
                <w:b/>
                <w:bCs/>
                <w:color w:val="auto"/>
                <w:szCs w:val="21"/>
                <w:highlight w:val="none"/>
                <w:lang w:val="en-US" w:eastAsia="zh-CN"/>
              </w:rPr>
              <w:t>扫描件并加盖投标人公章编入投标文件中，未提供或提供不全的不得分）</w:t>
            </w:r>
          </w:p>
        </w:tc>
        <w:tc>
          <w:tcPr>
            <w:tcW w:w="675" w:type="dxa"/>
            <w:vAlign w:val="center"/>
          </w:tcPr>
          <w:p w14:paraId="6280B7E3">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14:paraId="1E4D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3" w:hRule="atLeast"/>
          <w:jc w:val="center"/>
        </w:trPr>
        <w:tc>
          <w:tcPr>
            <w:tcW w:w="838" w:type="dxa"/>
            <w:vMerge w:val="continue"/>
            <w:vAlign w:val="center"/>
          </w:tcPr>
          <w:p w14:paraId="0FB4A946">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46493D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6590" w:type="dxa"/>
            <w:vAlign w:val="center"/>
          </w:tcPr>
          <w:p w14:paraId="1A064AE2">
            <w:pPr>
              <w:tabs>
                <w:tab w:val="left" w:pos="2061"/>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拟派的项目负责人具有一级建造师（机电工程专业）和高级电气工程师的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每提供一本证书得2分，本项最高得4分</w:t>
            </w:r>
            <w:r>
              <w:rPr>
                <w:rFonts w:hint="eastAsia" w:ascii="宋体" w:hAnsi="宋体" w:eastAsia="宋体" w:cs="宋体"/>
                <w:color w:val="auto"/>
                <w:szCs w:val="21"/>
                <w:highlight w:val="none"/>
              </w:rPr>
              <w:t>。</w:t>
            </w:r>
          </w:p>
          <w:p w14:paraId="1F818E8A">
            <w:pPr>
              <w:widowControl/>
              <w:spacing w:line="288"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（提供相关证书</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rPr>
              <w:t>以及投标人为上述人员近3个月社保缴纳证明材料(如为社会保险机构盖章的网上打印件亦可)</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加盖投标人公章</w:t>
            </w:r>
            <w:r>
              <w:rPr>
                <w:rFonts w:hint="eastAsia" w:ascii="宋体" w:hAnsi="宋体" w:eastAsia="宋体" w:cs="宋体"/>
                <w:b/>
                <w:bCs/>
                <w:color w:val="auto"/>
                <w:szCs w:val="21"/>
                <w:highlight w:val="none"/>
                <w:lang w:val="en-US" w:eastAsia="zh-CN"/>
              </w:rPr>
              <w:t>编入投标文件中，未提供或提供不全的不得分</w:t>
            </w:r>
            <w:r>
              <w:rPr>
                <w:rFonts w:hint="eastAsia" w:ascii="宋体" w:hAnsi="宋体" w:eastAsia="宋体" w:cs="宋体"/>
                <w:b/>
                <w:bCs/>
                <w:color w:val="auto"/>
                <w:szCs w:val="21"/>
                <w:highlight w:val="none"/>
              </w:rPr>
              <w:t>）</w:t>
            </w:r>
          </w:p>
        </w:tc>
        <w:tc>
          <w:tcPr>
            <w:tcW w:w="675" w:type="dxa"/>
            <w:vAlign w:val="center"/>
          </w:tcPr>
          <w:p w14:paraId="1D180100">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14:paraId="2022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3" w:hRule="atLeast"/>
          <w:jc w:val="center"/>
        </w:trPr>
        <w:tc>
          <w:tcPr>
            <w:tcW w:w="838" w:type="dxa"/>
            <w:vMerge w:val="continue"/>
            <w:vAlign w:val="center"/>
          </w:tcPr>
          <w:p w14:paraId="2B3016C0">
            <w:pPr>
              <w:spacing w:line="360" w:lineRule="auto"/>
              <w:jc w:val="center"/>
              <w:textAlignment w:val="center"/>
              <w:rPr>
                <w:rFonts w:hint="eastAsia" w:ascii="宋体" w:hAnsi="宋体" w:eastAsia="宋体" w:cs="宋体"/>
                <w:bCs/>
                <w:color w:val="auto"/>
                <w:szCs w:val="21"/>
                <w:highlight w:val="none"/>
              </w:rPr>
            </w:pPr>
          </w:p>
        </w:tc>
        <w:tc>
          <w:tcPr>
            <w:tcW w:w="999" w:type="dxa"/>
            <w:vAlign w:val="center"/>
          </w:tcPr>
          <w:p w14:paraId="6977B5B9">
            <w:pPr>
              <w:jc w:val="center"/>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项目组成员情况</w:t>
            </w:r>
          </w:p>
        </w:tc>
        <w:tc>
          <w:tcPr>
            <w:tcW w:w="6590" w:type="dxa"/>
            <w:vAlign w:val="center"/>
          </w:tcPr>
          <w:p w14:paraId="718B025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拟派项目团队</w:t>
            </w:r>
            <w:r>
              <w:rPr>
                <w:rFonts w:hint="eastAsia" w:ascii="宋体" w:hAnsi="宋体" w:cs="宋体"/>
                <w:color w:val="auto"/>
                <w:szCs w:val="21"/>
                <w:highlight w:val="none"/>
                <w:lang w:val="en-US" w:eastAsia="zh-CN"/>
              </w:rPr>
              <w:t>成</w:t>
            </w:r>
            <w:r>
              <w:rPr>
                <w:rFonts w:hint="eastAsia" w:ascii="宋体" w:hAnsi="宋体" w:eastAsia="宋体" w:cs="宋体"/>
                <w:color w:val="auto"/>
                <w:szCs w:val="21"/>
                <w:highlight w:val="none"/>
              </w:rPr>
              <w:t>员中（项目</w:t>
            </w:r>
            <w:r>
              <w:rPr>
                <w:rFonts w:hint="eastAsia" w:ascii="宋体" w:hAnsi="宋体" w:cs="宋体"/>
                <w:color w:val="auto"/>
                <w:szCs w:val="21"/>
                <w:highlight w:val="none"/>
                <w:lang w:val="en-US" w:eastAsia="zh-CN"/>
              </w:rPr>
              <w:t>负责人除</w:t>
            </w:r>
            <w:r>
              <w:rPr>
                <w:rFonts w:hint="eastAsia" w:ascii="宋体" w:hAnsi="宋体" w:eastAsia="宋体" w:cs="宋体"/>
                <w:color w:val="auto"/>
                <w:szCs w:val="21"/>
                <w:highlight w:val="none"/>
              </w:rPr>
              <w:t>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具有中级及以上工程师证的每</w:t>
            </w:r>
            <w:r>
              <w:rPr>
                <w:rFonts w:hint="eastAsia" w:ascii="宋体" w:hAnsi="宋体" w:cs="宋体"/>
                <w:color w:val="auto"/>
                <w:szCs w:val="21"/>
                <w:highlight w:val="none"/>
                <w:lang w:val="en-US" w:eastAsia="zh-CN"/>
              </w:rPr>
              <w:t>提供1</w:t>
            </w:r>
            <w:r>
              <w:rPr>
                <w:rFonts w:hint="eastAsia" w:ascii="宋体" w:hAnsi="宋体" w:eastAsia="宋体" w:cs="宋体"/>
                <w:color w:val="auto"/>
                <w:szCs w:val="21"/>
                <w:highlight w:val="none"/>
              </w:rPr>
              <w:t>个得0.5分，</w:t>
            </w:r>
            <w:r>
              <w:rPr>
                <w:rFonts w:hint="eastAsia" w:ascii="宋体" w:hAnsi="宋体" w:cs="宋体"/>
                <w:color w:val="auto"/>
                <w:szCs w:val="21"/>
                <w:highlight w:val="none"/>
                <w:lang w:val="en-US" w:eastAsia="zh-CN"/>
              </w:rPr>
              <w:t>本项</w:t>
            </w:r>
            <w:r>
              <w:rPr>
                <w:rFonts w:hint="eastAsia" w:ascii="宋体" w:hAnsi="宋体" w:eastAsia="宋体" w:cs="宋体"/>
                <w:color w:val="auto"/>
                <w:szCs w:val="21"/>
                <w:highlight w:val="none"/>
              </w:rPr>
              <w:t>最</w:t>
            </w:r>
            <w:r>
              <w:rPr>
                <w:rFonts w:hint="eastAsia" w:ascii="宋体" w:hAnsi="宋体" w:cs="宋体"/>
                <w:color w:val="auto"/>
                <w:szCs w:val="21"/>
                <w:highlight w:val="none"/>
                <w:lang w:val="en-US" w:eastAsia="zh-CN"/>
              </w:rPr>
              <w:t>高得</w:t>
            </w:r>
            <w:r>
              <w:rPr>
                <w:rFonts w:hint="eastAsia" w:ascii="宋体" w:hAnsi="宋体" w:eastAsia="宋体" w:cs="宋体"/>
                <w:color w:val="auto"/>
                <w:szCs w:val="21"/>
                <w:highlight w:val="none"/>
              </w:rPr>
              <w:t>2分。</w:t>
            </w:r>
          </w:p>
          <w:p w14:paraId="0E850384">
            <w:pPr>
              <w:adjustRightInd w:val="0"/>
              <w:snapToGrid w:val="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（提供相关证书</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rPr>
              <w:t>以及投标人为上述人员近3个月社保缴纳证明材料(如为社会保险机构盖章的网上打印件亦可)</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加盖投标人公章</w:t>
            </w:r>
            <w:r>
              <w:rPr>
                <w:rFonts w:hint="eastAsia" w:ascii="宋体" w:hAnsi="宋体" w:eastAsia="宋体" w:cs="宋体"/>
                <w:b/>
                <w:bCs/>
                <w:color w:val="auto"/>
                <w:szCs w:val="21"/>
                <w:highlight w:val="none"/>
                <w:lang w:val="en-US" w:eastAsia="zh-CN"/>
              </w:rPr>
              <w:t>编入投标文件中，未提供或提供不全的不得分</w:t>
            </w:r>
            <w:r>
              <w:rPr>
                <w:rFonts w:hint="eastAsia" w:ascii="宋体" w:hAnsi="宋体" w:eastAsia="宋体" w:cs="宋体"/>
                <w:b/>
                <w:bCs/>
                <w:color w:val="auto"/>
                <w:szCs w:val="21"/>
                <w:highlight w:val="none"/>
              </w:rPr>
              <w:t>）</w:t>
            </w:r>
          </w:p>
        </w:tc>
        <w:tc>
          <w:tcPr>
            <w:tcW w:w="675" w:type="dxa"/>
            <w:vAlign w:val="center"/>
          </w:tcPr>
          <w:p w14:paraId="3C27810C">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2</w:t>
            </w:r>
          </w:p>
        </w:tc>
      </w:tr>
      <w:tr w14:paraId="6876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38" w:type="dxa"/>
            <w:vMerge w:val="restart"/>
            <w:vAlign w:val="center"/>
          </w:tcPr>
          <w:p w14:paraId="0B6A5DEF">
            <w:pPr>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p w14:paraId="1FFB6BB0">
            <w:pP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61</w:t>
            </w:r>
            <w:r>
              <w:rPr>
                <w:rFonts w:hint="eastAsia" w:ascii="宋体" w:hAnsi="宋体" w:eastAsia="宋体" w:cs="宋体"/>
                <w:color w:val="auto"/>
                <w:highlight w:val="none"/>
              </w:rPr>
              <w:t>分）</w:t>
            </w:r>
          </w:p>
        </w:tc>
        <w:tc>
          <w:tcPr>
            <w:tcW w:w="999" w:type="dxa"/>
            <w:vAlign w:val="center"/>
          </w:tcPr>
          <w:p w14:paraId="7381F73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lang w:val="en-US" w:eastAsia="zh-CN"/>
              </w:rPr>
              <w:t>技术参数响应</w:t>
            </w:r>
          </w:p>
        </w:tc>
        <w:tc>
          <w:tcPr>
            <w:tcW w:w="6590" w:type="dxa"/>
            <w:vAlign w:val="center"/>
          </w:tcPr>
          <w:p w14:paraId="08BA57F5">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投标产品的技术参数和性能指标全部响应或满足招标文件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第四章 公开招标需求-</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采购清单</w:t>
            </w:r>
            <w:r>
              <w:rPr>
                <w:rFonts w:hint="eastAsia" w:ascii="宋体" w:hAnsi="宋体" w:eastAsia="宋体" w:cs="宋体"/>
                <w:color w:val="auto"/>
                <w:sz w:val="21"/>
                <w:szCs w:val="21"/>
                <w:highlight w:val="none"/>
                <w:lang w:val="en-US" w:eastAsia="zh-CN"/>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文博专用室外枪机</w:t>
            </w:r>
            <w:r>
              <w:rPr>
                <w:rFonts w:hint="eastAsia" w:ascii="宋体" w:hAnsi="宋体" w:eastAsia="宋体" w:cs="宋体"/>
                <w:b w:val="0"/>
                <w:bCs w:val="0"/>
                <w:color w:val="auto"/>
                <w:sz w:val="21"/>
                <w:szCs w:val="21"/>
                <w:highlight w:val="none"/>
                <w:lang w:val="en-US" w:eastAsia="zh-CN"/>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文博专用热成像筒机、监控机架式电源、64路NVR硬盘录像机、32路NVR硬盘录像机、8口工业级交换机、55寸拼接屏、24盘位磁盘阵列(含8T硬盘）</w:t>
            </w:r>
            <w:r>
              <w:rPr>
                <w:rFonts w:hint="eastAsia" w:ascii="宋体" w:hAnsi="宋体" w:eastAsia="宋体" w:cs="宋体"/>
                <w:b w:val="0"/>
                <w:bCs w:val="0"/>
                <w:color w:val="auto"/>
                <w:kern w:val="2"/>
                <w:sz w:val="21"/>
                <w:szCs w:val="21"/>
                <w:highlight w:val="none"/>
                <w:lang w:val="en-US" w:eastAsia="zh-CN" w:bidi="ar-SA"/>
              </w:rPr>
              <w:t>要求的得满分25分，</w:t>
            </w:r>
            <w:r>
              <w:rPr>
                <w:rFonts w:hint="eastAsia" w:ascii="宋体" w:hAnsi="宋体" w:eastAsia="宋体" w:cs="宋体"/>
                <w:color w:val="auto"/>
                <w:kern w:val="2"/>
                <w:sz w:val="21"/>
                <w:szCs w:val="21"/>
                <w:highlight w:val="none"/>
                <w:lang w:val="en-US" w:eastAsia="zh-CN" w:bidi="ar-SA"/>
              </w:rPr>
              <w:t>标“★”的为重要性指标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，不满足或负偏离的一项</w:t>
            </w:r>
            <w:r>
              <w:rPr>
                <w:rFonts w:hint="eastAsia" w:ascii="宋体" w:hAnsi="宋体" w:eastAsia="宋体" w:cs="宋体"/>
                <w:color w:val="auto"/>
                <w:kern w:val="2"/>
                <w:sz w:val="21"/>
                <w:szCs w:val="21"/>
                <w:highlight w:val="none"/>
                <w:lang w:val="en-US" w:eastAsia="zh-CN" w:bidi="ar-SA"/>
              </w:rPr>
              <w:t>扣</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，其他技术指标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不满足或负偏离的一项</w:t>
            </w:r>
            <w:r>
              <w:rPr>
                <w:rFonts w:hint="eastAsia" w:ascii="宋体" w:hAnsi="宋体" w:eastAsia="宋体" w:cs="宋体"/>
                <w:color w:val="auto"/>
                <w:kern w:val="2"/>
                <w:sz w:val="21"/>
                <w:szCs w:val="21"/>
                <w:highlight w:val="none"/>
                <w:lang w:val="en-US" w:eastAsia="zh-CN" w:bidi="ar-SA"/>
              </w:rPr>
              <w:t>扣</w:t>
            </w:r>
            <w:r>
              <w:rPr>
                <w:rFonts w:hint="eastAsia" w:ascii="宋体" w:hAnsi="宋体" w:cs="宋体"/>
                <w:color w:val="auto"/>
                <w:kern w:val="2"/>
                <w:sz w:val="21"/>
                <w:szCs w:val="21"/>
                <w:highlight w:val="none"/>
                <w:lang w:val="en-US" w:eastAsia="zh-CN" w:bidi="ar-SA"/>
              </w:rPr>
              <w:t>0.1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，扣完为止。</w:t>
            </w:r>
          </w:p>
          <w:p w14:paraId="50BECF91">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szCs w:val="21"/>
                <w:highlight w:val="none"/>
              </w:rPr>
            </w:pPr>
            <w:r>
              <w:rPr>
                <w:rFonts w:hint="eastAsia" w:ascii="宋体" w:hAnsi="宋体" w:cs="宋体"/>
                <w:b/>
                <w:bCs/>
                <w:color w:val="auto"/>
                <w:kern w:val="2"/>
                <w:sz w:val="21"/>
                <w:szCs w:val="21"/>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“采购清单”</w:t>
            </w:r>
            <w:r>
              <w:rPr>
                <w:rFonts w:hint="eastAsia" w:ascii="宋体" w:hAnsi="宋体" w:cs="宋体"/>
                <w:b/>
                <w:bCs/>
                <w:color w:val="auto"/>
                <w:kern w:val="2"/>
                <w:sz w:val="21"/>
                <w:szCs w:val="21"/>
                <w:highlight w:val="none"/>
                <w:lang w:val="en-US" w:eastAsia="zh-CN" w:bidi="ar-SA"/>
              </w:rPr>
              <w:t>中</w:t>
            </w:r>
            <w:r>
              <w:rPr>
                <w:rFonts w:hint="eastAsia" w:ascii="宋体" w:hAnsi="宋体" w:eastAsia="宋体" w:cs="宋体"/>
                <w:b/>
                <w:bCs/>
                <w:color w:val="auto"/>
                <w:kern w:val="2"/>
                <w:sz w:val="21"/>
                <w:szCs w:val="21"/>
                <w:highlight w:val="none"/>
                <w:lang w:val="en-US" w:eastAsia="zh-CN" w:bidi="ar-SA"/>
              </w:rPr>
              <w:t>要求提供证明材料</w:t>
            </w:r>
            <w:r>
              <w:rPr>
                <w:rFonts w:hint="eastAsia" w:ascii="宋体" w:hAnsi="宋体" w:cs="宋体"/>
                <w:b/>
                <w:bCs/>
                <w:color w:val="auto"/>
                <w:kern w:val="2"/>
                <w:sz w:val="21"/>
                <w:szCs w:val="21"/>
                <w:highlight w:val="none"/>
                <w:lang w:val="en-US" w:eastAsia="zh-CN" w:bidi="ar-SA"/>
              </w:rPr>
              <w:t>的</w:t>
            </w:r>
            <w:r>
              <w:rPr>
                <w:rFonts w:hint="eastAsia" w:ascii="宋体" w:hAnsi="宋体" w:eastAsia="宋体" w:cs="宋体"/>
                <w:b/>
                <w:bCs/>
                <w:color w:val="auto"/>
                <w:kern w:val="2"/>
                <w:sz w:val="21"/>
                <w:szCs w:val="21"/>
                <w:highlight w:val="none"/>
                <w:lang w:val="en-US" w:eastAsia="zh-CN" w:bidi="ar-SA"/>
              </w:rPr>
              <w:t>，缺少证明材料的统一视为负偏离</w:t>
            </w:r>
            <w:r>
              <w:rPr>
                <w:rFonts w:hint="eastAsia" w:ascii="宋体" w:hAnsi="宋体" w:cs="宋体"/>
                <w:b/>
                <w:bCs/>
                <w:color w:val="auto"/>
                <w:kern w:val="2"/>
                <w:sz w:val="21"/>
                <w:szCs w:val="21"/>
                <w:highlight w:val="none"/>
                <w:lang w:val="en-US" w:eastAsia="zh-CN" w:bidi="ar-SA"/>
              </w:rPr>
              <w:t>。</w:t>
            </w:r>
          </w:p>
        </w:tc>
        <w:tc>
          <w:tcPr>
            <w:tcW w:w="675" w:type="dxa"/>
            <w:vAlign w:val="center"/>
          </w:tcPr>
          <w:p w14:paraId="5E94F3E0">
            <w:pPr>
              <w:adjustRightInd w:val="0"/>
              <w:snapToGrid w:val="0"/>
              <w:jc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25</w:t>
            </w:r>
          </w:p>
        </w:tc>
      </w:tr>
      <w:tr w14:paraId="488B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9" w:hRule="atLeast"/>
          <w:jc w:val="center"/>
        </w:trPr>
        <w:tc>
          <w:tcPr>
            <w:tcW w:w="838" w:type="dxa"/>
            <w:vMerge w:val="continue"/>
            <w:vAlign w:val="center"/>
          </w:tcPr>
          <w:p w14:paraId="63EBF73D">
            <w:pPr>
              <w:rPr>
                <w:rFonts w:hint="eastAsia" w:ascii="宋体" w:hAnsi="宋体" w:eastAsia="宋体" w:cs="宋体"/>
                <w:color w:val="auto"/>
                <w:highlight w:val="none"/>
              </w:rPr>
            </w:pPr>
          </w:p>
        </w:tc>
        <w:tc>
          <w:tcPr>
            <w:tcW w:w="999" w:type="dxa"/>
            <w:vMerge w:val="restart"/>
            <w:vAlign w:val="center"/>
          </w:tcPr>
          <w:p w14:paraId="2DA75193">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深化方案</w:t>
            </w:r>
          </w:p>
        </w:tc>
        <w:tc>
          <w:tcPr>
            <w:tcW w:w="6590" w:type="dxa"/>
            <w:vAlign w:val="center"/>
          </w:tcPr>
          <w:p w14:paraId="3E48660F">
            <w:pPr>
              <w:adjustRightInd w:val="0"/>
              <w:snapToGrid w:val="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w:t>
            </w:r>
            <w:r>
              <w:rPr>
                <w:rFonts w:hint="eastAsia" w:ascii="宋体" w:hAnsi="宋体" w:cs="宋体"/>
                <w:color w:val="auto"/>
                <w:szCs w:val="21"/>
                <w:highlight w:val="none"/>
                <w:lang w:val="en-US" w:eastAsia="zh-CN"/>
              </w:rPr>
              <w:t>对本项目现场了解情况，包括主要设备点位分布图等是否符合实际情况</w:t>
            </w:r>
            <w:r>
              <w:rPr>
                <w:rFonts w:hint="eastAsia" w:ascii="宋体" w:hAnsi="宋体" w:cs="宋体"/>
                <w:color w:val="auto"/>
                <w:szCs w:val="21"/>
                <w:highlight w:val="none"/>
                <w:lang w:val="en-US" w:eastAsia="zh-CN"/>
              </w:rPr>
              <w:t>，根据方案先进性、完整性、具体性、可行性等进行打分。</w:t>
            </w: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75" w:type="dxa"/>
            <w:vAlign w:val="center"/>
          </w:tcPr>
          <w:p w14:paraId="5BC54EA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14:paraId="461C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9" w:hRule="atLeast"/>
          <w:jc w:val="center"/>
        </w:trPr>
        <w:tc>
          <w:tcPr>
            <w:tcW w:w="838" w:type="dxa"/>
            <w:vMerge w:val="continue"/>
            <w:vAlign w:val="center"/>
          </w:tcPr>
          <w:p w14:paraId="2276CECC">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7DFEC1C2">
            <w:pPr>
              <w:widowControl/>
              <w:spacing w:line="288" w:lineRule="auto"/>
              <w:jc w:val="center"/>
              <w:textAlignment w:val="center"/>
              <w:rPr>
                <w:rFonts w:hint="eastAsia" w:ascii="宋体" w:hAnsi="宋体" w:eastAsia="宋体" w:cs="宋体"/>
                <w:color w:val="auto"/>
                <w:szCs w:val="21"/>
                <w:highlight w:val="none"/>
              </w:rPr>
            </w:pPr>
          </w:p>
        </w:tc>
        <w:tc>
          <w:tcPr>
            <w:tcW w:w="6590" w:type="dxa"/>
            <w:vAlign w:val="center"/>
          </w:tcPr>
          <w:p w14:paraId="6FD164FE">
            <w:pPr>
              <w:adjustRightInd w:val="0"/>
              <w:snapToGrid w:val="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根据投标人对本项目的理解，系统架构、</w:t>
            </w:r>
            <w:r>
              <w:rPr>
                <w:rFonts w:hint="eastAsia" w:ascii="宋体" w:hAnsi="宋体" w:cs="宋体"/>
                <w:color w:val="auto"/>
                <w:szCs w:val="21"/>
                <w:highlight w:val="none"/>
                <w:lang w:val="en-US" w:eastAsia="zh-CN"/>
              </w:rPr>
              <w:t>整体线路图符合的实际情况</w:t>
            </w:r>
            <w:r>
              <w:rPr>
                <w:rFonts w:hint="eastAsia" w:ascii="宋体" w:hAnsi="宋体" w:cs="宋体"/>
                <w:color w:val="auto"/>
                <w:szCs w:val="21"/>
                <w:highlight w:val="none"/>
                <w:lang w:val="en-US" w:eastAsia="zh-CN"/>
              </w:rPr>
              <w:t>以及深化方案的先进性、完整性、具体性、可行性等进行打分。</w:t>
            </w:r>
          </w:p>
          <w:p w14:paraId="245FE103">
            <w:pPr>
              <w:adjustRightInd w:val="0"/>
              <w:snapToGrid w:val="0"/>
              <w:jc w:val="left"/>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75" w:type="dxa"/>
            <w:vAlign w:val="center"/>
          </w:tcPr>
          <w:p w14:paraId="7D5A213F">
            <w:pPr>
              <w:widowControl/>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r>
      <w:tr w14:paraId="222B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6DAEEE9D">
            <w:pPr>
              <w:spacing w:line="360" w:lineRule="auto"/>
              <w:jc w:val="center"/>
              <w:textAlignment w:val="center"/>
              <w:rPr>
                <w:rFonts w:hint="eastAsia" w:ascii="宋体" w:hAnsi="宋体" w:eastAsia="宋体" w:cs="宋体"/>
                <w:color w:val="auto"/>
                <w:szCs w:val="21"/>
                <w:highlight w:val="none"/>
              </w:rPr>
            </w:pPr>
          </w:p>
        </w:tc>
        <w:tc>
          <w:tcPr>
            <w:tcW w:w="999" w:type="dxa"/>
            <w:vMerge w:val="restart"/>
            <w:vAlign w:val="center"/>
          </w:tcPr>
          <w:p w14:paraId="08992DA5">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实施方案</w:t>
            </w:r>
          </w:p>
        </w:tc>
        <w:tc>
          <w:tcPr>
            <w:tcW w:w="6590" w:type="dxa"/>
            <w:shd w:val="clear" w:color="auto" w:fill="auto"/>
            <w:vAlign w:val="center"/>
          </w:tcPr>
          <w:p w14:paraId="19722EFF">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根据投标人针对本项目提供的施工计划、安装及调试措施、安全保证措施、质量保证措施、环境保证措施进行打分。</w:t>
            </w:r>
          </w:p>
          <w:p w14:paraId="3C1B1D97">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一档得4分；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档得3.5分；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档得3分；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档得2.5分；</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档得2分；</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档得1.5分；</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档得1分；</w:t>
            </w:r>
            <w:r>
              <w:rPr>
                <w:rFonts w:hint="eastAsia" w:ascii="宋体" w:hAnsi="宋体" w:cs="宋体"/>
                <w:color w:val="auto"/>
                <w:sz w:val="21"/>
                <w:szCs w:val="21"/>
                <w:highlight w:val="none"/>
                <w:lang w:val="en-US" w:eastAsia="zh-CN"/>
              </w:rPr>
              <w:t>八档得0.5分；</w:t>
            </w:r>
            <w:r>
              <w:rPr>
                <w:rFonts w:hint="eastAsia" w:ascii="宋体" w:hAnsi="宋体" w:eastAsia="宋体" w:cs="宋体"/>
                <w:color w:val="auto"/>
                <w:sz w:val="21"/>
                <w:szCs w:val="21"/>
                <w:highlight w:val="none"/>
                <w:lang w:val="en-US" w:eastAsia="zh-CN"/>
              </w:rPr>
              <w:t>未提及此项不得分。</w:t>
            </w:r>
          </w:p>
        </w:tc>
        <w:tc>
          <w:tcPr>
            <w:tcW w:w="675" w:type="dxa"/>
            <w:vAlign w:val="center"/>
          </w:tcPr>
          <w:p w14:paraId="01F58D61">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14:paraId="2D5C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7EA87532">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75DBACA8">
            <w:pPr>
              <w:spacing w:line="360" w:lineRule="auto"/>
              <w:jc w:val="center"/>
              <w:rPr>
                <w:rFonts w:hint="eastAsia" w:ascii="宋体" w:hAnsi="宋体" w:eastAsia="宋体" w:cs="宋体"/>
                <w:color w:val="auto"/>
                <w:szCs w:val="21"/>
                <w:highlight w:val="none"/>
              </w:rPr>
            </w:pPr>
          </w:p>
        </w:tc>
        <w:tc>
          <w:tcPr>
            <w:tcW w:w="6590" w:type="dxa"/>
            <w:shd w:val="clear" w:color="auto" w:fill="auto"/>
            <w:vAlign w:val="center"/>
          </w:tcPr>
          <w:p w14:paraId="39C1B6FD">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根据投标人对本项目文物保护单位情况的熟悉程度、风险评估的详实度，充分体现文物保护风险防范等级及原貌保护的相关要求</w:t>
            </w:r>
            <w:r>
              <w:rPr>
                <w:rFonts w:hint="eastAsia" w:ascii="宋体" w:hAnsi="宋体" w:cs="宋体"/>
                <w:color w:val="auto"/>
                <w:sz w:val="21"/>
                <w:szCs w:val="21"/>
                <w:highlight w:val="none"/>
                <w:lang w:val="en-US" w:eastAsia="zh-CN"/>
              </w:rPr>
              <w:t>等情况进行打分</w:t>
            </w:r>
            <w:r>
              <w:rPr>
                <w:rFonts w:hint="eastAsia" w:ascii="宋体" w:hAnsi="宋体" w:eastAsia="宋体" w:cs="宋体"/>
                <w:color w:val="auto"/>
                <w:sz w:val="21"/>
                <w:szCs w:val="21"/>
                <w:highlight w:val="none"/>
                <w:lang w:val="en-US" w:eastAsia="zh-CN"/>
              </w:rPr>
              <w:t>。</w:t>
            </w:r>
          </w:p>
          <w:p w14:paraId="7B9B82B6">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一档得4分；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档得3.5分；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档得3分；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档得2.5分；</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档得2分；</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档得1.5分；</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档得1分；</w:t>
            </w:r>
            <w:r>
              <w:rPr>
                <w:rFonts w:hint="eastAsia" w:ascii="宋体" w:hAnsi="宋体" w:cs="宋体"/>
                <w:color w:val="auto"/>
                <w:sz w:val="21"/>
                <w:szCs w:val="21"/>
                <w:highlight w:val="none"/>
                <w:lang w:val="en-US" w:eastAsia="zh-CN"/>
              </w:rPr>
              <w:t>八档得0.5分；</w:t>
            </w:r>
            <w:r>
              <w:rPr>
                <w:rFonts w:hint="eastAsia" w:ascii="宋体" w:hAnsi="宋体" w:eastAsia="宋体" w:cs="宋体"/>
                <w:color w:val="auto"/>
                <w:sz w:val="21"/>
                <w:szCs w:val="21"/>
                <w:highlight w:val="none"/>
                <w:lang w:val="en-US" w:eastAsia="zh-CN"/>
              </w:rPr>
              <w:t>未提及此项不得分。</w:t>
            </w:r>
          </w:p>
        </w:tc>
        <w:tc>
          <w:tcPr>
            <w:tcW w:w="675" w:type="dxa"/>
            <w:vAlign w:val="center"/>
          </w:tcPr>
          <w:p w14:paraId="0320EF3E">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14:paraId="3AB5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8" w:hRule="atLeast"/>
          <w:jc w:val="center"/>
        </w:trPr>
        <w:tc>
          <w:tcPr>
            <w:tcW w:w="838" w:type="dxa"/>
            <w:vMerge w:val="continue"/>
            <w:vAlign w:val="center"/>
          </w:tcPr>
          <w:p w14:paraId="04F8727E">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4E45A440">
            <w:pPr>
              <w:autoSpaceDE w:val="0"/>
              <w:autoSpaceDN w:val="0"/>
              <w:adjustRightInd w:val="0"/>
              <w:jc w:val="center"/>
              <w:rPr>
                <w:rFonts w:hint="eastAsia" w:ascii="宋体" w:hAnsi="宋体" w:eastAsia="宋体" w:cs="宋体"/>
                <w:color w:val="auto"/>
                <w:szCs w:val="21"/>
                <w:highlight w:val="none"/>
              </w:rPr>
            </w:pPr>
          </w:p>
        </w:tc>
        <w:tc>
          <w:tcPr>
            <w:tcW w:w="6590" w:type="dxa"/>
            <w:shd w:val="clear" w:color="auto" w:fill="auto"/>
            <w:vAlign w:val="center"/>
          </w:tcPr>
          <w:p w14:paraId="7CAA4E2B">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根据投标人对文保单位项目</w:t>
            </w:r>
            <w:r>
              <w:rPr>
                <w:rFonts w:hint="eastAsia" w:ascii="宋体" w:hAnsi="宋体" w:eastAsia="宋体" w:cs="宋体"/>
                <w:color w:val="auto"/>
                <w:sz w:val="21"/>
                <w:szCs w:val="21"/>
                <w:highlight w:val="none"/>
                <w:lang w:val="en-US" w:eastAsia="zh-CN"/>
              </w:rPr>
              <w:t>专项验收的内容</w:t>
            </w:r>
            <w:r>
              <w:rPr>
                <w:rFonts w:hint="eastAsia" w:ascii="宋体" w:hAnsi="宋体" w:eastAsia="宋体" w:cs="宋体"/>
                <w:color w:val="auto"/>
                <w:sz w:val="21"/>
                <w:szCs w:val="21"/>
                <w:highlight w:val="none"/>
                <w:lang w:val="en-US" w:eastAsia="zh-CN"/>
              </w:rPr>
              <w:t>及流程熟悉程度等情况进行打分。</w:t>
            </w:r>
          </w:p>
          <w:p w14:paraId="713A7353">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一档得4分；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档得3.5分；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档得3分；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档得2.5分；</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档得2分；</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档得1.5分；</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档得1分；</w:t>
            </w:r>
            <w:r>
              <w:rPr>
                <w:rFonts w:hint="eastAsia" w:ascii="宋体" w:hAnsi="宋体" w:cs="宋体"/>
                <w:color w:val="auto"/>
                <w:sz w:val="21"/>
                <w:szCs w:val="21"/>
                <w:highlight w:val="none"/>
                <w:lang w:val="en-US" w:eastAsia="zh-CN"/>
              </w:rPr>
              <w:t>八档得0.5分；</w:t>
            </w:r>
            <w:r>
              <w:rPr>
                <w:rFonts w:hint="eastAsia" w:ascii="宋体" w:hAnsi="宋体" w:eastAsia="宋体" w:cs="宋体"/>
                <w:color w:val="auto"/>
                <w:sz w:val="21"/>
                <w:szCs w:val="21"/>
                <w:highlight w:val="none"/>
                <w:lang w:val="en-US" w:eastAsia="zh-CN"/>
              </w:rPr>
              <w:t>未提及此项不得分。</w:t>
            </w:r>
          </w:p>
        </w:tc>
        <w:tc>
          <w:tcPr>
            <w:tcW w:w="675" w:type="dxa"/>
            <w:vAlign w:val="center"/>
          </w:tcPr>
          <w:p w14:paraId="28085102">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14:paraId="5504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 w:hRule="atLeast"/>
          <w:jc w:val="center"/>
        </w:trPr>
        <w:tc>
          <w:tcPr>
            <w:tcW w:w="838" w:type="dxa"/>
            <w:vMerge w:val="continue"/>
            <w:vAlign w:val="center"/>
          </w:tcPr>
          <w:p w14:paraId="024BAD1F">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0949C2EC">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应急预案</w:t>
            </w:r>
          </w:p>
        </w:tc>
        <w:tc>
          <w:tcPr>
            <w:tcW w:w="6590" w:type="dxa"/>
            <w:vAlign w:val="center"/>
          </w:tcPr>
          <w:p w14:paraId="111F3DDE">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根据投标人针对后续实际项目实施中可能遇到的紧急事件、异常处理等是否具有详细完善的应急响应制度、实施保障方案进行打分。</w:t>
            </w:r>
          </w:p>
          <w:p w14:paraId="6BB942F9">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tc>
        <w:tc>
          <w:tcPr>
            <w:tcW w:w="675" w:type="dxa"/>
            <w:vAlign w:val="center"/>
          </w:tcPr>
          <w:p w14:paraId="55059735">
            <w:pPr>
              <w:spacing w:before="100" w:beforeAutospacing="1" w:after="100" w:afterAutospacing="1"/>
              <w:jc w:val="center"/>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lang w:val="en-US" w:eastAsia="zh-CN"/>
              </w:rPr>
              <w:t>2</w:t>
            </w:r>
          </w:p>
        </w:tc>
      </w:tr>
      <w:tr w14:paraId="3CD3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4198EEA3">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10DF00EC">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p>
        </w:tc>
        <w:tc>
          <w:tcPr>
            <w:tcW w:w="6590" w:type="dxa"/>
            <w:vAlign w:val="center"/>
          </w:tcPr>
          <w:p w14:paraId="1103E24D">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根据投标人承诺提供的售后服务方案（服务能力、服务措施、服务承诺等方面）情况，包括服务承诺的可行性、完整性以及后续实施保障措施等进行打分。</w:t>
            </w:r>
          </w:p>
          <w:p w14:paraId="3DB314CC">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tc>
        <w:tc>
          <w:tcPr>
            <w:tcW w:w="675" w:type="dxa"/>
            <w:vAlign w:val="center"/>
          </w:tcPr>
          <w:p w14:paraId="42C64498">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p>
        </w:tc>
      </w:tr>
      <w:tr w14:paraId="7FB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jc w:val="center"/>
        </w:trPr>
        <w:tc>
          <w:tcPr>
            <w:tcW w:w="838" w:type="dxa"/>
            <w:vMerge w:val="continue"/>
            <w:vAlign w:val="center"/>
          </w:tcPr>
          <w:p w14:paraId="4B62DADE">
            <w:pPr>
              <w:jc w:val="center"/>
              <w:rPr>
                <w:rFonts w:hint="eastAsia" w:ascii="宋体" w:hAnsi="宋体" w:eastAsia="宋体" w:cs="宋体"/>
                <w:color w:val="auto"/>
                <w:szCs w:val="21"/>
                <w:highlight w:val="none"/>
              </w:rPr>
            </w:pPr>
          </w:p>
        </w:tc>
        <w:tc>
          <w:tcPr>
            <w:tcW w:w="999" w:type="dxa"/>
            <w:vAlign w:val="center"/>
          </w:tcPr>
          <w:p w14:paraId="023354CA">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演示</w:t>
            </w:r>
          </w:p>
        </w:tc>
        <w:tc>
          <w:tcPr>
            <w:tcW w:w="6590" w:type="dxa"/>
            <w:vAlign w:val="center"/>
          </w:tcPr>
          <w:p w14:paraId="55D9D789">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i w:val="0"/>
                <w:iCs w:val="0"/>
                <w:color w:val="auto"/>
                <w:spacing w:val="-4"/>
                <w:szCs w:val="21"/>
                <w:highlight w:val="none"/>
                <w:lang w:val="zh-CN" w:eastAsia="zh-CN"/>
              </w:rPr>
            </w:pPr>
            <w:r>
              <w:rPr>
                <w:rFonts w:hint="eastAsia" w:ascii="宋体" w:hAnsi="宋体" w:eastAsia="宋体" w:cs="宋体"/>
                <w:i w:val="0"/>
                <w:iCs w:val="0"/>
                <w:color w:val="auto"/>
                <w:spacing w:val="-4"/>
                <w:szCs w:val="21"/>
                <w:highlight w:val="none"/>
                <w:lang w:val="zh-CN" w:eastAsia="zh-CN"/>
              </w:rPr>
              <w:t>根据投标人</w:t>
            </w:r>
            <w:r>
              <w:rPr>
                <w:rFonts w:hint="eastAsia" w:ascii="宋体" w:hAnsi="宋体" w:eastAsia="宋体" w:cs="宋体"/>
                <w:i w:val="0"/>
                <w:iCs w:val="0"/>
                <w:color w:val="auto"/>
                <w:spacing w:val="-4"/>
                <w:szCs w:val="21"/>
                <w:highlight w:val="none"/>
                <w:lang w:val="en-US" w:eastAsia="zh-CN"/>
              </w:rPr>
              <w:t>提供的</w:t>
            </w:r>
            <w:r>
              <w:rPr>
                <w:rFonts w:hint="eastAsia" w:ascii="宋体" w:hAnsi="宋体" w:eastAsia="宋体" w:cs="宋体"/>
                <w:i w:val="0"/>
                <w:iCs w:val="0"/>
                <w:color w:val="auto"/>
                <w:spacing w:val="-4"/>
                <w:szCs w:val="21"/>
                <w:highlight w:val="none"/>
                <w:lang w:val="zh-CN" w:eastAsia="zh-CN"/>
              </w:rPr>
              <w:t>演示</w:t>
            </w:r>
            <w:r>
              <w:rPr>
                <w:rFonts w:hint="eastAsia" w:ascii="宋体" w:hAnsi="宋体" w:eastAsia="宋体" w:cs="宋体"/>
                <w:i w:val="0"/>
                <w:iCs w:val="0"/>
                <w:color w:val="auto"/>
                <w:spacing w:val="-4"/>
                <w:szCs w:val="21"/>
                <w:highlight w:val="none"/>
                <w:lang w:val="en-US" w:eastAsia="zh-CN"/>
              </w:rPr>
              <w:t>视频</w:t>
            </w:r>
            <w:r>
              <w:rPr>
                <w:rFonts w:hint="eastAsia" w:ascii="宋体" w:hAnsi="宋体" w:eastAsia="宋体" w:cs="宋体"/>
                <w:i w:val="0"/>
                <w:iCs w:val="0"/>
                <w:color w:val="auto"/>
                <w:spacing w:val="-4"/>
                <w:szCs w:val="21"/>
                <w:highlight w:val="none"/>
                <w:lang w:val="zh-CN" w:eastAsia="zh-CN"/>
              </w:rPr>
              <w:t>内容进行</w:t>
            </w:r>
            <w:r>
              <w:rPr>
                <w:rFonts w:hint="eastAsia" w:ascii="宋体" w:hAnsi="宋体" w:eastAsia="宋体" w:cs="宋体"/>
                <w:i w:val="0"/>
                <w:iCs w:val="0"/>
                <w:color w:val="auto"/>
                <w:spacing w:val="-4"/>
                <w:szCs w:val="21"/>
                <w:highlight w:val="none"/>
                <w:lang w:val="en-US" w:eastAsia="zh-CN"/>
              </w:rPr>
              <w:t>打分。</w:t>
            </w:r>
          </w:p>
          <w:p w14:paraId="06F3E171">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kern w:val="2"/>
                <w:sz w:val="21"/>
                <w:szCs w:val="21"/>
                <w:highlight w:val="none"/>
                <w:lang w:val="en-US" w:eastAsia="zh-CN" w:bidi="ar-SA"/>
              </w:rPr>
              <w:t>1、</w:t>
            </w:r>
            <w:r>
              <w:rPr>
                <w:rFonts w:hint="eastAsia" w:ascii="宋体" w:hAnsi="宋体" w:cs="宋体"/>
                <w:i w:val="0"/>
                <w:iCs w:val="0"/>
                <w:color w:val="auto"/>
                <w:spacing w:val="-4"/>
                <w:szCs w:val="21"/>
                <w:highlight w:val="none"/>
                <w:lang w:val="en-US" w:eastAsia="zh-CN"/>
              </w:rPr>
              <w:t>是否</w:t>
            </w:r>
            <w:r>
              <w:rPr>
                <w:rFonts w:hint="eastAsia" w:ascii="宋体" w:hAnsi="宋体" w:eastAsia="宋体" w:cs="宋体"/>
                <w:i w:val="0"/>
                <w:iCs w:val="0"/>
                <w:color w:val="auto"/>
                <w:spacing w:val="-4"/>
                <w:szCs w:val="21"/>
                <w:highlight w:val="none"/>
                <w:lang w:val="en-US" w:eastAsia="zh-CN"/>
              </w:rPr>
              <w:t>支持文保单位的新增/修改/删除；支持按公布名称/所属地市/级别/公布类别/现状评估/现地址进行检索，支持文保单位基本信息录入，包括地理信息、图片信息、使用情况、保存现状、残损原因、保护机构现状</w:t>
            </w:r>
            <w:r>
              <w:rPr>
                <w:rFonts w:hint="eastAsia" w:ascii="宋体" w:hAnsi="宋体" w:cs="宋体"/>
                <w:i w:val="0"/>
                <w:iCs w:val="0"/>
                <w:color w:val="auto"/>
                <w:spacing w:val="-4"/>
                <w:szCs w:val="21"/>
                <w:highlight w:val="none"/>
                <w:lang w:val="en-US" w:eastAsia="zh-CN"/>
              </w:rPr>
              <w:t>，根据演示情况进行打分</w:t>
            </w:r>
            <w:r>
              <w:rPr>
                <w:rFonts w:hint="eastAsia" w:ascii="宋体" w:hAnsi="宋体" w:eastAsia="宋体" w:cs="宋体"/>
                <w:i w:val="0"/>
                <w:iCs w:val="0"/>
                <w:color w:val="auto"/>
                <w:spacing w:val="-4"/>
                <w:szCs w:val="21"/>
                <w:highlight w:val="none"/>
                <w:lang w:val="en-US" w:eastAsia="zh-CN"/>
              </w:rPr>
              <w:t>。</w:t>
            </w:r>
          </w:p>
          <w:p w14:paraId="551F88C4">
            <w:pPr>
              <w:keepNext w:val="0"/>
              <w:keepLines w:val="0"/>
              <w:pageBreakBefore w:val="0"/>
              <w:numPr>
                <w:ilvl w:val="0"/>
                <w:numId w:val="0"/>
              </w:numPr>
              <w:kinsoku/>
              <w:wordWrap/>
              <w:overflowPunct/>
              <w:topLinePunct w:val="0"/>
              <w:bidi w:val="0"/>
              <w:spacing w:beforeAutospacing="0" w:afterAutospacing="0" w:line="240" w:lineRule="auto"/>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44DEFCEC">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kern w:val="2"/>
                <w:sz w:val="21"/>
                <w:szCs w:val="21"/>
                <w:highlight w:val="none"/>
                <w:lang w:val="en-US" w:eastAsia="zh-CN" w:bidi="ar-SA"/>
              </w:rPr>
              <w:t>2、</w:t>
            </w:r>
            <w:r>
              <w:rPr>
                <w:rFonts w:hint="eastAsia" w:ascii="宋体" w:hAnsi="宋体" w:cs="宋体"/>
                <w:i w:val="0"/>
                <w:iCs w:val="0"/>
                <w:color w:val="auto"/>
                <w:spacing w:val="-4"/>
                <w:kern w:val="2"/>
                <w:sz w:val="21"/>
                <w:szCs w:val="21"/>
                <w:highlight w:val="none"/>
                <w:lang w:val="en-US" w:eastAsia="zh-CN" w:bidi="ar-SA"/>
              </w:rPr>
              <w:t>是否</w:t>
            </w:r>
            <w:r>
              <w:rPr>
                <w:rFonts w:hint="eastAsia" w:ascii="宋体" w:hAnsi="宋体" w:eastAsia="宋体" w:cs="宋体"/>
                <w:i w:val="0"/>
                <w:iCs w:val="0"/>
                <w:color w:val="auto"/>
                <w:spacing w:val="-4"/>
                <w:szCs w:val="21"/>
                <w:highlight w:val="none"/>
                <w:lang w:val="en-US" w:eastAsia="zh-CN"/>
              </w:rPr>
              <w:t>支持各文保单位维护对应的文物安全保护工作历史沿革资料，支持按名称/时间范围进行检索，支持文保工程管理，包括工程名称、工程类型、工程阶段、立项申报资料、勘查和方案设计材料、</w:t>
            </w:r>
            <w:r>
              <w:rPr>
                <w:rFonts w:hint="eastAsia" w:ascii="宋体" w:hAnsi="宋体" w:eastAsia="宋体" w:cs="宋体"/>
                <w:i w:val="0"/>
                <w:iCs w:val="0"/>
                <w:color w:val="auto"/>
                <w:spacing w:val="-4"/>
                <w:szCs w:val="21"/>
                <w:highlight w:val="none"/>
                <w:lang w:val="en-US" w:eastAsia="zh-CN"/>
              </w:rPr>
              <w:t>监理与验收材料</w:t>
            </w:r>
            <w:r>
              <w:rPr>
                <w:rFonts w:hint="eastAsia" w:ascii="宋体" w:hAnsi="宋体" w:cs="宋体"/>
                <w:i w:val="0"/>
                <w:iCs w:val="0"/>
                <w:color w:val="auto"/>
                <w:spacing w:val="-4"/>
                <w:szCs w:val="21"/>
                <w:highlight w:val="none"/>
                <w:lang w:val="en-US" w:eastAsia="zh-CN"/>
              </w:rPr>
              <w:t>，根据演示情况进行打分</w:t>
            </w:r>
            <w:r>
              <w:rPr>
                <w:rFonts w:hint="eastAsia" w:ascii="宋体" w:hAnsi="宋体" w:eastAsia="宋体" w:cs="宋体"/>
                <w:i w:val="0"/>
                <w:iCs w:val="0"/>
                <w:color w:val="auto"/>
                <w:spacing w:val="-4"/>
                <w:szCs w:val="21"/>
                <w:highlight w:val="none"/>
                <w:lang w:val="en-US" w:eastAsia="zh-CN"/>
              </w:rPr>
              <w:t>。</w:t>
            </w:r>
          </w:p>
          <w:p w14:paraId="1D1A7E67">
            <w:pPr>
              <w:keepNext w:val="0"/>
              <w:keepLines w:val="0"/>
              <w:pageBreakBefore w:val="0"/>
              <w:numPr>
                <w:ilvl w:val="0"/>
                <w:numId w:val="0"/>
              </w:numPr>
              <w:kinsoku/>
              <w:wordWrap/>
              <w:overflowPunct/>
              <w:topLinePunct w:val="0"/>
              <w:bidi w:val="0"/>
              <w:spacing w:beforeAutospacing="0" w:afterAutospacing="0" w:line="240" w:lineRule="auto"/>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13407987">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szCs w:val="21"/>
                <w:highlight w:val="none"/>
                <w:lang w:val="en-US" w:eastAsia="zh-CN"/>
              </w:rPr>
              <w:t>3、</w:t>
            </w:r>
            <w:r>
              <w:rPr>
                <w:rFonts w:hint="eastAsia" w:ascii="宋体" w:hAnsi="宋体" w:cs="宋体"/>
                <w:i w:val="0"/>
                <w:iCs w:val="0"/>
                <w:color w:val="auto"/>
                <w:spacing w:val="-4"/>
                <w:szCs w:val="21"/>
                <w:highlight w:val="none"/>
                <w:lang w:val="en-US" w:eastAsia="zh-CN"/>
              </w:rPr>
              <w:t>是否</w:t>
            </w:r>
            <w:r>
              <w:rPr>
                <w:rFonts w:hint="eastAsia" w:ascii="宋体" w:hAnsi="宋体" w:eastAsia="宋体" w:cs="宋体"/>
                <w:i w:val="0"/>
                <w:iCs w:val="0"/>
                <w:color w:val="auto"/>
                <w:spacing w:val="-4"/>
                <w:szCs w:val="21"/>
                <w:highlight w:val="none"/>
                <w:lang w:val="en-US" w:eastAsia="zh-CN"/>
              </w:rPr>
              <w:t>支持在地图上直接查看文保单位详细信息：文保单位公布批次、地址、缩略图、地理坐标、面积、使用情况、面积级别、使用情况、保存现状、残损原因、保护机构现状、文物保护工作者、历史沿革资料管理、设备统计（设备总数、设备在离线百分比）、报警数量统计、报警明细</w:t>
            </w:r>
            <w:r>
              <w:rPr>
                <w:rFonts w:hint="eastAsia" w:ascii="宋体" w:hAnsi="宋体" w:cs="宋体"/>
                <w:i w:val="0"/>
                <w:iCs w:val="0"/>
                <w:color w:val="auto"/>
                <w:spacing w:val="-4"/>
                <w:szCs w:val="21"/>
                <w:highlight w:val="none"/>
                <w:lang w:val="en-US" w:eastAsia="zh-CN"/>
              </w:rPr>
              <w:t>，根据演示情况进行打分</w:t>
            </w:r>
            <w:r>
              <w:rPr>
                <w:rFonts w:hint="eastAsia" w:ascii="宋体" w:hAnsi="宋体" w:eastAsia="宋体" w:cs="宋体"/>
                <w:i w:val="0"/>
                <w:iCs w:val="0"/>
                <w:color w:val="auto"/>
                <w:spacing w:val="-4"/>
                <w:szCs w:val="21"/>
                <w:highlight w:val="none"/>
                <w:lang w:val="en-US" w:eastAsia="zh-CN"/>
              </w:rPr>
              <w:t>。</w:t>
            </w:r>
          </w:p>
          <w:p w14:paraId="2CF95687">
            <w:pPr>
              <w:keepNext w:val="0"/>
              <w:keepLines w:val="0"/>
              <w:pageBreakBefore w:val="0"/>
              <w:numPr>
                <w:ilvl w:val="0"/>
                <w:numId w:val="0"/>
              </w:numPr>
              <w:kinsoku/>
              <w:wordWrap/>
              <w:overflowPunct/>
              <w:topLinePunct w:val="0"/>
              <w:bidi w:val="0"/>
              <w:spacing w:beforeAutospacing="0" w:afterAutospacing="0" w:line="240" w:lineRule="auto"/>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1D87460E">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szCs w:val="21"/>
                <w:highlight w:val="none"/>
                <w:lang w:val="en-US" w:eastAsia="zh-CN"/>
              </w:rPr>
              <w:t>4、</w:t>
            </w:r>
            <w:r>
              <w:rPr>
                <w:rFonts w:hint="eastAsia" w:ascii="宋体" w:hAnsi="宋体" w:cs="宋体"/>
                <w:i w:val="0"/>
                <w:iCs w:val="0"/>
                <w:color w:val="auto"/>
                <w:spacing w:val="-4"/>
                <w:szCs w:val="21"/>
                <w:highlight w:val="none"/>
                <w:lang w:val="en-US" w:eastAsia="zh-CN"/>
              </w:rPr>
              <w:t>是否</w:t>
            </w:r>
            <w:r>
              <w:rPr>
                <w:rFonts w:hint="eastAsia" w:ascii="宋体" w:hAnsi="宋体" w:eastAsia="宋体" w:cs="宋体"/>
                <w:i w:val="0"/>
                <w:iCs w:val="0"/>
                <w:color w:val="auto"/>
                <w:spacing w:val="-4"/>
                <w:szCs w:val="21"/>
                <w:highlight w:val="none"/>
                <w:lang w:val="en-US" w:eastAsia="zh-CN"/>
              </w:rPr>
              <w:t>支持根据区域节点为维度，进行文保单位的统计/安防设备/消防设备/告警个数/文保员数量的统计和展示，支持按照评估状态和风险等级展示文保单位的风险评估情况，按照四色图分别统计对应的数量和占比</w:t>
            </w:r>
            <w:r>
              <w:rPr>
                <w:rFonts w:hint="eastAsia" w:ascii="宋体" w:hAnsi="宋体" w:cs="宋体"/>
                <w:i w:val="0"/>
                <w:iCs w:val="0"/>
                <w:color w:val="auto"/>
                <w:spacing w:val="-4"/>
                <w:szCs w:val="21"/>
                <w:highlight w:val="none"/>
                <w:lang w:val="en-US" w:eastAsia="zh-CN"/>
              </w:rPr>
              <w:t>，根据演示情况进行打分</w:t>
            </w:r>
            <w:r>
              <w:rPr>
                <w:rFonts w:hint="eastAsia" w:ascii="宋体" w:hAnsi="宋体" w:eastAsia="宋体" w:cs="宋体"/>
                <w:i w:val="0"/>
                <w:iCs w:val="0"/>
                <w:color w:val="auto"/>
                <w:spacing w:val="-4"/>
                <w:szCs w:val="21"/>
                <w:highlight w:val="none"/>
                <w:lang w:val="en-US" w:eastAsia="zh-CN"/>
              </w:rPr>
              <w:t>。</w:t>
            </w:r>
          </w:p>
          <w:p w14:paraId="20A9B470">
            <w:pPr>
              <w:keepNext w:val="0"/>
              <w:keepLines w:val="0"/>
              <w:pageBreakBefore w:val="0"/>
              <w:numPr>
                <w:ilvl w:val="0"/>
                <w:numId w:val="0"/>
              </w:numPr>
              <w:kinsoku/>
              <w:wordWrap/>
              <w:overflowPunct/>
              <w:topLinePunct w:val="0"/>
              <w:bidi w:val="0"/>
              <w:spacing w:beforeAutospacing="0" w:afterAutospacing="0" w:line="240" w:lineRule="auto"/>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42772705">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szCs w:val="21"/>
                <w:highlight w:val="none"/>
                <w:lang w:val="en-US" w:eastAsia="zh-CN"/>
              </w:rPr>
              <w:t>5、支持图上检索文保员信息，并支持对文保员的定位和历史巡检行程查询</w:t>
            </w:r>
            <w:r>
              <w:rPr>
                <w:rFonts w:hint="eastAsia" w:ascii="宋体" w:hAnsi="宋体" w:cs="宋体"/>
                <w:i w:val="0"/>
                <w:iCs w:val="0"/>
                <w:color w:val="auto"/>
                <w:spacing w:val="-4"/>
                <w:szCs w:val="21"/>
                <w:highlight w:val="none"/>
                <w:lang w:val="en-US" w:eastAsia="zh-CN"/>
              </w:rPr>
              <w:t>，根据演示情况进行打分</w:t>
            </w:r>
            <w:r>
              <w:rPr>
                <w:rFonts w:hint="eastAsia" w:ascii="宋体" w:hAnsi="宋体" w:eastAsia="宋体" w:cs="宋体"/>
                <w:i w:val="0"/>
                <w:iCs w:val="0"/>
                <w:color w:val="auto"/>
                <w:spacing w:val="-4"/>
                <w:szCs w:val="21"/>
                <w:highlight w:val="none"/>
                <w:lang w:val="en-US" w:eastAsia="zh-CN"/>
              </w:rPr>
              <w:t>。</w:t>
            </w:r>
          </w:p>
          <w:p w14:paraId="515DFF8C">
            <w:pPr>
              <w:keepNext w:val="0"/>
              <w:keepLines w:val="0"/>
              <w:pageBreakBefore w:val="0"/>
              <w:numPr>
                <w:ilvl w:val="0"/>
                <w:numId w:val="0"/>
              </w:numPr>
              <w:kinsoku/>
              <w:wordWrap/>
              <w:overflowPunct/>
              <w:topLinePunct w:val="0"/>
              <w:bidi w:val="0"/>
              <w:spacing w:beforeAutospacing="0" w:afterAutospacing="0" w:line="24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55B88124">
            <w:pPr>
              <w:keepNext w:val="0"/>
              <w:keepLines w:val="0"/>
              <w:pageBreakBefore w:val="0"/>
              <w:numPr>
                <w:ilvl w:val="0"/>
                <w:numId w:val="0"/>
              </w:numPr>
              <w:kinsoku/>
              <w:wordWrap/>
              <w:overflowPunct/>
              <w:topLinePunct w:val="0"/>
              <w:bidi w:val="0"/>
              <w:spacing w:beforeAutospacing="0" w:afterAutospacing="0" w:line="240" w:lineRule="auto"/>
              <w:ind w:left="0" w:leftChars="0" w:firstLine="0" w:firstLineChars="0"/>
              <w:jc w:val="left"/>
              <w:textAlignment w:val="auto"/>
              <w:outlineLvl w:val="9"/>
              <w:rPr>
                <w:rFonts w:hint="default" w:ascii="宋体" w:hAnsi="宋体" w:eastAsia="宋体" w:cs="宋体"/>
                <w:color w:val="auto"/>
                <w:highlight w:val="none"/>
                <w:lang w:val="en-US"/>
              </w:rPr>
            </w:pPr>
            <w:r>
              <w:rPr>
                <w:rFonts w:hint="eastAsia" w:ascii="宋体" w:hAnsi="宋体" w:cs="宋体"/>
                <w:color w:val="auto"/>
                <w:sz w:val="21"/>
                <w:szCs w:val="21"/>
                <w:highlight w:val="none"/>
                <w:lang w:val="en-US" w:eastAsia="zh-CN"/>
              </w:rPr>
              <w:t>本项最高得10分。</w:t>
            </w:r>
          </w:p>
        </w:tc>
        <w:tc>
          <w:tcPr>
            <w:tcW w:w="675" w:type="dxa"/>
            <w:vAlign w:val="center"/>
          </w:tcPr>
          <w:p w14:paraId="555EB819">
            <w:pPr>
              <w:widowControl/>
              <w:spacing w:line="288" w:lineRule="auto"/>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7CBB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3" w:hRule="atLeast"/>
          <w:jc w:val="center"/>
        </w:trPr>
        <w:tc>
          <w:tcPr>
            <w:tcW w:w="1837" w:type="dxa"/>
            <w:gridSpan w:val="2"/>
            <w:vAlign w:val="center"/>
          </w:tcPr>
          <w:p w14:paraId="38979B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27A934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w:t>
            </w:r>
          </w:p>
        </w:tc>
        <w:tc>
          <w:tcPr>
            <w:tcW w:w="6590" w:type="dxa"/>
            <w:vAlign w:val="center"/>
          </w:tcPr>
          <w:p w14:paraId="0CE92F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取投标合格供应商的投标最终报价最低价为评标基准价，基准价为</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0分。投标报价得分=(评标基准价／投标报价)×</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0%×100 。（小数点后保留2位小数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rPr>
              <w:t>）。</w:t>
            </w:r>
          </w:p>
        </w:tc>
        <w:tc>
          <w:tcPr>
            <w:tcW w:w="675" w:type="dxa"/>
            <w:vAlign w:val="center"/>
          </w:tcPr>
          <w:p w14:paraId="59E4D1CB">
            <w:pPr>
              <w:widowControl/>
              <w:spacing w:line="288"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r>
    </w:tbl>
    <w:p w14:paraId="1C3B690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rPr>
        <w:t>注：提供视频演示的各投标人将需演示的部分自行演示并录制成视频制作在 U 盘中，录制视频</w:t>
      </w:r>
      <w:r>
        <w:rPr>
          <w:rFonts w:hint="eastAsia" w:ascii="宋体" w:hAnsi="宋体" w:cs="宋体"/>
          <w:b/>
          <w:color w:val="auto"/>
          <w:szCs w:val="21"/>
          <w:highlight w:val="none"/>
          <w:lang w:val="en-US" w:eastAsia="zh-CN"/>
        </w:rPr>
        <w:t>总</w:t>
      </w:r>
      <w:r>
        <w:rPr>
          <w:rFonts w:hint="eastAsia" w:ascii="宋体" w:hAnsi="宋体" w:cs="宋体"/>
          <w:b/>
          <w:color w:val="auto"/>
          <w:szCs w:val="21"/>
          <w:highlight w:val="none"/>
        </w:rPr>
        <w:t>时长</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分钟以内，录制的视频必须为MP4格式（若视频为其他格式导致评审中不能正常播放的，责任自负），U盘须加设密码并装入密封袋</w:t>
      </w:r>
      <w:r>
        <w:rPr>
          <w:rFonts w:hint="eastAsia" w:ascii="宋体" w:hAnsi="宋体" w:cs="宋体"/>
          <w:b/>
          <w:bCs/>
          <w:color w:val="auto"/>
          <w:kern w:val="0"/>
          <w:szCs w:val="21"/>
          <w:highlight w:val="none"/>
        </w:rPr>
        <w:t>（在密封袋的封口处加盖投标人公章、法定代表人代表或授权委托代理人印章或签字。封皮上写明项目编号、标项、项目名称、投标人名称，并注明“演示视频”、“开标时启封”字样）</w:t>
      </w:r>
      <w:r>
        <w:rPr>
          <w:rFonts w:hint="eastAsia" w:ascii="宋体" w:hAnsi="宋体" w:cs="宋体"/>
          <w:b/>
          <w:color w:val="auto"/>
          <w:szCs w:val="21"/>
          <w:highlight w:val="none"/>
        </w:rPr>
        <w:t>，在投标截止时间前用密封袋包装好注明项目名称和投标人名称快递到招标代理机构处，招标代理在投标截止时间后联系投标人获取密码进行播放，未提供演示或使用其他方式（如软件Demo、PPT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演示、图片原型或方案等）演示，此项不得分。评委观看演示视频按采购文件评分项进行打分。</w:t>
      </w:r>
    </w:p>
    <w:p w14:paraId="383C1740">
      <w:pPr>
        <w:pStyle w:val="21"/>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6199D02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519B3AE9">
      <w:pPr>
        <w:pStyle w:val="5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一、建设背景</w:t>
      </w:r>
    </w:p>
    <w:p w14:paraId="38A1A55C">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eastAsiaTheme="minorEastAsia" w:cstheme="minorEastAsia"/>
          <w:color w:val="auto"/>
          <w:kern w:val="0"/>
          <w:sz w:val="21"/>
          <w:szCs w:val="21"/>
          <w:highlight w:val="none"/>
          <w:lang w:val="zh-CN" w:eastAsia="zh-CN" w:bidi="ar-SA"/>
        </w:rPr>
        <w:t>为进一步推动</w:t>
      </w:r>
      <w:r>
        <w:rPr>
          <w:rFonts w:hint="eastAsia" w:asciiTheme="minorEastAsia" w:hAnsiTheme="minorEastAsia" w:eastAsiaTheme="minorEastAsia" w:cstheme="minorEastAsia"/>
          <w:color w:val="auto"/>
          <w:kern w:val="0"/>
          <w:sz w:val="21"/>
          <w:szCs w:val="21"/>
          <w:highlight w:val="none"/>
          <w:lang w:val="en-US" w:eastAsia="zh-CN" w:bidi="ar-SA"/>
        </w:rPr>
        <w:t>台州黄岩区</w:t>
      </w:r>
      <w:r>
        <w:rPr>
          <w:rFonts w:hint="eastAsia" w:asciiTheme="minorEastAsia" w:hAnsiTheme="minorEastAsia" w:eastAsiaTheme="minorEastAsia" w:cstheme="minorEastAsia"/>
          <w:color w:val="auto"/>
          <w:kern w:val="0"/>
          <w:sz w:val="21"/>
          <w:szCs w:val="21"/>
          <w:highlight w:val="none"/>
          <w:lang w:val="zh-CN" w:eastAsia="zh-CN" w:bidi="ar-SA"/>
        </w:rPr>
        <w:t>文物保护与利用，充分发挥文物在改善人文环境、提升公民素质、促进社会和谐等方面的重要作用，确保历史文化遗产安全，特别是古建筑、古遗址的安全，故</w:t>
      </w:r>
      <w:r>
        <w:rPr>
          <w:rFonts w:hint="eastAsia" w:asciiTheme="minorEastAsia" w:hAnsiTheme="minorEastAsia" w:eastAsiaTheme="minorEastAsia" w:cstheme="minorEastAsia"/>
          <w:color w:val="auto"/>
          <w:kern w:val="0"/>
          <w:sz w:val="21"/>
          <w:szCs w:val="21"/>
          <w:highlight w:val="none"/>
          <w:lang w:val="en-US" w:eastAsia="zh-CN" w:bidi="ar-SA"/>
        </w:rPr>
        <w:t>对</w:t>
      </w:r>
      <w:r>
        <w:rPr>
          <w:rFonts w:hint="eastAsia" w:asciiTheme="minorEastAsia" w:hAnsiTheme="minorEastAsia" w:eastAsiaTheme="minorEastAsia" w:cstheme="minorEastAsia"/>
          <w:color w:val="auto"/>
          <w:kern w:val="0"/>
          <w:sz w:val="21"/>
          <w:szCs w:val="21"/>
          <w:highlight w:val="none"/>
          <w:lang w:val="zh-CN" w:eastAsia="zh-CN" w:bidi="ar-SA"/>
        </w:rPr>
        <w:t>黄岩区抗战时期中共黄岩县委机关旧址、岱石庙、铁米筛井省级文保单位安防</w:t>
      </w:r>
      <w:r>
        <w:rPr>
          <w:rFonts w:hint="eastAsia" w:asciiTheme="minorEastAsia" w:hAnsiTheme="minorEastAsia" w:eastAsiaTheme="minorEastAsia" w:cstheme="minorEastAsia"/>
          <w:color w:val="auto"/>
          <w:kern w:val="0"/>
          <w:sz w:val="21"/>
          <w:szCs w:val="21"/>
          <w:highlight w:val="none"/>
          <w:lang w:val="en-US" w:eastAsia="zh-CN" w:bidi="ar-SA"/>
        </w:rPr>
        <w:t>项目建设</w:t>
      </w:r>
      <w:r>
        <w:rPr>
          <w:rFonts w:hint="eastAsia" w:asciiTheme="minorEastAsia" w:hAnsiTheme="minorEastAsia" w:eastAsiaTheme="minorEastAsia" w:cstheme="minorEastAsia"/>
          <w:color w:val="auto"/>
          <w:kern w:val="0"/>
          <w:sz w:val="21"/>
          <w:szCs w:val="21"/>
          <w:highlight w:val="none"/>
          <w:lang w:val="zh-CN" w:eastAsia="zh-CN" w:bidi="ar-SA"/>
        </w:rPr>
        <w:t>。</w:t>
      </w:r>
    </w:p>
    <w:p w14:paraId="78CCCFA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bidi="ar-SA"/>
        </w:rPr>
        <w:t>古建筑</w:t>
      </w:r>
      <w:r>
        <w:rPr>
          <w:rFonts w:hint="eastAsia" w:asciiTheme="minorEastAsia" w:hAnsiTheme="minorEastAsia" w:eastAsiaTheme="minorEastAsia" w:cstheme="minorEastAsia"/>
          <w:color w:val="auto"/>
          <w:kern w:val="0"/>
          <w:sz w:val="21"/>
          <w:szCs w:val="21"/>
          <w:highlight w:val="none"/>
          <w:lang w:val="en-US" w:eastAsia="zh-CN" w:bidi="ar-SA"/>
        </w:rPr>
        <w:t>建立安防系统最主要的三个目的：一是报警，及时发现警情，提示值班人员按预案进行及时处理；二是取证，提供接警后分析的依据并备案；三是及时发现并阻止人为的破坏活动。</w:t>
      </w:r>
    </w:p>
    <w:p w14:paraId="204E03A9">
      <w:pPr>
        <w:pStyle w:val="5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二、建设内容</w:t>
      </w:r>
    </w:p>
    <w:p w14:paraId="3974CDFA">
      <w:pPr>
        <w:spacing w:line="360" w:lineRule="auto"/>
        <w:ind w:firstLine="420"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本次实施对象为</w:t>
      </w:r>
      <w:r>
        <w:rPr>
          <w:rFonts w:hint="eastAsia" w:asciiTheme="minorEastAsia" w:hAnsiTheme="minorEastAsia" w:eastAsiaTheme="minorEastAsia" w:cstheme="minorEastAsia"/>
          <w:color w:val="auto"/>
          <w:kern w:val="0"/>
          <w:sz w:val="21"/>
          <w:szCs w:val="21"/>
          <w:highlight w:val="none"/>
          <w:lang w:val="en-US" w:eastAsia="zh-CN" w:bidi="ar-SA"/>
        </w:rPr>
        <w:t>省级文物保护单位</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投标单位要结合</w:t>
      </w:r>
      <w:r>
        <w:rPr>
          <w:rFonts w:hint="eastAsia" w:asciiTheme="minorEastAsia" w:hAnsiTheme="minorEastAsia" w:eastAsiaTheme="minorEastAsia" w:cstheme="minorEastAsia"/>
          <w:color w:val="auto"/>
          <w:sz w:val="21"/>
          <w:szCs w:val="21"/>
          <w:highlight w:val="none"/>
          <w:lang w:val="zh-CN"/>
        </w:rPr>
        <w:t>文保单位实际功能需求及周边风险因素</w:t>
      </w:r>
      <w:r>
        <w:rPr>
          <w:rFonts w:hint="eastAsia" w:asciiTheme="minorEastAsia" w:hAnsiTheme="minorEastAsia" w:eastAsiaTheme="minorEastAsia" w:cstheme="minorEastAsia"/>
          <w:color w:val="auto"/>
          <w:sz w:val="21"/>
          <w:szCs w:val="21"/>
          <w:highlight w:val="none"/>
          <w:lang w:val="zh-CN"/>
        </w:rPr>
        <w:t>进行整体安全防范</w:t>
      </w:r>
      <w:r>
        <w:rPr>
          <w:rFonts w:hint="eastAsia" w:asciiTheme="minorEastAsia" w:hAnsiTheme="minorEastAsia" w:eastAsiaTheme="minorEastAsia" w:cstheme="minorEastAsia"/>
          <w:color w:val="auto"/>
          <w:sz w:val="21"/>
          <w:szCs w:val="21"/>
          <w:highlight w:val="none"/>
          <w:lang w:val="en-US" w:eastAsia="zh-CN"/>
        </w:rPr>
        <w:t>建设</w:t>
      </w:r>
      <w:r>
        <w:rPr>
          <w:rFonts w:hint="eastAsia" w:asciiTheme="minorEastAsia" w:hAnsiTheme="minorEastAsia" w:eastAsiaTheme="minorEastAsia" w:cstheme="minorEastAsia"/>
          <w:color w:val="auto"/>
          <w:sz w:val="21"/>
          <w:szCs w:val="21"/>
          <w:highlight w:val="none"/>
          <w:lang w:val="zh-CN"/>
        </w:rPr>
        <w:t>。</w:t>
      </w:r>
    </w:p>
    <w:p w14:paraId="7257F531">
      <w:pPr>
        <w:pStyle w:val="5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三、其他需求</w:t>
      </w:r>
    </w:p>
    <w:p w14:paraId="0E8A4658">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1、▲强制要求： 根据国家文物局及省文物局要求，因本项目为省级文物保护单位，项目实施质量要求须满足相关标准和规范要求，并通过浙江省文物局安全主管部门验收。如最终无法通过浙江省文物局验收，中标人应承担相应的损失。</w:t>
      </w:r>
    </w:p>
    <w:p w14:paraId="76A637AD">
      <w:pPr>
        <w:pStyle w:val="5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四、采购清单</w:t>
      </w:r>
    </w:p>
    <w:tbl>
      <w:tblPr>
        <w:tblStyle w:val="23"/>
        <w:tblW w:w="9075"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427"/>
        <w:gridCol w:w="5448"/>
        <w:gridCol w:w="688"/>
        <w:gridCol w:w="812"/>
      </w:tblGrid>
      <w:tr w14:paraId="4292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0" w:type="dxa"/>
            <w:noWrap w:val="0"/>
            <w:vAlign w:val="center"/>
          </w:tcPr>
          <w:p w14:paraId="5E2AF2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1427" w:type="dxa"/>
            <w:noWrap w:val="0"/>
            <w:vAlign w:val="center"/>
          </w:tcPr>
          <w:p w14:paraId="294A41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名称</w:t>
            </w:r>
          </w:p>
        </w:tc>
        <w:tc>
          <w:tcPr>
            <w:tcW w:w="5448" w:type="dxa"/>
            <w:noWrap w:val="0"/>
            <w:vAlign w:val="center"/>
          </w:tcPr>
          <w:p w14:paraId="1D8F03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参数</w:t>
            </w:r>
          </w:p>
        </w:tc>
        <w:tc>
          <w:tcPr>
            <w:tcW w:w="688" w:type="dxa"/>
            <w:noWrap w:val="0"/>
            <w:vAlign w:val="center"/>
          </w:tcPr>
          <w:p w14:paraId="328AE4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c>
          <w:tcPr>
            <w:tcW w:w="812" w:type="dxa"/>
            <w:noWrap w:val="0"/>
            <w:vAlign w:val="center"/>
          </w:tcPr>
          <w:p w14:paraId="65073F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r>
      <w:tr w14:paraId="6AEA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575" w:type="dxa"/>
            <w:gridSpan w:val="3"/>
            <w:noWrap w:val="0"/>
            <w:vAlign w:val="center"/>
          </w:tcPr>
          <w:p w14:paraId="10CE1E6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第一部分：安防系统</w:t>
            </w:r>
          </w:p>
        </w:tc>
        <w:tc>
          <w:tcPr>
            <w:tcW w:w="688" w:type="dxa"/>
            <w:noWrap w:val="0"/>
            <w:vAlign w:val="center"/>
          </w:tcPr>
          <w:p w14:paraId="189C4F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812" w:type="dxa"/>
            <w:noWrap w:val="0"/>
            <w:vAlign w:val="center"/>
          </w:tcPr>
          <w:p w14:paraId="384A40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5BDA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575" w:type="dxa"/>
            <w:gridSpan w:val="3"/>
            <w:noWrap w:val="0"/>
            <w:vAlign w:val="center"/>
          </w:tcPr>
          <w:p w14:paraId="769774C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一、监控系统</w:t>
            </w:r>
          </w:p>
        </w:tc>
        <w:tc>
          <w:tcPr>
            <w:tcW w:w="688" w:type="dxa"/>
            <w:noWrap w:val="0"/>
            <w:vAlign w:val="center"/>
          </w:tcPr>
          <w:p w14:paraId="7B4AFE7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812" w:type="dxa"/>
            <w:noWrap w:val="0"/>
            <w:vAlign w:val="center"/>
          </w:tcPr>
          <w:p w14:paraId="725FCD26">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3011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EB0D3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427" w:type="dxa"/>
            <w:noWrap w:val="0"/>
            <w:vAlign w:val="center"/>
          </w:tcPr>
          <w:p w14:paraId="14148B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文博专用室内枪机</w:t>
            </w:r>
          </w:p>
        </w:tc>
        <w:tc>
          <w:tcPr>
            <w:tcW w:w="5448" w:type="dxa"/>
            <w:noWrap w:val="0"/>
            <w:vAlign w:val="center"/>
          </w:tcPr>
          <w:p w14:paraId="2D27126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鳞镜补光：采用隐藏式灯珠设计，通过鳞甲密布排列形成的镜面反射出光，见光不见灯。增加发光面积，降低聚光效果，补光柔和均匀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最高分辨率可达400万像素，并在此分辨率下可输出30 fps实时图像，图像更流畅，支持透雾，支持宽动态120dB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设备内置电动变焦镜头，操作便易，变焦过程平稳，传感器类型：1/2.7" Progressive Scan CMOS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最低照度：彩色：0.005 Lux @（F1.2，AGC ON），黑白：0.001 Lux @（F1.2，AGC ON），0 Lux with IR</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宽动态：120dB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焦距&amp;视场角：2.7~13.5 mm：水平视场角：96.6°~29.7°，垂直视场角：51.7°~16.7°，对角视场角：114.2°~34°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补光灯类型：默认红外补光，可切换暖白光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补光距离：暖白光：最远可达30m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红外灯：最远可达50m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防补光过曝：支持防补光过曝开启和关闭，开启下支持自动和手动，手动支持根据距离等级控制补光灯亮度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补光灯数量：4颗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红外波长范围：850 nm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最大图像尺寸：2560 × 1440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视频压缩标准：H.265/H.264/MJPEG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网络：1个RJ45 10 M/100 M自适应以太网口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SD卡扩展：内置MicroSD/MicroSDHC/MicroSDXC插槽，最大支持256 GB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音频：1路输入（Line in），1路输出（Line out），2个内置麦克风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报警：1路输入，1路输出（报警输入支持开关量，报警输出最大支持DC12 V，30 mA）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RS-485：1路RS-485接口，半双工模式，支持自适应HIKVISION，PELCO-P和PELCO-D协议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复位：支持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电源输出：DC12 V，50 mA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接口类型：外甩线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存储温湿度：-30 °C~60 °C，湿度小于95%（无凝结）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启动和工作温湿度：-30 °C~60 °C，湿度小于95%（无凝结）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电流及功耗：DC：12 V，0.94 A，最大功耗：10.5 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PoE：802.3af，36 V~57 V，0.34 A~0.22A，最大功耗：12.1 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供电方式：DC：12 V ± 20%，支持防反接保护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PoE：802.3af，Type1，Class 3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防护：IP67</w:t>
            </w:r>
          </w:p>
        </w:tc>
        <w:tc>
          <w:tcPr>
            <w:tcW w:w="688" w:type="dxa"/>
            <w:noWrap w:val="0"/>
            <w:vAlign w:val="center"/>
          </w:tcPr>
          <w:p w14:paraId="7CA972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72809F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r>
      <w:tr w14:paraId="5576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361F0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427" w:type="dxa"/>
            <w:noWrap w:val="0"/>
            <w:vAlign w:val="center"/>
          </w:tcPr>
          <w:p w14:paraId="223E1D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文博专用室外枪机</w:t>
            </w:r>
          </w:p>
          <w:p w14:paraId="3F239B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（核心产品）</w:t>
            </w:r>
          </w:p>
        </w:tc>
        <w:tc>
          <w:tcPr>
            <w:tcW w:w="5448" w:type="dxa"/>
            <w:noWrap w:val="0"/>
            <w:vAlign w:val="center"/>
          </w:tcPr>
          <w:p w14:paraId="488F2AF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1、最高分辨率可达400万像素，并在此分辨率下可输出30 fps实时图像，图像更流畅，支持透雾，支持宽动态120 dB,设备内置电动变焦镜头，操作便易，变焦过程平稳；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2、传感器类型：1/2.7" Progressive Scan CMOS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最低照度：彩色：0.005 Lux @（F1.2，AGC ON）</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黑白：0.001 Lux @（F1.2，AGC ON），0 Lux with IR，宽动态：120 dB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焦距&amp;视场角：2.7~13.5 mm：水平视场角：96.6°~29.7°，垂直视场角：51.7°~16.7°，对角视场角：114.2°~34°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3、补光灯类型：默认红外补光，可切换暖白光，补光距离：暖白光：最远可达30 m，红外灯：最远可达50 m，防补光过曝：支持防补光过曝开启和关闭，开启下支持自动和手动，手动支持根据距离等级控制补光灯亮度，补光灯数量：4颗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4、红外波长范围：850 nm ，最大图像尺寸：2560 × 1440，视频压缩标准：H.265/H.264/MJPEG，网络：1个RJ45 10 M/100 M自适应以太网口，SD卡扩展：内置MicroSD/MicroSDHC/MicroSDXC插槽，最大支持256 GB，音频：1路输入（Line in），1路输出（Line out），2个内置麦克风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5、报警：1路输入，1路输出（报警输入支持开关量，报警输出最大支持DC12 V，30 mA），RS-485：1路RS-485接口，半双工模式，支持自适应，PELCO-P和PELCO-D协议，复位：支持</w:t>
            </w:r>
            <w:r>
              <w:rPr>
                <w:rFonts w:hint="eastAsia" w:asciiTheme="minorEastAsia" w:hAnsiTheme="minorEastAsia" w:eastAsiaTheme="minorEastAsia" w:cstheme="minorEastAsia"/>
                <w:i w:val="0"/>
                <w:iCs w:val="0"/>
                <w:color w:val="auto"/>
                <w:sz w:val="21"/>
                <w:szCs w:val="21"/>
                <w:highlight w:val="none"/>
                <w:u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电源输出：DC12 V，50 mA，接口类型：外甩线，存储温湿度：-30 °C~60 °C，湿度小于95%（无凝结），启动和工作温湿度：-30 °C~60 °C，湿度小于95%（无凝结），供电方式：DC：12 V ± 20%，支持防反接保护，PoE：802.3af，Type1，Class 3，防护：IP67。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★6、摄像机采用鳞镜式补光灯，补光灯开启后，正面不可见补光灯灯珠，补光亮度均匀，无明显波纹状、圆环状、麻点状、条纹状及不规则亮斑。（公安部检验报告证明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★7、支持固件安全检验功能，摄像机uboot应采用加密存储，通过离线烧写存储器方式写入的uboot执行程序，不能被硬件微引导程序加载执行。设备具有耀光抑制功能，耀光区域≤1%。（公安部检验报告证明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c>
          <w:tcPr>
            <w:tcW w:w="688" w:type="dxa"/>
            <w:noWrap w:val="0"/>
            <w:vAlign w:val="center"/>
          </w:tcPr>
          <w:p w14:paraId="04BA7A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136532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r>
      <w:tr w14:paraId="6DD0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45ECB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427" w:type="dxa"/>
            <w:noWrap w:val="0"/>
            <w:vAlign w:val="center"/>
          </w:tcPr>
          <w:p w14:paraId="7F9D8D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文博专用热成像筒机</w:t>
            </w:r>
          </w:p>
        </w:tc>
        <w:tc>
          <w:tcPr>
            <w:tcW w:w="5448" w:type="dxa"/>
            <w:noWrap w:val="0"/>
            <w:vAlign w:val="center"/>
          </w:tcPr>
          <w:p w14:paraId="020FEC34">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热成像：分辨率：160×120；焦距：3mm；视场角：50°× 37.2°，可见光：分辨率：2688×1520，400万；焦距：4mm；视场角：84.0°×44.8°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2、测温精度：±8℃或量程的±8% ℃ （取最大值），测温范围：-20℃~150℃；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人员周界最远报警距离（以1.8米*0.5米为准）：21m，车辆周界最远报警距离（以4米*1.4米为准）：63m，目标物最远测温距离（以0.1米*0.1米为准）：3.3m，火点最远报警距离（以0.1米*0.1米为准）：15m，吸烟检测最远报警距离：3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4、支持30米红外补光，支持AI开放平台，电源：DC 12 V（±25%）或PoE (802.3af, class 3)；</w:t>
            </w:r>
          </w:p>
          <w:p w14:paraId="313BA135">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工作温度和湿度：-40℃~70℃，湿度小于95%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防护等级：IP67；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★6、双光融合显示功能检验：可将热成像视频图像与可见光视频图像进行融合预览，并可在可见光视频图像上的相同比例位置处叠加热成像测温信息。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(提供公安部检验报告并加盖投标人公章）</w:t>
            </w:r>
          </w:p>
          <w:p w14:paraId="6441926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★7、文字转语音设置检验：在IE浏览器下，具有文字转语音设置选项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(提供公安部检验报告并加盖投标人公章）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噪声等效温差(NETD)检验：热成像视频图像噪声等效温差(NETD)≤8mK。可对监控画面中由目标发生镜面反射而产生的报警进行过滤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(提供公安部检验报告并加盖投标人公章）</w:t>
            </w:r>
          </w:p>
        </w:tc>
        <w:tc>
          <w:tcPr>
            <w:tcW w:w="688" w:type="dxa"/>
            <w:noWrap w:val="0"/>
            <w:vAlign w:val="center"/>
          </w:tcPr>
          <w:p w14:paraId="7595B3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53134DE0">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r>
      <w:tr w14:paraId="4F7D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2AEEE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427" w:type="dxa"/>
            <w:noWrap w:val="0"/>
            <w:vAlign w:val="center"/>
          </w:tcPr>
          <w:p w14:paraId="3560FE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监控专用SD卡</w:t>
            </w:r>
          </w:p>
        </w:tc>
        <w:tc>
          <w:tcPr>
            <w:tcW w:w="5448" w:type="dxa"/>
            <w:noWrap w:val="0"/>
            <w:vAlign w:val="center"/>
          </w:tcPr>
          <w:p w14:paraId="0F41A2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TLC晶元，擦写次数500次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标称容量32GB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Class10（读98MB/s，写20MB/s）;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工作温度：0 ℃～70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存储温度：-25 ℃～85 ℃</w:t>
            </w:r>
          </w:p>
        </w:tc>
        <w:tc>
          <w:tcPr>
            <w:tcW w:w="688" w:type="dxa"/>
            <w:noWrap w:val="0"/>
            <w:vAlign w:val="center"/>
          </w:tcPr>
          <w:p w14:paraId="08E678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812" w:type="dxa"/>
            <w:noWrap w:val="0"/>
            <w:vAlign w:val="center"/>
          </w:tcPr>
          <w:p w14:paraId="43E7A4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r>
      <w:tr w14:paraId="66A8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490F0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427" w:type="dxa"/>
            <w:noWrap w:val="0"/>
            <w:vAlign w:val="center"/>
          </w:tcPr>
          <w:p w14:paraId="5E4AD3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枪机支架</w:t>
            </w:r>
          </w:p>
        </w:tc>
        <w:tc>
          <w:tcPr>
            <w:tcW w:w="5448" w:type="dxa"/>
            <w:noWrap w:val="0"/>
            <w:vAlign w:val="center"/>
          </w:tcPr>
          <w:p w14:paraId="622FFC9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壁装支架/白/铝合金/</w:t>
            </w:r>
          </w:p>
        </w:tc>
        <w:tc>
          <w:tcPr>
            <w:tcW w:w="688" w:type="dxa"/>
            <w:noWrap w:val="0"/>
            <w:vAlign w:val="center"/>
          </w:tcPr>
          <w:p w14:paraId="3CED8F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37B595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r>
      <w:tr w14:paraId="3B81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BA62A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427" w:type="dxa"/>
            <w:noWrap w:val="0"/>
            <w:vAlign w:val="center"/>
          </w:tcPr>
          <w:p w14:paraId="0F6EF9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室内机柜</w:t>
            </w:r>
          </w:p>
        </w:tc>
        <w:tc>
          <w:tcPr>
            <w:tcW w:w="5448" w:type="dxa"/>
            <w:noWrap w:val="0"/>
            <w:vAlign w:val="center"/>
          </w:tcPr>
          <w:p w14:paraId="017A493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600*600*18U，含底座等</w:t>
            </w:r>
          </w:p>
        </w:tc>
        <w:tc>
          <w:tcPr>
            <w:tcW w:w="688" w:type="dxa"/>
            <w:noWrap w:val="0"/>
            <w:vAlign w:val="center"/>
          </w:tcPr>
          <w:p w14:paraId="4C02BD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255BB8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7659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00AAA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427" w:type="dxa"/>
            <w:noWrap w:val="0"/>
            <w:vAlign w:val="center"/>
          </w:tcPr>
          <w:p w14:paraId="7D9662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室外抱杆机箱</w:t>
            </w:r>
          </w:p>
        </w:tc>
        <w:tc>
          <w:tcPr>
            <w:tcW w:w="5448" w:type="dxa"/>
            <w:noWrap w:val="0"/>
            <w:vAlign w:val="center"/>
          </w:tcPr>
          <w:p w14:paraId="0FF210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600×540×300室外安防箱，含空开抱箍</w:t>
            </w:r>
          </w:p>
        </w:tc>
        <w:tc>
          <w:tcPr>
            <w:tcW w:w="688" w:type="dxa"/>
            <w:noWrap w:val="0"/>
            <w:vAlign w:val="center"/>
          </w:tcPr>
          <w:p w14:paraId="526492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6AD621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6D11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5FB52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427" w:type="dxa"/>
            <w:noWrap w:val="0"/>
            <w:vAlign w:val="center"/>
          </w:tcPr>
          <w:p w14:paraId="4F83CC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机柜插座</w:t>
            </w:r>
          </w:p>
        </w:tc>
        <w:tc>
          <w:tcPr>
            <w:tcW w:w="5448" w:type="dxa"/>
            <w:noWrap w:val="0"/>
            <w:vAlign w:val="center"/>
          </w:tcPr>
          <w:p w14:paraId="08C10D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8位10A国标三扁输出、带电源指示灯、接线盒输入、上进线</w:t>
            </w:r>
          </w:p>
        </w:tc>
        <w:tc>
          <w:tcPr>
            <w:tcW w:w="688" w:type="dxa"/>
            <w:noWrap w:val="0"/>
            <w:vAlign w:val="center"/>
          </w:tcPr>
          <w:p w14:paraId="2E6BC3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205FAF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2545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0" w:type="dxa"/>
            <w:noWrap w:val="0"/>
            <w:vAlign w:val="center"/>
          </w:tcPr>
          <w:p w14:paraId="3E3D0E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427" w:type="dxa"/>
            <w:noWrap w:val="0"/>
            <w:vAlign w:val="center"/>
          </w:tcPr>
          <w:p w14:paraId="2C3F04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监控机架式电源</w:t>
            </w:r>
          </w:p>
        </w:tc>
        <w:tc>
          <w:tcPr>
            <w:tcW w:w="5448" w:type="dxa"/>
            <w:noWrap w:val="0"/>
            <w:vAlign w:val="center"/>
          </w:tcPr>
          <w:p w14:paraId="49FAE54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1、19英寸1U标准机架式，可安装标准机柜内，每台电源有24路DC12V输出通道, 总输出电流30A，总输出功率360W；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★2、设备每路输出通道都有PPTC限流保护措施及独立的LED指示灯；输出接线柱为可插拔式，支持热插拔。单路额定输出电流≥5A；支持过压保护OVP、过载保护、 短路保护；具备输出电压可调节功能；输出端口支持分区分组调压，支持面板外置1~8分路、9~16及17~24分路三分区调压。外置调压旋钮≥3组；（提供由第三方权威检测机构出具的带CMA标识的检测报告证明并加盖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投标人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3、配置3块双模LED表，支持三个分区实时显示当前输出电压值，支持三个分区实时显示当前负载使用电流值，符合《GB/T 9813.1-2016》规范要求，单一分区过流保护时不影响其他分区正常工作；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★4、智能安防末端电压调测平台可根据输入的设备功率等相关用电参数自动科学计算用电终端设备所需工作电压；（提供由第三方权威检测机构出具的带CMA标识的检测报告证明并加盖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投标人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公章）</w:t>
            </w:r>
          </w:p>
        </w:tc>
        <w:tc>
          <w:tcPr>
            <w:tcW w:w="688" w:type="dxa"/>
            <w:noWrap w:val="0"/>
            <w:vAlign w:val="center"/>
          </w:tcPr>
          <w:p w14:paraId="41D1F5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4BC7B1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r>
      <w:tr w14:paraId="1AD1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28A60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427" w:type="dxa"/>
            <w:noWrap w:val="0"/>
            <w:vAlign w:val="center"/>
          </w:tcPr>
          <w:p w14:paraId="106E68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监控开关电源</w:t>
            </w:r>
          </w:p>
        </w:tc>
        <w:tc>
          <w:tcPr>
            <w:tcW w:w="5448" w:type="dxa"/>
            <w:noWrap w:val="0"/>
            <w:vAlign w:val="center"/>
          </w:tcPr>
          <w:p w14:paraId="58342A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DC12V/200w</w:t>
            </w:r>
          </w:p>
        </w:tc>
        <w:tc>
          <w:tcPr>
            <w:tcW w:w="688" w:type="dxa"/>
            <w:noWrap w:val="0"/>
            <w:vAlign w:val="center"/>
          </w:tcPr>
          <w:p w14:paraId="7A17E9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46E668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7D34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860F9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427" w:type="dxa"/>
            <w:noWrap w:val="0"/>
            <w:vAlign w:val="center"/>
          </w:tcPr>
          <w:p w14:paraId="7A6804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二合一信号防雷器</w:t>
            </w:r>
          </w:p>
        </w:tc>
        <w:tc>
          <w:tcPr>
            <w:tcW w:w="5448" w:type="dxa"/>
            <w:noWrap w:val="0"/>
            <w:vAlign w:val="center"/>
          </w:tcPr>
          <w:p w14:paraId="3F946B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1、网络部分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标称放电电流：3kA，最大通流容量：5kA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响应时间：1ns，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传输速率：1000Mbps，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插入损耗：≤0.5dB，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接头形式(IN/OUT) ：RJ45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2、电源部分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标称工作电压UN24V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标称放电电流：5kA，最大通流容量：10kA，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保护水平UP：≦100V</w:t>
            </w:r>
          </w:p>
        </w:tc>
        <w:tc>
          <w:tcPr>
            <w:tcW w:w="688" w:type="dxa"/>
            <w:noWrap w:val="0"/>
            <w:vAlign w:val="center"/>
          </w:tcPr>
          <w:p w14:paraId="7787D2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2E06B5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r>
      <w:tr w14:paraId="3B65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37510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427" w:type="dxa"/>
            <w:noWrap w:val="0"/>
            <w:vAlign w:val="center"/>
          </w:tcPr>
          <w:p w14:paraId="12E045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室内一体化机柜</w:t>
            </w:r>
          </w:p>
        </w:tc>
        <w:tc>
          <w:tcPr>
            <w:tcW w:w="5448" w:type="dxa"/>
            <w:noWrap w:val="0"/>
            <w:vAlign w:val="center"/>
          </w:tcPr>
          <w:p w14:paraId="1EC52AD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单柜，带风冷型机架式精密空调，UPS容量3KVA，后备时间1小时，含动环监控系统，可用空间22U</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前门玻璃后门钣金，单柜尺寸W*D*H(mm)600*1400*2000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电池配置方式内置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1、UPS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UPS容量3KVA/2.7KW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后备时间1小时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电池配置方式内置38AH/6节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输入电压220/230/240Vac,50/60Hz,1Ph+N+PE</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输出电压范围220（1±2%）Vac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输出频率范围1、输入频率在范围内，输出跟输入一致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输出功率因数≥0.9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逆变过载能力≤110% 60min，≤125% 10min，≤150% 1min，＞150%立即转旁路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整机效率≥94%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市电电池转换时间0ms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旁路逆变转换时间＜4ms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报警方式E-mail报警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访问界面远程web访问、本地13.3英寸触摸屏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功能模块集中管理（UPS/空调/配电等）、报警管理、环境管理（温湿度、烟感、漏水检测）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七氟丙烷选配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2、空调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机架式空调，无空调外机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送风方式前送风，后回风，全密闭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总制冷量3.5KW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3、监控：本地13.3英寸监控显示屏；远程web访问；集中管理（UPS/配电等）、报警管理、环境管理（温湿度、烟感）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4、配件：每个动力柜含2个PDU（横向安装，单路16A输入/10A国标6口输出）、1对L型支架、1个理线架、动力柜满配盲板、浮动螺丝螺母。</w:t>
            </w:r>
          </w:p>
        </w:tc>
        <w:tc>
          <w:tcPr>
            <w:tcW w:w="688" w:type="dxa"/>
            <w:noWrap w:val="0"/>
            <w:vAlign w:val="center"/>
          </w:tcPr>
          <w:p w14:paraId="4AF69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0DDCED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3312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B0A60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427" w:type="dxa"/>
            <w:noWrap w:val="0"/>
            <w:vAlign w:val="center"/>
          </w:tcPr>
          <w:p w14:paraId="1FCE2D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配电箱</w:t>
            </w:r>
          </w:p>
        </w:tc>
        <w:tc>
          <w:tcPr>
            <w:tcW w:w="5448" w:type="dxa"/>
            <w:noWrap w:val="0"/>
            <w:vAlign w:val="center"/>
          </w:tcPr>
          <w:p w14:paraId="6492C9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选用知名品牌元器件，定制</w:t>
            </w:r>
          </w:p>
        </w:tc>
        <w:tc>
          <w:tcPr>
            <w:tcW w:w="688" w:type="dxa"/>
            <w:noWrap w:val="0"/>
            <w:vAlign w:val="center"/>
          </w:tcPr>
          <w:p w14:paraId="742774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04DEC8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2F05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B207E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427" w:type="dxa"/>
            <w:noWrap w:val="0"/>
            <w:vAlign w:val="center"/>
          </w:tcPr>
          <w:p w14:paraId="679BF8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64路NVR硬盘录像机</w:t>
            </w:r>
          </w:p>
        </w:tc>
        <w:tc>
          <w:tcPr>
            <w:tcW w:w="5448" w:type="dxa"/>
            <w:noWrap w:val="0"/>
            <w:vAlign w:val="center"/>
          </w:tcPr>
          <w:p w14:paraId="49EDEFE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1、2U机架式9盘位嵌入式网络硬盘录像机，整机采用短机箱设计，搭载高性能ATX电源，存储接口：9个SATA接口，可满配20TB硬盘，视频接口：2×HDMI，2×VGA，网络接口：2×RJ45 10/100/1000Mbps自适应以太网口，报警接口：16路报警输入，9路报警输出（其中第9路支持CTRL 12V）；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2、反向供电：1路DC12V 1A，串行接口：1路RS-232接口，1路全双工RS-485接口，USB接口：2×USB 2.0，2×USB 3.0，扩展接口：1×eSATA，输入带宽：384Mbps（开启RAID后为200Mbps），输出带宽：256Mbps（开启RAID后为200Mbps），接入能力：64路H.264、H.265格式高清码流接入，解码能力：最大支持32×1080P；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3、显示能力：最大支持8K+1080P、2×4K异源输出，RAID模式：RAID0、RAID1、RAID5、RAID6、RAID10，支持全局热备盘，RAID与智能应用互斥；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搭载高性能AI处理器，搭配智能相机，支持全路数以文搜图应用，内置图文搜索引擎，支持开放式语义检索，输入文字描述即可查找人、车、非机动车及附属物等目标，支持搜索结果按相似度排序展示，根据搜索结果，可一键关联录像片段及以图搜图，以文搜图能力：64路，以图搜图能力：64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目标识别：支持目标抓拍、比对报警；支持以图搜图、按姓名检索、按属性检索，目标名单库：支持16个名单库，总库容5万张，目标抓拍：4路视频流（2MP），目标比对：16路图片流，出厂默认以文搜图应用，以文搜图应用与目标识别应用可切换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备支持文搜功能，可通过文字语义描述，快速检索目标对象或内容；支持对人体、车辆、非机动车、物品、动物、基础事件等类型的检索；并可基于文搜快速检索的结果，对目标进行图搜的二次精准检索定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（提供公安部检测报告并加盖投标人公章）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设备支持独立的智能文搜应用模块，应用内置文搜高频热词，如：人的上衣颜色、下装颜色、随身物品、性别；车的颜色、类型、品牌；其他的抽烟、打电话、玩手机等；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（提供公安部检测报告并加盖投标人公章）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录像目标检索功能，目标检索支持单帧模式调整目标画面，可通过鼠标滚轮调整录像画面帧序列；事件中心，切片回放、回放支持目标检索快速入口。支持预览时对实时视频流进行手动打标签，通过标签检索可以检索到相关的录像片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（提供公安部检测报告并加盖投标人公章）</w:t>
            </w:r>
          </w:p>
        </w:tc>
        <w:tc>
          <w:tcPr>
            <w:tcW w:w="688" w:type="dxa"/>
            <w:noWrap w:val="0"/>
            <w:vAlign w:val="center"/>
          </w:tcPr>
          <w:p w14:paraId="5927CC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30A23E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030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86077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427" w:type="dxa"/>
            <w:noWrap w:val="0"/>
            <w:vAlign w:val="center"/>
          </w:tcPr>
          <w:p w14:paraId="738E5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32路NVR硬盘录像机</w:t>
            </w:r>
          </w:p>
        </w:tc>
        <w:tc>
          <w:tcPr>
            <w:tcW w:w="5448" w:type="dxa"/>
            <w:noWrap w:val="0"/>
            <w:vAlign w:val="center"/>
          </w:tcPr>
          <w:p w14:paraId="56B6DA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1、2U机架式9盘位嵌入式网络硬盘录像机，整机采用短机箱设计，搭载高性能ATX电源，存储接口：9个SATA接口，可满配20TB硬盘视频接口：2×HDMI，2×VGA，网络接口：2×RJ45 10/100/1000Mbps自适应以太网口，报警接口：16路报警输入，9路报警输出（其中第9路支持CTRL 12V）；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2、反向供电：1路DC12V 1A，串行接口：1路RS-232接口，1路全双工RS-485接口，USB接口：2×USB 2.0，2×USB 3.0，扩展接口：1×eSATA，输入带宽：320Mbps（开启RAID后为200Mbps），输出带宽：256Mbps（开启RAID后为200Mbps），接入能力：32路H.264、H.265格式高清码流接入。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解码能力：最大支持32×1080P，显示能力：最大支持8K+1080P、2×4K异源输出，RAID模式：RAID0、RAID1、RAID5、RAID6、RAID10，支持全局热备盘，RAID与智能应用互斥，整机搭载高性能AI处理器，搭配智能相机，支持全路数以文搜图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4、内置图文搜索引擎，支持开放式语义检索，输入文字描述即可查找人、车、非机动车及附属物等目标，支持搜索结果按相似度排序展示，根据搜索结果，可一键关联录像片段及以图搜图；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以文搜图能力：32路，以图搜图能力：32路，目标识别：支持目标抓拍、比对报警；支持以图搜图、按姓名检索、按属性检索，目标名单库：支持16个名单库，总库容5万张，目标抓拍：4路视频流（2MP），目标比对：16路图片流，出厂默认以文搜图应用，以文搜图应用与目标识别应用可切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备支持文搜功能，可通过文字语义描述，快速检索目标对象或内容；支持对人体、车辆、非机动车、物品、动物、基础事件等类型的检索；并可基于文搜快速检索的结果，对目标进行图搜的二次精准检索定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（提供公安部检测报告并加盖投标人公章）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★7、设备支持独立的智能文搜应用模块，应用内置文搜高频热词，如：人的上衣颜色、下装颜色、随身物品、性别；车的颜色、类型、品牌；其他的抽烟、打电话、玩手机等；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（提供公安部检测报告并加盖投标人公章）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录像目标检索功能，目标检索支持单帧模式调整目标画面，可通过鼠标滚轮调整录像画面帧序列；事件中心，切片回放、回放支持目标检索快速入口。支持预览时对实时视频流进行手动打标签，通过标签检索可以检索到相关的录像片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（提供公安部检测报告并加盖投标人公章）</w:t>
            </w:r>
          </w:p>
        </w:tc>
        <w:tc>
          <w:tcPr>
            <w:tcW w:w="688" w:type="dxa"/>
            <w:noWrap w:val="0"/>
            <w:vAlign w:val="center"/>
          </w:tcPr>
          <w:p w14:paraId="043D0A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2B751C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28FE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F92B1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427" w:type="dxa"/>
            <w:noWrap w:val="0"/>
            <w:vAlign w:val="center"/>
          </w:tcPr>
          <w:p w14:paraId="114087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6T硬盘</w:t>
            </w:r>
          </w:p>
        </w:tc>
        <w:tc>
          <w:tcPr>
            <w:tcW w:w="5448" w:type="dxa"/>
            <w:noWrap w:val="0"/>
            <w:vAlign w:val="center"/>
          </w:tcPr>
          <w:p w14:paraId="69D7D2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3.5英寸 6TB  128M SATA3 6Gb/s</w:t>
            </w:r>
          </w:p>
        </w:tc>
        <w:tc>
          <w:tcPr>
            <w:tcW w:w="688" w:type="dxa"/>
            <w:noWrap w:val="0"/>
            <w:vAlign w:val="center"/>
          </w:tcPr>
          <w:p w14:paraId="236B08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块</w:t>
            </w:r>
          </w:p>
        </w:tc>
        <w:tc>
          <w:tcPr>
            <w:tcW w:w="812" w:type="dxa"/>
            <w:noWrap w:val="0"/>
            <w:vAlign w:val="center"/>
          </w:tcPr>
          <w:p w14:paraId="758067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r>
      <w:tr w14:paraId="72DD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C915D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427" w:type="dxa"/>
            <w:noWrap w:val="0"/>
            <w:vAlign w:val="center"/>
          </w:tcPr>
          <w:p w14:paraId="0AD6F6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安防管理工作站</w:t>
            </w:r>
          </w:p>
        </w:tc>
        <w:tc>
          <w:tcPr>
            <w:tcW w:w="5448" w:type="dxa"/>
            <w:noWrap w:val="0"/>
            <w:vAlign w:val="center"/>
          </w:tcPr>
          <w:p w14:paraId="14CB00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国产CPU/16G内存/512G固态硬盘/含21寸显示器/含鼠标键盘</w:t>
            </w:r>
          </w:p>
        </w:tc>
        <w:tc>
          <w:tcPr>
            <w:tcW w:w="688" w:type="dxa"/>
            <w:noWrap w:val="0"/>
            <w:vAlign w:val="center"/>
          </w:tcPr>
          <w:p w14:paraId="6B4E06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2F30B8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1581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18A3C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427" w:type="dxa"/>
            <w:noWrap w:val="0"/>
            <w:vAlign w:val="center"/>
          </w:tcPr>
          <w:p w14:paraId="3D6956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32寸监视器</w:t>
            </w:r>
          </w:p>
        </w:tc>
        <w:tc>
          <w:tcPr>
            <w:tcW w:w="5448" w:type="dxa"/>
            <w:noWrap w:val="0"/>
            <w:vAlign w:val="center"/>
          </w:tcPr>
          <w:p w14:paraId="735E58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32寸行业FHD塑胶监视器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支持1920 × 1080高清显示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 3-D 数字梳状滤波器，采用 3-D 降噪技术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自动彩色，改善图像的对比度，细节，边缘等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具有自动消除残影功能，保护液晶屏的长期使用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支持软件展频技术可降低 EMI 辐射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输出接口：Speaker(8Ω 5W) × 2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输入接口：VGA × 1，HDMI 1.4 × 1，Audio Input × 1</w:t>
            </w:r>
          </w:p>
        </w:tc>
        <w:tc>
          <w:tcPr>
            <w:tcW w:w="688" w:type="dxa"/>
            <w:noWrap w:val="0"/>
            <w:vAlign w:val="center"/>
          </w:tcPr>
          <w:p w14:paraId="202B32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0666AB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1FED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8DE42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1427" w:type="dxa"/>
            <w:noWrap w:val="0"/>
            <w:vAlign w:val="center"/>
          </w:tcPr>
          <w:p w14:paraId="38E62B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六类双绞线</w:t>
            </w:r>
          </w:p>
        </w:tc>
        <w:tc>
          <w:tcPr>
            <w:tcW w:w="5448" w:type="dxa"/>
            <w:noWrap w:val="0"/>
            <w:vAlign w:val="center"/>
          </w:tcPr>
          <w:p w14:paraId="2607F4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符合标准：ISO/IEC 11801：2017；IEC 61156-5-2020；TIA-568.2-D-2018;YD/T 1019-2013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通过标准250MHz带宽测试要求可扩展到550MHz带宽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单根导体直流电阻：≤9.5Ω/100m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额定传输速率(NVP)：69%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电缆对数：4对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十字骨架材料：PE混合物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导体材料：无氧圆铜（纯度99.99%）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最小弯曲半径：10倍电缆外径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导体线规：23AWG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绝缘材料：HDPE</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屏蔽方式：U/UTP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外护套材料：PVC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工作温度：-20℃～+60℃</w:t>
            </w:r>
          </w:p>
        </w:tc>
        <w:tc>
          <w:tcPr>
            <w:tcW w:w="688" w:type="dxa"/>
            <w:noWrap w:val="0"/>
            <w:vAlign w:val="center"/>
          </w:tcPr>
          <w:p w14:paraId="6E333F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3B4D5D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2530</w:t>
            </w:r>
          </w:p>
        </w:tc>
      </w:tr>
      <w:tr w14:paraId="49E2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A95BA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427" w:type="dxa"/>
            <w:noWrap w:val="0"/>
            <w:vAlign w:val="center"/>
          </w:tcPr>
          <w:p w14:paraId="5B62E9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电源线</w:t>
            </w:r>
          </w:p>
        </w:tc>
        <w:tc>
          <w:tcPr>
            <w:tcW w:w="5448" w:type="dxa"/>
            <w:noWrap w:val="0"/>
            <w:vAlign w:val="center"/>
          </w:tcPr>
          <w:p w14:paraId="758765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RVV2*1.0</w:t>
            </w:r>
          </w:p>
        </w:tc>
        <w:tc>
          <w:tcPr>
            <w:tcW w:w="688" w:type="dxa"/>
            <w:noWrap w:val="0"/>
            <w:vAlign w:val="center"/>
          </w:tcPr>
          <w:p w14:paraId="7C79E5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498CD5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2530</w:t>
            </w:r>
          </w:p>
        </w:tc>
      </w:tr>
      <w:tr w14:paraId="0F2A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89363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1427" w:type="dxa"/>
            <w:noWrap w:val="0"/>
            <w:vAlign w:val="center"/>
          </w:tcPr>
          <w:p w14:paraId="7E8C1A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供电线缆</w:t>
            </w:r>
          </w:p>
        </w:tc>
        <w:tc>
          <w:tcPr>
            <w:tcW w:w="5448" w:type="dxa"/>
            <w:noWrap w:val="0"/>
            <w:vAlign w:val="center"/>
          </w:tcPr>
          <w:p w14:paraId="0BFAE9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RVV3*2.5</w:t>
            </w:r>
          </w:p>
        </w:tc>
        <w:tc>
          <w:tcPr>
            <w:tcW w:w="688" w:type="dxa"/>
            <w:noWrap w:val="0"/>
            <w:vAlign w:val="center"/>
          </w:tcPr>
          <w:p w14:paraId="7755A3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3F5AFA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w:t>
            </w:r>
          </w:p>
        </w:tc>
      </w:tr>
      <w:tr w14:paraId="5EB7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5AE1E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1427" w:type="dxa"/>
            <w:noWrap w:val="0"/>
            <w:vAlign w:val="center"/>
          </w:tcPr>
          <w:p w14:paraId="6CBC85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管路</w:t>
            </w:r>
          </w:p>
        </w:tc>
        <w:tc>
          <w:tcPr>
            <w:tcW w:w="5448" w:type="dxa"/>
            <w:noWrap w:val="0"/>
            <w:vAlign w:val="center"/>
          </w:tcPr>
          <w:p w14:paraId="5B555D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JDG25/JDG20</w:t>
            </w:r>
          </w:p>
        </w:tc>
        <w:tc>
          <w:tcPr>
            <w:tcW w:w="688" w:type="dxa"/>
            <w:noWrap w:val="0"/>
            <w:vAlign w:val="center"/>
          </w:tcPr>
          <w:p w14:paraId="796DF3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0072F3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1065</w:t>
            </w:r>
          </w:p>
        </w:tc>
      </w:tr>
      <w:tr w14:paraId="2C39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0387A4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1427" w:type="dxa"/>
            <w:noWrap w:val="0"/>
            <w:vAlign w:val="center"/>
          </w:tcPr>
          <w:p w14:paraId="6C3E73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辅材</w:t>
            </w:r>
          </w:p>
        </w:tc>
        <w:tc>
          <w:tcPr>
            <w:tcW w:w="5448" w:type="dxa"/>
            <w:noWrap w:val="0"/>
            <w:vAlign w:val="center"/>
          </w:tcPr>
          <w:p w14:paraId="79336CA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施工所需的零星配件</w:t>
            </w:r>
          </w:p>
        </w:tc>
        <w:tc>
          <w:tcPr>
            <w:tcW w:w="688" w:type="dxa"/>
            <w:noWrap w:val="0"/>
            <w:vAlign w:val="center"/>
          </w:tcPr>
          <w:p w14:paraId="461F0B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5A4C5B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63B3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75" w:type="dxa"/>
            <w:gridSpan w:val="3"/>
            <w:noWrap w:val="0"/>
            <w:vAlign w:val="center"/>
          </w:tcPr>
          <w:p w14:paraId="1B9DA16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二、紧急广播系统</w:t>
            </w:r>
          </w:p>
        </w:tc>
        <w:tc>
          <w:tcPr>
            <w:tcW w:w="688" w:type="dxa"/>
            <w:noWrap w:val="0"/>
            <w:vAlign w:val="center"/>
          </w:tcPr>
          <w:p w14:paraId="322163E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812" w:type="dxa"/>
            <w:noWrap w:val="0"/>
            <w:vAlign w:val="center"/>
          </w:tcPr>
          <w:p w14:paraId="11D4B5BC">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03AE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94673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427" w:type="dxa"/>
            <w:noWrap w:val="0"/>
            <w:vAlign w:val="center"/>
          </w:tcPr>
          <w:p w14:paraId="79057B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文博专用室内网络音柱</w:t>
            </w:r>
          </w:p>
        </w:tc>
        <w:tc>
          <w:tcPr>
            <w:tcW w:w="5448" w:type="dxa"/>
            <w:noWrap w:val="0"/>
            <w:vAlign w:val="center"/>
          </w:tcPr>
          <w:p w14:paraId="2922C2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一体化壁挂式设计，网络音频解码、高性能D类功放及5.25寸全频喇叭三合一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采用高速工业级双核芯片，内置NOR Flash+EMMC双存储，支持系统双备份，系统稳定可靠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支持安全启动、用户登录锁定机制及密码复杂度提示，支持安全审计日志事后可追溯，提升系统网络安全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支持通过IP网络（局域网/公网），远程平台批量统一管理+本地WEB单机灵活配置，同时支持本地音频采集（蓝牙/3.5 mm音频输入）播放，适配各类场景应用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支持实时和定时任务、隔天续播，支持60个定时任务，内置1GB存储空间最多支持1000个wav、mp3音频素材库管理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支持定阻输出，可外接副音箱提升声场覆盖面积，节省安装布线成本</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支持NTP自动校时，系统时间与服务器自动同步，确保多设备播放同步和定时任务准时执行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支持TTS语音合成和文本广播，自然流畅的标准男女双声可选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支持ISUP、萤石、ISAPI协议，灵活接入平台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支持广播混音、优先级灵活配置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支持监听与对讲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麦克风类型：MEMS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阵列数量：2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频率响应：100 Hz ~ 20 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灵敏度：-42 dBV/Pa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采样率：48 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量化位数：16 bit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额定功率：20 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扬声器单元：全频5.25′′ × 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灵敏度（1 m，1 W）：90 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最大声压级（1 m）：101 dBSPL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频率响应：100 Hz-20 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信噪比：83 dB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音频算法：AEC、AGC、ANS、DRC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音频编码及码率：G.711ulaw（64 Kbps）/G.711alaw（64 Kbps）/MP3（128 Kbps）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网络协议：IPv4, HTTP, HTTPS , SIP, SSL/TLS , DNS,  NTP, TCP, UDP, IGMP, ICMP, DHCP, ARP, SSH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接口协议（API）：ISAPI, ISUP, SIP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通信方式：支持有线网络通信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-G型号：支持4G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网口：1个RJ45 10 M/100 M自适应以太网口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音频输入：3.5 mm音频接口 × 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NS、AGC音频算法，支持播放MP3、WAV格式音频文件，支持48kHz采样率16bit数字音频码流解码</w:t>
            </w:r>
          </w:p>
        </w:tc>
        <w:tc>
          <w:tcPr>
            <w:tcW w:w="688" w:type="dxa"/>
            <w:noWrap w:val="0"/>
            <w:vAlign w:val="center"/>
          </w:tcPr>
          <w:p w14:paraId="25B993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4BBE9A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r>
      <w:tr w14:paraId="763D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0" w:type="dxa"/>
            <w:noWrap w:val="0"/>
            <w:vAlign w:val="center"/>
          </w:tcPr>
          <w:p w14:paraId="734DFB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427" w:type="dxa"/>
            <w:noWrap w:val="0"/>
            <w:vAlign w:val="center"/>
          </w:tcPr>
          <w:p w14:paraId="4DC47A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文博专用网络室外音柱</w:t>
            </w:r>
          </w:p>
        </w:tc>
        <w:tc>
          <w:tcPr>
            <w:tcW w:w="5448" w:type="dxa"/>
            <w:noWrap w:val="0"/>
            <w:vAlign w:val="center"/>
          </w:tcPr>
          <w:p w14:paraId="2A6CC5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采用网络音频解码、高性能D类功放及全频喇叭三合一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采用高速工业级双核芯片，内置NOR Flash+EMMC双存储，支持系统双备份，系统稳定可靠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支持安全启动、用户登录锁定机制及密码复杂度提示，支持安全审计日志事后可追溯，提升系统网络安全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支持通过IP网络（局域网/公网），远程平台批量统一管理+本地WEB单机灵活配置，同时支持本地音频采集播放，适配各类场景应用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支持实时和定时任务、隔天续播，支持60个定时任务，内置1 GB存储空间最多支持1000个wav、mp3音频素材库管理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麦克风类型：驻极体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阵列数量：2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频率响应：100 Hz~20 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灵敏度：-42 dBV/Pa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采样率：48 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量化位数：16 bit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额定功率：30 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扬声器单元：中低音5.25′′ × 1，球顶高音0.75′′ × 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灵敏度（1 m，1 W）：86 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最大声压级（1 m）：97.5 dBSPL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频率响应：100 Hz~20 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信噪比：85dB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音频算法：AEC、AGC、ANS、DRC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音频编码及码率：G.711ulaw（64 Kbps）/G.711alaw（64 Kbps）/MP3（128 Kbps）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网络协议：IPv4, HTTP, HTTPS , SIP, SSL/TLS , DNS,  NTP, TCP, UDP, IGMP, ICMP, DHCP, ARP, SSH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接口协议（API）：ISAPI, ISUP, SIP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通信方式：支持有线网络通信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防护等级：IP66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支持实时和定时任务播放，支持本地保存60个定时任务，内置1GB存储空间最多支持1000个wav、mp3音频素材库管理</w:t>
            </w:r>
          </w:p>
          <w:p w14:paraId="36000E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集成DRC和AEC、ANS、AGC音频算法，支持播放MP3、WAV格式音频文件，支持48kHz采样率16bit数字音频码流解码</w:t>
            </w:r>
          </w:p>
        </w:tc>
        <w:tc>
          <w:tcPr>
            <w:tcW w:w="688" w:type="dxa"/>
            <w:noWrap w:val="0"/>
            <w:vAlign w:val="center"/>
          </w:tcPr>
          <w:p w14:paraId="31FB18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6F3271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243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D025D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1427" w:type="dxa"/>
            <w:noWrap w:val="0"/>
            <w:vAlign w:val="center"/>
          </w:tcPr>
          <w:p w14:paraId="16A8B3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六类双绞线</w:t>
            </w:r>
          </w:p>
        </w:tc>
        <w:tc>
          <w:tcPr>
            <w:tcW w:w="5448" w:type="dxa"/>
            <w:noWrap w:val="0"/>
            <w:vAlign w:val="center"/>
          </w:tcPr>
          <w:p w14:paraId="07BC29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符合标准：ISO/IEC 11801：2017；IEC 61156-5-2020；TIA-568.2-D-2018;YD/T 1019-2013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通过标准250MHz带宽测试要求可扩展到550MHz带宽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单根导体直流电阻：≤9.5Ω/100m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额定传输速率(NVP)：69%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电缆对数：4对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十字骨架材料：PE混合物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导体材料：无氧圆铜（纯度99.99%）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最小弯曲半径：10倍电缆外径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导体线规：23AWG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绝缘材料：HDPE</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屏蔽方式：U/UTP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外护套材料：PVC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工作温度：-20℃～+60℃</w:t>
            </w:r>
          </w:p>
        </w:tc>
        <w:tc>
          <w:tcPr>
            <w:tcW w:w="688" w:type="dxa"/>
            <w:noWrap w:val="0"/>
            <w:vAlign w:val="center"/>
          </w:tcPr>
          <w:p w14:paraId="05691D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5F44E5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505</w:t>
            </w:r>
          </w:p>
        </w:tc>
      </w:tr>
      <w:tr w14:paraId="2552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296A4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1427" w:type="dxa"/>
            <w:noWrap w:val="0"/>
            <w:vAlign w:val="center"/>
          </w:tcPr>
          <w:p w14:paraId="04F85F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电源线</w:t>
            </w:r>
          </w:p>
        </w:tc>
        <w:tc>
          <w:tcPr>
            <w:tcW w:w="5448" w:type="dxa"/>
            <w:noWrap w:val="0"/>
            <w:vAlign w:val="center"/>
          </w:tcPr>
          <w:p w14:paraId="33984D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RVV2*1.0</w:t>
            </w:r>
          </w:p>
        </w:tc>
        <w:tc>
          <w:tcPr>
            <w:tcW w:w="688" w:type="dxa"/>
            <w:noWrap w:val="0"/>
            <w:vAlign w:val="center"/>
          </w:tcPr>
          <w:p w14:paraId="1BB9C1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5A2F9B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505</w:t>
            </w:r>
          </w:p>
        </w:tc>
      </w:tr>
      <w:tr w14:paraId="7EA6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DEB7F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427" w:type="dxa"/>
            <w:noWrap w:val="0"/>
            <w:vAlign w:val="center"/>
          </w:tcPr>
          <w:p w14:paraId="28429A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广播开关电源</w:t>
            </w:r>
          </w:p>
        </w:tc>
        <w:tc>
          <w:tcPr>
            <w:tcW w:w="5448" w:type="dxa"/>
            <w:noWrap w:val="0"/>
            <w:vAlign w:val="center"/>
          </w:tcPr>
          <w:p w14:paraId="132C253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24V/145w</w:t>
            </w:r>
          </w:p>
        </w:tc>
        <w:tc>
          <w:tcPr>
            <w:tcW w:w="688" w:type="dxa"/>
            <w:noWrap w:val="0"/>
            <w:vAlign w:val="center"/>
          </w:tcPr>
          <w:p w14:paraId="68B30B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428586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6614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0C5F7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1427" w:type="dxa"/>
            <w:noWrap w:val="0"/>
            <w:vAlign w:val="center"/>
          </w:tcPr>
          <w:p w14:paraId="4BDD35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网络消防报警器</w:t>
            </w:r>
          </w:p>
        </w:tc>
        <w:tc>
          <w:tcPr>
            <w:tcW w:w="5448" w:type="dxa"/>
            <w:noWrap w:val="0"/>
            <w:vAlign w:val="center"/>
          </w:tcPr>
          <w:p w14:paraId="2861F4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1、内置1路火警、1路钟声提示音、1路紧急疏散人群提示音；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2、支持MIC及线路录音，长达60秒；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3、1路短路输入，1路短路输出功能，支持手动与自动播放；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4、2路线路输出；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5、内置2W监听喇叭功能；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6、2U标准机箱设计，铝合金面板，美观实用。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电源：AC220V/3A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频率响应：20-20KHZ(≤±3dB)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信噪比：≥75dB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短路输入：0V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谐波失真：≤1%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工作温度：5℃-45℃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工作湿度：20%-80%相对湿度，无结露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额定功率：30W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机身尺（mm)：483x350.5x90mm</w:t>
            </w:r>
          </w:p>
        </w:tc>
        <w:tc>
          <w:tcPr>
            <w:tcW w:w="688" w:type="dxa"/>
            <w:noWrap w:val="0"/>
            <w:vAlign w:val="center"/>
          </w:tcPr>
          <w:p w14:paraId="301B57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3CFDCA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526C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DAC1D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427" w:type="dxa"/>
            <w:noWrap w:val="0"/>
            <w:vAlign w:val="center"/>
          </w:tcPr>
          <w:p w14:paraId="38789E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IP网络寻呼话筒</w:t>
            </w:r>
          </w:p>
        </w:tc>
        <w:tc>
          <w:tcPr>
            <w:tcW w:w="5448" w:type="dxa"/>
            <w:noWrap w:val="0"/>
            <w:vAlign w:val="center"/>
          </w:tcPr>
          <w:p w14:paraId="0DE6D1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1、安卓系统，10.1寸彩色IPS 触摸屏，支持第三方app安装，便于拓展个性业务应用。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2、支持对指定的分区或终端进行实时广播、喊话或者播放媒体库文件。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3、支持获取平台下发的终端列表和媒体库文件。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4、支持将外接（3.5mm音频孔）的模拟音源播放到指定的广播终端或分区。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5、支持与门口机、一键对讲终端、室内机进行可视对讲，并可远程控制门禁开锁。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6、寻呼话筒之间支持多方对讲，最大支持16台设备。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7、设备本地可支持音视频存储功能，包括抓拍图片、对讲录音、对讲录像，监视录音、监视录像等。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音频输入：内置全指向mic（双mic）&amp;外置听筒mic&amp;外置鹅颈mic&amp;3.5mm咪头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音频输出：内置spk&amp;外置听筒spk&amp;3.5mm咪头&amp;外接功放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物理接口：RJ45*2，USB2.0接口(鼠标、键盘、U盘)*3，485*1，音频输入*1，音频输出*1，报警输入*2，报警输出（继电器）*2，HDMI*1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供电：12VDC/标准POE</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设备功率：≤12W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工作温度：-10℃～50℃；工作湿度：10％-90％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防水等级：室内使用，无需防水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外形尺寸：290*116*31.18mm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安装方式：桌面或墙面挂装</w:t>
            </w:r>
          </w:p>
        </w:tc>
        <w:tc>
          <w:tcPr>
            <w:tcW w:w="688" w:type="dxa"/>
            <w:noWrap w:val="0"/>
            <w:vAlign w:val="center"/>
          </w:tcPr>
          <w:p w14:paraId="7BC32E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2EE364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3F10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92DB9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1427" w:type="dxa"/>
            <w:noWrap w:val="0"/>
            <w:vAlign w:val="center"/>
          </w:tcPr>
          <w:p w14:paraId="44B056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管路</w:t>
            </w:r>
          </w:p>
        </w:tc>
        <w:tc>
          <w:tcPr>
            <w:tcW w:w="5448" w:type="dxa"/>
            <w:noWrap w:val="0"/>
            <w:vAlign w:val="center"/>
          </w:tcPr>
          <w:p w14:paraId="57625E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JDG25/JDG20</w:t>
            </w:r>
          </w:p>
        </w:tc>
        <w:tc>
          <w:tcPr>
            <w:tcW w:w="688" w:type="dxa"/>
            <w:noWrap w:val="0"/>
            <w:vAlign w:val="center"/>
          </w:tcPr>
          <w:p w14:paraId="048A6D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5FB705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r>
      <w:tr w14:paraId="6434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52AF9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1427" w:type="dxa"/>
            <w:noWrap w:val="0"/>
            <w:vAlign w:val="center"/>
          </w:tcPr>
          <w:p w14:paraId="298BC0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辅材</w:t>
            </w:r>
          </w:p>
        </w:tc>
        <w:tc>
          <w:tcPr>
            <w:tcW w:w="5448" w:type="dxa"/>
            <w:noWrap w:val="0"/>
            <w:vAlign w:val="center"/>
          </w:tcPr>
          <w:p w14:paraId="2A243D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施工所需的零星配件</w:t>
            </w:r>
          </w:p>
        </w:tc>
        <w:tc>
          <w:tcPr>
            <w:tcW w:w="688" w:type="dxa"/>
            <w:noWrap w:val="0"/>
            <w:vAlign w:val="center"/>
          </w:tcPr>
          <w:p w14:paraId="279603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10C34D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73CF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75" w:type="dxa"/>
            <w:gridSpan w:val="3"/>
            <w:noWrap w:val="0"/>
            <w:vAlign w:val="center"/>
          </w:tcPr>
          <w:p w14:paraId="7F2512F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三、入侵报警系统</w:t>
            </w:r>
          </w:p>
        </w:tc>
        <w:tc>
          <w:tcPr>
            <w:tcW w:w="688" w:type="dxa"/>
            <w:noWrap w:val="0"/>
            <w:vAlign w:val="center"/>
          </w:tcPr>
          <w:p w14:paraId="1B8C3C4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812" w:type="dxa"/>
            <w:noWrap w:val="0"/>
            <w:vAlign w:val="center"/>
          </w:tcPr>
          <w:p w14:paraId="0265BBE6">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59E4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93486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1427" w:type="dxa"/>
            <w:noWrap w:val="0"/>
            <w:vAlign w:val="center"/>
          </w:tcPr>
          <w:p w14:paraId="38481C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壁挂式双鉴探测器</w:t>
            </w:r>
          </w:p>
        </w:tc>
        <w:tc>
          <w:tcPr>
            <w:tcW w:w="5448" w:type="dxa"/>
            <w:noWrap w:val="0"/>
            <w:vAlign w:val="center"/>
          </w:tcPr>
          <w:p w14:paraId="1E0789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室内双鉴探测器；（防宠）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探测方式：微波全范围被动红外辅以24GHz微波探测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探测范围：16m x 22m；探测角度：90°；测速范围：0.2～3m/s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透镜扇区：52；微波频段：24GHz(24.15～24.25GHz)；抗环境光：6500lux</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支持数字温度补偿；支持防遮挡，防伪装探测；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光学密封，下视窗保护；智能算法：支持；防拆保护：开盖；防阻隔探测：支持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报警输出：常闭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标称功耗：25mA(最大)；设备供电：9 - 16 VDC；标称电压：12 VDC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安装高度：1.8m ～ 2.4m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工作温度：-10 °C ～ 55 °C；储存温度：-20 °C ～ 60 °C；工作湿度：10% - 90%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安装方式：顶装/墙装/万向支架支持</w:t>
            </w:r>
          </w:p>
        </w:tc>
        <w:tc>
          <w:tcPr>
            <w:tcW w:w="688" w:type="dxa"/>
            <w:noWrap w:val="0"/>
            <w:vAlign w:val="center"/>
          </w:tcPr>
          <w:p w14:paraId="365B02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0246B2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r>
      <w:tr w14:paraId="5F35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34FDA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1427" w:type="dxa"/>
            <w:noWrap w:val="0"/>
            <w:vAlign w:val="center"/>
          </w:tcPr>
          <w:p w14:paraId="3A9CEA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开关电源</w:t>
            </w:r>
          </w:p>
        </w:tc>
        <w:tc>
          <w:tcPr>
            <w:tcW w:w="5448" w:type="dxa"/>
            <w:noWrap w:val="0"/>
            <w:vAlign w:val="center"/>
          </w:tcPr>
          <w:p w14:paraId="16E5ADF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DC12V200W</w:t>
            </w:r>
          </w:p>
        </w:tc>
        <w:tc>
          <w:tcPr>
            <w:tcW w:w="688" w:type="dxa"/>
            <w:noWrap w:val="0"/>
            <w:vAlign w:val="center"/>
          </w:tcPr>
          <w:p w14:paraId="22A319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62298E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484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440CC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1427" w:type="dxa"/>
            <w:noWrap w:val="0"/>
            <w:vAlign w:val="center"/>
          </w:tcPr>
          <w:p w14:paraId="763E00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报警信号线</w:t>
            </w:r>
          </w:p>
        </w:tc>
        <w:tc>
          <w:tcPr>
            <w:tcW w:w="5448" w:type="dxa"/>
            <w:noWrap w:val="0"/>
            <w:vAlign w:val="center"/>
          </w:tcPr>
          <w:p w14:paraId="3852460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RVV6*1.0</w:t>
            </w:r>
          </w:p>
        </w:tc>
        <w:tc>
          <w:tcPr>
            <w:tcW w:w="688" w:type="dxa"/>
            <w:noWrap w:val="0"/>
            <w:vAlign w:val="center"/>
          </w:tcPr>
          <w:p w14:paraId="71E535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0F90D4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360</w:t>
            </w:r>
          </w:p>
        </w:tc>
      </w:tr>
      <w:tr w14:paraId="53DD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4BBCB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1427" w:type="dxa"/>
            <w:noWrap w:val="0"/>
            <w:vAlign w:val="center"/>
          </w:tcPr>
          <w:p w14:paraId="0008CF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分线报警主机</w:t>
            </w:r>
          </w:p>
        </w:tc>
        <w:tc>
          <w:tcPr>
            <w:tcW w:w="5448" w:type="dxa"/>
            <w:noWrap w:val="0"/>
            <w:vAlign w:val="center"/>
          </w:tcPr>
          <w:p w14:paraId="5575CF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分线式网络报警主机（支持新国标GB12663-2019）；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8个板载有线防区，最大支持扩展至48防区(扩展防区可以为无线防区)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4路继电器输出（最大可扩展至48路）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支持通过网络、电话线、4G传输报警数据（搭配CMK-4G模块）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支持短信报警、消警及远程布撤防（搭配CMK-4G模块）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支持250条CID报告缓存,支持8000条报警事件记录、2000条操作事件记录，1500条用户管理操作记录，支持事件带日期功能,支持远程搜索查询事件日志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支持2组独立的以太网接警中心，2组独立的电话接警中心，灵活配置报警数据上传策略、冗余备份策略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支持定时布撤防（日常计划、优先计划）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支持32个控制键盘接入，遥控器回控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支持Contact ID protocol，支持话机复用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支持外置蓄电池，蓄电池电压实时监测，主辅电源可自动切换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支持远程升级,远程导入导出配置参数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防拆：支持本地8个基础防区和无线防区探测器防拆报警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短信报警：配合CMK-4G模块系列支持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电话报警：配合CMK-4G模块系列支持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电话数量：配合CMK-4G模块系列支持4个电话号码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配置方式：键盘编程和4200配置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协议：通用协议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用户：网络用户32个，包括管理员、操作员、安装员，制造商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电源：AC220V；功耗：≤40W；工作温度：–10℃～+55℃；工作湿度：10％--90％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尺寸(宽x高x深)：370（H）*320（W）*86（D）；重量：＜3.5kg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安装方式：壁挂</w:t>
            </w:r>
          </w:p>
        </w:tc>
        <w:tc>
          <w:tcPr>
            <w:tcW w:w="688" w:type="dxa"/>
            <w:noWrap w:val="0"/>
            <w:vAlign w:val="center"/>
          </w:tcPr>
          <w:p w14:paraId="783F1F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50EC6F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742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F935D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1427" w:type="dxa"/>
            <w:noWrap w:val="0"/>
            <w:vAlign w:val="center"/>
          </w:tcPr>
          <w:p w14:paraId="0BECA9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控制键盘</w:t>
            </w:r>
          </w:p>
        </w:tc>
        <w:tc>
          <w:tcPr>
            <w:tcW w:w="5448" w:type="dxa"/>
            <w:noWrap w:val="0"/>
            <w:vAlign w:val="center"/>
          </w:tcPr>
          <w:p w14:paraId="6175BC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LCD报警键盘；（可通过遥控器和刷卡布撤防） 连接到报警主机，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可以对报警主机进行操作和编程，通过指示灯和报警音提示报警；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支持连接遥控器进行远程布撤防，支持双向遥控器，遥控器LED显示操作结果；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键盘最多所能支持的无线遥控器数量由主机决定，最多支持32个遥控器；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支持刷卡布撤防，但刷卡不支持消警功能，卡片数量由主机限制，目前网络主机最大可添加32张卡片；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主机状态指示灯：系统故障（橙色），网络链接状态（绿色），报警（红色），布撤防（蓝色），配置状态（红绿双色） 功能键：8个，工程、查询，旁路，一键，火警，紧急，左键，右键；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防拆功能：支持；与主机通讯：485；键盘警情输出：蜂鸣器；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功能特性：对主机编程、撤布防、消警、旁路/旁路恢复、工程测试、子系统操作、继电器操作、主机状态查询；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功耗：1.8W；工作温度：-10℃～＋55℃；工作湿度：10％～90％； 尺寸(mm)：164mm(长)*124mm(宽)*31mm(高)；重量(g)：272g</w:t>
            </w:r>
          </w:p>
        </w:tc>
        <w:tc>
          <w:tcPr>
            <w:tcW w:w="688" w:type="dxa"/>
            <w:noWrap w:val="0"/>
            <w:vAlign w:val="center"/>
          </w:tcPr>
          <w:p w14:paraId="178C10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649377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2E75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3CFB8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1427" w:type="dxa"/>
            <w:noWrap w:val="0"/>
            <w:vAlign w:val="center"/>
          </w:tcPr>
          <w:p w14:paraId="059B5A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警灯警号</w:t>
            </w:r>
          </w:p>
        </w:tc>
        <w:tc>
          <w:tcPr>
            <w:tcW w:w="5448" w:type="dxa"/>
            <w:noWrap w:val="0"/>
            <w:vAlign w:val="center"/>
          </w:tcPr>
          <w:p w14:paraId="169E92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警号（红白色）；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报警音量: 105dB at 30cm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防护等级：IP54，室外防水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内置水平仪，便于辅助安装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支持关闭报警声音输出，实现声光报警模式和光闪模式切换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工作湿度：10％～90％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工作温度：-20℃～＋60℃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功耗：静态功耗: 0.96W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报警功耗：2.7W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电源：DC 8~16V 0.22A Max</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外壳材质：PC+ABS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重量：185g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尺寸(宽x高x深)：140*134*33mm</w:t>
            </w:r>
          </w:p>
        </w:tc>
        <w:tc>
          <w:tcPr>
            <w:tcW w:w="688" w:type="dxa"/>
            <w:noWrap w:val="0"/>
            <w:vAlign w:val="center"/>
          </w:tcPr>
          <w:p w14:paraId="14ED6D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5ADAB9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5F7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14910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1427" w:type="dxa"/>
            <w:noWrap w:val="0"/>
            <w:vAlign w:val="center"/>
          </w:tcPr>
          <w:p w14:paraId="58FB9B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主机蓄电池</w:t>
            </w:r>
          </w:p>
        </w:tc>
        <w:tc>
          <w:tcPr>
            <w:tcW w:w="5448" w:type="dxa"/>
            <w:noWrap w:val="0"/>
            <w:vAlign w:val="center"/>
          </w:tcPr>
          <w:p w14:paraId="0DCC37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充电后备电池（12V7AH，报警主机专用），尺寸：151mm（长）*65mm（宽）*94mm（高）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标准电压 12V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额定容量 7.0Ah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重量约 2.13Kg</w:t>
            </w:r>
          </w:p>
        </w:tc>
        <w:tc>
          <w:tcPr>
            <w:tcW w:w="688" w:type="dxa"/>
            <w:noWrap w:val="0"/>
            <w:vAlign w:val="center"/>
          </w:tcPr>
          <w:p w14:paraId="42A2AA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6F14F2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15A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4E3B7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427" w:type="dxa"/>
            <w:noWrap w:val="0"/>
            <w:vAlign w:val="center"/>
          </w:tcPr>
          <w:p w14:paraId="7E5DE0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管路</w:t>
            </w:r>
          </w:p>
        </w:tc>
        <w:tc>
          <w:tcPr>
            <w:tcW w:w="5448" w:type="dxa"/>
            <w:noWrap w:val="0"/>
            <w:vAlign w:val="center"/>
          </w:tcPr>
          <w:p w14:paraId="19CA15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JDG25/JDG20</w:t>
            </w:r>
          </w:p>
        </w:tc>
        <w:tc>
          <w:tcPr>
            <w:tcW w:w="688" w:type="dxa"/>
            <w:noWrap w:val="0"/>
            <w:vAlign w:val="center"/>
          </w:tcPr>
          <w:p w14:paraId="585B04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57C946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r>
      <w:tr w14:paraId="781A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84128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1427" w:type="dxa"/>
            <w:noWrap w:val="0"/>
            <w:vAlign w:val="center"/>
          </w:tcPr>
          <w:p w14:paraId="72A801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辅材</w:t>
            </w:r>
          </w:p>
        </w:tc>
        <w:tc>
          <w:tcPr>
            <w:tcW w:w="5448" w:type="dxa"/>
            <w:noWrap w:val="0"/>
            <w:vAlign w:val="center"/>
          </w:tcPr>
          <w:p w14:paraId="5410F1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施工所需的零星配件</w:t>
            </w:r>
          </w:p>
        </w:tc>
        <w:tc>
          <w:tcPr>
            <w:tcW w:w="688" w:type="dxa"/>
            <w:noWrap w:val="0"/>
            <w:vAlign w:val="center"/>
          </w:tcPr>
          <w:p w14:paraId="2176F5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6C79E4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C30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75" w:type="dxa"/>
            <w:gridSpan w:val="3"/>
            <w:noWrap w:val="0"/>
            <w:vAlign w:val="center"/>
          </w:tcPr>
          <w:p w14:paraId="7490D4B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四、计算机及网络布线系统</w:t>
            </w:r>
          </w:p>
        </w:tc>
        <w:tc>
          <w:tcPr>
            <w:tcW w:w="688" w:type="dxa"/>
            <w:noWrap w:val="0"/>
            <w:vAlign w:val="center"/>
          </w:tcPr>
          <w:p w14:paraId="5422919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812" w:type="dxa"/>
            <w:noWrap w:val="0"/>
            <w:vAlign w:val="center"/>
          </w:tcPr>
          <w:p w14:paraId="2F585F5C">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5FA3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F7005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1427" w:type="dxa"/>
            <w:noWrap w:val="0"/>
            <w:vAlign w:val="center"/>
          </w:tcPr>
          <w:p w14:paraId="630605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8口工业级交换机</w:t>
            </w:r>
          </w:p>
          <w:p w14:paraId="2684DA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（核心产品）</w:t>
            </w:r>
          </w:p>
        </w:tc>
        <w:tc>
          <w:tcPr>
            <w:tcW w:w="5448" w:type="dxa"/>
            <w:noWrap w:val="0"/>
            <w:vAlign w:val="center"/>
          </w:tcPr>
          <w:p w14:paraId="5354A832">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物理端口: 8千兆电+2千兆光，交换容量: 20Gbps, 转发速率：14.88Mpps；</w:t>
            </w:r>
          </w:p>
          <w:p w14:paraId="00696E6D">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软件功能: 支持QoS, VLAN, DHCP, LACP, RMON, IGMP,IPv6协议；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3、设备管理: 支持SNMP、Console、Telnet和WEB配置管理，自愈环网: XS-Ring 自愈时间＜20ms, EAPS, STP/RSTP/MSTP等，兼容性强: Broadcom芯片, 兼容HUAWEI,CISCO,H3C,RUIJIE等主流品牌；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4、机械结构: IP40,防雷击4KV,防浪涌,全铝机身, 无风扇设计, DIN卡轨式，壁挂式安装，支持 -40℃～85℃宽温。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★5、支持双冗余电源输入,冗余电源间的无缝切换，电源正负接反时不会连通，保护后面的电路不会因电源接反而烧坏。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（提供封面带有CMA或者CNAS的权威机构检测报告证明并加盖投标人公章）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★6、支持瞬间环网冗余保护，环网自愈的平均时间应小于 10ms。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（提供封面带有CMA或者CNAS的权威机构检测报告证明并加盖投标人公章）</w:t>
            </w:r>
          </w:p>
          <w:p w14:paraId="603FC57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★7、设备在粉尘、潮湿多雨和霉菌滋生环境下不应发生霉变，并应能正常工作。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（提供封面带有CMA或者CNAS的权威机构检测报告证明并加盖投标人公章）</w:t>
            </w:r>
          </w:p>
        </w:tc>
        <w:tc>
          <w:tcPr>
            <w:tcW w:w="688" w:type="dxa"/>
            <w:noWrap w:val="0"/>
            <w:vAlign w:val="center"/>
          </w:tcPr>
          <w:p w14:paraId="5CBF9F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0AB1E0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6BC2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DC3D6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1427" w:type="dxa"/>
            <w:noWrap w:val="0"/>
            <w:vAlign w:val="center"/>
          </w:tcPr>
          <w:p w14:paraId="190065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24口千兆交换机</w:t>
            </w:r>
          </w:p>
        </w:tc>
        <w:tc>
          <w:tcPr>
            <w:tcW w:w="5448" w:type="dxa"/>
            <w:noWrap w:val="0"/>
            <w:vAlign w:val="center"/>
          </w:tcPr>
          <w:p w14:paraId="11757E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24个10/100/1000BASE-T电口,支持4个1000BASE-X SFP端口；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交换容量≥336Gbps，包转发率≥78Mpps；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支持LLDP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支持MAC地址学习数目限制(MAC地址深度最大支持8K)，支持IP＋MAC+PORT绑定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支持端口镜像和流镜像功能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支持端口聚合(聚合组端口最大8个端口，最多24个聚合组)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支持端口隔离</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支持STP/RSTP/MSTP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支持IEEE 802.6ad（动态链路聚合）、静态端口聚合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支持802.1Q (最大4K个VLAN)、支持基于协议的VLAN、支持基于MAC的VLAN、支持GUEST VLAN、支持VLAN映射、支持MVRP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支持静态路由</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支持SP/WRR/SP+WRR队列调度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支持802.1p、DSCP优先级映射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支持端口限速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支持二层、三层、四层ACL；支持IPv4、IPv6 ACL、支持VLAN ACL</w:t>
            </w:r>
          </w:p>
        </w:tc>
        <w:tc>
          <w:tcPr>
            <w:tcW w:w="688" w:type="dxa"/>
            <w:noWrap w:val="0"/>
            <w:vAlign w:val="center"/>
          </w:tcPr>
          <w:p w14:paraId="2FB0FE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1327EF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3613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A2665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1427" w:type="dxa"/>
            <w:noWrap w:val="0"/>
            <w:vAlign w:val="center"/>
          </w:tcPr>
          <w:p w14:paraId="4C448A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24口千兆汇聚交换机</w:t>
            </w:r>
          </w:p>
        </w:tc>
        <w:tc>
          <w:tcPr>
            <w:tcW w:w="5448" w:type="dxa"/>
            <w:noWrap w:val="0"/>
            <w:vAlign w:val="center"/>
          </w:tcPr>
          <w:p w14:paraId="035F20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24*GE+4*SFP，交换容量598Gbps/5.98Tbps，包转发率108Mpps/144Mpps，三层网管交换机；支持静态路由、三层聚合口、ACL、端口镜像等功能，支持APP和云平台统一管理</w:t>
            </w:r>
          </w:p>
        </w:tc>
        <w:tc>
          <w:tcPr>
            <w:tcW w:w="688" w:type="dxa"/>
            <w:noWrap w:val="0"/>
            <w:vAlign w:val="center"/>
          </w:tcPr>
          <w:p w14:paraId="1F37F8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0FA1D2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01F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AE764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1427" w:type="dxa"/>
            <w:noWrap w:val="0"/>
            <w:vAlign w:val="center"/>
          </w:tcPr>
          <w:p w14:paraId="33ED62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链路接入租用费50m</w:t>
            </w:r>
          </w:p>
        </w:tc>
        <w:tc>
          <w:tcPr>
            <w:tcW w:w="5448" w:type="dxa"/>
            <w:noWrap w:val="0"/>
            <w:vAlign w:val="center"/>
          </w:tcPr>
          <w:p w14:paraId="2D0E83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含文保点3年的链路接入费用，1条链路,50M。</w:t>
            </w:r>
          </w:p>
        </w:tc>
        <w:tc>
          <w:tcPr>
            <w:tcW w:w="688" w:type="dxa"/>
            <w:noWrap w:val="0"/>
            <w:vAlign w:val="center"/>
          </w:tcPr>
          <w:p w14:paraId="60DE3C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条</w:t>
            </w:r>
          </w:p>
        </w:tc>
        <w:tc>
          <w:tcPr>
            <w:tcW w:w="812" w:type="dxa"/>
            <w:noWrap w:val="0"/>
            <w:vAlign w:val="center"/>
          </w:tcPr>
          <w:p w14:paraId="36D0D4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22C1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8CC20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427" w:type="dxa"/>
            <w:noWrap w:val="0"/>
            <w:vAlign w:val="center"/>
          </w:tcPr>
          <w:p w14:paraId="221B8A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链路接入租用费100m</w:t>
            </w:r>
          </w:p>
        </w:tc>
        <w:tc>
          <w:tcPr>
            <w:tcW w:w="5448" w:type="dxa"/>
            <w:noWrap w:val="0"/>
            <w:vAlign w:val="center"/>
          </w:tcPr>
          <w:p w14:paraId="67C771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含文保点3年的链路接入费用，1条链路,100M。</w:t>
            </w:r>
          </w:p>
        </w:tc>
        <w:tc>
          <w:tcPr>
            <w:tcW w:w="688" w:type="dxa"/>
            <w:noWrap w:val="0"/>
            <w:vAlign w:val="center"/>
          </w:tcPr>
          <w:p w14:paraId="32A483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条</w:t>
            </w:r>
          </w:p>
        </w:tc>
        <w:tc>
          <w:tcPr>
            <w:tcW w:w="812" w:type="dxa"/>
            <w:noWrap w:val="0"/>
            <w:vAlign w:val="center"/>
          </w:tcPr>
          <w:p w14:paraId="7E1076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73A6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8E054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1427" w:type="dxa"/>
            <w:noWrap w:val="0"/>
            <w:vAlign w:val="center"/>
          </w:tcPr>
          <w:p w14:paraId="515D8B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链路接入租用费1000m</w:t>
            </w:r>
          </w:p>
        </w:tc>
        <w:tc>
          <w:tcPr>
            <w:tcW w:w="5448" w:type="dxa"/>
            <w:noWrap w:val="0"/>
            <w:vAlign w:val="center"/>
          </w:tcPr>
          <w:p w14:paraId="140FD80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含文保点3年的链路接入费用，1条链路,1000M。</w:t>
            </w:r>
          </w:p>
        </w:tc>
        <w:tc>
          <w:tcPr>
            <w:tcW w:w="688" w:type="dxa"/>
            <w:noWrap w:val="0"/>
            <w:vAlign w:val="center"/>
          </w:tcPr>
          <w:p w14:paraId="7466A7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条</w:t>
            </w:r>
          </w:p>
        </w:tc>
        <w:tc>
          <w:tcPr>
            <w:tcW w:w="812" w:type="dxa"/>
            <w:noWrap w:val="0"/>
            <w:vAlign w:val="center"/>
          </w:tcPr>
          <w:p w14:paraId="2390C3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7E84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75" w:type="dxa"/>
            <w:gridSpan w:val="3"/>
            <w:noWrap w:val="0"/>
            <w:vAlign w:val="center"/>
          </w:tcPr>
          <w:p w14:paraId="3E31D98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五、黄岩博物馆后端</w:t>
            </w:r>
          </w:p>
        </w:tc>
        <w:tc>
          <w:tcPr>
            <w:tcW w:w="688" w:type="dxa"/>
            <w:noWrap w:val="0"/>
            <w:vAlign w:val="center"/>
          </w:tcPr>
          <w:p w14:paraId="2B90FC6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812" w:type="dxa"/>
            <w:noWrap w:val="0"/>
            <w:vAlign w:val="center"/>
          </w:tcPr>
          <w:p w14:paraId="51483B8B">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5F4B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3132B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1427" w:type="dxa"/>
            <w:noWrap w:val="0"/>
            <w:vAlign w:val="center"/>
          </w:tcPr>
          <w:p w14:paraId="342357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55寸拼接屏</w:t>
            </w:r>
          </w:p>
        </w:tc>
        <w:tc>
          <w:tcPr>
            <w:tcW w:w="5448" w:type="dxa"/>
            <w:noWrap w:val="0"/>
            <w:vAlign w:val="center"/>
          </w:tcPr>
          <w:p w14:paraId="523C429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1、直下式LED背光源，亮度均匀，无边界暗影现象，物理分辨率高达1920×1080，全高清显示，画面细腻，色彩丰富，高清晰度、高亮度、高色域；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2、视角可达178°，趋近于水平，显示面积大、体积小、重量轻，超窄边设计，运行稳定，可24小时持续工作，支持壁挂、落地、吊装等多种安装方式；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3、多种拼接方式，能适应各种使用场所，采用金属外壳，防辐射、防磁场、防强电场干扰，实时检测设备温度，过温自保护，防止面板灼烧，支持HDMI信号环通功能，显示尺寸：55 inch，背光源类型：LED直下式背光源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4、边框宽度：2.5 mm，物理分辨率：1920 × 1080@60 Hz（向下兼容），亮度：500 cd/m2，可视角：178°(水平)/178°(垂直)，对比度：1200: 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5、音视频输入接口：HDMI × 1, DVI × 1, VGA × 1, USB × 1，音视频输出接口：HDMI × 1，控制接口：RS-232 IN × 1, RS-232 OUT × 1 ，电源：100～240 VAC，50/60 Hz，功耗：≤ 180 W，待机功耗：≤ 0.5 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★6、通过控制面板远程无线控制，控制距离最远可支持10m，控制角度范围可支持水平-80°~80°。可进行显示单元开关机、亮度调节等操作。（提供封面具有CMA、ilac-MRA、CNAS标志的权威检测机构的检测报告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可通过控制面板进行监控场景切换，最大可支持切换场景数为4个，场景切换时间≤2s，过程中无黑屏、闪屏现象。控制面板具有磁吸功能，可进行磁吸壁挂安装；底部带有防滑脚垫，可平放桌面使用。（提供封面具有CMA、ilac-MRA、CNAS标志的权威检测机构的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c>
          <w:tcPr>
            <w:tcW w:w="688" w:type="dxa"/>
            <w:noWrap w:val="0"/>
            <w:vAlign w:val="center"/>
          </w:tcPr>
          <w:p w14:paraId="5CBD9B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494D42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r>
      <w:tr w14:paraId="16B9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9BB4F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w:t>
            </w:r>
          </w:p>
        </w:tc>
        <w:tc>
          <w:tcPr>
            <w:tcW w:w="1427" w:type="dxa"/>
            <w:noWrap w:val="0"/>
            <w:vAlign w:val="center"/>
          </w:tcPr>
          <w:p w14:paraId="0118F6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前维护落地底座</w:t>
            </w:r>
          </w:p>
        </w:tc>
        <w:tc>
          <w:tcPr>
            <w:tcW w:w="5448" w:type="dxa"/>
            <w:noWrap w:val="0"/>
            <w:vAlign w:val="center"/>
          </w:tcPr>
          <w:p w14:paraId="369FD7D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适用规模 适合5行10列以内的拼接规模；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可前维护；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快速安装；</w:t>
            </w:r>
          </w:p>
          <w:p w14:paraId="30ADE29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支持现场扩容；</w:t>
            </w:r>
          </w:p>
          <w:p w14:paraId="3C1811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产品型号：55英寸-气动前维护落地支架-底座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产品配置：无左右上封板；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前开门/前封板，后留空；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材质：优质冷轧钢板(SPCC)，材料厚度从T1.0-T5不等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备注说明：无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颜色：黑色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净重：45kg/个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厚度：支架+屏幕=330+0=330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表面处理：静电喷塑，涂层厚度&gt;60微米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弧度：0°</w:t>
            </w:r>
          </w:p>
        </w:tc>
        <w:tc>
          <w:tcPr>
            <w:tcW w:w="688" w:type="dxa"/>
            <w:noWrap w:val="0"/>
            <w:vAlign w:val="center"/>
          </w:tcPr>
          <w:p w14:paraId="1C7C11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0D48C6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r>
      <w:tr w14:paraId="2D98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AEEB8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427" w:type="dxa"/>
            <w:noWrap w:val="0"/>
            <w:vAlign w:val="center"/>
          </w:tcPr>
          <w:p w14:paraId="7B36D1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气动前维护落地支架</w:t>
            </w:r>
          </w:p>
        </w:tc>
        <w:tc>
          <w:tcPr>
            <w:tcW w:w="5448" w:type="dxa"/>
            <w:noWrap w:val="0"/>
            <w:vAlign w:val="center"/>
          </w:tcPr>
          <w:p w14:paraId="32A27B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适用场合 后墙可承重，墙面平整；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适用规模 适合5行10列以内的拼接规模；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可前维护；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快速安装；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支持现场扩容；</w:t>
            </w:r>
          </w:p>
          <w:p w14:paraId="5E4D76A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产品型号：55寸-气动前维护落地支架-框架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厚度：330mm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弧度：0°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开门及封板：底座前开门，无侧封板、顶盖板、后门结构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底座高度：600/800/1000/1200mm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LOGO：无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颜色：黑色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材料：SPCC高强度钢板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表面处理：静电喷塑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底座高度：需求定制</w:t>
            </w:r>
          </w:p>
        </w:tc>
        <w:tc>
          <w:tcPr>
            <w:tcW w:w="688" w:type="dxa"/>
            <w:noWrap w:val="0"/>
            <w:vAlign w:val="center"/>
          </w:tcPr>
          <w:p w14:paraId="20D3C6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5E517B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r>
      <w:tr w14:paraId="4C0D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0A9A01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1427" w:type="dxa"/>
            <w:noWrap w:val="0"/>
            <w:vAlign w:val="center"/>
          </w:tcPr>
          <w:p w14:paraId="4E77EF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线缆</w:t>
            </w:r>
          </w:p>
        </w:tc>
        <w:tc>
          <w:tcPr>
            <w:tcW w:w="5448" w:type="dxa"/>
            <w:noWrap w:val="0"/>
            <w:vAlign w:val="center"/>
          </w:tcPr>
          <w:p w14:paraId="0C1AD2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10米HDMI线</w:t>
            </w:r>
          </w:p>
        </w:tc>
        <w:tc>
          <w:tcPr>
            <w:tcW w:w="688" w:type="dxa"/>
            <w:noWrap w:val="0"/>
            <w:vAlign w:val="center"/>
          </w:tcPr>
          <w:p w14:paraId="494677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812" w:type="dxa"/>
            <w:noWrap w:val="0"/>
            <w:vAlign w:val="center"/>
          </w:tcPr>
          <w:p w14:paraId="25E4AD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r>
      <w:tr w14:paraId="3D60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86470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1427" w:type="dxa"/>
            <w:noWrap w:val="0"/>
            <w:vAlign w:val="center"/>
          </w:tcPr>
          <w:p w14:paraId="0AD0DC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监听音响（含功放）</w:t>
            </w:r>
          </w:p>
        </w:tc>
        <w:tc>
          <w:tcPr>
            <w:tcW w:w="5448" w:type="dxa"/>
            <w:noWrap w:val="0"/>
            <w:vAlign w:val="center"/>
          </w:tcPr>
          <w:p w14:paraId="6D4690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木质材质额定功率 16W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频率响应 70Hz-20KHz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扬声器单元 4英寸陶瓷纸盆低音扬声器+3/4英寸PV膜球顶扬声器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信噪比 ≥85dB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灵敏度 Line in A输入：550±50mV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Line in入：550±50mFFSmV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音频接 B输入：700±50mV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蓝牙输口 3.5mm音频接口纠错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其它特点 双路立体声输入</w:t>
            </w:r>
          </w:p>
        </w:tc>
        <w:tc>
          <w:tcPr>
            <w:tcW w:w="688" w:type="dxa"/>
            <w:noWrap w:val="0"/>
            <w:vAlign w:val="center"/>
          </w:tcPr>
          <w:p w14:paraId="46C99C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5410AE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839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DF3E5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1427" w:type="dxa"/>
            <w:noWrap w:val="0"/>
            <w:vAlign w:val="center"/>
          </w:tcPr>
          <w:p w14:paraId="11C5EA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校时服务器</w:t>
            </w:r>
          </w:p>
        </w:tc>
        <w:tc>
          <w:tcPr>
            <w:tcW w:w="5448" w:type="dxa"/>
            <w:noWrap w:val="0"/>
            <w:vAlign w:val="center"/>
          </w:tcPr>
          <w:p w14:paraId="2D9507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支持GPS、北斗、上级NTP、CDMA校时（默认北斗）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支持多网域校时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高稳定性、可靠性设计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支持双机热备、级联方案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1U标准机架式产品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处理器：ARM处理器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同步精度：卫星同步精度纳秒级；NTP同步精度毫秒级；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存储：256M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守时精度：≤28us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跟踪通道数：32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捕获通道数：128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授时容量： 10000次/每秒（单端口）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授时精度：≤5us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授时频段：GPS: 1575.42±1.023MHz ，北斗: 1561.098±2.046MHz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机箱前部：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网络管理端口（RJ45）：管理口；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NTP输入端口（RJ45）:NTP INP;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PPS授时端口（SMA）：1PPS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10M授时端口（SMA）：10MHZ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串行管理端口（RS232）：串口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机箱后部；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1路GPS/BD天线接口 （支持选配2路）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4槽位输出位：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NTP输出卡（RJ45）：NTP1~NTP4，支持端口、双卡绑定;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光输出卡（ST）：1-4路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RS422输出卡（凤凰端子）：1-5路，支持子钟管理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指示灯：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电源指示灯，标识PWR，绿：有外部电源输入，灭：无外部电源输入；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卫星指示灯，标识GNSS，绿：卫星搜星正常，灭：卫星搜星异常；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NTP输入状态指示灯，标识NTPINP，绿色常亮：NTP输入正常，绿色闪烁：锁定NTP输入源，灭：未同步；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授时状态指示灯，标识SYNC，绿色常亮：设备正常输出，绿色闪烁：设备守时输出，灭：未同步。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电源电压：90-240V/55Hz±8Hz 65w（1+1冗余电源）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机箱：1U机架式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工作温度：晶振：-10° C- +60° C；铷钟: -10° C- +45° 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工作湿度：10％--90％ 无凝结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软件功能：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设备上电或重启后，系统自启校时服务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可通过NTP模式或BD/GPS模式对待授时设备进行授时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可通过固定时间间隔方式对待授时设备进行授时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支持对监控设备（DVR、NVR、网络摄像机）、终端设备进行授时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支持对服务器进行授时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支持同时对多个网段的待授时设备进行授时，单端口授时容量≥10000次/秒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可通过WEB管理对NTP时钟进行配置管理</w:t>
            </w:r>
          </w:p>
        </w:tc>
        <w:tc>
          <w:tcPr>
            <w:tcW w:w="688" w:type="dxa"/>
            <w:noWrap w:val="0"/>
            <w:vAlign w:val="center"/>
          </w:tcPr>
          <w:p w14:paraId="256F55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73004B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216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091108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1427" w:type="dxa"/>
            <w:noWrap w:val="0"/>
            <w:vAlign w:val="center"/>
          </w:tcPr>
          <w:p w14:paraId="7A868E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NTP 100m天馈包</w:t>
            </w:r>
          </w:p>
        </w:tc>
        <w:tc>
          <w:tcPr>
            <w:tcW w:w="5448" w:type="dxa"/>
            <w:noWrap w:val="0"/>
            <w:vAlign w:val="center"/>
          </w:tcPr>
          <w:p w14:paraId="472868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天线材质：介质陶瓷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天线罩材质：ABS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工作温度：-40℃~+80℃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相对湿度：Up to 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防护等级：IP67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接口方式：入室侧BNC公头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配套材料：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100米转BNC公射频电缆；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安装套件1副；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射频同轴天馈防雷器1个，尺寸51.5*24.8mm；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3米BNC公转BNC公跳线；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黄绿接地线1根；</w:t>
            </w:r>
          </w:p>
        </w:tc>
        <w:tc>
          <w:tcPr>
            <w:tcW w:w="688" w:type="dxa"/>
            <w:noWrap w:val="0"/>
            <w:vAlign w:val="center"/>
          </w:tcPr>
          <w:p w14:paraId="61E1FE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462826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E50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0C753F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427" w:type="dxa"/>
            <w:noWrap w:val="0"/>
            <w:vAlign w:val="center"/>
          </w:tcPr>
          <w:p w14:paraId="3C4443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24盘位磁盘阵列(含8T硬盘）</w:t>
            </w:r>
          </w:p>
        </w:tc>
        <w:tc>
          <w:tcPr>
            <w:tcW w:w="5448" w:type="dxa"/>
            <w:noWrap w:val="0"/>
            <w:vAlign w:val="center"/>
          </w:tcPr>
          <w:p w14:paraId="026824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1、4U机架式24盘位网络存储设备，搭载64位多核处理器，1+1冗余电源、冗余风扇，实现7×24小时稳定运行。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2、处理器：1颗64位多核处理器。</w:t>
            </w:r>
          </w:p>
          <w:p w14:paraId="39044E9B">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系统内存：8GB（可扩展至64GB），系统盘：1×240GB SSD。</w:t>
            </w:r>
          </w:p>
          <w:p w14:paraId="7950E2D9">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存储接口：24个SATA接口，支持硬盘热插拔。</w:t>
            </w:r>
          </w:p>
          <w:p w14:paraId="45DB276A">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网络接口：2个千兆数据网口，1个千兆管理口。</w:t>
            </w:r>
          </w:p>
          <w:p w14:paraId="480299F6">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其他接口：1×COM，2×USB2.0，2×USB3.0，1×VGA，整机电源：550W，1+1冗余电源。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7、视频性能：最大支持接入550路（最大接入带宽1100Mbps），图片性能：最大支持50张/S（单张图片500KB），回放性能：最大支持55路2Mbps，事件录像：最大支持200路2Mbps。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8、支持视频流直写、图片直写，支持ONVIF、GB/T 28181、RTSP等标准协议，支持VRAID、RAID0、1、9、10等多种RAID模式，支持RAID降级可读写(VRAID)，支持全局热备(RAID0、1、5、6、10)，多重保护数据安全，支持RAID即建即用，支持存储空间扩展，支持局部重构，原盘或其克隆盘拔出设备后再插回，未被覆盖数据可快速恢复，支持定时录像、事件录像、手动录像等多种录像方式，支持视频检索功能，按照监控点编号、录像类型、时间组合等条件查询，支持视频回放功能：正序回放、定位回放、倍速回放等功能，支持按需取流功能，未处于录像计划时间内的通道不占用网络带宽。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★10、支持切换标准RAID模式和VRAID模式，适用于不同业务场景。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（提供公安部检验报告并加盖投标人公章）</w:t>
            </w:r>
          </w:p>
          <w:p w14:paraId="69330A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★11、设备支持对IoT硬盘进行加密和解密，加密后的硬盘无法进行读写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（提供公安部检验报告并加盖投标人公章）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★12、样机具有防偶发死机的措施（如硬件或软件SNMP、或定时自动起启动等），死机后的自愈恢复时间应≤3min</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（提供公安部检验报告并加盖投标人公章）</w:t>
            </w:r>
          </w:p>
        </w:tc>
        <w:tc>
          <w:tcPr>
            <w:tcW w:w="688" w:type="dxa"/>
            <w:noWrap w:val="0"/>
            <w:vAlign w:val="center"/>
          </w:tcPr>
          <w:p w14:paraId="751D5E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3FDEF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7741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40B0D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1427" w:type="dxa"/>
            <w:noWrap w:val="0"/>
            <w:vAlign w:val="center"/>
          </w:tcPr>
          <w:p w14:paraId="08597D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监控及报警软件</w:t>
            </w:r>
          </w:p>
        </w:tc>
        <w:tc>
          <w:tcPr>
            <w:tcW w:w="5448" w:type="dxa"/>
            <w:noWrap w:val="0"/>
            <w:vAlign w:val="center"/>
          </w:tcPr>
          <w:p w14:paraId="4E1AF3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根据前端设备扩容，软件授权，满足本项目需要</w:t>
            </w:r>
          </w:p>
        </w:tc>
        <w:tc>
          <w:tcPr>
            <w:tcW w:w="688" w:type="dxa"/>
            <w:noWrap w:val="0"/>
            <w:vAlign w:val="center"/>
          </w:tcPr>
          <w:p w14:paraId="47EAFE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731BF6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28F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E2A4C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c>
          <w:tcPr>
            <w:tcW w:w="1427" w:type="dxa"/>
            <w:noWrap w:val="0"/>
            <w:vAlign w:val="center"/>
          </w:tcPr>
          <w:p w14:paraId="6F3541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广播软件</w:t>
            </w:r>
          </w:p>
        </w:tc>
        <w:tc>
          <w:tcPr>
            <w:tcW w:w="5448" w:type="dxa"/>
            <w:noWrap w:val="0"/>
            <w:vAlign w:val="center"/>
          </w:tcPr>
          <w:p w14:paraId="48C3A1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根据前端设备扩容，软件授权，满足本项目需要制</w:t>
            </w:r>
          </w:p>
        </w:tc>
        <w:tc>
          <w:tcPr>
            <w:tcW w:w="688" w:type="dxa"/>
            <w:noWrap w:val="0"/>
            <w:vAlign w:val="center"/>
          </w:tcPr>
          <w:p w14:paraId="5D10DD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3B3927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4B0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35A36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1427" w:type="dxa"/>
            <w:noWrap w:val="0"/>
            <w:vAlign w:val="center"/>
          </w:tcPr>
          <w:p w14:paraId="4A98B4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巡检软件</w:t>
            </w:r>
          </w:p>
        </w:tc>
        <w:tc>
          <w:tcPr>
            <w:tcW w:w="5448" w:type="dxa"/>
            <w:noWrap w:val="0"/>
            <w:vAlign w:val="center"/>
          </w:tcPr>
          <w:p w14:paraId="6366CB2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根据前端文保单位数量及巡检量扩容</w:t>
            </w:r>
          </w:p>
        </w:tc>
        <w:tc>
          <w:tcPr>
            <w:tcW w:w="688" w:type="dxa"/>
            <w:noWrap w:val="0"/>
            <w:vAlign w:val="center"/>
          </w:tcPr>
          <w:p w14:paraId="2F2F6E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0C58D5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691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9F77C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59</w:t>
            </w:r>
          </w:p>
        </w:tc>
        <w:tc>
          <w:tcPr>
            <w:tcW w:w="1427" w:type="dxa"/>
            <w:noWrap w:val="0"/>
            <w:vAlign w:val="center"/>
          </w:tcPr>
          <w:p w14:paraId="587F17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辅材</w:t>
            </w:r>
          </w:p>
        </w:tc>
        <w:tc>
          <w:tcPr>
            <w:tcW w:w="5448" w:type="dxa"/>
            <w:noWrap w:val="0"/>
            <w:vAlign w:val="center"/>
          </w:tcPr>
          <w:p w14:paraId="5D9631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施工所需的零星配件</w:t>
            </w:r>
          </w:p>
        </w:tc>
        <w:tc>
          <w:tcPr>
            <w:tcW w:w="688" w:type="dxa"/>
            <w:noWrap w:val="0"/>
            <w:vAlign w:val="center"/>
          </w:tcPr>
          <w:p w14:paraId="614B28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53638F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948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75" w:type="dxa"/>
            <w:gridSpan w:val="3"/>
            <w:noWrap w:val="0"/>
            <w:vAlign w:val="center"/>
          </w:tcPr>
          <w:p w14:paraId="2DBE6B4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六、黄岩博物馆文保监控中心及机房</w:t>
            </w:r>
          </w:p>
        </w:tc>
        <w:tc>
          <w:tcPr>
            <w:tcW w:w="688" w:type="dxa"/>
            <w:noWrap w:val="0"/>
            <w:vAlign w:val="center"/>
          </w:tcPr>
          <w:p w14:paraId="0412411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812" w:type="dxa"/>
            <w:noWrap w:val="0"/>
            <w:vAlign w:val="center"/>
          </w:tcPr>
          <w:p w14:paraId="761481A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13CB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9949D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427" w:type="dxa"/>
            <w:noWrap w:val="0"/>
            <w:vAlign w:val="center"/>
          </w:tcPr>
          <w:p w14:paraId="5BCD09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UPS输入配电箱</w:t>
            </w:r>
          </w:p>
        </w:tc>
        <w:tc>
          <w:tcPr>
            <w:tcW w:w="5448" w:type="dxa"/>
            <w:noWrap w:val="0"/>
            <w:vAlign w:val="center"/>
          </w:tcPr>
          <w:p w14:paraId="08470D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定制，含柜体及内部元器件</w:t>
            </w:r>
          </w:p>
        </w:tc>
        <w:tc>
          <w:tcPr>
            <w:tcW w:w="688" w:type="dxa"/>
            <w:noWrap w:val="0"/>
            <w:vAlign w:val="center"/>
          </w:tcPr>
          <w:p w14:paraId="22DAAA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786F04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D33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DA0B5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1427" w:type="dxa"/>
            <w:noWrap w:val="0"/>
            <w:vAlign w:val="center"/>
          </w:tcPr>
          <w:p w14:paraId="280AFC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UPS输入及维修输入</w:t>
            </w:r>
          </w:p>
        </w:tc>
        <w:tc>
          <w:tcPr>
            <w:tcW w:w="5448" w:type="dxa"/>
            <w:noWrap w:val="0"/>
            <w:vAlign w:val="center"/>
          </w:tcPr>
          <w:p w14:paraId="67D632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WDZA-YJY-5*16</w:t>
            </w:r>
          </w:p>
        </w:tc>
        <w:tc>
          <w:tcPr>
            <w:tcW w:w="688" w:type="dxa"/>
            <w:noWrap w:val="0"/>
            <w:vAlign w:val="center"/>
          </w:tcPr>
          <w:p w14:paraId="5A32B6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5B0934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r>
      <w:tr w14:paraId="2086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18017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1427" w:type="dxa"/>
            <w:noWrap w:val="0"/>
            <w:vAlign w:val="center"/>
          </w:tcPr>
          <w:p w14:paraId="72345C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空调电源输入</w:t>
            </w:r>
          </w:p>
        </w:tc>
        <w:tc>
          <w:tcPr>
            <w:tcW w:w="5448" w:type="dxa"/>
            <w:noWrap w:val="0"/>
            <w:vAlign w:val="center"/>
          </w:tcPr>
          <w:p w14:paraId="35A76D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WDZA-YJY-5*4</w:t>
            </w:r>
          </w:p>
        </w:tc>
        <w:tc>
          <w:tcPr>
            <w:tcW w:w="688" w:type="dxa"/>
            <w:noWrap w:val="0"/>
            <w:vAlign w:val="center"/>
          </w:tcPr>
          <w:p w14:paraId="03AC9D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14A2BF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r>
      <w:tr w14:paraId="7B9E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A4C00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1427" w:type="dxa"/>
            <w:noWrap w:val="0"/>
            <w:vAlign w:val="center"/>
          </w:tcPr>
          <w:p w14:paraId="670E57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机柜电源输入</w:t>
            </w:r>
          </w:p>
        </w:tc>
        <w:tc>
          <w:tcPr>
            <w:tcW w:w="5448" w:type="dxa"/>
            <w:noWrap w:val="0"/>
            <w:vAlign w:val="center"/>
          </w:tcPr>
          <w:p w14:paraId="321CFB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WDZA-YJY-3*4</w:t>
            </w:r>
          </w:p>
        </w:tc>
        <w:tc>
          <w:tcPr>
            <w:tcW w:w="688" w:type="dxa"/>
            <w:noWrap w:val="0"/>
            <w:vAlign w:val="center"/>
          </w:tcPr>
          <w:p w14:paraId="670469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1CBF25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r>
      <w:tr w14:paraId="5C57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A4052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1427" w:type="dxa"/>
            <w:noWrap w:val="0"/>
            <w:vAlign w:val="center"/>
          </w:tcPr>
          <w:p w14:paraId="6554B2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预留回路</w:t>
            </w:r>
          </w:p>
        </w:tc>
        <w:tc>
          <w:tcPr>
            <w:tcW w:w="5448" w:type="dxa"/>
            <w:noWrap w:val="0"/>
            <w:vAlign w:val="center"/>
          </w:tcPr>
          <w:p w14:paraId="7C2CD9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WDZA-YJY-3*2.5</w:t>
            </w:r>
          </w:p>
        </w:tc>
        <w:tc>
          <w:tcPr>
            <w:tcW w:w="688" w:type="dxa"/>
            <w:noWrap w:val="0"/>
            <w:vAlign w:val="center"/>
          </w:tcPr>
          <w:p w14:paraId="523D6A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589634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r>
      <w:tr w14:paraId="60F5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3BA6F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1427" w:type="dxa"/>
            <w:noWrap w:val="0"/>
            <w:vAlign w:val="center"/>
          </w:tcPr>
          <w:p w14:paraId="7C9E3A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JDG管</w:t>
            </w:r>
          </w:p>
        </w:tc>
        <w:tc>
          <w:tcPr>
            <w:tcW w:w="5448" w:type="dxa"/>
            <w:noWrap w:val="0"/>
            <w:vAlign w:val="center"/>
          </w:tcPr>
          <w:p w14:paraId="1701A08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φ25</w:t>
            </w:r>
          </w:p>
        </w:tc>
        <w:tc>
          <w:tcPr>
            <w:tcW w:w="688" w:type="dxa"/>
            <w:noWrap w:val="0"/>
            <w:vAlign w:val="center"/>
          </w:tcPr>
          <w:p w14:paraId="7390A9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52E7A0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r>
      <w:tr w14:paraId="5290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2AFBCD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1427" w:type="dxa"/>
            <w:noWrap w:val="0"/>
            <w:vAlign w:val="center"/>
          </w:tcPr>
          <w:p w14:paraId="6D2EC6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金属软管</w:t>
            </w:r>
          </w:p>
        </w:tc>
        <w:tc>
          <w:tcPr>
            <w:tcW w:w="5448" w:type="dxa"/>
            <w:noWrap w:val="0"/>
            <w:vAlign w:val="center"/>
          </w:tcPr>
          <w:p w14:paraId="610D0C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φ20</w:t>
            </w:r>
          </w:p>
        </w:tc>
        <w:tc>
          <w:tcPr>
            <w:tcW w:w="688" w:type="dxa"/>
            <w:noWrap w:val="0"/>
            <w:vAlign w:val="center"/>
          </w:tcPr>
          <w:p w14:paraId="5A90D0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233D03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r>
      <w:tr w14:paraId="25CA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A6420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1427" w:type="dxa"/>
            <w:noWrap w:val="0"/>
            <w:vAlign w:val="center"/>
          </w:tcPr>
          <w:p w14:paraId="0F8C87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机架式配电模块</w:t>
            </w:r>
          </w:p>
        </w:tc>
        <w:tc>
          <w:tcPr>
            <w:tcW w:w="5448" w:type="dxa"/>
            <w:noWrap w:val="0"/>
            <w:vAlign w:val="center"/>
          </w:tcPr>
          <w:p w14:paraId="09F0E29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U机架式配电模块，380V总输入：125A/3P，市电输出：PDU:8*32A/1P;空调:3*40A/1P;UPS：1*80A/3P，维修旁路：1*63A/4P，UPS输出：1*63A/3P，U电PDU：8*32A/1P，照明及应急通风：3*16A/1P含电源指示灯，C级防雷，主路电量监测，支持RS485通讯</w:t>
            </w:r>
          </w:p>
        </w:tc>
        <w:tc>
          <w:tcPr>
            <w:tcW w:w="688" w:type="dxa"/>
            <w:noWrap w:val="0"/>
            <w:vAlign w:val="center"/>
          </w:tcPr>
          <w:p w14:paraId="6B3F80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3882C3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726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C7CF5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w:t>
            </w:r>
          </w:p>
        </w:tc>
        <w:tc>
          <w:tcPr>
            <w:tcW w:w="1427" w:type="dxa"/>
            <w:noWrap w:val="0"/>
            <w:vAlign w:val="center"/>
          </w:tcPr>
          <w:p w14:paraId="6B35F9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机架式UPS主机</w:t>
            </w:r>
          </w:p>
        </w:tc>
        <w:tc>
          <w:tcPr>
            <w:tcW w:w="5448" w:type="dxa"/>
            <w:noWrap w:val="0"/>
            <w:vAlign w:val="center"/>
          </w:tcPr>
          <w:p w14:paraId="70F5ED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1、UPS类型应为在线式双变换式机架式，容量30KVA,制式为三相输入，三相输出，32-40节电池节数可调，默认32节。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2、输入频率范围：48Hz-52Hz，频率跟踪范围：48Hz-52Hz，跟踪速率0.9。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3、输入功率因数：&gt;0.994（满载线性负载）、≥0.994（100%非线性负载）、≥0.982（50%非线性负载）、≥0.979（30%非线性负载）。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4、输出功率因数：≥0.9。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5、输入线电压范围：304--485VAC；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6、输入电流谐波成分：≦3%（100%线性负载）。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7、输出电压波形失真度：&lt;0.9%阻性负载，&lt;1.9%额定非线性负载，电池逆变工作状态，阻性负载&lt;0.7%，电池逆变工作，非线性负载&lt;1.8%；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8、输出稳压度：&lt;0.4%；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9、UPS系统在50%负载时，效率≥94.4；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10、过载能力：110%负载60min后转旁路；125%负载10min后转旁路；150%负载1min后转旁路；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11、电池市电，市电电池转换时间0ms，旁路至逆变转换时间≤0.5ms。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12、支持4台并机，支持共用电池组。</w:t>
            </w:r>
          </w:p>
        </w:tc>
        <w:tc>
          <w:tcPr>
            <w:tcW w:w="688" w:type="dxa"/>
            <w:noWrap w:val="0"/>
            <w:vAlign w:val="center"/>
          </w:tcPr>
          <w:p w14:paraId="1F1969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46EF53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0E5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876DA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1427" w:type="dxa"/>
            <w:noWrap w:val="0"/>
            <w:vAlign w:val="center"/>
          </w:tcPr>
          <w:p w14:paraId="1EC332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蓄电池</w:t>
            </w:r>
          </w:p>
        </w:tc>
        <w:tc>
          <w:tcPr>
            <w:tcW w:w="5448" w:type="dxa"/>
            <w:noWrap w:val="0"/>
            <w:vAlign w:val="center"/>
          </w:tcPr>
          <w:p w14:paraId="31EB649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阀控式密封铅酸蓄电池：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1、单个电池容量为120AH，单个电池电压为12V。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2、电池设计寿命不小于五年。</w:t>
            </w:r>
          </w:p>
        </w:tc>
        <w:tc>
          <w:tcPr>
            <w:tcW w:w="688" w:type="dxa"/>
            <w:noWrap w:val="0"/>
            <w:vAlign w:val="center"/>
          </w:tcPr>
          <w:p w14:paraId="67D4B2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节</w:t>
            </w:r>
          </w:p>
        </w:tc>
        <w:tc>
          <w:tcPr>
            <w:tcW w:w="812" w:type="dxa"/>
            <w:noWrap w:val="0"/>
            <w:vAlign w:val="center"/>
          </w:tcPr>
          <w:p w14:paraId="4A5DAA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r>
      <w:tr w14:paraId="4F1B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397E9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w:t>
            </w:r>
          </w:p>
        </w:tc>
        <w:tc>
          <w:tcPr>
            <w:tcW w:w="1427" w:type="dxa"/>
            <w:noWrap w:val="0"/>
            <w:vAlign w:val="center"/>
          </w:tcPr>
          <w:p w14:paraId="4894A6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电池架</w:t>
            </w:r>
          </w:p>
        </w:tc>
        <w:tc>
          <w:tcPr>
            <w:tcW w:w="5448" w:type="dxa"/>
            <w:noWrap w:val="0"/>
            <w:vAlign w:val="center"/>
          </w:tcPr>
          <w:p w14:paraId="27ACB8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定制，32节，根据图纸定制</w:t>
            </w:r>
          </w:p>
        </w:tc>
        <w:tc>
          <w:tcPr>
            <w:tcW w:w="688" w:type="dxa"/>
            <w:noWrap w:val="0"/>
            <w:vAlign w:val="center"/>
          </w:tcPr>
          <w:p w14:paraId="5C9D2B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7A427C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6B4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51F19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w:t>
            </w:r>
          </w:p>
        </w:tc>
        <w:tc>
          <w:tcPr>
            <w:tcW w:w="1427" w:type="dxa"/>
            <w:noWrap w:val="0"/>
            <w:vAlign w:val="center"/>
          </w:tcPr>
          <w:p w14:paraId="02990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机架式精密空调</w:t>
            </w:r>
          </w:p>
        </w:tc>
        <w:tc>
          <w:tcPr>
            <w:tcW w:w="5448" w:type="dxa"/>
            <w:noWrap w:val="0"/>
            <w:vAlign w:val="center"/>
          </w:tcPr>
          <w:p w14:paraId="61908B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1、制冷量：≥12.5kW；显冷量≥12.5kW,风量：≥2300m³/h；送风方式：水平送风，后回风，输入电源：220V/1Ph/50Hz。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2、适配19英寸标准机柜，机架式安装，高度≤10U，深度≤720mm。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3、温度精度：17℃-28℃±1℃；湿度精度：40%-60%±5%；温湿度波动超限发出报警信号。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含室外机，快速安装，高效制冷，维护便捷，环保冷媒。采用高效变频压缩机，超精准PID控制技术，内置电子膨胀阀，平滑调节节流开度，实现机组精确调节，EC离心风机，实时按需调节风量输出比，独有的振动补偿算法实现机组宽频运行，安全可靠的防凝露算法保证服务器安全，内置冷凝风机无级调节，保证机组高低温运行平稳。</w:t>
            </w:r>
          </w:p>
        </w:tc>
        <w:tc>
          <w:tcPr>
            <w:tcW w:w="688" w:type="dxa"/>
            <w:noWrap w:val="0"/>
            <w:vAlign w:val="center"/>
          </w:tcPr>
          <w:p w14:paraId="4C9892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812" w:type="dxa"/>
            <w:noWrap w:val="0"/>
            <w:vAlign w:val="center"/>
          </w:tcPr>
          <w:p w14:paraId="4207D2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2CBB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88BC6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1427" w:type="dxa"/>
            <w:noWrap w:val="0"/>
            <w:vAlign w:val="center"/>
          </w:tcPr>
          <w:p w14:paraId="72776D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制冷剂</w:t>
            </w:r>
          </w:p>
        </w:tc>
        <w:tc>
          <w:tcPr>
            <w:tcW w:w="5448" w:type="dxa"/>
            <w:noWrap w:val="0"/>
            <w:vAlign w:val="center"/>
          </w:tcPr>
          <w:p w14:paraId="4AC789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制冷剂、防冻液</w:t>
            </w:r>
          </w:p>
        </w:tc>
        <w:tc>
          <w:tcPr>
            <w:tcW w:w="688" w:type="dxa"/>
            <w:noWrap w:val="0"/>
            <w:vAlign w:val="center"/>
          </w:tcPr>
          <w:p w14:paraId="41FD50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5BA7BE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6891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C770D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w:t>
            </w:r>
          </w:p>
        </w:tc>
        <w:tc>
          <w:tcPr>
            <w:tcW w:w="1427" w:type="dxa"/>
            <w:noWrap w:val="0"/>
            <w:vAlign w:val="center"/>
          </w:tcPr>
          <w:p w14:paraId="521AE5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空调铜管及辅材</w:t>
            </w:r>
          </w:p>
        </w:tc>
        <w:tc>
          <w:tcPr>
            <w:tcW w:w="5448" w:type="dxa"/>
            <w:noWrap w:val="0"/>
            <w:vAlign w:val="center"/>
          </w:tcPr>
          <w:p w14:paraId="10D6FC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空调配套件-铜管组件：气管+液管，包含连接线缆、保温、信号线，平均每台暂定10m</w:t>
            </w:r>
          </w:p>
        </w:tc>
        <w:tc>
          <w:tcPr>
            <w:tcW w:w="688" w:type="dxa"/>
            <w:noWrap w:val="0"/>
            <w:vAlign w:val="center"/>
          </w:tcPr>
          <w:p w14:paraId="5CC2A8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1ABC13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7254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01130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w:t>
            </w:r>
          </w:p>
        </w:tc>
        <w:tc>
          <w:tcPr>
            <w:tcW w:w="1427" w:type="dxa"/>
            <w:noWrap w:val="0"/>
            <w:vAlign w:val="center"/>
          </w:tcPr>
          <w:p w14:paraId="4F65B5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综合基础柜</w:t>
            </w:r>
          </w:p>
        </w:tc>
        <w:tc>
          <w:tcPr>
            <w:tcW w:w="5448" w:type="dxa"/>
            <w:noWrap w:val="0"/>
            <w:vAlign w:val="center"/>
          </w:tcPr>
          <w:p w14:paraId="72D980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1、机柜支持19英寸标准的服务器、存储及网络设备安装，尺寸：600mm×1400mm×2000mm，前后密闭冷热通道。后机柜单开钣金门下端安装一组风扇（每组连两个风扇）同时包含2条垂直理线槽及2对PDU安装板；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2、主体颜色采用黑色，机柜材料采用高强度A级优质碳素冷轧钢板和镀锌板，表面喷涂厚度应不小于60μm ,采用黑色砂纹工艺，满足防腐、防锈、光洁、色泽均匀、无流挂、不露底、无起泡、无裂纹、金属件无毛刺锈蚀要求；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3、前玻璃后钣金双开钣金门，机柜前、后门带自动弹开装置，感应器；含脚轮支撑脚、螺丝螺母、两块垂直理线板，不含侧板；</w:t>
            </w:r>
          </w:p>
        </w:tc>
        <w:tc>
          <w:tcPr>
            <w:tcW w:w="688" w:type="dxa"/>
            <w:noWrap w:val="0"/>
            <w:vAlign w:val="center"/>
          </w:tcPr>
          <w:p w14:paraId="5575AE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400C70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75BA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A792E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w:t>
            </w:r>
          </w:p>
        </w:tc>
        <w:tc>
          <w:tcPr>
            <w:tcW w:w="1427" w:type="dxa"/>
            <w:noWrap w:val="0"/>
            <w:vAlign w:val="center"/>
          </w:tcPr>
          <w:p w14:paraId="522985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服务器机柜</w:t>
            </w:r>
          </w:p>
        </w:tc>
        <w:tc>
          <w:tcPr>
            <w:tcW w:w="5448" w:type="dxa"/>
            <w:noWrap w:val="0"/>
            <w:vAlign w:val="center"/>
          </w:tcPr>
          <w:p w14:paraId="303848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1、机柜支持19英寸标准的服务器、存储及网络设备安装，尺寸：600mm×1400mm×2000mm，前后密闭冷热通道。后机柜单开钣金门下端安装一组风扇（每组连两个风扇）同时包含2条垂直理线槽及2对PDU安装板；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2、主体颜色采用黑色，机柜材料采用高强度A级优质碳素冷轧钢板和镀锌板，表面喷涂厚度应不小于60μm ,采用黑色砂纹工艺，满足防腐、防锈、光洁、色泽均匀、无流挂、不露底、无起泡、无裂纹、金属件无毛刺锈蚀要求；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3、前玻璃后钣金双开钣金门，机柜前、后门带自动弹开装置，感应器；含脚轮支撑脚、螺丝螺母、两块垂直理线板，不含侧板；</w:t>
            </w:r>
          </w:p>
        </w:tc>
        <w:tc>
          <w:tcPr>
            <w:tcW w:w="688" w:type="dxa"/>
            <w:noWrap w:val="0"/>
            <w:vAlign w:val="center"/>
          </w:tcPr>
          <w:p w14:paraId="5831A9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68F612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r>
      <w:tr w14:paraId="5FDE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25DA6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76</w:t>
            </w:r>
          </w:p>
        </w:tc>
        <w:tc>
          <w:tcPr>
            <w:tcW w:w="1427" w:type="dxa"/>
            <w:noWrap w:val="0"/>
            <w:vAlign w:val="center"/>
          </w:tcPr>
          <w:p w14:paraId="6CB3EB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机柜侧板</w:t>
            </w:r>
          </w:p>
        </w:tc>
        <w:tc>
          <w:tcPr>
            <w:tcW w:w="5448" w:type="dxa"/>
            <w:noWrap w:val="0"/>
            <w:vAlign w:val="center"/>
          </w:tcPr>
          <w:p w14:paraId="4C6985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机柜侧板，适用于1200深42U机柜，左右各一块</w:t>
            </w:r>
          </w:p>
        </w:tc>
        <w:tc>
          <w:tcPr>
            <w:tcW w:w="688" w:type="dxa"/>
            <w:noWrap w:val="0"/>
            <w:vAlign w:val="center"/>
          </w:tcPr>
          <w:p w14:paraId="323B48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侧</w:t>
            </w:r>
          </w:p>
        </w:tc>
        <w:tc>
          <w:tcPr>
            <w:tcW w:w="812" w:type="dxa"/>
            <w:noWrap w:val="0"/>
            <w:vAlign w:val="center"/>
          </w:tcPr>
          <w:p w14:paraId="3D811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019A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C4B66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w:t>
            </w:r>
          </w:p>
        </w:tc>
        <w:tc>
          <w:tcPr>
            <w:tcW w:w="1427" w:type="dxa"/>
            <w:noWrap w:val="0"/>
            <w:vAlign w:val="center"/>
          </w:tcPr>
          <w:p w14:paraId="3EB25E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L型导轨</w:t>
            </w:r>
          </w:p>
        </w:tc>
        <w:tc>
          <w:tcPr>
            <w:tcW w:w="5448" w:type="dxa"/>
            <w:noWrap w:val="0"/>
            <w:vAlign w:val="center"/>
          </w:tcPr>
          <w:p w14:paraId="048114C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长度700mm，承重60kg，适用于1400深度服务器机柜</w:t>
            </w:r>
          </w:p>
        </w:tc>
        <w:tc>
          <w:tcPr>
            <w:tcW w:w="688" w:type="dxa"/>
            <w:noWrap w:val="0"/>
            <w:vAlign w:val="center"/>
          </w:tcPr>
          <w:p w14:paraId="7813ED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对</w:t>
            </w:r>
          </w:p>
        </w:tc>
        <w:tc>
          <w:tcPr>
            <w:tcW w:w="812" w:type="dxa"/>
            <w:noWrap w:val="0"/>
            <w:vAlign w:val="center"/>
          </w:tcPr>
          <w:p w14:paraId="5CB685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r>
      <w:tr w14:paraId="7A11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FB2DB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78</w:t>
            </w:r>
          </w:p>
        </w:tc>
        <w:tc>
          <w:tcPr>
            <w:tcW w:w="1427" w:type="dxa"/>
            <w:noWrap w:val="0"/>
            <w:vAlign w:val="center"/>
          </w:tcPr>
          <w:p w14:paraId="317D7E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毛刷理线架</w:t>
            </w:r>
          </w:p>
        </w:tc>
        <w:tc>
          <w:tcPr>
            <w:tcW w:w="5448" w:type="dxa"/>
            <w:noWrap w:val="0"/>
            <w:vAlign w:val="center"/>
          </w:tcPr>
          <w:p w14:paraId="366EE13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用于机柜横向理线，1U高度，带毛刷</w:t>
            </w:r>
          </w:p>
        </w:tc>
        <w:tc>
          <w:tcPr>
            <w:tcW w:w="688" w:type="dxa"/>
            <w:noWrap w:val="0"/>
            <w:vAlign w:val="center"/>
          </w:tcPr>
          <w:p w14:paraId="75C858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812" w:type="dxa"/>
            <w:noWrap w:val="0"/>
            <w:vAlign w:val="center"/>
          </w:tcPr>
          <w:p w14:paraId="2C2622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r>
      <w:tr w14:paraId="0772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41818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79</w:t>
            </w:r>
          </w:p>
        </w:tc>
        <w:tc>
          <w:tcPr>
            <w:tcW w:w="1427" w:type="dxa"/>
            <w:noWrap w:val="0"/>
            <w:vAlign w:val="center"/>
          </w:tcPr>
          <w:p w14:paraId="677C05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塑料盲板</w:t>
            </w:r>
          </w:p>
        </w:tc>
        <w:tc>
          <w:tcPr>
            <w:tcW w:w="5448" w:type="dxa"/>
            <w:noWrap w:val="0"/>
            <w:vAlign w:val="center"/>
          </w:tcPr>
          <w:p w14:paraId="1DEBF8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ABS塑胶盲板，1U高度，快拆结构，用于机柜气流遏制</w:t>
            </w:r>
          </w:p>
        </w:tc>
        <w:tc>
          <w:tcPr>
            <w:tcW w:w="688" w:type="dxa"/>
            <w:noWrap w:val="0"/>
            <w:vAlign w:val="center"/>
          </w:tcPr>
          <w:p w14:paraId="5AF382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812" w:type="dxa"/>
            <w:noWrap w:val="0"/>
            <w:vAlign w:val="center"/>
          </w:tcPr>
          <w:p w14:paraId="0EFD95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r>
      <w:tr w14:paraId="5806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EE36F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1427" w:type="dxa"/>
            <w:noWrap w:val="0"/>
            <w:vAlign w:val="center"/>
          </w:tcPr>
          <w:p w14:paraId="48085C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PDU</w:t>
            </w:r>
          </w:p>
        </w:tc>
        <w:tc>
          <w:tcPr>
            <w:tcW w:w="5448" w:type="dxa"/>
            <w:noWrap w:val="0"/>
            <w:vAlign w:val="center"/>
          </w:tcPr>
          <w:p w14:paraId="7AD7AF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1.5U，总输入电流32A带接线盒带灯带浪涌，无输入电缆，16位国标10A，4位国标16A</w:t>
            </w:r>
          </w:p>
        </w:tc>
        <w:tc>
          <w:tcPr>
            <w:tcW w:w="688" w:type="dxa"/>
            <w:noWrap w:val="0"/>
            <w:vAlign w:val="center"/>
          </w:tcPr>
          <w:p w14:paraId="49EB59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条</w:t>
            </w:r>
          </w:p>
        </w:tc>
        <w:tc>
          <w:tcPr>
            <w:tcW w:w="812" w:type="dxa"/>
            <w:noWrap w:val="0"/>
            <w:vAlign w:val="center"/>
          </w:tcPr>
          <w:p w14:paraId="3E9427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r>
      <w:tr w14:paraId="0828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D52B7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81</w:t>
            </w:r>
          </w:p>
        </w:tc>
        <w:tc>
          <w:tcPr>
            <w:tcW w:w="1427" w:type="dxa"/>
            <w:noWrap w:val="0"/>
            <w:vAlign w:val="center"/>
          </w:tcPr>
          <w:p w14:paraId="30C7C8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照明</w:t>
            </w:r>
          </w:p>
        </w:tc>
        <w:tc>
          <w:tcPr>
            <w:tcW w:w="5448" w:type="dxa"/>
            <w:noWrap w:val="0"/>
            <w:vAlign w:val="center"/>
          </w:tcPr>
          <w:p w14:paraId="4F02CF6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5WLED节能一体化灯，AC220V供电，300mm以内,</w:t>
            </w:r>
          </w:p>
        </w:tc>
        <w:tc>
          <w:tcPr>
            <w:tcW w:w="688" w:type="dxa"/>
            <w:noWrap w:val="0"/>
            <w:vAlign w:val="center"/>
          </w:tcPr>
          <w:p w14:paraId="4FF95A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2104F7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r>
      <w:tr w14:paraId="5760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37F67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82</w:t>
            </w:r>
          </w:p>
        </w:tc>
        <w:tc>
          <w:tcPr>
            <w:tcW w:w="1427" w:type="dxa"/>
            <w:noWrap w:val="0"/>
            <w:vAlign w:val="center"/>
          </w:tcPr>
          <w:p w14:paraId="70535D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柜定线槽</w:t>
            </w:r>
          </w:p>
        </w:tc>
        <w:tc>
          <w:tcPr>
            <w:tcW w:w="5448" w:type="dxa"/>
            <w:noWrap w:val="0"/>
            <w:vAlign w:val="center"/>
          </w:tcPr>
          <w:p w14:paraId="26FEF2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钣金结构，厚度1.2mm，用于600宽机柜，高度100mm，宽度300mm，槽道空间170mm</w:t>
            </w:r>
          </w:p>
        </w:tc>
        <w:tc>
          <w:tcPr>
            <w:tcW w:w="688" w:type="dxa"/>
            <w:noWrap w:val="0"/>
            <w:vAlign w:val="center"/>
          </w:tcPr>
          <w:p w14:paraId="38EFF8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63779E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r>
      <w:tr w14:paraId="7587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4DBEF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83</w:t>
            </w:r>
          </w:p>
        </w:tc>
        <w:tc>
          <w:tcPr>
            <w:tcW w:w="1427" w:type="dxa"/>
            <w:noWrap w:val="0"/>
            <w:vAlign w:val="center"/>
          </w:tcPr>
          <w:p w14:paraId="7A721F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线材包</w:t>
            </w:r>
          </w:p>
        </w:tc>
        <w:tc>
          <w:tcPr>
            <w:tcW w:w="5448" w:type="dxa"/>
            <w:noWrap w:val="0"/>
            <w:vAlign w:val="center"/>
          </w:tcPr>
          <w:p w14:paraId="08367B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机柜间连接线，含照明、门磁PDU等设备的线缆以及机柜间的跨接线。</w:t>
            </w:r>
          </w:p>
        </w:tc>
        <w:tc>
          <w:tcPr>
            <w:tcW w:w="688" w:type="dxa"/>
            <w:noWrap w:val="0"/>
            <w:vAlign w:val="center"/>
          </w:tcPr>
          <w:p w14:paraId="41582D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195D32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4D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F8B6E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w:t>
            </w:r>
          </w:p>
        </w:tc>
        <w:tc>
          <w:tcPr>
            <w:tcW w:w="1427" w:type="dxa"/>
            <w:noWrap w:val="0"/>
            <w:vAlign w:val="center"/>
          </w:tcPr>
          <w:p w14:paraId="6D52B3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一体化监控单元</w:t>
            </w:r>
          </w:p>
        </w:tc>
        <w:tc>
          <w:tcPr>
            <w:tcW w:w="5448" w:type="dxa"/>
            <w:noWrap w:val="0"/>
            <w:vAlign w:val="center"/>
          </w:tcPr>
          <w:p w14:paraId="0FEB22C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监控主机具备10寸的触摸屏，1个RS232，5个RS485串口，并具备5个DI量和2个DO量，可接入漏水，防雷，红外，烟感等传感器。不含供电电源</w:t>
            </w:r>
          </w:p>
        </w:tc>
        <w:tc>
          <w:tcPr>
            <w:tcW w:w="688" w:type="dxa"/>
            <w:noWrap w:val="0"/>
            <w:vAlign w:val="center"/>
          </w:tcPr>
          <w:p w14:paraId="120027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4448D9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615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8CA21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85</w:t>
            </w:r>
          </w:p>
        </w:tc>
        <w:tc>
          <w:tcPr>
            <w:tcW w:w="1427" w:type="dxa"/>
            <w:noWrap w:val="0"/>
            <w:vAlign w:val="center"/>
          </w:tcPr>
          <w:p w14:paraId="050769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一体化机柜智能管理软件</w:t>
            </w:r>
          </w:p>
        </w:tc>
        <w:tc>
          <w:tcPr>
            <w:tcW w:w="5448" w:type="dxa"/>
            <w:noWrap w:val="0"/>
            <w:vAlign w:val="center"/>
          </w:tcPr>
          <w:p w14:paraId="591AA9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1、基本要求：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一体化机柜监控软件，含1台UPS接入授权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含1台配电单元接入授权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含2台精密空调接入授权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含1套微模块门禁接入授权（限系统自带设备）</w:t>
            </w:r>
          </w:p>
        </w:tc>
        <w:tc>
          <w:tcPr>
            <w:tcW w:w="688" w:type="dxa"/>
            <w:noWrap w:val="0"/>
            <w:vAlign w:val="center"/>
          </w:tcPr>
          <w:p w14:paraId="75AF78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0E24DC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2CA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DCAA1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w:t>
            </w:r>
          </w:p>
        </w:tc>
        <w:tc>
          <w:tcPr>
            <w:tcW w:w="1427" w:type="dxa"/>
            <w:noWrap w:val="0"/>
            <w:vAlign w:val="center"/>
          </w:tcPr>
          <w:p w14:paraId="6796A3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机柜式温湿度传感器</w:t>
            </w:r>
          </w:p>
        </w:tc>
        <w:tc>
          <w:tcPr>
            <w:tcW w:w="5448" w:type="dxa"/>
            <w:noWrap w:val="0"/>
            <w:vAlign w:val="center"/>
          </w:tcPr>
          <w:p w14:paraId="0D1E67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LCD显示 实时显示温度、湿度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温度范围 -20℃～80℃，湿度范围 0～100%RH，温度误差 &lt;±0.3℃，湿度误差 &lt;±3%RH，物理接口 2个RJ45插座RS485通信接口 （配磁吸式）</w:t>
            </w:r>
          </w:p>
        </w:tc>
        <w:tc>
          <w:tcPr>
            <w:tcW w:w="688" w:type="dxa"/>
            <w:noWrap w:val="0"/>
            <w:vAlign w:val="center"/>
          </w:tcPr>
          <w:p w14:paraId="4A5ECD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812" w:type="dxa"/>
            <w:noWrap w:val="0"/>
            <w:vAlign w:val="center"/>
          </w:tcPr>
          <w:p w14:paraId="6306E4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6BED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E38AD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87</w:t>
            </w:r>
          </w:p>
        </w:tc>
        <w:tc>
          <w:tcPr>
            <w:tcW w:w="1427" w:type="dxa"/>
            <w:noWrap w:val="0"/>
            <w:vAlign w:val="center"/>
          </w:tcPr>
          <w:p w14:paraId="57B9C9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烟雾传感器</w:t>
            </w:r>
          </w:p>
        </w:tc>
        <w:tc>
          <w:tcPr>
            <w:tcW w:w="5448" w:type="dxa"/>
            <w:noWrap w:val="0"/>
            <w:vAlign w:val="center"/>
          </w:tcPr>
          <w:p w14:paraId="130FB6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1、12VDC(9V～35VDC )，待机电流：&lt;500uA，告警电流：&lt;18mA；保护面积&gt;30平米；外形尺寸：100（直径）x48mm（高度）；支持磁铁安装；干接点告警输出，可与天窗控制器联动。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2、后出线，利于走线隐藏</w:t>
            </w:r>
          </w:p>
        </w:tc>
        <w:tc>
          <w:tcPr>
            <w:tcW w:w="688" w:type="dxa"/>
            <w:noWrap w:val="0"/>
            <w:vAlign w:val="center"/>
          </w:tcPr>
          <w:p w14:paraId="3C7173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812" w:type="dxa"/>
            <w:noWrap w:val="0"/>
            <w:vAlign w:val="center"/>
          </w:tcPr>
          <w:p w14:paraId="04F22F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33EC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F6859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88</w:t>
            </w:r>
          </w:p>
        </w:tc>
        <w:tc>
          <w:tcPr>
            <w:tcW w:w="1427" w:type="dxa"/>
            <w:noWrap w:val="0"/>
            <w:vAlign w:val="center"/>
          </w:tcPr>
          <w:p w14:paraId="3F0345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声光告警</w:t>
            </w:r>
          </w:p>
        </w:tc>
        <w:tc>
          <w:tcPr>
            <w:tcW w:w="5448" w:type="dxa"/>
            <w:noWrap w:val="0"/>
            <w:vAlign w:val="center"/>
          </w:tcPr>
          <w:p w14:paraId="7888B6B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工作电压：12V；工作电流：70mA；声压指数：≥108dB（300mm）；闪光频率：200次/分钟±10%；灯罩颜色：红色</w:t>
            </w:r>
          </w:p>
        </w:tc>
        <w:tc>
          <w:tcPr>
            <w:tcW w:w="688" w:type="dxa"/>
            <w:noWrap w:val="0"/>
            <w:vAlign w:val="center"/>
          </w:tcPr>
          <w:p w14:paraId="699A58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812" w:type="dxa"/>
            <w:noWrap w:val="0"/>
            <w:vAlign w:val="center"/>
          </w:tcPr>
          <w:p w14:paraId="4BEA8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5D8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C7148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89</w:t>
            </w:r>
          </w:p>
        </w:tc>
        <w:tc>
          <w:tcPr>
            <w:tcW w:w="1427" w:type="dxa"/>
            <w:noWrap w:val="0"/>
            <w:vAlign w:val="center"/>
          </w:tcPr>
          <w:p w14:paraId="79C1FC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门磁传感器</w:t>
            </w:r>
          </w:p>
        </w:tc>
        <w:tc>
          <w:tcPr>
            <w:tcW w:w="5448" w:type="dxa"/>
            <w:noWrap w:val="0"/>
            <w:vAlign w:val="center"/>
          </w:tcPr>
          <w:p w14:paraId="6E14AF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用于监测机柜前后门状态，干接点信号输出，每台机柜配置2对</w:t>
            </w:r>
          </w:p>
        </w:tc>
        <w:tc>
          <w:tcPr>
            <w:tcW w:w="688" w:type="dxa"/>
            <w:noWrap w:val="0"/>
            <w:vAlign w:val="center"/>
          </w:tcPr>
          <w:p w14:paraId="454556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对</w:t>
            </w:r>
          </w:p>
        </w:tc>
        <w:tc>
          <w:tcPr>
            <w:tcW w:w="812" w:type="dxa"/>
            <w:noWrap w:val="0"/>
            <w:vAlign w:val="center"/>
          </w:tcPr>
          <w:p w14:paraId="5CFBFD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r>
      <w:tr w14:paraId="5345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198E88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1427" w:type="dxa"/>
            <w:noWrap w:val="0"/>
            <w:vAlign w:val="center"/>
          </w:tcPr>
          <w:p w14:paraId="1578BB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不定位式漏水检测器</w:t>
            </w:r>
          </w:p>
        </w:tc>
        <w:tc>
          <w:tcPr>
            <w:tcW w:w="5448" w:type="dxa"/>
            <w:noWrap w:val="0"/>
            <w:vAlign w:val="center"/>
          </w:tcPr>
          <w:p w14:paraId="5A951F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可调灵敏度；只用在使用水浸绳的情况下，最大监测距离500米。导轨安装</w:t>
            </w:r>
          </w:p>
        </w:tc>
        <w:tc>
          <w:tcPr>
            <w:tcW w:w="688" w:type="dxa"/>
            <w:noWrap w:val="0"/>
            <w:vAlign w:val="center"/>
          </w:tcPr>
          <w:p w14:paraId="0D99EC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812" w:type="dxa"/>
            <w:noWrap w:val="0"/>
            <w:vAlign w:val="center"/>
          </w:tcPr>
          <w:p w14:paraId="26AAB8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7A3D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18816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91</w:t>
            </w:r>
          </w:p>
        </w:tc>
        <w:tc>
          <w:tcPr>
            <w:tcW w:w="1427" w:type="dxa"/>
            <w:noWrap w:val="0"/>
            <w:vAlign w:val="center"/>
          </w:tcPr>
          <w:p w14:paraId="7F1A70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不定位漏水感应绳</w:t>
            </w:r>
          </w:p>
        </w:tc>
        <w:tc>
          <w:tcPr>
            <w:tcW w:w="5448" w:type="dxa"/>
            <w:noWrap w:val="0"/>
            <w:vAlign w:val="center"/>
          </w:tcPr>
          <w:p w14:paraId="55A651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非定位，送胶贴，自带引出线5米</w:t>
            </w:r>
          </w:p>
        </w:tc>
        <w:tc>
          <w:tcPr>
            <w:tcW w:w="688" w:type="dxa"/>
            <w:noWrap w:val="0"/>
            <w:vAlign w:val="center"/>
          </w:tcPr>
          <w:p w14:paraId="0AD81D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条</w:t>
            </w:r>
          </w:p>
        </w:tc>
        <w:tc>
          <w:tcPr>
            <w:tcW w:w="812" w:type="dxa"/>
            <w:noWrap w:val="0"/>
            <w:vAlign w:val="center"/>
          </w:tcPr>
          <w:p w14:paraId="7BB5E9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4FFE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7435E1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c>
          <w:tcPr>
            <w:tcW w:w="1427" w:type="dxa"/>
            <w:noWrap w:val="0"/>
            <w:vAlign w:val="center"/>
          </w:tcPr>
          <w:p w14:paraId="5AFCBF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附材</w:t>
            </w:r>
          </w:p>
        </w:tc>
        <w:tc>
          <w:tcPr>
            <w:tcW w:w="5448" w:type="dxa"/>
            <w:noWrap w:val="0"/>
            <w:vAlign w:val="center"/>
          </w:tcPr>
          <w:p w14:paraId="17D218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螺丝、固定支架、扎带等配套材料</w:t>
            </w:r>
          </w:p>
        </w:tc>
        <w:tc>
          <w:tcPr>
            <w:tcW w:w="688" w:type="dxa"/>
            <w:noWrap w:val="0"/>
            <w:vAlign w:val="center"/>
          </w:tcPr>
          <w:p w14:paraId="11B111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批</w:t>
            </w:r>
          </w:p>
        </w:tc>
        <w:tc>
          <w:tcPr>
            <w:tcW w:w="812" w:type="dxa"/>
            <w:noWrap w:val="0"/>
            <w:vAlign w:val="center"/>
          </w:tcPr>
          <w:p w14:paraId="6FC588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884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75" w:type="dxa"/>
            <w:gridSpan w:val="3"/>
            <w:noWrap w:val="0"/>
            <w:vAlign w:val="center"/>
          </w:tcPr>
          <w:p w14:paraId="057F0389">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七、装修部分</w:t>
            </w:r>
          </w:p>
        </w:tc>
        <w:tc>
          <w:tcPr>
            <w:tcW w:w="688" w:type="dxa"/>
            <w:noWrap w:val="0"/>
            <w:vAlign w:val="center"/>
          </w:tcPr>
          <w:p w14:paraId="14A1AB7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812" w:type="dxa"/>
            <w:noWrap w:val="0"/>
            <w:vAlign w:val="center"/>
          </w:tcPr>
          <w:p w14:paraId="496DDA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4BF6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24827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93</w:t>
            </w:r>
          </w:p>
        </w:tc>
        <w:tc>
          <w:tcPr>
            <w:tcW w:w="1427" w:type="dxa"/>
            <w:noWrap w:val="0"/>
            <w:vAlign w:val="center"/>
          </w:tcPr>
          <w:p w14:paraId="3C9BB4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无边钢混防静电地板</w:t>
            </w:r>
          </w:p>
        </w:tc>
        <w:tc>
          <w:tcPr>
            <w:tcW w:w="5448" w:type="dxa"/>
            <w:noWrap w:val="0"/>
            <w:vAlign w:val="center"/>
          </w:tcPr>
          <w:p w14:paraId="3692838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600*600*35mm，含支架</w:t>
            </w:r>
          </w:p>
        </w:tc>
        <w:tc>
          <w:tcPr>
            <w:tcW w:w="688" w:type="dxa"/>
            <w:noWrap w:val="0"/>
            <w:vAlign w:val="center"/>
          </w:tcPr>
          <w:p w14:paraId="1A0DAB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m2</w:t>
            </w:r>
          </w:p>
        </w:tc>
        <w:tc>
          <w:tcPr>
            <w:tcW w:w="812" w:type="dxa"/>
            <w:noWrap w:val="0"/>
            <w:vAlign w:val="center"/>
          </w:tcPr>
          <w:p w14:paraId="341167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r>
      <w:tr w14:paraId="6DCA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C5C1C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94</w:t>
            </w:r>
          </w:p>
        </w:tc>
        <w:tc>
          <w:tcPr>
            <w:tcW w:w="1427" w:type="dxa"/>
            <w:noWrap w:val="0"/>
            <w:vAlign w:val="center"/>
          </w:tcPr>
          <w:p w14:paraId="7B35FD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不锈钢踢脚线</w:t>
            </w:r>
          </w:p>
        </w:tc>
        <w:tc>
          <w:tcPr>
            <w:tcW w:w="5448" w:type="dxa"/>
            <w:noWrap w:val="0"/>
            <w:vAlign w:val="center"/>
          </w:tcPr>
          <w:p w14:paraId="2ABA6B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100*0.8mm</w:t>
            </w:r>
          </w:p>
        </w:tc>
        <w:tc>
          <w:tcPr>
            <w:tcW w:w="688" w:type="dxa"/>
            <w:noWrap w:val="0"/>
            <w:vAlign w:val="center"/>
          </w:tcPr>
          <w:p w14:paraId="4E6E60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2177A3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r>
      <w:tr w14:paraId="52EB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01E7A0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w:t>
            </w:r>
          </w:p>
        </w:tc>
        <w:tc>
          <w:tcPr>
            <w:tcW w:w="1427" w:type="dxa"/>
            <w:noWrap w:val="0"/>
            <w:vAlign w:val="center"/>
          </w:tcPr>
          <w:p w14:paraId="451009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设备承重支架</w:t>
            </w:r>
          </w:p>
        </w:tc>
        <w:tc>
          <w:tcPr>
            <w:tcW w:w="5448" w:type="dxa"/>
            <w:noWrap w:val="0"/>
            <w:vAlign w:val="center"/>
          </w:tcPr>
          <w:p w14:paraId="5FA851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5#槽钢制作（机柜、空调、配电柜、UPS），刷防锈漆，具体尺寸按现场实际情况确定</w:t>
            </w:r>
          </w:p>
        </w:tc>
        <w:tc>
          <w:tcPr>
            <w:tcW w:w="688" w:type="dxa"/>
            <w:noWrap w:val="0"/>
            <w:vAlign w:val="center"/>
          </w:tcPr>
          <w:p w14:paraId="76A636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689859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r>
      <w:tr w14:paraId="382F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5B2A5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w:t>
            </w:r>
          </w:p>
        </w:tc>
        <w:tc>
          <w:tcPr>
            <w:tcW w:w="1427" w:type="dxa"/>
            <w:noWrap w:val="0"/>
            <w:vAlign w:val="center"/>
          </w:tcPr>
          <w:p w14:paraId="492B74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电池承重支架</w:t>
            </w:r>
          </w:p>
        </w:tc>
        <w:tc>
          <w:tcPr>
            <w:tcW w:w="5448" w:type="dxa"/>
            <w:noWrap w:val="0"/>
            <w:vAlign w:val="center"/>
          </w:tcPr>
          <w:p w14:paraId="182DE1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8#槽钢制作，刷防锈漆，具体尺寸按现场实际情况确定</w:t>
            </w:r>
          </w:p>
        </w:tc>
        <w:tc>
          <w:tcPr>
            <w:tcW w:w="688" w:type="dxa"/>
            <w:noWrap w:val="0"/>
            <w:vAlign w:val="center"/>
          </w:tcPr>
          <w:p w14:paraId="388606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12" w:type="dxa"/>
            <w:noWrap w:val="0"/>
            <w:vAlign w:val="center"/>
          </w:tcPr>
          <w:p w14:paraId="16550B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4C8D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5E1C4D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97</w:t>
            </w:r>
          </w:p>
        </w:tc>
        <w:tc>
          <w:tcPr>
            <w:tcW w:w="1427" w:type="dxa"/>
            <w:noWrap w:val="0"/>
            <w:vAlign w:val="center"/>
          </w:tcPr>
          <w:p w14:paraId="703401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机柜接地线</w:t>
            </w:r>
          </w:p>
        </w:tc>
        <w:tc>
          <w:tcPr>
            <w:tcW w:w="5448" w:type="dxa"/>
            <w:noWrap w:val="0"/>
            <w:vAlign w:val="center"/>
          </w:tcPr>
          <w:p w14:paraId="5CD4AE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BVR2.5mm2</w:t>
            </w:r>
          </w:p>
        </w:tc>
        <w:tc>
          <w:tcPr>
            <w:tcW w:w="688" w:type="dxa"/>
            <w:noWrap w:val="0"/>
            <w:vAlign w:val="center"/>
          </w:tcPr>
          <w:p w14:paraId="081179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02D866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r>
      <w:tr w14:paraId="6137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C464A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98</w:t>
            </w:r>
          </w:p>
        </w:tc>
        <w:tc>
          <w:tcPr>
            <w:tcW w:w="1427" w:type="dxa"/>
            <w:noWrap w:val="0"/>
            <w:vAlign w:val="center"/>
          </w:tcPr>
          <w:p w14:paraId="5A0DDF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接地线</w:t>
            </w:r>
          </w:p>
        </w:tc>
        <w:tc>
          <w:tcPr>
            <w:tcW w:w="5448" w:type="dxa"/>
            <w:noWrap w:val="0"/>
            <w:vAlign w:val="center"/>
          </w:tcPr>
          <w:p w14:paraId="704406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BVR6mm2</w:t>
            </w:r>
          </w:p>
        </w:tc>
        <w:tc>
          <w:tcPr>
            <w:tcW w:w="688" w:type="dxa"/>
            <w:noWrap w:val="0"/>
            <w:vAlign w:val="center"/>
          </w:tcPr>
          <w:p w14:paraId="7216FE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812" w:type="dxa"/>
            <w:noWrap w:val="0"/>
            <w:vAlign w:val="center"/>
          </w:tcPr>
          <w:p w14:paraId="247AED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r>
      <w:tr w14:paraId="145D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67D0A2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99</w:t>
            </w:r>
          </w:p>
        </w:tc>
        <w:tc>
          <w:tcPr>
            <w:tcW w:w="1427" w:type="dxa"/>
            <w:noWrap w:val="0"/>
            <w:vAlign w:val="center"/>
          </w:tcPr>
          <w:p w14:paraId="0539AF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辅材</w:t>
            </w:r>
          </w:p>
        </w:tc>
        <w:tc>
          <w:tcPr>
            <w:tcW w:w="5448" w:type="dxa"/>
            <w:noWrap w:val="0"/>
            <w:vAlign w:val="center"/>
          </w:tcPr>
          <w:p w14:paraId="08536A1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施工备用件、耗材等</w:t>
            </w:r>
          </w:p>
        </w:tc>
        <w:tc>
          <w:tcPr>
            <w:tcW w:w="688" w:type="dxa"/>
            <w:noWrap w:val="0"/>
            <w:vAlign w:val="center"/>
          </w:tcPr>
          <w:p w14:paraId="53018F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17AF98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520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4E84F8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427" w:type="dxa"/>
            <w:noWrap w:val="0"/>
            <w:vAlign w:val="center"/>
          </w:tcPr>
          <w:p w14:paraId="349446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监控中心原有机柜线缆整理</w:t>
            </w:r>
          </w:p>
        </w:tc>
        <w:tc>
          <w:tcPr>
            <w:tcW w:w="5448" w:type="dxa"/>
            <w:noWrap w:val="0"/>
            <w:vAlign w:val="center"/>
          </w:tcPr>
          <w:p w14:paraId="3387A9F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监控中心与机房线缆整理，原有机柜需拆除，博物馆相关原有的所有系统（入侵报警系统、视频监控系统、计算机网络系统、广播系统等等）需重新整理</w:t>
            </w:r>
          </w:p>
        </w:tc>
        <w:tc>
          <w:tcPr>
            <w:tcW w:w="688" w:type="dxa"/>
            <w:noWrap w:val="0"/>
            <w:vAlign w:val="center"/>
          </w:tcPr>
          <w:p w14:paraId="7BDF69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1AC93B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3AA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noWrap w:val="0"/>
            <w:vAlign w:val="center"/>
          </w:tcPr>
          <w:p w14:paraId="357149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w:t>
            </w:r>
          </w:p>
        </w:tc>
        <w:tc>
          <w:tcPr>
            <w:tcW w:w="1427" w:type="dxa"/>
            <w:noWrap w:val="0"/>
            <w:vAlign w:val="center"/>
          </w:tcPr>
          <w:p w14:paraId="270152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原有设备、管线拆除</w:t>
            </w:r>
          </w:p>
        </w:tc>
        <w:tc>
          <w:tcPr>
            <w:tcW w:w="5448" w:type="dxa"/>
            <w:noWrap w:val="0"/>
            <w:vAlign w:val="center"/>
          </w:tcPr>
          <w:p w14:paraId="27F133D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原有文保单位设备、管线及监控中心设备拆除搬移，含设备、机柜、装修拆料等内容</w:t>
            </w:r>
          </w:p>
        </w:tc>
        <w:tc>
          <w:tcPr>
            <w:tcW w:w="688" w:type="dxa"/>
            <w:noWrap w:val="0"/>
            <w:vAlign w:val="center"/>
          </w:tcPr>
          <w:p w14:paraId="3F62CF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812" w:type="dxa"/>
            <w:noWrap w:val="0"/>
            <w:vAlign w:val="center"/>
          </w:tcPr>
          <w:p w14:paraId="1AF01E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bl>
    <w:p w14:paraId="00F16837">
      <w:pPr>
        <w:pStyle w:val="12"/>
        <w:spacing w:line="360" w:lineRule="auto"/>
        <w:ind w:firstLine="422" w:firstLineChars="200"/>
        <w:jc w:val="left"/>
        <w:outlineLvl w:val="1"/>
        <w:rPr>
          <w:rFonts w:hint="eastAsia" w:hAnsi="宋体" w:cs="宋体"/>
          <w:b/>
          <w:bCs/>
          <w:color w:val="auto"/>
          <w:szCs w:val="21"/>
          <w:highlight w:val="none"/>
          <w:lang w:val="zh-CN"/>
        </w:rPr>
      </w:pPr>
      <w:r>
        <w:rPr>
          <w:rFonts w:hint="eastAsia" w:hAnsi="宋体" w:cs="宋体"/>
          <w:b/>
          <w:bCs/>
          <w:color w:val="auto"/>
          <w:szCs w:val="21"/>
          <w:highlight w:val="none"/>
        </w:rPr>
        <w:t>注：</w:t>
      </w:r>
      <w:r>
        <w:rPr>
          <w:rFonts w:hint="eastAsia" w:hAnsi="宋体" w:cs="宋体"/>
          <w:b/>
          <w:bCs/>
          <w:color w:val="auto"/>
          <w:kern w:val="0"/>
          <w:szCs w:val="21"/>
          <w:highlight w:val="none"/>
        </w:rPr>
        <w:t>核心产品：文博专用室外枪机、8口工业级交换机。</w:t>
      </w:r>
      <w:r>
        <w:rPr>
          <w:rFonts w:hint="eastAsia" w:hAnsi="宋体" w:cs="宋体"/>
          <w:b/>
          <w:bCs/>
          <w:color w:val="auto"/>
          <w:szCs w:val="21"/>
          <w:highlight w:val="none"/>
        </w:rPr>
        <w:t>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hint="eastAsia" w:hAnsi="宋体" w:cs="宋体"/>
          <w:b/>
          <w:bCs/>
          <w:color w:val="auto"/>
          <w:szCs w:val="21"/>
          <w:highlight w:val="none"/>
          <w:lang w:val="zh-CN"/>
        </w:rPr>
        <w:t>评审得分相同的，由评标委员会集体推荐一个投标人作为中标候选人，其他同品牌投标人不作为中标候选人。</w:t>
      </w:r>
    </w:p>
    <w:p w14:paraId="446AAB08">
      <w:pPr>
        <w:pStyle w:val="12"/>
        <w:spacing w:line="360" w:lineRule="auto"/>
        <w:ind w:firstLine="422" w:firstLineChars="200"/>
        <w:jc w:val="left"/>
        <w:outlineLvl w:val="1"/>
        <w:rPr>
          <w:rFonts w:hint="eastAsia" w:ascii="宋体" w:hAnsi="宋体" w:eastAsia="宋体" w:cs="宋体"/>
          <w:b/>
          <w:bCs/>
          <w:color w:val="auto"/>
          <w:highlight w:val="none"/>
        </w:rPr>
      </w:pPr>
    </w:p>
    <w:p w14:paraId="6CA92393">
      <w:pPr>
        <w:pageBreakBefore w:val="0"/>
        <w:widowControl w:val="0"/>
        <w:numPr>
          <w:ilvl w:val="0"/>
          <w:numId w:val="0"/>
        </w:numPr>
        <w:kinsoku/>
        <w:wordWrap/>
        <w:overflowPunct/>
        <w:topLinePunct w:val="0"/>
        <w:autoSpaceDE/>
        <w:bidi w:val="0"/>
        <w:spacing w:line="360" w:lineRule="auto"/>
        <w:textAlignment w:val="auto"/>
        <w:outlineLvl w:val="9"/>
        <w:rPr>
          <w:rFonts w:hint="eastAsia" w:ascii="宋体" w:hAnsi="宋体" w:cs="宋体"/>
          <w:b/>
          <w:bCs/>
          <w:color w:val="auto"/>
          <w:kern w:val="2"/>
          <w:sz w:val="21"/>
          <w:szCs w:val="28"/>
          <w:highlight w:val="none"/>
          <w:lang w:val="en-US" w:eastAsia="zh-CN" w:bidi="ar-SA"/>
        </w:rPr>
      </w:pPr>
      <w:r>
        <w:rPr>
          <w:rFonts w:hint="eastAsia" w:ascii="宋体" w:hAnsi="宋体" w:eastAsia="宋体" w:cs="宋体"/>
          <w:b/>
          <w:bCs/>
          <w:color w:val="auto"/>
          <w:kern w:val="2"/>
          <w:sz w:val="21"/>
          <w:szCs w:val="28"/>
          <w:highlight w:val="none"/>
          <w:lang w:val="en-US" w:eastAsia="zh-CN" w:bidi="ar-SA"/>
        </w:rPr>
        <w:t>五、</w:t>
      </w:r>
      <w:r>
        <w:rPr>
          <w:rFonts w:hint="eastAsia" w:ascii="宋体" w:hAnsi="宋体" w:cs="宋体"/>
          <w:b/>
          <w:bCs/>
          <w:color w:val="auto"/>
          <w:kern w:val="2"/>
          <w:sz w:val="21"/>
          <w:szCs w:val="28"/>
          <w:highlight w:val="none"/>
          <w:lang w:val="en-US" w:eastAsia="zh-CN" w:bidi="ar-SA"/>
        </w:rPr>
        <w:t>演示要求</w:t>
      </w:r>
    </w:p>
    <w:tbl>
      <w:tblPr>
        <w:tblStyle w:val="23"/>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287"/>
      </w:tblGrid>
      <w:tr w14:paraId="53C7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12" w:type="dxa"/>
            <w:noWrap w:val="0"/>
            <w:vAlign w:val="center"/>
          </w:tcPr>
          <w:p w14:paraId="37F33F3A">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eastAsia="zh-CN"/>
              </w:rPr>
              <w:t>集成管理</w:t>
            </w:r>
            <w:r>
              <w:rPr>
                <w:rFonts w:hint="eastAsia" w:ascii="宋体" w:hAnsi="宋体" w:eastAsia="宋体" w:cs="宋体"/>
                <w:color w:val="auto"/>
                <w:sz w:val="21"/>
                <w:szCs w:val="21"/>
                <w:highlight w:val="none"/>
              </w:rPr>
              <w:t>平台演示</w:t>
            </w:r>
          </w:p>
        </w:tc>
        <w:tc>
          <w:tcPr>
            <w:tcW w:w="7287" w:type="dxa"/>
            <w:noWrap w:val="0"/>
            <w:vAlign w:val="center"/>
          </w:tcPr>
          <w:p w14:paraId="5C34379D">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i w:val="0"/>
                <w:iCs w:val="0"/>
                <w:color w:val="auto"/>
                <w:spacing w:val="-4"/>
                <w:szCs w:val="21"/>
                <w:highlight w:val="none"/>
                <w:lang w:val="zh-CN" w:eastAsia="zh-CN"/>
              </w:rPr>
            </w:pPr>
            <w:r>
              <w:rPr>
                <w:rFonts w:hint="eastAsia" w:ascii="宋体" w:hAnsi="宋体" w:eastAsia="宋体" w:cs="宋体"/>
                <w:i w:val="0"/>
                <w:iCs w:val="0"/>
                <w:color w:val="auto"/>
                <w:spacing w:val="-4"/>
                <w:szCs w:val="21"/>
                <w:highlight w:val="none"/>
                <w:lang w:val="zh-CN" w:eastAsia="zh-CN"/>
              </w:rPr>
              <w:t>投标人</w:t>
            </w:r>
            <w:r>
              <w:rPr>
                <w:rFonts w:hint="eastAsia" w:ascii="宋体" w:hAnsi="宋体" w:eastAsia="宋体" w:cs="宋体"/>
                <w:i w:val="0"/>
                <w:iCs w:val="0"/>
                <w:color w:val="auto"/>
                <w:spacing w:val="-4"/>
                <w:szCs w:val="21"/>
                <w:highlight w:val="none"/>
                <w:lang w:val="en-US" w:eastAsia="zh-CN"/>
              </w:rPr>
              <w:t>提供</w:t>
            </w:r>
            <w:r>
              <w:rPr>
                <w:rFonts w:hint="eastAsia" w:ascii="宋体" w:hAnsi="宋体" w:cs="宋体"/>
                <w:i w:val="0"/>
                <w:iCs w:val="0"/>
                <w:color w:val="auto"/>
                <w:spacing w:val="-4"/>
                <w:szCs w:val="21"/>
                <w:highlight w:val="none"/>
                <w:lang w:val="en-US" w:eastAsia="zh-CN"/>
              </w:rPr>
              <w:t>以下</w:t>
            </w:r>
            <w:r>
              <w:rPr>
                <w:rFonts w:hint="eastAsia" w:ascii="宋体" w:hAnsi="宋体" w:eastAsia="宋体" w:cs="宋体"/>
                <w:i w:val="0"/>
                <w:iCs w:val="0"/>
                <w:color w:val="auto"/>
                <w:spacing w:val="-4"/>
                <w:szCs w:val="21"/>
                <w:highlight w:val="none"/>
                <w:lang w:val="zh-CN" w:eastAsia="zh-CN"/>
              </w:rPr>
              <w:t>演示</w:t>
            </w:r>
            <w:r>
              <w:rPr>
                <w:rFonts w:hint="eastAsia" w:ascii="宋体" w:hAnsi="宋体" w:eastAsia="宋体" w:cs="宋体"/>
                <w:i w:val="0"/>
                <w:iCs w:val="0"/>
                <w:color w:val="auto"/>
                <w:spacing w:val="-4"/>
                <w:szCs w:val="21"/>
                <w:highlight w:val="none"/>
                <w:lang w:val="en-US" w:eastAsia="zh-CN"/>
              </w:rPr>
              <w:t>视频</w:t>
            </w:r>
            <w:r>
              <w:rPr>
                <w:rFonts w:hint="eastAsia" w:ascii="宋体" w:hAnsi="宋体" w:eastAsia="宋体" w:cs="宋体"/>
                <w:i w:val="0"/>
                <w:iCs w:val="0"/>
                <w:color w:val="auto"/>
                <w:spacing w:val="-4"/>
                <w:szCs w:val="21"/>
                <w:highlight w:val="none"/>
                <w:lang w:val="zh-CN" w:eastAsia="zh-CN"/>
              </w:rPr>
              <w:t>内容</w:t>
            </w:r>
            <w:r>
              <w:rPr>
                <w:rFonts w:hint="eastAsia" w:ascii="宋体" w:hAnsi="宋体" w:eastAsia="宋体" w:cs="宋体"/>
                <w:i w:val="0"/>
                <w:iCs w:val="0"/>
                <w:color w:val="auto"/>
                <w:spacing w:val="-4"/>
                <w:szCs w:val="21"/>
                <w:highlight w:val="none"/>
                <w:lang w:val="en-US" w:eastAsia="zh-CN"/>
              </w:rPr>
              <w:t>。</w:t>
            </w:r>
          </w:p>
          <w:p w14:paraId="1111F2E4">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i w:val="0"/>
                <w:iCs w:val="0"/>
                <w:color w:val="auto"/>
                <w:spacing w:val="-4"/>
                <w:szCs w:val="21"/>
                <w:highlight w:val="none"/>
                <w:lang w:val="zh-CN" w:eastAsia="zh-CN"/>
              </w:rPr>
            </w:pPr>
            <w:r>
              <w:rPr>
                <w:rFonts w:hint="eastAsia" w:ascii="宋体" w:hAnsi="宋体" w:eastAsia="宋体" w:cs="宋体"/>
                <w:i w:val="0"/>
                <w:iCs w:val="0"/>
                <w:color w:val="auto"/>
                <w:spacing w:val="-4"/>
                <w:szCs w:val="21"/>
                <w:highlight w:val="none"/>
                <w:lang w:val="zh-CN" w:eastAsia="zh-CN"/>
              </w:rPr>
              <w:t>根据投标人</w:t>
            </w:r>
            <w:r>
              <w:rPr>
                <w:rFonts w:hint="eastAsia" w:ascii="宋体" w:hAnsi="宋体" w:eastAsia="宋体" w:cs="宋体"/>
                <w:i w:val="0"/>
                <w:iCs w:val="0"/>
                <w:color w:val="auto"/>
                <w:spacing w:val="-4"/>
                <w:szCs w:val="21"/>
                <w:highlight w:val="none"/>
                <w:lang w:val="en-US" w:eastAsia="zh-CN"/>
              </w:rPr>
              <w:t>提供的</w:t>
            </w:r>
            <w:r>
              <w:rPr>
                <w:rFonts w:hint="eastAsia" w:ascii="宋体" w:hAnsi="宋体" w:eastAsia="宋体" w:cs="宋体"/>
                <w:i w:val="0"/>
                <w:iCs w:val="0"/>
                <w:color w:val="auto"/>
                <w:spacing w:val="-4"/>
                <w:szCs w:val="21"/>
                <w:highlight w:val="none"/>
                <w:lang w:val="zh-CN" w:eastAsia="zh-CN"/>
              </w:rPr>
              <w:t>演示</w:t>
            </w:r>
            <w:r>
              <w:rPr>
                <w:rFonts w:hint="eastAsia" w:ascii="宋体" w:hAnsi="宋体" w:eastAsia="宋体" w:cs="宋体"/>
                <w:i w:val="0"/>
                <w:iCs w:val="0"/>
                <w:color w:val="auto"/>
                <w:spacing w:val="-4"/>
                <w:szCs w:val="21"/>
                <w:highlight w:val="none"/>
                <w:lang w:val="en-US" w:eastAsia="zh-CN"/>
              </w:rPr>
              <w:t>视频</w:t>
            </w:r>
            <w:r>
              <w:rPr>
                <w:rFonts w:hint="eastAsia" w:ascii="宋体" w:hAnsi="宋体" w:eastAsia="宋体" w:cs="宋体"/>
                <w:i w:val="0"/>
                <w:iCs w:val="0"/>
                <w:color w:val="auto"/>
                <w:spacing w:val="-4"/>
                <w:szCs w:val="21"/>
                <w:highlight w:val="none"/>
                <w:lang w:val="zh-CN" w:eastAsia="zh-CN"/>
              </w:rPr>
              <w:t>内容进行</w:t>
            </w:r>
            <w:r>
              <w:rPr>
                <w:rFonts w:hint="eastAsia" w:ascii="宋体" w:hAnsi="宋体" w:eastAsia="宋体" w:cs="宋体"/>
                <w:i w:val="0"/>
                <w:iCs w:val="0"/>
                <w:color w:val="auto"/>
                <w:spacing w:val="-4"/>
                <w:szCs w:val="21"/>
                <w:highlight w:val="none"/>
                <w:lang w:val="en-US" w:eastAsia="zh-CN"/>
              </w:rPr>
              <w:t>打分。</w:t>
            </w:r>
          </w:p>
          <w:p w14:paraId="2D1F869C">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kern w:val="2"/>
                <w:sz w:val="21"/>
                <w:szCs w:val="21"/>
                <w:highlight w:val="none"/>
                <w:lang w:val="en-US" w:eastAsia="zh-CN" w:bidi="ar-SA"/>
              </w:rPr>
              <w:t>1、</w:t>
            </w:r>
            <w:r>
              <w:rPr>
                <w:rFonts w:hint="eastAsia" w:ascii="宋体" w:hAnsi="宋体" w:cs="宋体"/>
                <w:i w:val="0"/>
                <w:iCs w:val="0"/>
                <w:color w:val="auto"/>
                <w:spacing w:val="-4"/>
                <w:szCs w:val="21"/>
                <w:highlight w:val="none"/>
                <w:lang w:val="en-US" w:eastAsia="zh-CN"/>
              </w:rPr>
              <w:t>是否</w:t>
            </w:r>
            <w:r>
              <w:rPr>
                <w:rFonts w:hint="eastAsia" w:ascii="宋体" w:hAnsi="宋体" w:eastAsia="宋体" w:cs="宋体"/>
                <w:i w:val="0"/>
                <w:iCs w:val="0"/>
                <w:color w:val="auto"/>
                <w:spacing w:val="-4"/>
                <w:szCs w:val="21"/>
                <w:highlight w:val="none"/>
                <w:lang w:val="en-US" w:eastAsia="zh-CN"/>
              </w:rPr>
              <w:t>支持文保单位的新增/修改/删除；支持按公布名称/所属地市/级别/公布类别/现状评估/现地址进行检索，支持文保单位基本信息录入，包括地理信息、图片信息、使用情况、保存现状、残损原因、保护机构现状。</w:t>
            </w:r>
          </w:p>
          <w:p w14:paraId="5D7C1126">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kern w:val="2"/>
                <w:sz w:val="21"/>
                <w:szCs w:val="21"/>
                <w:highlight w:val="none"/>
                <w:lang w:val="en-US" w:eastAsia="zh-CN" w:bidi="ar-SA"/>
              </w:rPr>
              <w:t>2、</w:t>
            </w:r>
            <w:r>
              <w:rPr>
                <w:rFonts w:hint="eastAsia" w:ascii="宋体" w:hAnsi="宋体" w:cs="宋体"/>
                <w:i w:val="0"/>
                <w:iCs w:val="0"/>
                <w:color w:val="auto"/>
                <w:spacing w:val="-4"/>
                <w:kern w:val="2"/>
                <w:sz w:val="21"/>
                <w:szCs w:val="21"/>
                <w:highlight w:val="none"/>
                <w:lang w:val="en-US" w:eastAsia="zh-CN" w:bidi="ar-SA"/>
              </w:rPr>
              <w:t>是否</w:t>
            </w:r>
            <w:r>
              <w:rPr>
                <w:rFonts w:hint="eastAsia" w:ascii="宋体" w:hAnsi="宋体" w:eastAsia="宋体" w:cs="宋体"/>
                <w:i w:val="0"/>
                <w:iCs w:val="0"/>
                <w:color w:val="auto"/>
                <w:spacing w:val="-4"/>
                <w:szCs w:val="21"/>
                <w:highlight w:val="none"/>
                <w:lang w:val="en-US" w:eastAsia="zh-CN"/>
              </w:rPr>
              <w:t>支持各文保单位维护对应的文物安全保护工作历史沿革资料，支持按名称/时间范围进行检索，支持文保工程管理，包括工程名称、工程类型、工程阶段、立项申报资料、勘查和方案设计材料、</w:t>
            </w:r>
            <w:r>
              <w:rPr>
                <w:rFonts w:hint="eastAsia" w:ascii="宋体" w:hAnsi="宋体" w:eastAsia="宋体" w:cs="宋体"/>
                <w:i w:val="0"/>
                <w:iCs w:val="0"/>
                <w:color w:val="auto"/>
                <w:spacing w:val="-4"/>
                <w:szCs w:val="21"/>
                <w:highlight w:val="none"/>
                <w:lang w:val="en-US" w:eastAsia="zh-CN"/>
              </w:rPr>
              <w:t>监理与验收材料。</w:t>
            </w:r>
          </w:p>
          <w:p w14:paraId="1306F99C">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szCs w:val="21"/>
                <w:highlight w:val="none"/>
                <w:lang w:val="en-US" w:eastAsia="zh-CN"/>
              </w:rPr>
              <w:t>3、</w:t>
            </w:r>
            <w:r>
              <w:rPr>
                <w:rFonts w:hint="eastAsia" w:ascii="宋体" w:hAnsi="宋体" w:cs="宋体"/>
                <w:i w:val="0"/>
                <w:iCs w:val="0"/>
                <w:color w:val="auto"/>
                <w:spacing w:val="-4"/>
                <w:szCs w:val="21"/>
                <w:highlight w:val="none"/>
                <w:lang w:val="en-US" w:eastAsia="zh-CN"/>
              </w:rPr>
              <w:t>是否</w:t>
            </w:r>
            <w:r>
              <w:rPr>
                <w:rFonts w:hint="eastAsia" w:ascii="宋体" w:hAnsi="宋体" w:eastAsia="宋体" w:cs="宋体"/>
                <w:i w:val="0"/>
                <w:iCs w:val="0"/>
                <w:color w:val="auto"/>
                <w:spacing w:val="-4"/>
                <w:szCs w:val="21"/>
                <w:highlight w:val="none"/>
                <w:lang w:val="en-US" w:eastAsia="zh-CN"/>
              </w:rPr>
              <w:t>支持在地图上直接查看文保单位详细信息：文保单位公布批次、地址、缩略图、地理坐标、面积、使用情况、面积级别、使用情况、保存现状、残损原因、保护机构现状、文物保护工作者、历史沿革资料管理、设备统计（设备总数、设备在离线百分比）、报警数量统计、报警明细。</w:t>
            </w:r>
          </w:p>
          <w:p w14:paraId="009DFAD2">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szCs w:val="21"/>
                <w:highlight w:val="none"/>
                <w:lang w:val="en-US" w:eastAsia="zh-CN"/>
              </w:rPr>
              <w:t>4、</w:t>
            </w:r>
            <w:r>
              <w:rPr>
                <w:rFonts w:hint="eastAsia" w:ascii="宋体" w:hAnsi="宋体" w:cs="宋体"/>
                <w:i w:val="0"/>
                <w:iCs w:val="0"/>
                <w:color w:val="auto"/>
                <w:spacing w:val="-4"/>
                <w:szCs w:val="21"/>
                <w:highlight w:val="none"/>
                <w:lang w:val="en-US" w:eastAsia="zh-CN"/>
              </w:rPr>
              <w:t>是否</w:t>
            </w:r>
            <w:r>
              <w:rPr>
                <w:rFonts w:hint="eastAsia" w:ascii="宋体" w:hAnsi="宋体" w:eastAsia="宋体" w:cs="宋体"/>
                <w:i w:val="0"/>
                <w:iCs w:val="0"/>
                <w:color w:val="auto"/>
                <w:spacing w:val="-4"/>
                <w:szCs w:val="21"/>
                <w:highlight w:val="none"/>
                <w:lang w:val="en-US" w:eastAsia="zh-CN"/>
              </w:rPr>
              <w:t>支持根据区域节点为维度，进行文保单位的统计/安防设备/消防设备/告警个数/文保员数量的统计和展示，支持按照评估状态和风险等级展示文保单位的风险评估情况，按照四色图分别统计对应的数量和占比。</w:t>
            </w:r>
          </w:p>
          <w:p w14:paraId="26F1BAFD">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ascii="宋体" w:hAnsi="宋体" w:cs="宋体"/>
                <w:b w:val="0"/>
                <w:bCs w:val="0"/>
                <w:color w:val="auto"/>
                <w:sz w:val="21"/>
                <w:szCs w:val="21"/>
                <w:highlight w:val="none"/>
              </w:rPr>
            </w:pPr>
            <w:r>
              <w:rPr>
                <w:rFonts w:hint="eastAsia" w:ascii="宋体" w:hAnsi="宋体" w:eastAsia="宋体" w:cs="宋体"/>
                <w:i w:val="0"/>
                <w:iCs w:val="0"/>
                <w:color w:val="auto"/>
                <w:spacing w:val="-4"/>
                <w:szCs w:val="21"/>
                <w:highlight w:val="none"/>
                <w:lang w:val="en-US" w:eastAsia="zh-CN"/>
              </w:rPr>
              <w:t>5、支持图上检索文保员信息，并支持对文保员的定位和历史巡检行程查询。</w:t>
            </w:r>
          </w:p>
        </w:tc>
      </w:tr>
    </w:tbl>
    <w:p w14:paraId="78A7A6E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rPr>
        <w:t>注：提供视频演示的各投标人将需演示的部分自行演示并录制成视频制作在 U 盘中，录制视频</w:t>
      </w:r>
      <w:r>
        <w:rPr>
          <w:rFonts w:hint="eastAsia" w:ascii="宋体" w:hAnsi="宋体" w:cs="宋体"/>
          <w:b/>
          <w:color w:val="auto"/>
          <w:szCs w:val="21"/>
          <w:highlight w:val="none"/>
          <w:lang w:val="en-US" w:eastAsia="zh-CN"/>
        </w:rPr>
        <w:t>总</w:t>
      </w:r>
      <w:r>
        <w:rPr>
          <w:rFonts w:hint="eastAsia" w:ascii="宋体" w:hAnsi="宋体" w:cs="宋体"/>
          <w:b/>
          <w:color w:val="auto"/>
          <w:szCs w:val="21"/>
          <w:highlight w:val="none"/>
        </w:rPr>
        <w:t>时长</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分钟以内，录制的视频必须为MP4格式（若视频为其他格式导致评审中不能正常播放的，责任自负），U盘须加设密码并装入密封袋</w:t>
      </w:r>
      <w:r>
        <w:rPr>
          <w:rFonts w:hint="eastAsia" w:ascii="宋体" w:hAnsi="宋体" w:cs="宋体"/>
          <w:b/>
          <w:bCs/>
          <w:color w:val="auto"/>
          <w:kern w:val="0"/>
          <w:szCs w:val="21"/>
          <w:highlight w:val="none"/>
        </w:rPr>
        <w:t>（在密封袋的封口处加盖投标人公章、法定代表人代表或授权委托代理人印章或签字。封皮上写明项目编号、标项、项目名称、投标人名称，并注明“演示视频”、“开标时启封”字样）</w:t>
      </w:r>
      <w:r>
        <w:rPr>
          <w:rFonts w:hint="eastAsia" w:ascii="宋体" w:hAnsi="宋体" w:cs="宋体"/>
          <w:b/>
          <w:color w:val="auto"/>
          <w:szCs w:val="21"/>
          <w:highlight w:val="none"/>
        </w:rPr>
        <w:t>，在投标截止时间前用密封袋包装好注明项目名称和投标人名称快递到招标代理机构处，招标代理在投标截止时间后联系投标人获取密码进行播放，未提供演示或使用其他方式（如软件Demo、PPT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演示、图片原型或方案等）演示，此项不得分。评委观看演示视频按采购文件评分项进行打分。</w:t>
      </w:r>
    </w:p>
    <w:p w14:paraId="21FBDC04">
      <w:pPr>
        <w:numPr>
          <w:ilvl w:val="0"/>
          <w:numId w:val="0"/>
        </w:numPr>
        <w:spacing w:line="360" w:lineRule="auto"/>
        <w:jc w:val="both"/>
        <w:outlineLvl w:val="0"/>
        <w:rPr>
          <w:rFonts w:hint="eastAsia" w:ascii="宋体" w:hAnsi="宋体" w:cs="宋体"/>
          <w:b/>
          <w:bCs/>
          <w:color w:val="auto"/>
          <w:szCs w:val="28"/>
          <w:highlight w:val="none"/>
          <w:lang w:val="en-US" w:eastAsia="zh-CN"/>
        </w:rPr>
      </w:pPr>
      <w:r>
        <w:rPr>
          <w:rFonts w:hint="eastAsia" w:ascii="宋体" w:hAnsi="宋体" w:cs="宋体"/>
          <w:b/>
          <w:bCs/>
          <w:color w:val="auto"/>
          <w:kern w:val="2"/>
          <w:sz w:val="21"/>
          <w:szCs w:val="28"/>
          <w:highlight w:val="none"/>
          <w:lang w:val="en-US" w:eastAsia="zh-CN" w:bidi="ar-SA"/>
        </w:rPr>
        <w:t>六、</w:t>
      </w:r>
      <w:r>
        <w:rPr>
          <w:rFonts w:hint="eastAsia" w:ascii="宋体" w:hAnsi="宋体" w:cs="宋体"/>
          <w:b/>
          <w:bCs/>
          <w:color w:val="auto"/>
          <w:szCs w:val="28"/>
          <w:highlight w:val="none"/>
          <w:lang w:val="en-US" w:eastAsia="zh-CN"/>
        </w:rPr>
        <w:t>商务要求</w:t>
      </w:r>
    </w:p>
    <w:p w14:paraId="08B1D745">
      <w:pPr>
        <w:pStyle w:val="9"/>
        <w:pageBreakBefore w:val="0"/>
        <w:widowControl w:val="0"/>
        <w:kinsoku/>
        <w:wordWrap/>
        <w:overflowPunct/>
        <w:topLinePunct w:val="0"/>
        <w:autoSpaceDE/>
        <w:bidi w:val="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val="en-US" w:eastAsia="zh-CN"/>
        </w:rPr>
        <w:t>工期：</w:t>
      </w:r>
      <w:r>
        <w:rPr>
          <w:rFonts w:hint="eastAsia" w:ascii="宋体" w:hAnsi="宋体" w:cs="宋体"/>
          <w:color w:val="auto"/>
          <w:szCs w:val="21"/>
          <w:highlight w:val="none"/>
          <w:u w:val="none"/>
          <w:lang w:val="en-US" w:eastAsia="zh-CN"/>
        </w:rPr>
        <w:t>自合同签订之日起3个月内</w:t>
      </w:r>
      <w:r>
        <w:rPr>
          <w:rFonts w:hint="eastAsia" w:ascii="宋体" w:hAnsi="宋体" w:eastAsia="宋体" w:cs="宋体"/>
          <w:color w:val="auto"/>
          <w:szCs w:val="21"/>
          <w:highlight w:val="none"/>
          <w:u w:val="none"/>
        </w:rPr>
        <w:t>完成设备安装调试。</w:t>
      </w:r>
    </w:p>
    <w:p w14:paraId="4413E7E8">
      <w:pPr>
        <w:pageBreakBefore w:val="0"/>
        <w:widowControl w:val="0"/>
        <w:kinsoku/>
        <w:wordWrap/>
        <w:overflowPunct/>
        <w:topLinePunct w:val="0"/>
        <w:autoSpaceDE/>
        <w:bidi w:val="0"/>
        <w:spacing w:line="360" w:lineRule="auto"/>
        <w:textAlignment w:val="auto"/>
        <w:outlineLvl w:val="9"/>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2、质保期：</w:t>
      </w:r>
      <w:r>
        <w:rPr>
          <w:rFonts w:hint="eastAsia" w:ascii="宋体" w:hAnsi="宋体" w:cs="宋体"/>
          <w:color w:val="auto"/>
          <w:szCs w:val="28"/>
          <w:highlight w:val="none"/>
          <w:lang w:val="en-US" w:eastAsia="zh-CN"/>
        </w:rPr>
        <w:t>3年（自设备验收合格之日起计算）</w:t>
      </w:r>
    </w:p>
    <w:p w14:paraId="664E7F6F">
      <w:pPr>
        <w:pageBreakBefore w:val="0"/>
        <w:widowControl w:val="0"/>
        <w:kinsoku/>
        <w:wordWrap/>
        <w:overflowPunct/>
        <w:topLinePunct w:val="0"/>
        <w:autoSpaceDE/>
        <w:bidi w:val="0"/>
        <w:spacing w:line="360" w:lineRule="auto"/>
        <w:textAlignment w:val="auto"/>
        <w:outlineLvl w:val="9"/>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、付款方式：</w:t>
      </w:r>
      <w:r>
        <w:rPr>
          <w:rFonts w:hint="eastAsia" w:ascii="宋体" w:hAnsi="宋体" w:eastAsia="宋体" w:cs="宋体"/>
          <w:color w:val="auto"/>
          <w:szCs w:val="28"/>
          <w:highlight w:val="none"/>
        </w:rPr>
        <w:t>合同签订后采购人支付合同价款的</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0%</w:t>
      </w:r>
      <w:r>
        <w:rPr>
          <w:rFonts w:hint="eastAsia" w:ascii="宋体" w:hAnsi="宋体" w:cs="宋体"/>
          <w:color w:val="auto"/>
          <w:szCs w:val="28"/>
          <w:highlight w:val="none"/>
          <w:lang w:val="en-US" w:eastAsia="zh-CN"/>
        </w:rPr>
        <w:t>作为预付款</w:t>
      </w:r>
      <w:r>
        <w:rPr>
          <w:rFonts w:hint="eastAsia" w:ascii="宋体" w:hAnsi="宋体" w:cs="宋体"/>
          <w:color w:val="auto"/>
          <w:szCs w:val="28"/>
          <w:highlight w:val="none"/>
          <w:lang w:eastAsia="zh-CN"/>
        </w:rPr>
        <w:t>，</w:t>
      </w:r>
      <w:r>
        <w:rPr>
          <w:rFonts w:hint="eastAsia" w:ascii="宋体" w:hAnsi="宋体" w:eastAsia="宋体" w:cs="宋体"/>
          <w:color w:val="auto"/>
          <w:szCs w:val="21"/>
          <w:highlight w:val="none"/>
          <w:u w:val="none"/>
        </w:rPr>
        <w:t>设备安装调试</w:t>
      </w:r>
      <w:r>
        <w:rPr>
          <w:rFonts w:hint="eastAsia" w:ascii="宋体" w:hAnsi="宋体" w:cs="宋体"/>
          <w:color w:val="auto"/>
          <w:szCs w:val="21"/>
          <w:highlight w:val="none"/>
          <w:u w:val="none"/>
          <w:lang w:val="en-US" w:eastAsia="zh-CN"/>
        </w:rPr>
        <w:t>完成后支付合同金额的40%，省文物局</w:t>
      </w:r>
      <w:r>
        <w:rPr>
          <w:rFonts w:hint="eastAsia" w:ascii="宋体" w:hAnsi="宋体" w:eastAsia="宋体" w:cs="宋体"/>
          <w:color w:val="auto"/>
          <w:szCs w:val="28"/>
          <w:highlight w:val="none"/>
        </w:rPr>
        <w:t>验收合格后再支付合同</w:t>
      </w:r>
      <w:r>
        <w:rPr>
          <w:rFonts w:hint="eastAsia" w:ascii="宋体" w:hAnsi="宋体" w:cs="宋体"/>
          <w:color w:val="auto"/>
          <w:szCs w:val="28"/>
          <w:highlight w:val="none"/>
          <w:lang w:val="en-US" w:eastAsia="zh-CN"/>
        </w:rPr>
        <w:t>剩余金额</w:t>
      </w:r>
      <w:r>
        <w:rPr>
          <w:rFonts w:hint="eastAsia" w:ascii="宋体" w:hAnsi="宋体" w:eastAsia="宋体" w:cs="宋体"/>
          <w:color w:val="auto"/>
          <w:szCs w:val="28"/>
          <w:highlight w:val="none"/>
          <w:lang w:eastAsia="zh-CN"/>
        </w:rPr>
        <w:t>。</w:t>
      </w:r>
    </w:p>
    <w:p w14:paraId="368E4180">
      <w:pPr>
        <w:pageBreakBefore w:val="0"/>
        <w:widowControl w:val="0"/>
        <w:kinsoku/>
        <w:wordWrap/>
        <w:overflowPunct/>
        <w:topLinePunct w:val="0"/>
        <w:autoSpaceDE/>
        <w:autoSpaceDN w:val="0"/>
        <w:bidi w:val="0"/>
        <w:spacing w:line="360" w:lineRule="auto"/>
        <w:textAlignment w:val="auto"/>
        <w:outlineLvl w:val="9"/>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14:paraId="707AC638">
      <w:pPr>
        <w:autoSpaceDN w:val="0"/>
        <w:spacing w:line="360" w:lineRule="auto"/>
        <w:rPr>
          <w:rFonts w:hint="eastAsia" w:ascii="宋体" w:hAnsi="宋体" w:eastAsia="宋体" w:cs="宋体"/>
          <w:b/>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21825D1F">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6324B286">
      <w:pPr>
        <w:pStyle w:val="53"/>
        <w:keepNext w:val="0"/>
        <w:keepLines w:val="0"/>
        <w:pageBreakBefore w:val="0"/>
        <w:kinsoku/>
        <w:wordWrap/>
        <w:overflowPunct/>
        <w:topLinePunct w:val="0"/>
        <w:bidi w:val="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0EE6ED4C">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7A9EE56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台州市黄岩区博物馆</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215BABAF">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56E231B3">
      <w:pPr>
        <w:pStyle w:val="12"/>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1CC5525B">
      <w:pPr>
        <w:pStyle w:val="12"/>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29AABE7F">
      <w:pPr>
        <w:pStyle w:val="12"/>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黄岩区抗战时期中共黄岩县委机关旧址、岱石庙、铁米筛井省级文保单位安防项目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025CDEF">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第一条：承包内容</w:t>
      </w:r>
    </w:p>
    <w:p w14:paraId="075C9DD1">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cs="宋体"/>
          <w:b/>
          <w:color w:val="auto"/>
          <w:szCs w:val="21"/>
          <w:highlight w:val="none"/>
          <w:lang w:eastAsia="zh-CN"/>
        </w:rPr>
        <w:t>黄岩区抗战时期中共黄岩县委机关旧址、岱石庙、铁米筛井省级文保单位安防项目</w:t>
      </w:r>
      <w:r>
        <w:rPr>
          <w:rFonts w:hint="eastAsia" w:ascii="宋体" w:hAnsi="宋体" w:eastAsia="宋体" w:cs="宋体"/>
          <w:color w:val="auto"/>
          <w:szCs w:val="21"/>
          <w:highlight w:val="none"/>
        </w:rPr>
        <w:t>，包括上述项目的供货、运输、安装、总体调试、技术培训、直至验收合格及售后服务等。</w:t>
      </w:r>
    </w:p>
    <w:p w14:paraId="16E3F52A">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01CBFB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001628A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第三条：交货期、验收方式及地点</w:t>
      </w:r>
    </w:p>
    <w:p w14:paraId="2892B2D9">
      <w:pPr>
        <w:keepNext w:val="0"/>
        <w:keepLines w:val="0"/>
        <w:pageBreakBefore w:val="0"/>
        <w:kinsoku/>
        <w:wordWrap/>
        <w:overflowPunct/>
        <w:topLinePunct w:val="0"/>
        <w:autoSpaceDE/>
        <w:autoSpaceDN/>
        <w:bidi w:val="0"/>
        <w:adjustRightInd w:val="0"/>
        <w:snapToGrid/>
        <w:spacing w:beforeAutospacing="0" w:afterAutospacing="0" w:line="360" w:lineRule="auto"/>
        <w:ind w:left="0"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u w:val="single"/>
          <w:lang w:val="en-US" w:eastAsia="zh-CN"/>
        </w:rPr>
        <w:t>自合同签订之日起3个月内完成设备安装调试</w:t>
      </w:r>
      <w:r>
        <w:rPr>
          <w:rFonts w:hint="eastAsia" w:ascii="宋体" w:hAnsi="宋体" w:eastAsia="宋体" w:cs="宋体"/>
          <w:color w:val="auto"/>
          <w:sz w:val="21"/>
          <w:szCs w:val="21"/>
          <w:highlight w:val="none"/>
          <w:u w:val="single"/>
        </w:rPr>
        <w:t>。</w:t>
      </w:r>
    </w:p>
    <w:p w14:paraId="467D8BA9">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2、验收方式及地点：</w:t>
      </w:r>
      <w:r>
        <w:rPr>
          <w:rFonts w:hint="eastAsia" w:ascii="宋体" w:hAnsi="宋体" w:eastAsia="宋体" w:cs="宋体"/>
          <w:color w:val="auto"/>
          <w:szCs w:val="21"/>
          <w:highlight w:val="none"/>
          <w:u w:val="single"/>
        </w:rPr>
        <w:t>按采购方的方式、地点验收。</w:t>
      </w:r>
    </w:p>
    <w:p w14:paraId="5818E80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3、供货要求：</w:t>
      </w:r>
      <w:r>
        <w:rPr>
          <w:rFonts w:hint="eastAsia" w:ascii="宋体" w:hAnsi="宋体" w:eastAsia="宋体" w:cs="宋体"/>
          <w:color w:val="auto"/>
          <w:szCs w:val="21"/>
          <w:highlight w:val="none"/>
          <w:u w:val="single"/>
        </w:rPr>
        <w:t>货物应由乙方直供，不得转包或分包</w:t>
      </w:r>
      <w:r>
        <w:rPr>
          <w:rFonts w:hint="eastAsia" w:ascii="宋体" w:hAnsi="宋体" w:eastAsia="宋体" w:cs="宋体"/>
          <w:color w:val="auto"/>
          <w:szCs w:val="21"/>
          <w:highlight w:val="none"/>
          <w:u w:val="single"/>
          <w:lang w:eastAsia="zh-CN"/>
        </w:rPr>
        <w:t>。</w:t>
      </w:r>
    </w:p>
    <w:p w14:paraId="126CBEC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第四条：质保期</w:t>
      </w:r>
    </w:p>
    <w:p w14:paraId="4EC89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年。（自设备验收合格之日起计算）</w:t>
      </w:r>
    </w:p>
    <w:p w14:paraId="33644ACB">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第五条：货物包装、发运及运输</w:t>
      </w:r>
    </w:p>
    <w:p w14:paraId="31DC9C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1、乙方在货物发运前对其进行满足运输距离、防潮、防震、防锈和防破损装卸等要求包装，以保证货物安全运达甲方指定地点。</w:t>
      </w:r>
      <w:r>
        <w:rPr>
          <w:rFonts w:hint="eastAsia" w:ascii="宋体" w:hAnsi="宋体" w:eastAsia="宋体" w:cs="宋体"/>
          <w:color w:val="auto"/>
          <w:szCs w:val="21"/>
          <w:highlight w:val="none"/>
          <w:lang w:val="en-US" w:eastAsia="zh-CN"/>
        </w:rPr>
        <w:t>包装费由乙方承担。</w:t>
      </w:r>
    </w:p>
    <w:p w14:paraId="044815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34AE58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3、货物在交付采购方前发生的风险由乙方承担，交付前的运输费用均由乙方</w:t>
      </w:r>
      <w:r>
        <w:rPr>
          <w:rFonts w:hint="eastAsia" w:ascii="宋体" w:hAnsi="宋体" w:eastAsia="宋体" w:cs="宋体"/>
          <w:color w:val="auto"/>
          <w:szCs w:val="21"/>
          <w:highlight w:val="none"/>
          <w:lang w:val="en-US" w:eastAsia="zh-CN"/>
        </w:rPr>
        <w:t>承担</w:t>
      </w:r>
      <w:r>
        <w:rPr>
          <w:rFonts w:hint="eastAsia" w:ascii="宋体" w:hAnsi="宋体" w:eastAsia="宋体" w:cs="宋体"/>
          <w:color w:val="auto"/>
          <w:szCs w:val="21"/>
          <w:highlight w:val="none"/>
        </w:rPr>
        <w:t>。</w:t>
      </w:r>
    </w:p>
    <w:p w14:paraId="4D0C027A">
      <w:pPr>
        <w:snapToGrid w:val="0"/>
        <w:spacing w:line="360" w:lineRule="auto"/>
        <w:ind w:firstLine="401" w:firstLine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4、货物在规定的交付期限内由乙方送达甲方指定的地点且经开箱检验合格视为交付。</w:t>
      </w:r>
    </w:p>
    <w:p w14:paraId="3D53D2B1">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第六条：调试和验收</w:t>
      </w:r>
    </w:p>
    <w:p w14:paraId="4EBE9699">
      <w:pPr>
        <w:spacing w:line="360" w:lineRule="auto"/>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1、甲方认为有必要在设备制造过程中派人到生产厂家进行监制，并在设备发货前赴生产厂进行预验收，乙方应予以积极配合并对监制或预验收工作提供方便。</w:t>
      </w:r>
    </w:p>
    <w:p w14:paraId="42FB68DF">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2、设备到达现场后，乙方应派人参与甲方组织的开箱检验工作。</w:t>
      </w:r>
    </w:p>
    <w:p w14:paraId="22B030DF">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51E8EC05">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4、设备安装、调试结束后，经过一个月的试运转考核无故障，并经有关部门的检验合格后，买卖双方共同签署验收合格证书。</w:t>
      </w:r>
    </w:p>
    <w:p w14:paraId="2F34A7B1">
      <w:pPr>
        <w:keepNext w:val="0"/>
        <w:keepLines w:val="0"/>
        <w:pageBreakBefore w:val="0"/>
        <w:kinsoku/>
        <w:wordWrap/>
        <w:overflowPunct/>
        <w:topLinePunct w:val="0"/>
        <w:autoSpaceDE/>
        <w:autoSpaceDN/>
        <w:bidi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w:t>
      </w:r>
      <w:r>
        <w:rPr>
          <w:rFonts w:hint="eastAsia" w:ascii="宋体" w:hAnsi="宋体" w:eastAsia="宋体" w:cs="宋体"/>
          <w:b/>
          <w:color w:val="auto"/>
          <w:szCs w:val="21"/>
          <w:highlight w:val="none"/>
        </w:rPr>
        <w:t>付款方式</w:t>
      </w:r>
    </w:p>
    <w:p w14:paraId="67FBB2FE">
      <w:pPr>
        <w:pageBreakBefore w:val="0"/>
        <w:widowControl w:val="0"/>
        <w:kinsoku/>
        <w:wordWrap/>
        <w:overflowPunct/>
        <w:topLinePunct w:val="0"/>
        <w:autoSpaceDE/>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8"/>
          <w:highlight w:val="none"/>
        </w:rPr>
        <w:t>合同签订后</w:t>
      </w:r>
      <w:r>
        <w:rPr>
          <w:rFonts w:hint="eastAsia" w:ascii="宋体" w:hAnsi="宋体" w:cs="宋体"/>
          <w:color w:val="auto"/>
          <w:szCs w:val="28"/>
          <w:highlight w:val="none"/>
          <w:lang w:val="en-US" w:eastAsia="zh-CN"/>
        </w:rPr>
        <w:t>甲方</w:t>
      </w:r>
      <w:r>
        <w:rPr>
          <w:rFonts w:hint="eastAsia" w:ascii="宋体" w:hAnsi="宋体" w:eastAsia="宋体" w:cs="宋体"/>
          <w:color w:val="auto"/>
          <w:szCs w:val="28"/>
          <w:highlight w:val="none"/>
        </w:rPr>
        <w:t>支付合同价款的</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0%</w:t>
      </w:r>
      <w:r>
        <w:rPr>
          <w:rFonts w:hint="eastAsia" w:ascii="宋体" w:hAnsi="宋体" w:cs="宋体"/>
          <w:color w:val="auto"/>
          <w:szCs w:val="28"/>
          <w:highlight w:val="none"/>
          <w:lang w:val="en-US" w:eastAsia="zh-CN"/>
        </w:rPr>
        <w:t>作为预付款</w:t>
      </w:r>
      <w:r>
        <w:rPr>
          <w:rFonts w:hint="eastAsia" w:ascii="宋体" w:hAnsi="宋体" w:cs="宋体"/>
          <w:color w:val="auto"/>
          <w:szCs w:val="28"/>
          <w:highlight w:val="none"/>
          <w:lang w:eastAsia="zh-CN"/>
        </w:rPr>
        <w:t>，</w:t>
      </w:r>
      <w:r>
        <w:rPr>
          <w:rFonts w:hint="eastAsia" w:ascii="宋体" w:hAnsi="宋体" w:eastAsia="宋体" w:cs="宋体"/>
          <w:color w:val="auto"/>
          <w:szCs w:val="21"/>
          <w:highlight w:val="none"/>
          <w:u w:val="none"/>
        </w:rPr>
        <w:t>设备安装调试</w:t>
      </w:r>
      <w:r>
        <w:rPr>
          <w:rFonts w:hint="eastAsia" w:ascii="宋体" w:hAnsi="宋体" w:cs="宋体"/>
          <w:color w:val="auto"/>
          <w:szCs w:val="21"/>
          <w:highlight w:val="none"/>
          <w:u w:val="none"/>
          <w:lang w:val="en-US" w:eastAsia="zh-CN"/>
        </w:rPr>
        <w:t>完成后支付合同金额的40%，省文物局</w:t>
      </w:r>
      <w:r>
        <w:rPr>
          <w:rFonts w:hint="eastAsia" w:ascii="宋体" w:hAnsi="宋体" w:eastAsia="宋体" w:cs="宋体"/>
          <w:color w:val="auto"/>
          <w:szCs w:val="28"/>
          <w:highlight w:val="none"/>
        </w:rPr>
        <w:t>验收合格后再支付合同</w:t>
      </w:r>
      <w:r>
        <w:rPr>
          <w:rFonts w:hint="eastAsia" w:ascii="宋体" w:hAnsi="宋体" w:cs="宋体"/>
          <w:color w:val="auto"/>
          <w:szCs w:val="28"/>
          <w:highlight w:val="none"/>
          <w:lang w:val="en-US" w:eastAsia="zh-CN"/>
        </w:rPr>
        <w:t>剩余金额</w:t>
      </w:r>
      <w:r>
        <w:rPr>
          <w:rFonts w:hint="eastAsia" w:ascii="宋体" w:hAnsi="宋体" w:eastAsia="宋体" w:cs="宋体"/>
          <w:color w:val="auto"/>
          <w:szCs w:val="28"/>
          <w:highlight w:val="none"/>
          <w:lang w:eastAsia="zh-CN"/>
        </w:rPr>
        <w:t>。</w:t>
      </w:r>
    </w:p>
    <w:p w14:paraId="3573519A">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条：违约责任</w:t>
      </w:r>
    </w:p>
    <w:p w14:paraId="7D268F77">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1、乙方应按合同约定时间和地点准时供货、完成安装等，逾期履约的，每迟延一日乙方应向甲方支付违约金 5000元。逾期超过30日的，甲方有权单方面解除合同并没收全额履约保证金作为赔偿，履约保证金金额不足以覆盖甲方损失的，乙方应赔偿损失至全额覆盖。</w:t>
      </w:r>
    </w:p>
    <w:p w14:paraId="78C03D00">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甲方有权从未付款或履约保证金中扣除违约金或要求乙方另行支付该违约金。</w:t>
      </w:r>
    </w:p>
    <w:p w14:paraId="799C1209">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因乙方提供的货物不符合检验要求而逾期供货的属于乙方责任，按上述约定支付违约金。</w:t>
      </w:r>
    </w:p>
    <w:p w14:paraId="0261252E">
      <w:pPr>
        <w:adjustRightInd w:val="0"/>
        <w:snapToGrid w:val="0"/>
        <w:spacing w:line="360" w:lineRule="auto"/>
        <w:ind w:firstLine="411" w:firstLineChars="196"/>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w:t>
      </w:r>
      <w:r>
        <w:rPr>
          <w:rFonts w:hint="eastAsia" w:ascii="宋体" w:hAnsi="宋体" w:eastAsia="宋体" w:cs="宋体"/>
          <w:color w:val="auto"/>
          <w:szCs w:val="21"/>
          <w:highlight w:val="none"/>
          <w:lang w:eastAsia="zh-CN"/>
        </w:rPr>
        <w:t>，同时承担全额质检/检验费用：</w:t>
      </w:r>
    </w:p>
    <w:p w14:paraId="4A11D460">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7A156607">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2）根据货物低劣程度、损坏程度以及甲方所遭受损失的数额，经买卖双方商定降低货物的价格。</w:t>
      </w:r>
    </w:p>
    <w:p w14:paraId="1435BFB1">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3）用符合规格、质量和性能要求的新零件、部件或货物来更换有缺陷的部分或修补缺陷部分，乙方应承担一切费用和风险，并负担甲方所发生的一切直接费用</w:t>
      </w:r>
    </w:p>
    <w:p w14:paraId="4ECA0E7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30天内，乙方未作答复，上述索赔应视已被乙方接受。乙方未能在甲方提出索赔通知后30天内或甲方同意的更长时间内，按照本合同第九条2规定的方法解决索赔事宜，甲方将从未付款或从乙方开具的履约保证金保函中扣回索赔金额。如果这些金额不足以补偿索赔金额，甲方有权向乙方提出不足部分的补偿。</w:t>
      </w:r>
    </w:p>
    <w:p w14:paraId="2737D9D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4、因乙方不履行约定导致甲方需通过诉讼方式追偿的，甲方因此发生的所有费用，包括但不限于诉讼费、律师费、保全费、公证费、鉴定费、执行费、相关人员差旅费等，均应由乙方承担。</w:t>
      </w:r>
    </w:p>
    <w:p w14:paraId="30D04FD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条：质量保证及售后服务</w:t>
      </w:r>
    </w:p>
    <w:p w14:paraId="66D72EB5">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w:t>
      </w:r>
    </w:p>
    <w:p w14:paraId="2DFA3602">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2、乙方应在甲方现场对采购方的操作人员和维修人员进行技术培训，使之能够独立操作。甲方有权要求更换乙方指派的不合格的技术人员，由此产生的费用由乙方承担。</w:t>
      </w:r>
    </w:p>
    <w:p w14:paraId="59EB698D">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3、在质量保证期内因货物本身的质量问题发生故障，乙方应负责免费更换。对达不到技术要求者，根据实际情况，经双方协商，可以按以下办法处理：</w:t>
      </w:r>
    </w:p>
    <w:p w14:paraId="1746D770">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281D3579">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7277B99F">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 乙方应退还甲方支付的合同款，同时应承担该货物的直接费用（运输、保险、检验等）。</w:t>
      </w:r>
    </w:p>
    <w:p w14:paraId="5F9C7F68">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4、保质期内，乙方应定期派出专业人员对系统设备进行检查、调整。保证系统正常工作。在使用产品过程中遇到技术或故障问题，乙方响应时间为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小时，维修人员应在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小时内到达现场进行维修，并解决问题。</w:t>
      </w:r>
    </w:p>
    <w:p w14:paraId="7231B988">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5、在质保期内,乙方应对货物出现的质量及安全问题负责处理解决并承担一切费用。</w:t>
      </w:r>
    </w:p>
    <w:p w14:paraId="0DBEEF6E">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6、上述的货物免费保修期为设备验收合格之日起不少于</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年，因人为因素出现的故障不在免费保修范围内。超过保修期的维修,维修时只收部件成本费。</w:t>
      </w:r>
    </w:p>
    <w:p w14:paraId="41802A04">
      <w:pPr>
        <w:snapToGrid w:val="0"/>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第十条：</w:t>
      </w:r>
      <w:r>
        <w:rPr>
          <w:rFonts w:hint="eastAsia" w:ascii="宋体" w:hAnsi="宋体" w:eastAsia="宋体" w:cs="宋体"/>
          <w:b/>
          <w:color w:val="auto"/>
          <w:szCs w:val="21"/>
          <w:highlight w:val="none"/>
          <w:lang w:val="en-US" w:eastAsia="zh-CN"/>
        </w:rPr>
        <w:t>其他</w:t>
      </w:r>
    </w:p>
    <w:p w14:paraId="434F41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诉讼管辖及诉讼费用承担</w:t>
      </w:r>
    </w:p>
    <w:p w14:paraId="678AFB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14:paraId="2ABE0B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2）诉讼期间，除正在进行诉讼的部分外，本合同其它部分应继续执行。</w:t>
      </w:r>
    </w:p>
    <w:p w14:paraId="3ADA8A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14:paraId="1FD3B5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14:paraId="0DC2C5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、组成本合同文件及优先解释顺序如下：</w:t>
      </w:r>
    </w:p>
    <w:p w14:paraId="10459512">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14:paraId="516BB2B5">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46AD1825">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3）招标文件以及更正通知；</w:t>
      </w:r>
    </w:p>
    <w:p w14:paraId="029A05FA">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4）投标文件及评标过程中有关澄清文件；</w:t>
      </w:r>
    </w:p>
    <w:p w14:paraId="648A8911">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5）国家有关标准、规范及有关技术文件；</w:t>
      </w:r>
    </w:p>
    <w:p w14:paraId="62DC5A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14:paraId="486B144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1）合同在双方签字盖章后生效；</w:t>
      </w:r>
    </w:p>
    <w:p w14:paraId="268CDD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采购人执贰份、供应商执贰份、采购代理机构及备案机构各执一份</w:t>
      </w:r>
      <w:r>
        <w:rPr>
          <w:rFonts w:hint="eastAsia" w:ascii="宋体" w:hAnsi="宋体" w:eastAsia="宋体" w:cs="宋体"/>
          <w:color w:val="auto"/>
          <w:szCs w:val="21"/>
          <w:highlight w:val="none"/>
        </w:rPr>
        <w:t>），具有同等法律效力；</w:t>
      </w:r>
    </w:p>
    <w:p w14:paraId="06FC33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3）如需修改或补充合同内容，经协商，双方应签署书面修改或补充协议，作为本合同的一个组成部分；</w:t>
      </w:r>
    </w:p>
    <w:p w14:paraId="690612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4）本合同中如有未尽事宜，由双方协商另行解决;</w:t>
      </w:r>
    </w:p>
    <w:p w14:paraId="017D25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5）合同附件.</w:t>
      </w:r>
    </w:p>
    <w:p w14:paraId="0734B049">
      <w:pPr>
        <w:tabs>
          <w:tab w:val="left" w:pos="4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1EA740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3A853F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52FF302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经办人（签章）：                      经办人（签章）：</w:t>
      </w:r>
    </w:p>
    <w:p w14:paraId="217D77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23E825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76F53AD4">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2206D2A0">
      <w:pPr>
        <w:tabs>
          <w:tab w:val="left" w:pos="4140"/>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12A10077">
      <w:pPr>
        <w:tabs>
          <w:tab w:val="left" w:pos="4140"/>
          <w:tab w:val="left" w:pos="4320"/>
        </w:tabs>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日      期：                          日      期：</w:t>
      </w:r>
    </w:p>
    <w:p w14:paraId="18FFB4FC">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751EA823">
      <w:pPr>
        <w:keepNext w:val="0"/>
        <w:keepLines w:val="0"/>
        <w:pageBreakBefore w:val="0"/>
        <w:kinsoku/>
        <w:wordWrap/>
        <w:overflowPunct/>
        <w:topLinePunct w:val="0"/>
        <w:bidi w:val="0"/>
        <w:spacing w:line="500" w:lineRule="exac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见证</w:t>
      </w:r>
      <w:r>
        <w:rPr>
          <w:rFonts w:hint="eastAsia" w:ascii="宋体" w:hAnsi="宋体" w:eastAsia="宋体" w:cs="宋体"/>
          <w:snapToGrid w:val="0"/>
          <w:color w:val="auto"/>
          <w:szCs w:val="21"/>
          <w:highlight w:val="none"/>
        </w:rPr>
        <w:t>方：</w:t>
      </w:r>
    </w:p>
    <w:p w14:paraId="01A73E82">
      <w:pPr>
        <w:keepNext w:val="0"/>
        <w:keepLines w:val="0"/>
        <w:pageBreakBefore w:val="0"/>
        <w:kinsoku/>
        <w:wordWrap/>
        <w:overflowPunct/>
        <w:topLinePunct w:val="0"/>
        <w:bidi w:val="0"/>
        <w:spacing w:line="500" w:lineRule="exact"/>
        <w:ind w:firstLine="3990" w:firstLineChars="1900"/>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0027FDF4">
      <w:pPr>
        <w:pStyle w:val="9"/>
        <w:rPr>
          <w:rFonts w:hint="eastAsia" w:ascii="宋体" w:hAnsi="宋体" w:eastAsia="宋体" w:cs="宋体"/>
          <w:color w:val="auto"/>
          <w:highlight w:val="none"/>
        </w:rPr>
      </w:pPr>
    </w:p>
    <w:p w14:paraId="4DF541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BDF6402">
      <w:pPr>
        <w:pStyle w:val="9"/>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42494F17">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42E6CF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30"/>
          <w:szCs w:val="30"/>
          <w:highlight w:val="none"/>
        </w:rPr>
      </w:pPr>
    </w:p>
    <w:p w14:paraId="1CCA2122">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881336B">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295775A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63425503">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4C88D58">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6139FC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062E39A">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2548C95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0A0311B">
      <w:pPr>
        <w:pStyle w:val="53"/>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BBFF172">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D150067">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2E72977C">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796620EF">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271F9114">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14:paraId="0A7087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7A3EE8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5A26322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25B7FED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eastAsia="zh-CN"/>
        </w:rPr>
        <w:t>投标人认为需要说明的其他材料</w:t>
      </w:r>
    </w:p>
    <w:p w14:paraId="3C109327">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hint="eastAsia" w:ascii="宋体" w:hAnsi="宋体" w:eastAsia="宋体" w:cs="宋体"/>
          <w:b/>
          <w:bCs/>
          <w:color w:val="auto"/>
          <w:sz w:val="36"/>
          <w:szCs w:val="32"/>
          <w:highlight w:val="none"/>
        </w:rPr>
      </w:pPr>
    </w:p>
    <w:p w14:paraId="77492EA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D6B7C52">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B0009BD">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53ABCEDE">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6A25141">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522FA8E">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0261EB11">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5B6FF7A8">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C43CFDF">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6E0F226C">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A8C1AC1">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7AD7F5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0A1251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431ED8EE">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E44287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0D16DB8F">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F9D101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台州市黄岩区博物馆</w:t>
      </w:r>
      <w:r>
        <w:rPr>
          <w:rFonts w:hint="eastAsia" w:ascii="宋体" w:hAnsi="宋体" w:eastAsia="宋体" w:cs="宋体"/>
          <w:color w:val="auto"/>
          <w:szCs w:val="21"/>
          <w:highlight w:val="none"/>
          <w:u w:val="single"/>
        </w:rPr>
        <w:t>、台州永安工程咨询有限公司：</w:t>
      </w:r>
    </w:p>
    <w:p w14:paraId="4635228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）系中华人民共和国合法企业，经营地址。</w:t>
      </w:r>
    </w:p>
    <w:p w14:paraId="2B832B1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）的法定代表人，我公司自愿参加贵方组织的</w:t>
      </w:r>
      <w:r>
        <w:rPr>
          <w:rFonts w:hint="eastAsia" w:ascii="宋体" w:hAnsi="宋体" w:cs="宋体"/>
          <w:color w:val="auto"/>
          <w:szCs w:val="21"/>
          <w:highlight w:val="none"/>
          <w:u w:val="single"/>
          <w:lang w:eastAsia="zh-CN"/>
        </w:rPr>
        <w:t>黄岩区抗战时期中共黄岩县委机关旧址、岱石庙、铁米筛井省级文保单位安防项目</w:t>
      </w:r>
      <w:r>
        <w:rPr>
          <w:rFonts w:hint="eastAsia" w:ascii="宋体" w:hAnsi="宋体" w:eastAsia="宋体" w:cs="宋体"/>
          <w:color w:val="auto"/>
          <w:szCs w:val="21"/>
          <w:highlight w:val="none"/>
        </w:rPr>
        <w:t>（编号为</w:t>
      </w:r>
      <w:r>
        <w:rPr>
          <w:rFonts w:hint="eastAsia" w:ascii="宋体" w:hAnsi="宋体" w:cs="宋体"/>
          <w:color w:val="auto"/>
          <w:szCs w:val="21"/>
          <w:highlight w:val="none"/>
          <w:u w:val="single"/>
          <w:lang w:eastAsia="zh-CN"/>
        </w:rPr>
        <w:t>tzya2025-hy17</w:t>
      </w:r>
      <w:r>
        <w:rPr>
          <w:rFonts w:hint="eastAsia" w:ascii="宋体" w:hAnsi="宋体" w:eastAsia="宋体" w:cs="宋体"/>
          <w:color w:val="auto"/>
          <w:szCs w:val="21"/>
          <w:highlight w:val="none"/>
        </w:rPr>
        <w:t>）的投标，为此，我公司就本次投标有关事项郑重声明如下：</w:t>
      </w:r>
    </w:p>
    <w:p w14:paraId="2469ED9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573D03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2B74D1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我公司不是采购人的附属机构；在获知本项目采购信息后，与采购人聘请的为此项目提供咨询服务的公司及其附属机构没有任何联系。</w:t>
      </w:r>
    </w:p>
    <w:p w14:paraId="643B110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17F26F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 我公司严格履行采购合同，不降低合同约定的产品质量和服务，不擅自变更、中止、终止合同，或拒绝履行合同义务；</w:t>
      </w:r>
    </w:p>
    <w:p w14:paraId="1E2DAB6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我公司承诺（若代理服务费由中标单位支付）：如在本项目中标，我公司在中标公告发布之日起5个工作日内按采购文件约定支付代理服务费。</w:t>
      </w:r>
    </w:p>
    <w:p w14:paraId="65E07AC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Cs w:val="21"/>
          <w:highlight w:val="none"/>
        </w:rPr>
        <w:t>。</w:t>
      </w:r>
    </w:p>
    <w:p w14:paraId="784FA9B9">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投标人名称(公章)：</w:t>
      </w:r>
    </w:p>
    <w:p w14:paraId="69B41B01">
      <w:pPr>
        <w:keepNext w:val="0"/>
        <w:keepLines w:val="0"/>
        <w:pageBreakBefore w:val="0"/>
        <w:kinsoku/>
        <w:wordWrap/>
        <w:overflowPunct/>
        <w:topLinePunct w:val="0"/>
        <w:bidi w:val="0"/>
        <w:spacing w:line="360" w:lineRule="auto"/>
        <w:ind w:firstLine="840" w:firstLineChars="4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lang w:val="zh-CN"/>
        </w:rPr>
        <w:t>：</w:t>
      </w:r>
    </w:p>
    <w:p w14:paraId="12FF34FE">
      <w:pPr>
        <w:keepNext w:val="0"/>
        <w:keepLines w:val="0"/>
        <w:pageBreakBefore w:val="0"/>
        <w:kinsoku/>
        <w:wordWrap/>
        <w:overflowPunct/>
        <w:topLinePunct w:val="0"/>
        <w:bidi w:val="0"/>
        <w:spacing w:line="360" w:lineRule="auto"/>
        <w:ind w:firstLine="420" w:firstLineChars="200"/>
        <w:jc w:val="center"/>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年  月  日</w:t>
      </w:r>
    </w:p>
    <w:p w14:paraId="3B169E7F">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254A052A">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47465E6">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4E31EC59">
      <w:pPr>
        <w:pStyle w:val="12"/>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kern w:val="0"/>
          <w:szCs w:val="21"/>
          <w:highlight w:val="none"/>
        </w:rPr>
      </w:pPr>
      <w:r>
        <w:rPr>
          <w:rFonts w:hint="eastAsia" w:hAnsi="宋体" w:cs="宋体"/>
          <w:color w:val="auto"/>
          <w:szCs w:val="21"/>
          <w:highlight w:val="none"/>
          <w:u w:val="single"/>
          <w:lang w:eastAsia="zh-CN"/>
        </w:rPr>
        <w:t>台州市黄岩区博物馆</w:t>
      </w:r>
      <w:r>
        <w:rPr>
          <w:rFonts w:hint="eastAsia" w:ascii="宋体" w:hAnsi="宋体" w:eastAsia="宋体" w:cs="宋体"/>
          <w:color w:val="auto"/>
          <w:szCs w:val="21"/>
          <w:highlight w:val="none"/>
          <w:u w:val="single"/>
        </w:rPr>
        <w:t>、台州永安工程咨询有限公司</w:t>
      </w:r>
      <w:r>
        <w:rPr>
          <w:rFonts w:hint="eastAsia" w:ascii="宋体" w:hAnsi="宋体" w:eastAsia="宋体" w:cs="宋体"/>
          <w:color w:val="auto"/>
          <w:kern w:val="0"/>
          <w:szCs w:val="21"/>
          <w:highlight w:val="none"/>
        </w:rPr>
        <w:t>：</w:t>
      </w:r>
    </w:p>
    <w:p w14:paraId="2B4319CB">
      <w:pPr>
        <w:pStyle w:val="12"/>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（投标人全称）</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（法定代表人或营业执照中单位负责人姓名）</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（授权委托代理人姓名）</w:t>
      </w:r>
      <w:r>
        <w:rPr>
          <w:rFonts w:hint="eastAsia" w:ascii="宋体" w:hAnsi="宋体" w:eastAsia="宋体" w:cs="宋体"/>
          <w:color w:val="auto"/>
          <w:szCs w:val="21"/>
          <w:highlight w:val="none"/>
        </w:rPr>
        <w:t>为授权委托代理人，参加贵单位组织的</w:t>
      </w:r>
      <w:r>
        <w:rPr>
          <w:rFonts w:hint="eastAsia" w:hAnsi="宋体" w:cs="宋体"/>
          <w:color w:val="auto"/>
          <w:kern w:val="0"/>
          <w:szCs w:val="21"/>
          <w:highlight w:val="none"/>
          <w:u w:val="single"/>
          <w:lang w:eastAsia="zh-CN"/>
        </w:rPr>
        <w:t>黄岩区抗战时期中共黄岩县委机关旧址、岱石庙、铁米筛井省级文保单位安防项目</w:t>
      </w:r>
      <w:r>
        <w:rPr>
          <w:rFonts w:hint="eastAsia" w:ascii="宋体" w:hAnsi="宋体" w:eastAsia="宋体" w:cs="宋体"/>
          <w:color w:val="auto"/>
          <w:szCs w:val="21"/>
          <w:highlight w:val="none"/>
        </w:rPr>
        <w:t>的采购活动，并代表我方全权办理针对上述项目的投标、开标、评标、签约等具体事务和签署相关文件。我方对授权委托代理人的签字事项负全部责任。</w:t>
      </w:r>
    </w:p>
    <w:p w14:paraId="04B92C23">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2A0FE8E3">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65AF89F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A61753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5938DE9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投标人全称（公章）：</w:t>
      </w:r>
    </w:p>
    <w:p w14:paraId="235912D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2EFB69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45FC3A1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5B5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9E84A9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300918B1">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02C2CCB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p>
    <w:p w14:paraId="28C8C6B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315656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625A9D5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0976B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3D8DBF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42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1080D55F">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p w14:paraId="5EE2DFD7">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 w:val="24"/>
                <w:highlight w:val="none"/>
              </w:rPr>
              <w:t>授权委托代理人身份证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4DEA512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p>
    <w:p w14:paraId="6584074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p w14:paraId="3FDCA2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1F4F174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9ECF9A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2611462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1A9A0FCE">
      <w:pPr>
        <w:pStyle w:val="6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02843BA">
      <w:pPr>
        <w:pStyle w:val="6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5F26F295">
      <w:pPr>
        <w:pStyle w:val="6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黄岩区抗战时期中共黄岩县委机关旧址、岱石庙、铁米筛井省级文保单位安防项目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tzya2025-hy17</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46E53090">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BE94930">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20D9CABA">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B360F5F">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BAF3190">
      <w:pPr>
        <w:pStyle w:val="6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24F33CD">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6D8F709E">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62D1769">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15D385F0">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D992530">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2A42E795">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54630192">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3C0FAEBC">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2217AA7">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0645FE3C">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D419E5C">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BF38A05">
      <w:pPr>
        <w:pStyle w:val="6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C0CEC8C">
      <w:pPr>
        <w:pStyle w:val="6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E459DBA">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79D3C095">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65F475CC">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1993A679">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4D86BDA9">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7F54C7A">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D4F7007">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67F98CD7">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4DFEADA6">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4E1E300D">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5161FF80">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61D18CF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BCE046D">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p>
    <w:p w14:paraId="2A1CDC8C">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4868DBE5">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11F15441">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46386994">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14:paraId="54CC26CF">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14:paraId="79CBC260">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bCs/>
          <w:color w:val="auto"/>
          <w:sz w:val="32"/>
          <w:szCs w:val="32"/>
          <w:highlight w:val="none"/>
          <w:lang w:val="zh-CN"/>
        </w:rPr>
      </w:pPr>
    </w:p>
    <w:p w14:paraId="6504831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731773B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507B8809">
      <w:pPr>
        <w:keepNext w:val="0"/>
        <w:keepLines w:val="0"/>
        <w:pageBreakBefore w:val="0"/>
        <w:numPr>
          <w:ilvl w:val="0"/>
          <w:numId w:val="8"/>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416E27BD">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p>
    <w:p w14:paraId="7E225AA2">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51FA9CD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4CE8E5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项目需求的理解与分析</w:t>
      </w:r>
      <w:r>
        <w:rPr>
          <w:rFonts w:hint="eastAsia" w:ascii="宋体" w:hAnsi="宋体" w:eastAsia="宋体" w:cs="宋体"/>
          <w:color w:val="auto"/>
          <w:sz w:val="21"/>
          <w:szCs w:val="21"/>
          <w:highlight w:val="none"/>
        </w:rPr>
        <w:t>；</w:t>
      </w:r>
    </w:p>
    <w:p w14:paraId="13A1242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项目组织实施方案</w:t>
      </w:r>
      <w:r>
        <w:rPr>
          <w:rFonts w:hint="eastAsia" w:ascii="宋体" w:hAnsi="宋体" w:eastAsia="宋体" w:cs="宋体"/>
          <w:color w:val="auto"/>
          <w:sz w:val="21"/>
          <w:szCs w:val="21"/>
          <w:highlight w:val="none"/>
        </w:rPr>
        <w:t xml:space="preserve">； </w:t>
      </w:r>
    </w:p>
    <w:p w14:paraId="7C9BEDEC">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4416EDFC">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4A838BE6">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6、投标人提供的产品供货清单及原产地（附件8）</w:t>
      </w:r>
    </w:p>
    <w:p w14:paraId="72EA749B">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0CB7BB82">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6FD4AD6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48937C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p>
    <w:p w14:paraId="037966A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48FD7515">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E26483B">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14:paraId="4349CA8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14:paraId="53372B3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1DC7741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p>
    <w:p w14:paraId="26EA8A94">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53528D9">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0DDABF23">
      <w:pPr>
        <w:pStyle w:val="1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C574CDE">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FE94AEA">
      <w:pPr>
        <w:pStyle w:val="1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00501A8">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628C828">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5FB253D1">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1CDA8FF8">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3"/>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8"/>
        <w:gridCol w:w="999"/>
        <w:gridCol w:w="6590"/>
        <w:gridCol w:w="675"/>
        <w:gridCol w:w="531"/>
        <w:gridCol w:w="603"/>
      </w:tblGrid>
      <w:tr w14:paraId="059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jc w:val="center"/>
        </w:trPr>
        <w:tc>
          <w:tcPr>
            <w:tcW w:w="1837" w:type="dxa"/>
            <w:gridSpan w:val="2"/>
            <w:vAlign w:val="center"/>
          </w:tcPr>
          <w:p w14:paraId="11BD2D83">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6590" w:type="dxa"/>
            <w:vAlign w:val="center"/>
          </w:tcPr>
          <w:p w14:paraId="6F896902">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675" w:type="dxa"/>
            <w:vAlign w:val="center"/>
          </w:tcPr>
          <w:p w14:paraId="22A0363E">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531" w:type="dxa"/>
            <w:vAlign w:val="center"/>
          </w:tcPr>
          <w:p w14:paraId="7F3A0224">
            <w:pPr>
              <w:widowControl/>
              <w:spacing w:line="240" w:lineRule="auto"/>
              <w:jc w:val="center"/>
              <w:textAlignment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对应页码</w:t>
            </w:r>
          </w:p>
        </w:tc>
        <w:tc>
          <w:tcPr>
            <w:tcW w:w="603" w:type="dxa"/>
            <w:vAlign w:val="center"/>
          </w:tcPr>
          <w:p w14:paraId="17526747">
            <w:pPr>
              <w:widowControl/>
              <w:spacing w:line="240" w:lineRule="auto"/>
              <w:jc w:val="center"/>
              <w:textAlignment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自评分</w:t>
            </w:r>
          </w:p>
        </w:tc>
      </w:tr>
      <w:tr w14:paraId="019F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jc w:val="center"/>
        </w:trPr>
        <w:tc>
          <w:tcPr>
            <w:tcW w:w="838" w:type="dxa"/>
            <w:vMerge w:val="restart"/>
            <w:vAlign w:val="center"/>
          </w:tcPr>
          <w:p w14:paraId="7C193BA5">
            <w:pPr>
              <w:widowControl/>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商务分</w:t>
            </w:r>
          </w:p>
          <w:p w14:paraId="20C03D4E">
            <w:pP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p>
        </w:tc>
        <w:tc>
          <w:tcPr>
            <w:tcW w:w="999" w:type="dxa"/>
            <w:vAlign w:val="center"/>
          </w:tcPr>
          <w:p w14:paraId="2710D612">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承接经验</w:t>
            </w:r>
          </w:p>
        </w:tc>
        <w:tc>
          <w:tcPr>
            <w:tcW w:w="6590" w:type="dxa"/>
            <w:vAlign w:val="center"/>
          </w:tcPr>
          <w:p w14:paraId="5F17E4E2">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投标人自2022年1月1日以来（以合同签订时间为准），承接过</w:t>
            </w:r>
            <w:r>
              <w:rPr>
                <w:rFonts w:hint="eastAsia" w:ascii="宋体" w:hAnsi="宋体" w:eastAsia="宋体" w:cs="宋体"/>
                <w:color w:val="auto"/>
                <w:szCs w:val="21"/>
                <w:highlight w:val="none"/>
              </w:rPr>
              <w:t>类似</w:t>
            </w:r>
            <w:r>
              <w:rPr>
                <w:rFonts w:hint="eastAsia" w:ascii="宋体" w:hAnsi="宋体" w:eastAsia="宋体" w:cs="宋体"/>
                <w:color w:val="auto"/>
                <w:kern w:val="2"/>
                <w:sz w:val="21"/>
                <w:szCs w:val="21"/>
                <w:highlight w:val="none"/>
                <w:lang w:val="en-US" w:eastAsia="zh-CN" w:bidi="ar-SA"/>
              </w:rPr>
              <w:t>文物保护单位</w:t>
            </w:r>
            <w:r>
              <w:rPr>
                <w:rFonts w:hint="eastAsia" w:ascii="宋体" w:hAnsi="宋体" w:eastAsia="宋体" w:cs="宋体"/>
                <w:color w:val="auto"/>
                <w:szCs w:val="21"/>
                <w:highlight w:val="none"/>
              </w:rPr>
              <w:t>安防项目的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每提供1</w:t>
            </w:r>
            <w:r>
              <w:rPr>
                <w:rFonts w:hint="eastAsia" w:ascii="宋体" w:hAnsi="宋体" w:eastAsia="宋体" w:cs="宋体"/>
                <w:color w:val="auto"/>
                <w:kern w:val="2"/>
                <w:sz w:val="21"/>
                <w:szCs w:val="21"/>
                <w:highlight w:val="none"/>
                <w:lang w:val="en-US" w:eastAsia="zh-CN" w:bidi="ar-SA"/>
              </w:rPr>
              <w:t>个合同得0.5</w:t>
            </w:r>
            <w:r>
              <w:rPr>
                <w:rFonts w:hint="eastAsia" w:ascii="宋体" w:hAnsi="宋体" w:eastAsia="宋体" w:cs="宋体"/>
                <w:color w:val="auto"/>
                <w:szCs w:val="21"/>
                <w:highlight w:val="none"/>
                <w:lang w:val="en-US" w:eastAsia="zh-CN"/>
              </w:rPr>
              <w:t>分，本项最高得3分。</w:t>
            </w:r>
          </w:p>
          <w:p w14:paraId="5A0F65F8">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（须提供</w:t>
            </w:r>
            <w:r>
              <w:rPr>
                <w:rFonts w:hint="eastAsia" w:ascii="宋体" w:hAnsi="宋体" w:eastAsia="宋体" w:cs="宋体"/>
                <w:b/>
                <w:bCs/>
                <w:color w:val="auto"/>
                <w:szCs w:val="21"/>
                <w:highlight w:val="none"/>
                <w:lang w:val="en-US" w:eastAsia="zh-CN"/>
              </w:rPr>
              <w:t>有效的合同、</w:t>
            </w:r>
            <w:r>
              <w:rPr>
                <w:rFonts w:hint="eastAsia" w:ascii="宋体" w:hAnsi="宋体" w:eastAsia="宋体" w:cs="宋体"/>
                <w:b/>
                <w:bCs/>
                <w:color w:val="auto"/>
                <w:szCs w:val="21"/>
                <w:highlight w:val="none"/>
                <w:lang w:val="en-US" w:eastAsia="zh-CN"/>
              </w:rPr>
              <w:t>省文物局</w:t>
            </w:r>
            <w:r>
              <w:rPr>
                <w:rFonts w:hint="eastAsia" w:ascii="宋体" w:hAnsi="宋体" w:eastAsia="宋体" w:cs="宋体"/>
                <w:b/>
                <w:bCs/>
                <w:color w:val="auto"/>
                <w:szCs w:val="21"/>
                <w:highlight w:val="none"/>
                <w:lang w:val="en-US" w:eastAsia="zh-CN"/>
              </w:rPr>
              <w:t>验收通过的</w:t>
            </w:r>
            <w:r>
              <w:rPr>
                <w:rFonts w:hint="eastAsia" w:ascii="宋体" w:hAnsi="宋体" w:cs="宋体"/>
                <w:b/>
                <w:bCs/>
                <w:color w:val="auto"/>
                <w:szCs w:val="21"/>
                <w:highlight w:val="none"/>
                <w:lang w:val="en-US" w:eastAsia="zh-CN"/>
              </w:rPr>
              <w:t>批复</w:t>
            </w:r>
            <w:r>
              <w:rPr>
                <w:rFonts w:hint="eastAsia" w:ascii="宋体" w:hAnsi="宋体" w:eastAsia="宋体" w:cs="宋体"/>
                <w:b/>
                <w:bCs/>
                <w:color w:val="auto"/>
                <w:szCs w:val="21"/>
                <w:highlight w:val="none"/>
                <w:lang w:val="en-US" w:eastAsia="zh-CN"/>
              </w:rPr>
              <w:t>文件</w:t>
            </w:r>
            <w:r>
              <w:rPr>
                <w:rFonts w:hint="eastAsia" w:ascii="宋体" w:hAnsi="宋体" w:eastAsia="宋体" w:cs="宋体"/>
                <w:b/>
                <w:bCs/>
                <w:color w:val="auto"/>
                <w:szCs w:val="21"/>
                <w:highlight w:val="none"/>
                <w:lang w:val="en-US" w:eastAsia="zh-CN"/>
              </w:rPr>
              <w:t>扫描件并加盖投标人公章编入投标文件中，未提供或提供不全的不得分）</w:t>
            </w:r>
          </w:p>
        </w:tc>
        <w:tc>
          <w:tcPr>
            <w:tcW w:w="675" w:type="dxa"/>
            <w:vAlign w:val="center"/>
          </w:tcPr>
          <w:p w14:paraId="29110F56">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531" w:type="dxa"/>
            <w:vAlign w:val="center"/>
          </w:tcPr>
          <w:p w14:paraId="5A5E3D8C">
            <w:pPr>
              <w:widowControl/>
              <w:spacing w:line="288" w:lineRule="auto"/>
              <w:jc w:val="center"/>
              <w:textAlignment w:val="center"/>
              <w:rPr>
                <w:rFonts w:hint="eastAsia" w:ascii="宋体" w:hAnsi="宋体" w:cs="宋体"/>
                <w:color w:val="auto"/>
                <w:szCs w:val="21"/>
                <w:highlight w:val="none"/>
                <w:lang w:val="en-US" w:eastAsia="zh-CN"/>
              </w:rPr>
            </w:pPr>
          </w:p>
        </w:tc>
        <w:tc>
          <w:tcPr>
            <w:tcW w:w="603" w:type="dxa"/>
            <w:vAlign w:val="center"/>
          </w:tcPr>
          <w:p w14:paraId="1F74DA9B">
            <w:pPr>
              <w:widowControl/>
              <w:spacing w:line="288" w:lineRule="auto"/>
              <w:jc w:val="center"/>
              <w:textAlignment w:val="center"/>
              <w:rPr>
                <w:rFonts w:hint="eastAsia" w:ascii="宋体" w:hAnsi="宋体" w:cs="宋体"/>
                <w:color w:val="auto"/>
                <w:szCs w:val="21"/>
                <w:highlight w:val="none"/>
                <w:lang w:val="en-US" w:eastAsia="zh-CN"/>
              </w:rPr>
            </w:pPr>
          </w:p>
        </w:tc>
      </w:tr>
      <w:tr w14:paraId="14BD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3" w:hRule="atLeast"/>
          <w:jc w:val="center"/>
        </w:trPr>
        <w:tc>
          <w:tcPr>
            <w:tcW w:w="838" w:type="dxa"/>
            <w:vMerge w:val="continue"/>
            <w:vAlign w:val="center"/>
          </w:tcPr>
          <w:p w14:paraId="2ECDA880">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7448C6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6590" w:type="dxa"/>
            <w:vAlign w:val="center"/>
          </w:tcPr>
          <w:p w14:paraId="72A55762">
            <w:pPr>
              <w:tabs>
                <w:tab w:val="left" w:pos="2061"/>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拟派的项目负责人具有一级建造师（机电工程专业）和高级电气工程师的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每提供一本证书得2分，本项最高得4分</w:t>
            </w:r>
            <w:r>
              <w:rPr>
                <w:rFonts w:hint="eastAsia" w:ascii="宋体" w:hAnsi="宋体" w:eastAsia="宋体" w:cs="宋体"/>
                <w:color w:val="auto"/>
                <w:szCs w:val="21"/>
                <w:highlight w:val="none"/>
              </w:rPr>
              <w:t>。</w:t>
            </w:r>
          </w:p>
          <w:p w14:paraId="625821F0">
            <w:pPr>
              <w:widowControl/>
              <w:spacing w:line="288"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（提供相关证书</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rPr>
              <w:t>以及投标人为上述人员近3个月社保缴纳证明材料(如为社会保险机构盖章的网上打印件亦可)</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加盖投标人公章</w:t>
            </w:r>
            <w:r>
              <w:rPr>
                <w:rFonts w:hint="eastAsia" w:ascii="宋体" w:hAnsi="宋体" w:eastAsia="宋体" w:cs="宋体"/>
                <w:b/>
                <w:bCs/>
                <w:color w:val="auto"/>
                <w:szCs w:val="21"/>
                <w:highlight w:val="none"/>
                <w:lang w:val="en-US" w:eastAsia="zh-CN"/>
              </w:rPr>
              <w:t>编入投标文件中，未提供或提供不全的不得分</w:t>
            </w:r>
            <w:r>
              <w:rPr>
                <w:rFonts w:hint="eastAsia" w:ascii="宋体" w:hAnsi="宋体" w:eastAsia="宋体" w:cs="宋体"/>
                <w:b/>
                <w:bCs/>
                <w:color w:val="auto"/>
                <w:szCs w:val="21"/>
                <w:highlight w:val="none"/>
              </w:rPr>
              <w:t>）</w:t>
            </w:r>
          </w:p>
        </w:tc>
        <w:tc>
          <w:tcPr>
            <w:tcW w:w="675" w:type="dxa"/>
            <w:vAlign w:val="center"/>
          </w:tcPr>
          <w:p w14:paraId="02C6D806">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531" w:type="dxa"/>
            <w:vAlign w:val="center"/>
          </w:tcPr>
          <w:p w14:paraId="2C156738">
            <w:pPr>
              <w:widowControl/>
              <w:spacing w:line="288" w:lineRule="auto"/>
              <w:jc w:val="center"/>
              <w:textAlignment w:val="center"/>
              <w:rPr>
                <w:rFonts w:hint="eastAsia" w:ascii="宋体" w:hAnsi="宋体" w:cs="宋体"/>
                <w:color w:val="auto"/>
                <w:szCs w:val="21"/>
                <w:highlight w:val="none"/>
                <w:lang w:val="en-US" w:eastAsia="zh-CN"/>
              </w:rPr>
            </w:pPr>
          </w:p>
        </w:tc>
        <w:tc>
          <w:tcPr>
            <w:tcW w:w="603" w:type="dxa"/>
            <w:vAlign w:val="center"/>
          </w:tcPr>
          <w:p w14:paraId="1B016A5D">
            <w:pPr>
              <w:widowControl/>
              <w:spacing w:line="288" w:lineRule="auto"/>
              <w:jc w:val="center"/>
              <w:textAlignment w:val="center"/>
              <w:rPr>
                <w:rFonts w:hint="eastAsia" w:ascii="宋体" w:hAnsi="宋体" w:cs="宋体"/>
                <w:color w:val="auto"/>
                <w:szCs w:val="21"/>
                <w:highlight w:val="none"/>
                <w:lang w:val="en-US" w:eastAsia="zh-CN"/>
              </w:rPr>
            </w:pPr>
          </w:p>
        </w:tc>
      </w:tr>
      <w:tr w14:paraId="7DCE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3" w:hRule="atLeast"/>
          <w:jc w:val="center"/>
        </w:trPr>
        <w:tc>
          <w:tcPr>
            <w:tcW w:w="838" w:type="dxa"/>
            <w:vMerge w:val="continue"/>
            <w:vAlign w:val="center"/>
          </w:tcPr>
          <w:p w14:paraId="54DE0CD6">
            <w:pPr>
              <w:spacing w:line="360" w:lineRule="auto"/>
              <w:jc w:val="center"/>
              <w:textAlignment w:val="center"/>
              <w:rPr>
                <w:rFonts w:hint="eastAsia" w:ascii="宋体" w:hAnsi="宋体" w:eastAsia="宋体" w:cs="宋体"/>
                <w:bCs/>
                <w:color w:val="auto"/>
                <w:szCs w:val="21"/>
                <w:highlight w:val="none"/>
              </w:rPr>
            </w:pPr>
          </w:p>
        </w:tc>
        <w:tc>
          <w:tcPr>
            <w:tcW w:w="999" w:type="dxa"/>
            <w:vAlign w:val="center"/>
          </w:tcPr>
          <w:p w14:paraId="4A33F66E">
            <w:pPr>
              <w:jc w:val="center"/>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项目组成员情况</w:t>
            </w:r>
          </w:p>
        </w:tc>
        <w:tc>
          <w:tcPr>
            <w:tcW w:w="6590" w:type="dxa"/>
            <w:vAlign w:val="center"/>
          </w:tcPr>
          <w:p w14:paraId="640D5453">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拟派项目团队</w:t>
            </w:r>
            <w:r>
              <w:rPr>
                <w:rFonts w:hint="eastAsia" w:ascii="宋体" w:hAnsi="宋体" w:cs="宋体"/>
                <w:color w:val="auto"/>
                <w:szCs w:val="21"/>
                <w:highlight w:val="none"/>
                <w:lang w:val="en-US" w:eastAsia="zh-CN"/>
              </w:rPr>
              <w:t>成</w:t>
            </w:r>
            <w:r>
              <w:rPr>
                <w:rFonts w:hint="eastAsia" w:ascii="宋体" w:hAnsi="宋体" w:eastAsia="宋体" w:cs="宋体"/>
                <w:color w:val="auto"/>
                <w:szCs w:val="21"/>
                <w:highlight w:val="none"/>
              </w:rPr>
              <w:t>员中（项目</w:t>
            </w:r>
            <w:r>
              <w:rPr>
                <w:rFonts w:hint="eastAsia" w:ascii="宋体" w:hAnsi="宋体" w:cs="宋体"/>
                <w:color w:val="auto"/>
                <w:szCs w:val="21"/>
                <w:highlight w:val="none"/>
                <w:lang w:val="en-US" w:eastAsia="zh-CN"/>
              </w:rPr>
              <w:t>负责人除</w:t>
            </w:r>
            <w:r>
              <w:rPr>
                <w:rFonts w:hint="eastAsia" w:ascii="宋体" w:hAnsi="宋体" w:eastAsia="宋体" w:cs="宋体"/>
                <w:color w:val="auto"/>
                <w:szCs w:val="21"/>
                <w:highlight w:val="none"/>
              </w:rPr>
              <w:t>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具有中级及以上工程师证的每</w:t>
            </w:r>
            <w:r>
              <w:rPr>
                <w:rFonts w:hint="eastAsia" w:ascii="宋体" w:hAnsi="宋体" w:cs="宋体"/>
                <w:color w:val="auto"/>
                <w:szCs w:val="21"/>
                <w:highlight w:val="none"/>
                <w:lang w:val="en-US" w:eastAsia="zh-CN"/>
              </w:rPr>
              <w:t>提供1</w:t>
            </w:r>
            <w:r>
              <w:rPr>
                <w:rFonts w:hint="eastAsia" w:ascii="宋体" w:hAnsi="宋体" w:eastAsia="宋体" w:cs="宋体"/>
                <w:color w:val="auto"/>
                <w:szCs w:val="21"/>
                <w:highlight w:val="none"/>
              </w:rPr>
              <w:t>个得0.5分，</w:t>
            </w:r>
            <w:r>
              <w:rPr>
                <w:rFonts w:hint="eastAsia" w:ascii="宋体" w:hAnsi="宋体" w:cs="宋体"/>
                <w:color w:val="auto"/>
                <w:szCs w:val="21"/>
                <w:highlight w:val="none"/>
                <w:lang w:val="en-US" w:eastAsia="zh-CN"/>
              </w:rPr>
              <w:t>本项</w:t>
            </w:r>
            <w:r>
              <w:rPr>
                <w:rFonts w:hint="eastAsia" w:ascii="宋体" w:hAnsi="宋体" w:eastAsia="宋体" w:cs="宋体"/>
                <w:color w:val="auto"/>
                <w:szCs w:val="21"/>
                <w:highlight w:val="none"/>
              </w:rPr>
              <w:t>最</w:t>
            </w:r>
            <w:r>
              <w:rPr>
                <w:rFonts w:hint="eastAsia" w:ascii="宋体" w:hAnsi="宋体" w:cs="宋体"/>
                <w:color w:val="auto"/>
                <w:szCs w:val="21"/>
                <w:highlight w:val="none"/>
                <w:lang w:val="en-US" w:eastAsia="zh-CN"/>
              </w:rPr>
              <w:t>高得</w:t>
            </w:r>
            <w:r>
              <w:rPr>
                <w:rFonts w:hint="eastAsia" w:ascii="宋体" w:hAnsi="宋体" w:eastAsia="宋体" w:cs="宋体"/>
                <w:color w:val="auto"/>
                <w:szCs w:val="21"/>
                <w:highlight w:val="none"/>
              </w:rPr>
              <w:t>2分。</w:t>
            </w:r>
          </w:p>
          <w:p w14:paraId="77443080">
            <w:pPr>
              <w:adjustRightInd w:val="0"/>
              <w:snapToGrid w:val="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（提供相关证书</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rPr>
              <w:t>以及投标人为上述人员近3个月社保缴纳证明材料(如为社会保险机构盖章的网上打印件亦可)</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加盖投标人公章</w:t>
            </w:r>
            <w:r>
              <w:rPr>
                <w:rFonts w:hint="eastAsia" w:ascii="宋体" w:hAnsi="宋体" w:eastAsia="宋体" w:cs="宋体"/>
                <w:b/>
                <w:bCs/>
                <w:color w:val="auto"/>
                <w:szCs w:val="21"/>
                <w:highlight w:val="none"/>
                <w:lang w:val="en-US" w:eastAsia="zh-CN"/>
              </w:rPr>
              <w:t>编入投标文件中，未提供或提供不全的不得分</w:t>
            </w:r>
            <w:r>
              <w:rPr>
                <w:rFonts w:hint="eastAsia" w:ascii="宋体" w:hAnsi="宋体" w:eastAsia="宋体" w:cs="宋体"/>
                <w:b/>
                <w:bCs/>
                <w:color w:val="auto"/>
                <w:szCs w:val="21"/>
                <w:highlight w:val="none"/>
              </w:rPr>
              <w:t>）</w:t>
            </w:r>
          </w:p>
        </w:tc>
        <w:tc>
          <w:tcPr>
            <w:tcW w:w="675" w:type="dxa"/>
            <w:vAlign w:val="center"/>
          </w:tcPr>
          <w:p w14:paraId="2E2C7A97">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2</w:t>
            </w:r>
          </w:p>
        </w:tc>
        <w:tc>
          <w:tcPr>
            <w:tcW w:w="531" w:type="dxa"/>
            <w:vAlign w:val="center"/>
          </w:tcPr>
          <w:p w14:paraId="6C5C2421">
            <w:pPr>
              <w:adjustRightInd w:val="0"/>
              <w:snapToGrid w:val="0"/>
              <w:jc w:val="center"/>
              <w:rPr>
                <w:rFonts w:hint="eastAsia" w:ascii="宋体" w:hAnsi="宋体" w:cs="宋体"/>
                <w:color w:val="auto"/>
                <w:kern w:val="0"/>
                <w:szCs w:val="21"/>
                <w:highlight w:val="none"/>
                <w:lang w:val="en-US" w:eastAsia="zh-CN"/>
              </w:rPr>
            </w:pPr>
          </w:p>
        </w:tc>
        <w:tc>
          <w:tcPr>
            <w:tcW w:w="603" w:type="dxa"/>
            <w:vAlign w:val="center"/>
          </w:tcPr>
          <w:p w14:paraId="7538F872">
            <w:pPr>
              <w:adjustRightInd w:val="0"/>
              <w:snapToGrid w:val="0"/>
              <w:jc w:val="center"/>
              <w:rPr>
                <w:rFonts w:hint="eastAsia" w:ascii="宋体" w:hAnsi="宋体" w:cs="宋体"/>
                <w:color w:val="auto"/>
                <w:kern w:val="0"/>
                <w:szCs w:val="21"/>
                <w:highlight w:val="none"/>
                <w:lang w:val="en-US" w:eastAsia="zh-CN"/>
              </w:rPr>
            </w:pPr>
          </w:p>
        </w:tc>
      </w:tr>
      <w:tr w14:paraId="5B02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38" w:type="dxa"/>
            <w:vMerge w:val="restart"/>
            <w:vAlign w:val="center"/>
          </w:tcPr>
          <w:p w14:paraId="283A5FDF">
            <w:pPr>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p w14:paraId="1DAA2C4A">
            <w:pP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61</w:t>
            </w:r>
            <w:r>
              <w:rPr>
                <w:rFonts w:hint="eastAsia" w:ascii="宋体" w:hAnsi="宋体" w:eastAsia="宋体" w:cs="宋体"/>
                <w:color w:val="auto"/>
                <w:highlight w:val="none"/>
              </w:rPr>
              <w:t>分）</w:t>
            </w:r>
          </w:p>
        </w:tc>
        <w:tc>
          <w:tcPr>
            <w:tcW w:w="999" w:type="dxa"/>
            <w:vAlign w:val="center"/>
          </w:tcPr>
          <w:p w14:paraId="48BCB98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lang w:val="en-US" w:eastAsia="zh-CN"/>
              </w:rPr>
              <w:t>技术参数响应</w:t>
            </w:r>
          </w:p>
        </w:tc>
        <w:tc>
          <w:tcPr>
            <w:tcW w:w="6590" w:type="dxa"/>
            <w:vAlign w:val="center"/>
          </w:tcPr>
          <w:p w14:paraId="5A05DDDE">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投标产品的技术参数和性能指标全部响应或满足招标文件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第四章 公开招标需求-</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采购清单</w:t>
            </w:r>
            <w:r>
              <w:rPr>
                <w:rFonts w:hint="eastAsia" w:ascii="宋体" w:hAnsi="宋体" w:eastAsia="宋体" w:cs="宋体"/>
                <w:color w:val="auto"/>
                <w:sz w:val="21"/>
                <w:szCs w:val="21"/>
                <w:highlight w:val="none"/>
                <w:lang w:val="en-US" w:eastAsia="zh-CN"/>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文博专用室外枪机</w:t>
            </w:r>
            <w:r>
              <w:rPr>
                <w:rFonts w:hint="eastAsia" w:ascii="宋体" w:hAnsi="宋体" w:eastAsia="宋体" w:cs="宋体"/>
                <w:b w:val="0"/>
                <w:bCs w:val="0"/>
                <w:color w:val="auto"/>
                <w:sz w:val="21"/>
                <w:szCs w:val="21"/>
                <w:highlight w:val="none"/>
                <w:lang w:val="en-US" w:eastAsia="zh-CN"/>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文博专用热成像筒机、监控机架式电源、64路NVR硬盘录像机、32路NVR硬盘录像机、8口工业级交换机、55寸拼接屏、24盘位磁盘阵列(含8T硬盘）</w:t>
            </w:r>
            <w:r>
              <w:rPr>
                <w:rFonts w:hint="eastAsia" w:ascii="宋体" w:hAnsi="宋体" w:eastAsia="宋体" w:cs="宋体"/>
                <w:b w:val="0"/>
                <w:bCs w:val="0"/>
                <w:color w:val="auto"/>
                <w:kern w:val="2"/>
                <w:sz w:val="21"/>
                <w:szCs w:val="21"/>
                <w:highlight w:val="none"/>
                <w:lang w:val="en-US" w:eastAsia="zh-CN" w:bidi="ar-SA"/>
              </w:rPr>
              <w:t>要求的得满分25分，</w:t>
            </w:r>
            <w:r>
              <w:rPr>
                <w:rFonts w:hint="eastAsia" w:ascii="宋体" w:hAnsi="宋体" w:eastAsia="宋体" w:cs="宋体"/>
                <w:color w:val="auto"/>
                <w:kern w:val="2"/>
                <w:sz w:val="21"/>
                <w:szCs w:val="21"/>
                <w:highlight w:val="none"/>
                <w:lang w:val="en-US" w:eastAsia="zh-CN" w:bidi="ar-SA"/>
              </w:rPr>
              <w:t>标“★”的为重要性指标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，不满足或负偏离的一项</w:t>
            </w:r>
            <w:r>
              <w:rPr>
                <w:rFonts w:hint="eastAsia" w:ascii="宋体" w:hAnsi="宋体" w:eastAsia="宋体" w:cs="宋体"/>
                <w:color w:val="auto"/>
                <w:kern w:val="2"/>
                <w:sz w:val="21"/>
                <w:szCs w:val="21"/>
                <w:highlight w:val="none"/>
                <w:lang w:val="en-US" w:eastAsia="zh-CN" w:bidi="ar-SA"/>
              </w:rPr>
              <w:t>扣</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，其他技术指标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不满足或负偏离的一项</w:t>
            </w:r>
            <w:r>
              <w:rPr>
                <w:rFonts w:hint="eastAsia" w:ascii="宋体" w:hAnsi="宋体" w:eastAsia="宋体" w:cs="宋体"/>
                <w:color w:val="auto"/>
                <w:kern w:val="2"/>
                <w:sz w:val="21"/>
                <w:szCs w:val="21"/>
                <w:highlight w:val="none"/>
                <w:lang w:val="en-US" w:eastAsia="zh-CN" w:bidi="ar-SA"/>
              </w:rPr>
              <w:t>扣</w:t>
            </w:r>
            <w:r>
              <w:rPr>
                <w:rFonts w:hint="eastAsia" w:ascii="宋体" w:hAnsi="宋体" w:cs="宋体"/>
                <w:color w:val="auto"/>
                <w:kern w:val="2"/>
                <w:sz w:val="21"/>
                <w:szCs w:val="21"/>
                <w:highlight w:val="none"/>
                <w:lang w:val="en-US" w:eastAsia="zh-CN" w:bidi="ar-SA"/>
              </w:rPr>
              <w:t>0.1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，扣完为止。</w:t>
            </w:r>
          </w:p>
          <w:p w14:paraId="44ADB979">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szCs w:val="21"/>
                <w:highlight w:val="none"/>
              </w:rPr>
            </w:pPr>
            <w:r>
              <w:rPr>
                <w:rFonts w:hint="eastAsia" w:ascii="宋体" w:hAnsi="宋体" w:cs="宋体"/>
                <w:b/>
                <w:bCs/>
                <w:color w:val="auto"/>
                <w:kern w:val="2"/>
                <w:sz w:val="21"/>
                <w:szCs w:val="21"/>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“采购清单”</w:t>
            </w:r>
            <w:r>
              <w:rPr>
                <w:rFonts w:hint="eastAsia" w:ascii="宋体" w:hAnsi="宋体" w:cs="宋体"/>
                <w:b/>
                <w:bCs/>
                <w:color w:val="auto"/>
                <w:kern w:val="2"/>
                <w:sz w:val="21"/>
                <w:szCs w:val="21"/>
                <w:highlight w:val="none"/>
                <w:lang w:val="en-US" w:eastAsia="zh-CN" w:bidi="ar-SA"/>
              </w:rPr>
              <w:t>中</w:t>
            </w:r>
            <w:r>
              <w:rPr>
                <w:rFonts w:hint="eastAsia" w:ascii="宋体" w:hAnsi="宋体" w:eastAsia="宋体" w:cs="宋体"/>
                <w:b/>
                <w:bCs/>
                <w:color w:val="auto"/>
                <w:kern w:val="2"/>
                <w:sz w:val="21"/>
                <w:szCs w:val="21"/>
                <w:highlight w:val="none"/>
                <w:lang w:val="en-US" w:eastAsia="zh-CN" w:bidi="ar-SA"/>
              </w:rPr>
              <w:t>要求提供证明材料</w:t>
            </w:r>
            <w:r>
              <w:rPr>
                <w:rFonts w:hint="eastAsia" w:ascii="宋体" w:hAnsi="宋体" w:cs="宋体"/>
                <w:b/>
                <w:bCs/>
                <w:color w:val="auto"/>
                <w:kern w:val="2"/>
                <w:sz w:val="21"/>
                <w:szCs w:val="21"/>
                <w:highlight w:val="none"/>
                <w:lang w:val="en-US" w:eastAsia="zh-CN" w:bidi="ar-SA"/>
              </w:rPr>
              <w:t>的</w:t>
            </w:r>
            <w:r>
              <w:rPr>
                <w:rFonts w:hint="eastAsia" w:ascii="宋体" w:hAnsi="宋体" w:eastAsia="宋体" w:cs="宋体"/>
                <w:b/>
                <w:bCs/>
                <w:color w:val="auto"/>
                <w:kern w:val="2"/>
                <w:sz w:val="21"/>
                <w:szCs w:val="21"/>
                <w:highlight w:val="none"/>
                <w:lang w:val="en-US" w:eastAsia="zh-CN" w:bidi="ar-SA"/>
              </w:rPr>
              <w:t>，缺少证明材料的统一视为负偏离</w:t>
            </w:r>
            <w:r>
              <w:rPr>
                <w:rFonts w:hint="eastAsia" w:ascii="宋体" w:hAnsi="宋体" w:cs="宋体"/>
                <w:b/>
                <w:bCs/>
                <w:color w:val="auto"/>
                <w:kern w:val="2"/>
                <w:sz w:val="21"/>
                <w:szCs w:val="21"/>
                <w:highlight w:val="none"/>
                <w:lang w:val="en-US" w:eastAsia="zh-CN" w:bidi="ar-SA"/>
              </w:rPr>
              <w:t>。</w:t>
            </w:r>
          </w:p>
        </w:tc>
        <w:tc>
          <w:tcPr>
            <w:tcW w:w="675" w:type="dxa"/>
            <w:vAlign w:val="center"/>
          </w:tcPr>
          <w:p w14:paraId="57BB5C60">
            <w:pPr>
              <w:adjustRightInd w:val="0"/>
              <w:snapToGrid w:val="0"/>
              <w:jc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25</w:t>
            </w:r>
          </w:p>
        </w:tc>
        <w:tc>
          <w:tcPr>
            <w:tcW w:w="531" w:type="dxa"/>
            <w:vAlign w:val="center"/>
          </w:tcPr>
          <w:p w14:paraId="44FD069E">
            <w:pPr>
              <w:adjustRightInd w:val="0"/>
              <w:snapToGrid w:val="0"/>
              <w:jc w:val="center"/>
              <w:rPr>
                <w:rFonts w:hint="eastAsia" w:ascii="宋体" w:hAnsi="宋体" w:cs="宋体"/>
                <w:color w:val="auto"/>
                <w:kern w:val="0"/>
                <w:szCs w:val="21"/>
                <w:highlight w:val="none"/>
                <w:lang w:val="en-US" w:eastAsia="zh-CN"/>
              </w:rPr>
            </w:pPr>
          </w:p>
        </w:tc>
        <w:tc>
          <w:tcPr>
            <w:tcW w:w="603" w:type="dxa"/>
            <w:vAlign w:val="center"/>
          </w:tcPr>
          <w:p w14:paraId="46E8B88D">
            <w:pPr>
              <w:adjustRightInd w:val="0"/>
              <w:snapToGrid w:val="0"/>
              <w:jc w:val="center"/>
              <w:rPr>
                <w:rFonts w:hint="eastAsia" w:ascii="宋体" w:hAnsi="宋体" w:cs="宋体"/>
                <w:color w:val="auto"/>
                <w:kern w:val="0"/>
                <w:szCs w:val="21"/>
                <w:highlight w:val="none"/>
                <w:lang w:val="en-US" w:eastAsia="zh-CN"/>
              </w:rPr>
            </w:pPr>
          </w:p>
        </w:tc>
      </w:tr>
      <w:tr w14:paraId="04C3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9" w:hRule="atLeast"/>
          <w:jc w:val="center"/>
        </w:trPr>
        <w:tc>
          <w:tcPr>
            <w:tcW w:w="838" w:type="dxa"/>
            <w:vMerge w:val="continue"/>
            <w:vAlign w:val="center"/>
          </w:tcPr>
          <w:p w14:paraId="0A44B452">
            <w:pPr>
              <w:rPr>
                <w:rFonts w:hint="eastAsia" w:ascii="宋体" w:hAnsi="宋体" w:eastAsia="宋体" w:cs="宋体"/>
                <w:color w:val="auto"/>
                <w:highlight w:val="none"/>
              </w:rPr>
            </w:pPr>
          </w:p>
        </w:tc>
        <w:tc>
          <w:tcPr>
            <w:tcW w:w="999" w:type="dxa"/>
            <w:vMerge w:val="restart"/>
            <w:vAlign w:val="center"/>
          </w:tcPr>
          <w:p w14:paraId="1594E460">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深化方案</w:t>
            </w:r>
          </w:p>
        </w:tc>
        <w:tc>
          <w:tcPr>
            <w:tcW w:w="6590" w:type="dxa"/>
            <w:vAlign w:val="center"/>
          </w:tcPr>
          <w:p w14:paraId="5145DF3C">
            <w:pPr>
              <w:adjustRightInd w:val="0"/>
              <w:snapToGrid w:val="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w:t>
            </w:r>
            <w:r>
              <w:rPr>
                <w:rFonts w:hint="eastAsia" w:ascii="宋体" w:hAnsi="宋体" w:cs="宋体"/>
                <w:color w:val="auto"/>
                <w:szCs w:val="21"/>
                <w:highlight w:val="none"/>
                <w:lang w:val="en-US" w:eastAsia="zh-CN"/>
              </w:rPr>
              <w:t>对本项目现场了解情况，包括主要设备点位分布图等是否符合实际情况</w:t>
            </w:r>
            <w:r>
              <w:rPr>
                <w:rFonts w:hint="eastAsia" w:ascii="宋体" w:hAnsi="宋体" w:cs="宋体"/>
                <w:color w:val="auto"/>
                <w:szCs w:val="21"/>
                <w:highlight w:val="none"/>
                <w:lang w:val="en-US" w:eastAsia="zh-CN"/>
              </w:rPr>
              <w:t>，根据方案先进性、完整性、具体性、可行性等进行打分。</w:t>
            </w: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75" w:type="dxa"/>
            <w:vAlign w:val="center"/>
          </w:tcPr>
          <w:p w14:paraId="79A6939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31" w:type="dxa"/>
            <w:vAlign w:val="center"/>
          </w:tcPr>
          <w:p w14:paraId="22D80E82">
            <w:pPr>
              <w:widowControl/>
              <w:jc w:val="center"/>
              <w:rPr>
                <w:rFonts w:hint="eastAsia" w:ascii="宋体" w:hAnsi="宋体" w:eastAsia="宋体" w:cs="宋体"/>
                <w:color w:val="auto"/>
                <w:szCs w:val="21"/>
                <w:highlight w:val="none"/>
              </w:rPr>
            </w:pPr>
          </w:p>
        </w:tc>
        <w:tc>
          <w:tcPr>
            <w:tcW w:w="603" w:type="dxa"/>
            <w:vAlign w:val="center"/>
          </w:tcPr>
          <w:p w14:paraId="11F006D7">
            <w:pPr>
              <w:widowControl/>
              <w:jc w:val="center"/>
              <w:rPr>
                <w:rFonts w:hint="eastAsia" w:ascii="宋体" w:hAnsi="宋体" w:eastAsia="宋体" w:cs="宋体"/>
                <w:color w:val="auto"/>
                <w:szCs w:val="21"/>
                <w:highlight w:val="none"/>
              </w:rPr>
            </w:pPr>
          </w:p>
        </w:tc>
      </w:tr>
      <w:tr w14:paraId="4B94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9" w:hRule="atLeast"/>
          <w:jc w:val="center"/>
        </w:trPr>
        <w:tc>
          <w:tcPr>
            <w:tcW w:w="838" w:type="dxa"/>
            <w:vMerge w:val="continue"/>
            <w:vAlign w:val="center"/>
          </w:tcPr>
          <w:p w14:paraId="228A17FC">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226784AA">
            <w:pPr>
              <w:widowControl/>
              <w:spacing w:line="288" w:lineRule="auto"/>
              <w:jc w:val="center"/>
              <w:textAlignment w:val="center"/>
              <w:rPr>
                <w:rFonts w:hint="eastAsia" w:ascii="宋体" w:hAnsi="宋体" w:eastAsia="宋体" w:cs="宋体"/>
                <w:color w:val="auto"/>
                <w:szCs w:val="21"/>
                <w:highlight w:val="none"/>
              </w:rPr>
            </w:pPr>
          </w:p>
        </w:tc>
        <w:tc>
          <w:tcPr>
            <w:tcW w:w="6590" w:type="dxa"/>
            <w:vAlign w:val="center"/>
          </w:tcPr>
          <w:p w14:paraId="4769490A">
            <w:pPr>
              <w:adjustRightInd w:val="0"/>
              <w:snapToGrid w:val="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根据投标人对本项目的理解，系统架构、</w:t>
            </w:r>
            <w:r>
              <w:rPr>
                <w:rFonts w:hint="eastAsia" w:ascii="宋体" w:hAnsi="宋体" w:cs="宋体"/>
                <w:color w:val="auto"/>
                <w:szCs w:val="21"/>
                <w:highlight w:val="none"/>
                <w:lang w:val="en-US" w:eastAsia="zh-CN"/>
              </w:rPr>
              <w:t>整体线路图符合的实际情况</w:t>
            </w:r>
            <w:r>
              <w:rPr>
                <w:rFonts w:hint="eastAsia" w:ascii="宋体" w:hAnsi="宋体" w:cs="宋体"/>
                <w:color w:val="auto"/>
                <w:szCs w:val="21"/>
                <w:highlight w:val="none"/>
                <w:lang w:val="en-US" w:eastAsia="zh-CN"/>
              </w:rPr>
              <w:t>以及深化方案的先进性、完整性、具体性、可行性等进行打分。</w:t>
            </w:r>
          </w:p>
          <w:p w14:paraId="40D7FF73">
            <w:pPr>
              <w:adjustRightInd w:val="0"/>
              <w:snapToGrid w:val="0"/>
              <w:jc w:val="left"/>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75" w:type="dxa"/>
            <w:vAlign w:val="center"/>
          </w:tcPr>
          <w:p w14:paraId="2817F66F">
            <w:pPr>
              <w:widowControl/>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531" w:type="dxa"/>
            <w:vAlign w:val="center"/>
          </w:tcPr>
          <w:p w14:paraId="6D77D0A2">
            <w:pPr>
              <w:widowControl/>
              <w:jc w:val="center"/>
              <w:rPr>
                <w:rFonts w:hint="eastAsia" w:ascii="宋体" w:hAnsi="宋体" w:eastAsia="宋体" w:cs="宋体"/>
                <w:color w:val="auto"/>
                <w:szCs w:val="21"/>
                <w:highlight w:val="none"/>
                <w:lang w:val="en-US" w:eastAsia="zh-CN"/>
              </w:rPr>
            </w:pPr>
          </w:p>
        </w:tc>
        <w:tc>
          <w:tcPr>
            <w:tcW w:w="603" w:type="dxa"/>
            <w:vAlign w:val="center"/>
          </w:tcPr>
          <w:p w14:paraId="3BA0F14C">
            <w:pPr>
              <w:widowControl/>
              <w:jc w:val="center"/>
              <w:rPr>
                <w:rFonts w:hint="eastAsia" w:ascii="宋体" w:hAnsi="宋体" w:eastAsia="宋体" w:cs="宋体"/>
                <w:color w:val="auto"/>
                <w:szCs w:val="21"/>
                <w:highlight w:val="none"/>
                <w:lang w:val="en-US" w:eastAsia="zh-CN"/>
              </w:rPr>
            </w:pPr>
          </w:p>
        </w:tc>
      </w:tr>
      <w:tr w14:paraId="6712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44B0E479">
            <w:pPr>
              <w:spacing w:line="360" w:lineRule="auto"/>
              <w:jc w:val="center"/>
              <w:textAlignment w:val="center"/>
              <w:rPr>
                <w:rFonts w:hint="eastAsia" w:ascii="宋体" w:hAnsi="宋体" w:eastAsia="宋体" w:cs="宋体"/>
                <w:color w:val="auto"/>
                <w:szCs w:val="21"/>
                <w:highlight w:val="none"/>
              </w:rPr>
            </w:pPr>
          </w:p>
        </w:tc>
        <w:tc>
          <w:tcPr>
            <w:tcW w:w="999" w:type="dxa"/>
            <w:vMerge w:val="restart"/>
            <w:vAlign w:val="center"/>
          </w:tcPr>
          <w:p w14:paraId="24249755">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实施方案</w:t>
            </w:r>
          </w:p>
        </w:tc>
        <w:tc>
          <w:tcPr>
            <w:tcW w:w="6590" w:type="dxa"/>
            <w:shd w:val="clear" w:color="auto" w:fill="auto"/>
            <w:vAlign w:val="center"/>
          </w:tcPr>
          <w:p w14:paraId="1E998071">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根据投标人针对本项目提供的施工计划、安装及调试措施、安全保证措施、质量保证措施、环境保证措施进行打分。</w:t>
            </w:r>
          </w:p>
          <w:p w14:paraId="25F6AFDA">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一档得4分；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档得3.5分；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档得3分；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档得2.5分；</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档得2分；</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档得1.5分；</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档得1分；</w:t>
            </w:r>
            <w:r>
              <w:rPr>
                <w:rFonts w:hint="eastAsia" w:ascii="宋体" w:hAnsi="宋体" w:cs="宋体"/>
                <w:color w:val="auto"/>
                <w:sz w:val="21"/>
                <w:szCs w:val="21"/>
                <w:highlight w:val="none"/>
                <w:lang w:val="en-US" w:eastAsia="zh-CN"/>
              </w:rPr>
              <w:t>八档得0.5分；</w:t>
            </w:r>
            <w:r>
              <w:rPr>
                <w:rFonts w:hint="eastAsia" w:ascii="宋体" w:hAnsi="宋体" w:eastAsia="宋体" w:cs="宋体"/>
                <w:color w:val="auto"/>
                <w:sz w:val="21"/>
                <w:szCs w:val="21"/>
                <w:highlight w:val="none"/>
                <w:lang w:val="en-US" w:eastAsia="zh-CN"/>
              </w:rPr>
              <w:t>未提及此项不得分。</w:t>
            </w:r>
          </w:p>
        </w:tc>
        <w:tc>
          <w:tcPr>
            <w:tcW w:w="675" w:type="dxa"/>
            <w:vAlign w:val="center"/>
          </w:tcPr>
          <w:p w14:paraId="67B83131">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531" w:type="dxa"/>
            <w:vAlign w:val="center"/>
          </w:tcPr>
          <w:p w14:paraId="5C12361B">
            <w:pPr>
              <w:autoSpaceDE w:val="0"/>
              <w:autoSpaceDN w:val="0"/>
              <w:adjustRightInd w:val="0"/>
              <w:jc w:val="center"/>
              <w:rPr>
                <w:rFonts w:hint="eastAsia" w:ascii="宋体" w:hAnsi="宋体" w:cs="宋体"/>
                <w:color w:val="auto"/>
                <w:szCs w:val="21"/>
                <w:highlight w:val="none"/>
                <w:lang w:val="en-US" w:eastAsia="zh-CN"/>
              </w:rPr>
            </w:pPr>
          </w:p>
        </w:tc>
        <w:tc>
          <w:tcPr>
            <w:tcW w:w="603" w:type="dxa"/>
            <w:vAlign w:val="center"/>
          </w:tcPr>
          <w:p w14:paraId="4280C653">
            <w:pPr>
              <w:autoSpaceDE w:val="0"/>
              <w:autoSpaceDN w:val="0"/>
              <w:adjustRightInd w:val="0"/>
              <w:jc w:val="center"/>
              <w:rPr>
                <w:rFonts w:hint="eastAsia" w:ascii="宋体" w:hAnsi="宋体" w:cs="宋体"/>
                <w:color w:val="auto"/>
                <w:szCs w:val="21"/>
                <w:highlight w:val="none"/>
                <w:lang w:val="en-US" w:eastAsia="zh-CN"/>
              </w:rPr>
            </w:pPr>
          </w:p>
        </w:tc>
      </w:tr>
      <w:tr w14:paraId="1E56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4F647806">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601F00AA">
            <w:pPr>
              <w:spacing w:line="360" w:lineRule="auto"/>
              <w:jc w:val="center"/>
              <w:rPr>
                <w:rFonts w:hint="eastAsia" w:ascii="宋体" w:hAnsi="宋体" w:eastAsia="宋体" w:cs="宋体"/>
                <w:color w:val="auto"/>
                <w:szCs w:val="21"/>
                <w:highlight w:val="none"/>
              </w:rPr>
            </w:pPr>
          </w:p>
        </w:tc>
        <w:tc>
          <w:tcPr>
            <w:tcW w:w="6590" w:type="dxa"/>
            <w:shd w:val="clear" w:color="auto" w:fill="auto"/>
            <w:vAlign w:val="center"/>
          </w:tcPr>
          <w:p w14:paraId="216794ED">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根据投标人对本项目文物保护单位情况的熟悉程度、风险评估的详实度，充分体现文物保护风险防范等级及原貌保护的相关要求</w:t>
            </w:r>
            <w:r>
              <w:rPr>
                <w:rFonts w:hint="eastAsia" w:ascii="宋体" w:hAnsi="宋体" w:cs="宋体"/>
                <w:color w:val="auto"/>
                <w:sz w:val="21"/>
                <w:szCs w:val="21"/>
                <w:highlight w:val="none"/>
                <w:lang w:val="en-US" w:eastAsia="zh-CN"/>
              </w:rPr>
              <w:t>等情况进行打分</w:t>
            </w:r>
            <w:r>
              <w:rPr>
                <w:rFonts w:hint="eastAsia" w:ascii="宋体" w:hAnsi="宋体" w:eastAsia="宋体" w:cs="宋体"/>
                <w:color w:val="auto"/>
                <w:sz w:val="21"/>
                <w:szCs w:val="21"/>
                <w:highlight w:val="none"/>
                <w:lang w:val="en-US" w:eastAsia="zh-CN"/>
              </w:rPr>
              <w:t>。</w:t>
            </w:r>
          </w:p>
          <w:p w14:paraId="2AFDD09D">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一档得4分；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档得3.5分；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档得3分；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档得2.5分；</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档得2分；</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档得1.5分；</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档得1分；</w:t>
            </w:r>
            <w:r>
              <w:rPr>
                <w:rFonts w:hint="eastAsia" w:ascii="宋体" w:hAnsi="宋体" w:cs="宋体"/>
                <w:color w:val="auto"/>
                <w:sz w:val="21"/>
                <w:szCs w:val="21"/>
                <w:highlight w:val="none"/>
                <w:lang w:val="en-US" w:eastAsia="zh-CN"/>
              </w:rPr>
              <w:t>八档得0.5分；</w:t>
            </w:r>
            <w:r>
              <w:rPr>
                <w:rFonts w:hint="eastAsia" w:ascii="宋体" w:hAnsi="宋体" w:eastAsia="宋体" w:cs="宋体"/>
                <w:color w:val="auto"/>
                <w:sz w:val="21"/>
                <w:szCs w:val="21"/>
                <w:highlight w:val="none"/>
                <w:lang w:val="en-US" w:eastAsia="zh-CN"/>
              </w:rPr>
              <w:t>未提及此项不得分。</w:t>
            </w:r>
          </w:p>
        </w:tc>
        <w:tc>
          <w:tcPr>
            <w:tcW w:w="675" w:type="dxa"/>
            <w:vAlign w:val="center"/>
          </w:tcPr>
          <w:p w14:paraId="1C396E0D">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531" w:type="dxa"/>
            <w:vAlign w:val="center"/>
          </w:tcPr>
          <w:p w14:paraId="6017E74B">
            <w:pPr>
              <w:spacing w:line="360" w:lineRule="auto"/>
              <w:jc w:val="center"/>
              <w:rPr>
                <w:rFonts w:hint="eastAsia" w:ascii="宋体" w:hAnsi="宋体" w:cs="宋体"/>
                <w:color w:val="auto"/>
                <w:szCs w:val="21"/>
                <w:highlight w:val="none"/>
                <w:lang w:val="en-US" w:eastAsia="zh-CN"/>
              </w:rPr>
            </w:pPr>
          </w:p>
        </w:tc>
        <w:tc>
          <w:tcPr>
            <w:tcW w:w="603" w:type="dxa"/>
            <w:vAlign w:val="center"/>
          </w:tcPr>
          <w:p w14:paraId="567938FA">
            <w:pPr>
              <w:spacing w:line="360" w:lineRule="auto"/>
              <w:jc w:val="center"/>
              <w:rPr>
                <w:rFonts w:hint="eastAsia" w:ascii="宋体" w:hAnsi="宋体" w:cs="宋体"/>
                <w:color w:val="auto"/>
                <w:szCs w:val="21"/>
                <w:highlight w:val="none"/>
                <w:lang w:val="en-US" w:eastAsia="zh-CN"/>
              </w:rPr>
            </w:pPr>
          </w:p>
        </w:tc>
      </w:tr>
      <w:tr w14:paraId="1BFE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8" w:hRule="atLeast"/>
          <w:jc w:val="center"/>
        </w:trPr>
        <w:tc>
          <w:tcPr>
            <w:tcW w:w="838" w:type="dxa"/>
            <w:vMerge w:val="continue"/>
            <w:vAlign w:val="center"/>
          </w:tcPr>
          <w:p w14:paraId="23AA4A4A">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34195E21">
            <w:pPr>
              <w:autoSpaceDE w:val="0"/>
              <w:autoSpaceDN w:val="0"/>
              <w:adjustRightInd w:val="0"/>
              <w:jc w:val="center"/>
              <w:rPr>
                <w:rFonts w:hint="eastAsia" w:ascii="宋体" w:hAnsi="宋体" w:eastAsia="宋体" w:cs="宋体"/>
                <w:color w:val="auto"/>
                <w:szCs w:val="21"/>
                <w:highlight w:val="none"/>
              </w:rPr>
            </w:pPr>
          </w:p>
        </w:tc>
        <w:tc>
          <w:tcPr>
            <w:tcW w:w="6590" w:type="dxa"/>
            <w:shd w:val="clear" w:color="auto" w:fill="auto"/>
            <w:vAlign w:val="center"/>
          </w:tcPr>
          <w:p w14:paraId="44F26C0C">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根据投标人对文保单位项目</w:t>
            </w:r>
            <w:r>
              <w:rPr>
                <w:rFonts w:hint="eastAsia" w:ascii="宋体" w:hAnsi="宋体" w:eastAsia="宋体" w:cs="宋体"/>
                <w:color w:val="auto"/>
                <w:sz w:val="21"/>
                <w:szCs w:val="21"/>
                <w:highlight w:val="none"/>
                <w:lang w:val="en-US" w:eastAsia="zh-CN"/>
              </w:rPr>
              <w:t>专项验收的内容</w:t>
            </w:r>
            <w:r>
              <w:rPr>
                <w:rFonts w:hint="eastAsia" w:ascii="宋体" w:hAnsi="宋体" w:eastAsia="宋体" w:cs="宋体"/>
                <w:color w:val="auto"/>
                <w:sz w:val="21"/>
                <w:szCs w:val="21"/>
                <w:highlight w:val="none"/>
                <w:lang w:val="en-US" w:eastAsia="zh-CN"/>
              </w:rPr>
              <w:t>及流程熟悉程度等情况进行打分。</w:t>
            </w:r>
          </w:p>
          <w:p w14:paraId="08DE0BD5">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一档得4分；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档得3.5分；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档得3分；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档得2.5分；</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档得2分；</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档得1.5分；</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档得1分；</w:t>
            </w:r>
            <w:r>
              <w:rPr>
                <w:rFonts w:hint="eastAsia" w:ascii="宋体" w:hAnsi="宋体" w:cs="宋体"/>
                <w:color w:val="auto"/>
                <w:sz w:val="21"/>
                <w:szCs w:val="21"/>
                <w:highlight w:val="none"/>
                <w:lang w:val="en-US" w:eastAsia="zh-CN"/>
              </w:rPr>
              <w:t>八档得0.5分；</w:t>
            </w:r>
            <w:r>
              <w:rPr>
                <w:rFonts w:hint="eastAsia" w:ascii="宋体" w:hAnsi="宋体" w:eastAsia="宋体" w:cs="宋体"/>
                <w:color w:val="auto"/>
                <w:sz w:val="21"/>
                <w:szCs w:val="21"/>
                <w:highlight w:val="none"/>
                <w:lang w:val="en-US" w:eastAsia="zh-CN"/>
              </w:rPr>
              <w:t>未提及此项不得分。</w:t>
            </w:r>
          </w:p>
        </w:tc>
        <w:tc>
          <w:tcPr>
            <w:tcW w:w="675" w:type="dxa"/>
            <w:vAlign w:val="center"/>
          </w:tcPr>
          <w:p w14:paraId="0ED6DC1B">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531" w:type="dxa"/>
            <w:vAlign w:val="center"/>
          </w:tcPr>
          <w:p w14:paraId="4BB1AA99">
            <w:pPr>
              <w:autoSpaceDE w:val="0"/>
              <w:autoSpaceDN w:val="0"/>
              <w:adjustRightInd w:val="0"/>
              <w:jc w:val="center"/>
              <w:rPr>
                <w:rFonts w:hint="eastAsia" w:ascii="宋体" w:hAnsi="宋体" w:cs="宋体"/>
                <w:color w:val="auto"/>
                <w:szCs w:val="21"/>
                <w:highlight w:val="none"/>
                <w:lang w:val="en-US" w:eastAsia="zh-CN"/>
              </w:rPr>
            </w:pPr>
          </w:p>
        </w:tc>
        <w:tc>
          <w:tcPr>
            <w:tcW w:w="603" w:type="dxa"/>
            <w:vAlign w:val="center"/>
          </w:tcPr>
          <w:p w14:paraId="38209804">
            <w:pPr>
              <w:autoSpaceDE w:val="0"/>
              <w:autoSpaceDN w:val="0"/>
              <w:adjustRightInd w:val="0"/>
              <w:jc w:val="center"/>
              <w:rPr>
                <w:rFonts w:hint="eastAsia" w:ascii="宋体" w:hAnsi="宋体" w:cs="宋体"/>
                <w:color w:val="auto"/>
                <w:szCs w:val="21"/>
                <w:highlight w:val="none"/>
                <w:lang w:val="en-US" w:eastAsia="zh-CN"/>
              </w:rPr>
            </w:pPr>
          </w:p>
        </w:tc>
      </w:tr>
      <w:tr w14:paraId="4BF5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 w:hRule="atLeast"/>
          <w:jc w:val="center"/>
        </w:trPr>
        <w:tc>
          <w:tcPr>
            <w:tcW w:w="838" w:type="dxa"/>
            <w:vMerge w:val="continue"/>
            <w:vAlign w:val="center"/>
          </w:tcPr>
          <w:p w14:paraId="1F4EDA63">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7AE4177C">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应急预案</w:t>
            </w:r>
          </w:p>
        </w:tc>
        <w:tc>
          <w:tcPr>
            <w:tcW w:w="6590" w:type="dxa"/>
            <w:vAlign w:val="center"/>
          </w:tcPr>
          <w:p w14:paraId="443C7BF3">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根据投标人针对后续实际项目实施中可能遇到的紧急事件、异常处理等是否具有详细完善的应急响应制度、实施保障方案进行打分。</w:t>
            </w:r>
          </w:p>
          <w:p w14:paraId="717379BD">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tc>
        <w:tc>
          <w:tcPr>
            <w:tcW w:w="675" w:type="dxa"/>
            <w:vAlign w:val="center"/>
          </w:tcPr>
          <w:p w14:paraId="3E15C032">
            <w:pPr>
              <w:spacing w:before="100" w:beforeAutospacing="1" w:after="100" w:afterAutospacing="1"/>
              <w:jc w:val="center"/>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lang w:val="en-US" w:eastAsia="zh-CN"/>
              </w:rPr>
              <w:t>2</w:t>
            </w:r>
          </w:p>
        </w:tc>
        <w:tc>
          <w:tcPr>
            <w:tcW w:w="531" w:type="dxa"/>
            <w:vAlign w:val="center"/>
          </w:tcPr>
          <w:p w14:paraId="1809CEDC">
            <w:pPr>
              <w:spacing w:before="100" w:beforeAutospacing="1" w:after="100" w:afterAutospacing="1"/>
              <w:jc w:val="center"/>
              <w:rPr>
                <w:rFonts w:hint="eastAsia" w:ascii="宋体" w:hAnsi="宋体" w:cs="宋体"/>
                <w:color w:val="auto"/>
                <w:spacing w:val="-4"/>
                <w:szCs w:val="21"/>
                <w:highlight w:val="none"/>
                <w:lang w:val="en-US" w:eastAsia="zh-CN"/>
              </w:rPr>
            </w:pPr>
          </w:p>
        </w:tc>
        <w:tc>
          <w:tcPr>
            <w:tcW w:w="603" w:type="dxa"/>
            <w:vAlign w:val="center"/>
          </w:tcPr>
          <w:p w14:paraId="6658E1F5">
            <w:pPr>
              <w:spacing w:before="100" w:beforeAutospacing="1" w:after="100" w:afterAutospacing="1"/>
              <w:jc w:val="center"/>
              <w:rPr>
                <w:rFonts w:hint="eastAsia" w:ascii="宋体" w:hAnsi="宋体" w:cs="宋体"/>
                <w:color w:val="auto"/>
                <w:spacing w:val="-4"/>
                <w:szCs w:val="21"/>
                <w:highlight w:val="none"/>
                <w:lang w:val="en-US" w:eastAsia="zh-CN"/>
              </w:rPr>
            </w:pPr>
          </w:p>
        </w:tc>
      </w:tr>
      <w:tr w14:paraId="5ECE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337CD16B">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6BF7CE54">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p>
        </w:tc>
        <w:tc>
          <w:tcPr>
            <w:tcW w:w="6590" w:type="dxa"/>
            <w:vAlign w:val="center"/>
          </w:tcPr>
          <w:p w14:paraId="39FC20B8">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根据投标人承诺提供的售后服务方案（服务能力、服务措施、服务承诺等方面）情况，包括服务承诺的可行性、完整性以及后续实施保障措施等进行打分。</w:t>
            </w:r>
          </w:p>
          <w:p w14:paraId="3AC58282">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tc>
        <w:tc>
          <w:tcPr>
            <w:tcW w:w="675" w:type="dxa"/>
            <w:vAlign w:val="center"/>
          </w:tcPr>
          <w:p w14:paraId="1BA53683">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p>
        </w:tc>
        <w:tc>
          <w:tcPr>
            <w:tcW w:w="531" w:type="dxa"/>
            <w:vAlign w:val="center"/>
          </w:tcPr>
          <w:p w14:paraId="37E9D158">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3" w:type="dxa"/>
            <w:vAlign w:val="center"/>
          </w:tcPr>
          <w:p w14:paraId="08FCF593">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7CEB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jc w:val="center"/>
        </w:trPr>
        <w:tc>
          <w:tcPr>
            <w:tcW w:w="838" w:type="dxa"/>
            <w:vMerge w:val="continue"/>
            <w:vAlign w:val="center"/>
          </w:tcPr>
          <w:p w14:paraId="2BF14B15">
            <w:pPr>
              <w:jc w:val="center"/>
              <w:rPr>
                <w:rFonts w:hint="eastAsia" w:ascii="宋体" w:hAnsi="宋体" w:eastAsia="宋体" w:cs="宋体"/>
                <w:color w:val="auto"/>
                <w:szCs w:val="21"/>
                <w:highlight w:val="none"/>
              </w:rPr>
            </w:pPr>
          </w:p>
        </w:tc>
        <w:tc>
          <w:tcPr>
            <w:tcW w:w="999" w:type="dxa"/>
            <w:vAlign w:val="center"/>
          </w:tcPr>
          <w:p w14:paraId="59EBDD73">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演示</w:t>
            </w:r>
          </w:p>
        </w:tc>
        <w:tc>
          <w:tcPr>
            <w:tcW w:w="6590" w:type="dxa"/>
            <w:vAlign w:val="center"/>
          </w:tcPr>
          <w:p w14:paraId="4A35D813">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i w:val="0"/>
                <w:iCs w:val="0"/>
                <w:color w:val="auto"/>
                <w:spacing w:val="-4"/>
                <w:szCs w:val="21"/>
                <w:highlight w:val="none"/>
                <w:lang w:val="zh-CN" w:eastAsia="zh-CN"/>
              </w:rPr>
            </w:pPr>
            <w:r>
              <w:rPr>
                <w:rFonts w:hint="eastAsia" w:ascii="宋体" w:hAnsi="宋体" w:eastAsia="宋体" w:cs="宋体"/>
                <w:i w:val="0"/>
                <w:iCs w:val="0"/>
                <w:color w:val="auto"/>
                <w:spacing w:val="-4"/>
                <w:szCs w:val="21"/>
                <w:highlight w:val="none"/>
                <w:lang w:val="zh-CN" w:eastAsia="zh-CN"/>
              </w:rPr>
              <w:t>根据投标人</w:t>
            </w:r>
            <w:r>
              <w:rPr>
                <w:rFonts w:hint="eastAsia" w:ascii="宋体" w:hAnsi="宋体" w:eastAsia="宋体" w:cs="宋体"/>
                <w:i w:val="0"/>
                <w:iCs w:val="0"/>
                <w:color w:val="auto"/>
                <w:spacing w:val="-4"/>
                <w:szCs w:val="21"/>
                <w:highlight w:val="none"/>
                <w:lang w:val="en-US" w:eastAsia="zh-CN"/>
              </w:rPr>
              <w:t>提供的</w:t>
            </w:r>
            <w:r>
              <w:rPr>
                <w:rFonts w:hint="eastAsia" w:ascii="宋体" w:hAnsi="宋体" w:eastAsia="宋体" w:cs="宋体"/>
                <w:i w:val="0"/>
                <w:iCs w:val="0"/>
                <w:color w:val="auto"/>
                <w:spacing w:val="-4"/>
                <w:szCs w:val="21"/>
                <w:highlight w:val="none"/>
                <w:lang w:val="zh-CN" w:eastAsia="zh-CN"/>
              </w:rPr>
              <w:t>演示</w:t>
            </w:r>
            <w:r>
              <w:rPr>
                <w:rFonts w:hint="eastAsia" w:ascii="宋体" w:hAnsi="宋体" w:eastAsia="宋体" w:cs="宋体"/>
                <w:i w:val="0"/>
                <w:iCs w:val="0"/>
                <w:color w:val="auto"/>
                <w:spacing w:val="-4"/>
                <w:szCs w:val="21"/>
                <w:highlight w:val="none"/>
                <w:lang w:val="en-US" w:eastAsia="zh-CN"/>
              </w:rPr>
              <w:t>视频</w:t>
            </w:r>
            <w:r>
              <w:rPr>
                <w:rFonts w:hint="eastAsia" w:ascii="宋体" w:hAnsi="宋体" w:eastAsia="宋体" w:cs="宋体"/>
                <w:i w:val="0"/>
                <w:iCs w:val="0"/>
                <w:color w:val="auto"/>
                <w:spacing w:val="-4"/>
                <w:szCs w:val="21"/>
                <w:highlight w:val="none"/>
                <w:lang w:val="zh-CN" w:eastAsia="zh-CN"/>
              </w:rPr>
              <w:t>内容进行</w:t>
            </w:r>
            <w:r>
              <w:rPr>
                <w:rFonts w:hint="eastAsia" w:ascii="宋体" w:hAnsi="宋体" w:eastAsia="宋体" w:cs="宋体"/>
                <w:i w:val="0"/>
                <w:iCs w:val="0"/>
                <w:color w:val="auto"/>
                <w:spacing w:val="-4"/>
                <w:szCs w:val="21"/>
                <w:highlight w:val="none"/>
                <w:lang w:val="en-US" w:eastAsia="zh-CN"/>
              </w:rPr>
              <w:t>打分。</w:t>
            </w:r>
          </w:p>
          <w:p w14:paraId="5502BB31">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kern w:val="2"/>
                <w:sz w:val="21"/>
                <w:szCs w:val="21"/>
                <w:highlight w:val="none"/>
                <w:lang w:val="en-US" w:eastAsia="zh-CN" w:bidi="ar-SA"/>
              </w:rPr>
              <w:t>1、</w:t>
            </w:r>
            <w:r>
              <w:rPr>
                <w:rFonts w:hint="eastAsia" w:ascii="宋体" w:hAnsi="宋体" w:cs="宋体"/>
                <w:i w:val="0"/>
                <w:iCs w:val="0"/>
                <w:color w:val="auto"/>
                <w:spacing w:val="-4"/>
                <w:szCs w:val="21"/>
                <w:highlight w:val="none"/>
                <w:lang w:val="en-US" w:eastAsia="zh-CN"/>
              </w:rPr>
              <w:t>是否</w:t>
            </w:r>
            <w:r>
              <w:rPr>
                <w:rFonts w:hint="eastAsia" w:ascii="宋体" w:hAnsi="宋体" w:eastAsia="宋体" w:cs="宋体"/>
                <w:i w:val="0"/>
                <w:iCs w:val="0"/>
                <w:color w:val="auto"/>
                <w:spacing w:val="-4"/>
                <w:szCs w:val="21"/>
                <w:highlight w:val="none"/>
                <w:lang w:val="en-US" w:eastAsia="zh-CN"/>
              </w:rPr>
              <w:t>支持文保单位的新增/修改/删除；支持按公布名称/所属地市/级别/公布类别/现状评估/现地址进行检索，支持文保单位基本信息录入，包括地理信息、图片信息、使用情况、保存现状、残损原因、保护机构现状</w:t>
            </w:r>
            <w:r>
              <w:rPr>
                <w:rFonts w:hint="eastAsia" w:ascii="宋体" w:hAnsi="宋体" w:cs="宋体"/>
                <w:i w:val="0"/>
                <w:iCs w:val="0"/>
                <w:color w:val="auto"/>
                <w:spacing w:val="-4"/>
                <w:szCs w:val="21"/>
                <w:highlight w:val="none"/>
                <w:lang w:val="en-US" w:eastAsia="zh-CN"/>
              </w:rPr>
              <w:t>，根据演示情况进行打分</w:t>
            </w:r>
            <w:r>
              <w:rPr>
                <w:rFonts w:hint="eastAsia" w:ascii="宋体" w:hAnsi="宋体" w:eastAsia="宋体" w:cs="宋体"/>
                <w:i w:val="0"/>
                <w:iCs w:val="0"/>
                <w:color w:val="auto"/>
                <w:spacing w:val="-4"/>
                <w:szCs w:val="21"/>
                <w:highlight w:val="none"/>
                <w:lang w:val="en-US" w:eastAsia="zh-CN"/>
              </w:rPr>
              <w:t>。</w:t>
            </w:r>
          </w:p>
          <w:p w14:paraId="1C2FEE40">
            <w:pPr>
              <w:keepNext w:val="0"/>
              <w:keepLines w:val="0"/>
              <w:pageBreakBefore w:val="0"/>
              <w:numPr>
                <w:ilvl w:val="0"/>
                <w:numId w:val="0"/>
              </w:numPr>
              <w:kinsoku/>
              <w:wordWrap/>
              <w:overflowPunct/>
              <w:topLinePunct w:val="0"/>
              <w:bidi w:val="0"/>
              <w:spacing w:beforeAutospacing="0" w:afterAutospacing="0" w:line="240" w:lineRule="auto"/>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515E2F93">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kern w:val="2"/>
                <w:sz w:val="21"/>
                <w:szCs w:val="21"/>
                <w:highlight w:val="none"/>
                <w:lang w:val="en-US" w:eastAsia="zh-CN" w:bidi="ar-SA"/>
              </w:rPr>
              <w:t>2、</w:t>
            </w:r>
            <w:r>
              <w:rPr>
                <w:rFonts w:hint="eastAsia" w:ascii="宋体" w:hAnsi="宋体" w:cs="宋体"/>
                <w:i w:val="0"/>
                <w:iCs w:val="0"/>
                <w:color w:val="auto"/>
                <w:spacing w:val="-4"/>
                <w:kern w:val="2"/>
                <w:sz w:val="21"/>
                <w:szCs w:val="21"/>
                <w:highlight w:val="none"/>
                <w:lang w:val="en-US" w:eastAsia="zh-CN" w:bidi="ar-SA"/>
              </w:rPr>
              <w:t>是否</w:t>
            </w:r>
            <w:r>
              <w:rPr>
                <w:rFonts w:hint="eastAsia" w:ascii="宋体" w:hAnsi="宋体" w:eastAsia="宋体" w:cs="宋体"/>
                <w:i w:val="0"/>
                <w:iCs w:val="0"/>
                <w:color w:val="auto"/>
                <w:spacing w:val="-4"/>
                <w:szCs w:val="21"/>
                <w:highlight w:val="none"/>
                <w:lang w:val="en-US" w:eastAsia="zh-CN"/>
              </w:rPr>
              <w:t>支持各文保单位维护对应的文物安全保护工作历史沿革资料，支持按名称/时间范围进行检索，支持文保工程管理，包括工程名称、工程类型、工程阶段、立项申报资料、勘查和方案设计材料、</w:t>
            </w:r>
            <w:r>
              <w:rPr>
                <w:rFonts w:hint="eastAsia" w:ascii="宋体" w:hAnsi="宋体" w:eastAsia="宋体" w:cs="宋体"/>
                <w:i w:val="0"/>
                <w:iCs w:val="0"/>
                <w:color w:val="auto"/>
                <w:spacing w:val="-4"/>
                <w:szCs w:val="21"/>
                <w:highlight w:val="none"/>
                <w:lang w:val="en-US" w:eastAsia="zh-CN"/>
              </w:rPr>
              <w:t>监理与验收材料</w:t>
            </w:r>
            <w:r>
              <w:rPr>
                <w:rFonts w:hint="eastAsia" w:ascii="宋体" w:hAnsi="宋体" w:cs="宋体"/>
                <w:i w:val="0"/>
                <w:iCs w:val="0"/>
                <w:color w:val="auto"/>
                <w:spacing w:val="-4"/>
                <w:szCs w:val="21"/>
                <w:highlight w:val="none"/>
                <w:lang w:val="en-US" w:eastAsia="zh-CN"/>
              </w:rPr>
              <w:t>，根据演示情况进行打分</w:t>
            </w:r>
            <w:r>
              <w:rPr>
                <w:rFonts w:hint="eastAsia" w:ascii="宋体" w:hAnsi="宋体" w:eastAsia="宋体" w:cs="宋体"/>
                <w:i w:val="0"/>
                <w:iCs w:val="0"/>
                <w:color w:val="auto"/>
                <w:spacing w:val="-4"/>
                <w:szCs w:val="21"/>
                <w:highlight w:val="none"/>
                <w:lang w:val="en-US" w:eastAsia="zh-CN"/>
              </w:rPr>
              <w:t>。</w:t>
            </w:r>
          </w:p>
          <w:p w14:paraId="43C2CED2">
            <w:pPr>
              <w:keepNext w:val="0"/>
              <w:keepLines w:val="0"/>
              <w:pageBreakBefore w:val="0"/>
              <w:numPr>
                <w:ilvl w:val="0"/>
                <w:numId w:val="0"/>
              </w:numPr>
              <w:kinsoku/>
              <w:wordWrap/>
              <w:overflowPunct/>
              <w:topLinePunct w:val="0"/>
              <w:bidi w:val="0"/>
              <w:spacing w:beforeAutospacing="0" w:afterAutospacing="0" w:line="240" w:lineRule="auto"/>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32581F54">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szCs w:val="21"/>
                <w:highlight w:val="none"/>
                <w:lang w:val="en-US" w:eastAsia="zh-CN"/>
              </w:rPr>
              <w:t>3、</w:t>
            </w:r>
            <w:r>
              <w:rPr>
                <w:rFonts w:hint="eastAsia" w:ascii="宋体" w:hAnsi="宋体" w:cs="宋体"/>
                <w:i w:val="0"/>
                <w:iCs w:val="0"/>
                <w:color w:val="auto"/>
                <w:spacing w:val="-4"/>
                <w:szCs w:val="21"/>
                <w:highlight w:val="none"/>
                <w:lang w:val="en-US" w:eastAsia="zh-CN"/>
              </w:rPr>
              <w:t>是否</w:t>
            </w:r>
            <w:r>
              <w:rPr>
                <w:rFonts w:hint="eastAsia" w:ascii="宋体" w:hAnsi="宋体" w:eastAsia="宋体" w:cs="宋体"/>
                <w:i w:val="0"/>
                <w:iCs w:val="0"/>
                <w:color w:val="auto"/>
                <w:spacing w:val="-4"/>
                <w:szCs w:val="21"/>
                <w:highlight w:val="none"/>
                <w:lang w:val="en-US" w:eastAsia="zh-CN"/>
              </w:rPr>
              <w:t>支持在地图上直接查看文保单位详细信息：文保单位公布批次、地址、缩略图、地理坐标、面积、使用情况、面积级别、使用情况、保存现状、残损原因、保护机构现状、文物保护工作者、历史沿革资料管理、设备统计（设备总数、设备在离线百分比）、报警数量统计、报警明细</w:t>
            </w:r>
            <w:r>
              <w:rPr>
                <w:rFonts w:hint="eastAsia" w:ascii="宋体" w:hAnsi="宋体" w:cs="宋体"/>
                <w:i w:val="0"/>
                <w:iCs w:val="0"/>
                <w:color w:val="auto"/>
                <w:spacing w:val="-4"/>
                <w:szCs w:val="21"/>
                <w:highlight w:val="none"/>
                <w:lang w:val="en-US" w:eastAsia="zh-CN"/>
              </w:rPr>
              <w:t>，根据演示情况进行打分</w:t>
            </w:r>
            <w:r>
              <w:rPr>
                <w:rFonts w:hint="eastAsia" w:ascii="宋体" w:hAnsi="宋体" w:eastAsia="宋体" w:cs="宋体"/>
                <w:i w:val="0"/>
                <w:iCs w:val="0"/>
                <w:color w:val="auto"/>
                <w:spacing w:val="-4"/>
                <w:szCs w:val="21"/>
                <w:highlight w:val="none"/>
                <w:lang w:val="en-US" w:eastAsia="zh-CN"/>
              </w:rPr>
              <w:t>。</w:t>
            </w:r>
          </w:p>
          <w:p w14:paraId="581F38E4">
            <w:pPr>
              <w:keepNext w:val="0"/>
              <w:keepLines w:val="0"/>
              <w:pageBreakBefore w:val="0"/>
              <w:numPr>
                <w:ilvl w:val="0"/>
                <w:numId w:val="0"/>
              </w:numPr>
              <w:kinsoku/>
              <w:wordWrap/>
              <w:overflowPunct/>
              <w:topLinePunct w:val="0"/>
              <w:bidi w:val="0"/>
              <w:spacing w:beforeAutospacing="0" w:afterAutospacing="0" w:line="240" w:lineRule="auto"/>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41F80B8E">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szCs w:val="21"/>
                <w:highlight w:val="none"/>
                <w:lang w:val="en-US" w:eastAsia="zh-CN"/>
              </w:rPr>
              <w:t>4、</w:t>
            </w:r>
            <w:r>
              <w:rPr>
                <w:rFonts w:hint="eastAsia" w:ascii="宋体" w:hAnsi="宋体" w:cs="宋体"/>
                <w:i w:val="0"/>
                <w:iCs w:val="0"/>
                <w:color w:val="auto"/>
                <w:spacing w:val="-4"/>
                <w:szCs w:val="21"/>
                <w:highlight w:val="none"/>
                <w:lang w:val="en-US" w:eastAsia="zh-CN"/>
              </w:rPr>
              <w:t>是否</w:t>
            </w:r>
            <w:r>
              <w:rPr>
                <w:rFonts w:hint="eastAsia" w:ascii="宋体" w:hAnsi="宋体" w:eastAsia="宋体" w:cs="宋体"/>
                <w:i w:val="0"/>
                <w:iCs w:val="0"/>
                <w:color w:val="auto"/>
                <w:spacing w:val="-4"/>
                <w:szCs w:val="21"/>
                <w:highlight w:val="none"/>
                <w:lang w:val="en-US" w:eastAsia="zh-CN"/>
              </w:rPr>
              <w:t>支持根据区域节点为维度，进行文保单位的统计/安防设备/消防设备/告警个数/文保员数量的统计和展示，支持按照评估状态和风险等级展示文保单位的风险评估情况，按照四色图分别统计对应的数量和占比</w:t>
            </w:r>
            <w:r>
              <w:rPr>
                <w:rFonts w:hint="eastAsia" w:ascii="宋体" w:hAnsi="宋体" w:cs="宋体"/>
                <w:i w:val="0"/>
                <w:iCs w:val="0"/>
                <w:color w:val="auto"/>
                <w:spacing w:val="-4"/>
                <w:szCs w:val="21"/>
                <w:highlight w:val="none"/>
                <w:lang w:val="en-US" w:eastAsia="zh-CN"/>
              </w:rPr>
              <w:t>，根据演示情况进行打分</w:t>
            </w:r>
            <w:r>
              <w:rPr>
                <w:rFonts w:hint="eastAsia" w:ascii="宋体" w:hAnsi="宋体" w:eastAsia="宋体" w:cs="宋体"/>
                <w:i w:val="0"/>
                <w:iCs w:val="0"/>
                <w:color w:val="auto"/>
                <w:spacing w:val="-4"/>
                <w:szCs w:val="21"/>
                <w:highlight w:val="none"/>
                <w:lang w:val="en-US" w:eastAsia="zh-CN"/>
              </w:rPr>
              <w:t>。</w:t>
            </w:r>
          </w:p>
          <w:p w14:paraId="77A25562">
            <w:pPr>
              <w:keepNext w:val="0"/>
              <w:keepLines w:val="0"/>
              <w:pageBreakBefore w:val="0"/>
              <w:numPr>
                <w:ilvl w:val="0"/>
                <w:numId w:val="0"/>
              </w:numPr>
              <w:kinsoku/>
              <w:wordWrap/>
              <w:overflowPunct/>
              <w:topLinePunct w:val="0"/>
              <w:bidi w:val="0"/>
              <w:spacing w:beforeAutospacing="0" w:afterAutospacing="0" w:line="240" w:lineRule="auto"/>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4D1442B0">
            <w:pPr>
              <w:keepNext w:val="0"/>
              <w:keepLines w:val="0"/>
              <w:pageBreakBefore w:val="0"/>
              <w:numPr>
                <w:ilvl w:val="0"/>
                <w:numId w:val="0"/>
              </w:numP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i w:val="0"/>
                <w:iCs w:val="0"/>
                <w:color w:val="auto"/>
                <w:spacing w:val="-4"/>
                <w:szCs w:val="21"/>
                <w:highlight w:val="none"/>
                <w:lang w:val="en-US" w:eastAsia="zh-CN"/>
              </w:rPr>
            </w:pPr>
            <w:r>
              <w:rPr>
                <w:rFonts w:hint="eastAsia" w:ascii="宋体" w:hAnsi="宋体" w:eastAsia="宋体" w:cs="宋体"/>
                <w:i w:val="0"/>
                <w:iCs w:val="0"/>
                <w:color w:val="auto"/>
                <w:spacing w:val="-4"/>
                <w:szCs w:val="21"/>
                <w:highlight w:val="none"/>
                <w:lang w:val="en-US" w:eastAsia="zh-CN"/>
              </w:rPr>
              <w:t>5、支持图上检索文保员信息，并支持对文保员的定位和历史巡检行程查询</w:t>
            </w:r>
            <w:r>
              <w:rPr>
                <w:rFonts w:hint="eastAsia" w:ascii="宋体" w:hAnsi="宋体" w:cs="宋体"/>
                <w:i w:val="0"/>
                <w:iCs w:val="0"/>
                <w:color w:val="auto"/>
                <w:spacing w:val="-4"/>
                <w:szCs w:val="21"/>
                <w:highlight w:val="none"/>
                <w:lang w:val="en-US" w:eastAsia="zh-CN"/>
              </w:rPr>
              <w:t>，根据演示情况进行打分</w:t>
            </w:r>
            <w:r>
              <w:rPr>
                <w:rFonts w:hint="eastAsia" w:ascii="宋体" w:hAnsi="宋体" w:eastAsia="宋体" w:cs="宋体"/>
                <w:i w:val="0"/>
                <w:iCs w:val="0"/>
                <w:color w:val="auto"/>
                <w:spacing w:val="-4"/>
                <w:szCs w:val="21"/>
                <w:highlight w:val="none"/>
                <w:lang w:val="en-US" w:eastAsia="zh-CN"/>
              </w:rPr>
              <w:t>。</w:t>
            </w:r>
          </w:p>
          <w:p w14:paraId="24270D74">
            <w:pPr>
              <w:keepNext w:val="0"/>
              <w:keepLines w:val="0"/>
              <w:pageBreakBefore w:val="0"/>
              <w:numPr>
                <w:ilvl w:val="0"/>
                <w:numId w:val="0"/>
              </w:numPr>
              <w:kinsoku/>
              <w:wordWrap/>
              <w:overflowPunct/>
              <w:topLinePunct w:val="0"/>
              <w:bidi w:val="0"/>
              <w:spacing w:beforeAutospacing="0" w:afterAutospacing="0" w:line="24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38E04683">
            <w:pPr>
              <w:keepNext w:val="0"/>
              <w:keepLines w:val="0"/>
              <w:pageBreakBefore w:val="0"/>
              <w:numPr>
                <w:ilvl w:val="0"/>
                <w:numId w:val="0"/>
              </w:numPr>
              <w:kinsoku/>
              <w:wordWrap/>
              <w:overflowPunct/>
              <w:topLinePunct w:val="0"/>
              <w:bidi w:val="0"/>
              <w:spacing w:beforeAutospacing="0" w:afterAutospacing="0" w:line="240" w:lineRule="auto"/>
              <w:ind w:left="0" w:leftChars="0" w:firstLine="0" w:firstLineChars="0"/>
              <w:jc w:val="left"/>
              <w:textAlignment w:val="auto"/>
              <w:outlineLvl w:val="9"/>
              <w:rPr>
                <w:rFonts w:hint="default" w:ascii="宋体" w:hAnsi="宋体" w:eastAsia="宋体" w:cs="宋体"/>
                <w:color w:val="auto"/>
                <w:highlight w:val="none"/>
                <w:lang w:val="en-US"/>
              </w:rPr>
            </w:pPr>
            <w:r>
              <w:rPr>
                <w:rFonts w:hint="eastAsia" w:ascii="宋体" w:hAnsi="宋体" w:cs="宋体"/>
                <w:color w:val="auto"/>
                <w:sz w:val="21"/>
                <w:szCs w:val="21"/>
                <w:highlight w:val="none"/>
                <w:lang w:val="en-US" w:eastAsia="zh-CN"/>
              </w:rPr>
              <w:t>本项最高得10分。</w:t>
            </w:r>
          </w:p>
        </w:tc>
        <w:tc>
          <w:tcPr>
            <w:tcW w:w="675" w:type="dxa"/>
            <w:vAlign w:val="center"/>
          </w:tcPr>
          <w:p w14:paraId="62C7AA8E">
            <w:pPr>
              <w:widowControl/>
              <w:spacing w:line="288" w:lineRule="auto"/>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31" w:type="dxa"/>
            <w:vAlign w:val="center"/>
          </w:tcPr>
          <w:p w14:paraId="2065B7AB">
            <w:pPr>
              <w:widowControl/>
              <w:spacing w:line="288" w:lineRule="auto"/>
              <w:jc w:val="center"/>
              <w:textAlignment w:val="center"/>
              <w:rPr>
                <w:rFonts w:hint="eastAsia" w:ascii="宋体" w:hAnsi="宋体" w:cs="宋体"/>
                <w:color w:val="auto"/>
                <w:szCs w:val="21"/>
                <w:highlight w:val="none"/>
                <w:lang w:val="en-US" w:eastAsia="zh-CN"/>
              </w:rPr>
            </w:pPr>
          </w:p>
        </w:tc>
        <w:tc>
          <w:tcPr>
            <w:tcW w:w="603" w:type="dxa"/>
            <w:vAlign w:val="center"/>
          </w:tcPr>
          <w:p w14:paraId="68444DED">
            <w:pPr>
              <w:widowControl/>
              <w:spacing w:line="288" w:lineRule="auto"/>
              <w:jc w:val="center"/>
              <w:textAlignment w:val="center"/>
              <w:rPr>
                <w:rFonts w:hint="eastAsia" w:ascii="宋体" w:hAnsi="宋体" w:cs="宋体"/>
                <w:color w:val="auto"/>
                <w:szCs w:val="21"/>
                <w:highlight w:val="none"/>
                <w:lang w:val="en-US" w:eastAsia="zh-CN"/>
              </w:rPr>
            </w:pPr>
          </w:p>
        </w:tc>
      </w:tr>
    </w:tbl>
    <w:p w14:paraId="05455A3A">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529A085C">
      <w:pPr>
        <w:pStyle w:val="41"/>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w:t>
      </w:r>
    </w:p>
    <w:p w14:paraId="549117B5">
      <w:pPr>
        <w:pStyle w:val="41"/>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3"/>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53D8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F7A10CF">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5EC6DBCC">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001" w:type="dxa"/>
            <w:gridSpan w:val="3"/>
          </w:tcPr>
          <w:p w14:paraId="1C15F1A7">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w:t>
            </w:r>
          </w:p>
        </w:tc>
        <w:tc>
          <w:tcPr>
            <w:tcW w:w="2151" w:type="dxa"/>
            <w:gridSpan w:val="2"/>
          </w:tcPr>
          <w:p w14:paraId="1F95F50D">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14:paraId="0761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2DBAE676">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536B64E1">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4CF08B05">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83923D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0962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50D54203">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2DF2B57B">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c>
          <w:tcPr>
            <w:tcW w:w="910" w:type="dxa"/>
          </w:tcPr>
          <w:p w14:paraId="6E3443F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4B7E78A2">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47C62D9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644D079F">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295E7979">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r>
      <w:tr w14:paraId="53C5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7CD2945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3ED5862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Borders>
              <w:top w:val="nil"/>
            </w:tcBorders>
          </w:tcPr>
          <w:p w14:paraId="231BCD87">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459A9E05">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75FD8AE9">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283775EE">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96228E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5C8C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114352E5">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vMerge w:val="continue"/>
          </w:tcPr>
          <w:p w14:paraId="373D9743">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Pr>
          <w:p w14:paraId="2748E117">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1F6D9AA4">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continue"/>
          </w:tcPr>
          <w:p w14:paraId="07374542">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151" w:type="dxa"/>
            <w:gridSpan w:val="2"/>
            <w:vMerge w:val="continue"/>
          </w:tcPr>
          <w:p w14:paraId="4726369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3677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1EB7450">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1C495E9">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DE0EEDE">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7B54978">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0BB7FD30">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0E4551E6">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2B3C634F">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14:paraId="50C44137">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F784663">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1BB9A315">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25495D3D">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0B2662D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16B62930">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38205385">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61BE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25BA4B2F">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33B79AB4">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5315C102">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163" w:type="dxa"/>
            <w:gridSpan w:val="2"/>
          </w:tcPr>
          <w:p w14:paraId="79B7D464">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13C326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AC01D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618D19A6">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6A07EB66">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r>
      <w:tr w14:paraId="2877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50EAA7C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47E255F8">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1F65FE6F">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p>
        </w:tc>
        <w:tc>
          <w:tcPr>
            <w:tcW w:w="1163" w:type="dxa"/>
            <w:gridSpan w:val="2"/>
          </w:tcPr>
          <w:p w14:paraId="58D8CC2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4725F18D">
            <w:pPr>
              <w:keepNext w:val="0"/>
              <w:keepLines w:val="0"/>
              <w:pageBreakBefore w:val="0"/>
              <w:widowControl/>
              <w:kinsoku/>
              <w:wordWrap/>
              <w:overflowPunct/>
              <w:topLinePunct w:val="0"/>
              <w:bidi w:val="0"/>
              <w:jc w:val="left"/>
              <w:outlineLvl w:val="9"/>
              <w:rPr>
                <w:rFonts w:hint="eastAsia" w:ascii="宋体" w:hAnsi="宋体" w:eastAsia="宋体" w:cs="宋体"/>
                <w:bCs/>
                <w:color w:val="auto"/>
                <w:kern w:val="0"/>
                <w:szCs w:val="21"/>
                <w:highlight w:val="none"/>
              </w:rPr>
            </w:pPr>
          </w:p>
          <w:p w14:paraId="2E2785B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218" w:type="dxa"/>
          </w:tcPr>
          <w:p w14:paraId="3609CC57">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71EAEFDD">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14:paraId="40A2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5FF8B6A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7D1D16B7">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312B077E">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14:paraId="745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57277748">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8063" w:type="dxa"/>
            <w:gridSpan w:val="11"/>
          </w:tcPr>
          <w:p w14:paraId="1E88C16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507D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107BB83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4DC5F951">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73D4D85F">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56BD0ACE">
            <w:pPr>
              <w:pStyle w:val="41"/>
              <w:keepNext w:val="0"/>
              <w:keepLines w:val="0"/>
              <w:pageBreakBefore w:val="0"/>
              <w:shd w:val="clear" w:color="auto" w:fill="FFFFFF"/>
              <w:kinsoku/>
              <w:wordWrap/>
              <w:overflowPunct/>
              <w:topLinePunct w:val="0"/>
              <w:bidi w:val="0"/>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3C10F0B">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C79291B">
            <w:pPr>
              <w:pStyle w:val="41"/>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3707614D">
            <w:pPr>
              <w:pStyle w:val="41"/>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5DD5AA0C">
            <w:pPr>
              <w:pStyle w:val="41"/>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C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698D1128">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854" w:type="dxa"/>
            <w:gridSpan w:val="3"/>
            <w:vMerge w:val="continue"/>
          </w:tcPr>
          <w:p w14:paraId="6F35F5A2">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964" w:type="dxa"/>
            <w:gridSpan w:val="2"/>
          </w:tcPr>
          <w:p w14:paraId="522A638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418" w:type="dxa"/>
            <w:gridSpan w:val="2"/>
          </w:tcPr>
          <w:p w14:paraId="22E5826C">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276" w:type="dxa"/>
          </w:tcPr>
          <w:p w14:paraId="7AD1C0FF">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551" w:type="dxa"/>
            <w:gridSpan w:val="3"/>
          </w:tcPr>
          <w:p w14:paraId="0EC72E04">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14:paraId="4384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030CD495">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c>
          <w:tcPr>
            <w:tcW w:w="1854" w:type="dxa"/>
            <w:gridSpan w:val="3"/>
          </w:tcPr>
          <w:p w14:paraId="49BED2BF">
            <w:pPr>
              <w:pStyle w:val="41"/>
              <w:keepNext w:val="0"/>
              <w:keepLines w:val="0"/>
              <w:pageBreakBefore w:val="0"/>
              <w:shd w:val="clear" w:color="auto" w:fill="FFFFFF"/>
              <w:kinsoku/>
              <w:wordWrap/>
              <w:overflowPunct/>
              <w:topLinePunct w:val="0"/>
              <w:bidi w:val="0"/>
              <w:spacing w:before="0" w:beforeAutospacing="0" w:after="0" w:afterAutospacing="0"/>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F2F802C">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2EC4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03BCDBE6">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p>
        </w:tc>
        <w:tc>
          <w:tcPr>
            <w:tcW w:w="1854" w:type="dxa"/>
            <w:gridSpan w:val="3"/>
          </w:tcPr>
          <w:p w14:paraId="0CC4B7D2">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7B247E9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bl>
    <w:p w14:paraId="2F985FD2">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14:paraId="763193F2">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BB6591A">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2EEECEC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488422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8E42300">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BB8268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BF454E6">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3892DA9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506D531">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FF65779">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83E2E1C">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938A262">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5F49B95">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76C1956">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AB45D16">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71FF417">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C4D59DF">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0F58046B">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64DF577">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DB49C33">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63B0980">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A58889D">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437190BF">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3D5C413B">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9100" w:type="dxa"/>
        <w:tblInd w:w="-3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826"/>
        <w:gridCol w:w="932"/>
        <w:gridCol w:w="911"/>
        <w:gridCol w:w="1586"/>
        <w:gridCol w:w="1371"/>
        <w:gridCol w:w="1307"/>
        <w:gridCol w:w="1504"/>
      </w:tblGrid>
      <w:tr w14:paraId="5C6D5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vAlign w:val="center"/>
          </w:tcPr>
          <w:p w14:paraId="1BCB180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26" w:type="dxa"/>
            <w:tcBorders>
              <w:top w:val="single" w:color="auto" w:sz="4" w:space="0"/>
              <w:left w:val="single" w:color="auto" w:sz="4" w:space="0"/>
              <w:bottom w:val="single" w:color="auto" w:sz="4" w:space="0"/>
              <w:right w:val="single" w:color="auto" w:sz="4" w:space="0"/>
            </w:tcBorders>
            <w:vAlign w:val="center"/>
          </w:tcPr>
          <w:p w14:paraId="32BAE4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32" w:type="dxa"/>
            <w:tcBorders>
              <w:top w:val="single" w:color="auto" w:sz="4" w:space="0"/>
              <w:left w:val="single" w:color="auto" w:sz="4" w:space="0"/>
              <w:bottom w:val="single" w:color="auto" w:sz="4" w:space="0"/>
              <w:right w:val="single" w:color="auto" w:sz="4" w:space="0"/>
            </w:tcBorders>
            <w:vAlign w:val="center"/>
          </w:tcPr>
          <w:p w14:paraId="35B7522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11" w:type="dxa"/>
            <w:tcBorders>
              <w:top w:val="single" w:color="auto" w:sz="4" w:space="0"/>
              <w:left w:val="single" w:color="auto" w:sz="4" w:space="0"/>
              <w:bottom w:val="single" w:color="auto" w:sz="4" w:space="0"/>
              <w:right w:val="single" w:color="auto" w:sz="4" w:space="0"/>
            </w:tcBorders>
            <w:vAlign w:val="center"/>
          </w:tcPr>
          <w:p w14:paraId="6B67C67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0BB201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371" w:type="dxa"/>
            <w:tcBorders>
              <w:top w:val="single" w:color="auto" w:sz="4" w:space="0"/>
              <w:left w:val="single" w:color="auto" w:sz="4" w:space="0"/>
              <w:bottom w:val="single" w:color="auto" w:sz="4" w:space="0"/>
              <w:right w:val="single" w:color="auto" w:sz="4" w:space="0"/>
            </w:tcBorders>
            <w:vAlign w:val="center"/>
          </w:tcPr>
          <w:p w14:paraId="5F0C7BE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07" w:type="dxa"/>
            <w:tcBorders>
              <w:top w:val="single" w:color="auto" w:sz="4" w:space="0"/>
              <w:left w:val="single" w:color="auto" w:sz="4" w:space="0"/>
              <w:bottom w:val="single" w:color="auto" w:sz="4" w:space="0"/>
              <w:right w:val="single" w:color="auto" w:sz="4" w:space="0"/>
            </w:tcBorders>
            <w:vAlign w:val="center"/>
          </w:tcPr>
          <w:p w14:paraId="75B43F9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04" w:type="dxa"/>
            <w:tcBorders>
              <w:top w:val="single" w:color="auto" w:sz="4" w:space="0"/>
              <w:left w:val="single" w:color="auto" w:sz="4" w:space="0"/>
              <w:bottom w:val="single" w:color="auto" w:sz="4" w:space="0"/>
            </w:tcBorders>
            <w:vAlign w:val="center"/>
          </w:tcPr>
          <w:p w14:paraId="56BE15B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0AC12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DB39A9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3EF8F69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6FB9963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40CA1E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DCD4B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433122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2ADC7E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5BC4BAF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C542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D91EFE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56EE61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54C5DE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42FA98F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26C4E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784B436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180E2A7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62AD65F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600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8C407F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45C14E0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1F4CC34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559FEB45">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DCD422B">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7626BE68">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467A8C9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04" w:type="dxa"/>
            <w:tcBorders>
              <w:top w:val="single" w:color="auto" w:sz="4" w:space="0"/>
              <w:left w:val="single" w:color="auto" w:sz="4" w:space="0"/>
              <w:bottom w:val="single" w:color="auto" w:sz="4" w:space="0"/>
            </w:tcBorders>
          </w:tcPr>
          <w:p w14:paraId="6816FA4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62EF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4A3318F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119A12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356A4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A6F9B1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6D714A8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1A9DAA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0828DA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39B873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B269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6111791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5E0E6E6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1318C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348C8F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BCDA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5E2144C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5E53C7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05E2266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0E90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646161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72F6C1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55F9DB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006C1F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6E4DE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0D41731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5EBACB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3833BB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3CC6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29939AE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322422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3E1F90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1A0159F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DEA24E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5BDB28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10C67B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79FE00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3055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3587726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7931582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40E87C9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2D1FC5E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30EB6B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6CEF06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2654A4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66CD44B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6DD5FD7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43BEBF3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64F90290">
      <w:pPr>
        <w:pStyle w:val="42"/>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27809F6D">
      <w:pPr>
        <w:pStyle w:val="42"/>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出具上述人员在本单位服务的外部证明，如：投标截止日之前六个月以内的代缴个税税单、参加社会保险的《投保单》或《社会保险参保人员证明》等。</w:t>
      </w:r>
    </w:p>
    <w:p w14:paraId="5F84E3C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FAB637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7D1E971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4CA938F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9F9D1D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3A43AB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2DD765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951E89">
      <w:pPr>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03BC5AB5">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72068E52">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408A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noWrap w:val="0"/>
            <w:vAlign w:val="center"/>
          </w:tcPr>
          <w:p w14:paraId="4E3485C9">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41DD173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30A5E6EF">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76536BD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426BB53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1E6DFA37">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46B3071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208EAE2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40DFBF4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1EC1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noWrap w:val="0"/>
            <w:vAlign w:val="center"/>
          </w:tcPr>
          <w:p w14:paraId="70CB2C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176515A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14:paraId="4AE90DC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153AF86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FE217C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E0412F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71733CB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14D2D61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3F0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noWrap w:val="0"/>
            <w:vAlign w:val="top"/>
          </w:tcPr>
          <w:p w14:paraId="75226C1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6C7E9F1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14F6AA9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E11B99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785668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C3A847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C6B311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1F3182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A03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59" w:type="dxa"/>
            <w:noWrap w:val="0"/>
            <w:vAlign w:val="top"/>
          </w:tcPr>
          <w:p w14:paraId="6F59E14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2B74F31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ED4294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C92691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A9C575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57BCF8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0E9508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8C91D2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AEB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noWrap w:val="0"/>
            <w:vAlign w:val="top"/>
          </w:tcPr>
          <w:p w14:paraId="35AA6DC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19CD393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17FF79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BC2F27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A1EC07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23C5E4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E52F8B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FBEEFE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01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59" w:type="dxa"/>
            <w:noWrap w:val="0"/>
            <w:vAlign w:val="top"/>
          </w:tcPr>
          <w:p w14:paraId="34F1210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024CA59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2903020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93053C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2A0B8B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12516C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8B6162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7FA683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EB9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1F97950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7AD6D08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9AA6B9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1C9C26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A04475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6CA64F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5E190B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2949F8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BA3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68F5006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71736FF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0932ED8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7D22F7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72CC1B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C69135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759C1C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AB5D90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F65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29A5231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48682DC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4F624F8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141F5D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C07E2C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D26B3D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3E1D5C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53CBDE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999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0582922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7BFD6CE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AC5173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C404F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CDC850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4AB226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015BA8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6728BC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77D17EF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07E86FA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413A8CB6">
      <w:pPr>
        <w:pStyle w:val="12"/>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07CB096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6F8BD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6FEBDDC1">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0BE044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1E763AD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6BC5F9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01AD2BC">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41BC9A66">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24E650D2">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BE61C38">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36BDDDC1">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14:paraId="6AC55AB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D1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76AF0B7C">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85" w:type="dxa"/>
            <w:vAlign w:val="center"/>
          </w:tcPr>
          <w:p w14:paraId="3B1EFADB">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449" w:type="dxa"/>
            <w:vAlign w:val="center"/>
          </w:tcPr>
          <w:p w14:paraId="2E25870D">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规格型号</w:t>
            </w:r>
          </w:p>
        </w:tc>
        <w:tc>
          <w:tcPr>
            <w:tcW w:w="1560" w:type="dxa"/>
            <w:vAlign w:val="center"/>
          </w:tcPr>
          <w:p w14:paraId="34A4DB79">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招标参数</w:t>
            </w:r>
          </w:p>
        </w:tc>
        <w:tc>
          <w:tcPr>
            <w:tcW w:w="1401" w:type="dxa"/>
            <w:vAlign w:val="center"/>
          </w:tcPr>
          <w:p w14:paraId="1E93EBF8">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投标参数</w:t>
            </w:r>
          </w:p>
        </w:tc>
        <w:tc>
          <w:tcPr>
            <w:tcW w:w="1365" w:type="dxa"/>
            <w:vAlign w:val="center"/>
          </w:tcPr>
          <w:p w14:paraId="585328CA">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14:paraId="3AFF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0735CB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2EB37AE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169D9C4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1ACAFF8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185AFA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342D83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77F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6E7DA5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64791C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43E939E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900C2D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2F7AC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C1C6A2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F38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FF8ED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97F5FB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48B01F6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18516D1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52AFA0A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64BE742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F19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FF14B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064E00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36706F8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55BB855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498B8C8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1DEDB9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13E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748733B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582C36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5775214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F7EEEC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7B1CA66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6A4E9E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ACC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2AB41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3D78F6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0263AE4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079F740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9D7D37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E57607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2BF7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C68407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C3FBFF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7E6FECB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267B554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68611E0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85240B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06BAD11A">
      <w:pPr>
        <w:pStyle w:val="43"/>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2ABFD8A">
      <w:pPr>
        <w:pStyle w:val="43"/>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本表参照本招标文件第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部分“招标需求”内第二条“具体技术需求”填制，投标人应根据投标设备的性能指标、服务指标，对照招标文件要求在“偏离情况”栏注明“正偏离”、“负偏离”或“无偏离”。</w:t>
      </w:r>
    </w:p>
    <w:p w14:paraId="35959AAD">
      <w:pPr>
        <w:pStyle w:val="43"/>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171DEC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0059D7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081DF21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B4ED3D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854AD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C16CAA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2209802">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36039811">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4889771B">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0</w:t>
      </w:r>
    </w:p>
    <w:p w14:paraId="13D41BCD">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60FD164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16644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6BB668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double" w:color="auto" w:sz="4" w:space="0"/>
            </w:tcBorders>
          </w:tcPr>
          <w:p w14:paraId="78D1E3D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double" w:color="auto" w:sz="4" w:space="0"/>
            </w:tcBorders>
          </w:tcPr>
          <w:p w14:paraId="174FDA5F">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double" w:color="auto" w:sz="4" w:space="0"/>
              <w:right w:val="single" w:color="auto" w:sz="4" w:space="0"/>
            </w:tcBorders>
          </w:tcPr>
          <w:p w14:paraId="464C8610">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054563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D08F73">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4FB9A80F">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2539E94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B40FA20">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4F1514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B66D74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BFA634F">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53808D6F">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94FBBF3">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5C256C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B05A13E">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E3E74E2">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378A75A7">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7542C58">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426FB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2B223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544A5D4">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262DB409">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EF27EB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1BEC9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0F57364">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166915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3DEDA3D4">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2802399B">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732DA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49B6368">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ABADE4B">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2A921D9">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30CACB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5DDA9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D61F61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double" w:color="auto" w:sz="4" w:space="0"/>
            </w:tcBorders>
          </w:tcPr>
          <w:p w14:paraId="1988D7B2">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double" w:color="auto" w:sz="4" w:space="0"/>
            </w:tcBorders>
          </w:tcPr>
          <w:p w14:paraId="26F329DF">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14:paraId="765673BB">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98B001F">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14:paraId="30F28E81">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527D0589">
      <w:pPr>
        <w:pStyle w:val="45"/>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填写投标人获得资质、认证或企业信誉证书；</w:t>
      </w:r>
    </w:p>
    <w:p w14:paraId="1153AEA1">
      <w:pPr>
        <w:pStyle w:val="45"/>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6D7EFD7">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5C0C3ADA">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EAEBC35">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C08DAA3">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70F1A2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AE9E368">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78A6E7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696EBE1">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6E4B294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7CD341A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0C55C355">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44DFEF37">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4D56A5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3DF52A5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606785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9217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F47712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280DA0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C549153">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20DEB0C">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EE6DD0D">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C889013">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4593B17">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34729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8E853D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45416FE">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7F1944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8BB065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35CCD8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FC8EF7A">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BF3264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6C4F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5408D188">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4A6857B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9060A0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53B8B89">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76B984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3D75B0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6686BE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FA2D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8C46D5C">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7B4588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97A4E3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1134C7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1D9B799">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8CA763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701B1F2">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7E17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D5FD709">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6E01DDE6">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DC81F5E">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8A7DC4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23DE56B">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32F9179">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F387C9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631D3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4A951DA">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E35519B">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C7B2E9D">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FDC886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3179C6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B06402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D20867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C8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4292DDD">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6080306B">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5D07C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34F4B5C">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F27365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9278F4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3FA648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12EC9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72D900A">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657983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180EFC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E06F7B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3CB1E8F">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8232F1F">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0EF4BD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687C7BB6">
      <w:pPr>
        <w:keepNext w:val="0"/>
        <w:keepLines w:val="0"/>
        <w:pageBreakBefore w:val="0"/>
        <w:kinsoku/>
        <w:wordWrap/>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10A6DA9C">
      <w:pPr>
        <w:keepNext w:val="0"/>
        <w:keepLines w:val="0"/>
        <w:pageBreakBefore w:val="0"/>
        <w:kinsoku/>
        <w:wordWrap/>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业绩证明应提供证明材料（合同复印件可只提供首页、含金额页、盖章页并加盖投标人公章）；</w:t>
      </w:r>
    </w:p>
    <w:p w14:paraId="580919E9">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报价供应商可按此表格式复制。</w:t>
      </w:r>
    </w:p>
    <w:p w14:paraId="606C7E0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3863A8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8C2B57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098B1DBD">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8AAFCF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F17EC6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35F724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947F0E3">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Cs w:val="21"/>
          <w:highlight w:val="none"/>
        </w:rPr>
      </w:pPr>
    </w:p>
    <w:p w14:paraId="13DE8AC8">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1B15F26E">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173B9183">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47B2952A">
      <w:pPr>
        <w:keepNext w:val="0"/>
        <w:keepLines w:val="0"/>
        <w:pageBreakBefore w:val="0"/>
        <w:kinsoku/>
        <w:wordWrap/>
        <w:overflowPunct/>
        <w:topLinePunct w:val="0"/>
        <w:bidi w:val="0"/>
        <w:spacing w:line="360" w:lineRule="auto"/>
        <w:ind w:left="360" w:hanging="549" w:hangingChars="171"/>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资信及商务需求响应表</w:t>
      </w:r>
    </w:p>
    <w:p w14:paraId="26DDE6A7">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08B3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AA313A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29" w:type="dxa"/>
            <w:vAlign w:val="center"/>
          </w:tcPr>
          <w:p w14:paraId="1E5E086B">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1541" w:type="dxa"/>
            <w:vAlign w:val="center"/>
          </w:tcPr>
          <w:p w14:paraId="55665E8F">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招标需求</w:t>
            </w:r>
          </w:p>
        </w:tc>
        <w:tc>
          <w:tcPr>
            <w:tcW w:w="1365" w:type="dxa"/>
            <w:vAlign w:val="center"/>
          </w:tcPr>
          <w:p w14:paraId="67B92C37">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是否响应</w:t>
            </w:r>
          </w:p>
        </w:tc>
        <w:tc>
          <w:tcPr>
            <w:tcW w:w="2625" w:type="dxa"/>
            <w:vAlign w:val="center"/>
          </w:tcPr>
          <w:p w14:paraId="24B2F0D2">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投标人的承诺或说明</w:t>
            </w:r>
          </w:p>
        </w:tc>
      </w:tr>
      <w:tr w14:paraId="3694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542D5A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3CAF547D">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工期</w:t>
            </w:r>
          </w:p>
        </w:tc>
        <w:tc>
          <w:tcPr>
            <w:tcW w:w="1541" w:type="dxa"/>
            <w:vAlign w:val="center"/>
          </w:tcPr>
          <w:p w14:paraId="6CD8AEC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21F10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6013ADE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D29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BC680F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613F4B4B">
            <w:pPr>
              <w:keepNext w:val="0"/>
              <w:keepLines w:val="0"/>
              <w:pageBreakBefore w:val="0"/>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1541" w:type="dxa"/>
            <w:vAlign w:val="center"/>
          </w:tcPr>
          <w:p w14:paraId="7D9EF12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42B155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12E7EBE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1268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B77E2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4312ADEF">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1541" w:type="dxa"/>
            <w:vAlign w:val="center"/>
          </w:tcPr>
          <w:p w14:paraId="3853CD9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A6B3E7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0712EC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5889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F365B1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5269D80E">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41" w:type="dxa"/>
            <w:vAlign w:val="center"/>
          </w:tcPr>
          <w:p w14:paraId="4FBB42E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0A5526E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03636F9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5F35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143FED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tcPr>
          <w:p w14:paraId="531492F4">
            <w:pPr>
              <w:keepNext w:val="0"/>
              <w:keepLines w:val="0"/>
              <w:pageBreakBefore w:val="0"/>
              <w:kinsoku/>
              <w:wordWrap/>
              <w:overflowPunct/>
              <w:topLinePunct w:val="0"/>
              <w:bidi w:val="0"/>
              <w:snapToGrid w:val="0"/>
              <w:outlineLvl w:val="9"/>
              <w:rPr>
                <w:rFonts w:hint="eastAsia" w:ascii="宋体" w:hAnsi="宋体" w:eastAsia="宋体" w:cs="宋体"/>
                <w:color w:val="auto"/>
                <w:szCs w:val="21"/>
                <w:highlight w:val="none"/>
              </w:rPr>
            </w:pPr>
          </w:p>
        </w:tc>
        <w:tc>
          <w:tcPr>
            <w:tcW w:w="1541" w:type="dxa"/>
            <w:vAlign w:val="center"/>
          </w:tcPr>
          <w:p w14:paraId="4B387C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448F0B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25B80D2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4E1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750D13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tcPr>
          <w:p w14:paraId="7D6CC5EC">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tc>
        <w:tc>
          <w:tcPr>
            <w:tcW w:w="1541" w:type="dxa"/>
            <w:vAlign w:val="center"/>
          </w:tcPr>
          <w:p w14:paraId="2AA73E1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1563220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2FD5809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27DC9F1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4B25D5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4A23B0C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F67012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46E337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p>
    <w:p w14:paraId="0CFB2BE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p>
    <w:p w14:paraId="281BD271">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08A55DDE">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53FAC216">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6F7F56A3">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05047D4">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7F231D86">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14:paraId="208F507E">
      <w:pPr>
        <w:pStyle w:val="53"/>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01E5DCE">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63D810B3">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14:paraId="1C92CA49">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0A3D3B73">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1C3F2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80A821A">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tcBorders>
              <w:top w:val="single" w:color="auto" w:sz="4" w:space="0"/>
            </w:tcBorders>
            <w:vAlign w:val="center"/>
          </w:tcPr>
          <w:p w14:paraId="66F835F0">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tcBorders>
              <w:top w:val="single" w:color="auto" w:sz="4" w:space="0"/>
            </w:tcBorders>
            <w:vAlign w:val="center"/>
          </w:tcPr>
          <w:p w14:paraId="7B40387E">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投标人情况</w:t>
            </w:r>
          </w:p>
        </w:tc>
        <w:tc>
          <w:tcPr>
            <w:tcW w:w="1373" w:type="dxa"/>
            <w:tcBorders>
              <w:top w:val="single" w:color="auto" w:sz="4" w:space="0"/>
            </w:tcBorders>
            <w:vAlign w:val="center"/>
          </w:tcPr>
          <w:p w14:paraId="707CD80C">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F5DE9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0286406B">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2447B732">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质保期内售后服务情况(服务方式、服务网点、售后服务的内容和措施等等，可用附页和宣传材料)</w:t>
            </w:r>
          </w:p>
        </w:tc>
        <w:tc>
          <w:tcPr>
            <w:tcW w:w="4061" w:type="dxa"/>
          </w:tcPr>
          <w:p w14:paraId="56BD7A6B">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386BDE79">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77894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9" w:hRule="exact"/>
          <w:jc w:val="center"/>
        </w:trPr>
        <w:tc>
          <w:tcPr>
            <w:tcW w:w="739" w:type="dxa"/>
            <w:vAlign w:val="center"/>
          </w:tcPr>
          <w:p w14:paraId="046C9741">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3E19E261">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保修期后售后服务</w:t>
            </w:r>
          </w:p>
        </w:tc>
        <w:tc>
          <w:tcPr>
            <w:tcW w:w="4061" w:type="dxa"/>
          </w:tcPr>
          <w:p w14:paraId="2250215D">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562926B5">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09159018">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2E2A2B05">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34B9F37C">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17613250">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68170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DB3BCA2">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w:t>
            </w:r>
          </w:p>
        </w:tc>
        <w:tc>
          <w:tcPr>
            <w:tcW w:w="2355" w:type="dxa"/>
            <w:vAlign w:val="center"/>
          </w:tcPr>
          <w:p w14:paraId="2F070C3C">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14:paraId="10C7EF5F">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40162923">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7439F866">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32F2EA69">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64633E81">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2F7072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5A0344B">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tcBorders>
              <w:bottom w:val="single" w:color="auto" w:sz="4" w:space="0"/>
            </w:tcBorders>
            <w:vAlign w:val="center"/>
          </w:tcPr>
          <w:p w14:paraId="2E9120B6">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Borders>
              <w:bottom w:val="single" w:color="auto" w:sz="4" w:space="0"/>
            </w:tcBorders>
          </w:tcPr>
          <w:p w14:paraId="14CC1532">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Borders>
              <w:bottom w:val="single" w:color="auto" w:sz="4" w:space="0"/>
            </w:tcBorders>
          </w:tcPr>
          <w:p w14:paraId="4732FF36">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3CCEDE8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DC4791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857DBA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C50DEF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91CC8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7AC3BF6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884469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1A92D85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59C1A1DD">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p>
    <w:p w14:paraId="4966BBB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14:paraId="26B9D66D">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1DA40BA0">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14:paraId="7452C56B">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7DDE7D4">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40138EF">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E32E5E0">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17D55D4C">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14:paraId="33F81E3B">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05A783A5">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D66EE94">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031DF0F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0E890C16">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14:paraId="7AD07B26">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14:paraId="165C17BA">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5C50EBF7">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267075A8">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4F4926EA">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14:paraId="56EF1DFD">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416B77AE">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14:paraId="5C220CD6">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1、开标一览表（附件1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p>
    <w:p w14:paraId="29053F00">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报价明细表（</w:t>
      </w:r>
      <w:r>
        <w:rPr>
          <w:rFonts w:hint="eastAsia" w:ascii="宋体" w:hAnsi="宋体" w:eastAsia="宋体" w:cs="宋体"/>
          <w:color w:val="auto"/>
          <w:highlight w:val="none"/>
        </w:rPr>
        <w:t>附件1</w:t>
      </w:r>
      <w:r>
        <w:rPr>
          <w:rFonts w:hint="eastAsia" w:ascii="宋体" w:hAnsi="宋体" w:eastAsia="宋体" w:cs="宋体"/>
          <w:color w:val="auto"/>
          <w:highlight w:val="none"/>
          <w:lang w:val="en-US" w:eastAsia="zh-CN"/>
        </w:rPr>
        <w:t>6</w:t>
      </w:r>
      <w:r>
        <w:rPr>
          <w:rFonts w:hint="eastAsia" w:ascii="宋体" w:hAnsi="宋体" w:eastAsia="宋体" w:cs="宋体"/>
          <w:color w:val="auto"/>
          <w:szCs w:val="21"/>
          <w:highlight w:val="none"/>
          <w:lang w:val="en-US" w:eastAsia="zh-CN"/>
        </w:rPr>
        <w:t>）；</w:t>
      </w:r>
    </w:p>
    <w:p w14:paraId="35AD0CB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针对报价投标人认为其他需要说明的；</w:t>
      </w:r>
    </w:p>
    <w:p w14:paraId="7D56F9F8">
      <w:pPr>
        <w:pStyle w:val="48"/>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企业等声明函（附件1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）；（如有需提供）</w:t>
      </w:r>
    </w:p>
    <w:p w14:paraId="54C2D69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p w14:paraId="23EA0DCF">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Cs w:val="21"/>
          <w:highlight w:val="none"/>
        </w:rPr>
      </w:pPr>
    </w:p>
    <w:p w14:paraId="60A1F6E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981C66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4B692D5">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0E7D1A3">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2AC71D2">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8DAF59B">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D62B6F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C35A0E4">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2E60860">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7732AA8">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EFA823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F03E8E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1113213">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636BBF6">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D67D2C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DA47266">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320DABA">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A28FB1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0F3C8143">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B1EF12D">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p>
    <w:p w14:paraId="0FBFD7BE">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14:paraId="5016D61C">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D9005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14C48E7D">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1F25F13">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tcBorders>
            <w:vAlign w:val="center"/>
          </w:tcPr>
          <w:p w14:paraId="40192106">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p>
        </w:tc>
      </w:tr>
      <w:tr w14:paraId="6BE942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D37A22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C165211">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tcBorders>
            <w:vAlign w:val="center"/>
          </w:tcPr>
          <w:p w14:paraId="65E92232">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p>
        </w:tc>
      </w:tr>
    </w:tbl>
    <w:p w14:paraId="1D80704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1C63B4E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投标总报价包括项目的供货、运输、安装、总体调试、技术培训、税金、验收、售后服务等为完成本次项且涉及的一切费用</w:t>
      </w:r>
      <w:r>
        <w:rPr>
          <w:rFonts w:hint="eastAsia" w:ascii="宋体" w:hAnsi="宋体" w:eastAsia="宋体" w:cs="宋体"/>
          <w:color w:val="auto"/>
          <w:szCs w:val="21"/>
          <w:highlight w:val="none"/>
        </w:rPr>
        <w:t>。</w:t>
      </w:r>
    </w:p>
    <w:p w14:paraId="3820DFD8">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7C86524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851D8A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0FB69C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5B91AF5">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56747E0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BBD2A6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6BDCF4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3044870">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56CA126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7B16E6E">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5473BB82">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3E4C5460">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14B1FCB1">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F6329C9">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14:paraId="0F4D9B19">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color w:val="auto"/>
          <w:highlight w:val="none"/>
          <w:lang w:eastAsia="zh-CN"/>
        </w:rPr>
      </w:pPr>
      <w:r>
        <w:rPr>
          <w:rFonts w:hint="eastAsia" w:ascii="宋体" w:hAnsi="宋体" w:eastAsia="宋体" w:cs="宋体"/>
          <w:b/>
          <w:color w:val="auto"/>
          <w:sz w:val="32"/>
          <w:szCs w:val="32"/>
          <w:highlight w:val="none"/>
        </w:rPr>
        <w:t>报价明细表</w:t>
      </w:r>
    </w:p>
    <w:p w14:paraId="279C4DF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2DDB8B52">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4262BF66">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3"/>
        <w:tblW w:w="8919"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82"/>
        <w:gridCol w:w="1437"/>
        <w:gridCol w:w="1559"/>
        <w:gridCol w:w="851"/>
        <w:gridCol w:w="992"/>
        <w:gridCol w:w="992"/>
        <w:gridCol w:w="709"/>
      </w:tblGrid>
      <w:tr w14:paraId="10C2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97" w:type="dxa"/>
            <w:vAlign w:val="center"/>
          </w:tcPr>
          <w:p w14:paraId="43BD3FA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82" w:type="dxa"/>
            <w:vAlign w:val="center"/>
          </w:tcPr>
          <w:p w14:paraId="2470718F">
            <w:pPr>
              <w:keepNext w:val="0"/>
              <w:keepLines w:val="0"/>
              <w:pageBreakBefore w:val="0"/>
              <w:tabs>
                <w:tab w:val="left" w:pos="8280"/>
              </w:tabs>
              <w:kinsoku/>
              <w:wordWrap/>
              <w:overflowPunct/>
              <w:topLinePunct w:val="0"/>
              <w:autoSpaceDE w:val="0"/>
              <w:autoSpaceDN w:val="0"/>
              <w:bidi w:val="0"/>
              <w:adjustRightInd w:val="0"/>
              <w:spacing w:line="360" w:lineRule="auto"/>
              <w:ind w:right="25"/>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437" w:type="dxa"/>
            <w:vAlign w:val="center"/>
          </w:tcPr>
          <w:p w14:paraId="6E8ED833">
            <w:pPr>
              <w:keepNext w:val="0"/>
              <w:keepLines w:val="0"/>
              <w:pageBreakBefore w:val="0"/>
              <w:tabs>
                <w:tab w:val="left" w:pos="8280"/>
              </w:tabs>
              <w:kinsoku/>
              <w:wordWrap/>
              <w:overflowPunct/>
              <w:topLinePunct w:val="0"/>
              <w:autoSpaceDE w:val="0"/>
              <w:autoSpaceDN w:val="0"/>
              <w:bidi w:val="0"/>
              <w:adjustRightInd w:val="0"/>
              <w:spacing w:line="360" w:lineRule="auto"/>
              <w:ind w:right="25"/>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w:t>
            </w:r>
          </w:p>
        </w:tc>
        <w:tc>
          <w:tcPr>
            <w:tcW w:w="1559" w:type="dxa"/>
            <w:vAlign w:val="center"/>
          </w:tcPr>
          <w:p w14:paraId="65C5E729">
            <w:pPr>
              <w:keepNext w:val="0"/>
              <w:keepLines w:val="0"/>
              <w:pageBreakBefore w:val="0"/>
              <w:kinsoku/>
              <w:wordWrap/>
              <w:overflowPunct/>
              <w:topLinePunct w:val="0"/>
              <w:bidi w:val="0"/>
              <w:spacing w:line="360" w:lineRule="auto"/>
              <w:ind w:left="5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w:t>
            </w:r>
          </w:p>
        </w:tc>
        <w:tc>
          <w:tcPr>
            <w:tcW w:w="851" w:type="dxa"/>
            <w:vAlign w:val="center"/>
          </w:tcPr>
          <w:p w14:paraId="75199A68">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14:paraId="77B28C62">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14:paraId="1282A2FB">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14:paraId="30ED0D4C">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100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97" w:type="dxa"/>
            <w:vAlign w:val="center"/>
          </w:tcPr>
          <w:p w14:paraId="4188FF7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82" w:type="dxa"/>
            <w:vAlign w:val="center"/>
          </w:tcPr>
          <w:p w14:paraId="16846D1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37" w:type="dxa"/>
            <w:vAlign w:val="center"/>
          </w:tcPr>
          <w:p w14:paraId="687D0F9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68E19C9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18D3962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0F3A007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2CDAB75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554B368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628C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97" w:type="dxa"/>
            <w:vAlign w:val="center"/>
          </w:tcPr>
          <w:p w14:paraId="0665FE6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82" w:type="dxa"/>
            <w:vAlign w:val="center"/>
          </w:tcPr>
          <w:p w14:paraId="5C03387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37" w:type="dxa"/>
            <w:vAlign w:val="center"/>
          </w:tcPr>
          <w:p w14:paraId="17D8F88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72BC16E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064CA60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5E02B3E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0CCBC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6CD9F17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7337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7" w:type="dxa"/>
            <w:vAlign w:val="center"/>
          </w:tcPr>
          <w:p w14:paraId="677F22F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82" w:type="dxa"/>
            <w:vAlign w:val="center"/>
          </w:tcPr>
          <w:p w14:paraId="22F3BAD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37" w:type="dxa"/>
            <w:vAlign w:val="center"/>
          </w:tcPr>
          <w:p w14:paraId="32515F5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736F6B3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7EEA1C7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7900FFB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46D965C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4C93D88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086A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7" w:type="dxa"/>
            <w:vAlign w:val="center"/>
          </w:tcPr>
          <w:p w14:paraId="6BA2562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82" w:type="dxa"/>
            <w:vAlign w:val="center"/>
          </w:tcPr>
          <w:p w14:paraId="1CF2001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37" w:type="dxa"/>
            <w:vAlign w:val="center"/>
          </w:tcPr>
          <w:p w14:paraId="4B0C34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6D317D8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6EE37CB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180078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4EE016F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3A6F726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5492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97" w:type="dxa"/>
            <w:vAlign w:val="center"/>
          </w:tcPr>
          <w:p w14:paraId="7BD1820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82" w:type="dxa"/>
            <w:vAlign w:val="center"/>
          </w:tcPr>
          <w:p w14:paraId="2F4C5149">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lang w:val="en-US" w:eastAsia="zh-CN"/>
              </w:rPr>
            </w:pPr>
          </w:p>
        </w:tc>
        <w:tc>
          <w:tcPr>
            <w:tcW w:w="1437" w:type="dxa"/>
            <w:vAlign w:val="center"/>
          </w:tcPr>
          <w:p w14:paraId="342C12BA">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559" w:type="dxa"/>
            <w:vAlign w:val="center"/>
          </w:tcPr>
          <w:p w14:paraId="79374FC6">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851" w:type="dxa"/>
            <w:vAlign w:val="center"/>
          </w:tcPr>
          <w:p w14:paraId="1B301C94">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lang w:val="en-US" w:eastAsia="zh-CN"/>
              </w:rPr>
            </w:pPr>
          </w:p>
        </w:tc>
        <w:tc>
          <w:tcPr>
            <w:tcW w:w="992" w:type="dxa"/>
            <w:vAlign w:val="center"/>
          </w:tcPr>
          <w:p w14:paraId="4E5A228D">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lang w:val="en-US" w:eastAsia="zh-CN"/>
              </w:rPr>
            </w:pPr>
          </w:p>
        </w:tc>
        <w:tc>
          <w:tcPr>
            <w:tcW w:w="992" w:type="dxa"/>
            <w:vAlign w:val="center"/>
          </w:tcPr>
          <w:p w14:paraId="7A32F869">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lang w:val="en-US" w:eastAsia="zh-CN"/>
              </w:rPr>
            </w:pPr>
          </w:p>
        </w:tc>
        <w:tc>
          <w:tcPr>
            <w:tcW w:w="709" w:type="dxa"/>
            <w:vAlign w:val="center"/>
          </w:tcPr>
          <w:p w14:paraId="4FFE24F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4F4A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919" w:type="dxa"/>
            <w:gridSpan w:val="8"/>
            <w:tcBorders>
              <w:bottom w:val="single" w:color="auto" w:sz="4" w:space="0"/>
            </w:tcBorders>
            <w:vAlign w:val="center"/>
          </w:tcPr>
          <w:p w14:paraId="0DD6748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5326BCF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3A34C2BA">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1.本表为《开标一览表》的报价明细表，如有缺项、漏项，视为投标报价中已包含相关费用，采购人无需另外支付任何费用。</w:t>
      </w:r>
    </w:p>
    <w:p w14:paraId="3C38C303">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45163057">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2B4E4311">
      <w:pPr>
        <w:pStyle w:val="13"/>
        <w:keepNext w:val="0"/>
        <w:keepLines w:val="0"/>
        <w:pageBreakBefore w:val="0"/>
        <w:kinsoku/>
        <w:wordWrap/>
        <w:overflowPunct/>
        <w:topLinePunct w:val="0"/>
        <w:bidi w:val="0"/>
        <w:ind w:left="0" w:leftChars="0" w:firstLine="0" w:firstLineChars="0"/>
        <w:outlineLvl w:val="9"/>
        <w:rPr>
          <w:rFonts w:hint="eastAsia" w:ascii="宋体" w:hAnsi="宋体" w:eastAsia="宋体" w:cs="宋体"/>
          <w:color w:val="auto"/>
          <w:highlight w:val="none"/>
        </w:rPr>
      </w:pPr>
    </w:p>
    <w:p w14:paraId="0DE92E8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531FBB3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6C44054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559BABC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C7C5C8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7F06D3B">
      <w:pPr>
        <w:pStyle w:val="9"/>
        <w:keepNext w:val="0"/>
        <w:keepLines w:val="0"/>
        <w:pageBreakBefore w:val="0"/>
        <w:kinsoku/>
        <w:wordWrap/>
        <w:overflowPunct/>
        <w:topLinePunct w:val="0"/>
        <w:bidi w:val="0"/>
        <w:jc w:val="both"/>
        <w:outlineLvl w:val="9"/>
        <w:rPr>
          <w:rFonts w:hint="eastAsia" w:ascii="宋体" w:hAnsi="宋体" w:eastAsia="宋体" w:cs="宋体"/>
          <w:color w:val="auto"/>
          <w:highlight w:val="none"/>
        </w:rPr>
      </w:pPr>
    </w:p>
    <w:p w14:paraId="06C13CDE">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0DC4123F">
      <w:pPr>
        <w:pStyle w:val="30"/>
        <w:rPr>
          <w:rFonts w:hint="eastAsia" w:ascii="宋体" w:hAnsi="宋体" w:eastAsia="宋体" w:cs="宋体"/>
          <w:color w:val="auto"/>
          <w:highlight w:val="none"/>
        </w:rPr>
      </w:pPr>
    </w:p>
    <w:p w14:paraId="6DA57890">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7</w:t>
      </w:r>
    </w:p>
    <w:p w14:paraId="061581BB">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601FFE39">
      <w:pPr>
        <w:pStyle w:val="9"/>
        <w:spacing w:before="5"/>
        <w:rPr>
          <w:rFonts w:hint="eastAsia" w:ascii="宋体" w:hAnsi="宋体" w:eastAsia="宋体" w:cs="宋体"/>
          <w:b/>
          <w:color w:val="auto"/>
          <w:sz w:val="18"/>
          <w:szCs w:val="18"/>
          <w:highlight w:val="none"/>
        </w:rPr>
      </w:pPr>
    </w:p>
    <w:p w14:paraId="108F4810">
      <w:pPr>
        <w:pStyle w:val="9"/>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w:t>
      </w:r>
      <w:r>
        <w:rPr>
          <w:rFonts w:hint="eastAsia" w:ascii="宋体" w:hAnsi="宋体" w:eastAsia="宋体" w:cs="宋体"/>
          <w:color w:val="auto"/>
          <w:kern w:val="2"/>
          <w:sz w:val="21"/>
          <w:szCs w:val="21"/>
          <w:highlight w:val="none"/>
          <w:lang w:val="zh-CN" w:eastAsia="zh-CN" w:bidi="ar-SA"/>
        </w:rPr>
        <w:t>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14:paraId="13065295">
      <w:pPr>
        <w:pStyle w:val="9"/>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68C6B7EE">
      <w:pPr>
        <w:pStyle w:val="9"/>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w:t>
      </w:r>
      <w:r>
        <w:rPr>
          <w:rFonts w:hint="eastAsia" w:ascii="宋体" w:hAnsi="宋体" w:eastAsia="宋体" w:cs="宋体"/>
          <w:color w:val="auto"/>
          <w:sz w:val="21"/>
          <w:szCs w:val="21"/>
          <w:highlight w:val="none"/>
        </w:rPr>
        <w:t>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2CCDC44F">
      <w:pPr>
        <w:pStyle w:val="9"/>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6D56F5A">
      <w:pPr>
        <w:pStyle w:val="9"/>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5F4223A5">
      <w:pPr>
        <w:pStyle w:val="9"/>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42EFF83">
      <w:pPr>
        <w:pStyle w:val="9"/>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802017D">
      <w:pPr>
        <w:pStyle w:val="9"/>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24A73ED9">
      <w:pPr>
        <w:pStyle w:val="9"/>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63EFE5B6">
      <w:pPr>
        <w:pStyle w:val="9"/>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6AC0E9CA">
      <w:pPr>
        <w:pStyle w:val="12"/>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3D89AD4C">
      <w:pPr>
        <w:pStyle w:val="51"/>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06937EC7">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2AD1213E">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27816B30">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2077FEB">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4E08AF">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50948A54">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67AE7FAD">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14:paraId="491637FF">
      <w:pPr>
        <w:keepNext w:val="0"/>
        <w:keepLines w:val="0"/>
        <w:pageBreakBefore w:val="0"/>
        <w:tabs>
          <w:tab w:val="left" w:pos="4860"/>
        </w:tabs>
        <w:kinsoku/>
        <w:wordWrap/>
        <w:overflowPunct/>
        <w:topLinePunct w:val="0"/>
        <w:bidi w:val="0"/>
        <w:spacing w:line="360" w:lineRule="auto"/>
        <w:ind w:right="1560" w:firstLine="1890" w:firstLineChars="900"/>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759035A6">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6113E96A">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B5E1A37">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450E93E3">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9A6B824">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48720A4B">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D8C6B6A">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CBF59FD">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14AE76C8">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C2833B6">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FFF870A">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C6008DB">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BAED57B">
      <w:pPr>
        <w:pStyle w:val="9"/>
        <w:rPr>
          <w:rFonts w:hint="eastAsia" w:ascii="宋体" w:hAnsi="宋体" w:eastAsia="宋体" w:cs="宋体"/>
          <w:color w:val="auto"/>
          <w:highlight w:val="none"/>
        </w:rPr>
      </w:pPr>
    </w:p>
    <w:bookmarkEnd w:id="1"/>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75C6">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D0E5CF">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14:paraId="7DD0E5CF">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678D">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4779DD">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nvTgxAgAAY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MHmWhY3e&#10;Wh6hozzeLg8BcnYqR1F6JdCduMHsdX0a3kkc7j/3XdTj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p704MQIAAGMEAAAOAAAAAAAAAAEAIAAAAB8BAABkcnMvZTJvRG9jLnhtbFBLBQYA&#10;AAAABgAGAFkBAADCBQAAAAA=&#10;">
              <v:fill on="f" focussize="0,0"/>
              <v:stroke on="f" weight="0.5pt"/>
              <v:imagedata o:title=""/>
              <o:lock v:ext="edit" aspectratio="f"/>
              <v:textbox inset="0mm,0mm,0mm,0mm" style="mso-fit-shape-to-text:t;">
                <w:txbxContent>
                  <w:p w14:paraId="1A4779DD">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5F7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C2ED23">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3C2ED23">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10BE">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黄岩区抗战时期中共黄岩县委机关旧址、岱石庙、铁米筛井省级文保单位安防项目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B515">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F26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98A1DCDC"/>
    <w:multiLevelType w:val="singleLevel"/>
    <w:tmpl w:val="98A1DCDC"/>
    <w:lvl w:ilvl="0" w:tentative="0">
      <w:start w:val="1"/>
      <w:numFmt w:val="decimal"/>
      <w:suff w:val="nothing"/>
      <w:lvlText w:val="%1、"/>
      <w:lvlJc w:val="left"/>
    </w:lvl>
  </w:abstractNum>
  <w:abstractNum w:abstractNumId="2">
    <w:nsid w:val="A2C39AF1"/>
    <w:multiLevelType w:val="singleLevel"/>
    <w:tmpl w:val="A2C39AF1"/>
    <w:lvl w:ilvl="0" w:tentative="0">
      <w:start w:val="1"/>
      <w:numFmt w:val="decimal"/>
      <w:suff w:val="nothing"/>
      <w:lvlText w:val="%1、"/>
      <w:lvlJc w:val="left"/>
    </w:lvl>
  </w:abstractNum>
  <w:abstractNum w:abstractNumId="3">
    <w:nsid w:val="2B4151CB"/>
    <w:multiLevelType w:val="singleLevel"/>
    <w:tmpl w:val="2B4151CB"/>
    <w:lvl w:ilvl="0" w:tentative="0">
      <w:start w:val="5"/>
      <w:numFmt w:val="decimal"/>
      <w:suff w:val="nothing"/>
      <w:lvlText w:val="%1、"/>
      <w:lvlJc w:val="left"/>
    </w:lvl>
  </w:abstractNum>
  <w:abstractNum w:abstractNumId="4">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6">
    <w:nsid w:val="58CA50F0"/>
    <w:multiLevelType w:val="multilevel"/>
    <w:tmpl w:val="58CA50F0"/>
    <w:lvl w:ilvl="0" w:tentative="0">
      <w:start w:val="1"/>
      <w:numFmt w:val="chineseCounting"/>
      <w:pStyle w:val="3"/>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7">
    <w:nsid w:val="70C8ED54"/>
    <w:multiLevelType w:val="singleLevel"/>
    <w:tmpl w:val="70C8ED54"/>
    <w:lvl w:ilvl="0" w:tentative="0">
      <w:start w:val="1"/>
      <w:numFmt w:val="decimal"/>
      <w:suff w:val="nothing"/>
      <w:lvlText w:val="%1、"/>
      <w:lvlJc w:val="left"/>
    </w:lvl>
  </w:abstractNum>
  <w:num w:numId="1">
    <w:abstractNumId w:val="6"/>
  </w:num>
  <w:num w:numId="2">
    <w:abstractNumId w:val="5"/>
  </w:num>
  <w:num w:numId="3">
    <w:abstractNumId w:val="4"/>
  </w:num>
  <w:num w:numId="4">
    <w:abstractNumId w:val="1"/>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321B6"/>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C6908"/>
    <w:rsid w:val="009E7B9B"/>
    <w:rsid w:val="00A76558"/>
    <w:rsid w:val="00B7243C"/>
    <w:rsid w:val="00B8754F"/>
    <w:rsid w:val="00BE3149"/>
    <w:rsid w:val="00D27694"/>
    <w:rsid w:val="00DD40BE"/>
    <w:rsid w:val="00E04ED8"/>
    <w:rsid w:val="00E873B3"/>
    <w:rsid w:val="00EB0E14"/>
    <w:rsid w:val="00F05701"/>
    <w:rsid w:val="00F3299C"/>
    <w:rsid w:val="00F4609D"/>
    <w:rsid w:val="00FF74E6"/>
    <w:rsid w:val="014D4625"/>
    <w:rsid w:val="0170542D"/>
    <w:rsid w:val="01DC112F"/>
    <w:rsid w:val="01F86678"/>
    <w:rsid w:val="022D15A4"/>
    <w:rsid w:val="02380D19"/>
    <w:rsid w:val="032047EC"/>
    <w:rsid w:val="03EF0F68"/>
    <w:rsid w:val="043F7FC4"/>
    <w:rsid w:val="04B22D8F"/>
    <w:rsid w:val="051F6421"/>
    <w:rsid w:val="05470381"/>
    <w:rsid w:val="06C90101"/>
    <w:rsid w:val="08390248"/>
    <w:rsid w:val="084A3762"/>
    <w:rsid w:val="087F5981"/>
    <w:rsid w:val="09107AD0"/>
    <w:rsid w:val="091240AB"/>
    <w:rsid w:val="094B2DCA"/>
    <w:rsid w:val="09E03F7D"/>
    <w:rsid w:val="09F33DD0"/>
    <w:rsid w:val="0A026C9D"/>
    <w:rsid w:val="0AD0034B"/>
    <w:rsid w:val="0AF64F0D"/>
    <w:rsid w:val="0D1F4CD0"/>
    <w:rsid w:val="0D4B03D2"/>
    <w:rsid w:val="0D9A128E"/>
    <w:rsid w:val="0F0409BF"/>
    <w:rsid w:val="0F7812F7"/>
    <w:rsid w:val="0F7E6199"/>
    <w:rsid w:val="0F8D7EA0"/>
    <w:rsid w:val="0FE74D1C"/>
    <w:rsid w:val="10063514"/>
    <w:rsid w:val="10452B67"/>
    <w:rsid w:val="10860B6D"/>
    <w:rsid w:val="1181632B"/>
    <w:rsid w:val="118B7249"/>
    <w:rsid w:val="11D07E07"/>
    <w:rsid w:val="121665CB"/>
    <w:rsid w:val="12EC03CE"/>
    <w:rsid w:val="13F45D5A"/>
    <w:rsid w:val="153867FF"/>
    <w:rsid w:val="155B6DDB"/>
    <w:rsid w:val="15BA7E68"/>
    <w:rsid w:val="15D17152"/>
    <w:rsid w:val="167269F6"/>
    <w:rsid w:val="168339D9"/>
    <w:rsid w:val="17192D6B"/>
    <w:rsid w:val="171D6CDD"/>
    <w:rsid w:val="17461D47"/>
    <w:rsid w:val="176F1112"/>
    <w:rsid w:val="177873A9"/>
    <w:rsid w:val="17B91B1C"/>
    <w:rsid w:val="17D2330C"/>
    <w:rsid w:val="19CE3838"/>
    <w:rsid w:val="1A076244"/>
    <w:rsid w:val="1AD14F5C"/>
    <w:rsid w:val="1C6D212E"/>
    <w:rsid w:val="1C7E5C21"/>
    <w:rsid w:val="1C8769FD"/>
    <w:rsid w:val="1CC61F19"/>
    <w:rsid w:val="1D1B615D"/>
    <w:rsid w:val="1D465475"/>
    <w:rsid w:val="1D5E7E5F"/>
    <w:rsid w:val="1D6A3BB0"/>
    <w:rsid w:val="1D6E6C2F"/>
    <w:rsid w:val="1DB05BC4"/>
    <w:rsid w:val="1E91399D"/>
    <w:rsid w:val="1F162724"/>
    <w:rsid w:val="1F3C25C1"/>
    <w:rsid w:val="1FE64EAA"/>
    <w:rsid w:val="201C7B31"/>
    <w:rsid w:val="20ED3C16"/>
    <w:rsid w:val="224700DF"/>
    <w:rsid w:val="226D1098"/>
    <w:rsid w:val="22946A87"/>
    <w:rsid w:val="22F6774D"/>
    <w:rsid w:val="231F022B"/>
    <w:rsid w:val="24EA2708"/>
    <w:rsid w:val="25836610"/>
    <w:rsid w:val="259A2034"/>
    <w:rsid w:val="25C5310A"/>
    <w:rsid w:val="262D145C"/>
    <w:rsid w:val="26353EFB"/>
    <w:rsid w:val="26362BBB"/>
    <w:rsid w:val="27012F51"/>
    <w:rsid w:val="27216271"/>
    <w:rsid w:val="28FA6455"/>
    <w:rsid w:val="29367CF7"/>
    <w:rsid w:val="29861651"/>
    <w:rsid w:val="29B55529"/>
    <w:rsid w:val="2A1E1287"/>
    <w:rsid w:val="2B050160"/>
    <w:rsid w:val="2BF15C4A"/>
    <w:rsid w:val="2BFD44C9"/>
    <w:rsid w:val="2C4C727A"/>
    <w:rsid w:val="2D3D3C18"/>
    <w:rsid w:val="2E1924DD"/>
    <w:rsid w:val="2E280D6C"/>
    <w:rsid w:val="2F7B1BB4"/>
    <w:rsid w:val="2FC33D2E"/>
    <w:rsid w:val="30355402"/>
    <w:rsid w:val="30EB3632"/>
    <w:rsid w:val="3122031C"/>
    <w:rsid w:val="323740AF"/>
    <w:rsid w:val="33413EC8"/>
    <w:rsid w:val="33554436"/>
    <w:rsid w:val="34772ADD"/>
    <w:rsid w:val="351A4B95"/>
    <w:rsid w:val="355B2A13"/>
    <w:rsid w:val="35F8117C"/>
    <w:rsid w:val="36D706BD"/>
    <w:rsid w:val="37584051"/>
    <w:rsid w:val="37757208"/>
    <w:rsid w:val="37E4758B"/>
    <w:rsid w:val="385413D3"/>
    <w:rsid w:val="385F7EDF"/>
    <w:rsid w:val="3A316D41"/>
    <w:rsid w:val="3A7A6F1E"/>
    <w:rsid w:val="3B194DD7"/>
    <w:rsid w:val="3B4D2A31"/>
    <w:rsid w:val="3B64677C"/>
    <w:rsid w:val="3C042224"/>
    <w:rsid w:val="3C49136C"/>
    <w:rsid w:val="3E086240"/>
    <w:rsid w:val="3E41042A"/>
    <w:rsid w:val="3E642B43"/>
    <w:rsid w:val="3E682C63"/>
    <w:rsid w:val="3EE327C0"/>
    <w:rsid w:val="3F1D6D60"/>
    <w:rsid w:val="3F654DFF"/>
    <w:rsid w:val="3F95513E"/>
    <w:rsid w:val="4066556A"/>
    <w:rsid w:val="40A436F8"/>
    <w:rsid w:val="41BA58A9"/>
    <w:rsid w:val="41ED1EFE"/>
    <w:rsid w:val="42204DEC"/>
    <w:rsid w:val="42A16F0F"/>
    <w:rsid w:val="434118E3"/>
    <w:rsid w:val="4364349F"/>
    <w:rsid w:val="43AD217F"/>
    <w:rsid w:val="440D430D"/>
    <w:rsid w:val="448E6105"/>
    <w:rsid w:val="458B72B5"/>
    <w:rsid w:val="46D0725A"/>
    <w:rsid w:val="47911A42"/>
    <w:rsid w:val="47925F0D"/>
    <w:rsid w:val="4797223C"/>
    <w:rsid w:val="47C11F07"/>
    <w:rsid w:val="48AE2974"/>
    <w:rsid w:val="48D11615"/>
    <w:rsid w:val="4A45552A"/>
    <w:rsid w:val="4BD6102D"/>
    <w:rsid w:val="4C783070"/>
    <w:rsid w:val="4C9C6B0B"/>
    <w:rsid w:val="4CF72E0A"/>
    <w:rsid w:val="4D0D668F"/>
    <w:rsid w:val="4DD164B2"/>
    <w:rsid w:val="4DD20634"/>
    <w:rsid w:val="4DFA74A7"/>
    <w:rsid w:val="4E007FCD"/>
    <w:rsid w:val="4E0A1174"/>
    <w:rsid w:val="4E3623E0"/>
    <w:rsid w:val="4F632809"/>
    <w:rsid w:val="4F9A7897"/>
    <w:rsid w:val="4F9F2966"/>
    <w:rsid w:val="507706BC"/>
    <w:rsid w:val="50D628CB"/>
    <w:rsid w:val="513C6119"/>
    <w:rsid w:val="51CE3145"/>
    <w:rsid w:val="51EB6DCF"/>
    <w:rsid w:val="51F43DFB"/>
    <w:rsid w:val="5214040A"/>
    <w:rsid w:val="5215308E"/>
    <w:rsid w:val="5406203A"/>
    <w:rsid w:val="547C2EEE"/>
    <w:rsid w:val="54893142"/>
    <w:rsid w:val="54B20087"/>
    <w:rsid w:val="54B30803"/>
    <w:rsid w:val="54CF56D2"/>
    <w:rsid w:val="553E5FE2"/>
    <w:rsid w:val="557C0E2E"/>
    <w:rsid w:val="55AE418F"/>
    <w:rsid w:val="564C12C9"/>
    <w:rsid w:val="57AE5C45"/>
    <w:rsid w:val="5801790F"/>
    <w:rsid w:val="585D74AD"/>
    <w:rsid w:val="58A6161D"/>
    <w:rsid w:val="58D35C9F"/>
    <w:rsid w:val="59B6573E"/>
    <w:rsid w:val="5A717E39"/>
    <w:rsid w:val="5BFD7927"/>
    <w:rsid w:val="5D004137"/>
    <w:rsid w:val="5D191106"/>
    <w:rsid w:val="5D3A2E91"/>
    <w:rsid w:val="5D683466"/>
    <w:rsid w:val="5E07046A"/>
    <w:rsid w:val="5ECD0CBA"/>
    <w:rsid w:val="5EEE1974"/>
    <w:rsid w:val="60CA0DE4"/>
    <w:rsid w:val="60E83340"/>
    <w:rsid w:val="61494175"/>
    <w:rsid w:val="616B6A69"/>
    <w:rsid w:val="618A50EB"/>
    <w:rsid w:val="61CD4084"/>
    <w:rsid w:val="61EE3878"/>
    <w:rsid w:val="622136D2"/>
    <w:rsid w:val="62227EFF"/>
    <w:rsid w:val="62821D6C"/>
    <w:rsid w:val="62F63414"/>
    <w:rsid w:val="6406501C"/>
    <w:rsid w:val="64826984"/>
    <w:rsid w:val="650F02D7"/>
    <w:rsid w:val="66123FF3"/>
    <w:rsid w:val="66947BB5"/>
    <w:rsid w:val="66950943"/>
    <w:rsid w:val="66F72652"/>
    <w:rsid w:val="673E235F"/>
    <w:rsid w:val="673F0D45"/>
    <w:rsid w:val="678705FA"/>
    <w:rsid w:val="68182AFD"/>
    <w:rsid w:val="692D12BE"/>
    <w:rsid w:val="6A516961"/>
    <w:rsid w:val="6ACC152B"/>
    <w:rsid w:val="6AD211AF"/>
    <w:rsid w:val="6B0242A5"/>
    <w:rsid w:val="6B23122A"/>
    <w:rsid w:val="6D521646"/>
    <w:rsid w:val="6D643BB1"/>
    <w:rsid w:val="6E08381B"/>
    <w:rsid w:val="6E1149F8"/>
    <w:rsid w:val="6EFF1686"/>
    <w:rsid w:val="6F52577A"/>
    <w:rsid w:val="6FB47993"/>
    <w:rsid w:val="704F29F9"/>
    <w:rsid w:val="720C7DC2"/>
    <w:rsid w:val="73830D52"/>
    <w:rsid w:val="73843B20"/>
    <w:rsid w:val="743D357C"/>
    <w:rsid w:val="745647DF"/>
    <w:rsid w:val="748266FC"/>
    <w:rsid w:val="74BB1228"/>
    <w:rsid w:val="7513740C"/>
    <w:rsid w:val="75514582"/>
    <w:rsid w:val="759A4515"/>
    <w:rsid w:val="75A81617"/>
    <w:rsid w:val="76092670"/>
    <w:rsid w:val="76680F03"/>
    <w:rsid w:val="767D593D"/>
    <w:rsid w:val="769E59C5"/>
    <w:rsid w:val="76CF1DF7"/>
    <w:rsid w:val="770171A7"/>
    <w:rsid w:val="770A7D21"/>
    <w:rsid w:val="777C5946"/>
    <w:rsid w:val="78867147"/>
    <w:rsid w:val="78B73442"/>
    <w:rsid w:val="78D775D8"/>
    <w:rsid w:val="78DC3E7D"/>
    <w:rsid w:val="78E41C51"/>
    <w:rsid w:val="7929784F"/>
    <w:rsid w:val="795F3624"/>
    <w:rsid w:val="7A9131A4"/>
    <w:rsid w:val="7B1B3E90"/>
    <w:rsid w:val="7B376CA9"/>
    <w:rsid w:val="7B5812CA"/>
    <w:rsid w:val="7BEB0099"/>
    <w:rsid w:val="7C710949"/>
    <w:rsid w:val="7E4E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4">
    <w:name w:val="heading 2"/>
    <w:basedOn w:val="1"/>
    <w:next w:val="1"/>
    <w:autoRedefine/>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5">
    <w:name w:val="heading 3"/>
    <w:basedOn w:val="1"/>
    <w:next w:val="1"/>
    <w:autoRedefine/>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Normal Indent"/>
    <w:basedOn w:val="1"/>
    <w:next w:val="7"/>
    <w:autoRedefine/>
    <w:qFormat/>
    <w:uiPriority w:val="0"/>
    <w:pPr>
      <w:ind w:firstLine="420"/>
    </w:pPr>
    <w:rPr>
      <w:szCs w:val="20"/>
    </w:rPr>
  </w:style>
  <w:style w:type="paragraph" w:styleId="7">
    <w:name w:val="toc 2"/>
    <w:basedOn w:val="1"/>
    <w:next w:val="1"/>
    <w:autoRedefine/>
    <w:qFormat/>
    <w:uiPriority w:val="0"/>
    <w:pPr>
      <w:tabs>
        <w:tab w:val="right" w:leader="dot" w:pos="10070"/>
      </w:tabs>
      <w:spacing w:line="480" w:lineRule="auto"/>
      <w:ind w:left="200" w:leftChars="200"/>
    </w:pPr>
  </w:style>
  <w:style w:type="paragraph" w:styleId="8">
    <w:name w:val="annotation text"/>
    <w:basedOn w:val="1"/>
    <w:link w:val="63"/>
    <w:autoRedefine/>
    <w:qFormat/>
    <w:uiPriority w:val="0"/>
    <w:pPr>
      <w:jc w:val="left"/>
    </w:pPr>
  </w:style>
  <w:style w:type="paragraph" w:styleId="9">
    <w:name w:val="Body Text"/>
    <w:basedOn w:val="1"/>
    <w:link w:val="34"/>
    <w:autoRedefine/>
    <w:semiHidden/>
    <w:unhideWhenUsed/>
    <w:qFormat/>
    <w:uiPriority w:val="99"/>
    <w:pPr>
      <w:spacing w:after="120"/>
    </w:pPr>
  </w:style>
  <w:style w:type="paragraph" w:styleId="10">
    <w:name w:val="Body Text Indent"/>
    <w:basedOn w:val="1"/>
    <w:next w:val="1"/>
    <w:link w:val="35"/>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150" w:rightChars="-150" w:firstLine="480" w:firstLineChars="200"/>
    </w:pPr>
    <w:rPr>
      <w:rFonts w:ascii="宋体"/>
      <w:sz w:val="24"/>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6"/>
    <w:autoRedefine/>
    <w:semiHidden/>
    <w:unhideWhenUsed/>
    <w:qFormat/>
    <w:uiPriority w:val="99"/>
    <w:rPr>
      <w:sz w:val="18"/>
      <w:szCs w:val="18"/>
    </w:rPr>
  </w:style>
  <w:style w:type="paragraph" w:styleId="15">
    <w:name w:val="footer"/>
    <w:basedOn w:val="1"/>
    <w:link w:val="3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8"/>
    <w:next w:val="8"/>
    <w:link w:val="64"/>
    <w:autoRedefine/>
    <w:semiHidden/>
    <w:unhideWhenUsed/>
    <w:qFormat/>
    <w:uiPriority w:val="99"/>
    <w:rPr>
      <w:b/>
      <w:bCs/>
    </w:rPr>
  </w:style>
  <w:style w:type="paragraph" w:styleId="21">
    <w:name w:val="Body Text First Indent"/>
    <w:basedOn w:val="9"/>
    <w:next w:val="1"/>
    <w:autoRedefine/>
    <w:qFormat/>
    <w:uiPriority w:val="0"/>
    <w:pPr>
      <w:ind w:firstLine="420" w:firstLineChars="100"/>
    </w:pPr>
  </w:style>
  <w:style w:type="paragraph" w:styleId="22">
    <w:name w:val="Body Text First Indent 2"/>
    <w:basedOn w:val="10"/>
    <w:autoRedefine/>
    <w:qFormat/>
    <w:uiPriority w:val="99"/>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autoRedefine/>
    <w:unhideWhenUsed/>
    <w:qFormat/>
    <w:uiPriority w:val="0"/>
    <w:rPr>
      <w:color w:val="0000FF"/>
      <w:u w:val="single"/>
    </w:rPr>
  </w:style>
  <w:style w:type="character" w:styleId="29">
    <w:name w:val="annotation reference"/>
    <w:basedOn w:val="25"/>
    <w:autoRedefine/>
    <w:semiHidden/>
    <w:unhideWhenUsed/>
    <w:qFormat/>
    <w:uiPriority w:val="99"/>
    <w:rPr>
      <w:sz w:val="21"/>
      <w:szCs w:val="21"/>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Normal Indent1"/>
    <w:basedOn w:val="1"/>
    <w:autoRedefine/>
    <w:qFormat/>
    <w:uiPriority w:val="0"/>
    <w:pPr>
      <w:ind w:firstLine="420" w:firstLineChars="200"/>
    </w:pPr>
  </w:style>
  <w:style w:type="character" w:customStyle="1" w:styleId="32">
    <w:name w:val="页眉 Char"/>
    <w:basedOn w:val="25"/>
    <w:link w:val="16"/>
    <w:autoRedefine/>
    <w:qFormat/>
    <w:uiPriority w:val="99"/>
    <w:rPr>
      <w:sz w:val="18"/>
      <w:szCs w:val="18"/>
    </w:rPr>
  </w:style>
  <w:style w:type="character" w:customStyle="1" w:styleId="33">
    <w:name w:val="页脚 Char"/>
    <w:basedOn w:val="25"/>
    <w:link w:val="15"/>
    <w:autoRedefine/>
    <w:qFormat/>
    <w:uiPriority w:val="99"/>
    <w:rPr>
      <w:sz w:val="18"/>
      <w:szCs w:val="18"/>
    </w:rPr>
  </w:style>
  <w:style w:type="character" w:customStyle="1" w:styleId="34">
    <w:name w:val="正文文本 Char"/>
    <w:basedOn w:val="25"/>
    <w:link w:val="9"/>
    <w:autoRedefine/>
    <w:semiHidden/>
    <w:qFormat/>
    <w:uiPriority w:val="99"/>
    <w:rPr>
      <w:rFonts w:ascii="Times New Roman" w:hAnsi="Times New Roman" w:eastAsia="宋体" w:cs="Times New Roman"/>
      <w:szCs w:val="24"/>
    </w:rPr>
  </w:style>
  <w:style w:type="character" w:customStyle="1" w:styleId="35">
    <w:name w:val="正文文本缩进 Char"/>
    <w:basedOn w:val="25"/>
    <w:link w:val="10"/>
    <w:autoRedefine/>
    <w:qFormat/>
    <w:uiPriority w:val="99"/>
    <w:rPr>
      <w:rFonts w:ascii="Times New Roman" w:hAnsi="Times New Roman" w:eastAsia="宋体" w:cs="Times New Roman"/>
      <w:szCs w:val="24"/>
    </w:rPr>
  </w:style>
  <w:style w:type="character" w:customStyle="1" w:styleId="36">
    <w:name w:val="批注框文本 Char"/>
    <w:basedOn w:val="25"/>
    <w:link w:val="14"/>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9"/>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style>
  <w:style w:type="paragraph" w:customStyle="1" w:styleId="56">
    <w:name w:val="正文（首行缩进2字符）"/>
    <w:basedOn w:val="1"/>
    <w:autoRedefine/>
    <w:qFormat/>
    <w:uiPriority w:val="0"/>
    <w:pPr>
      <w:ind w:firstLine="480" w:firstLineChars="200"/>
    </w:pPr>
    <w:rPr>
      <w:sz w:val="24"/>
      <w:szCs w:val="20"/>
    </w:rPr>
  </w:style>
  <w:style w:type="paragraph" w:customStyle="1" w:styleId="57">
    <w:name w:val="ssfa 正文"/>
    <w:basedOn w:val="1"/>
    <w:autoRedefine/>
    <w:qFormat/>
    <w:uiPriority w:val="0"/>
    <w:pPr>
      <w:spacing w:line="360" w:lineRule="auto"/>
      <w:ind w:firstLine="200" w:firstLineChars="200"/>
    </w:pPr>
    <w:rPr>
      <w:kern w:val="0"/>
      <w:sz w:val="24"/>
      <w:szCs w:val="28"/>
      <w:lang w:val="zh-CN"/>
    </w:rPr>
  </w:style>
  <w:style w:type="character" w:customStyle="1" w:styleId="58">
    <w:name w:val="NormalCharacter"/>
    <w:autoRedefine/>
    <w:semiHidden/>
    <w:qFormat/>
    <w:uiPriority w:val="0"/>
  </w:style>
  <w:style w:type="paragraph" w:customStyle="1" w:styleId="59">
    <w:name w:val="Body Text First Indent Char Char"/>
    <w:basedOn w:val="1"/>
    <w:autoRedefine/>
    <w:qFormat/>
    <w:uiPriority w:val="0"/>
    <w:pPr>
      <w:spacing w:after="120"/>
      <w:ind w:firstLine="100" w:firstLineChars="100"/>
    </w:pPr>
    <w:rPr>
      <w:rFonts w:cs="宋体"/>
      <w:szCs w:val="21"/>
    </w:rPr>
  </w:style>
  <w:style w:type="paragraph" w:customStyle="1" w:styleId="60">
    <w:name w:val="列出段落1"/>
    <w:basedOn w:val="1"/>
    <w:autoRedefine/>
    <w:qFormat/>
    <w:uiPriority w:val="34"/>
    <w:pPr>
      <w:ind w:firstLine="420" w:firstLineChars="200"/>
    </w:pPr>
  </w:style>
  <w:style w:type="paragraph" w:customStyle="1" w:styleId="61">
    <w:name w:val="表格内容"/>
    <w:basedOn w:val="1"/>
    <w:next w:val="1"/>
    <w:autoRedefine/>
    <w:qFormat/>
    <w:uiPriority w:val="0"/>
    <w:pPr>
      <w:adjustRightInd w:val="0"/>
      <w:snapToGrid w:val="0"/>
      <w:jc w:val="center"/>
      <w:textAlignment w:val="baseline"/>
    </w:pPr>
    <w:rPr>
      <w:rFonts w:ascii="Calibri" w:hAnsi="Calibri" w:cs="黑体"/>
      <w:color w:val="000000"/>
      <w:szCs w:val="22"/>
    </w:r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25"/>
    <w:link w:val="8"/>
    <w:autoRedefine/>
    <w:qFormat/>
    <w:uiPriority w:val="0"/>
    <w:rPr>
      <w:kern w:val="2"/>
      <w:sz w:val="21"/>
      <w:szCs w:val="24"/>
    </w:rPr>
  </w:style>
  <w:style w:type="character" w:customStyle="1" w:styleId="64">
    <w:name w:val="批注主题 Char"/>
    <w:basedOn w:val="63"/>
    <w:link w:val="20"/>
    <w:autoRedefine/>
    <w:semiHidden/>
    <w:qFormat/>
    <w:uiPriority w:val="99"/>
    <w:rPr>
      <w:b/>
      <w:bCs/>
      <w:kern w:val="2"/>
      <w:sz w:val="21"/>
      <w:szCs w:val="24"/>
    </w:rPr>
  </w:style>
  <w:style w:type="paragraph" w:customStyle="1" w:styleId="65">
    <w:name w:val="正文首行缩进1"/>
    <w:basedOn w:val="9"/>
    <w:autoRedefine/>
    <w:qFormat/>
    <w:uiPriority w:val="0"/>
    <w:pPr>
      <w:ind w:firstLine="420" w:firstLineChars="100"/>
    </w:pPr>
  </w:style>
  <w:style w:type="paragraph" w:customStyle="1" w:styleId="66">
    <w:name w:val="纯文本1"/>
    <w:basedOn w:val="53"/>
    <w:autoRedefine/>
    <w:qFormat/>
    <w:uiPriority w:val="0"/>
    <w:pPr>
      <w:widowControl/>
      <w:jc w:val="left"/>
    </w:pPr>
    <w:rPr>
      <w:rFonts w:ascii="宋体" w:hAnsi="Courier New"/>
      <w:szCs w:val="20"/>
    </w:rPr>
  </w:style>
  <w:style w:type="paragraph" w:customStyle="1" w:styleId="67">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32331</Words>
  <Characters>37397</Characters>
  <Lines>211</Lines>
  <Paragraphs>59</Paragraphs>
  <TotalTime>0</TotalTime>
  <ScaleCrop>false</ScaleCrop>
  <LinksUpToDate>false</LinksUpToDate>
  <CharactersWithSpaces>37891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cp:lastPrinted>2020-11-27T08:28:00Z</cp:lastPrinted>
  <dcterms:modified xsi:type="dcterms:W3CDTF">2025-06-25T06:14:33Z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710439D978874F4BB3A4C56762D37EB8_13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