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2"/>
        <w:jc w:val="center"/>
        <w:rPr>
          <w:rFonts w:hint="eastAsia" w:ascii="宋体" w:hAnsi="宋体" w:eastAsia="宋体" w:cs="宋体"/>
          <w:color w:val="auto"/>
          <w:highlight w:val="none"/>
        </w:rPr>
      </w:pPr>
    </w:p>
    <w:p w14:paraId="589055D1">
      <w:pPr>
        <w:pStyle w:val="2"/>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tzya2025-lq47</w:t>
      </w:r>
      <w:r>
        <w:rPr>
          <w:rFonts w:hint="eastAsia" w:ascii="宋体" w:hAnsi="宋体" w:eastAsia="宋体" w:cs="宋体"/>
          <w:color w:val="auto"/>
          <w:kern w:val="0"/>
          <w:sz w:val="28"/>
          <w:szCs w:val="28"/>
          <w:highlight w:val="none"/>
          <w:u w:val="single"/>
          <w:lang w:val="en-US" w:eastAsia="zh-CN"/>
        </w:rPr>
        <w:t xml:space="preserve"> </w:t>
      </w:r>
    </w:p>
    <w:p w14:paraId="73E885A2">
      <w:pPr>
        <w:pStyle w:val="2"/>
        <w:jc w:val="center"/>
        <w:rPr>
          <w:rFonts w:hint="eastAsia" w:ascii="宋体" w:hAnsi="宋体" w:eastAsia="宋体" w:cs="宋体"/>
          <w:color w:val="auto"/>
          <w:highlight w:val="none"/>
        </w:rPr>
      </w:pPr>
    </w:p>
    <w:p w14:paraId="1708585E">
      <w:pPr>
        <w:pStyle w:val="2"/>
        <w:jc w:val="both"/>
        <w:rPr>
          <w:rFonts w:hint="eastAsia" w:ascii="宋体" w:hAnsi="宋体" w:eastAsia="宋体" w:cs="宋体"/>
          <w:color w:val="auto"/>
          <w:highlight w:val="none"/>
        </w:rPr>
      </w:pPr>
    </w:p>
    <w:p w14:paraId="4C72AF17">
      <w:pPr>
        <w:pStyle w:val="2"/>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食堂外包服务项目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台州市路桥区横街镇人民政府</w:t>
      </w:r>
    </w:p>
    <w:p w14:paraId="37A6AD10">
      <w:pPr>
        <w:pStyle w:val="2"/>
        <w:rPr>
          <w:rFonts w:hint="eastAsia" w:ascii="宋体" w:hAnsi="宋体" w:eastAsia="宋体" w:cs="宋体"/>
          <w:color w:val="auto"/>
          <w:highlight w:val="none"/>
        </w:rPr>
      </w:pPr>
    </w:p>
    <w:p w14:paraId="4A758623">
      <w:pPr>
        <w:pStyle w:val="2"/>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2"/>
        <w:rPr>
          <w:rFonts w:hint="eastAsia" w:ascii="宋体" w:hAnsi="宋体" w:eastAsia="宋体" w:cs="宋体"/>
          <w:color w:val="auto"/>
          <w:highlight w:val="none"/>
        </w:rPr>
      </w:pPr>
    </w:p>
    <w:p w14:paraId="31A6DFC7">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4E71F3D">
      <w:pPr>
        <w:pStyle w:val="2"/>
        <w:jc w:val="center"/>
        <w:rPr>
          <w:rFonts w:hint="eastAsia" w:ascii="宋体" w:hAnsi="宋体" w:eastAsia="宋体" w:cs="宋体"/>
          <w:color w:val="auto"/>
          <w:kern w:val="0"/>
          <w:szCs w:val="21"/>
          <w:highlight w:val="none"/>
        </w:rPr>
      </w:pPr>
    </w:p>
    <w:p w14:paraId="293D9607">
      <w:pPr>
        <w:pStyle w:val="2"/>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2"/>
        <w:jc w:val="center"/>
        <w:rPr>
          <w:rFonts w:hint="eastAsia" w:ascii="宋体" w:hAnsi="宋体" w:eastAsia="宋体" w:cs="宋体"/>
          <w:color w:val="auto"/>
          <w:highlight w:val="none"/>
        </w:rPr>
      </w:pPr>
    </w:p>
    <w:p w14:paraId="50BA5BA5">
      <w:pPr>
        <w:pStyle w:val="2"/>
        <w:jc w:val="center"/>
        <w:rPr>
          <w:rFonts w:hint="eastAsia" w:ascii="宋体" w:hAnsi="宋体" w:eastAsia="宋体" w:cs="宋体"/>
          <w:color w:val="auto"/>
          <w:highlight w:val="none"/>
        </w:rPr>
      </w:pPr>
    </w:p>
    <w:p w14:paraId="1E1C4765">
      <w:pPr>
        <w:pStyle w:val="2"/>
        <w:jc w:val="center"/>
        <w:rPr>
          <w:rFonts w:hint="eastAsia" w:ascii="宋体" w:hAnsi="宋体" w:eastAsia="宋体" w:cs="宋体"/>
          <w:color w:val="auto"/>
          <w:highlight w:val="none"/>
        </w:rPr>
      </w:pPr>
    </w:p>
    <w:p w14:paraId="6222552D">
      <w:pPr>
        <w:pStyle w:val="2"/>
        <w:jc w:val="center"/>
        <w:rPr>
          <w:rFonts w:hint="eastAsia" w:ascii="宋体" w:hAnsi="宋体" w:eastAsia="宋体" w:cs="宋体"/>
          <w:color w:val="auto"/>
          <w:highlight w:val="none"/>
        </w:rPr>
      </w:pPr>
    </w:p>
    <w:p w14:paraId="331CADB1">
      <w:pPr>
        <w:pStyle w:val="2"/>
        <w:jc w:val="center"/>
        <w:rPr>
          <w:rFonts w:hint="eastAsia" w:ascii="宋体" w:hAnsi="宋体" w:eastAsia="宋体" w:cs="宋体"/>
          <w:color w:val="auto"/>
          <w:highlight w:val="none"/>
        </w:rPr>
      </w:pPr>
    </w:p>
    <w:p w14:paraId="7DA842D4">
      <w:pPr>
        <w:pStyle w:val="2"/>
        <w:jc w:val="center"/>
        <w:rPr>
          <w:rFonts w:hint="eastAsia" w:ascii="宋体" w:hAnsi="宋体" w:eastAsia="宋体" w:cs="宋体"/>
          <w:color w:val="auto"/>
          <w:highlight w:val="none"/>
        </w:rPr>
      </w:pPr>
    </w:p>
    <w:p w14:paraId="2D68CF0D">
      <w:pPr>
        <w:pStyle w:val="2"/>
        <w:jc w:val="center"/>
        <w:rPr>
          <w:rFonts w:hint="eastAsia" w:ascii="宋体" w:hAnsi="宋体" w:eastAsia="宋体" w:cs="宋体"/>
          <w:color w:val="auto"/>
          <w:highlight w:val="none"/>
        </w:rPr>
      </w:pPr>
    </w:p>
    <w:p w14:paraId="35BB7733">
      <w:pPr>
        <w:pStyle w:val="2"/>
        <w:jc w:val="center"/>
        <w:rPr>
          <w:rFonts w:hint="eastAsia" w:ascii="宋体" w:hAnsi="宋体" w:eastAsia="宋体" w:cs="宋体"/>
          <w:color w:val="auto"/>
          <w:highlight w:val="none"/>
        </w:rPr>
      </w:pPr>
    </w:p>
    <w:p w14:paraId="02B431F4">
      <w:pPr>
        <w:pStyle w:val="2"/>
        <w:jc w:val="center"/>
        <w:rPr>
          <w:rFonts w:hint="eastAsia" w:ascii="宋体" w:hAnsi="宋体" w:eastAsia="宋体" w:cs="宋体"/>
          <w:color w:val="auto"/>
          <w:highlight w:val="none"/>
        </w:rPr>
      </w:pPr>
    </w:p>
    <w:p w14:paraId="4F419DB2">
      <w:pPr>
        <w:pStyle w:val="2"/>
        <w:jc w:val="center"/>
        <w:rPr>
          <w:rFonts w:hint="eastAsia" w:ascii="宋体" w:hAnsi="宋体" w:eastAsia="宋体" w:cs="宋体"/>
          <w:color w:val="auto"/>
          <w:highlight w:val="none"/>
        </w:rPr>
      </w:pPr>
    </w:p>
    <w:p w14:paraId="1CFACB3E">
      <w:pPr>
        <w:pStyle w:val="2"/>
        <w:jc w:val="center"/>
        <w:rPr>
          <w:rFonts w:hint="eastAsia" w:ascii="宋体" w:hAnsi="宋体" w:eastAsia="宋体" w:cs="宋体"/>
          <w:color w:val="auto"/>
          <w:highlight w:val="none"/>
        </w:rPr>
      </w:pPr>
    </w:p>
    <w:p w14:paraId="6EA18690">
      <w:pPr>
        <w:pStyle w:val="2"/>
        <w:jc w:val="center"/>
        <w:rPr>
          <w:rFonts w:hint="eastAsia" w:ascii="宋体" w:hAnsi="宋体" w:eastAsia="宋体" w:cs="宋体"/>
          <w:color w:val="auto"/>
          <w:highlight w:val="none"/>
        </w:rPr>
      </w:pPr>
    </w:p>
    <w:p w14:paraId="429902BF">
      <w:pPr>
        <w:pStyle w:val="3"/>
        <w:rPr>
          <w:rFonts w:hint="eastAsia" w:ascii="宋体" w:hAnsi="宋体" w:eastAsia="宋体" w:cs="宋体"/>
          <w:color w:val="auto"/>
          <w:highlight w:val="none"/>
        </w:rPr>
      </w:pPr>
    </w:p>
    <w:p w14:paraId="0BAAC219">
      <w:pPr>
        <w:pStyle w:val="3"/>
        <w:rPr>
          <w:rFonts w:hint="eastAsia" w:ascii="宋体" w:hAnsi="宋体" w:eastAsia="宋体" w:cs="宋体"/>
          <w:color w:val="auto"/>
          <w:highlight w:val="none"/>
        </w:rPr>
      </w:pPr>
    </w:p>
    <w:p w14:paraId="1190BB94">
      <w:pPr>
        <w:pStyle w:val="2"/>
        <w:jc w:val="center"/>
        <w:rPr>
          <w:rFonts w:hint="eastAsia" w:ascii="宋体" w:hAnsi="宋体" w:eastAsia="宋体" w:cs="宋体"/>
          <w:color w:val="auto"/>
          <w:highlight w:val="none"/>
        </w:rPr>
      </w:pPr>
    </w:p>
    <w:p w14:paraId="077DDCED">
      <w:pPr>
        <w:pStyle w:val="3"/>
        <w:rPr>
          <w:rFonts w:hint="eastAsia" w:ascii="宋体" w:hAnsi="宋体" w:eastAsia="宋体" w:cs="宋体"/>
          <w:color w:val="auto"/>
          <w:highlight w:val="none"/>
        </w:rPr>
      </w:pPr>
    </w:p>
    <w:p w14:paraId="45DE0236">
      <w:pPr>
        <w:pStyle w:val="2"/>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台州市路桥区横街镇人民政府</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食堂外包服务项目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B1105</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食堂外包服务项目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tzya2025-lq47</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25"/>
        <w:gridCol w:w="838"/>
        <w:gridCol w:w="825"/>
        <w:gridCol w:w="1150"/>
        <w:gridCol w:w="129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38"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2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0"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9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食堂外包服务项目</w:t>
            </w:r>
          </w:p>
        </w:tc>
        <w:tc>
          <w:tcPr>
            <w:tcW w:w="15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38"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2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50"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35.2</w:t>
            </w:r>
          </w:p>
        </w:tc>
        <w:tc>
          <w:tcPr>
            <w:tcW w:w="1293" w:type="dxa"/>
            <w:noWrap w:val="0"/>
            <w:vAlign w:val="center"/>
          </w:tcPr>
          <w:p w14:paraId="3E6B06A9">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p>
        </w:tc>
      </w:tr>
    </w:tbl>
    <w:p w14:paraId="386FEC96">
      <w:pPr>
        <w:pStyle w:val="10"/>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BC02689">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w:t>
      </w:r>
      <w:r>
        <w:rPr>
          <w:rFonts w:hint="eastAsia" w:ascii="宋体" w:hAnsi="宋体" w:eastAsia="宋体" w:cs="宋体"/>
          <w:b/>
          <w:bCs w:val="0"/>
          <w:color w:val="auto"/>
          <w:sz w:val="21"/>
          <w:szCs w:val="21"/>
          <w:highlight w:val="none"/>
          <w:shd w:val="clear" w:color="auto" w:fill="auto"/>
        </w:rPr>
        <w:t>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日15:00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台州市路桥区横街镇人民政府</w:t>
      </w:r>
    </w:p>
    <w:p w14:paraId="15331E4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询问</w:t>
      </w:r>
      <w:r>
        <w:rPr>
          <w:rFonts w:hint="eastAsia" w:ascii="宋体" w:hAnsi="宋体" w:eastAsia="宋体" w:cs="宋体"/>
          <w:color w:val="auto"/>
          <w:szCs w:val="21"/>
          <w:highlight w:val="none"/>
        </w:rPr>
        <w:t>联系人：</w:t>
      </w:r>
      <w:r>
        <w:rPr>
          <w:rFonts w:hint="eastAsia" w:ascii="宋体" w:hAnsi="宋体" w:eastAsia="宋体" w:cs="宋体"/>
          <w:color w:val="auto"/>
          <w:sz w:val="21"/>
          <w:szCs w:val="21"/>
          <w:highlight w:val="none"/>
          <w:lang w:val="en-US" w:eastAsia="zh-CN"/>
        </w:rPr>
        <w:t>梁先生</w:t>
      </w:r>
      <w:r>
        <w:rPr>
          <w:rFonts w:hint="eastAsia" w:ascii="宋体" w:hAnsi="宋体" w:cs="宋体"/>
          <w:color w:val="auto"/>
          <w:szCs w:val="21"/>
          <w:highlight w:val="none"/>
          <w:lang w:val="en-US" w:eastAsia="zh-CN"/>
        </w:rPr>
        <w:t xml:space="preserve">      询问</w:t>
      </w:r>
      <w:r>
        <w:rPr>
          <w:rFonts w:hint="eastAsia" w:ascii="宋体" w:hAnsi="宋体" w:eastAsia="宋体" w:cs="宋体"/>
          <w:color w:val="auto"/>
          <w:szCs w:val="21"/>
          <w:highlight w:val="none"/>
        </w:rPr>
        <w:t>联系电话：</w:t>
      </w:r>
      <w:r>
        <w:rPr>
          <w:rFonts w:hint="eastAsia" w:ascii="宋体" w:hAnsi="宋体" w:eastAsia="宋体" w:cs="宋体"/>
          <w:color w:val="auto"/>
          <w:sz w:val="21"/>
          <w:szCs w:val="21"/>
          <w:highlight w:val="none"/>
          <w:lang w:eastAsia="zh-CN"/>
        </w:rPr>
        <w:t>0576-82651029</w:t>
      </w:r>
    </w:p>
    <w:p w14:paraId="5FFC9AC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王先生</w:t>
      </w:r>
      <w:r>
        <w:rPr>
          <w:rFonts w:hint="eastAsia" w:ascii="宋体" w:hAnsi="宋体" w:eastAsia="宋体" w:cs="宋体"/>
          <w:color w:val="auto"/>
          <w:szCs w:val="21"/>
          <w:highlight w:val="none"/>
        </w:rPr>
        <w:t xml:space="preserve">      质疑联系电话：</w:t>
      </w:r>
      <w:r>
        <w:rPr>
          <w:rFonts w:hint="eastAsia" w:ascii="宋体" w:hAnsi="宋体" w:eastAsia="宋体" w:cs="宋体"/>
          <w:color w:val="auto"/>
          <w:szCs w:val="21"/>
          <w:highlight w:val="none"/>
          <w:lang w:val="en-US" w:eastAsia="zh-CN"/>
        </w:rPr>
        <w:t>15868814795</w:t>
      </w:r>
    </w:p>
    <w:p w14:paraId="1336059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采购人地址：台州市路桥区新兴路60号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6230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0"/>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2"/>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二○二五年七月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（十）餐饮业</w:t>
            </w:r>
            <w:r>
              <w:rPr>
                <w:rFonts w:hint="eastAsia" w:ascii="宋体" w:hAnsi="宋体" w:eastAsia="宋体" w:cs="宋体"/>
                <w:color w:val="auto"/>
                <w:sz w:val="21"/>
                <w:szCs w:val="21"/>
                <w:highlight w:val="none"/>
              </w:rPr>
              <w:t>。</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6BA27FBE">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8ECDE34">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节能产品、环保产品：无要求；</w:t>
            </w:r>
          </w:p>
          <w:p w14:paraId="05DD72F7">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样品：无要求；</w:t>
            </w:r>
          </w:p>
          <w:p w14:paraId="1A92DFA6">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现场演示：无要求。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eastAsia="宋体" w:cs="宋体"/>
                <w:color w:val="auto"/>
                <w:szCs w:val="21"/>
                <w:highlight w:val="none"/>
                <w:lang w:val="en-US" w:eastAsia="zh-CN"/>
              </w:rPr>
              <w:t>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0"/>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D9AF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（3）商务及技术响应表</w:t>
      </w:r>
      <w:r>
        <w:rPr>
          <w:rFonts w:hint="eastAsia" w:ascii="宋体" w:hAnsi="宋体" w:cs="宋体"/>
          <w:color w:val="auto"/>
          <w:sz w:val="21"/>
          <w:szCs w:val="21"/>
          <w:highlight w:val="none"/>
          <w:lang w:eastAsia="zh-CN"/>
        </w:rPr>
        <w:t>。</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报价明细表</w:t>
      </w:r>
      <w:r>
        <w:rPr>
          <w:rFonts w:hint="eastAsia" w:ascii="宋体" w:hAnsi="宋体" w:eastAsia="宋体" w:cs="宋体"/>
          <w:b/>
          <w:bCs/>
          <w:color w:val="auto"/>
          <w:sz w:val="21"/>
          <w:szCs w:val="21"/>
          <w:highlight w:val="none"/>
        </w:rPr>
        <w:t>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104"/>
        <w:gridCol w:w="6693"/>
        <w:gridCol w:w="664"/>
      </w:tblGrid>
      <w:tr w14:paraId="3D217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098" w:type="dxa"/>
            <w:gridSpan w:val="2"/>
            <w:tcBorders>
              <w:bottom w:val="single" w:color="auto" w:sz="4" w:space="0"/>
            </w:tcBorders>
            <w:vAlign w:val="center"/>
          </w:tcPr>
          <w:p w14:paraId="4A532182">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评分项目</w:t>
            </w:r>
          </w:p>
        </w:tc>
        <w:tc>
          <w:tcPr>
            <w:tcW w:w="6693" w:type="dxa"/>
            <w:vAlign w:val="center"/>
          </w:tcPr>
          <w:p w14:paraId="12A3F6C0">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评分内容</w:t>
            </w:r>
          </w:p>
        </w:tc>
        <w:tc>
          <w:tcPr>
            <w:tcW w:w="664" w:type="dxa"/>
            <w:vAlign w:val="center"/>
          </w:tcPr>
          <w:p w14:paraId="0473827A">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分值</w:t>
            </w:r>
          </w:p>
        </w:tc>
      </w:tr>
      <w:tr w14:paraId="407DB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EA3F52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1BE5BF">
            <w:pPr>
              <w:bidi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1104" w:type="dxa"/>
            <w:tcBorders>
              <w:top w:val="single" w:color="auto" w:sz="4" w:space="0"/>
              <w:left w:val="single" w:color="auto" w:sz="4" w:space="0"/>
            </w:tcBorders>
            <w:vAlign w:val="center"/>
          </w:tcPr>
          <w:p w14:paraId="320D41B3">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693" w:type="dxa"/>
            <w:vAlign w:val="center"/>
          </w:tcPr>
          <w:p w14:paraId="52525C18">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食堂项目业绩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F798CAB">
            <w:pPr>
              <w:bidi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同一服务单位不重复计算</w:t>
            </w:r>
            <w:r>
              <w:rPr>
                <w:rFonts w:hint="eastAsia" w:ascii="宋体" w:hAnsi="宋体" w:cs="宋体"/>
                <w:b/>
                <w:bCs/>
                <w:color w:val="auto"/>
                <w:sz w:val="21"/>
                <w:szCs w:val="21"/>
                <w:highlight w:val="none"/>
                <w:lang w:eastAsia="zh-CN"/>
              </w:rPr>
              <w:t>。</w:t>
            </w:r>
          </w:p>
          <w:p w14:paraId="45A7E025">
            <w:pPr>
              <w:bidi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305535D2">
            <w:pPr>
              <w:bidi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p>
        </w:tc>
      </w:tr>
      <w:tr w14:paraId="0D03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38BC62">
            <w:pPr>
              <w:bidi w:val="0"/>
              <w:jc w:val="center"/>
              <w:rPr>
                <w:rFonts w:hint="eastAsia" w:ascii="宋体" w:hAnsi="宋体" w:eastAsia="宋体" w:cs="宋体"/>
                <w:color w:val="auto"/>
                <w:sz w:val="21"/>
                <w:szCs w:val="21"/>
                <w:highlight w:val="none"/>
              </w:rPr>
            </w:pPr>
          </w:p>
        </w:tc>
        <w:tc>
          <w:tcPr>
            <w:tcW w:w="1104" w:type="dxa"/>
            <w:vMerge w:val="restart"/>
            <w:tcBorders>
              <w:top w:val="single" w:color="auto" w:sz="4" w:space="0"/>
              <w:left w:val="single" w:color="auto" w:sz="4" w:space="0"/>
            </w:tcBorders>
            <w:vAlign w:val="center"/>
          </w:tcPr>
          <w:p w14:paraId="50F9D1F4">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项目组人员的配备与管理</w:t>
            </w:r>
          </w:p>
        </w:tc>
        <w:tc>
          <w:tcPr>
            <w:tcW w:w="6693" w:type="dxa"/>
            <w:tcBorders>
              <w:top w:val="single" w:color="auto" w:sz="4" w:space="0"/>
            </w:tcBorders>
            <w:vAlign w:val="center"/>
          </w:tcPr>
          <w:p w14:paraId="4571F9E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拟派本项目厨师</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w:t>
            </w:r>
          </w:p>
          <w:p w14:paraId="3A6012C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2AD59A7">
            <w:pPr>
              <w:bidi w:val="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Cs w:val="21"/>
                <w:highlight w:val="none"/>
              </w:rPr>
              <w:t>）</w:t>
            </w:r>
          </w:p>
        </w:tc>
        <w:tc>
          <w:tcPr>
            <w:tcW w:w="664" w:type="dxa"/>
            <w:vAlign w:val="center"/>
          </w:tcPr>
          <w:p w14:paraId="47C14B47">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224A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CD32A7B">
            <w:pPr>
              <w:bidi w:val="0"/>
              <w:jc w:val="center"/>
              <w:rPr>
                <w:rFonts w:hint="eastAsia" w:ascii="宋体" w:hAnsi="宋体" w:eastAsia="宋体" w:cs="宋体"/>
                <w:color w:val="auto"/>
                <w:sz w:val="21"/>
                <w:szCs w:val="21"/>
                <w:highlight w:val="none"/>
              </w:rPr>
            </w:pPr>
          </w:p>
        </w:tc>
        <w:tc>
          <w:tcPr>
            <w:tcW w:w="1104" w:type="dxa"/>
            <w:vMerge w:val="continue"/>
            <w:tcBorders>
              <w:left w:val="single" w:color="auto" w:sz="4" w:space="0"/>
            </w:tcBorders>
            <w:vAlign w:val="center"/>
          </w:tcPr>
          <w:p w14:paraId="2C83428C">
            <w:pPr>
              <w:bidi w:val="0"/>
              <w:jc w:val="center"/>
              <w:rPr>
                <w:rFonts w:hint="eastAsia" w:ascii="宋体" w:hAnsi="宋体" w:eastAsia="宋体" w:cs="宋体"/>
                <w:color w:val="auto"/>
                <w:sz w:val="21"/>
                <w:szCs w:val="21"/>
                <w:highlight w:val="none"/>
              </w:rPr>
            </w:pPr>
          </w:p>
        </w:tc>
        <w:tc>
          <w:tcPr>
            <w:tcW w:w="6693" w:type="dxa"/>
            <w:vAlign w:val="center"/>
          </w:tcPr>
          <w:p w14:paraId="6863359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拟投入本项目的服务团队人员配置情况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厨师长除外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DF5490F">
            <w:pPr>
              <w:bidi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具有中式面点师证书的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971A8CB">
            <w:pPr>
              <w:bidi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1359C613">
            <w:pPr>
              <w:bidi w:val="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本项最高得10分。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72023FF6">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533F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restart"/>
            <w:tcBorders>
              <w:top w:val="single" w:color="auto" w:sz="4" w:space="0"/>
            </w:tcBorders>
            <w:vAlign w:val="center"/>
          </w:tcPr>
          <w:p w14:paraId="62B892B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770AA433">
            <w:pPr>
              <w:bidi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1104" w:type="dxa"/>
            <w:vMerge w:val="restart"/>
            <w:vAlign w:val="center"/>
          </w:tcPr>
          <w:p w14:paraId="77FC19E3">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服务管理方案</w:t>
            </w:r>
          </w:p>
        </w:tc>
        <w:tc>
          <w:tcPr>
            <w:tcW w:w="6693" w:type="dxa"/>
            <w:vAlign w:val="center"/>
          </w:tcPr>
          <w:p w14:paraId="48FB1405">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整体服务方案：</w:t>
            </w:r>
          </w:p>
          <w:p w14:paraId="4C071FAA">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根据投标人对本项目整体情况的了解、分析，制作的整体服务方案进行打分。</w:t>
            </w:r>
          </w:p>
          <w:p w14:paraId="710AF61F">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总体服务思路正确严谨、对本项目的针对性强的得3.0-5.0分；</w:t>
            </w:r>
          </w:p>
          <w:p w14:paraId="13ABD054">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总体服务思路简单、缺乏对本项目的针对性的得0.1-2.9分；</w:t>
            </w:r>
          </w:p>
          <w:p w14:paraId="42A1B1A3">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1BE23CAD">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C97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continue"/>
            <w:vAlign w:val="center"/>
          </w:tcPr>
          <w:p w14:paraId="52FE2F03">
            <w:pPr>
              <w:bidi w:val="0"/>
              <w:jc w:val="center"/>
              <w:rPr>
                <w:rFonts w:hint="eastAsia" w:ascii="宋体" w:hAnsi="宋体" w:eastAsia="宋体" w:cs="宋体"/>
                <w:color w:val="auto"/>
                <w:sz w:val="21"/>
                <w:szCs w:val="21"/>
                <w:highlight w:val="none"/>
                <w:lang w:eastAsia="zh-CN"/>
              </w:rPr>
            </w:pPr>
          </w:p>
        </w:tc>
        <w:tc>
          <w:tcPr>
            <w:tcW w:w="1104" w:type="dxa"/>
            <w:vMerge w:val="continue"/>
            <w:vAlign w:val="center"/>
          </w:tcPr>
          <w:p w14:paraId="74303BD4">
            <w:pPr>
              <w:bidi w:val="0"/>
              <w:jc w:val="center"/>
              <w:rPr>
                <w:rFonts w:hint="eastAsia" w:ascii="宋体" w:hAnsi="宋体" w:eastAsia="宋体" w:cs="宋体"/>
                <w:color w:val="auto"/>
                <w:sz w:val="21"/>
                <w:szCs w:val="21"/>
                <w:highlight w:val="none"/>
              </w:rPr>
            </w:pPr>
          </w:p>
        </w:tc>
        <w:tc>
          <w:tcPr>
            <w:tcW w:w="6693" w:type="dxa"/>
            <w:vAlign w:val="center"/>
          </w:tcPr>
          <w:p w14:paraId="6D63289B">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就餐服务方案：</w:t>
            </w:r>
          </w:p>
          <w:p w14:paraId="317CB02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根据投标人提供的早、中、晚餐服务方案，包括菜肴的品种数量、荤素营养搭配、花色花样变化、价格等是否合理进行打分</w:t>
            </w:r>
            <w:r>
              <w:rPr>
                <w:rFonts w:hint="eastAsia" w:ascii="宋体" w:hAnsi="宋体" w:eastAsia="宋体" w:cs="宋体"/>
                <w:color w:val="auto"/>
                <w:sz w:val="21"/>
                <w:szCs w:val="21"/>
                <w:highlight w:val="none"/>
                <w:lang w:eastAsia="zh-CN"/>
              </w:rPr>
              <w:t>。</w:t>
            </w:r>
          </w:p>
          <w:p w14:paraId="2C9DE59C">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品种搭配花样丰富的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A9C687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品种搭配单一的得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90913C4">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3C9ACB0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C6A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994" w:type="dxa"/>
            <w:vMerge w:val="continue"/>
            <w:vAlign w:val="center"/>
          </w:tcPr>
          <w:p w14:paraId="64104F63">
            <w:pPr>
              <w:bidi w:val="0"/>
              <w:jc w:val="center"/>
              <w:rPr>
                <w:rFonts w:hint="eastAsia" w:ascii="宋体" w:hAnsi="宋体" w:eastAsia="宋体" w:cs="宋体"/>
                <w:color w:val="auto"/>
                <w:sz w:val="21"/>
                <w:szCs w:val="21"/>
                <w:highlight w:val="none"/>
              </w:rPr>
            </w:pPr>
          </w:p>
        </w:tc>
        <w:tc>
          <w:tcPr>
            <w:tcW w:w="1104" w:type="dxa"/>
            <w:vMerge w:val="continue"/>
            <w:vAlign w:val="center"/>
          </w:tcPr>
          <w:p w14:paraId="0664F30D">
            <w:pPr>
              <w:bidi w:val="0"/>
              <w:jc w:val="center"/>
              <w:rPr>
                <w:rFonts w:hint="eastAsia" w:ascii="宋体" w:hAnsi="宋体" w:eastAsia="宋体" w:cs="宋体"/>
                <w:color w:val="auto"/>
                <w:sz w:val="21"/>
                <w:szCs w:val="21"/>
                <w:highlight w:val="none"/>
              </w:rPr>
            </w:pPr>
          </w:p>
        </w:tc>
        <w:tc>
          <w:tcPr>
            <w:tcW w:w="6693" w:type="dxa"/>
            <w:vAlign w:val="center"/>
          </w:tcPr>
          <w:p w14:paraId="5CDB8AFE">
            <w:pPr>
              <w:bidi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食堂环境卫生服务方案</w:t>
            </w:r>
            <w:r>
              <w:rPr>
                <w:rFonts w:hint="eastAsia" w:ascii="宋体" w:hAnsi="宋体" w:eastAsia="宋体" w:cs="宋体"/>
                <w:b/>
                <w:bCs/>
                <w:color w:val="auto"/>
                <w:sz w:val="21"/>
                <w:szCs w:val="21"/>
                <w:highlight w:val="none"/>
                <w:lang w:eastAsia="zh-CN"/>
              </w:rPr>
              <w:t>：</w:t>
            </w:r>
          </w:p>
          <w:p w14:paraId="7D7BEE4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食堂环境卫生服务方案（包括餐桌、地面、餐具、排水沟、设备设施、工具、员工仪表等）以及落实的保障措施等情况进行打分</w:t>
            </w:r>
            <w:r>
              <w:rPr>
                <w:rFonts w:hint="eastAsia" w:ascii="宋体" w:hAnsi="宋体" w:eastAsia="宋体" w:cs="宋体"/>
                <w:color w:val="auto"/>
                <w:sz w:val="21"/>
                <w:szCs w:val="21"/>
                <w:highlight w:val="none"/>
                <w:lang w:eastAsia="zh-CN"/>
              </w:rPr>
              <w:t>。</w:t>
            </w:r>
          </w:p>
          <w:p w14:paraId="51107841">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设备清洁措施全面、食堂卫生有保障的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CE5582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设备清洁方案简单、粗糙，没有具体保障措施的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12EFA4">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1D7DFBA9">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CE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94" w:type="dxa"/>
            <w:vMerge w:val="continue"/>
            <w:vAlign w:val="center"/>
          </w:tcPr>
          <w:p w14:paraId="4DF30AC9">
            <w:pPr>
              <w:bidi w:val="0"/>
              <w:jc w:val="center"/>
              <w:rPr>
                <w:rFonts w:hint="eastAsia" w:ascii="宋体" w:hAnsi="宋体" w:eastAsia="宋体" w:cs="宋体"/>
                <w:color w:val="auto"/>
                <w:sz w:val="21"/>
                <w:szCs w:val="21"/>
                <w:highlight w:val="none"/>
              </w:rPr>
            </w:pPr>
          </w:p>
        </w:tc>
        <w:tc>
          <w:tcPr>
            <w:tcW w:w="1104" w:type="dxa"/>
            <w:vMerge w:val="continue"/>
            <w:vAlign w:val="center"/>
          </w:tcPr>
          <w:p w14:paraId="69BAB95F">
            <w:pPr>
              <w:bidi w:val="0"/>
              <w:jc w:val="center"/>
              <w:rPr>
                <w:rFonts w:hint="eastAsia" w:ascii="宋体" w:hAnsi="宋体" w:eastAsia="宋体" w:cs="宋体"/>
                <w:color w:val="auto"/>
                <w:sz w:val="21"/>
                <w:szCs w:val="21"/>
                <w:highlight w:val="none"/>
              </w:rPr>
            </w:pPr>
          </w:p>
        </w:tc>
        <w:tc>
          <w:tcPr>
            <w:tcW w:w="6693" w:type="dxa"/>
            <w:vAlign w:val="center"/>
          </w:tcPr>
          <w:p w14:paraId="0417054B">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管理方案：</w:t>
            </w:r>
          </w:p>
          <w:p w14:paraId="1A36BD43">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制定的管理制度、保证员工提供优质服务等管理方案内容（包括服务质量、班次调配、人员分工、岗位职责等）进行打分</w:t>
            </w:r>
            <w:r>
              <w:rPr>
                <w:rFonts w:hint="eastAsia" w:ascii="宋体" w:hAnsi="宋体" w:eastAsia="宋体" w:cs="宋体"/>
                <w:color w:val="auto"/>
                <w:sz w:val="21"/>
                <w:szCs w:val="21"/>
                <w:highlight w:val="none"/>
                <w:lang w:eastAsia="zh-CN"/>
              </w:rPr>
              <w:t>。</w:t>
            </w:r>
          </w:p>
          <w:p w14:paraId="0718BC6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分工明确、工作效率和服务质量高的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E04B94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分工模糊、岗位职责不明确，效率低的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99FB97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6F3D4A9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8D0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94" w:type="dxa"/>
            <w:vMerge w:val="continue"/>
            <w:vAlign w:val="center"/>
          </w:tcPr>
          <w:p w14:paraId="4974EA54">
            <w:pPr>
              <w:bidi w:val="0"/>
              <w:jc w:val="center"/>
              <w:rPr>
                <w:rFonts w:hint="eastAsia" w:ascii="宋体" w:hAnsi="宋体" w:eastAsia="宋体" w:cs="宋体"/>
                <w:color w:val="auto"/>
                <w:sz w:val="21"/>
                <w:szCs w:val="21"/>
                <w:highlight w:val="none"/>
              </w:rPr>
            </w:pPr>
          </w:p>
        </w:tc>
        <w:tc>
          <w:tcPr>
            <w:tcW w:w="1104" w:type="dxa"/>
            <w:vMerge w:val="continue"/>
            <w:vAlign w:val="center"/>
          </w:tcPr>
          <w:p w14:paraId="2C5D4FD0">
            <w:pPr>
              <w:bidi w:val="0"/>
              <w:jc w:val="center"/>
              <w:rPr>
                <w:rFonts w:hint="eastAsia" w:ascii="宋体" w:hAnsi="宋体" w:eastAsia="宋体" w:cs="宋体"/>
                <w:color w:val="auto"/>
                <w:sz w:val="21"/>
                <w:szCs w:val="21"/>
                <w:highlight w:val="none"/>
              </w:rPr>
            </w:pPr>
          </w:p>
        </w:tc>
        <w:tc>
          <w:tcPr>
            <w:tcW w:w="6693" w:type="dxa"/>
            <w:vAlign w:val="center"/>
          </w:tcPr>
          <w:p w14:paraId="3BBC0D7B">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安全预防及投诉处理方案：</w:t>
            </w:r>
          </w:p>
          <w:p w14:paraId="7FCF355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食品安全、环境安全、食堂工作人员及就餐人员的卫生防疫、疾病控制预防、事故及投诉应急处理预案</w:t>
            </w:r>
            <w:r>
              <w:rPr>
                <w:rFonts w:hint="eastAsia" w:ascii="宋体" w:hAnsi="宋体" w:eastAsia="宋体" w:cs="宋体"/>
                <w:color w:val="auto"/>
                <w:sz w:val="21"/>
                <w:szCs w:val="21"/>
                <w:highlight w:val="none"/>
                <w:lang w:val="en-US" w:eastAsia="zh-CN"/>
              </w:rPr>
              <w:t>进行打分。</w:t>
            </w:r>
          </w:p>
          <w:p w14:paraId="72DDDEA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安全预防阐述详细、全面，卫生防疫措施严密、有保障的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DF97164">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安全预防和防疫措施简单，缺乏针对性和有效性的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29CD51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580DDDD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668D6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0764AF33">
            <w:pPr>
              <w:bidi w:val="0"/>
              <w:jc w:val="center"/>
              <w:rPr>
                <w:rFonts w:hint="eastAsia" w:ascii="宋体" w:hAnsi="宋体" w:eastAsia="宋体" w:cs="宋体"/>
                <w:color w:val="auto"/>
                <w:sz w:val="21"/>
                <w:szCs w:val="21"/>
                <w:highlight w:val="none"/>
              </w:rPr>
            </w:pPr>
          </w:p>
        </w:tc>
        <w:tc>
          <w:tcPr>
            <w:tcW w:w="1104" w:type="dxa"/>
            <w:vMerge w:val="continue"/>
            <w:vAlign w:val="center"/>
          </w:tcPr>
          <w:p w14:paraId="507B4509">
            <w:pPr>
              <w:bidi w:val="0"/>
              <w:jc w:val="center"/>
              <w:rPr>
                <w:rFonts w:hint="eastAsia" w:ascii="宋体" w:hAnsi="宋体" w:eastAsia="宋体" w:cs="宋体"/>
                <w:color w:val="auto"/>
                <w:sz w:val="21"/>
                <w:szCs w:val="21"/>
                <w:highlight w:val="none"/>
              </w:rPr>
            </w:pPr>
          </w:p>
        </w:tc>
        <w:tc>
          <w:tcPr>
            <w:tcW w:w="6693" w:type="dxa"/>
            <w:vAlign w:val="center"/>
          </w:tcPr>
          <w:p w14:paraId="52EDC668">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后勤管理方案：</w:t>
            </w:r>
          </w:p>
          <w:p w14:paraId="35A1037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对食堂的后勤、卫生、保洁工作的描述及承诺进行打分</w:t>
            </w:r>
            <w:r>
              <w:rPr>
                <w:rFonts w:hint="eastAsia" w:ascii="宋体" w:hAnsi="宋体" w:eastAsia="宋体" w:cs="宋体"/>
                <w:color w:val="auto"/>
                <w:sz w:val="21"/>
                <w:szCs w:val="21"/>
                <w:highlight w:val="none"/>
                <w:lang w:eastAsia="zh-CN"/>
              </w:rPr>
              <w:t>。</w:t>
            </w:r>
          </w:p>
          <w:p w14:paraId="0FB6C98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后勤保洁方案详细、有效保证卫生整洁的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92A955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缺乏具体的后勤保洁方案，无法保证卫生整洁的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AA832EC">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4019EC6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212B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4522A819">
            <w:pPr>
              <w:bidi w:val="0"/>
              <w:jc w:val="center"/>
              <w:rPr>
                <w:rFonts w:hint="eastAsia" w:ascii="宋体" w:hAnsi="宋体" w:eastAsia="宋体" w:cs="宋体"/>
                <w:color w:val="auto"/>
                <w:sz w:val="21"/>
                <w:szCs w:val="21"/>
                <w:highlight w:val="none"/>
              </w:rPr>
            </w:pPr>
          </w:p>
        </w:tc>
        <w:tc>
          <w:tcPr>
            <w:tcW w:w="1104" w:type="dxa"/>
            <w:vMerge w:val="continue"/>
            <w:vAlign w:val="center"/>
          </w:tcPr>
          <w:p w14:paraId="4C4C54AA">
            <w:pPr>
              <w:bidi w:val="0"/>
              <w:jc w:val="center"/>
              <w:rPr>
                <w:rFonts w:hint="eastAsia" w:ascii="宋体" w:hAnsi="宋体" w:eastAsia="宋体" w:cs="宋体"/>
                <w:color w:val="auto"/>
                <w:sz w:val="21"/>
                <w:szCs w:val="21"/>
                <w:highlight w:val="none"/>
              </w:rPr>
            </w:pPr>
          </w:p>
        </w:tc>
        <w:tc>
          <w:tcPr>
            <w:tcW w:w="6693" w:type="dxa"/>
            <w:vAlign w:val="center"/>
          </w:tcPr>
          <w:p w14:paraId="6D2A1E97">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物品管理方案：</w:t>
            </w:r>
          </w:p>
          <w:p w14:paraId="41FC7BC2">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针对食堂内所提供的物品维护、保存、管理方案进行打分</w:t>
            </w:r>
            <w:r>
              <w:rPr>
                <w:rFonts w:hint="eastAsia" w:ascii="宋体" w:hAnsi="宋体" w:eastAsia="宋体" w:cs="宋体"/>
                <w:color w:val="auto"/>
                <w:sz w:val="21"/>
                <w:szCs w:val="21"/>
                <w:highlight w:val="none"/>
                <w:lang w:eastAsia="zh-CN"/>
              </w:rPr>
              <w:t>。</w:t>
            </w:r>
          </w:p>
          <w:p w14:paraId="1847578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管理方案先进、专业，能对物品完好保存的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2A72B85">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管理方案简单、片面，容易造成物品丢失，缺乏严谨性的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CD83C38">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1890E860">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22BF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03024E31">
            <w:pPr>
              <w:bidi w:val="0"/>
              <w:jc w:val="center"/>
              <w:rPr>
                <w:rFonts w:hint="eastAsia" w:ascii="宋体" w:hAnsi="宋体" w:eastAsia="宋体" w:cs="宋体"/>
                <w:color w:val="auto"/>
                <w:sz w:val="21"/>
                <w:szCs w:val="21"/>
                <w:highlight w:val="none"/>
              </w:rPr>
            </w:pPr>
          </w:p>
        </w:tc>
        <w:tc>
          <w:tcPr>
            <w:tcW w:w="1104" w:type="dxa"/>
            <w:vAlign w:val="center"/>
          </w:tcPr>
          <w:p w14:paraId="6F2D7E2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质量管控</w:t>
            </w:r>
          </w:p>
        </w:tc>
        <w:tc>
          <w:tcPr>
            <w:tcW w:w="6693" w:type="dxa"/>
            <w:vAlign w:val="center"/>
          </w:tcPr>
          <w:p w14:paraId="1BF5CA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根据投标人提供的质量保证措施，包括菜谱的品种，菜谱的质量保证，食材料的使用量控制等内容进行打分。</w:t>
            </w:r>
          </w:p>
          <w:p w14:paraId="089A98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质控措施全面，合理可行，能有效保障并有针对性的得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.0分；</w:t>
            </w:r>
          </w:p>
          <w:p w14:paraId="0792D4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措施简单，内容不完整但基本能保障的得0.1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.9分；</w:t>
            </w:r>
          </w:p>
          <w:p w14:paraId="2A00804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lang w:val="en-US" w:eastAsia="zh-CN"/>
              </w:rPr>
              <w:t>未提及此项不得分。</w:t>
            </w:r>
          </w:p>
        </w:tc>
        <w:tc>
          <w:tcPr>
            <w:tcW w:w="664" w:type="dxa"/>
            <w:vAlign w:val="center"/>
          </w:tcPr>
          <w:p w14:paraId="31E0322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3</w:t>
            </w:r>
          </w:p>
        </w:tc>
      </w:tr>
      <w:tr w14:paraId="4F15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94" w:type="dxa"/>
            <w:vMerge w:val="continue"/>
            <w:vAlign w:val="center"/>
          </w:tcPr>
          <w:p w14:paraId="59771FCF">
            <w:pPr>
              <w:bidi w:val="0"/>
              <w:jc w:val="center"/>
              <w:rPr>
                <w:rFonts w:hint="eastAsia" w:ascii="宋体" w:hAnsi="宋体" w:eastAsia="宋体" w:cs="宋体"/>
                <w:color w:val="auto"/>
                <w:sz w:val="21"/>
                <w:szCs w:val="21"/>
                <w:highlight w:val="none"/>
              </w:rPr>
            </w:pPr>
          </w:p>
        </w:tc>
        <w:tc>
          <w:tcPr>
            <w:tcW w:w="1104" w:type="dxa"/>
            <w:vAlign w:val="center"/>
          </w:tcPr>
          <w:p w14:paraId="707CBDAD">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人员培训管理方案</w:t>
            </w:r>
          </w:p>
        </w:tc>
        <w:tc>
          <w:tcPr>
            <w:tcW w:w="6693" w:type="dxa"/>
            <w:vAlign w:val="center"/>
          </w:tcPr>
          <w:p w14:paraId="1D773E5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根据投标人提供的人员培训方式及内容、人员管理、考核标准、奖罚措施、奖惩淘汰机制等情况进行打分。</w:t>
            </w:r>
          </w:p>
          <w:p w14:paraId="3156867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人员管理、培训方式专业，考核标准详细，具有可实施性和激励性的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1AB5FD7">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人员管理、培训方式缺乏针对性，考核标准简单片面的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D3D9F6B">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5EE7591B">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4CD0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994" w:type="dxa"/>
            <w:vMerge w:val="continue"/>
            <w:vAlign w:val="center"/>
          </w:tcPr>
          <w:p w14:paraId="0DA4BF3F">
            <w:pPr>
              <w:bidi w:val="0"/>
              <w:jc w:val="center"/>
              <w:rPr>
                <w:rFonts w:hint="eastAsia" w:ascii="宋体" w:hAnsi="宋体" w:eastAsia="宋体" w:cs="宋体"/>
                <w:color w:val="auto"/>
                <w:sz w:val="21"/>
                <w:szCs w:val="21"/>
                <w:highlight w:val="none"/>
              </w:rPr>
            </w:pPr>
          </w:p>
        </w:tc>
        <w:tc>
          <w:tcPr>
            <w:tcW w:w="1104" w:type="dxa"/>
            <w:vAlign w:val="center"/>
          </w:tcPr>
          <w:p w14:paraId="46A4DCE4">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节能措施</w:t>
            </w:r>
          </w:p>
        </w:tc>
        <w:tc>
          <w:tcPr>
            <w:tcW w:w="6693" w:type="dxa"/>
            <w:vAlign w:val="center"/>
          </w:tcPr>
          <w:p w14:paraId="195A0C8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针对投标人提供的节能管理措施进行打分。</w:t>
            </w:r>
          </w:p>
          <w:p w14:paraId="7967979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节能措施全面，能有效保证食堂整体节能的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363FE7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726742C">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59C8FEF">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1CBA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74C2441C">
            <w:pPr>
              <w:bidi w:val="0"/>
              <w:jc w:val="center"/>
              <w:rPr>
                <w:rFonts w:hint="eastAsia" w:ascii="宋体" w:hAnsi="宋体" w:eastAsia="宋体" w:cs="宋体"/>
                <w:color w:val="auto"/>
                <w:sz w:val="21"/>
                <w:szCs w:val="21"/>
                <w:highlight w:val="none"/>
              </w:rPr>
            </w:pPr>
          </w:p>
        </w:tc>
        <w:tc>
          <w:tcPr>
            <w:tcW w:w="1104" w:type="dxa"/>
            <w:vAlign w:val="center"/>
          </w:tcPr>
          <w:p w14:paraId="39560B1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应急预案</w:t>
            </w:r>
          </w:p>
        </w:tc>
        <w:tc>
          <w:tcPr>
            <w:tcW w:w="6693" w:type="dxa"/>
            <w:vAlign w:val="center"/>
          </w:tcPr>
          <w:p w14:paraId="04AC47B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针对投标人提供的公众突发事件应急预案、消防应急预案，对食堂的防火应急措施进行打分。</w:t>
            </w:r>
          </w:p>
          <w:p w14:paraId="21CB5729">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应急预案严谨、全面，能及时应对突发事件的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48B992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678B15B">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281337D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3836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vAlign w:val="center"/>
          </w:tcPr>
          <w:p w14:paraId="02DC8249">
            <w:pPr>
              <w:bidi w:val="0"/>
              <w:jc w:val="center"/>
              <w:rPr>
                <w:rFonts w:hint="eastAsia" w:ascii="宋体" w:hAnsi="宋体" w:eastAsia="宋体" w:cs="宋体"/>
                <w:color w:val="auto"/>
                <w:sz w:val="21"/>
                <w:szCs w:val="21"/>
                <w:highlight w:val="none"/>
              </w:rPr>
            </w:pPr>
          </w:p>
        </w:tc>
        <w:tc>
          <w:tcPr>
            <w:tcW w:w="1104" w:type="dxa"/>
            <w:vAlign w:val="center"/>
          </w:tcPr>
          <w:p w14:paraId="62AA46D2">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合理化建议</w:t>
            </w:r>
          </w:p>
        </w:tc>
        <w:tc>
          <w:tcPr>
            <w:tcW w:w="6693" w:type="dxa"/>
            <w:vAlign w:val="center"/>
          </w:tcPr>
          <w:p w14:paraId="227B84A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根据投标人依据本项目服务要求、采购单位需求提出的合理化建议进行打分。</w:t>
            </w:r>
          </w:p>
          <w:p w14:paraId="3C21FBE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6082D98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14:paraId="6DBA0E92">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17A8FE5">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r>
      <w:tr w14:paraId="086A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tcBorders>
              <w:bottom w:val="single" w:color="auto" w:sz="4" w:space="0"/>
            </w:tcBorders>
            <w:vAlign w:val="center"/>
          </w:tcPr>
          <w:p w14:paraId="709EA698">
            <w:pPr>
              <w:bidi w:val="0"/>
              <w:jc w:val="center"/>
              <w:rPr>
                <w:rFonts w:hint="eastAsia" w:ascii="宋体" w:hAnsi="宋体" w:eastAsia="宋体" w:cs="宋体"/>
                <w:color w:val="auto"/>
                <w:sz w:val="21"/>
                <w:szCs w:val="21"/>
                <w:highlight w:val="none"/>
              </w:rPr>
            </w:pPr>
          </w:p>
        </w:tc>
        <w:tc>
          <w:tcPr>
            <w:tcW w:w="1104" w:type="dxa"/>
            <w:vAlign w:val="center"/>
          </w:tcPr>
          <w:p w14:paraId="3EAA5F62">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693" w:type="dxa"/>
            <w:vAlign w:val="center"/>
          </w:tcPr>
          <w:p w14:paraId="1AFD3E3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根据投标人对本项目做出的服务承诺进行打分。</w:t>
            </w:r>
          </w:p>
          <w:p w14:paraId="0E0D4FDD">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服务承诺全面，能保证本项目各项劳务事务顺利接管的得3.0-5.0分；</w:t>
            </w:r>
          </w:p>
          <w:p w14:paraId="7C24B67B">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服务承诺简单，难以保证顺利接管的得0.1-2.9分；</w:t>
            </w:r>
          </w:p>
          <w:p w14:paraId="089FD5C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085DA693">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FCC8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098" w:type="dxa"/>
            <w:gridSpan w:val="2"/>
            <w:vAlign w:val="center"/>
          </w:tcPr>
          <w:p w14:paraId="4D053B02">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712E1633">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693" w:type="dxa"/>
            <w:vAlign w:val="center"/>
          </w:tcPr>
          <w:p w14:paraId="60BCF0EF">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取投标合格供应商的投标最终报价最低价为评标基准价，基准价为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分。投标报价得分=(评标基准价／投标报价)×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%×100 。（小数点后保留2位小数）。</w:t>
            </w:r>
          </w:p>
        </w:tc>
        <w:tc>
          <w:tcPr>
            <w:tcW w:w="664" w:type="dxa"/>
            <w:vAlign w:val="center"/>
          </w:tcPr>
          <w:p w14:paraId="5B329BF8">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14:paraId="66319A19">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590981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eastAsia="宋体" w:cs="宋体"/>
          <w:b/>
          <w:bCs w:val="0"/>
          <w:color w:val="auto"/>
          <w:sz w:val="21"/>
          <w:szCs w:val="21"/>
          <w:highlight w:val="none"/>
          <w:lang w:val="en-US" w:eastAsia="zh-CN"/>
        </w:rPr>
        <w:t>概况</w:t>
      </w:r>
    </w:p>
    <w:p w14:paraId="5E3405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、管理方式：托管方式。即：</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提供专业的管理和服务团队（主要包括管理人员、厨师队伍、面点师、服务人员等），并负责主副食的加工供应，不负责原材料的采购</w:t>
      </w:r>
      <w:r>
        <w:rPr>
          <w:rFonts w:hint="eastAsia" w:ascii="宋体" w:hAnsi="宋体" w:eastAsia="宋体" w:cs="宋体"/>
          <w:color w:val="auto"/>
          <w:sz w:val="21"/>
          <w:szCs w:val="21"/>
          <w:highlight w:val="none"/>
          <w:lang w:eastAsia="zh-CN"/>
        </w:rPr>
        <w:t>但须协助采购人对原材料进行质量和价格的把控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免费提供厨房、餐厅、仓库、全套厨房设备、餐具等，并承担食堂所有的水、电、煤气及其他必要的基础设施和对设施的正常维护。</w:t>
      </w:r>
    </w:p>
    <w:p w14:paraId="69549D3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、用餐时间与人数：</w:t>
      </w:r>
      <w:r>
        <w:rPr>
          <w:rFonts w:hint="eastAsia" w:ascii="宋体" w:hAnsi="宋体" w:eastAsia="宋体" w:cs="宋体"/>
          <w:b w:val="0"/>
          <w:bCs/>
          <w:color w:val="auto"/>
          <w:sz w:val="21"/>
          <w:szCs w:val="21"/>
          <w:highlight w:val="none"/>
          <w:lang w:val="en-US" w:eastAsia="zh-CN"/>
        </w:rPr>
        <w:t>全年365天提供早中晚三餐，根据采购方需求落实加班餐；值班时提供晚餐。</w:t>
      </w:r>
      <w:r>
        <w:rPr>
          <w:rFonts w:hint="eastAsia" w:ascii="宋体" w:hAnsi="宋体" w:eastAsia="宋体" w:cs="宋体"/>
          <w:b w:val="0"/>
          <w:bCs/>
          <w:color w:val="auto"/>
          <w:sz w:val="21"/>
          <w:szCs w:val="21"/>
          <w:highlight w:val="none"/>
        </w:rPr>
        <w:t>工作日早餐开餐时间为7:30至8：30，中</w:t>
      </w:r>
      <w:r>
        <w:rPr>
          <w:rFonts w:hint="eastAsia" w:ascii="宋体" w:hAnsi="宋体" w:eastAsia="宋体" w:cs="宋体"/>
          <w:color w:val="auto"/>
          <w:sz w:val="21"/>
          <w:szCs w:val="21"/>
          <w:highlight w:val="none"/>
        </w:rPr>
        <w:t>晚餐以下班时间为准，开餐40分钟后收餐；工作日就餐人数约</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人，具体人数以实际就餐人数为准。</w:t>
      </w:r>
    </w:p>
    <w:p w14:paraId="040741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val="en-US" w:eastAsia="zh-CN"/>
        </w:rPr>
        <w:t>二、具体要求</w:t>
      </w:r>
    </w:p>
    <w:p w14:paraId="178CD54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要以“采购人满意”、“就餐机关干部职工满意”为目标，要在管理制度化、服务精细化、制作标准化上下功夫，严格执行采购人所制订的各项规章制度，自觉服从采购人日常监督管理，并制订配套的内部管理制度，内容应涵盖食品安全、环境卫生、人员管理、成本管理、请销假制度等。投标文件中应提供上述制度资料，并作为资信技术标一项评分依据。</w:t>
      </w:r>
    </w:p>
    <w:p w14:paraId="5680348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的要求，于每周</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前制订好下一周食谱，报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审定后实施。食谱的制订应按照应时、应地、应人的原则，倡导少油、少糖、少盐的健康理念，做到一周不重样，每月有创新，具体要求如下：</w:t>
      </w:r>
    </w:p>
    <w:p w14:paraId="179AD23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早餐主要为：肉包、馒头等主食不少于5个，面点、稀饭、豆浆、油条、蔬菜等。中餐至少保障12个以上，晚餐至少保障6个以上菜品及2个以上面点，荤素搭配，具体由采购人决定。</w:t>
      </w:r>
    </w:p>
    <w:p w14:paraId="61DF072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）中标人根据就餐人数、食材成本及有关损耗，按照“保本经营”原则确定菜品价格，报采购人审定后实施，中标人不得擅自改动。中标人应及时掌握就餐人数变化，调整食材供应数量，减少浪费。</w:t>
      </w:r>
    </w:p>
    <w:p w14:paraId="4F012AF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投标文件中应提供第一个月的食谱。</w:t>
      </w:r>
    </w:p>
    <w:p w14:paraId="5195CC0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3、原材料采购由采购人负责，油、米、调料及低值易耗品也由采购人提供并计入成本。</w:t>
      </w:r>
    </w:p>
    <w:p w14:paraId="78EC69E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4、按照收支平衡的原则进行运作。</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须使用计算机收费刷卡系统，设备由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提供，就餐员工预交的费用由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统一收取，不得赊欠帐款；</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刷卡就餐时不得多扣磁卡存款，不得负数消费，未经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同意不得发放各种形式的就餐券，不得采用现金方式交易。若发现现金交易的，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有权无条件终止合同，并没收管理费。</w:t>
      </w:r>
    </w:p>
    <w:p w14:paraId="1DCF306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要爱护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提供的房产和餐饮炊具设备等，负责日常养护管理，如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人为原因造成的设备设施损坏、遗失，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应照价赔偿。</w:t>
      </w:r>
    </w:p>
    <w:p w14:paraId="5ECBCAF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要落实好《食品安全法》、“五四”卫生制度和《台州市餐饮服务重点单位食品安全主体责任痕迹化管理实施意见》。负责好食堂的饮食安全卫生，签约时还需与采购人签订《餐饮服务食品安全责任书》和《社会治安综合治理目标管理责任书》。中标人要落实好病媒生物防制工作，定期组织“除四害”，保持四害密度少于食品卫生部门规定的要求，采购人也定期组织检查，对中标人没有达到要求的一次扣款500元；没有定期组织“除四害”的扣款2000元；无除四害相关台账的扣款5000元，以上扣款处罚从下一月的承包服务费中直接扣除。</w:t>
      </w:r>
    </w:p>
    <w:p w14:paraId="39F1AF3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不得储藏、加工、提供变质食品，每餐做好食品留样。负责联系供应商提供营业执照及食品安全检验检疫相关合格证。如在制作过程中因使用变质、腐烂等食材引起食物中毒或因其他原因造成不良后果，损害就餐机关干部职工身体健康的现象，中标人必须承担由此造成的一切责任和经济损失，采购人有权单方面终止合同。</w:t>
      </w:r>
    </w:p>
    <w:p w14:paraId="09F9509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应落实专人对餐厅、加工间等场所进行常态化的环境卫生打扫管理和设备设施的清洗保养。</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应划分好卫生包干区域，并报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审定后实施。</w:t>
      </w:r>
    </w:p>
    <w:p w14:paraId="3DB91D2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应每年组织所属员工进行健康检查，费用由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负责，确保所属人员持有有效健康证；</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应定期开展职业道德、安全教育、卫生教育和技能培训等，不断提高员工素质；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员工应统一着装上岗，上岗时穿戴好工作服、工作帽和口罩等，如不按规定着装，每人每次扣款五十元，并从下一月的承包服务费中直接扣除；</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员工如发生偷盗行为的，视情采取扣款处罚、辞退、移送公安机关等措施，直至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p>
    <w:p w14:paraId="27C7131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自行按时发放所属工作人员的工资、福利、劳保用品和奖金等，并负责对工作人员进行遵纪守法和安全卫生教育，如发生意外伤残、伤亡事故，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不承担任何经济损失和相关责任。</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必须与所聘用的从业人员签订劳务用工合同，并按规定缴纳五险一金。</w:t>
      </w:r>
    </w:p>
    <w:p w14:paraId="4CDD6BE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不负责承担食堂在承包期内所有水电煤气费，但是，必须做到节约使用。</w:t>
      </w:r>
    </w:p>
    <w:p w14:paraId="748D0BC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在承包期间不得变更房产结构，不得变换基本设施，若因经营服务需要，对经营场所进行装修，需书面报告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同意后方可实施。</w:t>
      </w:r>
    </w:p>
    <w:p w14:paraId="3501EA9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13、中标人必须每天统计食堂运营相关数据，每月上报食堂运营报表。</w:t>
      </w:r>
    </w:p>
    <w:p w14:paraId="661E5D8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中标人须根据采购人规定时间按时为就餐干部职工提供优质服务，不得提前或延迟开饭时间(特殊情况如开会、接待、会餐及有特殊工作任务等要服从采购人指定的时间)，坚持服务第一的宗旨，做到热情服务、文明待人。    </w:t>
      </w:r>
    </w:p>
    <w:p w14:paraId="3A55A05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在托管期内所聘工作人员须报</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认可备案后方可上岗。</w:t>
      </w:r>
      <w:r>
        <w:rPr>
          <w:rFonts w:hint="eastAsia" w:ascii="宋体" w:hAnsi="宋体" w:eastAsia="宋体" w:cs="宋体"/>
          <w:color w:val="auto"/>
          <w:sz w:val="21"/>
          <w:szCs w:val="21"/>
          <w:highlight w:val="none"/>
        </w:rPr>
        <w:t>如果所聘人员不符合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要求，必须及时调整，否则，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有权扣除相应费用，直至终止合同，并禁止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应保证全员在岗，如因员工辞职，请假等原因出现缺勤情况，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应及时调整、补充人员，否则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有权按缺勤天数和人数，从下一月的承包服务费中直接扣除相应金额；</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员工请销假的，应办理书面手续，并及时报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每月填制《人员进出情况表》，并报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p>
    <w:p w14:paraId="6E0AD4A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需保障会议和接待用餐，不另外支付费用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CB5A5E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须严格履行合同要求，不得转包给其他运营者，否则，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将单方面终止合同，由此产生的后果和损失均有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负责，并禁止</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今后组织的类似项目招标。</w:t>
      </w:r>
    </w:p>
    <w:p w14:paraId="39F5E3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三、人员配置要求</w:t>
      </w:r>
    </w:p>
    <w:p w14:paraId="243CF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需管理服务人员总计不得少于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人，其中项目经理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厨师长1人，厨师1人，面点师1人，以上三人均需一年以上餐饮行业从业经验，洗杂等相关服务人员不少于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人，男的年龄需在60周岁以下，女的年龄在50周岁以下。所有人员都要有相应餐饮行业工作经验，新晋人员要有不少于一周时间的岗前培训。</w:t>
      </w:r>
    </w:p>
    <w:p w14:paraId="231FCE9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2、投标文件中应提供拟派驻本项目的</w:t>
      </w: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w:t>
      </w:r>
      <w:r>
        <w:rPr>
          <w:rFonts w:hint="eastAsia" w:ascii="宋体" w:hAnsi="宋体" w:eastAsia="宋体" w:cs="宋体"/>
          <w:color w:val="auto"/>
          <w:sz w:val="21"/>
          <w:szCs w:val="21"/>
          <w:highlight w:val="none"/>
        </w:rPr>
        <w:t>、厨师、面点师的相关从业经历和资质证书复印件。</w:t>
      </w:r>
      <w:r>
        <w:rPr>
          <w:rFonts w:hint="eastAsia" w:ascii="宋体" w:hAnsi="宋体" w:eastAsia="宋体" w:cs="宋体"/>
          <w:color w:val="auto"/>
          <w:sz w:val="21"/>
          <w:szCs w:val="21"/>
          <w:highlight w:val="none"/>
          <w:u w:val="single"/>
        </w:rPr>
        <w:t>作为资信技术标的本项目人员配备情况主要评分依据。中标人必须按投标承诺确保项目经理兼厨师长、厨师、面点师和标书提供的人员一致，派驻前如以上三人因某些原因和标书所述不相符需作人员调整的话，需事先经得采购人同意，未经得采购人同意中标人私自对以上三人作调整，并和投标时提供的人员资料不相符的情况，每人次扣款20000元作为处罚，直至采购人无条件</w:t>
      </w:r>
      <w:r>
        <w:rPr>
          <w:rFonts w:hint="eastAsia" w:ascii="宋体" w:hAnsi="宋体" w:eastAsia="宋体" w:cs="宋体"/>
          <w:color w:val="auto"/>
          <w:sz w:val="21"/>
          <w:szCs w:val="21"/>
          <w:highlight w:val="none"/>
          <w:u w:val="single"/>
          <w:lang w:eastAsia="zh-CN"/>
        </w:rPr>
        <w:t>终止</w:t>
      </w:r>
      <w:r>
        <w:rPr>
          <w:rFonts w:hint="eastAsia" w:ascii="宋体" w:hAnsi="宋体" w:eastAsia="宋体" w:cs="宋体"/>
          <w:color w:val="auto"/>
          <w:sz w:val="21"/>
          <w:szCs w:val="21"/>
          <w:highlight w:val="none"/>
          <w:u w:val="single"/>
        </w:rPr>
        <w:t>合同，并禁止中标人参加采购人今后组织的类似项目招标。</w:t>
      </w:r>
    </w:p>
    <w:p w14:paraId="10C600F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none"/>
          <w:lang w:val="en-US" w:eastAsia="zh-CN"/>
        </w:rPr>
        <w:t>3、</w:t>
      </w:r>
      <w:r>
        <w:rPr>
          <w:rFonts w:hint="eastAsia" w:ascii="宋体" w:hAnsi="宋体" w:eastAsia="宋体" w:cs="宋体"/>
          <w:b w:val="0"/>
          <w:bCs w:val="0"/>
          <w:color w:val="auto"/>
          <w:sz w:val="21"/>
          <w:szCs w:val="21"/>
          <w:highlight w:val="none"/>
          <w:lang w:val="en-US" w:eastAsia="zh-CN"/>
        </w:rPr>
        <w:t>采购人指派一名早餐管理人员(工资由中标人列支)</w:t>
      </w:r>
      <w:r>
        <w:rPr>
          <w:rFonts w:hint="eastAsia" w:ascii="宋体" w:hAnsi="宋体" w:cs="宋体"/>
          <w:b w:val="0"/>
          <w:bCs w:val="0"/>
          <w:color w:val="auto"/>
          <w:sz w:val="21"/>
          <w:szCs w:val="21"/>
          <w:highlight w:val="none"/>
          <w:lang w:val="en-US" w:eastAsia="zh-CN"/>
        </w:rPr>
        <w:t>。</w:t>
      </w:r>
    </w:p>
    <w:p w14:paraId="6CA9DC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四、食堂食品加工服务费用构成</w:t>
      </w:r>
    </w:p>
    <w:p w14:paraId="3A65D09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人工工资费用</w:t>
      </w:r>
    </w:p>
    <w:p w14:paraId="38075B7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五险一金</w:t>
      </w:r>
    </w:p>
    <w:p w14:paraId="48FE9A8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福利</w:t>
      </w:r>
    </w:p>
    <w:p w14:paraId="34FE67A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行政办公费用</w:t>
      </w:r>
    </w:p>
    <w:p w14:paraId="73A6D5C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管理费用</w:t>
      </w:r>
    </w:p>
    <w:p w14:paraId="05B217C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法定税费</w:t>
      </w:r>
    </w:p>
    <w:p w14:paraId="43F55BD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招标代理服务费</w:t>
      </w:r>
    </w:p>
    <w:p w14:paraId="147B57D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其它费用</w:t>
      </w:r>
    </w:p>
    <w:p w14:paraId="64DA290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注：其它费用包括员工培训、员工工作服、食堂内</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除四害</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、食堂内标识张贴等费用。</w:t>
      </w:r>
    </w:p>
    <w:tbl>
      <w:tblPr>
        <w:tblStyle w:val="2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25"/>
        <w:gridCol w:w="2505"/>
        <w:gridCol w:w="876"/>
        <w:gridCol w:w="2457"/>
        <w:gridCol w:w="839"/>
      </w:tblGrid>
      <w:tr w14:paraId="311B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58" w:type="dxa"/>
            <w:gridSpan w:val="6"/>
            <w:noWrap w:val="0"/>
            <w:vAlign w:val="center"/>
          </w:tcPr>
          <w:p w14:paraId="04146D39">
            <w:pPr>
              <w:widowControl/>
              <w:jc w:val="center"/>
              <w:rPr>
                <w:rFonts w:hint="eastAsia" w:ascii="宋体" w:hAnsi="宋体" w:eastAsia="宋体" w:cs="宋体"/>
                <w:bCs/>
                <w:color w:val="auto"/>
                <w:kern w:val="0"/>
                <w:sz w:val="24"/>
                <w:highlight w:val="none"/>
              </w:rPr>
            </w:pPr>
            <w:r>
              <w:rPr>
                <w:rFonts w:hint="eastAsia" w:ascii="宋体" w:hAnsi="宋体" w:eastAsia="宋体" w:cs="宋体"/>
                <w:b/>
                <w:bCs/>
                <w:color w:val="auto"/>
                <w:kern w:val="0"/>
                <w:sz w:val="24"/>
                <w:highlight w:val="none"/>
                <w:lang w:eastAsia="zh-CN"/>
              </w:rPr>
              <w:t>台州市路桥区横街镇人民政府</w:t>
            </w:r>
            <w:r>
              <w:rPr>
                <w:rFonts w:hint="eastAsia" w:ascii="宋体" w:hAnsi="宋体" w:eastAsia="宋体" w:cs="宋体"/>
                <w:b/>
                <w:bCs/>
                <w:color w:val="auto"/>
                <w:kern w:val="0"/>
                <w:sz w:val="24"/>
                <w:highlight w:val="none"/>
              </w:rPr>
              <w:t>食堂精细化管理评分表</w:t>
            </w:r>
          </w:p>
        </w:tc>
      </w:tr>
      <w:tr w14:paraId="42B5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noWrap w:val="0"/>
            <w:vAlign w:val="center"/>
          </w:tcPr>
          <w:p w14:paraId="4F389A4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425" w:type="dxa"/>
            <w:noWrap w:val="0"/>
            <w:vAlign w:val="center"/>
          </w:tcPr>
          <w:p w14:paraId="0892831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考核项目</w:t>
            </w:r>
          </w:p>
        </w:tc>
        <w:tc>
          <w:tcPr>
            <w:tcW w:w="2505" w:type="dxa"/>
            <w:noWrap w:val="0"/>
            <w:vAlign w:val="center"/>
          </w:tcPr>
          <w:p w14:paraId="0571733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考核标准</w:t>
            </w:r>
          </w:p>
        </w:tc>
        <w:tc>
          <w:tcPr>
            <w:tcW w:w="876" w:type="dxa"/>
            <w:noWrap w:val="0"/>
            <w:vAlign w:val="center"/>
          </w:tcPr>
          <w:p w14:paraId="6C739AFB">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标准分</w:t>
            </w:r>
          </w:p>
        </w:tc>
        <w:tc>
          <w:tcPr>
            <w:tcW w:w="2457" w:type="dxa"/>
            <w:noWrap w:val="0"/>
            <w:vAlign w:val="center"/>
          </w:tcPr>
          <w:p w14:paraId="635DF54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评分标准</w:t>
            </w:r>
          </w:p>
        </w:tc>
        <w:tc>
          <w:tcPr>
            <w:tcW w:w="839" w:type="dxa"/>
            <w:noWrap w:val="0"/>
            <w:vAlign w:val="center"/>
          </w:tcPr>
          <w:p w14:paraId="7441148F">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扣分情况</w:t>
            </w:r>
          </w:p>
        </w:tc>
      </w:tr>
      <w:tr w14:paraId="679C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56" w:type="dxa"/>
            <w:noWrap w:val="0"/>
            <w:vAlign w:val="center"/>
          </w:tcPr>
          <w:p w14:paraId="26BC7807">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425" w:type="dxa"/>
            <w:noWrap w:val="0"/>
            <w:vAlign w:val="center"/>
          </w:tcPr>
          <w:p w14:paraId="202C761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响应程度</w:t>
            </w:r>
          </w:p>
        </w:tc>
        <w:tc>
          <w:tcPr>
            <w:tcW w:w="2505" w:type="dxa"/>
            <w:noWrap w:val="0"/>
            <w:vAlign w:val="center"/>
          </w:tcPr>
          <w:p w14:paraId="0A265DC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是否服从业主方管理；是否及时落实业主方合理工作安排；是否及时整改存在的问题。</w:t>
            </w:r>
          </w:p>
        </w:tc>
        <w:tc>
          <w:tcPr>
            <w:tcW w:w="876" w:type="dxa"/>
            <w:noWrap w:val="0"/>
            <w:vAlign w:val="center"/>
          </w:tcPr>
          <w:p w14:paraId="5E29C07A">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2457" w:type="dxa"/>
            <w:noWrap w:val="0"/>
            <w:vAlign w:val="center"/>
          </w:tcPr>
          <w:p w14:paraId="278979E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优得20分，良好</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分，合格</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分；不合格不得分</w:t>
            </w:r>
          </w:p>
        </w:tc>
        <w:tc>
          <w:tcPr>
            <w:tcW w:w="839" w:type="dxa"/>
            <w:noWrap w:val="0"/>
            <w:vAlign w:val="center"/>
          </w:tcPr>
          <w:p w14:paraId="6A24BDC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044F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56" w:type="dxa"/>
            <w:noWrap w:val="0"/>
            <w:vAlign w:val="center"/>
          </w:tcPr>
          <w:p w14:paraId="7948CE7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1425" w:type="dxa"/>
            <w:noWrap w:val="0"/>
            <w:vAlign w:val="center"/>
          </w:tcPr>
          <w:p w14:paraId="5ED22CE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服务满意度</w:t>
            </w:r>
          </w:p>
        </w:tc>
        <w:tc>
          <w:tcPr>
            <w:tcW w:w="2505" w:type="dxa"/>
            <w:noWrap w:val="0"/>
            <w:vAlign w:val="center"/>
          </w:tcPr>
          <w:p w14:paraId="180FB66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每季度组织一次满意度测评，满意度是否达到业主方设定的标准。</w:t>
            </w:r>
          </w:p>
        </w:tc>
        <w:tc>
          <w:tcPr>
            <w:tcW w:w="876" w:type="dxa"/>
            <w:noWrap w:val="0"/>
            <w:vAlign w:val="center"/>
          </w:tcPr>
          <w:p w14:paraId="753B8407">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25</w:t>
            </w:r>
          </w:p>
        </w:tc>
        <w:tc>
          <w:tcPr>
            <w:tcW w:w="2457" w:type="dxa"/>
            <w:noWrap w:val="0"/>
            <w:vAlign w:val="center"/>
          </w:tcPr>
          <w:p w14:paraId="4B3E540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测评得分90分以上得</w:t>
            </w:r>
            <w:r>
              <w:rPr>
                <w:rFonts w:hint="eastAsia" w:ascii="宋体"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分，80-90分</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分；80分</w:t>
            </w:r>
            <w:r>
              <w:rPr>
                <w:rFonts w:hint="eastAsia" w:ascii="宋体" w:hAnsi="宋体" w:eastAsia="宋体" w:cs="宋体"/>
                <w:color w:val="auto"/>
                <w:kern w:val="0"/>
                <w:sz w:val="22"/>
                <w:szCs w:val="22"/>
                <w:highlight w:val="none"/>
                <w:lang w:eastAsia="zh-CN"/>
              </w:rPr>
              <w:t>以下</w:t>
            </w:r>
            <w:r>
              <w:rPr>
                <w:rFonts w:hint="eastAsia" w:ascii="宋体" w:hAnsi="宋体" w:eastAsia="宋体" w:cs="宋体"/>
                <w:color w:val="auto"/>
                <w:kern w:val="0"/>
                <w:sz w:val="22"/>
                <w:szCs w:val="22"/>
                <w:highlight w:val="none"/>
              </w:rPr>
              <w:t>不得分</w:t>
            </w:r>
          </w:p>
        </w:tc>
        <w:tc>
          <w:tcPr>
            <w:tcW w:w="839" w:type="dxa"/>
            <w:noWrap w:val="0"/>
            <w:vAlign w:val="center"/>
          </w:tcPr>
          <w:p w14:paraId="3B1ABD2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4E2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6" w:type="dxa"/>
            <w:vMerge w:val="restart"/>
            <w:noWrap w:val="0"/>
            <w:vAlign w:val="center"/>
          </w:tcPr>
          <w:p w14:paraId="01F4C14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1425" w:type="dxa"/>
            <w:vMerge w:val="restart"/>
            <w:noWrap w:val="0"/>
            <w:vAlign w:val="center"/>
          </w:tcPr>
          <w:p w14:paraId="1A463FF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人员管理 </w:t>
            </w:r>
          </w:p>
        </w:tc>
        <w:tc>
          <w:tcPr>
            <w:tcW w:w="2505" w:type="dxa"/>
            <w:noWrap w:val="0"/>
            <w:vAlign w:val="center"/>
          </w:tcPr>
          <w:p w14:paraId="644877D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出勤：按服务标准设定排班表，确保相关人员到岗，并定期向业主单位提供人员考勤表，缺岗的扣分。人员进出必须填报《人员变动情况表》，新晋人员未上报业主单位审核的。</w:t>
            </w:r>
          </w:p>
        </w:tc>
        <w:tc>
          <w:tcPr>
            <w:tcW w:w="876" w:type="dxa"/>
            <w:vMerge w:val="restart"/>
            <w:noWrap w:val="0"/>
            <w:vAlign w:val="center"/>
          </w:tcPr>
          <w:p w14:paraId="0A5DA11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45FE4EA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每发现一人次扣1分</w:t>
            </w:r>
          </w:p>
        </w:tc>
        <w:tc>
          <w:tcPr>
            <w:tcW w:w="839" w:type="dxa"/>
            <w:noWrap w:val="0"/>
            <w:vAlign w:val="center"/>
          </w:tcPr>
          <w:p w14:paraId="0213C60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FF0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6" w:type="dxa"/>
            <w:vMerge w:val="continue"/>
            <w:noWrap w:val="0"/>
            <w:vAlign w:val="center"/>
          </w:tcPr>
          <w:p w14:paraId="7308C45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F76EBC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65ADDD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着装规范：所有工作人员要按规定统一着装，必须做到服装整洁，无污渍，戴工作帽、口罩及手套，未到位的扣分。</w:t>
            </w:r>
          </w:p>
        </w:tc>
        <w:tc>
          <w:tcPr>
            <w:tcW w:w="876" w:type="dxa"/>
            <w:vMerge w:val="continue"/>
            <w:noWrap w:val="0"/>
            <w:vAlign w:val="center"/>
          </w:tcPr>
          <w:p w14:paraId="4492E06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CD660F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0108640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F2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56" w:type="dxa"/>
            <w:vMerge w:val="continue"/>
            <w:noWrap w:val="0"/>
            <w:vAlign w:val="center"/>
          </w:tcPr>
          <w:p w14:paraId="5EDA6F5F">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E793D4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1AB9F0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操作规范：服务人员仪态端庄，微笑热情，耐心细致，未达要求</w:t>
            </w:r>
            <w:r>
              <w:rPr>
                <w:rFonts w:hint="eastAsia" w:ascii="宋体" w:hAnsi="宋体" w:eastAsia="宋体" w:cs="宋体"/>
                <w:color w:val="auto"/>
                <w:kern w:val="0"/>
                <w:sz w:val="22"/>
                <w:szCs w:val="22"/>
                <w:highlight w:val="none"/>
                <w:lang w:eastAsia="zh-CN"/>
              </w:rPr>
              <w:t>的</w:t>
            </w:r>
            <w:r>
              <w:rPr>
                <w:rFonts w:hint="eastAsia" w:ascii="宋体" w:hAnsi="宋体" w:eastAsia="宋体" w:cs="宋体"/>
                <w:color w:val="auto"/>
                <w:kern w:val="0"/>
                <w:sz w:val="22"/>
                <w:szCs w:val="22"/>
                <w:highlight w:val="none"/>
              </w:rPr>
              <w:t>扣分。</w:t>
            </w:r>
          </w:p>
        </w:tc>
        <w:tc>
          <w:tcPr>
            <w:tcW w:w="876" w:type="dxa"/>
            <w:vMerge w:val="continue"/>
            <w:noWrap w:val="0"/>
            <w:vAlign w:val="center"/>
          </w:tcPr>
          <w:p w14:paraId="1E1594B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BC171B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00B0B5D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C20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4FF1381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780F5EE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8EABEA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不得与就餐人员发生争执，有上述情况的扣分。</w:t>
            </w:r>
          </w:p>
        </w:tc>
        <w:tc>
          <w:tcPr>
            <w:tcW w:w="876" w:type="dxa"/>
            <w:vMerge w:val="continue"/>
            <w:noWrap w:val="0"/>
            <w:vAlign w:val="center"/>
          </w:tcPr>
          <w:p w14:paraId="4EAEB26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0DDABC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每发现一次扣5分</w:t>
            </w:r>
          </w:p>
        </w:tc>
        <w:tc>
          <w:tcPr>
            <w:tcW w:w="839" w:type="dxa"/>
            <w:noWrap w:val="0"/>
            <w:vAlign w:val="center"/>
          </w:tcPr>
          <w:p w14:paraId="713D3B5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17C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6" w:type="dxa"/>
            <w:vMerge w:val="continue"/>
            <w:noWrap w:val="0"/>
            <w:vAlign w:val="center"/>
          </w:tcPr>
          <w:p w14:paraId="7DDC7B60">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3D9D939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DB460C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行为规范：有吸烟、吃东西、吐痰、将私人物品带到工作场所行为。</w:t>
            </w:r>
          </w:p>
        </w:tc>
        <w:tc>
          <w:tcPr>
            <w:tcW w:w="876" w:type="dxa"/>
            <w:vMerge w:val="continue"/>
            <w:noWrap w:val="0"/>
            <w:vAlign w:val="center"/>
          </w:tcPr>
          <w:p w14:paraId="0FCC6CA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E0B926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2A69232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09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0ABC7B4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397096F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AE60B3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更衣室卫生管理，物品摆放整齐、入柜摆放，未达要求的扣分。</w:t>
            </w:r>
          </w:p>
        </w:tc>
        <w:tc>
          <w:tcPr>
            <w:tcW w:w="876" w:type="dxa"/>
            <w:vMerge w:val="continue"/>
            <w:noWrap w:val="0"/>
            <w:vAlign w:val="center"/>
          </w:tcPr>
          <w:p w14:paraId="608BB6D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83AEAF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1B5EA83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C72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6" w:type="dxa"/>
            <w:vMerge w:val="continue"/>
            <w:noWrap w:val="0"/>
            <w:vAlign w:val="center"/>
          </w:tcPr>
          <w:p w14:paraId="3FC71514">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292F64C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15310B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所有人员必须持有健康证上岗，如有员工有发热、腹泻、皮肤伤口感染、咽喉炎症等有碍食品卫生病症的，应立即调离工作岗位。</w:t>
            </w:r>
          </w:p>
        </w:tc>
        <w:tc>
          <w:tcPr>
            <w:tcW w:w="876" w:type="dxa"/>
            <w:vMerge w:val="continue"/>
            <w:noWrap w:val="0"/>
            <w:vAlign w:val="center"/>
          </w:tcPr>
          <w:p w14:paraId="12D64EA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F46CC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每发现一次扣2分</w:t>
            </w:r>
          </w:p>
        </w:tc>
        <w:tc>
          <w:tcPr>
            <w:tcW w:w="839" w:type="dxa"/>
            <w:noWrap w:val="0"/>
            <w:vAlign w:val="center"/>
          </w:tcPr>
          <w:p w14:paraId="2862B38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2FF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56" w:type="dxa"/>
            <w:vMerge w:val="restart"/>
            <w:noWrap w:val="0"/>
            <w:vAlign w:val="center"/>
          </w:tcPr>
          <w:p w14:paraId="7BFB7AF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25" w:type="dxa"/>
            <w:vMerge w:val="restart"/>
            <w:noWrap w:val="0"/>
            <w:vAlign w:val="center"/>
          </w:tcPr>
          <w:p w14:paraId="3728B53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服务质量管理</w:t>
            </w:r>
          </w:p>
        </w:tc>
        <w:tc>
          <w:tcPr>
            <w:tcW w:w="2505" w:type="dxa"/>
            <w:noWrap w:val="0"/>
            <w:vAlign w:val="center"/>
          </w:tcPr>
          <w:p w14:paraId="294D90F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合理做好当日菜品的制作和销售安排，每餐剩余菜品在合理范围内，不得销售留存菜品。</w:t>
            </w:r>
          </w:p>
        </w:tc>
        <w:tc>
          <w:tcPr>
            <w:tcW w:w="876" w:type="dxa"/>
            <w:vMerge w:val="restart"/>
            <w:noWrap w:val="0"/>
            <w:vAlign w:val="center"/>
          </w:tcPr>
          <w:p w14:paraId="6E32034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3CFE0F9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没完成的一次扣2分</w:t>
            </w:r>
          </w:p>
        </w:tc>
        <w:tc>
          <w:tcPr>
            <w:tcW w:w="839" w:type="dxa"/>
            <w:noWrap w:val="0"/>
            <w:vAlign w:val="center"/>
          </w:tcPr>
          <w:p w14:paraId="16500D4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A79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526833F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78E0CEC">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80BC0C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开餐前做好准备工作，检查准备情况。</w:t>
            </w:r>
          </w:p>
        </w:tc>
        <w:tc>
          <w:tcPr>
            <w:tcW w:w="876" w:type="dxa"/>
            <w:vMerge w:val="continue"/>
            <w:noWrap w:val="0"/>
            <w:vAlign w:val="center"/>
          </w:tcPr>
          <w:p w14:paraId="074DFCA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975E7A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没完成的一次扣1分</w:t>
            </w:r>
          </w:p>
        </w:tc>
        <w:tc>
          <w:tcPr>
            <w:tcW w:w="839" w:type="dxa"/>
            <w:noWrap w:val="0"/>
            <w:vAlign w:val="center"/>
          </w:tcPr>
          <w:p w14:paraId="4FA9784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1F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6" w:type="dxa"/>
            <w:vMerge w:val="continue"/>
            <w:noWrap w:val="0"/>
            <w:vAlign w:val="center"/>
          </w:tcPr>
          <w:p w14:paraId="1359AD9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E124CA1">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DBC90D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开餐时及时清理售餐台、餐桌上的菜汤和残食，清理地面水渍、汤渍等，保证台面、地面清洁，未达要求扣分。</w:t>
            </w:r>
          </w:p>
        </w:tc>
        <w:tc>
          <w:tcPr>
            <w:tcW w:w="876" w:type="dxa"/>
            <w:vMerge w:val="continue"/>
            <w:noWrap w:val="0"/>
            <w:vAlign w:val="center"/>
          </w:tcPr>
          <w:p w14:paraId="5D8C18E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F70FA3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6474F73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25B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6" w:type="dxa"/>
            <w:vMerge w:val="continue"/>
            <w:noWrap w:val="0"/>
            <w:vAlign w:val="center"/>
          </w:tcPr>
          <w:p w14:paraId="48D08946">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1016954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C12167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正常开餐时间内保证饭菜供应，中间有备菜，不得出现断供情况。</w:t>
            </w:r>
          </w:p>
        </w:tc>
        <w:tc>
          <w:tcPr>
            <w:tcW w:w="876" w:type="dxa"/>
            <w:vMerge w:val="continue"/>
            <w:noWrap w:val="0"/>
            <w:vAlign w:val="center"/>
          </w:tcPr>
          <w:p w14:paraId="7BA46EB3">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5E5596F">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7775FC8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F83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335AED14">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3FEE35E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D3E454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开餐后做好整理工作，没完成的扣分。</w:t>
            </w:r>
          </w:p>
        </w:tc>
        <w:tc>
          <w:tcPr>
            <w:tcW w:w="876" w:type="dxa"/>
            <w:vMerge w:val="continue"/>
            <w:noWrap w:val="0"/>
            <w:vAlign w:val="center"/>
          </w:tcPr>
          <w:p w14:paraId="23C54083">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470DD41">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19FF5C6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FE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6" w:type="dxa"/>
            <w:vMerge w:val="restart"/>
            <w:noWrap w:val="0"/>
            <w:vAlign w:val="center"/>
          </w:tcPr>
          <w:p w14:paraId="69C62A5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425" w:type="dxa"/>
            <w:vMerge w:val="restart"/>
            <w:noWrap w:val="0"/>
            <w:vAlign w:val="center"/>
          </w:tcPr>
          <w:p w14:paraId="2258B4ED">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菜肴品质管理</w:t>
            </w:r>
          </w:p>
        </w:tc>
        <w:tc>
          <w:tcPr>
            <w:tcW w:w="2505" w:type="dxa"/>
            <w:noWrap w:val="0"/>
            <w:vAlign w:val="center"/>
          </w:tcPr>
          <w:p w14:paraId="124BB83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根据每周菜谱确定排菜是否合理，菜品是否多样，荤素搭配是否合理。每周三中午12点前将下周食谱报业主方同意，不得擅自变更。</w:t>
            </w:r>
          </w:p>
        </w:tc>
        <w:tc>
          <w:tcPr>
            <w:tcW w:w="876" w:type="dxa"/>
            <w:vMerge w:val="restart"/>
            <w:noWrap w:val="0"/>
            <w:vAlign w:val="center"/>
          </w:tcPr>
          <w:p w14:paraId="7C9959BB">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w:t>
            </w:r>
          </w:p>
        </w:tc>
        <w:tc>
          <w:tcPr>
            <w:tcW w:w="2457" w:type="dxa"/>
            <w:noWrap w:val="0"/>
            <w:vAlign w:val="center"/>
          </w:tcPr>
          <w:p w14:paraId="62CF6C8C">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4E643B4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41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693E9F80">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8D1917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E9623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不定期抽查菜品是否咸淡适中，有无过油和过老等现象。</w:t>
            </w:r>
          </w:p>
        </w:tc>
        <w:tc>
          <w:tcPr>
            <w:tcW w:w="876" w:type="dxa"/>
            <w:vMerge w:val="continue"/>
            <w:noWrap w:val="0"/>
            <w:vAlign w:val="center"/>
          </w:tcPr>
          <w:p w14:paraId="3C4E644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0DFF03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19227FE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E24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429740F2">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640231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EFE0FA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有无应急预案，在菜量不够情况下，厨房有无备菜。</w:t>
            </w:r>
          </w:p>
        </w:tc>
        <w:tc>
          <w:tcPr>
            <w:tcW w:w="876" w:type="dxa"/>
            <w:vMerge w:val="continue"/>
            <w:noWrap w:val="0"/>
            <w:vAlign w:val="center"/>
          </w:tcPr>
          <w:p w14:paraId="4AC0E2CF">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55E08C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839" w:type="dxa"/>
            <w:noWrap w:val="0"/>
            <w:vAlign w:val="center"/>
          </w:tcPr>
          <w:p w14:paraId="5911FC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C9D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6" w:type="dxa"/>
            <w:vMerge w:val="restart"/>
            <w:noWrap w:val="0"/>
            <w:vAlign w:val="center"/>
          </w:tcPr>
          <w:p w14:paraId="70ED83A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25" w:type="dxa"/>
            <w:vMerge w:val="restart"/>
            <w:noWrap w:val="0"/>
            <w:vAlign w:val="center"/>
          </w:tcPr>
          <w:p w14:paraId="65910E70">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食品安全和环境卫生</w:t>
            </w:r>
          </w:p>
        </w:tc>
        <w:tc>
          <w:tcPr>
            <w:tcW w:w="2505" w:type="dxa"/>
            <w:noWrap w:val="0"/>
            <w:vAlign w:val="center"/>
          </w:tcPr>
          <w:p w14:paraId="4CE429B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厨房操作区、打菜区严禁非工作人员进入。</w:t>
            </w:r>
          </w:p>
        </w:tc>
        <w:tc>
          <w:tcPr>
            <w:tcW w:w="876" w:type="dxa"/>
            <w:vMerge w:val="restart"/>
            <w:noWrap w:val="0"/>
            <w:vAlign w:val="center"/>
          </w:tcPr>
          <w:p w14:paraId="43AC5FC2">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w:t>
            </w:r>
          </w:p>
        </w:tc>
        <w:tc>
          <w:tcPr>
            <w:tcW w:w="2457" w:type="dxa"/>
            <w:noWrap w:val="0"/>
            <w:vAlign w:val="center"/>
          </w:tcPr>
          <w:p w14:paraId="3442BAA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839" w:type="dxa"/>
            <w:noWrap w:val="0"/>
            <w:vAlign w:val="center"/>
          </w:tcPr>
          <w:p w14:paraId="7CC0531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D32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Merge w:val="continue"/>
            <w:noWrap w:val="0"/>
            <w:vAlign w:val="center"/>
          </w:tcPr>
          <w:p w14:paraId="1E62C71F">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46595E3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6EF0A1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餐用具清洗消毒，有消毒记录，已消毒餐具需存放在保洁设施内。</w:t>
            </w:r>
          </w:p>
        </w:tc>
        <w:tc>
          <w:tcPr>
            <w:tcW w:w="876" w:type="dxa"/>
            <w:vMerge w:val="continue"/>
            <w:noWrap w:val="0"/>
            <w:vAlign w:val="center"/>
          </w:tcPr>
          <w:p w14:paraId="2AB49958">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111C0B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65A06E6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B3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46813EA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5DD945D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D4D1B7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食品添加剂领用和使用记录完整，不超范围、超量使用。</w:t>
            </w:r>
          </w:p>
        </w:tc>
        <w:tc>
          <w:tcPr>
            <w:tcW w:w="876" w:type="dxa"/>
            <w:vMerge w:val="continue"/>
            <w:noWrap w:val="0"/>
            <w:vAlign w:val="center"/>
          </w:tcPr>
          <w:p w14:paraId="237EA12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D3E0A3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40A1356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41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69DB9263">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1C6E979D">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50D34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清洗用具是否按规定存放，拖把扫帚等是否存放规范，茶杯固定整齐放置。</w:t>
            </w:r>
          </w:p>
        </w:tc>
        <w:tc>
          <w:tcPr>
            <w:tcW w:w="876" w:type="dxa"/>
            <w:vMerge w:val="continue"/>
            <w:noWrap w:val="0"/>
            <w:vAlign w:val="center"/>
          </w:tcPr>
          <w:p w14:paraId="21D05D0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66CE75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04AC24E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41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6" w:type="dxa"/>
            <w:vMerge w:val="continue"/>
            <w:noWrap w:val="0"/>
            <w:vAlign w:val="center"/>
          </w:tcPr>
          <w:p w14:paraId="6AC3BF3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9A8408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0158298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用具存放规范，生熟分开存放、分开使用，原材料和成品，待加工食品和直接入口食品分开放置，离地隔墙。</w:t>
            </w:r>
          </w:p>
        </w:tc>
        <w:tc>
          <w:tcPr>
            <w:tcW w:w="876" w:type="dxa"/>
            <w:vMerge w:val="continue"/>
            <w:noWrap w:val="0"/>
            <w:vAlign w:val="center"/>
          </w:tcPr>
          <w:p w14:paraId="742DC1B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F73491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3AA42EE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06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6" w:type="dxa"/>
            <w:vMerge w:val="continue"/>
            <w:noWrap w:val="0"/>
            <w:vAlign w:val="center"/>
          </w:tcPr>
          <w:p w14:paraId="78ACE5E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30E127E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1513A9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食品加工安全，留样齐全，记录完整，无发生食物中毒，无三无产品和过期食品，如发生食堂中毒事件本项扣完。</w:t>
            </w:r>
          </w:p>
        </w:tc>
        <w:tc>
          <w:tcPr>
            <w:tcW w:w="876" w:type="dxa"/>
            <w:vMerge w:val="continue"/>
            <w:noWrap w:val="0"/>
            <w:vAlign w:val="center"/>
          </w:tcPr>
          <w:p w14:paraId="1256E01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15BCCF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未达要求一次扣2分</w:t>
            </w:r>
          </w:p>
        </w:tc>
        <w:tc>
          <w:tcPr>
            <w:tcW w:w="839" w:type="dxa"/>
            <w:noWrap w:val="0"/>
            <w:vAlign w:val="center"/>
          </w:tcPr>
          <w:p w14:paraId="553DAE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D65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F83DAB8">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A8752C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197F0E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有无卫生检查、“除四害”台账，无台账和台账不规范的扣分。</w:t>
            </w:r>
          </w:p>
        </w:tc>
        <w:tc>
          <w:tcPr>
            <w:tcW w:w="876" w:type="dxa"/>
            <w:vMerge w:val="continue"/>
            <w:noWrap w:val="0"/>
            <w:vAlign w:val="center"/>
          </w:tcPr>
          <w:p w14:paraId="19C1B88B">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BC7430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无台账或未达要求的，扣2分</w:t>
            </w:r>
          </w:p>
        </w:tc>
        <w:tc>
          <w:tcPr>
            <w:tcW w:w="839" w:type="dxa"/>
            <w:noWrap w:val="0"/>
            <w:vAlign w:val="center"/>
          </w:tcPr>
          <w:p w14:paraId="78A7399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382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56" w:type="dxa"/>
            <w:vMerge w:val="restart"/>
            <w:noWrap w:val="0"/>
            <w:vAlign w:val="center"/>
          </w:tcPr>
          <w:p w14:paraId="373D3DB1">
            <w:pPr>
              <w:widowControl/>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7</w:t>
            </w:r>
          </w:p>
        </w:tc>
        <w:tc>
          <w:tcPr>
            <w:tcW w:w="1425" w:type="dxa"/>
            <w:vMerge w:val="restart"/>
            <w:noWrap w:val="0"/>
            <w:vAlign w:val="center"/>
          </w:tcPr>
          <w:p w14:paraId="588EAAA2">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设备、设施、节能管理</w:t>
            </w:r>
          </w:p>
        </w:tc>
        <w:tc>
          <w:tcPr>
            <w:tcW w:w="2505" w:type="dxa"/>
            <w:noWrap w:val="0"/>
            <w:vAlign w:val="center"/>
          </w:tcPr>
          <w:p w14:paraId="652EC23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各种设备、设施责任人挂牌明示，是否严格按规定进行操作，责任人需进行日常检查，有故障和安全隐患及时处理和上报。</w:t>
            </w:r>
          </w:p>
        </w:tc>
        <w:tc>
          <w:tcPr>
            <w:tcW w:w="876" w:type="dxa"/>
            <w:vMerge w:val="restart"/>
            <w:noWrap w:val="0"/>
            <w:vAlign w:val="center"/>
          </w:tcPr>
          <w:p w14:paraId="4D0CC53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5001AF9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839" w:type="dxa"/>
            <w:noWrap w:val="0"/>
            <w:vAlign w:val="center"/>
          </w:tcPr>
          <w:p w14:paraId="22747A7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811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11F040E">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72242D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A00901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设备每次使用后清洗，关闭电源。</w:t>
            </w:r>
          </w:p>
        </w:tc>
        <w:tc>
          <w:tcPr>
            <w:tcW w:w="876" w:type="dxa"/>
            <w:vMerge w:val="continue"/>
            <w:noWrap w:val="0"/>
            <w:vAlign w:val="center"/>
          </w:tcPr>
          <w:p w14:paraId="71D05566">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FDA460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未达要求每次扣1分</w:t>
            </w:r>
          </w:p>
        </w:tc>
        <w:tc>
          <w:tcPr>
            <w:tcW w:w="839" w:type="dxa"/>
            <w:noWrap w:val="0"/>
            <w:vAlign w:val="center"/>
          </w:tcPr>
          <w:p w14:paraId="2371ECD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EB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A855B44">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9ABA01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9EF9F8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使用后及时关闭水、电、气、空调。</w:t>
            </w:r>
          </w:p>
        </w:tc>
        <w:tc>
          <w:tcPr>
            <w:tcW w:w="876" w:type="dxa"/>
            <w:vMerge w:val="continue"/>
            <w:noWrap w:val="0"/>
            <w:vAlign w:val="center"/>
          </w:tcPr>
          <w:p w14:paraId="55515E3D">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C2E2AA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未达要求每次扣2分</w:t>
            </w:r>
          </w:p>
        </w:tc>
        <w:tc>
          <w:tcPr>
            <w:tcW w:w="839" w:type="dxa"/>
            <w:noWrap w:val="0"/>
            <w:vAlign w:val="center"/>
          </w:tcPr>
          <w:p w14:paraId="51720FC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D3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4BDC6817">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8</w:t>
            </w:r>
          </w:p>
        </w:tc>
        <w:tc>
          <w:tcPr>
            <w:tcW w:w="3930" w:type="dxa"/>
            <w:gridSpan w:val="2"/>
            <w:noWrap w:val="0"/>
            <w:vAlign w:val="center"/>
          </w:tcPr>
          <w:p w14:paraId="39F86153">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76" w:type="dxa"/>
            <w:noWrap w:val="0"/>
            <w:vAlign w:val="center"/>
          </w:tcPr>
          <w:p w14:paraId="3BDB4E0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100分</w:t>
            </w:r>
          </w:p>
        </w:tc>
        <w:tc>
          <w:tcPr>
            <w:tcW w:w="2457" w:type="dxa"/>
            <w:noWrap w:val="0"/>
            <w:vAlign w:val="center"/>
          </w:tcPr>
          <w:p w14:paraId="703E845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扣分合计</w:t>
            </w:r>
          </w:p>
        </w:tc>
        <w:tc>
          <w:tcPr>
            <w:tcW w:w="839" w:type="dxa"/>
            <w:noWrap w:val="0"/>
            <w:vAlign w:val="center"/>
          </w:tcPr>
          <w:p w14:paraId="50D99E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C5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8" w:type="dxa"/>
            <w:gridSpan w:val="6"/>
            <w:noWrap w:val="0"/>
            <w:vAlign w:val="center"/>
          </w:tcPr>
          <w:p w14:paraId="7C3B5FD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注： 本表由业主单位实行定期监管时进行打分，具体的考核评分标准和处罚措施另定。</w:t>
            </w:r>
          </w:p>
        </w:tc>
      </w:tr>
    </w:tbl>
    <w:p w14:paraId="2EC6EA2E">
      <w:pPr>
        <w:bidi w:val="0"/>
        <w:rPr>
          <w:rFonts w:hint="eastAsia" w:ascii="宋体" w:hAnsi="宋体" w:eastAsia="宋体" w:cs="宋体"/>
          <w:color w:val="auto"/>
          <w:highlight w:val="none"/>
          <w:lang w:val="en-US" w:eastAsia="zh-CN"/>
        </w:rPr>
      </w:pPr>
    </w:p>
    <w:p w14:paraId="0F1875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五、其它有关说明</w:t>
      </w:r>
    </w:p>
    <w:p w14:paraId="5D8FE0D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u w:val="none"/>
        </w:rPr>
        <w:t>本次招标合同期为</w:t>
      </w:r>
      <w:r>
        <w:rPr>
          <w:rFonts w:hint="eastAsia" w:ascii="宋体" w:hAnsi="宋体" w:eastAsia="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年。</w:t>
      </w:r>
    </w:p>
    <w:p w14:paraId="0EA1A04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在投标报价中，承包服务费采用包干制。（中标价即为全年合同价） </w:t>
      </w:r>
    </w:p>
    <w:p w14:paraId="575551A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投标方需在本项目中指定一名负责人负责本项目的协调管理，按本项目管理的要求配备相应的工作人员。</w:t>
      </w:r>
    </w:p>
    <w:p w14:paraId="1C64AF7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4、付款方式：</w:t>
      </w:r>
      <w:r>
        <w:rPr>
          <w:rFonts w:hint="eastAsia" w:ascii="宋体" w:hAnsi="宋体" w:eastAsia="宋体" w:cs="宋体"/>
          <w:b w:val="0"/>
          <w:bCs w:val="0"/>
          <w:color w:val="auto"/>
          <w:sz w:val="21"/>
          <w:szCs w:val="21"/>
          <w:highlight w:val="none"/>
          <w:lang w:val="en-US" w:eastAsia="zh-CN"/>
        </w:rPr>
        <w:t>签订合同后，在合同生效以及具备实施条件后7个工作日内支付合同金额的40%作为预付款，服务期结束后支付合同金额的60%。</w:t>
      </w:r>
    </w:p>
    <w:p w14:paraId="68F26BA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中标人需服从业主单位管理，工作人员聘任、离职和请假，需向业主单位上报人员进出表和请销假单，工作人员聘用需经过业主单位确定，未经过培训和无相关工作经验人员不得上岗使用。</w:t>
      </w:r>
    </w:p>
    <w:p w14:paraId="7BEF530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扣款情形：由于中标人管理不善，出现中标人工作人员与就餐干部职工吵架等不良现象，根据情节每次扣款300-500元；中标人工作人员不服从采购人日常管理，或不落实采购人合理工作要求和安排的，根据情节每次扣款500-1000元，直至采购人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中标人管理及服务人员必须按投标承诺和进驻时间准时到位，如出现人员不到位的情况，每人次扣款5000元，如无故私自推迟进驻时间，采购人按每推迟一天扣款10000元进行处罚，直至采购人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中标人需做好完整的检查记录、留样记录、消毒记录等各种台账，如采购人检查发现有不完善或无台账等情况，采购人有权视情节处以500-1000的扣款。上述扣款处罚均不需中标人签字，直接由采购人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5CE8930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人将成立食堂管理委员会履行监督管理职能。组织人员定期对中标单位服务态度、菜肴口味等情况进行民主测评，测评后，采购人及时将结果告知中标人，如有问题，中标人需及时落实采购人提出的整改要求。中标人应定期开展满意度测评，每年不少于4次。如中标单位连续2次在采购人组织的或中标人组织的测评中，测评满意度均未超过90%的，采购人有权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中标人参加采购人今后组织的类似项目招标。采购人将定期对中际人在响应程度、服务满意度、人事管理、服务质量、菜肴品质、食品安全与环境卫生、成本核算、设备设施管理等方面进行考核评分，对评分结果视扣分情况作相应的处罚。</w:t>
      </w:r>
    </w:p>
    <w:p w14:paraId="014916B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提供餐饮服务时，因自身原因发生的一切安全事故责任均自行承担，事故责任和损失由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p w14:paraId="6CE5D9F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人员的固定</w:t>
      </w:r>
      <w:r>
        <w:rPr>
          <w:rFonts w:hint="eastAsia" w:ascii="宋体" w:hAnsi="宋体" w:eastAsia="宋体" w:cs="宋体"/>
          <w:b w:val="0"/>
          <w:bCs w:val="0"/>
          <w:color w:val="auto"/>
          <w:sz w:val="21"/>
          <w:szCs w:val="21"/>
          <w:highlight w:val="none"/>
        </w:rPr>
        <w:t>加班费、岗位补助、考核费、体检费、住宿费等</w:t>
      </w:r>
      <w:r>
        <w:rPr>
          <w:rFonts w:hint="eastAsia" w:ascii="宋体" w:hAnsi="宋体" w:eastAsia="宋体" w:cs="宋体"/>
          <w:b w:val="0"/>
          <w:bCs w:val="0"/>
          <w:color w:val="auto"/>
          <w:sz w:val="21"/>
          <w:szCs w:val="21"/>
          <w:highlight w:val="none"/>
          <w:u w:val="none"/>
        </w:rPr>
        <w:t>其他一切费用不再另行计算，全部纳入招标总额内（投标人在进行投标报价时要充分考虑全部产生费用的因素）</w:t>
      </w:r>
      <w:r>
        <w:rPr>
          <w:rFonts w:hint="eastAsia" w:ascii="宋体" w:hAnsi="宋体" w:eastAsia="宋体" w:cs="宋体"/>
          <w:b w:val="0"/>
          <w:bCs w:val="0"/>
          <w:color w:val="auto"/>
          <w:sz w:val="21"/>
          <w:szCs w:val="21"/>
          <w:highlight w:val="none"/>
          <w:u w:val="none"/>
          <w:lang w:eastAsia="zh-CN"/>
        </w:rPr>
        <w:t>。</w:t>
      </w:r>
    </w:p>
    <w:p w14:paraId="6FAA46B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同意，</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不得有下列行为：擅自安排人员到</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食堂学习、考察和培训等；擅自调动本项目工作人员外出工作；擅自安排人员到本项目食堂免费用餐。上述行为一</w:t>
      </w:r>
      <w:r>
        <w:rPr>
          <w:rFonts w:hint="eastAsia" w:ascii="宋体" w:hAnsi="宋体" w:eastAsia="宋体" w:cs="宋体"/>
          <w:color w:val="auto"/>
          <w:sz w:val="21"/>
          <w:szCs w:val="21"/>
          <w:highlight w:val="none"/>
        </w:rPr>
        <w:t>经发现，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有权视情节进行扣款处罚100-1000元，并从下一月的承包服务费中直接扣除。</w:t>
      </w:r>
    </w:p>
    <w:p w14:paraId="70A41D92">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有违反上述条款和相关规定，或因不服从</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管理监督造成双方矛盾激化，被</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解除合同的，具体解除合同时间由</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确定，</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不得私自带团队撤离，如私自带团队撤离，</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有权按合同价的百分之二十向</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进行索赔，如中标人不履行的，采购人可向台州仲裁委员会申请仲裁。</w:t>
      </w:r>
    </w:p>
    <w:p w14:paraId="13EE6621">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合同期满后，</w:t>
      </w:r>
      <w:r>
        <w:rPr>
          <w:rFonts w:hint="eastAsia" w:ascii="宋体" w:hAnsi="宋体" w:eastAsia="宋体" w:cs="宋体"/>
          <w:color w:val="auto"/>
          <w:sz w:val="21"/>
          <w:szCs w:val="21"/>
          <w:highlight w:val="none"/>
          <w:u w:val="none"/>
          <w:lang w:eastAsia="zh-CN"/>
        </w:rPr>
        <w:t>中标人</w:t>
      </w:r>
      <w:r>
        <w:rPr>
          <w:rFonts w:hint="eastAsia" w:ascii="宋体" w:hAnsi="宋体" w:eastAsia="宋体" w:cs="宋体"/>
          <w:color w:val="auto"/>
          <w:sz w:val="21"/>
          <w:szCs w:val="21"/>
          <w:highlight w:val="none"/>
          <w:u w:val="none"/>
        </w:rPr>
        <w:t>应服从</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安排，由</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确定撤离时间，不得私自带团队撤离。</w:t>
      </w:r>
    </w:p>
    <w:p w14:paraId="402E027C">
      <w:pPr>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六、本项目中标（成交）供应商应在浙江省政府采购网（http://zfcg.czt.zj.gov.cn）上注册成为“政府采购供应商”，如不按要求注册的，采购方有权延期发布中标（成交）通知书和中标（成交）公告，后果由供应商自行承担。</w:t>
      </w:r>
    </w:p>
    <w:p w14:paraId="325C07C3">
      <w:pPr>
        <w:autoSpaceDN w:val="0"/>
        <w:spacing w:line="360" w:lineRule="auto"/>
        <w:ind w:firstLine="422" w:firstLineChars="200"/>
        <w:rPr>
          <w:rFonts w:hint="eastAsia" w:ascii="宋体" w:hAnsi="宋体" w:eastAsia="宋体" w:cs="宋体"/>
          <w:b/>
          <w:color w:val="auto"/>
          <w:sz w:val="21"/>
          <w:szCs w:val="21"/>
          <w:highlight w:val="none"/>
        </w:rPr>
      </w:pPr>
    </w:p>
    <w:p w14:paraId="0B88D3E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台州市路桥区横街镇人民政府</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台州市路桥区横街镇人民政府</w:t>
      </w:r>
    </w:p>
    <w:p w14:paraId="7AB10109">
      <w:pPr>
        <w:pStyle w:val="10"/>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台州市路桥区横街镇人民政府食堂外包服务项目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590C21F4">
      <w:pPr>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Cs w:val="21"/>
          <w:highlight w:val="none"/>
        </w:rPr>
        <w:t>合同金额</w:t>
      </w:r>
    </w:p>
    <w:p w14:paraId="4CED06CE">
      <w:pPr>
        <w:keepNext w:val="0"/>
        <w:keepLines w:val="0"/>
        <w:pageBreakBefore w:val="0"/>
        <w:widowControl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21B0D5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二、项目概况</w:t>
      </w:r>
    </w:p>
    <w:p w14:paraId="211F9B1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、管理方式：托管方式。即：</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提供专业的管理和服务团队（主要包括管理人员、厨师队伍、面点师、服务人员等），并负责主副食的加工供应，不负责原材料的采购</w:t>
      </w:r>
      <w:r>
        <w:rPr>
          <w:rFonts w:hint="eastAsia" w:ascii="宋体" w:hAnsi="宋体" w:eastAsia="宋体" w:cs="宋体"/>
          <w:color w:val="auto"/>
          <w:sz w:val="21"/>
          <w:szCs w:val="21"/>
          <w:highlight w:val="none"/>
          <w:lang w:eastAsia="zh-CN"/>
        </w:rPr>
        <w:t>但须协助甲方对原材料进行质量和价格的把控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免费提供厨房、餐厅、仓库、全套厨房设备、餐具等，并承担食堂所有的水、电、煤气及其他必要的基础设施和对设施的正常维护。</w:t>
      </w:r>
    </w:p>
    <w:p w14:paraId="646E7C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、用餐时间与人数：</w:t>
      </w:r>
      <w:r>
        <w:rPr>
          <w:rFonts w:hint="eastAsia" w:ascii="宋体" w:hAnsi="宋体" w:eastAsia="宋体" w:cs="宋体"/>
          <w:b w:val="0"/>
          <w:bCs/>
          <w:color w:val="auto"/>
          <w:sz w:val="21"/>
          <w:szCs w:val="21"/>
          <w:highlight w:val="none"/>
          <w:lang w:val="en-US" w:eastAsia="zh-CN"/>
        </w:rPr>
        <w:t>全年365天提供早中晚三餐，根据采购方需求落实加班餐；值班时提供晚餐。</w:t>
      </w:r>
      <w:r>
        <w:rPr>
          <w:rFonts w:hint="eastAsia" w:ascii="宋体" w:hAnsi="宋体" w:eastAsia="宋体" w:cs="宋体"/>
          <w:b w:val="0"/>
          <w:bCs/>
          <w:color w:val="auto"/>
          <w:sz w:val="21"/>
          <w:szCs w:val="21"/>
          <w:highlight w:val="none"/>
        </w:rPr>
        <w:t>工作日早餐开餐时间为7:30至8：30，中</w:t>
      </w:r>
      <w:r>
        <w:rPr>
          <w:rFonts w:hint="eastAsia" w:ascii="宋体" w:hAnsi="宋体" w:eastAsia="宋体" w:cs="宋体"/>
          <w:color w:val="auto"/>
          <w:sz w:val="21"/>
          <w:szCs w:val="21"/>
          <w:highlight w:val="none"/>
        </w:rPr>
        <w:t>晚餐以下班时间为准，开餐40分钟后收餐；工作日就餐人数约</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人，具体人数以实际就餐人数为准。</w:t>
      </w:r>
    </w:p>
    <w:p w14:paraId="4B6A30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val="en-US" w:eastAsia="zh-CN"/>
        </w:rPr>
        <w:t>三、具体要求</w:t>
      </w:r>
    </w:p>
    <w:p w14:paraId="14BC17A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满意”、“就餐机关干部职工满意”为目标，要在管理制度化、服务精细化、制作标准化上下功夫，严格执行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所制订的各项规章制度，自觉服从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日常监督管理，并制订配套的内部管理制度，内容应涵盖食品安全、环境卫生、人员管理、成本管理、请销假制度等。</w:t>
      </w:r>
    </w:p>
    <w:p w14:paraId="2A0E86F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的要求，于每周</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前制订好下一周食谱，报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审定后实施。食谱的制订应按照应时、应地、应人的原则，倡导少油、少糖、少盐的健康理念，做到一周不重样，每月有创新，具体要求如下：</w:t>
      </w:r>
    </w:p>
    <w:p w14:paraId="5E5EAAA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早餐主要为：肉包、馒头等主食不少于5个，面点、稀饭、豆浆、油条、蔬菜等。中餐至少保障12个以上，晚餐至少保障6个以上菜品及2个以上面点，荤素搭配，具体由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决定。</w:t>
      </w:r>
    </w:p>
    <w:p w14:paraId="03E60A9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）乙方根据就餐人数、食材成本及有关损耗，按照“保本经营”原则确定菜品价格，报甲方审定后实施，乙方不得擅自改动。乙方应及时掌握就餐人数变化，调整食材供应数量，减少浪费。</w:t>
      </w:r>
    </w:p>
    <w:p w14:paraId="04757BA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3、原材料采购由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负责，油、米、调料及低值易耗品也由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提供并计入成本。</w:t>
      </w:r>
    </w:p>
    <w:p w14:paraId="0A2A94C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4、按照收支平衡的原则进行运作。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须使用计算机收费刷卡系统，设备由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提供，就餐员工预交的费用由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统一收取，不得赊欠帐款；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刷卡就餐时不得多扣磁卡存款，不得负数消费，未经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同意不得发放各种形式的就餐券，不得采用现金方式交易。若发现现金交易的，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有权无条件终止合同，并没收管理费。</w:t>
      </w:r>
    </w:p>
    <w:p w14:paraId="72B9323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要爱护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提供的房产和餐饮炊具设备等，负责日常养护管理，如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人为原因造成的设备设施损坏、遗失，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应照价赔偿。</w:t>
      </w:r>
    </w:p>
    <w:p w14:paraId="267B4C5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要落实好《食品安全法》、“五四”卫生制度和《台州市餐饮服务重点单位食品安全主体责任痕迹化管理实施意见》。负责好食堂的饮食安全卫生，签约时还需与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签订《餐饮服务食品安全责任书》和《社会治安综合治理目标管理责任书》。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要落实好病媒生物防制工作，定期组织“除四害”，保持四害密度少于食品卫生部门规定的要求，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也定期组织检查，对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没有达到要求的一次扣款500元；没有定期组织“除四害”的扣款2000元；无除四害相关台账的扣款5000元，以上扣款处罚从下一月的承包服务费中直接扣除。</w:t>
      </w:r>
    </w:p>
    <w:p w14:paraId="665F6A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储藏、加工、提供变质食品，每餐做好食品留样。负责联系供应商提供营业执照及食品安全检验检疫相关合格证。如在制作过程中因使用变质、腐烂等食材引起食物中毒或因其他原因造成不良后果，损害就餐机关干部职工身体健康的现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必须承担由此造成的一切责任和经济损失，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有权单方面终止合同。</w:t>
      </w:r>
    </w:p>
    <w:p w14:paraId="532D4C6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应落实专人对餐厅、加工间等场所进行常态化的环境卫生打扫管理和设备设施的清洗保养。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应划分好卫生包干区域，并报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审定后实施。</w:t>
      </w:r>
    </w:p>
    <w:p w14:paraId="73B2C2B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应每年组织所属员工进行健康检查，费用由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负责，确保所属人员持有有效健康证；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应定期开展职业道德、安全教育、卫生教育和技能培训等，不断提高员工素质；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员工应统一着装上岗，上岗时穿戴好工作服、工作帽和口罩等，如不按规定着装，每人每次扣款五十元，并从下一月的承包服务费中直接扣除；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员工如发生偷盗行为的，视情采取扣款处罚、辞退、移送公安机关等措施，直至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w:t>
      </w:r>
    </w:p>
    <w:p w14:paraId="563BA5E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自行按时发放所属工作人员的工资、福利、劳保用品和奖金等，并负责对工作人员进行遵纪守法和安全卫生教育，如发生意外伤残、伤亡事故，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不承担任何经济损失和相关责任。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必须与所聘用的从业人员签订劳务用工合同，并按规定缴纳五险一金。</w:t>
      </w:r>
    </w:p>
    <w:p w14:paraId="31D21B9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不负责承担食堂在承包期内所有水电煤气费，但是，必须做到节约使用。</w:t>
      </w:r>
    </w:p>
    <w:p w14:paraId="505F0AC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在承包期间不得变更房产结构，不得变换基本设施，若因经营服务需要，对经营场所进行装修，需书面报告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同意后方可实施。</w:t>
      </w:r>
    </w:p>
    <w:p w14:paraId="20DA7EA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必须每天统计食堂运营相关数据，每月上报食堂运营报表。</w:t>
      </w:r>
    </w:p>
    <w:p w14:paraId="1BB8EF7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规定时间按时为就餐干部职工提供优质服务，不得提前或延迟开饭时间(特殊情况如开会、接待、会餐及有特殊工作任务等要服从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指定的时间)，坚持服务第一的宗旨，做到热情服务、文明待人。    </w:t>
      </w:r>
    </w:p>
    <w:p w14:paraId="3C37282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在托管期内所聘工作人员须报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认可备案后方可上岗。</w:t>
      </w:r>
      <w:r>
        <w:rPr>
          <w:rFonts w:hint="eastAsia" w:ascii="宋体" w:hAnsi="宋体" w:eastAsia="宋体" w:cs="宋体"/>
          <w:color w:val="auto"/>
          <w:sz w:val="21"/>
          <w:szCs w:val="21"/>
          <w:highlight w:val="none"/>
        </w:rPr>
        <w:t>如果所聘人员不符合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要求，必须及时调整，否则，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有权扣除相应费用，直至终止合同，并禁止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应保证全员在岗，如因员工辞职，请假等原因出现缺勤情况，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应及时调整、补充人员，否则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有权按缺勤天数和人数，从下一月的承包服务费中直接扣除相应金额；</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员工请销假的，应办理书面手续，并及时报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每月填制《人员进出情况表》，并报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14:paraId="3737D99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需保障会议和接待用餐，不另外支付费用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6CE158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须严格履行合同要求，不得转包给其他运营者，否则，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将单方面终止合同，由此产生的后果和损失均有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14:paraId="7EFEBB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四、人员配置要求</w:t>
      </w:r>
    </w:p>
    <w:p w14:paraId="225D2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需管理服务人员总计不得少于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人，其中项目经理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厨师长1人，厨师1人，面点师1人，以上三人均需一年以上餐饮行业从业经验，洗杂等相关服务人员不少于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人，男的年龄需在60周岁以下，女的年龄在50周岁以下。所有人员都要有相应餐饮行业工作经验，新晋人员要有不少于一周时间的岗前培训。</w:t>
      </w:r>
    </w:p>
    <w:p w14:paraId="387BB88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2、提供拟派驻本项目的</w:t>
      </w: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兼</w:t>
      </w:r>
      <w:r>
        <w:rPr>
          <w:rFonts w:hint="eastAsia" w:ascii="宋体" w:hAnsi="宋体" w:eastAsia="宋体" w:cs="宋体"/>
          <w:color w:val="auto"/>
          <w:szCs w:val="21"/>
          <w:highlight w:val="none"/>
        </w:rPr>
        <w:t>厨师长</w:t>
      </w:r>
      <w:r>
        <w:rPr>
          <w:rFonts w:hint="eastAsia" w:ascii="宋体" w:hAnsi="宋体" w:eastAsia="宋体" w:cs="宋体"/>
          <w:color w:val="auto"/>
          <w:sz w:val="21"/>
          <w:szCs w:val="21"/>
          <w:highlight w:val="none"/>
        </w:rPr>
        <w:t>、厨师、面点师的相关从业经历和资质证书复印件。</w:t>
      </w:r>
      <w:r>
        <w:rPr>
          <w:rFonts w:hint="eastAsia" w:ascii="宋体" w:hAnsi="宋体" w:eastAsia="宋体" w:cs="宋体"/>
          <w:color w:val="auto"/>
          <w:sz w:val="21"/>
          <w:szCs w:val="21"/>
          <w:highlight w:val="none"/>
          <w:u w:val="single"/>
          <w:lang w:eastAsia="zh-CN"/>
        </w:rPr>
        <w:t>乙方</w:t>
      </w:r>
      <w:r>
        <w:rPr>
          <w:rFonts w:hint="eastAsia" w:ascii="宋体" w:hAnsi="宋体" w:eastAsia="宋体" w:cs="宋体"/>
          <w:color w:val="auto"/>
          <w:sz w:val="21"/>
          <w:szCs w:val="21"/>
          <w:highlight w:val="none"/>
          <w:u w:val="single"/>
        </w:rPr>
        <w:t>必须按投标承诺确保项目经理兼厨师长、厨师、面点师和标书提供的人员一致，派驻前如以上三人因某些原因和标书所述不相符需作人员调整的话，需事先经得</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同意，未经得</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同意</w:t>
      </w:r>
      <w:r>
        <w:rPr>
          <w:rFonts w:hint="eastAsia" w:ascii="宋体" w:hAnsi="宋体" w:eastAsia="宋体" w:cs="宋体"/>
          <w:color w:val="auto"/>
          <w:sz w:val="21"/>
          <w:szCs w:val="21"/>
          <w:highlight w:val="none"/>
          <w:u w:val="single"/>
          <w:lang w:eastAsia="zh-CN"/>
        </w:rPr>
        <w:t>乙方</w:t>
      </w:r>
      <w:r>
        <w:rPr>
          <w:rFonts w:hint="eastAsia" w:ascii="宋体" w:hAnsi="宋体" w:eastAsia="宋体" w:cs="宋体"/>
          <w:color w:val="auto"/>
          <w:sz w:val="21"/>
          <w:szCs w:val="21"/>
          <w:highlight w:val="none"/>
          <w:u w:val="single"/>
        </w:rPr>
        <w:t>私自对以上三人作调整，并和投标时提供的人员资料不相符的情况，每人次扣款20000元作为处罚，直至</w:t>
      </w:r>
      <w:r>
        <w:rPr>
          <w:rFonts w:hint="eastAsia" w:ascii="宋体" w:hAnsi="宋体" w:eastAsia="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无条件</w:t>
      </w:r>
      <w:r>
        <w:rPr>
          <w:rFonts w:hint="eastAsia" w:ascii="宋体" w:hAnsi="宋体" w:eastAsia="宋体" w:cs="宋体"/>
          <w:color w:val="auto"/>
          <w:sz w:val="21"/>
          <w:szCs w:val="21"/>
          <w:highlight w:val="none"/>
          <w:u w:val="single"/>
          <w:lang w:eastAsia="zh-CN"/>
        </w:rPr>
        <w:t>终止</w:t>
      </w:r>
      <w:r>
        <w:rPr>
          <w:rFonts w:hint="eastAsia" w:ascii="宋体" w:hAnsi="宋体" w:eastAsia="宋体" w:cs="宋体"/>
          <w:color w:val="auto"/>
          <w:sz w:val="21"/>
          <w:szCs w:val="21"/>
          <w:highlight w:val="none"/>
          <w:u w:val="single"/>
        </w:rPr>
        <w:t>合同。</w:t>
      </w:r>
    </w:p>
    <w:p w14:paraId="3C0A82B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u w:val="none"/>
          <w:lang w:val="en-US" w:eastAsia="zh-CN"/>
        </w:rPr>
        <w:t>3、</w:t>
      </w:r>
      <w:r>
        <w:rPr>
          <w:rFonts w:hint="eastAsia" w:ascii="宋体" w:hAnsi="宋体" w:eastAsia="宋体" w:cs="宋体"/>
          <w:b w:val="0"/>
          <w:bCs w:val="0"/>
          <w:color w:val="auto"/>
          <w:sz w:val="21"/>
          <w:szCs w:val="21"/>
          <w:highlight w:val="none"/>
          <w:lang w:val="en-US" w:eastAsia="zh-CN"/>
        </w:rPr>
        <w:t>采购人指派一名早餐管理人员(工资由中标人列支)</w:t>
      </w:r>
      <w:r>
        <w:rPr>
          <w:rFonts w:hint="eastAsia" w:ascii="宋体" w:hAnsi="宋体" w:cs="宋体"/>
          <w:b w:val="0"/>
          <w:bCs w:val="0"/>
          <w:color w:val="auto"/>
          <w:sz w:val="21"/>
          <w:szCs w:val="21"/>
          <w:highlight w:val="none"/>
          <w:lang w:val="en-US" w:eastAsia="zh-CN"/>
        </w:rPr>
        <w:t>。</w:t>
      </w:r>
    </w:p>
    <w:p w14:paraId="75A0EA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五、甲乙双方权利义务</w:t>
      </w:r>
    </w:p>
    <w:p w14:paraId="6D55A4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（一）甲方权利义务</w:t>
      </w:r>
    </w:p>
    <w:p w14:paraId="22685F35">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1、甲方负责食堂采购物品和各项费用的财务结算；</w:t>
      </w:r>
    </w:p>
    <w:p w14:paraId="6398F17F">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2、甲方有权要求乙方改进菜肴出品质量、改进相关人员服务质量，有权要求乙方定期推出新菜肴品种；</w:t>
      </w:r>
    </w:p>
    <w:p w14:paraId="3193FC81">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3、对于乙方工作人员工作表现不佳的，甲方有权提出换人；</w:t>
      </w:r>
    </w:p>
    <w:p w14:paraId="289622AC">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4、乙方提出餐具等需要增添的，经甲方核准后进行增添，费用由甲方承担。</w:t>
      </w:r>
    </w:p>
    <w:p w14:paraId="28C6AA3A">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5、甲方有权对乙方的工作人员进行各种的监督管理；甲方必须明确一个为甲方联系人员，以便同乙方人事主管部门进行工作协调、沟通。</w:t>
      </w:r>
    </w:p>
    <w:p w14:paraId="4478B38F">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甲方：    　　　　电话：　　　 　 </w:t>
      </w:r>
      <w:r>
        <w:rPr>
          <w:rFonts w:hint="eastAsia" w:ascii="宋体" w:hAnsi="宋体" w:eastAsia="宋体" w:cs="宋体"/>
          <w:color w:val="auto"/>
          <w:sz w:val="21"/>
          <w:szCs w:val="21"/>
          <w:highlight w:val="none"/>
          <w:lang w:val="en-US" w:eastAsia="zh-CN"/>
        </w:rPr>
        <w:t xml:space="preserve">  </w:t>
      </w:r>
    </w:p>
    <w:p w14:paraId="117C3B46">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p>
    <w:p w14:paraId="4B9DCF3A">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6、甲方无偿提供厨房厨具、餐具等设备，并承担相关设备的维护保养费用；</w:t>
      </w:r>
    </w:p>
    <w:p w14:paraId="407E25FE">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7、甲方负责厨房烹饪所需的水、电、燃料供给并承担相关费用；</w:t>
      </w:r>
    </w:p>
    <w:p w14:paraId="1CD79A3D">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8、甲方提供乙方派驻人员进出甲方工作场所的便利。</w:t>
      </w:r>
    </w:p>
    <w:p w14:paraId="627E0D87">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9、甲方应按期支付合同规定期内的食堂服务费，无故不得拖延付款期限。若甲方未按合同约定按时付款，应按每日0.5‰向乙方支付滞纳金，逾期3个月以上未付款，乙方有权单方面终止合同，并追究经济赔偿。</w:t>
      </w:r>
    </w:p>
    <w:p w14:paraId="5622D7D2">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10、如乙方连续2次在甲方组织的或乙方组织的测评中，测评满意度均未超过90%的，甲方有权无条件终止合同，并禁止乙方参加甲方今后组织的类似项目招标。</w:t>
      </w:r>
    </w:p>
    <w:p w14:paraId="15F35B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（二）乙方权利义务</w:t>
      </w:r>
    </w:p>
    <w:p w14:paraId="273325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l、乙方有权要求甲方定期支付本协议约定的劳务服务费用；</w:t>
      </w:r>
    </w:p>
    <w:p w14:paraId="46FF13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乙方有权对派驻人员进行调整，对员工辞职要及时进行补充，保证派驻人员的相对稳定、菜肴出品质量的稳定和人员服务质量的稳定；</w:t>
      </w:r>
    </w:p>
    <w:p w14:paraId="216DBE8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3、乙方需保障会议和接待用餐</w:t>
      </w:r>
      <w:r>
        <w:rPr>
          <w:rFonts w:hint="eastAsia" w:ascii="宋体" w:hAnsi="宋体" w:eastAsia="宋体" w:cs="宋体"/>
          <w:color w:val="auto"/>
          <w:sz w:val="21"/>
          <w:szCs w:val="21"/>
          <w:highlight w:val="none"/>
        </w:rPr>
        <w:t>，不另外支付费用</w:t>
      </w:r>
      <w:r>
        <w:rPr>
          <w:rFonts w:hint="eastAsia" w:ascii="宋体" w:hAnsi="宋体" w:eastAsia="宋体" w:cs="宋体"/>
          <w:color w:val="auto"/>
          <w:szCs w:val="21"/>
          <w:highlight w:val="none"/>
        </w:rPr>
        <w:t xml:space="preserve">； </w:t>
      </w:r>
    </w:p>
    <w:p w14:paraId="16AB2D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4、乙方有权决定菜肴烹饪的操作流程和操作方法，甲方不加干涉，但乙方保证符合国家或地方相关卫生防疫标准；</w:t>
      </w:r>
    </w:p>
    <w:p w14:paraId="415F10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5、乙方派驻人员严格执行甲方制定的各项规章制度，服从甲方管理人员的指挥和监督，严禁乙方工作人员在外兼职：</w:t>
      </w:r>
    </w:p>
    <w:p w14:paraId="15E63C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6、乙方应加强安全教育，落实安全责任制并采取严格的安全保障措施，防止安全事故的发生，特别是要严防食物中毒事故发生；</w:t>
      </w:r>
    </w:p>
    <w:p w14:paraId="23A88E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7、乙方须及时提供厨房原材料采购的价格信息（同类产品同期采购价），供甲方参考，以便于甲方对高出部分产品价格与供应商进行协商及货款冲减；</w:t>
      </w:r>
    </w:p>
    <w:p w14:paraId="3C78A8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8、乙方应提交派驻人员基本情况表，同时乙方要按照国家或地方标准，定期对工作人员的身体健康情况进行检查，并提交相关检查报告给甲方备案；</w:t>
      </w:r>
    </w:p>
    <w:p w14:paraId="73C0D11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9、乙方定期对派驻在甲方工作人员进行业务培训、交流和每月派遣1-2个岗位资历较深的员工到甲方进行业务指导；</w:t>
      </w:r>
    </w:p>
    <w:p w14:paraId="26CA51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10、乙方必须按照浙江省以及台州市的有关规定，为乙方派驻至甲方的工作人员办理社会保险（员工养老保险金、员工大病保险、员工失业保险、员工生育保险、员工工伤保险等），特殊情况除外。</w:t>
      </w:r>
    </w:p>
    <w:p w14:paraId="7B2D66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11、乙方不得储藏、加工、提供变质食品。</w:t>
      </w:r>
    </w:p>
    <w:p w14:paraId="10AD8C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12、乙方要爱护招标方提供的房产和餐饮炊具设备等，负责日常养护管理，如乙方人为原因造成的设备设施损坏、遗失，乙方应照价赔偿。</w:t>
      </w:r>
    </w:p>
    <w:p w14:paraId="3770516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乙方需具备完整的各项管理制度，包括卫生管理制度、食品安全管理制度、综合治理管理制度、突发性事件处置制度、公众服务制度、内部岗位责任制度、管理运作制度、员工考核制度、成本核算方案及应急保障方案等。</w:t>
      </w:r>
    </w:p>
    <w:p w14:paraId="7EF7A7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14、对甲方提出的因工作表现不佳或其它原因而要求更换的工作人员，乙方必须在七个工作日内进行更换。</w:t>
      </w:r>
    </w:p>
    <w:p w14:paraId="5D0D11C2">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、技术资料</w:t>
      </w:r>
    </w:p>
    <w:p w14:paraId="4163108B">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1.乙方应按招标文件规定的时间向甲方提供有关技术资料。</w:t>
      </w:r>
    </w:p>
    <w:p w14:paraId="3334572C">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BF0279">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、知识产权</w:t>
      </w:r>
    </w:p>
    <w:p w14:paraId="41841639">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w:t>
      </w:r>
    </w:p>
    <w:p w14:paraId="7CD24CFF">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、转包或分包</w:t>
      </w:r>
    </w:p>
    <w:p w14:paraId="6B0F4CBA">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3D8B79F3">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除非得到甲方的书面同意，乙方不得将本合同范围的服务全部或部分分包给他人供应；</w:t>
      </w:r>
    </w:p>
    <w:p w14:paraId="08B5E001">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如有转让和未经甲方同意的分包行为，甲方有权解除合同，并追究乙方的违约责任。</w:t>
      </w:r>
    </w:p>
    <w:p w14:paraId="625DB9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九、其他重要事项</w:t>
      </w:r>
    </w:p>
    <w:p w14:paraId="5270AA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1、乙方对派驻甲方主要人员（各组长）进行调整时，必须同甲方主管部门协调，征得甲方同意后进行调动，并从补充人员到位后进行。</w:t>
      </w:r>
    </w:p>
    <w:p w14:paraId="30BF3B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2、甲、乙双方因特殊工作需求临时抽调人员时间在一天内由乙方派驻厨师长决定。</w:t>
      </w:r>
    </w:p>
    <w:p w14:paraId="0AF5C6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派驻至甲方的工作人员在工作期间因甲方原因发生人身伤害等事故的，甲方除应按国家规定向政府有关部门报告外，应立即通知乙方，由乙方或甲方按国家有关政策，在规定期限内及时向政府有关部门申报和处理，甲方应按照国家相关政策规定的标准承担责任、支付费用（包括但不限于向乙方返还乙方先予支付或垫付的费用）。</w:t>
      </w:r>
    </w:p>
    <w:p w14:paraId="275609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4、甲、乙双方如需单方终止协议，必须提前两个月书面通知对方，以便对方作好善后工作，过错一方需支付全年劳务服务费用10%的违约金。 </w:t>
      </w:r>
    </w:p>
    <w:p w14:paraId="76CFF5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5、乙方必须严格遵守甲方的规章制度，乙方员工在工作期间，若因工作原因给甲方造成损失的，甲方有权要求乙方承担责任。</w:t>
      </w:r>
      <w:r>
        <w:rPr>
          <w:rFonts w:hint="eastAsia" w:ascii="宋体" w:hAnsi="宋体" w:eastAsia="宋体" w:cs="宋体"/>
          <w:color w:val="auto"/>
          <w:szCs w:val="21"/>
          <w:highlight w:val="none"/>
          <w:lang w:eastAsia="zh-CN"/>
        </w:rPr>
        <w:t>、</w:t>
      </w:r>
    </w:p>
    <w:p w14:paraId="75E0D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管理不善，出现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工作人员与就餐干部职工吵架等不良现象，根据情节每次扣款300-500元；</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日常管理，或不落实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合理工作要求和安排的，根据情节每次扣款500-1000元，直至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管理及服务人员必须按投标承诺和进驻时间准时到位，如出现人员不到位的情况，每人次扣款5000元，如无故私自推迟进驻时间，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按每推迟一天扣款10000元进行处罚，直至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需做好完整的检查记录、留样记录、消毒记录等各种台账，如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检查发现有不完善或无台账等情况，</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有权视情节处以500-1000的扣款。上述扣款处罚均不需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签字，直接由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5A0599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十、其他有关说明</w:t>
      </w:r>
    </w:p>
    <w:p w14:paraId="20E966C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本次招标</w:t>
      </w:r>
      <w:r>
        <w:rPr>
          <w:rFonts w:hint="eastAsia" w:ascii="宋体" w:hAnsi="宋体" w:eastAsia="宋体" w:cs="宋体"/>
          <w:color w:val="auto"/>
          <w:sz w:val="21"/>
          <w:szCs w:val="21"/>
          <w:highlight w:val="none"/>
          <w:u w:val="none"/>
        </w:rPr>
        <w:t>合同期为</w:t>
      </w:r>
      <w:r>
        <w:rPr>
          <w:rFonts w:hint="eastAsia" w:ascii="宋体" w:hAnsi="宋体" w:eastAsia="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年。</w:t>
      </w:r>
    </w:p>
    <w:p w14:paraId="41F5117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需在本项目中指定一名负责人负责本项目的协调管理，按本项目管理的要求配备相应的工作人员。</w:t>
      </w:r>
    </w:p>
    <w:p w14:paraId="296E1E9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r>
        <w:rPr>
          <w:rFonts w:hint="eastAsia" w:ascii="宋体" w:hAnsi="宋体" w:eastAsia="宋体" w:cs="宋体"/>
          <w:color w:val="auto"/>
          <w:sz w:val="21"/>
          <w:szCs w:val="21"/>
          <w:highlight w:val="none"/>
          <w:lang w:val="en-US" w:eastAsia="zh-CN"/>
        </w:rPr>
        <w:t>签订合同后，在合同生效以及具备实施条件后7个工作日内支付合同金额的40%作为预付款，服务期结束后支付合同金额的60%。</w:t>
      </w:r>
    </w:p>
    <w:p w14:paraId="67DE2AC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需服从</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管理，工作人员聘任、离职和请假，需向</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上报人员进出表和请销假单，工作人员聘用需经过</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确定，未经过培训和无相关工作经验人员不得上岗使用。</w:t>
      </w:r>
    </w:p>
    <w:p w14:paraId="6857299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合同扣款情形：由于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管理不善，出现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工作人员与就餐干部职工吵架等不良现象，根据情节每次扣款300-500元；</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工作人员不服从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日常管理，或不落实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合理工作要求和安排的，根据情节每次扣款500-1000元，直至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管理及服务人员必须按投标承诺和进驻时间准时到位，如出现人员不到位的情况，每人次扣款5000元，如无故私自推迟进驻时间，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按每推迟一天扣款10000元进行处罚，直至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需做好完整的检查记录、留样记录、消毒记录等各种台账，如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检查发现有不完善或无台账等情况，</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有权视情节处以500-1000的扣款。上述扣款处罚均不需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签字，直接由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出具文件，在合同</w:t>
      </w:r>
      <w:r>
        <w:rPr>
          <w:rFonts w:hint="eastAsia" w:ascii="宋体" w:hAnsi="宋体" w:eastAsia="宋体" w:cs="宋体"/>
          <w:color w:val="auto"/>
          <w:sz w:val="21"/>
          <w:szCs w:val="21"/>
          <w:highlight w:val="none"/>
          <w:lang w:val="en-US" w:eastAsia="zh-CN"/>
        </w:rPr>
        <w:t>付款金额</w:t>
      </w:r>
      <w:r>
        <w:rPr>
          <w:rFonts w:hint="eastAsia" w:ascii="宋体" w:hAnsi="宋体" w:eastAsia="宋体" w:cs="宋体"/>
          <w:color w:val="auto"/>
          <w:sz w:val="21"/>
          <w:szCs w:val="21"/>
          <w:highlight w:val="none"/>
        </w:rPr>
        <w:t>中扣除。</w:t>
      </w:r>
    </w:p>
    <w:p w14:paraId="452EF1C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将成立食堂管理委员会履行监督管理职能。组织人员定期对中标单位服务态度、菜肴口味等情况进行民主测评，测评后，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及时将结果告知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，如有问题，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需及时落实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提出的整改要求。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应定期开展满意度测评，每年不少于4次。如中标单位连续2次在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组织的或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组织的测评中，测评满意度均未超过90%的，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有权无条件</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合同，并禁止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今后组织的类似项目招标。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将定期对中际人在响应程度、服务满意度、人事管理、服务质量、菜肴品质、食品安全与环境卫生、成本核算、设备设施管理等方面进行考核评分，对评分结果视扣分情况作相应的处罚（评分表附后）。</w:t>
      </w:r>
    </w:p>
    <w:p w14:paraId="7D571C4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提供餐饮服务时，因自身原因发生的一切安全事故责任均自行承担，事故责任和损失由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6C44F9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人员的固定</w:t>
      </w:r>
      <w:r>
        <w:rPr>
          <w:rFonts w:hint="eastAsia" w:ascii="宋体" w:hAnsi="宋体" w:eastAsia="宋体" w:cs="宋体"/>
          <w:b w:val="0"/>
          <w:bCs w:val="0"/>
          <w:color w:val="auto"/>
          <w:sz w:val="21"/>
          <w:szCs w:val="21"/>
          <w:highlight w:val="none"/>
        </w:rPr>
        <w:t>加班费、岗位补助、考核费、体检费、住宿费等</w:t>
      </w:r>
      <w:r>
        <w:rPr>
          <w:rFonts w:hint="eastAsia" w:ascii="宋体" w:hAnsi="宋体" w:eastAsia="宋体" w:cs="宋体"/>
          <w:b w:val="0"/>
          <w:bCs w:val="0"/>
          <w:color w:val="auto"/>
          <w:sz w:val="21"/>
          <w:szCs w:val="21"/>
          <w:highlight w:val="none"/>
          <w:u w:val="none"/>
        </w:rPr>
        <w:t>其他一切费用不再另行计算，全部纳入招标总额内（投标人在进行投标报价时要充分考虑全部产生费用的因素）</w:t>
      </w:r>
      <w:r>
        <w:rPr>
          <w:rFonts w:hint="eastAsia" w:ascii="宋体" w:hAnsi="宋体" w:eastAsia="宋体" w:cs="宋体"/>
          <w:b w:val="0"/>
          <w:bCs w:val="0"/>
          <w:color w:val="auto"/>
          <w:sz w:val="21"/>
          <w:szCs w:val="21"/>
          <w:highlight w:val="none"/>
          <w:u w:val="none"/>
          <w:lang w:eastAsia="zh-CN"/>
        </w:rPr>
        <w:t>。</w:t>
      </w:r>
    </w:p>
    <w:p w14:paraId="2872BA5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同意，</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不得有下列行为：擅自安排人员到</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食堂学习、考察和培训等；擅自调动本项目工作人员外出工作；擅自安排人员到本项目食堂免费用餐。上述行为一</w:t>
      </w:r>
      <w:r>
        <w:rPr>
          <w:rFonts w:hint="eastAsia" w:ascii="宋体" w:hAnsi="宋体" w:eastAsia="宋体" w:cs="宋体"/>
          <w:color w:val="auto"/>
          <w:sz w:val="21"/>
          <w:szCs w:val="21"/>
          <w:highlight w:val="none"/>
        </w:rPr>
        <w:t>经发现，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有权视情节进行扣款处罚100-1000元，并从下一月的承包服务费中直接扣除。</w:t>
      </w:r>
    </w:p>
    <w:p w14:paraId="270A9AC5">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有违反上述条款和相关规定，或因不服从</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管理监督造成双方矛盾激化，被</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解除合同的，具体解除合同时间由</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确定，</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不得私自带团队撤离，如私自带团队撤离，</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有权按合同价的百分之二十向</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进行索赔，如</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不履行的，</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可向台州仲裁委员会申请仲裁。</w:t>
      </w:r>
    </w:p>
    <w:p w14:paraId="0DD57DE0">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合同期满后，</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应服从</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安排，由</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确定撤离时间，不得私自带团队撤离。</w:t>
      </w:r>
    </w:p>
    <w:p w14:paraId="6B8E1D62">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、税费</w:t>
      </w:r>
    </w:p>
    <w:p w14:paraId="36136A75">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71121A44">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p>
    <w:p w14:paraId="67A6A6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1、甲方出现以下情形时，视为甲方违约，乙方有权要求终止本协议。</w:t>
      </w:r>
    </w:p>
    <w:p w14:paraId="1A168E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未按合同要求及时支付劳务服务费用的，乙方有权终止协议</w:t>
      </w:r>
      <w:r>
        <w:rPr>
          <w:rFonts w:hint="eastAsia" w:ascii="宋体" w:hAnsi="宋体" w:eastAsia="宋体" w:cs="宋体"/>
          <w:color w:val="auto"/>
          <w:szCs w:val="21"/>
          <w:highlight w:val="none"/>
          <w:lang w:eastAsia="zh-CN"/>
        </w:rPr>
        <w:t>。</w:t>
      </w:r>
    </w:p>
    <w:p w14:paraId="674BD8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无正当理由，甲方扣减乙方本应收取的费用的。</w:t>
      </w:r>
    </w:p>
    <w:p w14:paraId="149714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2、因乙方派驻人员缺编时间达到七天以上且乙方无正当理由未安排替代人员的，甲方有权解除合同，并由乙方向甲方支付全年劳务服务费用10%的违约金。</w:t>
      </w:r>
    </w:p>
    <w:p w14:paraId="043357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3、在本协议内，乙方出现以下情形时，视为乙方违约，若该等违约行为影响合同目的实现的，甲方有权要求终止本协议，并由乙方向甲方支付全年劳务服务费用10%的违约金。</w:t>
      </w:r>
    </w:p>
    <w:p w14:paraId="065F37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乙方未与乙方委派至甲方的工作人员签订劳动合同，或未委托第三方与乙方委派至甲方的工作人员签订劳动合同的，经指出后仍不纠正的，视为乙方违约</w:t>
      </w:r>
      <w:r>
        <w:rPr>
          <w:rFonts w:hint="eastAsia" w:ascii="宋体" w:hAnsi="宋体" w:eastAsia="宋体" w:cs="宋体"/>
          <w:color w:val="auto"/>
          <w:szCs w:val="21"/>
          <w:highlight w:val="none"/>
          <w:lang w:eastAsia="zh-CN"/>
        </w:rPr>
        <w:t>；</w:t>
      </w:r>
    </w:p>
    <w:p w14:paraId="01ACEDB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乙方菜肴出品质量差或乙方委派至甲方的工作人员服务质量差，不能及时纠正的，累计五次的视为乙方违约</w:t>
      </w:r>
      <w:r>
        <w:rPr>
          <w:rFonts w:hint="eastAsia" w:ascii="宋体" w:hAnsi="宋体" w:eastAsia="宋体" w:cs="宋体"/>
          <w:color w:val="auto"/>
          <w:szCs w:val="21"/>
          <w:highlight w:val="none"/>
          <w:lang w:eastAsia="zh-CN"/>
        </w:rPr>
        <w:t>；</w:t>
      </w:r>
    </w:p>
    <w:p w14:paraId="7AA59D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乙方委派人员违反甲方制定的各项规章制度，不听从甲方管理人员的指挥和监督，或乙方工作人员在外兼职的，经指出后仍未纠正的，视为乙方违约；</w:t>
      </w:r>
    </w:p>
    <w:p w14:paraId="3BCC06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劳务委托服务基本要求中人员配置要求、人员素质要求、菜肴品种要求、开餐时间要求、工作职责要求等未能达到要求的，经甲方指出仍不能纠正的，或协议周期内出现同类问题的，视为乙方违约；</w:t>
      </w:r>
    </w:p>
    <w:p w14:paraId="33045A7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乙方未按照国家或地方标准，定期对工作人员的身体健康情况进行检查，并提交甲方相关检查报告的，或提供虚假报告被查实的，经甲方指出仍不能纠正的，或协议周期内出现同类问题的，视为乙方违约；</w:t>
      </w:r>
    </w:p>
    <w:p w14:paraId="5D91F2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在甲方提供的设备设施、用具、工作环境等保证切实安全的前提条件下，因乙方管理原因，导致重大安全事故发生的，视为乙方违约；</w:t>
      </w:r>
    </w:p>
    <w:p w14:paraId="28CF925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甲方提出更换乙方委派至甲方的工作人员，有正当理由而乙方未按规定及时更换的，视为乙方违约</w:t>
      </w:r>
      <w:r>
        <w:rPr>
          <w:rFonts w:hint="eastAsia" w:ascii="宋体" w:hAnsi="宋体" w:eastAsia="宋体" w:cs="宋体"/>
          <w:color w:val="auto"/>
          <w:szCs w:val="21"/>
          <w:highlight w:val="none"/>
          <w:lang w:eastAsia="zh-CN"/>
        </w:rPr>
        <w:t>；</w:t>
      </w:r>
    </w:p>
    <w:p w14:paraId="1CC6F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乙方未按照食谱制作菜肴，视为乙方违约（除提前沟通外）</w:t>
      </w:r>
      <w:r>
        <w:rPr>
          <w:rFonts w:hint="eastAsia" w:ascii="宋体" w:hAnsi="宋体" w:eastAsia="宋体" w:cs="宋体"/>
          <w:color w:val="auto"/>
          <w:szCs w:val="21"/>
          <w:highlight w:val="none"/>
          <w:lang w:eastAsia="zh-CN"/>
        </w:rPr>
        <w:t>；</w:t>
      </w:r>
    </w:p>
    <w:p w14:paraId="034B07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乙方不得以甲方名义进行任何形式的品牌推广和商业行为</w:t>
      </w:r>
      <w:r>
        <w:rPr>
          <w:rFonts w:hint="eastAsia" w:ascii="宋体" w:hAnsi="宋体" w:eastAsia="宋体" w:cs="宋体"/>
          <w:color w:val="auto"/>
          <w:szCs w:val="21"/>
          <w:highlight w:val="none"/>
          <w:lang w:eastAsia="zh-CN"/>
        </w:rPr>
        <w:t>；</w:t>
      </w:r>
    </w:p>
    <w:p w14:paraId="6DC4656D">
      <w:pPr>
        <w:pStyle w:val="10"/>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、不可抗力事件处理</w:t>
      </w:r>
    </w:p>
    <w:p w14:paraId="763A5A1A">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0537F352">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不可抗力事件发生后，应立即通知对方，并寄送有关权威机构出具的证明。</w:t>
      </w:r>
    </w:p>
    <w:p w14:paraId="7335E70E">
      <w:pPr>
        <w:pStyle w:val="10"/>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不可抗力事件延续120天以上，双方应通过友好协商，确定是否继续履行合同。</w:t>
      </w:r>
    </w:p>
    <w:p w14:paraId="08ABE23F">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、解决争议的方法</w:t>
      </w:r>
    </w:p>
    <w:p w14:paraId="09FE5C43">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如双方在履行合同时发生纠纷，应协商解决；协商不成时，可提请政府采购管理部门调解；调解不成的通过以下方式解决（两种解决方式只能择其一）：</w:t>
      </w:r>
    </w:p>
    <w:p w14:paraId="196F9ADE">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sz w:val="21"/>
          <w:szCs w:val="21"/>
          <w:highlight w:val="none"/>
          <w:u w:val="none"/>
        </w:rPr>
        <w:t>台州</w:t>
      </w:r>
      <w:r>
        <w:rPr>
          <w:rFonts w:hint="eastAsia" w:ascii="宋体" w:hAnsi="宋体" w:eastAsia="宋体" w:cs="宋体"/>
          <w:color w:val="auto"/>
          <w:kern w:val="0"/>
          <w:sz w:val="21"/>
          <w:szCs w:val="21"/>
          <w:highlight w:val="none"/>
        </w:rPr>
        <w:t>仲裁委员会仲裁。</w:t>
      </w:r>
    </w:p>
    <w:p w14:paraId="5CDA9DF1">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（2）依法向人民法院提起诉讼。</w:t>
      </w:r>
    </w:p>
    <w:p w14:paraId="15FEB23A">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、合同生效及其它</w:t>
      </w:r>
    </w:p>
    <w:p w14:paraId="11FD66A1">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合同经双方法定代表人或授权代表</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并加盖单位公章后生效。</w:t>
      </w:r>
    </w:p>
    <w:p w14:paraId="521501F5">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本合同未尽事宜，遵照《</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》有关条文执行。</w:t>
      </w:r>
    </w:p>
    <w:p w14:paraId="33FAC072">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本合同一式</w:t>
      </w:r>
      <w:r>
        <w:rPr>
          <w:rFonts w:hint="eastAsia" w:ascii="宋体" w:hAnsi="宋体" w:eastAsia="宋体" w:cs="宋体"/>
          <w:b w:val="0"/>
          <w:bCs w:val="0"/>
          <w:color w:val="auto"/>
          <w:sz w:val="21"/>
          <w:szCs w:val="21"/>
          <w:highlight w:val="none"/>
          <w:lang w:val="en-US" w:eastAsia="zh-CN"/>
        </w:rPr>
        <w:t>陆</w:t>
      </w:r>
      <w:r>
        <w:rPr>
          <w:rFonts w:hint="eastAsia" w:ascii="宋体" w:hAnsi="宋体" w:eastAsia="宋体" w:cs="宋体"/>
          <w:b w:val="0"/>
          <w:bCs w:val="0"/>
          <w:color w:val="auto"/>
          <w:sz w:val="21"/>
          <w:szCs w:val="21"/>
          <w:highlight w:val="none"/>
        </w:rPr>
        <w:t>份。甲、乙双方各执</w:t>
      </w:r>
      <w:r>
        <w:rPr>
          <w:rFonts w:hint="eastAsia" w:ascii="宋体" w:hAnsi="宋体" w:eastAsia="宋体" w:cs="宋体"/>
          <w:b w:val="0"/>
          <w:bCs w:val="0"/>
          <w:color w:val="auto"/>
          <w:sz w:val="21"/>
          <w:szCs w:val="21"/>
          <w:highlight w:val="none"/>
          <w:lang w:val="en-US" w:eastAsia="zh-CN"/>
        </w:rPr>
        <w:t>贰</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eastAsia="zh-CN"/>
        </w:rPr>
        <w:t>采购组织机构</w:t>
      </w:r>
      <w:r>
        <w:rPr>
          <w:rFonts w:hint="eastAsia" w:ascii="宋体" w:hAnsi="宋体" w:eastAsia="宋体" w:cs="宋体"/>
          <w:b w:val="0"/>
          <w:bCs w:val="0"/>
          <w:color w:val="auto"/>
          <w:sz w:val="21"/>
          <w:szCs w:val="21"/>
          <w:highlight w:val="none"/>
        </w:rPr>
        <w:t>及</w:t>
      </w:r>
      <w:r>
        <w:rPr>
          <w:rFonts w:hint="eastAsia" w:ascii="宋体" w:hAnsi="宋体" w:eastAsia="宋体" w:cs="宋体"/>
          <w:b w:val="0"/>
          <w:bCs w:val="0"/>
          <w:color w:val="auto"/>
          <w:sz w:val="21"/>
          <w:szCs w:val="21"/>
          <w:highlight w:val="none"/>
          <w:lang w:eastAsia="zh-CN"/>
        </w:rPr>
        <w:t>同级人民</w:t>
      </w:r>
      <w:r>
        <w:rPr>
          <w:rFonts w:hint="eastAsia" w:ascii="宋体" w:hAnsi="宋体" w:eastAsia="宋体" w:cs="宋体"/>
          <w:b w:val="0"/>
          <w:bCs w:val="0"/>
          <w:color w:val="auto"/>
          <w:sz w:val="21"/>
          <w:szCs w:val="21"/>
          <w:highlight w:val="none"/>
        </w:rPr>
        <w:t>政府</w:t>
      </w:r>
      <w:r>
        <w:rPr>
          <w:rFonts w:hint="eastAsia" w:ascii="宋体" w:hAnsi="宋体" w:eastAsia="宋体" w:cs="宋体"/>
          <w:b w:val="0"/>
          <w:bCs w:val="0"/>
          <w:color w:val="auto"/>
          <w:sz w:val="21"/>
          <w:szCs w:val="21"/>
          <w:highlight w:val="none"/>
          <w:lang w:eastAsia="zh-CN"/>
        </w:rPr>
        <w:t>财政部门</w:t>
      </w:r>
      <w:r>
        <w:rPr>
          <w:rFonts w:hint="eastAsia" w:ascii="宋体" w:hAnsi="宋体" w:eastAsia="宋体" w:cs="宋体"/>
          <w:b w:val="0"/>
          <w:bCs w:val="0"/>
          <w:color w:val="auto"/>
          <w:sz w:val="21"/>
          <w:szCs w:val="21"/>
          <w:highlight w:val="none"/>
        </w:rPr>
        <w:t>各执一份。本项目未尽事宜以招标文件、投标文件及澄清文件等为准</w:t>
      </w:r>
      <w:r>
        <w:rPr>
          <w:rFonts w:hint="eastAsia" w:ascii="宋体" w:hAnsi="宋体" w:eastAsia="宋体" w:cs="宋体"/>
          <w:color w:val="auto"/>
          <w:sz w:val="21"/>
          <w:szCs w:val="21"/>
          <w:highlight w:val="none"/>
        </w:rPr>
        <w:t>。</w:t>
      </w:r>
    </w:p>
    <w:p w14:paraId="3FD86931">
      <w:pPr>
        <w:keepNext w:val="0"/>
        <w:keepLines w:val="0"/>
        <w:pageBreakBefore w:val="0"/>
        <w:widowControl w:val="0"/>
        <w:tabs>
          <w:tab w:val="left" w:pos="4140"/>
        </w:tabs>
        <w:kinsoku/>
        <w:wordWrap/>
        <w:overflowPunct/>
        <w:topLinePunct w:val="0"/>
        <w:bidi w:val="0"/>
        <w:spacing w:line="360" w:lineRule="auto"/>
        <w:outlineLvl w:val="9"/>
        <w:rPr>
          <w:rFonts w:hint="eastAsia" w:ascii="宋体" w:hAnsi="宋体" w:eastAsia="宋体" w:cs="宋体"/>
          <w:color w:val="auto"/>
          <w:szCs w:val="21"/>
          <w:highlight w:val="none"/>
        </w:rPr>
      </w:pPr>
    </w:p>
    <w:p w14:paraId="5A4FEFAA">
      <w:pPr>
        <w:keepNext w:val="0"/>
        <w:keepLines w:val="0"/>
        <w:pageBreakBefore w:val="0"/>
        <w:widowControl w:val="0"/>
        <w:tabs>
          <w:tab w:val="left" w:pos="414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3395A108">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532F4F6">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3984676B">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3B12F8AC">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11519D5F">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0AD51C30">
      <w:pPr>
        <w:keepNext w:val="0"/>
        <w:keepLines w:val="0"/>
        <w:pageBreakBefore w:val="0"/>
        <w:widowControl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7182B357">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55DCCC47">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日      期：</w:t>
      </w:r>
    </w:p>
    <w:p w14:paraId="4653B36D">
      <w:pPr>
        <w:keepNext w:val="0"/>
        <w:keepLines w:val="0"/>
        <w:pageBreakBefore w:val="0"/>
        <w:widowControl w:val="0"/>
        <w:kinsoku/>
        <w:wordWrap/>
        <w:overflowPunct/>
        <w:topLinePunct w:val="0"/>
        <w:bidi w:val="0"/>
        <w:spacing w:line="480" w:lineRule="exact"/>
        <w:jc w:val="center"/>
        <w:outlineLvl w:val="9"/>
        <w:rPr>
          <w:rFonts w:hint="eastAsia" w:ascii="宋体" w:hAnsi="宋体" w:eastAsia="宋体" w:cs="宋体"/>
          <w:color w:val="auto"/>
          <w:szCs w:val="21"/>
          <w:highlight w:val="none"/>
        </w:rPr>
      </w:pPr>
    </w:p>
    <w:p w14:paraId="6E7F481C">
      <w:pPr>
        <w:keepNext w:val="0"/>
        <w:keepLines w:val="0"/>
        <w:pageBreakBefore w:val="0"/>
        <w:widowControl w:val="0"/>
        <w:kinsoku/>
        <w:wordWrap/>
        <w:overflowPunct/>
        <w:topLinePunct w:val="0"/>
        <w:bidi w:val="0"/>
        <w:spacing w:line="48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合同见证章：</w:t>
      </w:r>
    </w:p>
    <w:p w14:paraId="4C495587">
      <w:pPr>
        <w:keepNext w:val="0"/>
        <w:keepLines w:val="0"/>
        <w:pageBreakBefore w:val="0"/>
        <w:widowControl w:val="0"/>
        <w:kinsoku/>
        <w:wordWrap/>
        <w:overflowPunct/>
        <w:topLinePunct w:val="0"/>
        <w:bidi w:val="0"/>
        <w:spacing w:line="480" w:lineRule="exact"/>
        <w:ind w:firstLine="105" w:firstLineChars="50"/>
        <w:outlineLvl w:val="9"/>
        <w:rPr>
          <w:rFonts w:hint="eastAsia" w:ascii="宋体" w:hAnsi="宋体" w:eastAsia="宋体" w:cs="宋体"/>
          <w:color w:val="auto"/>
          <w:szCs w:val="21"/>
          <w:highlight w:val="none"/>
        </w:rPr>
      </w:pPr>
    </w:p>
    <w:p w14:paraId="0DB2E440">
      <w:pPr>
        <w:keepNext w:val="0"/>
        <w:keepLines w:val="0"/>
        <w:pageBreakBefore w:val="0"/>
        <w:widowControl w:val="0"/>
        <w:kinsoku/>
        <w:wordWrap/>
        <w:overflowPunct/>
        <w:topLinePunct w:val="0"/>
        <w:bidi w:val="0"/>
        <w:spacing w:line="480" w:lineRule="exact"/>
        <w:ind w:firstLine="5670" w:firstLineChars="2700"/>
        <w:jc w:val="both"/>
        <w:outlineLvl w:val="9"/>
        <w:rPr>
          <w:rFonts w:hint="eastAsia" w:ascii="宋体" w:hAnsi="宋体" w:eastAsia="宋体" w:cs="宋体"/>
          <w:color w:val="auto"/>
          <w:highlight w:val="none"/>
          <w:lang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eastAsia="宋体" w:cs="宋体"/>
          <w:color w:val="auto"/>
          <w:szCs w:val="21"/>
          <w:highlight w:val="none"/>
          <w:lang w:eastAsia="zh-CN"/>
        </w:rPr>
        <w:t>签订日期：</w:t>
      </w:r>
    </w:p>
    <w:tbl>
      <w:tblPr>
        <w:tblStyle w:val="2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25"/>
        <w:gridCol w:w="2505"/>
        <w:gridCol w:w="876"/>
        <w:gridCol w:w="2457"/>
        <w:gridCol w:w="747"/>
      </w:tblGrid>
      <w:tr w14:paraId="40A2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6" w:type="dxa"/>
            <w:gridSpan w:val="6"/>
            <w:noWrap w:val="0"/>
            <w:vAlign w:val="center"/>
          </w:tcPr>
          <w:p w14:paraId="6BEF2F9B">
            <w:pPr>
              <w:widowControl/>
              <w:jc w:val="center"/>
              <w:rPr>
                <w:rFonts w:hint="eastAsia" w:ascii="宋体" w:hAnsi="宋体" w:eastAsia="宋体" w:cs="宋体"/>
                <w:bCs/>
                <w:color w:val="auto"/>
                <w:kern w:val="0"/>
                <w:sz w:val="24"/>
                <w:highlight w:val="none"/>
              </w:rPr>
            </w:pPr>
            <w:r>
              <w:rPr>
                <w:rFonts w:hint="eastAsia" w:ascii="宋体" w:hAnsi="宋体" w:eastAsia="宋体" w:cs="宋体"/>
                <w:b/>
                <w:bCs/>
                <w:color w:val="auto"/>
                <w:kern w:val="0"/>
                <w:sz w:val="24"/>
                <w:highlight w:val="none"/>
                <w:lang w:eastAsia="zh-CN"/>
              </w:rPr>
              <w:t>台州市路桥区横街镇人民政府</w:t>
            </w:r>
            <w:r>
              <w:rPr>
                <w:rFonts w:hint="eastAsia" w:ascii="宋体" w:hAnsi="宋体" w:eastAsia="宋体" w:cs="宋体"/>
                <w:b/>
                <w:bCs/>
                <w:color w:val="auto"/>
                <w:kern w:val="0"/>
                <w:sz w:val="24"/>
                <w:highlight w:val="none"/>
              </w:rPr>
              <w:t>食堂精细化管理评分表</w:t>
            </w:r>
          </w:p>
        </w:tc>
      </w:tr>
      <w:tr w14:paraId="3DC7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6" w:type="dxa"/>
            <w:noWrap w:val="0"/>
            <w:vAlign w:val="center"/>
          </w:tcPr>
          <w:p w14:paraId="59FF0413">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425" w:type="dxa"/>
            <w:noWrap w:val="0"/>
            <w:vAlign w:val="center"/>
          </w:tcPr>
          <w:p w14:paraId="2976D8B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考核项目</w:t>
            </w:r>
          </w:p>
        </w:tc>
        <w:tc>
          <w:tcPr>
            <w:tcW w:w="2505" w:type="dxa"/>
            <w:noWrap w:val="0"/>
            <w:vAlign w:val="center"/>
          </w:tcPr>
          <w:p w14:paraId="66FE65A6">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考核标准</w:t>
            </w:r>
          </w:p>
        </w:tc>
        <w:tc>
          <w:tcPr>
            <w:tcW w:w="876" w:type="dxa"/>
            <w:noWrap w:val="0"/>
            <w:vAlign w:val="center"/>
          </w:tcPr>
          <w:p w14:paraId="4E3EBCA7">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标准分</w:t>
            </w:r>
          </w:p>
        </w:tc>
        <w:tc>
          <w:tcPr>
            <w:tcW w:w="2457" w:type="dxa"/>
            <w:noWrap w:val="0"/>
            <w:vAlign w:val="center"/>
          </w:tcPr>
          <w:p w14:paraId="3BD2717F">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评分标准</w:t>
            </w:r>
          </w:p>
        </w:tc>
        <w:tc>
          <w:tcPr>
            <w:tcW w:w="747" w:type="dxa"/>
            <w:noWrap w:val="0"/>
            <w:vAlign w:val="center"/>
          </w:tcPr>
          <w:p w14:paraId="6E345EB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扣分情况</w:t>
            </w:r>
          </w:p>
        </w:tc>
      </w:tr>
      <w:tr w14:paraId="4644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56" w:type="dxa"/>
            <w:noWrap w:val="0"/>
            <w:vAlign w:val="center"/>
          </w:tcPr>
          <w:p w14:paraId="7CC28AB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425" w:type="dxa"/>
            <w:noWrap w:val="0"/>
            <w:vAlign w:val="center"/>
          </w:tcPr>
          <w:p w14:paraId="267BF834">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响应程度</w:t>
            </w:r>
          </w:p>
        </w:tc>
        <w:tc>
          <w:tcPr>
            <w:tcW w:w="2505" w:type="dxa"/>
            <w:noWrap w:val="0"/>
            <w:vAlign w:val="center"/>
          </w:tcPr>
          <w:p w14:paraId="546E0C5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是否服从业主方管理；是否及时落实业主方合理工作安排；是否及时整改存在的问题。</w:t>
            </w:r>
          </w:p>
        </w:tc>
        <w:tc>
          <w:tcPr>
            <w:tcW w:w="876" w:type="dxa"/>
            <w:noWrap w:val="0"/>
            <w:vAlign w:val="center"/>
          </w:tcPr>
          <w:p w14:paraId="07CB4152">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2457" w:type="dxa"/>
            <w:noWrap w:val="0"/>
            <w:vAlign w:val="center"/>
          </w:tcPr>
          <w:p w14:paraId="5C413AF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优得20分，良好</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16</w:t>
            </w:r>
            <w:r>
              <w:rPr>
                <w:rFonts w:hint="eastAsia" w:ascii="宋体" w:hAnsi="宋体" w:eastAsia="宋体" w:cs="宋体"/>
                <w:color w:val="auto"/>
                <w:kern w:val="0"/>
                <w:sz w:val="22"/>
                <w:szCs w:val="22"/>
                <w:highlight w:val="none"/>
              </w:rPr>
              <w:t>分，合格</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分；不合格不得分</w:t>
            </w:r>
          </w:p>
        </w:tc>
        <w:tc>
          <w:tcPr>
            <w:tcW w:w="747" w:type="dxa"/>
            <w:noWrap w:val="0"/>
            <w:vAlign w:val="center"/>
          </w:tcPr>
          <w:p w14:paraId="12C9026E">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4CB9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56" w:type="dxa"/>
            <w:noWrap w:val="0"/>
            <w:vAlign w:val="center"/>
          </w:tcPr>
          <w:p w14:paraId="22F437E8">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1425" w:type="dxa"/>
            <w:noWrap w:val="0"/>
            <w:vAlign w:val="center"/>
          </w:tcPr>
          <w:p w14:paraId="553B2E45">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服务满意度</w:t>
            </w:r>
          </w:p>
        </w:tc>
        <w:tc>
          <w:tcPr>
            <w:tcW w:w="2505" w:type="dxa"/>
            <w:noWrap w:val="0"/>
            <w:vAlign w:val="center"/>
          </w:tcPr>
          <w:p w14:paraId="7955B7D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每季度组织一次满意度测评，满意度是否达到业主方设定的标准。</w:t>
            </w:r>
          </w:p>
        </w:tc>
        <w:tc>
          <w:tcPr>
            <w:tcW w:w="876" w:type="dxa"/>
            <w:noWrap w:val="0"/>
            <w:vAlign w:val="center"/>
          </w:tcPr>
          <w:p w14:paraId="245144F6">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25</w:t>
            </w:r>
          </w:p>
        </w:tc>
        <w:tc>
          <w:tcPr>
            <w:tcW w:w="2457" w:type="dxa"/>
            <w:noWrap w:val="0"/>
            <w:vAlign w:val="center"/>
          </w:tcPr>
          <w:p w14:paraId="65CFDDD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测评得分90分以上得</w:t>
            </w:r>
            <w:r>
              <w:rPr>
                <w:rFonts w:hint="eastAsia" w:ascii="宋体"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分，80-90分</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分；80分</w:t>
            </w:r>
            <w:r>
              <w:rPr>
                <w:rFonts w:hint="eastAsia" w:ascii="宋体" w:hAnsi="宋体" w:eastAsia="宋体" w:cs="宋体"/>
                <w:color w:val="auto"/>
                <w:kern w:val="0"/>
                <w:sz w:val="22"/>
                <w:szCs w:val="22"/>
                <w:highlight w:val="none"/>
                <w:lang w:eastAsia="zh-CN"/>
              </w:rPr>
              <w:t>以下</w:t>
            </w:r>
            <w:r>
              <w:rPr>
                <w:rFonts w:hint="eastAsia" w:ascii="宋体" w:hAnsi="宋体" w:eastAsia="宋体" w:cs="宋体"/>
                <w:color w:val="auto"/>
                <w:kern w:val="0"/>
                <w:sz w:val="22"/>
                <w:szCs w:val="22"/>
                <w:highlight w:val="none"/>
              </w:rPr>
              <w:t>不得分</w:t>
            </w:r>
          </w:p>
        </w:tc>
        <w:tc>
          <w:tcPr>
            <w:tcW w:w="747" w:type="dxa"/>
            <w:noWrap w:val="0"/>
            <w:vAlign w:val="center"/>
          </w:tcPr>
          <w:p w14:paraId="2714CF89">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w:t>
            </w:r>
          </w:p>
        </w:tc>
      </w:tr>
      <w:tr w14:paraId="0EE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6" w:type="dxa"/>
            <w:vMerge w:val="restart"/>
            <w:noWrap w:val="0"/>
            <w:vAlign w:val="center"/>
          </w:tcPr>
          <w:p w14:paraId="03D4A556">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1425" w:type="dxa"/>
            <w:vMerge w:val="restart"/>
            <w:noWrap w:val="0"/>
            <w:vAlign w:val="center"/>
          </w:tcPr>
          <w:p w14:paraId="236A690C">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人员管理 </w:t>
            </w:r>
          </w:p>
        </w:tc>
        <w:tc>
          <w:tcPr>
            <w:tcW w:w="2505" w:type="dxa"/>
            <w:noWrap w:val="0"/>
            <w:vAlign w:val="center"/>
          </w:tcPr>
          <w:p w14:paraId="1C5881A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出勤：按服务标准设定排班表，确保相关人员到岗，并定期向业主单位提供人员考勤表，缺岗的扣分。人员进出必须填报《人员变动情况表》，新晋人员未上报业主单位审核的。</w:t>
            </w:r>
          </w:p>
        </w:tc>
        <w:tc>
          <w:tcPr>
            <w:tcW w:w="876" w:type="dxa"/>
            <w:vMerge w:val="restart"/>
            <w:noWrap w:val="0"/>
            <w:vAlign w:val="center"/>
          </w:tcPr>
          <w:p w14:paraId="421784A0">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6F064F4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每发现一人次扣1分</w:t>
            </w:r>
          </w:p>
        </w:tc>
        <w:tc>
          <w:tcPr>
            <w:tcW w:w="747" w:type="dxa"/>
            <w:noWrap w:val="0"/>
            <w:vAlign w:val="center"/>
          </w:tcPr>
          <w:p w14:paraId="4A02678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79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6" w:type="dxa"/>
            <w:vMerge w:val="continue"/>
            <w:noWrap w:val="0"/>
            <w:vAlign w:val="center"/>
          </w:tcPr>
          <w:p w14:paraId="3B05F448">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1A24E20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B14702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着装规范：所有工作人员要按规定统一着装，必须做到服装整洁，无污渍，戴工作帽、口罩及手套，未到位的扣分。</w:t>
            </w:r>
          </w:p>
        </w:tc>
        <w:tc>
          <w:tcPr>
            <w:tcW w:w="876" w:type="dxa"/>
            <w:vMerge w:val="continue"/>
            <w:noWrap w:val="0"/>
            <w:vAlign w:val="center"/>
          </w:tcPr>
          <w:p w14:paraId="45A730E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750A65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6B743B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3E7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56" w:type="dxa"/>
            <w:vMerge w:val="continue"/>
            <w:noWrap w:val="0"/>
            <w:vAlign w:val="center"/>
          </w:tcPr>
          <w:p w14:paraId="793D113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5E5B3DB">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930D37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操作规范：服务人员仪态端庄，微笑热情，耐心细致，未达要求</w:t>
            </w:r>
            <w:r>
              <w:rPr>
                <w:rFonts w:hint="eastAsia" w:ascii="宋体" w:hAnsi="宋体" w:eastAsia="宋体" w:cs="宋体"/>
                <w:color w:val="auto"/>
                <w:kern w:val="0"/>
                <w:sz w:val="22"/>
                <w:szCs w:val="22"/>
                <w:highlight w:val="none"/>
                <w:lang w:eastAsia="zh-CN"/>
              </w:rPr>
              <w:t>的</w:t>
            </w:r>
            <w:r>
              <w:rPr>
                <w:rFonts w:hint="eastAsia" w:ascii="宋体" w:hAnsi="宋体" w:eastAsia="宋体" w:cs="宋体"/>
                <w:color w:val="auto"/>
                <w:kern w:val="0"/>
                <w:sz w:val="22"/>
                <w:szCs w:val="22"/>
                <w:highlight w:val="none"/>
              </w:rPr>
              <w:t>扣分。</w:t>
            </w:r>
          </w:p>
        </w:tc>
        <w:tc>
          <w:tcPr>
            <w:tcW w:w="876" w:type="dxa"/>
            <w:vMerge w:val="continue"/>
            <w:noWrap w:val="0"/>
            <w:vAlign w:val="center"/>
          </w:tcPr>
          <w:p w14:paraId="75267F2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D540EF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11A98CE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E3D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3B69F69F">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7677F2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70514E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不得与就餐人员发生争执，有上述情况的扣分。</w:t>
            </w:r>
          </w:p>
        </w:tc>
        <w:tc>
          <w:tcPr>
            <w:tcW w:w="876" w:type="dxa"/>
            <w:vMerge w:val="continue"/>
            <w:noWrap w:val="0"/>
            <w:vAlign w:val="center"/>
          </w:tcPr>
          <w:p w14:paraId="420C0F8D">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C22258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每发现一次扣5分</w:t>
            </w:r>
          </w:p>
        </w:tc>
        <w:tc>
          <w:tcPr>
            <w:tcW w:w="747" w:type="dxa"/>
            <w:noWrap w:val="0"/>
            <w:vAlign w:val="center"/>
          </w:tcPr>
          <w:p w14:paraId="147553C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FE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6" w:type="dxa"/>
            <w:vMerge w:val="continue"/>
            <w:noWrap w:val="0"/>
            <w:vAlign w:val="center"/>
          </w:tcPr>
          <w:p w14:paraId="3624DD9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6216A9C0">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B8F3B0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行为规范：有吸烟、吃东西、吐痰、将私人物品带到工作场所行为。</w:t>
            </w:r>
          </w:p>
        </w:tc>
        <w:tc>
          <w:tcPr>
            <w:tcW w:w="876" w:type="dxa"/>
            <w:vMerge w:val="continue"/>
            <w:noWrap w:val="0"/>
            <w:vAlign w:val="center"/>
          </w:tcPr>
          <w:p w14:paraId="2227653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017CE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7A1689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9D6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continue"/>
            <w:noWrap w:val="0"/>
            <w:vAlign w:val="center"/>
          </w:tcPr>
          <w:p w14:paraId="000C93D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0A98665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60FEC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更衣室卫生管理，物品摆放整齐、入柜摆放，未达要求的扣分。</w:t>
            </w:r>
          </w:p>
        </w:tc>
        <w:tc>
          <w:tcPr>
            <w:tcW w:w="876" w:type="dxa"/>
            <w:vMerge w:val="continue"/>
            <w:noWrap w:val="0"/>
            <w:vAlign w:val="center"/>
          </w:tcPr>
          <w:p w14:paraId="316BB312">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D160E7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56D44A8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1E5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6" w:type="dxa"/>
            <w:vMerge w:val="continue"/>
            <w:noWrap w:val="0"/>
            <w:vAlign w:val="center"/>
          </w:tcPr>
          <w:p w14:paraId="0CFA181B">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89B844F">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F0F8EB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所有人员必须持有健康证上岗，如有员工有发热、腹泻、皮肤伤口感染、咽喉炎症等有碍食品卫生病症的，应立即调离工作岗位。</w:t>
            </w:r>
          </w:p>
        </w:tc>
        <w:tc>
          <w:tcPr>
            <w:tcW w:w="876" w:type="dxa"/>
            <w:vMerge w:val="continue"/>
            <w:noWrap w:val="0"/>
            <w:vAlign w:val="center"/>
          </w:tcPr>
          <w:p w14:paraId="07AE878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67EF25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每发现一次扣2分</w:t>
            </w:r>
          </w:p>
        </w:tc>
        <w:tc>
          <w:tcPr>
            <w:tcW w:w="747" w:type="dxa"/>
            <w:noWrap w:val="0"/>
            <w:vAlign w:val="center"/>
          </w:tcPr>
          <w:p w14:paraId="461D468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E0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56" w:type="dxa"/>
            <w:vMerge w:val="restart"/>
            <w:noWrap w:val="0"/>
            <w:vAlign w:val="center"/>
          </w:tcPr>
          <w:p w14:paraId="0375A96C">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425" w:type="dxa"/>
            <w:vMerge w:val="restart"/>
            <w:noWrap w:val="0"/>
            <w:vAlign w:val="center"/>
          </w:tcPr>
          <w:p w14:paraId="1AC9A6C2">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服务质量管理</w:t>
            </w:r>
          </w:p>
        </w:tc>
        <w:tc>
          <w:tcPr>
            <w:tcW w:w="2505" w:type="dxa"/>
            <w:noWrap w:val="0"/>
            <w:vAlign w:val="center"/>
          </w:tcPr>
          <w:p w14:paraId="4CD9D3B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合理做好当日菜品的制作和销售安排，每餐剩余菜品在合理范围内，不得销售留存菜品。</w:t>
            </w:r>
          </w:p>
        </w:tc>
        <w:tc>
          <w:tcPr>
            <w:tcW w:w="876" w:type="dxa"/>
            <w:vMerge w:val="restart"/>
            <w:noWrap w:val="0"/>
            <w:vAlign w:val="center"/>
          </w:tcPr>
          <w:p w14:paraId="250E3990">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0B32B1BB">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没完成的一次扣2分</w:t>
            </w:r>
          </w:p>
        </w:tc>
        <w:tc>
          <w:tcPr>
            <w:tcW w:w="747" w:type="dxa"/>
            <w:noWrap w:val="0"/>
            <w:vAlign w:val="center"/>
          </w:tcPr>
          <w:p w14:paraId="53CD219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B89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57AA74F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B098E3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7A47A0D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开餐前做好准备工作，检查准备情况。</w:t>
            </w:r>
          </w:p>
        </w:tc>
        <w:tc>
          <w:tcPr>
            <w:tcW w:w="876" w:type="dxa"/>
            <w:vMerge w:val="continue"/>
            <w:noWrap w:val="0"/>
            <w:vAlign w:val="center"/>
          </w:tcPr>
          <w:p w14:paraId="22E1356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03FD922C">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没完成的一次扣1分</w:t>
            </w:r>
          </w:p>
        </w:tc>
        <w:tc>
          <w:tcPr>
            <w:tcW w:w="747" w:type="dxa"/>
            <w:noWrap w:val="0"/>
            <w:vAlign w:val="center"/>
          </w:tcPr>
          <w:p w14:paraId="1E41B8F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7E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6" w:type="dxa"/>
            <w:vMerge w:val="continue"/>
            <w:noWrap w:val="0"/>
            <w:vAlign w:val="center"/>
          </w:tcPr>
          <w:p w14:paraId="01F603C3">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0FE8AAE5">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74F435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开餐时及时清理售餐台、餐桌上的菜汤和残食，清理地面水渍、汤渍等，保证台面、地面清洁，未达要求扣分。</w:t>
            </w:r>
          </w:p>
        </w:tc>
        <w:tc>
          <w:tcPr>
            <w:tcW w:w="876" w:type="dxa"/>
            <w:vMerge w:val="continue"/>
            <w:noWrap w:val="0"/>
            <w:vAlign w:val="center"/>
          </w:tcPr>
          <w:p w14:paraId="4C262A2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B70C9D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0A727A1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C7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6" w:type="dxa"/>
            <w:vMerge w:val="continue"/>
            <w:noWrap w:val="0"/>
            <w:vAlign w:val="center"/>
          </w:tcPr>
          <w:p w14:paraId="022FA615">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FFFAC9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51D7C0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正常开餐时间内保证饭菜供应，中间有备菜，不得出现断供情况。</w:t>
            </w:r>
          </w:p>
        </w:tc>
        <w:tc>
          <w:tcPr>
            <w:tcW w:w="876" w:type="dxa"/>
            <w:vMerge w:val="continue"/>
            <w:noWrap w:val="0"/>
            <w:vAlign w:val="center"/>
          </w:tcPr>
          <w:p w14:paraId="54E8C72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11307D11">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04F3D95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A9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noWrap w:val="0"/>
            <w:vAlign w:val="center"/>
          </w:tcPr>
          <w:p w14:paraId="764B771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B56B78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F3225A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开餐后做好整理工作，没完成的扣分。</w:t>
            </w:r>
          </w:p>
        </w:tc>
        <w:tc>
          <w:tcPr>
            <w:tcW w:w="876" w:type="dxa"/>
            <w:vMerge w:val="continue"/>
            <w:noWrap w:val="0"/>
            <w:vAlign w:val="center"/>
          </w:tcPr>
          <w:p w14:paraId="426D1461">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1E15995">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6AD4E41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B02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6" w:type="dxa"/>
            <w:vMerge w:val="restart"/>
            <w:noWrap w:val="0"/>
            <w:vAlign w:val="center"/>
          </w:tcPr>
          <w:p w14:paraId="0213DBA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425" w:type="dxa"/>
            <w:vMerge w:val="restart"/>
            <w:noWrap w:val="0"/>
            <w:vAlign w:val="center"/>
          </w:tcPr>
          <w:p w14:paraId="05955471">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菜肴品质管理</w:t>
            </w:r>
          </w:p>
        </w:tc>
        <w:tc>
          <w:tcPr>
            <w:tcW w:w="2505" w:type="dxa"/>
            <w:noWrap w:val="0"/>
            <w:vAlign w:val="center"/>
          </w:tcPr>
          <w:p w14:paraId="7C2D678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根据每周菜谱确定排菜是否合理，菜品是否多样，荤素搭配是否合理。每周三中午12点前将下周食谱报业主方同意，不得擅自变更。</w:t>
            </w:r>
          </w:p>
        </w:tc>
        <w:tc>
          <w:tcPr>
            <w:tcW w:w="876" w:type="dxa"/>
            <w:vMerge w:val="restart"/>
            <w:noWrap w:val="0"/>
            <w:vAlign w:val="center"/>
          </w:tcPr>
          <w:p w14:paraId="113FFB6A">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13</w:t>
            </w:r>
          </w:p>
        </w:tc>
        <w:tc>
          <w:tcPr>
            <w:tcW w:w="2457" w:type="dxa"/>
            <w:noWrap w:val="0"/>
            <w:vAlign w:val="center"/>
          </w:tcPr>
          <w:p w14:paraId="6168DF74">
            <w:pPr>
              <w:widowControl/>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414F655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CC5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E8125E6">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7C2F8DE9">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3E8905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不定期抽查菜品是否咸淡适中，有无过油和过老等现象。</w:t>
            </w:r>
          </w:p>
        </w:tc>
        <w:tc>
          <w:tcPr>
            <w:tcW w:w="876" w:type="dxa"/>
            <w:vMerge w:val="continue"/>
            <w:noWrap w:val="0"/>
            <w:vAlign w:val="center"/>
          </w:tcPr>
          <w:p w14:paraId="063C95F8">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4C46C06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7B5CB19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274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3C314D6C">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15EC23DD">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370A11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有无应急预案，在菜量不够情况下，厨房有无备菜。</w:t>
            </w:r>
          </w:p>
        </w:tc>
        <w:tc>
          <w:tcPr>
            <w:tcW w:w="876" w:type="dxa"/>
            <w:vMerge w:val="continue"/>
            <w:noWrap w:val="0"/>
            <w:vAlign w:val="center"/>
          </w:tcPr>
          <w:p w14:paraId="1FB38907">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208B509">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未达要求的一次扣1分</w:t>
            </w:r>
          </w:p>
        </w:tc>
        <w:tc>
          <w:tcPr>
            <w:tcW w:w="747" w:type="dxa"/>
            <w:noWrap w:val="0"/>
            <w:vAlign w:val="center"/>
          </w:tcPr>
          <w:p w14:paraId="007E355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D85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6" w:type="dxa"/>
            <w:vMerge w:val="restart"/>
            <w:noWrap w:val="0"/>
            <w:vAlign w:val="center"/>
          </w:tcPr>
          <w:p w14:paraId="5871464E">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425" w:type="dxa"/>
            <w:vMerge w:val="restart"/>
            <w:noWrap w:val="0"/>
            <w:vAlign w:val="center"/>
          </w:tcPr>
          <w:p w14:paraId="625018BA">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食品安全和环境卫生</w:t>
            </w:r>
          </w:p>
        </w:tc>
        <w:tc>
          <w:tcPr>
            <w:tcW w:w="2505" w:type="dxa"/>
            <w:noWrap w:val="0"/>
            <w:vAlign w:val="center"/>
          </w:tcPr>
          <w:p w14:paraId="470E1BF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厨房操作区、打菜区严禁非工作人员进入。</w:t>
            </w:r>
          </w:p>
        </w:tc>
        <w:tc>
          <w:tcPr>
            <w:tcW w:w="876" w:type="dxa"/>
            <w:vMerge w:val="restart"/>
            <w:noWrap w:val="0"/>
            <w:vAlign w:val="center"/>
          </w:tcPr>
          <w:p w14:paraId="23BB9EEF">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w:t>
            </w:r>
          </w:p>
        </w:tc>
        <w:tc>
          <w:tcPr>
            <w:tcW w:w="2457" w:type="dxa"/>
            <w:noWrap w:val="0"/>
            <w:vAlign w:val="center"/>
          </w:tcPr>
          <w:p w14:paraId="08F9A4E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每发现一次扣1分</w:t>
            </w:r>
          </w:p>
        </w:tc>
        <w:tc>
          <w:tcPr>
            <w:tcW w:w="747" w:type="dxa"/>
            <w:noWrap w:val="0"/>
            <w:vAlign w:val="center"/>
          </w:tcPr>
          <w:p w14:paraId="09B2ADD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121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6" w:type="dxa"/>
            <w:vMerge w:val="continue"/>
            <w:noWrap w:val="0"/>
            <w:vAlign w:val="center"/>
          </w:tcPr>
          <w:p w14:paraId="7A9C1FF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A293DE2">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2DD3135">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餐用具清洗消毒，有消毒记录，已消毒餐具需存放在保洁设施内。</w:t>
            </w:r>
          </w:p>
        </w:tc>
        <w:tc>
          <w:tcPr>
            <w:tcW w:w="876" w:type="dxa"/>
            <w:vMerge w:val="continue"/>
            <w:noWrap w:val="0"/>
            <w:vAlign w:val="center"/>
          </w:tcPr>
          <w:p w14:paraId="37CD1894">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0C353F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3D68578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D21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747FDC84">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2EFDB015">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3B40BE41">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食品添加剂领用和使用记录完整，不超范围、超量使用。</w:t>
            </w:r>
          </w:p>
        </w:tc>
        <w:tc>
          <w:tcPr>
            <w:tcW w:w="876" w:type="dxa"/>
            <w:vMerge w:val="continue"/>
            <w:noWrap w:val="0"/>
            <w:vAlign w:val="center"/>
          </w:tcPr>
          <w:p w14:paraId="38459DBE">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F87A6F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59FAD71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E8C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0D985F01">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47723E87">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4CE4CFD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清洗用具是否按规定存放，拖把扫帚等是否存放规范，茶杯固定整齐放置。</w:t>
            </w:r>
          </w:p>
        </w:tc>
        <w:tc>
          <w:tcPr>
            <w:tcW w:w="876" w:type="dxa"/>
            <w:vMerge w:val="continue"/>
            <w:noWrap w:val="0"/>
            <w:vAlign w:val="center"/>
          </w:tcPr>
          <w:p w14:paraId="518DFB90">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10DA9F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43A40608">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AD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6" w:type="dxa"/>
            <w:vMerge w:val="continue"/>
            <w:noWrap w:val="0"/>
            <w:vAlign w:val="center"/>
          </w:tcPr>
          <w:p w14:paraId="215C2D89">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0F8E296">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55E164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用具存放规范，生熟分开存放、分开使用，原材料和成品，待加工食品和直接入口食品分开放置，离地隔墙。</w:t>
            </w:r>
          </w:p>
        </w:tc>
        <w:tc>
          <w:tcPr>
            <w:tcW w:w="876" w:type="dxa"/>
            <w:vMerge w:val="continue"/>
            <w:noWrap w:val="0"/>
            <w:vAlign w:val="center"/>
          </w:tcPr>
          <w:p w14:paraId="3B006BA1">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51271A3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05DC081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1F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6" w:type="dxa"/>
            <w:vMerge w:val="continue"/>
            <w:noWrap w:val="0"/>
            <w:vAlign w:val="center"/>
          </w:tcPr>
          <w:p w14:paraId="0F55D4DA">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714B635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2895D92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食品加工安全，留样齐全，记录完整，无发生食物中毒，无三无产品和过期食品，如发生食堂中毒事件本项扣完。</w:t>
            </w:r>
          </w:p>
        </w:tc>
        <w:tc>
          <w:tcPr>
            <w:tcW w:w="876" w:type="dxa"/>
            <w:vMerge w:val="continue"/>
            <w:noWrap w:val="0"/>
            <w:vAlign w:val="center"/>
          </w:tcPr>
          <w:p w14:paraId="4D97EBDC">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370C045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未达要求一次扣2分</w:t>
            </w:r>
          </w:p>
        </w:tc>
        <w:tc>
          <w:tcPr>
            <w:tcW w:w="747" w:type="dxa"/>
            <w:noWrap w:val="0"/>
            <w:vAlign w:val="center"/>
          </w:tcPr>
          <w:p w14:paraId="71E27BA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319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5623672C">
            <w:pPr>
              <w:widowControl/>
              <w:jc w:val="left"/>
              <w:rPr>
                <w:rFonts w:hint="eastAsia" w:ascii="宋体" w:hAnsi="宋体" w:eastAsia="宋体" w:cs="宋体"/>
                <w:color w:val="auto"/>
                <w:kern w:val="0"/>
                <w:sz w:val="22"/>
                <w:szCs w:val="22"/>
                <w:highlight w:val="none"/>
              </w:rPr>
            </w:pPr>
          </w:p>
        </w:tc>
        <w:tc>
          <w:tcPr>
            <w:tcW w:w="1425" w:type="dxa"/>
            <w:vMerge w:val="continue"/>
            <w:noWrap w:val="0"/>
            <w:vAlign w:val="center"/>
          </w:tcPr>
          <w:p w14:paraId="6443CAD3">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6093D834">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有无卫生检查、“除四害”台账，无台账和台账不规范的扣分。</w:t>
            </w:r>
          </w:p>
        </w:tc>
        <w:tc>
          <w:tcPr>
            <w:tcW w:w="876" w:type="dxa"/>
            <w:vMerge w:val="continue"/>
            <w:noWrap w:val="0"/>
            <w:vAlign w:val="center"/>
          </w:tcPr>
          <w:p w14:paraId="76A72689">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20047DA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无台账或未达要求的，扣2分</w:t>
            </w:r>
          </w:p>
        </w:tc>
        <w:tc>
          <w:tcPr>
            <w:tcW w:w="747" w:type="dxa"/>
            <w:noWrap w:val="0"/>
            <w:vAlign w:val="center"/>
          </w:tcPr>
          <w:p w14:paraId="2BDAE3BF">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E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56" w:type="dxa"/>
            <w:vMerge w:val="restart"/>
            <w:noWrap w:val="0"/>
            <w:vAlign w:val="center"/>
          </w:tcPr>
          <w:p w14:paraId="1B836882">
            <w:pPr>
              <w:widowControl/>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7</w:t>
            </w:r>
          </w:p>
        </w:tc>
        <w:tc>
          <w:tcPr>
            <w:tcW w:w="1425" w:type="dxa"/>
            <w:vMerge w:val="restart"/>
            <w:noWrap w:val="0"/>
            <w:vAlign w:val="center"/>
          </w:tcPr>
          <w:p w14:paraId="4252CF58">
            <w:pPr>
              <w:widowControl/>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设备、设施、节能管理</w:t>
            </w:r>
          </w:p>
        </w:tc>
        <w:tc>
          <w:tcPr>
            <w:tcW w:w="2505" w:type="dxa"/>
            <w:noWrap w:val="0"/>
            <w:vAlign w:val="center"/>
          </w:tcPr>
          <w:p w14:paraId="40FC1B5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各种设备、设施责任人挂牌明示，是否严格按规定进行操作，责任人需进行日常检查，有故障和安全隐患及时处理和上报。</w:t>
            </w:r>
          </w:p>
        </w:tc>
        <w:tc>
          <w:tcPr>
            <w:tcW w:w="876" w:type="dxa"/>
            <w:vMerge w:val="restart"/>
            <w:noWrap w:val="0"/>
            <w:vAlign w:val="center"/>
          </w:tcPr>
          <w:p w14:paraId="4F4621C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2457" w:type="dxa"/>
            <w:noWrap w:val="0"/>
            <w:vAlign w:val="center"/>
          </w:tcPr>
          <w:p w14:paraId="600846B3">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未达要求一次扣1分</w:t>
            </w:r>
          </w:p>
        </w:tc>
        <w:tc>
          <w:tcPr>
            <w:tcW w:w="747" w:type="dxa"/>
            <w:noWrap w:val="0"/>
            <w:vAlign w:val="center"/>
          </w:tcPr>
          <w:p w14:paraId="48271FA7">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5F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6" w:type="dxa"/>
            <w:vMerge w:val="continue"/>
            <w:noWrap w:val="0"/>
            <w:vAlign w:val="center"/>
          </w:tcPr>
          <w:p w14:paraId="4A0CBC71">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582BF318">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D5A9242">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设备每次使用后清洗，关闭电源。</w:t>
            </w:r>
          </w:p>
        </w:tc>
        <w:tc>
          <w:tcPr>
            <w:tcW w:w="876" w:type="dxa"/>
            <w:vMerge w:val="continue"/>
            <w:noWrap w:val="0"/>
            <w:vAlign w:val="center"/>
          </w:tcPr>
          <w:p w14:paraId="6F65F00F">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684ACC9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未达要求每次扣1分</w:t>
            </w:r>
          </w:p>
        </w:tc>
        <w:tc>
          <w:tcPr>
            <w:tcW w:w="747" w:type="dxa"/>
            <w:noWrap w:val="0"/>
            <w:vAlign w:val="center"/>
          </w:tcPr>
          <w:p w14:paraId="09489026">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80E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6" w:type="dxa"/>
            <w:vMerge w:val="continue"/>
            <w:noWrap w:val="0"/>
            <w:vAlign w:val="center"/>
          </w:tcPr>
          <w:p w14:paraId="5A54F249">
            <w:pPr>
              <w:widowControl/>
              <w:jc w:val="left"/>
              <w:rPr>
                <w:rFonts w:hint="eastAsia" w:ascii="宋体" w:hAnsi="宋体" w:eastAsia="宋体" w:cs="宋体"/>
                <w:bCs/>
                <w:color w:val="auto"/>
                <w:kern w:val="0"/>
                <w:sz w:val="22"/>
                <w:szCs w:val="22"/>
                <w:highlight w:val="none"/>
              </w:rPr>
            </w:pPr>
          </w:p>
        </w:tc>
        <w:tc>
          <w:tcPr>
            <w:tcW w:w="1425" w:type="dxa"/>
            <w:vMerge w:val="continue"/>
            <w:noWrap w:val="0"/>
            <w:vAlign w:val="center"/>
          </w:tcPr>
          <w:p w14:paraId="4092C5CA">
            <w:pPr>
              <w:widowControl/>
              <w:jc w:val="left"/>
              <w:rPr>
                <w:rFonts w:hint="eastAsia" w:ascii="宋体" w:hAnsi="宋体" w:eastAsia="宋体" w:cs="宋体"/>
                <w:bCs/>
                <w:color w:val="auto"/>
                <w:kern w:val="0"/>
                <w:sz w:val="22"/>
                <w:szCs w:val="22"/>
                <w:highlight w:val="none"/>
              </w:rPr>
            </w:pPr>
          </w:p>
        </w:tc>
        <w:tc>
          <w:tcPr>
            <w:tcW w:w="2505" w:type="dxa"/>
            <w:noWrap w:val="0"/>
            <w:vAlign w:val="center"/>
          </w:tcPr>
          <w:p w14:paraId="5C87667D">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使用后及时关闭水、电、气、空调。</w:t>
            </w:r>
          </w:p>
        </w:tc>
        <w:tc>
          <w:tcPr>
            <w:tcW w:w="876" w:type="dxa"/>
            <w:vMerge w:val="continue"/>
            <w:noWrap w:val="0"/>
            <w:vAlign w:val="center"/>
          </w:tcPr>
          <w:p w14:paraId="193DB1A5">
            <w:pPr>
              <w:widowControl/>
              <w:jc w:val="left"/>
              <w:rPr>
                <w:rFonts w:hint="eastAsia" w:ascii="宋体" w:hAnsi="宋体" w:eastAsia="宋体" w:cs="宋体"/>
                <w:color w:val="auto"/>
                <w:kern w:val="0"/>
                <w:sz w:val="22"/>
                <w:szCs w:val="22"/>
                <w:highlight w:val="none"/>
              </w:rPr>
            </w:pPr>
          </w:p>
        </w:tc>
        <w:tc>
          <w:tcPr>
            <w:tcW w:w="2457" w:type="dxa"/>
            <w:noWrap w:val="0"/>
            <w:vAlign w:val="center"/>
          </w:tcPr>
          <w:p w14:paraId="77E9662C">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未达要求每次扣2分</w:t>
            </w:r>
          </w:p>
        </w:tc>
        <w:tc>
          <w:tcPr>
            <w:tcW w:w="747" w:type="dxa"/>
            <w:noWrap w:val="0"/>
            <w:vAlign w:val="center"/>
          </w:tcPr>
          <w:p w14:paraId="75A4CC6E">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289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noWrap w:val="0"/>
            <w:vAlign w:val="center"/>
          </w:tcPr>
          <w:p w14:paraId="1F2F2278">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8</w:t>
            </w:r>
          </w:p>
        </w:tc>
        <w:tc>
          <w:tcPr>
            <w:tcW w:w="3930" w:type="dxa"/>
            <w:gridSpan w:val="2"/>
            <w:noWrap w:val="0"/>
            <w:vAlign w:val="center"/>
          </w:tcPr>
          <w:p w14:paraId="21A08011">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876" w:type="dxa"/>
            <w:noWrap w:val="0"/>
            <w:vAlign w:val="center"/>
          </w:tcPr>
          <w:p w14:paraId="583FB74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100分</w:t>
            </w:r>
          </w:p>
        </w:tc>
        <w:tc>
          <w:tcPr>
            <w:tcW w:w="2457" w:type="dxa"/>
            <w:noWrap w:val="0"/>
            <w:vAlign w:val="center"/>
          </w:tcPr>
          <w:p w14:paraId="7CB82B3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扣分合计</w:t>
            </w:r>
          </w:p>
        </w:tc>
        <w:tc>
          <w:tcPr>
            <w:tcW w:w="747" w:type="dxa"/>
            <w:noWrap w:val="0"/>
            <w:vAlign w:val="center"/>
          </w:tcPr>
          <w:p w14:paraId="18CFE940">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61E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66" w:type="dxa"/>
            <w:gridSpan w:val="6"/>
            <w:noWrap w:val="0"/>
            <w:vAlign w:val="center"/>
          </w:tcPr>
          <w:p w14:paraId="1D5C935B">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注： 本表由业主单位实行定期监管时进行打分，具体的考核评分标准和处罚措施另定。</w:t>
            </w:r>
          </w:p>
        </w:tc>
      </w:tr>
    </w:tbl>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2"/>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台州市路桥区横街镇人民政府</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食堂外包服务项目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tzya2025-lq47</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台州市路桥区横街镇人民政府</w:t>
      </w:r>
      <w:r>
        <w:rPr>
          <w:rFonts w:hint="eastAsia" w:ascii="宋体" w:hAnsi="宋体" w:eastAsia="宋体" w:cs="宋体"/>
          <w:b w:val="0"/>
          <w:bCs/>
          <w:color w:val="auto"/>
          <w:sz w:val="21"/>
          <w:szCs w:val="21"/>
          <w:highlight w:val="none"/>
          <w:u w:val="single"/>
        </w:rPr>
        <w:t>、台州永安工程咨询有限公司：</w:t>
      </w:r>
    </w:p>
    <w:p w14:paraId="57237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食堂外包服务项目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tzya2025-lq47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7D66CF7E">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3"/>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食堂外包服务项目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tzya2025-lq47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bookmarkStart w:id="2" w:name="_GoBack"/>
      <w:bookmarkEnd w:id="2"/>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0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104"/>
        <w:gridCol w:w="6693"/>
        <w:gridCol w:w="664"/>
        <w:gridCol w:w="664"/>
        <w:gridCol w:w="664"/>
      </w:tblGrid>
      <w:tr w14:paraId="3EA8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2098" w:type="dxa"/>
            <w:gridSpan w:val="2"/>
            <w:tcBorders>
              <w:bottom w:val="single" w:color="auto" w:sz="4" w:space="0"/>
            </w:tcBorders>
            <w:vAlign w:val="center"/>
          </w:tcPr>
          <w:p w14:paraId="61A193AF">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评分项目</w:t>
            </w:r>
          </w:p>
        </w:tc>
        <w:tc>
          <w:tcPr>
            <w:tcW w:w="6693" w:type="dxa"/>
            <w:vAlign w:val="center"/>
          </w:tcPr>
          <w:p w14:paraId="751084D9">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rPr>
            </w:pPr>
            <w:r>
              <w:rPr>
                <w:rFonts w:hint="eastAsia" w:ascii="宋体" w:hAnsi="宋体" w:eastAsia="宋体" w:cs="宋体"/>
                <w:b/>
                <w:color w:val="auto"/>
                <w:spacing w:val="0"/>
                <w:w w:val="100"/>
                <w:sz w:val="21"/>
                <w:szCs w:val="21"/>
                <w:highlight w:val="none"/>
              </w:rPr>
              <w:t>评分内容</w:t>
            </w:r>
          </w:p>
        </w:tc>
        <w:tc>
          <w:tcPr>
            <w:tcW w:w="664" w:type="dxa"/>
            <w:vAlign w:val="center"/>
          </w:tcPr>
          <w:p w14:paraId="691B03F3">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b/>
                <w:color w:val="auto"/>
                <w:spacing w:val="0"/>
                <w:w w:val="100"/>
                <w:sz w:val="21"/>
                <w:szCs w:val="21"/>
                <w:highlight w:val="none"/>
              </w:rPr>
              <w:t>分值</w:t>
            </w:r>
          </w:p>
        </w:tc>
        <w:tc>
          <w:tcPr>
            <w:tcW w:w="664" w:type="dxa"/>
            <w:vAlign w:val="center"/>
          </w:tcPr>
          <w:p w14:paraId="7932F5AC">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val="en-US" w:eastAsia="zh-CN"/>
              </w:rPr>
              <w:t>对应页码</w:t>
            </w:r>
          </w:p>
        </w:tc>
        <w:tc>
          <w:tcPr>
            <w:tcW w:w="664" w:type="dxa"/>
            <w:vAlign w:val="center"/>
          </w:tcPr>
          <w:p w14:paraId="5D9DCC77">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color w:val="auto"/>
                <w:spacing w:val="0"/>
                <w:w w:val="100"/>
                <w:sz w:val="21"/>
                <w:szCs w:val="21"/>
                <w:highlight w:val="none"/>
                <w:lang w:val="en-US" w:eastAsia="zh-CN"/>
              </w:rPr>
            </w:pPr>
            <w:r>
              <w:rPr>
                <w:rFonts w:hint="eastAsia" w:ascii="宋体" w:hAnsi="宋体" w:eastAsia="宋体" w:cs="宋体"/>
                <w:b/>
                <w:color w:val="auto"/>
                <w:spacing w:val="0"/>
                <w:w w:val="100"/>
                <w:sz w:val="21"/>
                <w:szCs w:val="21"/>
                <w:highlight w:val="none"/>
                <w:lang w:val="en-US" w:eastAsia="zh-CN"/>
              </w:rPr>
              <w:t>自评分</w:t>
            </w:r>
          </w:p>
        </w:tc>
      </w:tr>
      <w:tr w14:paraId="30829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5E75D20A">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0545074F">
            <w:pPr>
              <w:bidi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p>
        </w:tc>
        <w:tc>
          <w:tcPr>
            <w:tcW w:w="1104" w:type="dxa"/>
            <w:tcBorders>
              <w:top w:val="single" w:color="auto" w:sz="4" w:space="0"/>
              <w:left w:val="single" w:color="auto" w:sz="4" w:space="0"/>
            </w:tcBorders>
            <w:vAlign w:val="center"/>
          </w:tcPr>
          <w:p w14:paraId="54770E35">
            <w:pPr>
              <w:bidi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693" w:type="dxa"/>
            <w:vAlign w:val="center"/>
          </w:tcPr>
          <w:p w14:paraId="70E4E15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食堂项目业绩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C6910BE">
            <w:pPr>
              <w:bidi w:val="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同一服务单位不重复计算</w:t>
            </w:r>
            <w:r>
              <w:rPr>
                <w:rFonts w:hint="eastAsia" w:ascii="宋体" w:hAnsi="宋体" w:cs="宋体"/>
                <w:b/>
                <w:bCs/>
                <w:color w:val="auto"/>
                <w:sz w:val="21"/>
                <w:szCs w:val="21"/>
                <w:highlight w:val="none"/>
                <w:lang w:eastAsia="zh-CN"/>
              </w:rPr>
              <w:t>。</w:t>
            </w:r>
          </w:p>
          <w:p w14:paraId="42A2E465">
            <w:pPr>
              <w:bidi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提供合同</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2BEFC3A0">
            <w:pPr>
              <w:bidi w:val="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p>
        </w:tc>
        <w:tc>
          <w:tcPr>
            <w:tcW w:w="664" w:type="dxa"/>
            <w:vAlign w:val="center"/>
          </w:tcPr>
          <w:p w14:paraId="275FD2B2">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0471E3DC">
            <w:pPr>
              <w:bidi w:val="0"/>
              <w:jc w:val="center"/>
              <w:rPr>
                <w:rFonts w:hint="eastAsia" w:ascii="宋体" w:hAnsi="宋体" w:eastAsia="宋体" w:cs="宋体"/>
                <w:color w:val="auto"/>
                <w:sz w:val="21"/>
                <w:szCs w:val="21"/>
                <w:highlight w:val="none"/>
                <w:lang w:val="en-US" w:eastAsia="zh-CN"/>
              </w:rPr>
            </w:pPr>
          </w:p>
        </w:tc>
      </w:tr>
      <w:tr w14:paraId="6C2B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F4E1532">
            <w:pPr>
              <w:bidi w:val="0"/>
              <w:jc w:val="center"/>
              <w:rPr>
                <w:rFonts w:hint="eastAsia" w:ascii="宋体" w:hAnsi="宋体" w:eastAsia="宋体" w:cs="宋体"/>
                <w:color w:val="auto"/>
                <w:sz w:val="21"/>
                <w:szCs w:val="21"/>
                <w:highlight w:val="none"/>
              </w:rPr>
            </w:pPr>
          </w:p>
        </w:tc>
        <w:tc>
          <w:tcPr>
            <w:tcW w:w="1104" w:type="dxa"/>
            <w:vMerge w:val="restart"/>
            <w:tcBorders>
              <w:top w:val="single" w:color="auto" w:sz="4" w:space="0"/>
              <w:left w:val="single" w:color="auto" w:sz="4" w:space="0"/>
            </w:tcBorders>
            <w:vAlign w:val="center"/>
          </w:tcPr>
          <w:p w14:paraId="1AA9C980">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项目组人员的配备与管理</w:t>
            </w:r>
          </w:p>
        </w:tc>
        <w:tc>
          <w:tcPr>
            <w:tcW w:w="6693" w:type="dxa"/>
            <w:tcBorders>
              <w:top w:val="single" w:color="auto" w:sz="4" w:space="0"/>
            </w:tcBorders>
            <w:vAlign w:val="center"/>
          </w:tcPr>
          <w:p w14:paraId="134E84E5">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拟派本项目厨师</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w:t>
            </w:r>
          </w:p>
          <w:p w14:paraId="13A1282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6CE64D5">
            <w:pPr>
              <w:bidi w:val="0"/>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Cs w:val="21"/>
                <w:highlight w:val="none"/>
              </w:rPr>
              <w:t>）</w:t>
            </w:r>
          </w:p>
        </w:tc>
        <w:tc>
          <w:tcPr>
            <w:tcW w:w="664" w:type="dxa"/>
            <w:vAlign w:val="center"/>
          </w:tcPr>
          <w:p w14:paraId="69145224">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40230A31">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7713191C">
            <w:pPr>
              <w:bidi w:val="0"/>
              <w:jc w:val="center"/>
              <w:rPr>
                <w:rFonts w:hint="eastAsia" w:ascii="宋体" w:hAnsi="宋体" w:eastAsia="宋体" w:cs="宋体"/>
                <w:color w:val="auto"/>
                <w:sz w:val="21"/>
                <w:szCs w:val="21"/>
                <w:highlight w:val="none"/>
                <w:lang w:val="en-US" w:eastAsia="zh-CN"/>
              </w:rPr>
            </w:pPr>
          </w:p>
        </w:tc>
      </w:tr>
      <w:tr w14:paraId="0B83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86CBB0">
            <w:pPr>
              <w:bidi w:val="0"/>
              <w:jc w:val="center"/>
              <w:rPr>
                <w:rFonts w:hint="eastAsia" w:ascii="宋体" w:hAnsi="宋体" w:eastAsia="宋体" w:cs="宋体"/>
                <w:color w:val="auto"/>
                <w:sz w:val="21"/>
                <w:szCs w:val="21"/>
                <w:highlight w:val="none"/>
              </w:rPr>
            </w:pPr>
          </w:p>
        </w:tc>
        <w:tc>
          <w:tcPr>
            <w:tcW w:w="1104" w:type="dxa"/>
            <w:vMerge w:val="continue"/>
            <w:tcBorders>
              <w:left w:val="single" w:color="auto" w:sz="4" w:space="0"/>
            </w:tcBorders>
            <w:vAlign w:val="center"/>
          </w:tcPr>
          <w:p w14:paraId="32D4BD48">
            <w:pPr>
              <w:bidi w:val="0"/>
              <w:jc w:val="center"/>
              <w:rPr>
                <w:rFonts w:hint="eastAsia" w:ascii="宋体" w:hAnsi="宋体" w:eastAsia="宋体" w:cs="宋体"/>
                <w:color w:val="auto"/>
                <w:sz w:val="21"/>
                <w:szCs w:val="21"/>
                <w:highlight w:val="none"/>
              </w:rPr>
            </w:pPr>
          </w:p>
        </w:tc>
        <w:tc>
          <w:tcPr>
            <w:tcW w:w="6693" w:type="dxa"/>
            <w:vAlign w:val="center"/>
          </w:tcPr>
          <w:p w14:paraId="5059B93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拟投入本项目的服务团队人员配置情况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厨师长除外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98055A9">
            <w:pPr>
              <w:bidi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具有中式面点师证书的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3E5CFEF2">
            <w:pPr>
              <w:bidi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人社部门颁发的中式烹调师高级（国家职业资格三级）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提供证书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4909C592">
            <w:pPr>
              <w:bidi w:val="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本项最高得10分。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提供相关证书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4" w:type="dxa"/>
            <w:vAlign w:val="center"/>
          </w:tcPr>
          <w:p w14:paraId="4CBA5E5E">
            <w:pPr>
              <w:bidi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64" w:type="dxa"/>
            <w:vAlign w:val="center"/>
          </w:tcPr>
          <w:p w14:paraId="19C3FB42">
            <w:pPr>
              <w:bidi w:val="0"/>
              <w:jc w:val="center"/>
              <w:rPr>
                <w:rFonts w:hint="eastAsia" w:ascii="宋体" w:hAnsi="宋体" w:cs="宋体"/>
                <w:color w:val="auto"/>
                <w:sz w:val="21"/>
                <w:szCs w:val="21"/>
                <w:highlight w:val="none"/>
                <w:lang w:val="en-US" w:eastAsia="zh-CN"/>
              </w:rPr>
            </w:pPr>
          </w:p>
        </w:tc>
        <w:tc>
          <w:tcPr>
            <w:tcW w:w="664" w:type="dxa"/>
            <w:vAlign w:val="center"/>
          </w:tcPr>
          <w:p w14:paraId="205A7D44">
            <w:pPr>
              <w:bidi w:val="0"/>
              <w:jc w:val="center"/>
              <w:rPr>
                <w:rFonts w:hint="eastAsia" w:ascii="宋体" w:hAnsi="宋体" w:cs="宋体"/>
                <w:color w:val="auto"/>
                <w:sz w:val="21"/>
                <w:szCs w:val="21"/>
                <w:highlight w:val="none"/>
                <w:lang w:val="en-US" w:eastAsia="zh-CN"/>
              </w:rPr>
            </w:pPr>
          </w:p>
        </w:tc>
      </w:tr>
      <w:tr w14:paraId="113C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restart"/>
            <w:tcBorders>
              <w:top w:val="single" w:color="auto" w:sz="4" w:space="0"/>
            </w:tcBorders>
            <w:vAlign w:val="center"/>
          </w:tcPr>
          <w:p w14:paraId="55502C8B">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0212F396">
            <w:pPr>
              <w:bidi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1104" w:type="dxa"/>
            <w:vMerge w:val="restart"/>
            <w:vAlign w:val="center"/>
          </w:tcPr>
          <w:p w14:paraId="58F259A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服务管理方案</w:t>
            </w:r>
          </w:p>
        </w:tc>
        <w:tc>
          <w:tcPr>
            <w:tcW w:w="6693" w:type="dxa"/>
            <w:vAlign w:val="center"/>
          </w:tcPr>
          <w:p w14:paraId="6C01C816">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整体服务方案：</w:t>
            </w:r>
          </w:p>
          <w:p w14:paraId="60DE47EB">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根据投标人对本项目整体情况的了解、分析，制作的整体服务方案进行打分。</w:t>
            </w:r>
          </w:p>
          <w:p w14:paraId="290F09FE">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总体服务思路正确严谨、对本项目的针对性强的得3.0-5.0分；</w:t>
            </w:r>
          </w:p>
          <w:p w14:paraId="2B023739">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总体服务思路简单、缺乏对本项目的针对性的得0.1-2.9分；</w:t>
            </w:r>
          </w:p>
          <w:p w14:paraId="194DA264">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685D2B44">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45293943">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2781FC19">
            <w:pPr>
              <w:bidi w:val="0"/>
              <w:jc w:val="center"/>
              <w:rPr>
                <w:rFonts w:hint="eastAsia" w:ascii="宋体" w:hAnsi="宋体" w:eastAsia="宋体" w:cs="宋体"/>
                <w:color w:val="auto"/>
                <w:sz w:val="21"/>
                <w:szCs w:val="21"/>
                <w:highlight w:val="none"/>
                <w:lang w:val="en-US" w:eastAsia="zh-CN"/>
              </w:rPr>
            </w:pPr>
          </w:p>
        </w:tc>
      </w:tr>
      <w:tr w14:paraId="0DF8B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994" w:type="dxa"/>
            <w:vMerge w:val="continue"/>
            <w:vAlign w:val="center"/>
          </w:tcPr>
          <w:p w14:paraId="0F1F6D7C">
            <w:pPr>
              <w:bidi w:val="0"/>
              <w:jc w:val="center"/>
              <w:rPr>
                <w:rFonts w:hint="eastAsia" w:ascii="宋体" w:hAnsi="宋体" w:eastAsia="宋体" w:cs="宋体"/>
                <w:color w:val="auto"/>
                <w:sz w:val="21"/>
                <w:szCs w:val="21"/>
                <w:highlight w:val="none"/>
                <w:lang w:eastAsia="zh-CN"/>
              </w:rPr>
            </w:pPr>
          </w:p>
        </w:tc>
        <w:tc>
          <w:tcPr>
            <w:tcW w:w="1104" w:type="dxa"/>
            <w:vMerge w:val="continue"/>
            <w:vAlign w:val="center"/>
          </w:tcPr>
          <w:p w14:paraId="48522C73">
            <w:pPr>
              <w:bidi w:val="0"/>
              <w:jc w:val="center"/>
              <w:rPr>
                <w:rFonts w:hint="eastAsia" w:ascii="宋体" w:hAnsi="宋体" w:eastAsia="宋体" w:cs="宋体"/>
                <w:color w:val="auto"/>
                <w:sz w:val="21"/>
                <w:szCs w:val="21"/>
                <w:highlight w:val="none"/>
              </w:rPr>
            </w:pPr>
          </w:p>
        </w:tc>
        <w:tc>
          <w:tcPr>
            <w:tcW w:w="6693" w:type="dxa"/>
            <w:vAlign w:val="center"/>
          </w:tcPr>
          <w:p w14:paraId="7DE51E2C">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就餐服务方案：</w:t>
            </w:r>
          </w:p>
          <w:p w14:paraId="15ABA2F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根据投标人提供的早、中、晚餐服务方案，包括菜肴的品种数量、荤素营养搭配、花色花样变化、价格等是否合理进行打分</w:t>
            </w:r>
            <w:r>
              <w:rPr>
                <w:rFonts w:hint="eastAsia" w:ascii="宋体" w:hAnsi="宋体" w:eastAsia="宋体" w:cs="宋体"/>
                <w:color w:val="auto"/>
                <w:sz w:val="21"/>
                <w:szCs w:val="21"/>
                <w:highlight w:val="none"/>
                <w:lang w:eastAsia="zh-CN"/>
              </w:rPr>
              <w:t>。</w:t>
            </w:r>
          </w:p>
          <w:p w14:paraId="4E32A6E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品种搭配花样丰富的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53EB2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品种搭配单一的得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EEEB04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0FEDC907">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2118DBD1">
            <w:pPr>
              <w:bidi w:val="0"/>
              <w:jc w:val="center"/>
              <w:rPr>
                <w:rFonts w:hint="eastAsia" w:ascii="宋体" w:hAnsi="宋体" w:eastAsia="宋体" w:cs="宋体"/>
                <w:color w:val="auto"/>
                <w:sz w:val="21"/>
                <w:szCs w:val="21"/>
                <w:highlight w:val="none"/>
              </w:rPr>
            </w:pPr>
          </w:p>
        </w:tc>
        <w:tc>
          <w:tcPr>
            <w:tcW w:w="664" w:type="dxa"/>
            <w:vAlign w:val="center"/>
          </w:tcPr>
          <w:p w14:paraId="0B92A8C0">
            <w:pPr>
              <w:bidi w:val="0"/>
              <w:jc w:val="center"/>
              <w:rPr>
                <w:rFonts w:hint="eastAsia" w:ascii="宋体" w:hAnsi="宋体" w:eastAsia="宋体" w:cs="宋体"/>
                <w:color w:val="auto"/>
                <w:sz w:val="21"/>
                <w:szCs w:val="21"/>
                <w:highlight w:val="none"/>
              </w:rPr>
            </w:pPr>
          </w:p>
        </w:tc>
      </w:tr>
      <w:tr w14:paraId="3E32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994" w:type="dxa"/>
            <w:vMerge w:val="continue"/>
            <w:vAlign w:val="center"/>
          </w:tcPr>
          <w:p w14:paraId="759A967B">
            <w:pPr>
              <w:bidi w:val="0"/>
              <w:jc w:val="center"/>
              <w:rPr>
                <w:rFonts w:hint="eastAsia" w:ascii="宋体" w:hAnsi="宋体" w:eastAsia="宋体" w:cs="宋体"/>
                <w:color w:val="auto"/>
                <w:sz w:val="21"/>
                <w:szCs w:val="21"/>
                <w:highlight w:val="none"/>
              </w:rPr>
            </w:pPr>
          </w:p>
        </w:tc>
        <w:tc>
          <w:tcPr>
            <w:tcW w:w="1104" w:type="dxa"/>
            <w:vMerge w:val="continue"/>
            <w:vAlign w:val="center"/>
          </w:tcPr>
          <w:p w14:paraId="2A47C7F7">
            <w:pPr>
              <w:bidi w:val="0"/>
              <w:jc w:val="center"/>
              <w:rPr>
                <w:rFonts w:hint="eastAsia" w:ascii="宋体" w:hAnsi="宋体" w:eastAsia="宋体" w:cs="宋体"/>
                <w:color w:val="auto"/>
                <w:sz w:val="21"/>
                <w:szCs w:val="21"/>
                <w:highlight w:val="none"/>
              </w:rPr>
            </w:pPr>
          </w:p>
        </w:tc>
        <w:tc>
          <w:tcPr>
            <w:tcW w:w="6693" w:type="dxa"/>
            <w:vAlign w:val="center"/>
          </w:tcPr>
          <w:p w14:paraId="5C8BB778">
            <w:pPr>
              <w:bidi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食堂环境卫生服务方案</w:t>
            </w:r>
            <w:r>
              <w:rPr>
                <w:rFonts w:hint="eastAsia" w:ascii="宋体" w:hAnsi="宋体" w:eastAsia="宋体" w:cs="宋体"/>
                <w:b/>
                <w:bCs/>
                <w:color w:val="auto"/>
                <w:sz w:val="21"/>
                <w:szCs w:val="21"/>
                <w:highlight w:val="none"/>
                <w:lang w:eastAsia="zh-CN"/>
              </w:rPr>
              <w:t>：</w:t>
            </w:r>
          </w:p>
          <w:p w14:paraId="1F578AC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食堂环境卫生服务方案（包括餐桌、地面、餐具、排水沟、设备设施、工具、员工仪表等）以及落实的保障措施等情况进行打分</w:t>
            </w:r>
            <w:r>
              <w:rPr>
                <w:rFonts w:hint="eastAsia" w:ascii="宋体" w:hAnsi="宋体" w:eastAsia="宋体" w:cs="宋体"/>
                <w:color w:val="auto"/>
                <w:sz w:val="21"/>
                <w:szCs w:val="21"/>
                <w:highlight w:val="none"/>
                <w:lang w:eastAsia="zh-CN"/>
              </w:rPr>
              <w:t>。</w:t>
            </w:r>
          </w:p>
          <w:p w14:paraId="1DB1440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设备清洁措施全面、食堂卫生有保障的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3FA4F0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设备清洁方案简单、粗糙，没有具体保障措施的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9187CE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1C8A59A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5EB78088">
            <w:pPr>
              <w:bidi w:val="0"/>
              <w:jc w:val="center"/>
              <w:rPr>
                <w:rFonts w:hint="eastAsia" w:ascii="宋体" w:hAnsi="宋体" w:eastAsia="宋体" w:cs="宋体"/>
                <w:color w:val="auto"/>
                <w:sz w:val="21"/>
                <w:szCs w:val="21"/>
                <w:highlight w:val="none"/>
              </w:rPr>
            </w:pPr>
          </w:p>
        </w:tc>
        <w:tc>
          <w:tcPr>
            <w:tcW w:w="664" w:type="dxa"/>
            <w:vAlign w:val="center"/>
          </w:tcPr>
          <w:p w14:paraId="7299E42E">
            <w:pPr>
              <w:bidi w:val="0"/>
              <w:jc w:val="center"/>
              <w:rPr>
                <w:rFonts w:hint="eastAsia" w:ascii="宋体" w:hAnsi="宋体" w:eastAsia="宋体" w:cs="宋体"/>
                <w:color w:val="auto"/>
                <w:sz w:val="21"/>
                <w:szCs w:val="21"/>
                <w:highlight w:val="none"/>
              </w:rPr>
            </w:pPr>
          </w:p>
        </w:tc>
      </w:tr>
      <w:tr w14:paraId="6FE1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994" w:type="dxa"/>
            <w:vMerge w:val="continue"/>
            <w:vAlign w:val="center"/>
          </w:tcPr>
          <w:p w14:paraId="65A96D49">
            <w:pPr>
              <w:bidi w:val="0"/>
              <w:jc w:val="center"/>
              <w:rPr>
                <w:rFonts w:hint="eastAsia" w:ascii="宋体" w:hAnsi="宋体" w:eastAsia="宋体" w:cs="宋体"/>
                <w:color w:val="auto"/>
                <w:sz w:val="21"/>
                <w:szCs w:val="21"/>
                <w:highlight w:val="none"/>
              </w:rPr>
            </w:pPr>
          </w:p>
        </w:tc>
        <w:tc>
          <w:tcPr>
            <w:tcW w:w="1104" w:type="dxa"/>
            <w:vMerge w:val="continue"/>
            <w:vAlign w:val="center"/>
          </w:tcPr>
          <w:p w14:paraId="0521B827">
            <w:pPr>
              <w:bidi w:val="0"/>
              <w:jc w:val="center"/>
              <w:rPr>
                <w:rFonts w:hint="eastAsia" w:ascii="宋体" w:hAnsi="宋体" w:eastAsia="宋体" w:cs="宋体"/>
                <w:color w:val="auto"/>
                <w:sz w:val="21"/>
                <w:szCs w:val="21"/>
                <w:highlight w:val="none"/>
              </w:rPr>
            </w:pPr>
          </w:p>
        </w:tc>
        <w:tc>
          <w:tcPr>
            <w:tcW w:w="6693" w:type="dxa"/>
            <w:vAlign w:val="center"/>
          </w:tcPr>
          <w:p w14:paraId="4018CB09">
            <w:pPr>
              <w:bidi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管理方案：</w:t>
            </w:r>
          </w:p>
          <w:p w14:paraId="2C79E44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制定的管理制度、保证员工提供优质服务等管理方案内容（包括服务质量、班次调配、人员分工、岗位职责等）进行打分</w:t>
            </w:r>
            <w:r>
              <w:rPr>
                <w:rFonts w:hint="eastAsia" w:ascii="宋体" w:hAnsi="宋体" w:eastAsia="宋体" w:cs="宋体"/>
                <w:color w:val="auto"/>
                <w:sz w:val="21"/>
                <w:szCs w:val="21"/>
                <w:highlight w:val="none"/>
                <w:lang w:eastAsia="zh-CN"/>
              </w:rPr>
              <w:t>。</w:t>
            </w:r>
          </w:p>
          <w:p w14:paraId="4D5056AB">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分工明确、工作效率和服务质量高的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D8B64F1">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分工模糊、岗位职责不明确，效率低的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4F3015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65E373CC">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5A858491">
            <w:pPr>
              <w:bidi w:val="0"/>
              <w:jc w:val="center"/>
              <w:rPr>
                <w:rFonts w:hint="eastAsia" w:ascii="宋体" w:hAnsi="宋体" w:eastAsia="宋体" w:cs="宋体"/>
                <w:color w:val="auto"/>
                <w:sz w:val="21"/>
                <w:szCs w:val="21"/>
                <w:highlight w:val="none"/>
              </w:rPr>
            </w:pPr>
          </w:p>
        </w:tc>
        <w:tc>
          <w:tcPr>
            <w:tcW w:w="664" w:type="dxa"/>
            <w:vAlign w:val="center"/>
          </w:tcPr>
          <w:p w14:paraId="200D2A4F">
            <w:pPr>
              <w:bidi w:val="0"/>
              <w:jc w:val="center"/>
              <w:rPr>
                <w:rFonts w:hint="eastAsia" w:ascii="宋体" w:hAnsi="宋体" w:eastAsia="宋体" w:cs="宋体"/>
                <w:color w:val="auto"/>
                <w:sz w:val="21"/>
                <w:szCs w:val="21"/>
                <w:highlight w:val="none"/>
              </w:rPr>
            </w:pPr>
          </w:p>
        </w:tc>
      </w:tr>
      <w:tr w14:paraId="2C95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94" w:type="dxa"/>
            <w:vMerge w:val="continue"/>
            <w:vAlign w:val="center"/>
          </w:tcPr>
          <w:p w14:paraId="484C6212">
            <w:pPr>
              <w:bidi w:val="0"/>
              <w:jc w:val="center"/>
              <w:rPr>
                <w:rFonts w:hint="eastAsia" w:ascii="宋体" w:hAnsi="宋体" w:eastAsia="宋体" w:cs="宋体"/>
                <w:color w:val="auto"/>
                <w:sz w:val="21"/>
                <w:szCs w:val="21"/>
                <w:highlight w:val="none"/>
              </w:rPr>
            </w:pPr>
          </w:p>
        </w:tc>
        <w:tc>
          <w:tcPr>
            <w:tcW w:w="1104" w:type="dxa"/>
            <w:vMerge w:val="continue"/>
            <w:vAlign w:val="center"/>
          </w:tcPr>
          <w:p w14:paraId="370C11FB">
            <w:pPr>
              <w:bidi w:val="0"/>
              <w:jc w:val="center"/>
              <w:rPr>
                <w:rFonts w:hint="eastAsia" w:ascii="宋体" w:hAnsi="宋体" w:eastAsia="宋体" w:cs="宋体"/>
                <w:color w:val="auto"/>
                <w:sz w:val="21"/>
                <w:szCs w:val="21"/>
                <w:highlight w:val="none"/>
              </w:rPr>
            </w:pPr>
          </w:p>
        </w:tc>
        <w:tc>
          <w:tcPr>
            <w:tcW w:w="6693" w:type="dxa"/>
            <w:vAlign w:val="center"/>
          </w:tcPr>
          <w:p w14:paraId="74389107">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安全预防及投诉处理方案：</w:t>
            </w:r>
          </w:p>
          <w:p w14:paraId="5BA33B3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食品安全、环境安全、食堂工作人员及就餐人员的卫生防疫、疾病控制预防、事故及投诉应急处理预案</w:t>
            </w:r>
            <w:r>
              <w:rPr>
                <w:rFonts w:hint="eastAsia" w:ascii="宋体" w:hAnsi="宋体" w:eastAsia="宋体" w:cs="宋体"/>
                <w:color w:val="auto"/>
                <w:sz w:val="21"/>
                <w:szCs w:val="21"/>
                <w:highlight w:val="none"/>
                <w:lang w:val="en-US" w:eastAsia="zh-CN"/>
              </w:rPr>
              <w:t>进行打分。</w:t>
            </w:r>
          </w:p>
          <w:p w14:paraId="6F41CCA6">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安全预防阐述详细、全面，卫生防疫措施严密、有保障的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DA3AA5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安全预防和防疫措施简单，缺乏针对性和有效性的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FD5F048">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64" w:type="dxa"/>
            <w:vAlign w:val="center"/>
          </w:tcPr>
          <w:p w14:paraId="084905B9">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4" w:type="dxa"/>
            <w:vAlign w:val="center"/>
          </w:tcPr>
          <w:p w14:paraId="5833E53E">
            <w:pPr>
              <w:bidi w:val="0"/>
              <w:jc w:val="center"/>
              <w:rPr>
                <w:rFonts w:hint="eastAsia" w:ascii="宋体" w:hAnsi="宋体" w:eastAsia="宋体" w:cs="宋体"/>
                <w:color w:val="auto"/>
                <w:sz w:val="21"/>
                <w:szCs w:val="21"/>
                <w:highlight w:val="none"/>
              </w:rPr>
            </w:pPr>
          </w:p>
        </w:tc>
        <w:tc>
          <w:tcPr>
            <w:tcW w:w="664" w:type="dxa"/>
            <w:vAlign w:val="center"/>
          </w:tcPr>
          <w:p w14:paraId="3EB484E3">
            <w:pPr>
              <w:bidi w:val="0"/>
              <w:jc w:val="center"/>
              <w:rPr>
                <w:rFonts w:hint="eastAsia" w:ascii="宋体" w:hAnsi="宋体" w:eastAsia="宋体" w:cs="宋体"/>
                <w:color w:val="auto"/>
                <w:sz w:val="21"/>
                <w:szCs w:val="21"/>
                <w:highlight w:val="none"/>
              </w:rPr>
            </w:pPr>
          </w:p>
        </w:tc>
      </w:tr>
      <w:tr w14:paraId="3458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6F9A6D8B">
            <w:pPr>
              <w:bidi w:val="0"/>
              <w:jc w:val="center"/>
              <w:rPr>
                <w:rFonts w:hint="eastAsia" w:ascii="宋体" w:hAnsi="宋体" w:eastAsia="宋体" w:cs="宋体"/>
                <w:color w:val="auto"/>
                <w:sz w:val="21"/>
                <w:szCs w:val="21"/>
                <w:highlight w:val="none"/>
              </w:rPr>
            </w:pPr>
          </w:p>
        </w:tc>
        <w:tc>
          <w:tcPr>
            <w:tcW w:w="1104" w:type="dxa"/>
            <w:vMerge w:val="continue"/>
            <w:vAlign w:val="center"/>
          </w:tcPr>
          <w:p w14:paraId="769BB39B">
            <w:pPr>
              <w:bidi w:val="0"/>
              <w:jc w:val="center"/>
              <w:rPr>
                <w:rFonts w:hint="eastAsia" w:ascii="宋体" w:hAnsi="宋体" w:eastAsia="宋体" w:cs="宋体"/>
                <w:color w:val="auto"/>
                <w:sz w:val="21"/>
                <w:szCs w:val="21"/>
                <w:highlight w:val="none"/>
              </w:rPr>
            </w:pPr>
          </w:p>
        </w:tc>
        <w:tc>
          <w:tcPr>
            <w:tcW w:w="6693" w:type="dxa"/>
            <w:vAlign w:val="center"/>
          </w:tcPr>
          <w:p w14:paraId="7C0A37A1">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后勤管理方案：</w:t>
            </w:r>
          </w:p>
          <w:p w14:paraId="0E91739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对食堂的后勤、卫生、保洁工作的描述及承诺进行打分</w:t>
            </w:r>
            <w:r>
              <w:rPr>
                <w:rFonts w:hint="eastAsia" w:ascii="宋体" w:hAnsi="宋体" w:eastAsia="宋体" w:cs="宋体"/>
                <w:color w:val="auto"/>
                <w:sz w:val="21"/>
                <w:szCs w:val="21"/>
                <w:highlight w:val="none"/>
                <w:lang w:eastAsia="zh-CN"/>
              </w:rPr>
              <w:t>。</w:t>
            </w:r>
          </w:p>
          <w:p w14:paraId="3353137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后勤保洁方案详细、有效保证卫生整洁的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72C7F22">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缺乏具体的后勤保洁方案，无法保证卫生整洁的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E477895">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296E7808">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721D5121">
            <w:pPr>
              <w:bidi w:val="0"/>
              <w:jc w:val="center"/>
              <w:rPr>
                <w:rFonts w:hint="eastAsia" w:ascii="宋体" w:hAnsi="宋体" w:eastAsia="宋体" w:cs="宋体"/>
                <w:color w:val="auto"/>
                <w:sz w:val="21"/>
                <w:szCs w:val="21"/>
                <w:highlight w:val="none"/>
              </w:rPr>
            </w:pPr>
          </w:p>
        </w:tc>
        <w:tc>
          <w:tcPr>
            <w:tcW w:w="664" w:type="dxa"/>
            <w:vAlign w:val="center"/>
          </w:tcPr>
          <w:p w14:paraId="38F6568B">
            <w:pPr>
              <w:bidi w:val="0"/>
              <w:jc w:val="center"/>
              <w:rPr>
                <w:rFonts w:hint="eastAsia" w:ascii="宋体" w:hAnsi="宋体" w:eastAsia="宋体" w:cs="宋体"/>
                <w:color w:val="auto"/>
                <w:sz w:val="21"/>
                <w:szCs w:val="21"/>
                <w:highlight w:val="none"/>
              </w:rPr>
            </w:pPr>
          </w:p>
        </w:tc>
      </w:tr>
      <w:tr w14:paraId="6BD4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6D1D3EB1">
            <w:pPr>
              <w:bidi w:val="0"/>
              <w:jc w:val="center"/>
              <w:rPr>
                <w:rFonts w:hint="eastAsia" w:ascii="宋体" w:hAnsi="宋体" w:eastAsia="宋体" w:cs="宋体"/>
                <w:color w:val="auto"/>
                <w:sz w:val="21"/>
                <w:szCs w:val="21"/>
                <w:highlight w:val="none"/>
              </w:rPr>
            </w:pPr>
          </w:p>
        </w:tc>
        <w:tc>
          <w:tcPr>
            <w:tcW w:w="1104" w:type="dxa"/>
            <w:vMerge w:val="continue"/>
            <w:vAlign w:val="center"/>
          </w:tcPr>
          <w:p w14:paraId="1C5DABFD">
            <w:pPr>
              <w:bidi w:val="0"/>
              <w:jc w:val="center"/>
              <w:rPr>
                <w:rFonts w:hint="eastAsia" w:ascii="宋体" w:hAnsi="宋体" w:eastAsia="宋体" w:cs="宋体"/>
                <w:color w:val="auto"/>
                <w:sz w:val="21"/>
                <w:szCs w:val="21"/>
                <w:highlight w:val="none"/>
              </w:rPr>
            </w:pPr>
          </w:p>
        </w:tc>
        <w:tc>
          <w:tcPr>
            <w:tcW w:w="6693" w:type="dxa"/>
            <w:vAlign w:val="center"/>
          </w:tcPr>
          <w:p w14:paraId="0976D2ED">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物品管理方案：</w:t>
            </w:r>
          </w:p>
          <w:p w14:paraId="75B1E0D1">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针对食堂内所提供的物品维护、保存、管理方案进行打分</w:t>
            </w:r>
            <w:r>
              <w:rPr>
                <w:rFonts w:hint="eastAsia" w:ascii="宋体" w:hAnsi="宋体" w:eastAsia="宋体" w:cs="宋体"/>
                <w:color w:val="auto"/>
                <w:sz w:val="21"/>
                <w:szCs w:val="21"/>
                <w:highlight w:val="none"/>
                <w:lang w:eastAsia="zh-CN"/>
              </w:rPr>
              <w:t>。</w:t>
            </w:r>
          </w:p>
          <w:p w14:paraId="582D8375">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管理方案先进、专业，能对物品完好保存的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704C5C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管理方案简单、片面，容易造成物品丢失，缺乏严谨性的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ABDFCE">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4A8DF636">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72388DF2">
            <w:pPr>
              <w:bidi w:val="0"/>
              <w:jc w:val="center"/>
              <w:rPr>
                <w:rFonts w:hint="eastAsia" w:ascii="宋体" w:hAnsi="宋体" w:eastAsia="宋体" w:cs="宋体"/>
                <w:color w:val="auto"/>
                <w:sz w:val="21"/>
                <w:szCs w:val="21"/>
                <w:highlight w:val="none"/>
              </w:rPr>
            </w:pPr>
          </w:p>
        </w:tc>
        <w:tc>
          <w:tcPr>
            <w:tcW w:w="664" w:type="dxa"/>
            <w:vAlign w:val="center"/>
          </w:tcPr>
          <w:p w14:paraId="5447BED3">
            <w:pPr>
              <w:bidi w:val="0"/>
              <w:jc w:val="center"/>
              <w:rPr>
                <w:rFonts w:hint="eastAsia" w:ascii="宋体" w:hAnsi="宋体" w:eastAsia="宋体" w:cs="宋体"/>
                <w:color w:val="auto"/>
                <w:sz w:val="21"/>
                <w:szCs w:val="21"/>
                <w:highlight w:val="none"/>
              </w:rPr>
            </w:pPr>
          </w:p>
        </w:tc>
      </w:tr>
      <w:tr w14:paraId="7A2D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jc w:val="center"/>
        </w:trPr>
        <w:tc>
          <w:tcPr>
            <w:tcW w:w="994" w:type="dxa"/>
            <w:vMerge w:val="continue"/>
            <w:vAlign w:val="center"/>
          </w:tcPr>
          <w:p w14:paraId="3562752E">
            <w:pPr>
              <w:bidi w:val="0"/>
              <w:jc w:val="center"/>
              <w:rPr>
                <w:rFonts w:hint="eastAsia" w:ascii="宋体" w:hAnsi="宋体" w:eastAsia="宋体" w:cs="宋体"/>
                <w:color w:val="auto"/>
                <w:sz w:val="21"/>
                <w:szCs w:val="21"/>
                <w:highlight w:val="none"/>
              </w:rPr>
            </w:pPr>
          </w:p>
        </w:tc>
        <w:tc>
          <w:tcPr>
            <w:tcW w:w="1104" w:type="dxa"/>
            <w:vAlign w:val="center"/>
          </w:tcPr>
          <w:p w14:paraId="68C85C4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质量管控</w:t>
            </w:r>
          </w:p>
        </w:tc>
        <w:tc>
          <w:tcPr>
            <w:tcW w:w="6693" w:type="dxa"/>
            <w:vAlign w:val="center"/>
          </w:tcPr>
          <w:p w14:paraId="71420B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根据投标人提供的质量保证措施，包括菜谱的品种，菜谱的质量保证，食材料的使用量控制等内容进行打分。</w:t>
            </w:r>
          </w:p>
          <w:p w14:paraId="616854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质控措施全面，合理可行，能有效保障并有针对性的得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.0分；</w:t>
            </w:r>
          </w:p>
          <w:p w14:paraId="11950F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措施简单，内容不完整但基本能保障的得0.1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.9分；</w:t>
            </w:r>
          </w:p>
          <w:p w14:paraId="14D865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lang w:val="en-US" w:eastAsia="zh-CN"/>
              </w:rPr>
              <w:t>未提及此项不得分。</w:t>
            </w:r>
          </w:p>
        </w:tc>
        <w:tc>
          <w:tcPr>
            <w:tcW w:w="664" w:type="dxa"/>
            <w:vAlign w:val="center"/>
          </w:tcPr>
          <w:p w14:paraId="7187C76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3</w:t>
            </w:r>
          </w:p>
        </w:tc>
        <w:tc>
          <w:tcPr>
            <w:tcW w:w="664" w:type="dxa"/>
            <w:vAlign w:val="center"/>
          </w:tcPr>
          <w:p w14:paraId="001BDAB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4" w:type="dxa"/>
            <w:vAlign w:val="center"/>
          </w:tcPr>
          <w:p w14:paraId="594AC9E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7B24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94" w:type="dxa"/>
            <w:vMerge w:val="continue"/>
            <w:vAlign w:val="center"/>
          </w:tcPr>
          <w:p w14:paraId="5BB9BF06">
            <w:pPr>
              <w:bidi w:val="0"/>
              <w:jc w:val="center"/>
              <w:rPr>
                <w:rFonts w:hint="eastAsia" w:ascii="宋体" w:hAnsi="宋体" w:eastAsia="宋体" w:cs="宋体"/>
                <w:color w:val="auto"/>
                <w:sz w:val="21"/>
                <w:szCs w:val="21"/>
                <w:highlight w:val="none"/>
              </w:rPr>
            </w:pPr>
          </w:p>
        </w:tc>
        <w:tc>
          <w:tcPr>
            <w:tcW w:w="1104" w:type="dxa"/>
            <w:vAlign w:val="center"/>
          </w:tcPr>
          <w:p w14:paraId="6DDE1DC5">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人员培训管理方案</w:t>
            </w:r>
          </w:p>
        </w:tc>
        <w:tc>
          <w:tcPr>
            <w:tcW w:w="6693" w:type="dxa"/>
            <w:vAlign w:val="center"/>
          </w:tcPr>
          <w:p w14:paraId="178A551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根据投标人提供的人员培训方式及内容、人员管理、考核标准、奖罚措施、奖惩淘汰机制等情况进行打分。</w:t>
            </w:r>
          </w:p>
          <w:p w14:paraId="29071FE6">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人员管理、培训方式专业，考核标准详细，具有可实施性和激励性的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1E1434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人员管理、培训方式缺乏针对性，考核标准简单片面的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F113584">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6A4E2998">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7C316582">
            <w:pPr>
              <w:bidi w:val="0"/>
              <w:jc w:val="center"/>
              <w:rPr>
                <w:rFonts w:hint="eastAsia" w:ascii="宋体" w:hAnsi="宋体" w:eastAsia="宋体" w:cs="宋体"/>
                <w:color w:val="auto"/>
                <w:sz w:val="21"/>
                <w:szCs w:val="21"/>
                <w:highlight w:val="none"/>
              </w:rPr>
            </w:pPr>
          </w:p>
        </w:tc>
        <w:tc>
          <w:tcPr>
            <w:tcW w:w="664" w:type="dxa"/>
            <w:vAlign w:val="center"/>
          </w:tcPr>
          <w:p w14:paraId="5527FA1C">
            <w:pPr>
              <w:bidi w:val="0"/>
              <w:jc w:val="center"/>
              <w:rPr>
                <w:rFonts w:hint="eastAsia" w:ascii="宋体" w:hAnsi="宋体" w:eastAsia="宋体" w:cs="宋体"/>
                <w:color w:val="auto"/>
                <w:sz w:val="21"/>
                <w:szCs w:val="21"/>
                <w:highlight w:val="none"/>
              </w:rPr>
            </w:pPr>
          </w:p>
        </w:tc>
      </w:tr>
      <w:tr w14:paraId="69CE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994" w:type="dxa"/>
            <w:vMerge w:val="continue"/>
            <w:vAlign w:val="center"/>
          </w:tcPr>
          <w:p w14:paraId="25336CEE">
            <w:pPr>
              <w:bidi w:val="0"/>
              <w:jc w:val="center"/>
              <w:rPr>
                <w:rFonts w:hint="eastAsia" w:ascii="宋体" w:hAnsi="宋体" w:eastAsia="宋体" w:cs="宋体"/>
                <w:color w:val="auto"/>
                <w:sz w:val="21"/>
                <w:szCs w:val="21"/>
                <w:highlight w:val="none"/>
              </w:rPr>
            </w:pPr>
          </w:p>
        </w:tc>
        <w:tc>
          <w:tcPr>
            <w:tcW w:w="1104" w:type="dxa"/>
            <w:vAlign w:val="center"/>
          </w:tcPr>
          <w:p w14:paraId="751EB8C9">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节能措施</w:t>
            </w:r>
          </w:p>
        </w:tc>
        <w:tc>
          <w:tcPr>
            <w:tcW w:w="6693" w:type="dxa"/>
            <w:vAlign w:val="center"/>
          </w:tcPr>
          <w:p w14:paraId="4467C2C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针对投标人提供的节能管理措施进行打分。</w:t>
            </w:r>
          </w:p>
          <w:p w14:paraId="61442AEF">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节能措施全面，能有效保证食堂整体节能的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F00BA98">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F20A9A">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4638644E">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574A4F49">
            <w:pPr>
              <w:bidi w:val="0"/>
              <w:jc w:val="center"/>
              <w:rPr>
                <w:rFonts w:hint="eastAsia" w:ascii="宋体" w:hAnsi="宋体" w:eastAsia="宋体" w:cs="宋体"/>
                <w:color w:val="auto"/>
                <w:sz w:val="21"/>
                <w:szCs w:val="21"/>
                <w:highlight w:val="none"/>
              </w:rPr>
            </w:pPr>
          </w:p>
        </w:tc>
        <w:tc>
          <w:tcPr>
            <w:tcW w:w="664" w:type="dxa"/>
            <w:vAlign w:val="center"/>
          </w:tcPr>
          <w:p w14:paraId="41DB93BF">
            <w:pPr>
              <w:bidi w:val="0"/>
              <w:jc w:val="center"/>
              <w:rPr>
                <w:rFonts w:hint="eastAsia" w:ascii="宋体" w:hAnsi="宋体" w:eastAsia="宋体" w:cs="宋体"/>
                <w:color w:val="auto"/>
                <w:sz w:val="21"/>
                <w:szCs w:val="21"/>
                <w:highlight w:val="none"/>
              </w:rPr>
            </w:pPr>
          </w:p>
        </w:tc>
      </w:tr>
      <w:tr w14:paraId="42D3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994" w:type="dxa"/>
            <w:vMerge w:val="continue"/>
            <w:vAlign w:val="center"/>
          </w:tcPr>
          <w:p w14:paraId="3AF9FDDE">
            <w:pPr>
              <w:bidi w:val="0"/>
              <w:jc w:val="center"/>
              <w:rPr>
                <w:rFonts w:hint="eastAsia" w:ascii="宋体" w:hAnsi="宋体" w:eastAsia="宋体" w:cs="宋体"/>
                <w:color w:val="auto"/>
                <w:sz w:val="21"/>
                <w:szCs w:val="21"/>
                <w:highlight w:val="none"/>
              </w:rPr>
            </w:pPr>
          </w:p>
        </w:tc>
        <w:tc>
          <w:tcPr>
            <w:tcW w:w="1104" w:type="dxa"/>
            <w:vAlign w:val="center"/>
          </w:tcPr>
          <w:p w14:paraId="14EAC073">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应急预案</w:t>
            </w:r>
          </w:p>
        </w:tc>
        <w:tc>
          <w:tcPr>
            <w:tcW w:w="6693" w:type="dxa"/>
            <w:vAlign w:val="center"/>
          </w:tcPr>
          <w:p w14:paraId="178CBDD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针对投标人提供的公众突发事件应急预案、消防应急预案，对食堂的防火应急措施进行打分。</w:t>
            </w:r>
          </w:p>
          <w:p w14:paraId="5FDC6847">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应急预案严谨、全面，能及时应对突发事件的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F7BF897">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BD5EC22">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41B8DB04">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27EBD7CA">
            <w:pPr>
              <w:bidi w:val="0"/>
              <w:jc w:val="center"/>
              <w:rPr>
                <w:rFonts w:hint="eastAsia" w:ascii="宋体" w:hAnsi="宋体" w:eastAsia="宋体" w:cs="宋体"/>
                <w:color w:val="auto"/>
                <w:sz w:val="21"/>
                <w:szCs w:val="21"/>
                <w:highlight w:val="none"/>
              </w:rPr>
            </w:pPr>
          </w:p>
        </w:tc>
        <w:tc>
          <w:tcPr>
            <w:tcW w:w="664" w:type="dxa"/>
            <w:vAlign w:val="center"/>
          </w:tcPr>
          <w:p w14:paraId="6C5D6E94">
            <w:pPr>
              <w:bidi w:val="0"/>
              <w:jc w:val="center"/>
              <w:rPr>
                <w:rFonts w:hint="eastAsia" w:ascii="宋体" w:hAnsi="宋体" w:eastAsia="宋体" w:cs="宋体"/>
                <w:color w:val="auto"/>
                <w:sz w:val="21"/>
                <w:szCs w:val="21"/>
                <w:highlight w:val="none"/>
              </w:rPr>
            </w:pPr>
          </w:p>
        </w:tc>
      </w:tr>
      <w:tr w14:paraId="5BAA3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vAlign w:val="center"/>
          </w:tcPr>
          <w:p w14:paraId="61F94B19">
            <w:pPr>
              <w:bidi w:val="0"/>
              <w:jc w:val="center"/>
              <w:rPr>
                <w:rFonts w:hint="eastAsia" w:ascii="宋体" w:hAnsi="宋体" w:eastAsia="宋体" w:cs="宋体"/>
                <w:color w:val="auto"/>
                <w:sz w:val="21"/>
                <w:szCs w:val="21"/>
                <w:highlight w:val="none"/>
              </w:rPr>
            </w:pPr>
          </w:p>
        </w:tc>
        <w:tc>
          <w:tcPr>
            <w:tcW w:w="1104" w:type="dxa"/>
            <w:vAlign w:val="center"/>
          </w:tcPr>
          <w:p w14:paraId="28212432">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合理化建议</w:t>
            </w:r>
          </w:p>
        </w:tc>
        <w:tc>
          <w:tcPr>
            <w:tcW w:w="6693" w:type="dxa"/>
            <w:vAlign w:val="center"/>
          </w:tcPr>
          <w:p w14:paraId="398D50E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根据投标人依据本项目服务要求、采购单位需求提出的合理化建议进行打分。</w:t>
            </w:r>
          </w:p>
          <w:p w14:paraId="44B2BEA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建议合理，可实现性强，具有改进意义的得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22C21B4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建议可实现性较差，几乎没有改进意义的得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14:paraId="17BBAF64">
            <w:pPr>
              <w:bidi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未提及此项不得分。</w:t>
            </w:r>
          </w:p>
        </w:tc>
        <w:tc>
          <w:tcPr>
            <w:tcW w:w="664" w:type="dxa"/>
            <w:vAlign w:val="center"/>
          </w:tcPr>
          <w:p w14:paraId="3105FB9E">
            <w:pPr>
              <w:bidi w:val="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w:t>
            </w:r>
          </w:p>
        </w:tc>
        <w:tc>
          <w:tcPr>
            <w:tcW w:w="664" w:type="dxa"/>
            <w:vAlign w:val="center"/>
          </w:tcPr>
          <w:p w14:paraId="2458FA87">
            <w:pPr>
              <w:bidi w:val="0"/>
              <w:jc w:val="center"/>
              <w:rPr>
                <w:rFonts w:hint="eastAsia" w:ascii="宋体" w:hAnsi="宋体" w:eastAsia="宋体" w:cs="宋体"/>
                <w:color w:val="auto"/>
                <w:sz w:val="21"/>
                <w:szCs w:val="21"/>
                <w:highlight w:val="none"/>
              </w:rPr>
            </w:pPr>
          </w:p>
        </w:tc>
        <w:tc>
          <w:tcPr>
            <w:tcW w:w="664" w:type="dxa"/>
            <w:vAlign w:val="center"/>
          </w:tcPr>
          <w:p w14:paraId="6A08525E">
            <w:pPr>
              <w:bidi w:val="0"/>
              <w:jc w:val="center"/>
              <w:rPr>
                <w:rFonts w:hint="eastAsia" w:ascii="宋体" w:hAnsi="宋体" w:eastAsia="宋体" w:cs="宋体"/>
                <w:color w:val="auto"/>
                <w:sz w:val="21"/>
                <w:szCs w:val="21"/>
                <w:highlight w:val="none"/>
              </w:rPr>
            </w:pPr>
          </w:p>
        </w:tc>
      </w:tr>
      <w:tr w14:paraId="4339A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994" w:type="dxa"/>
            <w:vMerge w:val="continue"/>
            <w:tcBorders>
              <w:bottom w:val="single" w:color="auto" w:sz="4" w:space="0"/>
            </w:tcBorders>
            <w:vAlign w:val="center"/>
          </w:tcPr>
          <w:p w14:paraId="64541D22">
            <w:pPr>
              <w:bidi w:val="0"/>
              <w:jc w:val="center"/>
              <w:rPr>
                <w:rFonts w:hint="eastAsia" w:ascii="宋体" w:hAnsi="宋体" w:eastAsia="宋体" w:cs="宋体"/>
                <w:color w:val="auto"/>
                <w:sz w:val="21"/>
                <w:szCs w:val="21"/>
                <w:highlight w:val="none"/>
              </w:rPr>
            </w:pPr>
          </w:p>
        </w:tc>
        <w:tc>
          <w:tcPr>
            <w:tcW w:w="1104" w:type="dxa"/>
            <w:vAlign w:val="center"/>
          </w:tcPr>
          <w:p w14:paraId="37FC7624">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693" w:type="dxa"/>
            <w:vAlign w:val="center"/>
          </w:tcPr>
          <w:p w14:paraId="6B300396">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根据投标人对本项目做出的服务承诺进行打分。</w:t>
            </w:r>
          </w:p>
          <w:p w14:paraId="310FC9FA">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服务承诺全面，能保证本项目各项劳务事务顺利接管的得3.0-5.0分；</w:t>
            </w:r>
          </w:p>
          <w:p w14:paraId="1A128DD7">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服务承诺简单，难以保证顺利接管的得0.1-2.9分；</w:t>
            </w:r>
          </w:p>
          <w:p w14:paraId="2379EC2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4" w:type="dxa"/>
            <w:vAlign w:val="center"/>
          </w:tcPr>
          <w:p w14:paraId="2848A51F">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4" w:type="dxa"/>
            <w:vAlign w:val="center"/>
          </w:tcPr>
          <w:p w14:paraId="776016A1">
            <w:pPr>
              <w:bidi w:val="0"/>
              <w:jc w:val="center"/>
              <w:rPr>
                <w:rFonts w:hint="eastAsia" w:ascii="宋体" w:hAnsi="宋体" w:eastAsia="宋体" w:cs="宋体"/>
                <w:color w:val="auto"/>
                <w:sz w:val="21"/>
                <w:szCs w:val="21"/>
                <w:highlight w:val="none"/>
                <w:lang w:val="en-US" w:eastAsia="zh-CN"/>
              </w:rPr>
            </w:pPr>
          </w:p>
        </w:tc>
        <w:tc>
          <w:tcPr>
            <w:tcW w:w="664" w:type="dxa"/>
            <w:vAlign w:val="center"/>
          </w:tcPr>
          <w:p w14:paraId="1CFF7F32">
            <w:pPr>
              <w:bidi w:val="0"/>
              <w:jc w:val="center"/>
              <w:rPr>
                <w:rFonts w:hint="eastAsia" w:ascii="宋体" w:hAnsi="宋体" w:eastAsia="宋体" w:cs="宋体"/>
                <w:color w:val="auto"/>
                <w:sz w:val="21"/>
                <w:szCs w:val="21"/>
                <w:highlight w:val="none"/>
                <w:lang w:val="en-US" w:eastAsia="zh-CN"/>
              </w:rPr>
            </w:pPr>
          </w:p>
        </w:tc>
      </w:tr>
    </w:tbl>
    <w:p w14:paraId="089D69A3">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F6004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2E60442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报价明细表（附件16）；</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58CEE5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320" w:lineRule="exact"/>
        <w:outlineLvl w:val="9"/>
        <w:rPr>
          <w:rFonts w:hint="eastAsia" w:ascii="宋体" w:hAnsi="宋体" w:eastAsia="宋体" w:cs="宋体"/>
          <w:b/>
          <w:color w:val="auto"/>
          <w:sz w:val="28"/>
          <w:highlight w:val="none"/>
        </w:rPr>
      </w:pPr>
    </w:p>
    <w:p w14:paraId="285CB1AB">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16</w:t>
      </w:r>
    </w:p>
    <w:p w14:paraId="16B6491D">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1E4FCD26">
      <w:pPr>
        <w:keepNext w:val="0"/>
        <w:keepLines w:val="0"/>
        <w:pageBreakBefore w:val="0"/>
        <w:kinsoku/>
        <w:overflowPunct/>
        <w:topLinePunct w:val="0"/>
        <w:bidi w:val="0"/>
        <w:spacing w:line="360" w:lineRule="auto"/>
        <w:outlineLvl w:val="9"/>
        <w:rPr>
          <w:rFonts w:hint="eastAsia" w:ascii="宋体" w:hAnsi="宋体" w:eastAsia="宋体" w:cs="宋体"/>
          <w:color w:val="auto"/>
          <w:sz w:val="24"/>
          <w:highlight w:val="none"/>
        </w:rPr>
      </w:pPr>
    </w:p>
    <w:p w14:paraId="3A740423">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81D4E2B">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79"/>
        <w:gridCol w:w="1162"/>
        <w:gridCol w:w="1485"/>
        <w:gridCol w:w="1701"/>
        <w:gridCol w:w="1444"/>
        <w:gridCol w:w="1185"/>
      </w:tblGrid>
      <w:tr w14:paraId="2AC0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197E1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79" w:type="dxa"/>
            <w:vAlign w:val="center"/>
          </w:tcPr>
          <w:p w14:paraId="289D44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工作岗位</w:t>
            </w:r>
          </w:p>
        </w:tc>
        <w:tc>
          <w:tcPr>
            <w:tcW w:w="1162" w:type="dxa"/>
            <w:vAlign w:val="center"/>
          </w:tcPr>
          <w:p w14:paraId="723107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85" w:type="dxa"/>
            <w:vAlign w:val="center"/>
          </w:tcPr>
          <w:p w14:paraId="5C25DE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时间</w:t>
            </w:r>
          </w:p>
        </w:tc>
        <w:tc>
          <w:tcPr>
            <w:tcW w:w="1701" w:type="dxa"/>
            <w:vAlign w:val="center"/>
          </w:tcPr>
          <w:p w14:paraId="19F680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单价（元/月）</w:t>
            </w:r>
          </w:p>
        </w:tc>
        <w:tc>
          <w:tcPr>
            <w:tcW w:w="1444" w:type="dxa"/>
            <w:vAlign w:val="center"/>
          </w:tcPr>
          <w:p w14:paraId="7EADD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合计（元）</w:t>
            </w:r>
          </w:p>
        </w:tc>
        <w:tc>
          <w:tcPr>
            <w:tcW w:w="1185" w:type="dxa"/>
            <w:vAlign w:val="center"/>
          </w:tcPr>
          <w:p w14:paraId="2E4B88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D0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800" w:type="dxa"/>
            <w:vAlign w:val="center"/>
          </w:tcPr>
          <w:p w14:paraId="190B2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79" w:type="dxa"/>
            <w:vAlign w:val="center"/>
          </w:tcPr>
          <w:p w14:paraId="649B9A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4DBCD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6D161A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lang w:val="en-US" w:eastAsia="zh-CN"/>
              </w:rPr>
            </w:pPr>
          </w:p>
        </w:tc>
        <w:tc>
          <w:tcPr>
            <w:tcW w:w="1701" w:type="dxa"/>
            <w:vAlign w:val="center"/>
          </w:tcPr>
          <w:p w14:paraId="17CBD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3F3775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67B1BF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1B4A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0" w:type="dxa"/>
            <w:vAlign w:val="center"/>
          </w:tcPr>
          <w:p w14:paraId="3AFB53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79" w:type="dxa"/>
            <w:vAlign w:val="center"/>
          </w:tcPr>
          <w:p w14:paraId="69B0E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251598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255871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09BA6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422F2E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648B6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295C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32D929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79" w:type="dxa"/>
            <w:vAlign w:val="center"/>
          </w:tcPr>
          <w:p w14:paraId="790B41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374507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156B5A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75F07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649EF9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4D09DE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4BD2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00" w:type="dxa"/>
            <w:vAlign w:val="center"/>
          </w:tcPr>
          <w:p w14:paraId="765018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79" w:type="dxa"/>
            <w:vAlign w:val="center"/>
          </w:tcPr>
          <w:p w14:paraId="696504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4C989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265DE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6E00C0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0795A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25ECAD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704C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45E4B6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79" w:type="dxa"/>
            <w:vAlign w:val="center"/>
          </w:tcPr>
          <w:p w14:paraId="59EE36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719F53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E1FD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51C0CE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261084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ED213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47B1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347102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79" w:type="dxa"/>
            <w:vAlign w:val="center"/>
          </w:tcPr>
          <w:p w14:paraId="1C836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6AB09E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3A849C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37DDC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4A1DB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11255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50E1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00" w:type="dxa"/>
            <w:vAlign w:val="center"/>
          </w:tcPr>
          <w:p w14:paraId="79C26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79" w:type="dxa"/>
            <w:vAlign w:val="center"/>
          </w:tcPr>
          <w:p w14:paraId="13BC1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62" w:type="dxa"/>
            <w:vAlign w:val="center"/>
          </w:tcPr>
          <w:p w14:paraId="06F72B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85" w:type="dxa"/>
            <w:vAlign w:val="center"/>
          </w:tcPr>
          <w:p w14:paraId="2D1AF1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701" w:type="dxa"/>
            <w:vAlign w:val="center"/>
          </w:tcPr>
          <w:p w14:paraId="436A01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444" w:type="dxa"/>
            <w:vAlign w:val="center"/>
          </w:tcPr>
          <w:p w14:paraId="3AF7C7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c>
          <w:tcPr>
            <w:tcW w:w="1185" w:type="dxa"/>
            <w:vAlign w:val="center"/>
          </w:tcPr>
          <w:p w14:paraId="13CECD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Cs w:val="21"/>
                <w:highlight w:val="none"/>
              </w:rPr>
            </w:pPr>
          </w:p>
        </w:tc>
      </w:tr>
      <w:tr w14:paraId="277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356" w:type="dxa"/>
            <w:gridSpan w:val="7"/>
            <w:vAlign w:val="center"/>
          </w:tcPr>
          <w:p w14:paraId="666098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报价合计：</w:t>
            </w:r>
          </w:p>
          <w:p w14:paraId="22B383F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大写：</w:t>
            </w:r>
          </w:p>
          <w:p w14:paraId="3E3D63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小写：</w:t>
            </w:r>
          </w:p>
        </w:tc>
      </w:tr>
    </w:tbl>
    <w:p w14:paraId="60F5AD5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04F227C">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2E4891E3">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1D8122BC">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投标报价明细表所填内容按采购文件要求为准。如有漏报的，视同已包含在投标总价内或已作优惠处理。有重大缺项的将作无效标处理。</w:t>
      </w:r>
    </w:p>
    <w:p w14:paraId="2E0572D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E825F0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6DAE4DD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60E1BFD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AA0552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47FB79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BE10E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DE0C0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8C443B">
      <w:pPr>
        <w:pStyle w:val="2"/>
        <w:rPr>
          <w:rFonts w:hint="eastAsia"/>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食堂外包服务项目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490325"/>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2341BD"/>
    <w:rsid w:val="053C3F02"/>
    <w:rsid w:val="05522323"/>
    <w:rsid w:val="0601391E"/>
    <w:rsid w:val="067363FE"/>
    <w:rsid w:val="073967B1"/>
    <w:rsid w:val="07685A63"/>
    <w:rsid w:val="076A5AA3"/>
    <w:rsid w:val="07D22E0A"/>
    <w:rsid w:val="0836339B"/>
    <w:rsid w:val="08390248"/>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F138C"/>
    <w:rsid w:val="0E23639B"/>
    <w:rsid w:val="0EC6046D"/>
    <w:rsid w:val="0ED2632B"/>
    <w:rsid w:val="0F122F26"/>
    <w:rsid w:val="0F7E6199"/>
    <w:rsid w:val="0FE74D1C"/>
    <w:rsid w:val="0FF94B3D"/>
    <w:rsid w:val="10452B67"/>
    <w:rsid w:val="109F080C"/>
    <w:rsid w:val="11E77423"/>
    <w:rsid w:val="121665CB"/>
    <w:rsid w:val="121F1572"/>
    <w:rsid w:val="12704EB7"/>
    <w:rsid w:val="12EC03CE"/>
    <w:rsid w:val="12FA02EB"/>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9C21C4E"/>
    <w:rsid w:val="1AA22976"/>
    <w:rsid w:val="1BC0155F"/>
    <w:rsid w:val="1C626BB2"/>
    <w:rsid w:val="1CBF0303"/>
    <w:rsid w:val="1CC61F19"/>
    <w:rsid w:val="1D465475"/>
    <w:rsid w:val="1E1F7201"/>
    <w:rsid w:val="1EF1268E"/>
    <w:rsid w:val="1F0A1E8D"/>
    <w:rsid w:val="1F162724"/>
    <w:rsid w:val="1F4F69F4"/>
    <w:rsid w:val="2012057A"/>
    <w:rsid w:val="201C7B31"/>
    <w:rsid w:val="203F2146"/>
    <w:rsid w:val="20AA0083"/>
    <w:rsid w:val="20ED3C16"/>
    <w:rsid w:val="21492AD8"/>
    <w:rsid w:val="217E3C1D"/>
    <w:rsid w:val="223A2AB8"/>
    <w:rsid w:val="224700DF"/>
    <w:rsid w:val="234C750E"/>
    <w:rsid w:val="23FA686C"/>
    <w:rsid w:val="24AA5BCC"/>
    <w:rsid w:val="25593775"/>
    <w:rsid w:val="255B67E8"/>
    <w:rsid w:val="256E6469"/>
    <w:rsid w:val="25D20519"/>
    <w:rsid w:val="26B8513F"/>
    <w:rsid w:val="277E06D7"/>
    <w:rsid w:val="27AC425F"/>
    <w:rsid w:val="28032FE3"/>
    <w:rsid w:val="285D5E3E"/>
    <w:rsid w:val="28AF41A0"/>
    <w:rsid w:val="28D80E9E"/>
    <w:rsid w:val="29130DA7"/>
    <w:rsid w:val="29320DF3"/>
    <w:rsid w:val="29E20D6F"/>
    <w:rsid w:val="29E63530"/>
    <w:rsid w:val="2A8138F9"/>
    <w:rsid w:val="2AFA5254"/>
    <w:rsid w:val="2B2C7B14"/>
    <w:rsid w:val="2D1C60BC"/>
    <w:rsid w:val="2D9A1EFD"/>
    <w:rsid w:val="2EB30204"/>
    <w:rsid w:val="2EBE2906"/>
    <w:rsid w:val="2EEF2FD0"/>
    <w:rsid w:val="2F607C49"/>
    <w:rsid w:val="2F7B1BB4"/>
    <w:rsid w:val="2FAF0F3B"/>
    <w:rsid w:val="2FCC2EC1"/>
    <w:rsid w:val="2FD75A57"/>
    <w:rsid w:val="30150257"/>
    <w:rsid w:val="301D6CD5"/>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1B7BD3"/>
    <w:rsid w:val="362A1767"/>
    <w:rsid w:val="368B0847"/>
    <w:rsid w:val="36AD3C21"/>
    <w:rsid w:val="36D706BD"/>
    <w:rsid w:val="36DB71B3"/>
    <w:rsid w:val="36DF4838"/>
    <w:rsid w:val="38357FC3"/>
    <w:rsid w:val="397114CB"/>
    <w:rsid w:val="3A286983"/>
    <w:rsid w:val="3A316D41"/>
    <w:rsid w:val="3A791AB3"/>
    <w:rsid w:val="3A7A6F1E"/>
    <w:rsid w:val="3AE12ADB"/>
    <w:rsid w:val="3B7E607B"/>
    <w:rsid w:val="3B8F4E2E"/>
    <w:rsid w:val="3BC82207"/>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B04BB9"/>
    <w:rsid w:val="42394175"/>
    <w:rsid w:val="423E1A86"/>
    <w:rsid w:val="42910824"/>
    <w:rsid w:val="4412111F"/>
    <w:rsid w:val="45185FC7"/>
    <w:rsid w:val="46932B0C"/>
    <w:rsid w:val="470216C0"/>
    <w:rsid w:val="47C11F07"/>
    <w:rsid w:val="47E83667"/>
    <w:rsid w:val="48BB5360"/>
    <w:rsid w:val="4A007A95"/>
    <w:rsid w:val="4A56355D"/>
    <w:rsid w:val="4A6A77A1"/>
    <w:rsid w:val="4A802F02"/>
    <w:rsid w:val="4B137686"/>
    <w:rsid w:val="4BD239D4"/>
    <w:rsid w:val="4C0323E9"/>
    <w:rsid w:val="4C392F39"/>
    <w:rsid w:val="4C4C1BD8"/>
    <w:rsid w:val="4CF72E0A"/>
    <w:rsid w:val="4CFC26F0"/>
    <w:rsid w:val="4D190A3D"/>
    <w:rsid w:val="4D996193"/>
    <w:rsid w:val="4D9B5E2B"/>
    <w:rsid w:val="4DA62A71"/>
    <w:rsid w:val="4E2813A3"/>
    <w:rsid w:val="4E3623E0"/>
    <w:rsid w:val="4E590CD0"/>
    <w:rsid w:val="4E874BF9"/>
    <w:rsid w:val="4E9D58F0"/>
    <w:rsid w:val="4F4966DE"/>
    <w:rsid w:val="507833DA"/>
    <w:rsid w:val="50972888"/>
    <w:rsid w:val="513371C0"/>
    <w:rsid w:val="518E7928"/>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CE03B2"/>
    <w:rsid w:val="5AFA0CD5"/>
    <w:rsid w:val="5BAA29AB"/>
    <w:rsid w:val="5BBC3082"/>
    <w:rsid w:val="5BF04E33"/>
    <w:rsid w:val="5C480086"/>
    <w:rsid w:val="5C8A42C3"/>
    <w:rsid w:val="5E2814C4"/>
    <w:rsid w:val="5E2C75D3"/>
    <w:rsid w:val="5E5C1146"/>
    <w:rsid w:val="5E9C5841"/>
    <w:rsid w:val="5ECC6D02"/>
    <w:rsid w:val="5F0D2C6F"/>
    <w:rsid w:val="601F3F87"/>
    <w:rsid w:val="607D6651"/>
    <w:rsid w:val="60BD1FFE"/>
    <w:rsid w:val="61170B58"/>
    <w:rsid w:val="611A0EA3"/>
    <w:rsid w:val="61E70C8F"/>
    <w:rsid w:val="61ED4AF3"/>
    <w:rsid w:val="627C6782"/>
    <w:rsid w:val="62EA0127"/>
    <w:rsid w:val="63012C54"/>
    <w:rsid w:val="63E112D8"/>
    <w:rsid w:val="6428491B"/>
    <w:rsid w:val="64962DC2"/>
    <w:rsid w:val="66950943"/>
    <w:rsid w:val="66FC41BD"/>
    <w:rsid w:val="672E1E7F"/>
    <w:rsid w:val="67401C19"/>
    <w:rsid w:val="682979C4"/>
    <w:rsid w:val="68877B1A"/>
    <w:rsid w:val="6A035AFF"/>
    <w:rsid w:val="6A914A15"/>
    <w:rsid w:val="6AAB5773"/>
    <w:rsid w:val="6AD81AFC"/>
    <w:rsid w:val="6B0242A5"/>
    <w:rsid w:val="6B1E4448"/>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701C6432"/>
    <w:rsid w:val="70EC1A31"/>
    <w:rsid w:val="713969F4"/>
    <w:rsid w:val="7195640E"/>
    <w:rsid w:val="71BB1561"/>
    <w:rsid w:val="7253624D"/>
    <w:rsid w:val="72C548FE"/>
    <w:rsid w:val="72C94904"/>
    <w:rsid w:val="72CE7DF1"/>
    <w:rsid w:val="738C49D4"/>
    <w:rsid w:val="7417297B"/>
    <w:rsid w:val="744E387C"/>
    <w:rsid w:val="7469576C"/>
    <w:rsid w:val="748266FC"/>
    <w:rsid w:val="74B23165"/>
    <w:rsid w:val="75145452"/>
    <w:rsid w:val="75BB0C3B"/>
    <w:rsid w:val="75C75B19"/>
    <w:rsid w:val="7630676D"/>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0092F"/>
    <w:rsid w:val="7A2E539A"/>
    <w:rsid w:val="7A392143"/>
    <w:rsid w:val="7A447B8D"/>
    <w:rsid w:val="7A940E65"/>
    <w:rsid w:val="7AE07CFD"/>
    <w:rsid w:val="7AF228C3"/>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link w:val="35"/>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9"/>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2"/>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4"/>
    <w:autoRedefine/>
    <w:semiHidden/>
    <w:qFormat/>
    <w:uiPriority w:val="99"/>
    <w:rPr>
      <w:sz w:val="18"/>
      <w:szCs w:val="18"/>
    </w:rPr>
  </w:style>
  <w:style w:type="character" w:customStyle="1" w:styleId="33">
    <w:name w:val="页脚 Char"/>
    <w:basedOn w:val="24"/>
    <w:link w:val="13"/>
    <w:autoRedefine/>
    <w:semiHidden/>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9"/>
    <w:autoRedefine/>
    <w:qFormat/>
    <w:uiPriority w:val="99"/>
    <w:rPr>
      <w:rFonts w:ascii="Times New Roman" w:hAnsi="Times New Roman" w:eastAsia="宋体" w:cs="Times New Roman"/>
      <w:szCs w:val="24"/>
    </w:rPr>
  </w:style>
  <w:style w:type="character" w:customStyle="1" w:styleId="36">
    <w:name w:val="批注框文本 Char"/>
    <w:basedOn w:val="24"/>
    <w:link w:val="12"/>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 w:type="paragraph" w:customStyle="1" w:styleId="59">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35578</Words>
  <Characters>37438</Characters>
  <Lines>1</Lines>
  <Paragraphs>1</Paragraphs>
  <TotalTime>12</TotalTime>
  <ScaleCrop>false</ScaleCrop>
  <LinksUpToDate>false</LinksUpToDate>
  <CharactersWithSpaces>38195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2025-07-04T03:23:45Z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A45DA6D248AA42BDAAF4107BFAB85240_13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