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9F8E1FD">
      <w:pPr>
        <w:rPr>
          <w:rFonts w:hint="eastAsia" w:ascii="宋体" w:hAnsi="宋体" w:eastAsia="宋体" w:cs="宋体"/>
          <w:color w:val="auto"/>
          <w:highlight w:val="none"/>
        </w:rPr>
      </w:pPr>
    </w:p>
    <w:p w14:paraId="4C79D138">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4"/>
                    <a:stretch>
                      <a:fillRect/>
                    </a:stretch>
                  </pic:blipFill>
                  <pic:spPr>
                    <a:xfrm>
                      <a:off x="0" y="0"/>
                      <a:ext cx="5268595" cy="2705100"/>
                    </a:xfrm>
                    <a:prstGeom prst="rect">
                      <a:avLst/>
                    </a:prstGeom>
                    <a:noFill/>
                    <a:ln>
                      <a:noFill/>
                    </a:ln>
                  </pic:spPr>
                </pic:pic>
              </a:graphicData>
            </a:graphic>
          </wp:inline>
        </w:drawing>
      </w:r>
    </w:p>
    <w:p w14:paraId="45D280F2">
      <w:pPr>
        <w:pStyle w:val="7"/>
        <w:jc w:val="center"/>
        <w:rPr>
          <w:rFonts w:hint="eastAsia" w:ascii="宋体" w:hAnsi="宋体" w:eastAsia="宋体" w:cs="宋体"/>
          <w:color w:val="auto"/>
          <w:highlight w:val="none"/>
        </w:rPr>
      </w:pPr>
    </w:p>
    <w:p w14:paraId="23F156E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招标文件</w:t>
      </w:r>
    </w:p>
    <w:p w14:paraId="728E6815">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zjhy2025-tz21</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 xml:space="preserve"> </w:t>
      </w:r>
    </w:p>
    <w:p w14:paraId="6F0E0AAF">
      <w:pPr>
        <w:pStyle w:val="7"/>
        <w:jc w:val="center"/>
        <w:rPr>
          <w:rFonts w:hint="eastAsia" w:ascii="宋体" w:hAnsi="宋体" w:eastAsia="宋体" w:cs="宋体"/>
          <w:color w:val="auto"/>
          <w:highlight w:val="none"/>
        </w:rPr>
      </w:pPr>
    </w:p>
    <w:p w14:paraId="77A89FA6">
      <w:pPr>
        <w:pStyle w:val="7"/>
        <w:jc w:val="both"/>
        <w:rPr>
          <w:rFonts w:hint="eastAsia" w:ascii="宋体" w:hAnsi="宋体" w:eastAsia="宋体" w:cs="宋体"/>
          <w:color w:val="auto"/>
          <w:highlight w:val="none"/>
        </w:rPr>
      </w:pPr>
    </w:p>
    <w:p w14:paraId="3CB83312">
      <w:pPr>
        <w:pStyle w:val="7"/>
        <w:jc w:val="center"/>
        <w:rPr>
          <w:rFonts w:hint="eastAsia" w:ascii="宋体" w:hAnsi="宋体" w:eastAsia="宋体" w:cs="宋体"/>
          <w:color w:val="auto"/>
          <w:highlight w:val="none"/>
        </w:rPr>
      </w:pPr>
    </w:p>
    <w:p w14:paraId="4A7D03FC">
      <w:pPr>
        <w:spacing w:line="360" w:lineRule="auto"/>
        <w:jc w:val="center"/>
        <w:rPr>
          <w:rFonts w:hint="eastAsia" w:ascii="宋体" w:hAnsi="宋体" w:eastAsia="宋体" w:cs="宋体"/>
          <w:b/>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云计算赛教资源包建设项目</w:t>
      </w:r>
    </w:p>
    <w:p w14:paraId="0A475840">
      <w:pPr>
        <w:pStyle w:val="7"/>
        <w:jc w:val="center"/>
        <w:rPr>
          <w:rFonts w:hint="eastAsia" w:ascii="宋体" w:hAnsi="宋体" w:eastAsia="宋体" w:cs="宋体"/>
          <w:color w:val="auto"/>
          <w:highlight w:val="none"/>
        </w:rPr>
      </w:pPr>
    </w:p>
    <w:p w14:paraId="45DB1AAF">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台州技师学院</w:t>
      </w:r>
    </w:p>
    <w:p w14:paraId="7E53B7C4">
      <w:pPr>
        <w:pStyle w:val="7"/>
        <w:rPr>
          <w:rFonts w:hint="eastAsia" w:ascii="宋体" w:hAnsi="宋体" w:eastAsia="宋体" w:cs="宋体"/>
          <w:color w:val="auto"/>
          <w:highlight w:val="none"/>
        </w:rPr>
      </w:pPr>
    </w:p>
    <w:p w14:paraId="27D6C66B">
      <w:pPr>
        <w:pStyle w:val="7"/>
        <w:rPr>
          <w:rFonts w:hint="eastAsia" w:ascii="宋体" w:hAnsi="宋体" w:eastAsia="宋体" w:cs="宋体"/>
          <w:color w:val="auto"/>
          <w:highlight w:val="none"/>
        </w:rPr>
      </w:pPr>
    </w:p>
    <w:p w14:paraId="29B34FC4">
      <w:pPr>
        <w:pStyle w:val="7"/>
        <w:rPr>
          <w:rFonts w:hint="eastAsia" w:ascii="宋体" w:hAnsi="宋体" w:eastAsia="宋体" w:cs="宋体"/>
          <w:color w:val="auto"/>
          <w:highlight w:val="none"/>
        </w:rPr>
      </w:pPr>
    </w:p>
    <w:p w14:paraId="2A47147A">
      <w:pPr>
        <w:pStyle w:val="7"/>
        <w:rPr>
          <w:rFonts w:hint="eastAsia" w:ascii="宋体" w:hAnsi="宋体" w:eastAsia="宋体" w:cs="宋体"/>
          <w:color w:val="auto"/>
          <w:highlight w:val="none"/>
        </w:rPr>
      </w:pPr>
    </w:p>
    <w:p w14:paraId="4945B482">
      <w:pPr>
        <w:spacing w:line="360" w:lineRule="auto"/>
        <w:ind w:firstLine="1687" w:firstLineChars="6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536DF447">
      <w:pPr>
        <w:pStyle w:val="7"/>
        <w:rPr>
          <w:rFonts w:hint="eastAsia" w:ascii="宋体" w:hAnsi="宋体" w:eastAsia="宋体" w:cs="宋体"/>
          <w:color w:val="auto"/>
          <w:highlight w:val="none"/>
        </w:rPr>
      </w:pPr>
    </w:p>
    <w:p w14:paraId="46935723">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311F1152">
      <w:pPr>
        <w:pStyle w:val="7"/>
        <w:jc w:val="both"/>
        <w:rPr>
          <w:rFonts w:hint="eastAsia" w:ascii="宋体" w:hAnsi="宋体" w:eastAsia="宋体" w:cs="宋体"/>
          <w:color w:val="auto"/>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43D96A48">
      <w:pPr>
        <w:pStyle w:val="7"/>
        <w:jc w:val="both"/>
        <w:rPr>
          <w:rFonts w:hint="eastAsia" w:ascii="宋体" w:hAnsi="宋体" w:eastAsia="宋体" w:cs="宋体"/>
          <w:color w:val="auto"/>
          <w:highlight w:val="none"/>
        </w:rPr>
      </w:pPr>
    </w:p>
    <w:p w14:paraId="1ECE67D1">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7B4BBB03">
      <w:pPr>
        <w:spacing w:line="360" w:lineRule="auto"/>
        <w:rPr>
          <w:rFonts w:hint="eastAsia" w:ascii="宋体" w:hAnsi="宋体" w:eastAsia="宋体" w:cs="宋体"/>
          <w:color w:val="auto"/>
          <w:sz w:val="28"/>
          <w:szCs w:val="28"/>
          <w:highlight w:val="none"/>
        </w:rPr>
      </w:pPr>
    </w:p>
    <w:p w14:paraId="42B3038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4D8AA27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C83B93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06AC45E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28DB28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合同主要条款</w:t>
      </w:r>
    </w:p>
    <w:p w14:paraId="2638342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1F81D51E">
      <w:pPr>
        <w:pStyle w:val="7"/>
        <w:jc w:val="center"/>
        <w:rPr>
          <w:rFonts w:hint="eastAsia" w:ascii="宋体" w:hAnsi="宋体" w:eastAsia="宋体" w:cs="宋体"/>
          <w:color w:val="auto"/>
          <w:highlight w:val="none"/>
        </w:rPr>
      </w:pPr>
    </w:p>
    <w:p w14:paraId="0970017B">
      <w:pPr>
        <w:pStyle w:val="7"/>
        <w:jc w:val="center"/>
        <w:rPr>
          <w:rFonts w:hint="eastAsia" w:ascii="宋体" w:hAnsi="宋体" w:eastAsia="宋体" w:cs="宋体"/>
          <w:color w:val="auto"/>
          <w:highlight w:val="none"/>
        </w:rPr>
      </w:pPr>
    </w:p>
    <w:p w14:paraId="49F2C764">
      <w:pPr>
        <w:pStyle w:val="7"/>
        <w:jc w:val="center"/>
        <w:rPr>
          <w:rFonts w:hint="eastAsia" w:ascii="宋体" w:hAnsi="宋体" w:eastAsia="宋体" w:cs="宋体"/>
          <w:color w:val="auto"/>
          <w:highlight w:val="none"/>
        </w:rPr>
      </w:pPr>
    </w:p>
    <w:p w14:paraId="5E7CC517">
      <w:pPr>
        <w:pStyle w:val="7"/>
        <w:jc w:val="center"/>
        <w:rPr>
          <w:rFonts w:hint="eastAsia" w:ascii="宋体" w:hAnsi="宋体" w:eastAsia="宋体" w:cs="宋体"/>
          <w:color w:val="auto"/>
          <w:highlight w:val="none"/>
        </w:rPr>
      </w:pPr>
    </w:p>
    <w:p w14:paraId="4A797E8F">
      <w:pPr>
        <w:pStyle w:val="7"/>
        <w:jc w:val="center"/>
        <w:rPr>
          <w:rFonts w:hint="eastAsia" w:ascii="宋体" w:hAnsi="宋体" w:eastAsia="宋体" w:cs="宋体"/>
          <w:color w:val="auto"/>
          <w:highlight w:val="none"/>
        </w:rPr>
      </w:pPr>
    </w:p>
    <w:p w14:paraId="04093DF8">
      <w:pPr>
        <w:pStyle w:val="7"/>
        <w:jc w:val="center"/>
        <w:rPr>
          <w:rFonts w:hint="eastAsia" w:ascii="宋体" w:hAnsi="宋体" w:eastAsia="宋体" w:cs="宋体"/>
          <w:color w:val="auto"/>
          <w:highlight w:val="none"/>
        </w:rPr>
      </w:pPr>
    </w:p>
    <w:p w14:paraId="57B7FA2A">
      <w:pPr>
        <w:pStyle w:val="7"/>
        <w:jc w:val="center"/>
        <w:rPr>
          <w:rFonts w:hint="eastAsia" w:ascii="宋体" w:hAnsi="宋体" w:eastAsia="宋体" w:cs="宋体"/>
          <w:color w:val="auto"/>
          <w:highlight w:val="none"/>
        </w:rPr>
      </w:pPr>
    </w:p>
    <w:p w14:paraId="1E8B160C">
      <w:pPr>
        <w:pStyle w:val="7"/>
        <w:jc w:val="center"/>
        <w:rPr>
          <w:rFonts w:hint="eastAsia" w:ascii="宋体" w:hAnsi="宋体" w:eastAsia="宋体" w:cs="宋体"/>
          <w:color w:val="auto"/>
          <w:highlight w:val="none"/>
        </w:rPr>
      </w:pPr>
    </w:p>
    <w:p w14:paraId="5CB1EFC7">
      <w:pPr>
        <w:pStyle w:val="7"/>
        <w:jc w:val="center"/>
        <w:rPr>
          <w:rFonts w:hint="eastAsia" w:ascii="宋体" w:hAnsi="宋体" w:eastAsia="宋体" w:cs="宋体"/>
          <w:color w:val="auto"/>
          <w:highlight w:val="none"/>
        </w:rPr>
      </w:pPr>
    </w:p>
    <w:p w14:paraId="1DAF13F5">
      <w:pPr>
        <w:pStyle w:val="7"/>
        <w:jc w:val="center"/>
        <w:rPr>
          <w:rFonts w:hint="eastAsia" w:ascii="宋体" w:hAnsi="宋体" w:eastAsia="宋体" w:cs="宋体"/>
          <w:color w:val="auto"/>
          <w:highlight w:val="none"/>
        </w:rPr>
      </w:pPr>
    </w:p>
    <w:p w14:paraId="7F25BAD6">
      <w:pPr>
        <w:pStyle w:val="7"/>
        <w:jc w:val="center"/>
        <w:rPr>
          <w:rFonts w:hint="eastAsia" w:ascii="宋体" w:hAnsi="宋体" w:eastAsia="宋体" w:cs="宋体"/>
          <w:color w:val="auto"/>
          <w:highlight w:val="none"/>
        </w:rPr>
      </w:pPr>
    </w:p>
    <w:p w14:paraId="5D555613">
      <w:pPr>
        <w:pStyle w:val="7"/>
        <w:jc w:val="center"/>
        <w:rPr>
          <w:rFonts w:hint="eastAsia" w:ascii="宋体" w:hAnsi="宋体" w:eastAsia="宋体" w:cs="宋体"/>
          <w:color w:val="auto"/>
          <w:highlight w:val="none"/>
        </w:rPr>
      </w:pPr>
    </w:p>
    <w:p w14:paraId="49362B61">
      <w:pPr>
        <w:pStyle w:val="7"/>
        <w:jc w:val="center"/>
        <w:rPr>
          <w:rFonts w:hint="eastAsia" w:ascii="宋体" w:hAnsi="宋体" w:eastAsia="宋体" w:cs="宋体"/>
          <w:color w:val="auto"/>
          <w:highlight w:val="none"/>
        </w:rPr>
      </w:pPr>
    </w:p>
    <w:p w14:paraId="5589A69C">
      <w:pPr>
        <w:pStyle w:val="7"/>
        <w:jc w:val="center"/>
        <w:rPr>
          <w:rFonts w:hint="eastAsia" w:ascii="宋体" w:hAnsi="宋体" w:eastAsia="宋体" w:cs="宋体"/>
          <w:color w:val="auto"/>
          <w:highlight w:val="none"/>
        </w:rPr>
      </w:pPr>
    </w:p>
    <w:p w14:paraId="035FBAA5">
      <w:pPr>
        <w:pStyle w:val="7"/>
        <w:jc w:val="center"/>
        <w:rPr>
          <w:rFonts w:hint="eastAsia" w:ascii="宋体" w:hAnsi="宋体" w:eastAsia="宋体" w:cs="宋体"/>
          <w:color w:val="auto"/>
          <w:highlight w:val="none"/>
        </w:rPr>
      </w:pPr>
    </w:p>
    <w:p w14:paraId="2DE5A191">
      <w:pPr>
        <w:pStyle w:val="7"/>
        <w:jc w:val="center"/>
        <w:rPr>
          <w:rFonts w:hint="eastAsia" w:ascii="宋体" w:hAnsi="宋体" w:eastAsia="宋体" w:cs="宋体"/>
          <w:color w:val="auto"/>
          <w:highlight w:val="none"/>
        </w:rPr>
      </w:pPr>
    </w:p>
    <w:p w14:paraId="516C865E">
      <w:pPr>
        <w:pStyle w:val="7"/>
        <w:jc w:val="center"/>
        <w:rPr>
          <w:rFonts w:hint="eastAsia" w:ascii="宋体" w:hAnsi="宋体" w:eastAsia="宋体" w:cs="宋体"/>
          <w:color w:val="auto"/>
          <w:highlight w:val="none"/>
        </w:rPr>
      </w:pPr>
    </w:p>
    <w:p w14:paraId="15DBDFBD">
      <w:pPr>
        <w:pStyle w:val="7"/>
        <w:jc w:val="center"/>
        <w:rPr>
          <w:rFonts w:hint="eastAsia" w:ascii="宋体" w:hAnsi="宋体" w:eastAsia="宋体" w:cs="宋体"/>
          <w:color w:val="auto"/>
          <w:highlight w:val="none"/>
        </w:rPr>
      </w:pPr>
    </w:p>
    <w:p w14:paraId="61104EDC">
      <w:pPr>
        <w:pStyle w:val="7"/>
        <w:jc w:val="both"/>
        <w:rPr>
          <w:rFonts w:hint="eastAsia" w:ascii="宋体" w:hAnsi="宋体" w:eastAsia="宋体" w:cs="宋体"/>
          <w:color w:val="auto"/>
          <w:highlight w:val="none"/>
        </w:rPr>
      </w:pPr>
    </w:p>
    <w:p w14:paraId="5D0277ED">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sectPr>
          <w:footerReference r:id="rId5"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4DD00496">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46CCD680">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台州技师学院</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云计算赛教资源包建设项目</w:t>
      </w:r>
      <w:r>
        <w:rPr>
          <w:rFonts w:hint="eastAsia" w:ascii="宋体" w:hAnsi="宋体" w:eastAsia="宋体" w:cs="宋体"/>
          <w:color w:val="auto"/>
          <w:sz w:val="21"/>
          <w:szCs w:val="21"/>
          <w:highlight w:val="none"/>
        </w:rPr>
        <w:t>进行公开招标采购，欢迎合格供应商前来投标。</w:t>
      </w:r>
    </w:p>
    <w:p w14:paraId="3CFDBF2C">
      <w:pPr>
        <w:keepNext w:val="0"/>
        <w:keepLines w:val="0"/>
        <w:pageBreakBefore w:val="0"/>
        <w:kinsoku/>
        <w:wordWrap/>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zjhy2025-tz21</w:t>
      </w:r>
      <w:r>
        <w:rPr>
          <w:rFonts w:hint="eastAsia" w:ascii="宋体" w:hAnsi="宋体" w:eastAsia="宋体" w:cs="宋体"/>
          <w:b/>
          <w:bCs/>
          <w:color w:val="auto"/>
          <w:sz w:val="21"/>
          <w:szCs w:val="21"/>
          <w:highlight w:val="none"/>
          <w:lang w:val="en-US" w:eastAsia="zh-CN"/>
        </w:rPr>
        <w:t xml:space="preserve"> </w:t>
      </w:r>
    </w:p>
    <w:p w14:paraId="4D312CE9">
      <w:pPr>
        <w:keepNext w:val="0"/>
        <w:keepLines w:val="0"/>
        <w:pageBreakBefore w:val="0"/>
        <w:kinsoku/>
        <w:wordWrap/>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840"/>
        <w:gridCol w:w="1508"/>
        <w:gridCol w:w="958"/>
        <w:gridCol w:w="895"/>
        <w:gridCol w:w="1279"/>
        <w:gridCol w:w="1279"/>
      </w:tblGrid>
      <w:tr w14:paraId="4D69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7" w:type="dxa"/>
            <w:vAlign w:val="center"/>
          </w:tcPr>
          <w:p w14:paraId="176CA952">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840" w:type="dxa"/>
            <w:vAlign w:val="center"/>
          </w:tcPr>
          <w:p w14:paraId="0D348B57">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08" w:type="dxa"/>
            <w:vAlign w:val="center"/>
          </w:tcPr>
          <w:p w14:paraId="1460F045">
            <w:pPr>
              <w:keepNext w:val="0"/>
              <w:keepLines w:val="0"/>
              <w:pageBreakBefore w:val="0"/>
              <w:tabs>
                <w:tab w:val="left" w:pos="8280"/>
              </w:tabs>
              <w:kinsoku/>
              <w:wordWrap/>
              <w:topLinePunct w:val="0"/>
              <w:autoSpaceDE w:val="0"/>
              <w:autoSpaceDN w:val="0"/>
              <w:bidi w:val="0"/>
              <w:adjustRightInd w:val="0"/>
              <w:spacing w:line="240" w:lineRule="auto"/>
              <w:ind w:right="25"/>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58" w:type="dxa"/>
            <w:vAlign w:val="center"/>
          </w:tcPr>
          <w:p w14:paraId="4206506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95" w:type="dxa"/>
            <w:vAlign w:val="center"/>
          </w:tcPr>
          <w:p w14:paraId="1E3E15E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79" w:type="dxa"/>
            <w:vAlign w:val="center"/>
          </w:tcPr>
          <w:p w14:paraId="013E3B7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62AAED3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79" w:type="dxa"/>
            <w:vAlign w:val="center"/>
          </w:tcPr>
          <w:p w14:paraId="027A4B4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B80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17" w:type="dxa"/>
            <w:vAlign w:val="center"/>
          </w:tcPr>
          <w:p w14:paraId="0E08F4C8">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40" w:type="dxa"/>
            <w:vAlign w:val="center"/>
          </w:tcPr>
          <w:p w14:paraId="3ECE5212">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云计算赛教资源包建设项目</w:t>
            </w:r>
          </w:p>
        </w:tc>
        <w:tc>
          <w:tcPr>
            <w:tcW w:w="1508" w:type="dxa"/>
            <w:vAlign w:val="center"/>
          </w:tcPr>
          <w:p w14:paraId="48B4EDED">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详见项目需求</w:t>
            </w:r>
          </w:p>
        </w:tc>
        <w:tc>
          <w:tcPr>
            <w:tcW w:w="958" w:type="dxa"/>
            <w:vAlign w:val="center"/>
          </w:tcPr>
          <w:p w14:paraId="205097EE">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5" w:type="dxa"/>
            <w:vAlign w:val="center"/>
          </w:tcPr>
          <w:p w14:paraId="24377F8B">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1279" w:type="dxa"/>
            <w:vAlign w:val="center"/>
          </w:tcPr>
          <w:p w14:paraId="3AEEF1EC">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w:t>
            </w:r>
          </w:p>
        </w:tc>
        <w:tc>
          <w:tcPr>
            <w:tcW w:w="1279" w:type="dxa"/>
            <w:vAlign w:val="center"/>
          </w:tcPr>
          <w:p w14:paraId="197E0FDA">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p>
        </w:tc>
      </w:tr>
    </w:tbl>
    <w:p w14:paraId="3242C57C">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03D6A7C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p>
    <w:p w14:paraId="21B64164">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6E7B946A">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本项目不接受联合体投标。</w:t>
      </w:r>
    </w:p>
    <w:p w14:paraId="36FECE6D">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四、招标文件的发售：</w:t>
      </w:r>
    </w:p>
    <w:p w14:paraId="212000ED">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eastAsia="宋体" w:cs="宋体"/>
          <w:color w:val="auto"/>
          <w:sz w:val="21"/>
          <w:szCs w:val="21"/>
          <w:highlight w:val="none"/>
          <w:lang w:eastAsia="zh-CN"/>
        </w:rPr>
        <w:t>2025年  月  日至2025年  月  日</w:t>
      </w:r>
      <w:r>
        <w:rPr>
          <w:rFonts w:hint="eastAsia" w:ascii="宋体" w:hAnsi="宋体" w:eastAsia="宋体" w:cs="宋体"/>
          <w:color w:val="auto"/>
          <w:sz w:val="21"/>
          <w:szCs w:val="21"/>
          <w:highlight w:val="none"/>
        </w:rPr>
        <w:t>(双休日及法定节假日除外，每日上午9：30—11：30，13：30—16：30，北京时间)</w:t>
      </w:r>
    </w:p>
    <w:p w14:paraId="0317BBB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台州市椒江区中环世纪中心6幢8楼</w:t>
      </w:r>
      <w:r>
        <w:rPr>
          <w:rFonts w:hint="eastAsia" w:ascii="宋体" w:hAnsi="宋体" w:eastAsia="宋体" w:cs="宋体"/>
          <w:color w:val="auto"/>
          <w:sz w:val="21"/>
          <w:szCs w:val="21"/>
          <w:highlight w:val="none"/>
        </w:rPr>
        <w:t>。</w:t>
      </w:r>
    </w:p>
    <w:p w14:paraId="322E6DA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宋体" w:hAnsi="宋体" w:eastAsia="宋体" w:cs="宋体"/>
          <w:color w:val="auto"/>
          <w:sz w:val="21"/>
          <w:szCs w:val="21"/>
          <w:highlight w:val="none"/>
          <w:lang w:val="en-US" w:eastAsia="zh-CN"/>
        </w:rPr>
        <w:t>0元。</w:t>
      </w:r>
    </w:p>
    <w:p w14:paraId="77EA746A">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购买标书时必须提交的资料：</w:t>
      </w:r>
    </w:p>
    <w:p w14:paraId="1FB11EC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3417F37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837168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报名人有效身份证件(复印件加盖公章)；</w:t>
      </w:r>
    </w:p>
    <w:p w14:paraId="313A73E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5426E881">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14856FA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1B44C814">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六、投标截止及开标时间、地点：</w:t>
      </w:r>
    </w:p>
    <w:p w14:paraId="1D99D636">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本次招标将于</w:t>
      </w:r>
      <w:r>
        <w:rPr>
          <w:rFonts w:hint="eastAsia" w:ascii="宋体" w:hAnsi="宋体" w:eastAsia="宋体" w:cs="宋体"/>
          <w:color w:val="auto"/>
          <w:sz w:val="21"/>
          <w:szCs w:val="21"/>
          <w:highlight w:val="none"/>
          <w:lang w:eastAsia="zh-CN"/>
        </w:rPr>
        <w:t>2025年  月  日14:30整</w:t>
      </w:r>
      <w:r>
        <w:rPr>
          <w:rFonts w:hint="eastAsia" w:ascii="宋体" w:hAnsi="宋体" w:eastAsia="宋体" w:cs="宋体"/>
          <w:color w:val="auto"/>
          <w:sz w:val="21"/>
          <w:szCs w:val="21"/>
          <w:highlight w:val="none"/>
        </w:rPr>
        <w:t>在</w:t>
      </w:r>
      <w:r>
        <w:rPr>
          <w:rFonts w:hint="eastAsia" w:ascii="宋体" w:hAnsi="宋体" w:eastAsia="宋体" w:cs="宋体"/>
          <w:b w:val="0"/>
          <w:bCs w:val="0"/>
          <w:color w:val="auto"/>
          <w:highlight w:val="none"/>
        </w:rPr>
        <w:t>台州市椒江区中环世纪6幢8</w:t>
      </w:r>
      <w:r>
        <w:rPr>
          <w:rFonts w:hint="eastAsia" w:ascii="宋体" w:hAnsi="宋体" w:eastAsia="宋体" w:cs="宋体"/>
          <w:b w:val="0"/>
          <w:bCs w:val="0"/>
          <w:color w:val="auto"/>
          <w:highlight w:val="none"/>
          <w:lang w:val="en-US" w:eastAsia="zh-CN"/>
        </w:rPr>
        <w:t>楼</w:t>
      </w:r>
      <w:r>
        <w:rPr>
          <w:rFonts w:hint="eastAsia" w:ascii="宋体" w:hAnsi="宋体" w:eastAsia="宋体" w:cs="宋体"/>
          <w:color w:val="auto"/>
          <w:sz w:val="21"/>
          <w:szCs w:val="21"/>
          <w:highlight w:val="none"/>
        </w:rPr>
        <w:t>开标</w:t>
      </w:r>
      <w:r>
        <w:rPr>
          <w:rFonts w:hint="eastAsia" w:ascii="宋体" w:hAnsi="宋体" w:eastAsia="宋体" w:cs="宋体"/>
          <w:color w:val="auto"/>
          <w:sz w:val="21"/>
          <w:szCs w:val="21"/>
          <w:highlight w:val="none"/>
        </w:rPr>
        <w:t>。</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4E092A74">
      <w:pPr>
        <w:pStyle w:val="12"/>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、本项目需要投标人将投标文件在投标截止时间前按要求密封并顺丰邮寄到台州市椒江区中环世纪6幢8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1DC69E87">
      <w:pPr>
        <w:pStyle w:val="12"/>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投标保证金：</w:t>
      </w:r>
    </w:p>
    <w:p w14:paraId="02AA9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79FF8DFF">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664ADBF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者采购文件公告期限届满之日（公告发布后的第6个工作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0D654C9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3"/>
          <w:rFonts w:hint="eastAsia" w:ascii="宋体" w:hAnsi="宋体" w:eastAsia="宋体" w:cs="宋体"/>
          <w:color w:val="auto"/>
          <w:sz w:val="21"/>
          <w:szCs w:val="21"/>
          <w:highlight w:val="none"/>
        </w:rPr>
        <w:t>www.zjzfcg.gov.cn）。</w:t>
      </w:r>
      <w:r>
        <w:rPr>
          <w:rStyle w:val="23"/>
          <w:rFonts w:hint="eastAsia" w:ascii="宋体" w:hAnsi="宋体" w:eastAsia="宋体" w:cs="宋体"/>
          <w:color w:val="auto"/>
          <w:sz w:val="21"/>
          <w:szCs w:val="21"/>
          <w:highlight w:val="none"/>
        </w:rPr>
        <w:fldChar w:fldCharType="end"/>
      </w:r>
    </w:p>
    <w:p w14:paraId="2601C48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3DFC0A8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280E599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F08FBC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陈女士</w:t>
      </w:r>
    </w:p>
    <w:p w14:paraId="0B36070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5E829E0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798998A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42E5F3D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3CD74829">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45BF3F5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台州技师学院</w:t>
      </w:r>
    </w:p>
    <w:p w14:paraId="5D7BEDE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联系人：</w:t>
      </w:r>
      <w:r>
        <w:rPr>
          <w:rFonts w:hint="eastAsia" w:ascii="宋体" w:hAnsi="宋体" w:eastAsia="宋体" w:cs="宋体"/>
          <w:color w:val="auto"/>
          <w:sz w:val="21"/>
          <w:szCs w:val="21"/>
          <w:highlight w:val="none"/>
          <w:shd w:val="clear" w:color="auto" w:fill="auto"/>
          <w:lang w:val="en-US" w:eastAsia="zh-CN"/>
        </w:rPr>
        <w:t>陈老师</w:t>
      </w:r>
      <w:r>
        <w:rPr>
          <w:rFonts w:hint="eastAsia" w:ascii="宋体" w:hAnsi="宋体" w:eastAsia="宋体" w:cs="宋体"/>
          <w:color w:val="auto"/>
          <w:sz w:val="21"/>
          <w:szCs w:val="21"/>
          <w:highlight w:val="none"/>
          <w:shd w:val="clear" w:color="auto" w:fill="auto"/>
          <w:lang w:eastAsia="zh-CN"/>
        </w:rPr>
        <w:t xml:space="preserve">   </w:t>
      </w:r>
    </w:p>
    <w:p w14:paraId="59BAEEEC">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联系电话：0576-81833033</w:t>
      </w:r>
    </w:p>
    <w:p w14:paraId="05817EA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 xml:space="preserve">台州湾新区聚洋大道1255号 </w:t>
      </w:r>
    </w:p>
    <w:p w14:paraId="38E4A05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同级采购监管机构 </w:t>
      </w:r>
    </w:p>
    <w:p w14:paraId="5D445C1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台州技师学院</w:t>
      </w:r>
    </w:p>
    <w:p w14:paraId="715889F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联系人：</w:t>
      </w:r>
      <w:r>
        <w:rPr>
          <w:rFonts w:hint="eastAsia" w:ascii="宋体" w:hAnsi="宋体" w:eastAsia="宋体" w:cs="宋体"/>
          <w:color w:val="auto"/>
          <w:sz w:val="21"/>
          <w:szCs w:val="21"/>
          <w:highlight w:val="none"/>
          <w:shd w:val="clear" w:color="auto" w:fill="auto"/>
          <w:lang w:val="en-US" w:eastAsia="zh-CN"/>
        </w:rPr>
        <w:t>朱老师</w:t>
      </w:r>
      <w:r>
        <w:rPr>
          <w:rFonts w:hint="eastAsia" w:ascii="宋体" w:hAnsi="宋体" w:eastAsia="宋体" w:cs="宋体"/>
          <w:color w:val="auto"/>
          <w:sz w:val="21"/>
          <w:szCs w:val="21"/>
          <w:highlight w:val="none"/>
          <w:shd w:val="clear" w:color="auto" w:fill="auto"/>
          <w:lang w:eastAsia="zh-CN"/>
        </w:rPr>
        <w:t xml:space="preserve">   </w:t>
      </w:r>
    </w:p>
    <w:p w14:paraId="3437BE5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联系电话：13736525109</w:t>
      </w:r>
    </w:p>
    <w:p w14:paraId="5FF184E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 xml:space="preserve">台州湾新区聚洋大道1255号 </w:t>
      </w:r>
    </w:p>
    <w:p w14:paraId="41691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szCs w:val="21"/>
          <w:highlight w:val="none"/>
        </w:rPr>
        <w:t>http://zfcg.czt.zj.gov.cn</w:t>
      </w:r>
      <w:r>
        <w:rPr>
          <w:rStyle w:val="23"/>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0FB49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53F61F27">
      <w:pPr>
        <w:keepNext w:val="0"/>
        <w:keepLines w:val="0"/>
        <w:pageBreakBefore w:val="0"/>
        <w:kinsoku/>
        <w:wordWrap/>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052AC05C">
      <w:pPr>
        <w:pStyle w:val="7"/>
        <w:keepNext w:val="0"/>
        <w:keepLines w:val="0"/>
        <w:pageBreakBefore w:val="0"/>
        <w:kinsoku/>
        <w:wordWrap/>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二○二五年七月</w:t>
      </w:r>
    </w:p>
    <w:p w14:paraId="73035688">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7D026CB9">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6EEEF434">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表</w:t>
      </w:r>
    </w:p>
    <w:tbl>
      <w:tblPr>
        <w:tblStyle w:val="2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24"/>
        <w:gridCol w:w="6151"/>
      </w:tblGrid>
      <w:tr w14:paraId="105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3" w:type="dxa"/>
            <w:vAlign w:val="center"/>
          </w:tcPr>
          <w:p w14:paraId="1BD1F32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24" w:type="dxa"/>
            <w:vAlign w:val="center"/>
          </w:tcPr>
          <w:p w14:paraId="27B6B47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151" w:type="dxa"/>
            <w:vAlign w:val="center"/>
          </w:tcPr>
          <w:p w14:paraId="4D5D483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5D5B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2C1348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vAlign w:val="center"/>
          </w:tcPr>
          <w:p w14:paraId="45DE51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151" w:type="dxa"/>
            <w:vAlign w:val="center"/>
          </w:tcPr>
          <w:p w14:paraId="09C8C69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4E1D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5DE411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24" w:type="dxa"/>
            <w:vAlign w:val="center"/>
          </w:tcPr>
          <w:p w14:paraId="4CB767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151" w:type="dxa"/>
            <w:vAlign w:val="center"/>
          </w:tcPr>
          <w:p w14:paraId="14FA63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7F18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23" w:type="dxa"/>
            <w:vAlign w:val="center"/>
          </w:tcPr>
          <w:p w14:paraId="244494B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24" w:type="dxa"/>
            <w:vAlign w:val="center"/>
          </w:tcPr>
          <w:p w14:paraId="53D32E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投标文件包装要求</w:t>
            </w:r>
          </w:p>
        </w:tc>
        <w:tc>
          <w:tcPr>
            <w:tcW w:w="6151" w:type="dxa"/>
            <w:vAlign w:val="center"/>
          </w:tcPr>
          <w:p w14:paraId="56399C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投标文件中的报价文件必须与其他文件分开各自密封包装。</w:t>
            </w:r>
          </w:p>
          <w:p w14:paraId="76A158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商务与技术文件正本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份，报价文件正本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p>
        </w:tc>
      </w:tr>
      <w:tr w14:paraId="3F03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560CEC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24" w:type="dxa"/>
            <w:vAlign w:val="center"/>
          </w:tcPr>
          <w:p w14:paraId="4BB4A9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51" w:type="dxa"/>
            <w:vAlign w:val="center"/>
          </w:tcPr>
          <w:p w14:paraId="7190C4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投标有效期为开标后90天，投标有效期从提交投标文件的截止之日起算。</w:t>
            </w:r>
          </w:p>
        </w:tc>
      </w:tr>
      <w:tr w14:paraId="7D7E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23" w:type="dxa"/>
            <w:vAlign w:val="center"/>
          </w:tcPr>
          <w:p w14:paraId="01C2F0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24" w:type="dxa"/>
            <w:vAlign w:val="center"/>
          </w:tcPr>
          <w:p w14:paraId="5BEF3F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tc>
        <w:tc>
          <w:tcPr>
            <w:tcW w:w="6151" w:type="dxa"/>
            <w:vAlign w:val="center"/>
          </w:tcPr>
          <w:p w14:paraId="6722E9E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截止时间：北京时间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w:t>
            </w:r>
          </w:p>
          <w:p w14:paraId="7C343B3B">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highlight w:val="none"/>
              </w:rPr>
              <w:t>本项目需要投标人将投标文件在投标截止时间前按要求密封并顺丰邮寄到台州市椒江区中环世纪6幢8</w:t>
            </w:r>
            <w:r>
              <w:rPr>
                <w:rFonts w:hint="eastAsia" w:ascii="宋体" w:hAnsi="宋体" w:eastAsia="宋体" w:cs="宋体"/>
                <w:b w:val="0"/>
                <w:bCs w:val="0"/>
                <w:color w:val="auto"/>
                <w:highlight w:val="none"/>
                <w:lang w:val="en-US" w:eastAsia="zh-CN"/>
              </w:rPr>
              <w:t>楼</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浙江汇永工程咨询有限公司</w:t>
            </w:r>
            <w:r>
              <w:rPr>
                <w:rFonts w:hint="eastAsia" w:ascii="宋体" w:hAnsi="宋体" w:eastAsia="宋体" w:cs="宋体"/>
                <w:b w:val="0"/>
                <w:bCs w:val="0"/>
                <w:color w:val="auto"/>
                <w:highlight w:val="none"/>
              </w:rPr>
              <w:t>），逾期寄达或未按要求密封将被拒收。</w:t>
            </w:r>
          </w:p>
        </w:tc>
      </w:tr>
      <w:tr w14:paraId="1D6C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23" w:type="dxa"/>
            <w:vAlign w:val="center"/>
          </w:tcPr>
          <w:p w14:paraId="5BD36E0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24" w:type="dxa"/>
            <w:vAlign w:val="center"/>
          </w:tcPr>
          <w:p w14:paraId="2FA65D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151" w:type="dxa"/>
            <w:vAlign w:val="center"/>
          </w:tcPr>
          <w:p w14:paraId="026CDB7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时间：北京时间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w:t>
            </w:r>
          </w:p>
          <w:p w14:paraId="5F95CE1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b w:val="0"/>
                <w:bCs w:val="0"/>
                <w:color w:val="auto"/>
                <w:highlight w:val="none"/>
              </w:rPr>
              <w:t>台州市椒江区中环世纪6幢8</w:t>
            </w:r>
            <w:r>
              <w:rPr>
                <w:rFonts w:hint="eastAsia" w:ascii="宋体" w:hAnsi="宋体" w:eastAsia="宋体" w:cs="宋体"/>
                <w:b w:val="0"/>
                <w:bCs w:val="0"/>
                <w:color w:val="auto"/>
                <w:highlight w:val="none"/>
                <w:lang w:val="en-US" w:eastAsia="zh-CN"/>
              </w:rPr>
              <w:t>楼</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4CB5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23" w:type="dxa"/>
            <w:vAlign w:val="center"/>
          </w:tcPr>
          <w:p w14:paraId="4D6F35F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224" w:type="dxa"/>
            <w:vAlign w:val="center"/>
          </w:tcPr>
          <w:p w14:paraId="3359672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6151" w:type="dxa"/>
            <w:vAlign w:val="center"/>
          </w:tcPr>
          <w:p w14:paraId="1AAB124C">
            <w:pPr>
              <w:keepNext w:val="0"/>
              <w:keepLines w:val="0"/>
              <w:pageBreakBefore w:val="0"/>
              <w:numPr>
                <w:ilvl w:val="0"/>
                <w:numId w:val="0"/>
              </w:numPr>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10D4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2A33A492">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224" w:type="dxa"/>
            <w:vAlign w:val="center"/>
          </w:tcPr>
          <w:p w14:paraId="063F035B">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151" w:type="dxa"/>
            <w:vAlign w:val="center"/>
          </w:tcPr>
          <w:p w14:paraId="0A943B00">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4251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3" w:type="dxa"/>
            <w:vAlign w:val="center"/>
          </w:tcPr>
          <w:p w14:paraId="45A80070">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224" w:type="dxa"/>
            <w:vAlign w:val="center"/>
          </w:tcPr>
          <w:p w14:paraId="73C333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151" w:type="dxa"/>
            <w:vAlign w:val="center"/>
          </w:tcPr>
          <w:p w14:paraId="15008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本招标文件解释权属于采购人和采购代理机构。</w:t>
            </w:r>
          </w:p>
        </w:tc>
      </w:tr>
    </w:tbl>
    <w:p w14:paraId="0C7EA162">
      <w:pPr>
        <w:keepNext w:val="0"/>
        <w:keepLines w:val="0"/>
        <w:pageBreakBefore w:val="0"/>
        <w:kinsoku/>
        <w:wordWrap/>
        <w:topLinePunct w:val="0"/>
        <w:bidi w:val="0"/>
        <w:spacing w:line="360" w:lineRule="auto"/>
        <w:outlineLvl w:val="9"/>
        <w:rPr>
          <w:rFonts w:hint="eastAsia" w:ascii="宋体" w:hAnsi="宋体" w:eastAsia="宋体" w:cs="宋体"/>
          <w:b/>
          <w:bCs/>
          <w:color w:val="auto"/>
          <w:sz w:val="21"/>
          <w:szCs w:val="21"/>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596C70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12530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1FFC1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26B65C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9048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6ED2FC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6D3BD5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56EFDE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50F6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433047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718458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42FBBDD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32E467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5EAFA6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0DE658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67CAC9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1"/>
          <w:szCs w:val="21"/>
          <w:highlight w:val="none"/>
        </w:rPr>
        <w:tab/>
      </w:r>
    </w:p>
    <w:p w14:paraId="1E51E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5969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6608B9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5A673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5456C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7、单位负责人为同一人或者存在直接控股、管理关系的不同供应商，不得参加同一合同项下的采购活动。</w:t>
      </w:r>
    </w:p>
    <w:p w14:paraId="6F024E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3C603D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294A2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7E6F19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56E84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8A5BF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FAD1E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62D0B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405475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采购组织机构</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资格证明文件、商务与技术文件</w:t>
      </w:r>
      <w:r>
        <w:rPr>
          <w:rFonts w:hint="eastAsia" w:ascii="宋体" w:hAnsi="宋体" w:eastAsia="宋体" w:cs="宋体"/>
          <w:b w:val="0"/>
          <w:bCs w:val="0"/>
          <w:color w:val="auto"/>
          <w:sz w:val="21"/>
          <w:szCs w:val="21"/>
          <w:highlight w:val="none"/>
        </w:rPr>
        <w:t>和报价文件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3BF60B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▲1、资格证明文件的组成：</w:t>
      </w:r>
    </w:p>
    <w:p w14:paraId="1E0015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（1）投标声明书；</w:t>
      </w:r>
    </w:p>
    <w:p w14:paraId="32891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（2）授权委托书（法定代表人亲自办理投标事宜的，则无需提交)；</w:t>
      </w:r>
    </w:p>
    <w:p w14:paraId="19C16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（3）法人或者其他组织的营业执照等证明文件，自然人的身份证明；</w:t>
      </w:r>
    </w:p>
    <w:p w14:paraId="7E32D3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Cs w:val="21"/>
          <w:highlight w:val="none"/>
          <w:lang w:val="en-US" w:eastAsia="zh-CN"/>
        </w:rPr>
        <w:t>投标人认为需要说明的其他材料。</w:t>
      </w:r>
    </w:p>
    <w:p w14:paraId="7D412B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28E84D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（1）投标人</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情况介绍</w:t>
      </w:r>
      <w:r>
        <w:rPr>
          <w:rFonts w:hint="eastAsia" w:ascii="宋体" w:hAnsi="宋体" w:eastAsia="宋体" w:cs="宋体"/>
          <w:b w:val="0"/>
          <w:bCs w:val="0"/>
          <w:color w:val="auto"/>
          <w:sz w:val="21"/>
          <w:szCs w:val="21"/>
          <w:highlight w:val="none"/>
          <w:lang w:eastAsia="zh-CN"/>
        </w:rPr>
        <w:t>；</w:t>
      </w:r>
    </w:p>
    <w:p w14:paraId="5CB9A0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（2）投标方案描述：</w:t>
      </w:r>
    </w:p>
    <w:p w14:paraId="2F503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1CF1A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B.项目组织实施方案（包括项目工期、确保项目供货的措施或方案、项目实施进度安排、项目实施人员及项目负责人的资质、类似经验及社保证明等）。</w:t>
      </w:r>
    </w:p>
    <w:p w14:paraId="4D324A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及验收方案（包括项目验收标准和验收方法等）和措施；</w:t>
      </w:r>
    </w:p>
    <w:p w14:paraId="425F30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（3）投标产品描述及相关资料：</w:t>
      </w:r>
    </w:p>
    <w:p w14:paraId="13388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A.设备配置清单（均不含报价）。</w:t>
      </w:r>
    </w:p>
    <w:p w14:paraId="67C23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B.产品品牌及型号、技术参数指标、性能特点、图片资料以及所遵循的技术规范、产品质保期、出厂标准、产品质量相关检测报告等内容。</w:t>
      </w:r>
    </w:p>
    <w:p w14:paraId="645CB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C.商务及技术响应表。</w:t>
      </w:r>
    </w:p>
    <w:p w14:paraId="34585F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（4）投标人通过的与本项目相关的认证证书或文件；</w:t>
      </w:r>
    </w:p>
    <w:p w14:paraId="6B256A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（5）类似项目的成功案例（投标人类似项目实施情况一览表、合同复印件及其相应的发票、用户验收报告等；</w:t>
      </w:r>
    </w:p>
    <w:p w14:paraId="09E62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（6）投标人认为需要提供的其他资料（包括可能影响投标人商务与技术文件评分的各类证明材料）。</w:t>
      </w:r>
    </w:p>
    <w:p w14:paraId="560A4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（7）售后服务描述及承诺：</w:t>
      </w:r>
    </w:p>
    <w:p w14:paraId="3072C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A.距采购人最近的服务网点详细介绍（包括地理位置、资质资格、技术力量、工作业绩、服务内容及联系电话等）。</w:t>
      </w:r>
    </w:p>
    <w:p w14:paraId="5A6981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B.针对本项目的售后服务措施及承诺（售后技术服务方案、人员配备、故障响应时间、技术培训方案等）。</w:t>
      </w:r>
    </w:p>
    <w:p w14:paraId="4DFD78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31323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（1）报价文件由开标一览表、报价明细表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以及投标人认为其他需要说明的内容组成。</w:t>
      </w:r>
    </w:p>
    <w:p w14:paraId="79DBB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（2）此报价为投标人一次性报出唯一的最终价格，包含其它一切所要涉及到的费用，有选择的报价将被拒绝。</w:t>
      </w:r>
    </w:p>
    <w:p w14:paraId="55ECE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u w:val="none"/>
        </w:rPr>
      </w:pPr>
      <w:r>
        <w:rPr>
          <w:rFonts w:hint="eastAsia" w:ascii="宋体" w:hAnsi="宋体" w:eastAsia="宋体" w:cs="宋体"/>
          <w:color w:val="auto"/>
          <w:sz w:val="21"/>
          <w:szCs w:val="21"/>
          <w:highlight w:val="none"/>
        </w:rPr>
        <w:t>（3）</w:t>
      </w:r>
      <w:r>
        <w:rPr>
          <w:rFonts w:hint="eastAsia" w:asciiTheme="minorEastAsia" w:hAnsiTheme="minorEastAsia" w:eastAsiaTheme="minorEastAsia" w:cstheme="minorEastAsia"/>
          <w:color w:val="auto"/>
          <w:sz w:val="21"/>
          <w:szCs w:val="21"/>
          <w:highlight w:val="none"/>
        </w:rPr>
        <w:t>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采购人</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5819C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）相关报价单需打印或用不退色的墨水填写， 投标报价单不得涂改和增删，如有错漏必须修改，修改处须由同一签署人签字或盖章。由于字迹模糊或表达不清引起的后果由投标人负责。</w:t>
      </w:r>
    </w:p>
    <w:p w14:paraId="4D189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）投标报价应按招标文件中相关附表格式填写。</w:t>
      </w:r>
    </w:p>
    <w:p w14:paraId="11A219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645C4E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4A638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（1）投标人应按照投标文件组成内容及项目招标需求制作投标文件，不按招标文件要求制作投标文件的将视情处理（拒收、扣分等），由此产生的责任由投标人自行承担。</w:t>
      </w:r>
    </w:p>
    <w:p w14:paraId="0A01D1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（2）投标人应对所提供的全部资料的真实性承担法律责任，</w:t>
      </w:r>
      <w:r>
        <w:rPr>
          <w:rFonts w:hint="eastAsia" w:ascii="宋体" w:hAnsi="宋体" w:eastAsia="宋体" w:cs="宋体"/>
          <w:color w:val="auto"/>
          <w:sz w:val="21"/>
          <w:szCs w:val="21"/>
          <w:highlight w:val="none"/>
          <w:lang w:val="zh-CN"/>
        </w:rPr>
        <w:t>投标文件内容中有要求盖章或签字的地方，必须加盖投标人的公章以及法定代表人或授权委托代理人盖章或签字。</w:t>
      </w:r>
    </w:p>
    <w:p w14:paraId="4A1870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698EE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3AEE12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60442D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3C2097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2、投标文件的封装要求</w:t>
      </w:r>
    </w:p>
    <w:p w14:paraId="210C61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（1）投标文件份数：资格证明文件、商务与技术文件、报价文件必须分别编制并分开单独装订成册：资格证明文件共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，封装成一袋），商务与技术文件共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，封装成一袋），报价文件共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，封装成一袋）。投标文件的正本封面必须注明“正本”字样，副本可以采用正本的复印件。除报价文件外其余一律不准出现数字报价。如有不同标段，请按标段号分别装订，密封要求同上。</w:t>
      </w:r>
    </w:p>
    <w:p w14:paraId="41E45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5B200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（3）密封袋的封口处应有投标单位公章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签名。封皮上写明项目编号、标项、招标项目名称、投标人名称，并注明“投标文件名称（</w:t>
      </w:r>
      <w:r>
        <w:rPr>
          <w:rFonts w:hint="eastAsia" w:ascii="宋体" w:hAnsi="宋体" w:eastAsia="宋体" w:cs="宋体"/>
          <w:color w:val="auto"/>
          <w:sz w:val="21"/>
          <w:szCs w:val="21"/>
          <w:highlight w:val="none"/>
          <w:lang w:val="zh-CN"/>
        </w:rPr>
        <w:t>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lang w:val="zh-CN"/>
        </w:rPr>
        <w:t>商务</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rPr>
        <w:t>技术文件</w:t>
      </w:r>
      <w:r>
        <w:rPr>
          <w:rFonts w:hint="eastAsia" w:ascii="宋体" w:hAnsi="宋体" w:eastAsia="宋体" w:cs="宋体"/>
          <w:color w:val="auto"/>
          <w:sz w:val="21"/>
          <w:szCs w:val="21"/>
          <w:highlight w:val="none"/>
        </w:rPr>
        <w:t>、报价文件）”、“开标时启封”字样，未按上述要求密封及加写标记，采购代理机构对投标文件的误投和提前启封不负责任。</w:t>
      </w:r>
    </w:p>
    <w:p w14:paraId="79F1C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（4）项目如分标项，各标项投标文件必须分开编制，并按上述份数要求单独密封包装。</w:t>
      </w:r>
    </w:p>
    <w:p w14:paraId="4320AF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FBCA2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3、投标文件的递交要求</w:t>
      </w:r>
    </w:p>
    <w:p w14:paraId="74A501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highlight w:val="none"/>
        </w:rPr>
        <w:t>本项目需要投标人将投标文件在投标截止时间前按要求密封并顺丰邮寄到台州市椒江区中环世纪6幢8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5F1EF4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（2）如有特殊情况，采购组织机构延长截止时间和开标时间，采购组织机构和投标人的权利和义务将受到新的截止时间和开标时间的约束。</w:t>
      </w:r>
    </w:p>
    <w:p w14:paraId="4D514E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7A4CF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（1）投标人如需对上交的投标文件进行补充、修改或撤回的，必须在投标截止时间以前将书面的修改文件或撤消通知送达采购组织机构。</w:t>
      </w:r>
    </w:p>
    <w:p w14:paraId="7DA5D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（2）投标修改文件必须密封，在密封袋上写明项目编号、标段、招标项目名称、投标人名称、并注明“修改文件”、“开标时启封”字样，其作为投标文件的组成部份。</w:t>
      </w:r>
    </w:p>
    <w:p w14:paraId="33746D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154FC4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BA5FC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在特殊情况下，采购人可与投标人协商延长投标文件的有效期，这种要求和答复均以书面形式进行。</w:t>
      </w:r>
    </w:p>
    <w:p w14:paraId="3AEBF8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21F503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开标</w:t>
      </w:r>
    </w:p>
    <w:p w14:paraId="541A9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486DB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22B454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65368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22A36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2FFADE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2E0E0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4、投标人或其当场推荐的代表，检查投标文件密封的完整性；</w:t>
      </w:r>
    </w:p>
    <w:p w14:paraId="1D4EB1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5、按投标文件递交的先后顺序当场拆封资格证明文件、</w:t>
      </w:r>
      <w:r>
        <w:rPr>
          <w:rFonts w:hint="eastAsia" w:ascii="宋体" w:hAnsi="宋体" w:eastAsia="宋体" w:cs="宋体"/>
          <w:color w:val="auto"/>
          <w:sz w:val="21"/>
          <w:szCs w:val="21"/>
          <w:highlight w:val="none"/>
          <w:lang w:val="zh-CN"/>
        </w:rPr>
        <w:t>商务与技术文件</w:t>
      </w:r>
      <w:r>
        <w:rPr>
          <w:rFonts w:hint="eastAsia" w:ascii="宋体" w:hAnsi="宋体" w:eastAsia="宋体" w:cs="宋体"/>
          <w:color w:val="auto"/>
          <w:sz w:val="21"/>
          <w:szCs w:val="21"/>
          <w:highlight w:val="none"/>
        </w:rPr>
        <w:t>后，进入资格审查及符合性审查环节；</w:t>
      </w:r>
    </w:p>
    <w:p w14:paraId="5C9624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6、完成综合比较与评价后，由主持人按投标文件的先后顺序当场拆封报价文件，并现场宣读《开标一览表》中的投标报价，以及采购组织机构认为有必要宣读的其他内容；</w:t>
      </w:r>
    </w:p>
    <w:p w14:paraId="5F932B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7、采购组织机构做开标记录, </w:t>
      </w:r>
      <w:r>
        <w:rPr>
          <w:rFonts w:hint="eastAsia" w:ascii="宋体" w:hAnsi="宋体" w:eastAsia="宋体" w:cs="宋体"/>
          <w:color w:val="auto"/>
          <w:sz w:val="21"/>
          <w:szCs w:val="21"/>
          <w:highlight w:val="none"/>
          <w:lang w:eastAsia="zh-CN"/>
        </w:rPr>
        <w:t>投标人代表对开标记录进行当场校核及勘误，并钉钉确认</w:t>
      </w:r>
      <w:r>
        <w:rPr>
          <w:rFonts w:hint="eastAsia" w:ascii="宋体" w:hAnsi="宋体" w:eastAsia="宋体" w:cs="宋体"/>
          <w:color w:val="auto"/>
          <w:sz w:val="21"/>
          <w:szCs w:val="21"/>
          <w:highlight w:val="none"/>
        </w:rPr>
        <w:t>。同时由记录人、监督人当场签字确认。</w:t>
      </w:r>
      <w:r>
        <w:rPr>
          <w:rFonts w:hint="eastAsia" w:ascii="宋体" w:hAnsi="宋体" w:eastAsia="宋体" w:cs="宋体"/>
          <w:color w:val="auto"/>
          <w:sz w:val="21"/>
          <w:szCs w:val="21"/>
          <w:highlight w:val="none"/>
          <w:lang w:eastAsia="zh-CN"/>
        </w:rPr>
        <w:t>投标人代表未确认的，不影响评标过程</w:t>
      </w:r>
      <w:r>
        <w:rPr>
          <w:rFonts w:hint="eastAsia" w:ascii="宋体" w:hAnsi="宋体" w:eastAsia="宋体" w:cs="宋体"/>
          <w:color w:val="auto"/>
          <w:sz w:val="21"/>
          <w:szCs w:val="21"/>
          <w:highlight w:val="none"/>
        </w:rPr>
        <w:t>；</w:t>
      </w:r>
    </w:p>
    <w:p w14:paraId="10016D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8、在完成评标后，宣布评标结果，开标会议结束。</w:t>
      </w:r>
    </w:p>
    <w:p w14:paraId="2BA05E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14A6CF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44EB1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7FC4E9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B64C0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71F330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4EA24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3822A1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7DB65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4DADF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2EC4C8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916BE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1F7771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4EE3C3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3A77A5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409C5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785C92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5B291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3ACD47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1FF0C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投标人的澄清、说明或者补正应当采用书面形式，并加盖公章或者由法定代理人或其授权的代表签字，并不得超出投标文件的范围或者改变投标文件的实质性内容。</w:t>
      </w:r>
    </w:p>
    <w:p w14:paraId="746187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00AC13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7EDED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14:paraId="674B3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D2396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4828A3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4427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6022B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5EB90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03702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6FEAEA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4DAC0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4、投标代表人未能出具身份证明或与法定代表人授权委托人身份不符的；</w:t>
      </w:r>
    </w:p>
    <w:p w14:paraId="6B933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C1E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6、报价超过招标文件中规定的最高限价。 </w:t>
      </w:r>
    </w:p>
    <w:p w14:paraId="5F2C1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7、投标参数未如实填写，完全复制粘贴招标参数的。</w:t>
      </w:r>
    </w:p>
    <w:p w14:paraId="183BE0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8、投标文件提供虚假材料的。 </w:t>
      </w:r>
    </w:p>
    <w:p w14:paraId="3C8DB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5EBB3B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19FEEA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334EB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00A51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6A88C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78934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606D6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065D1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AAD7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7711B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0A99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41C82F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513F7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1578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8BEEB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018EB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本项目评标过程实行全程录音、录像监控，采购监管部门视情进行现场监督，投标人在评标过程中所进行的试图影响评标结果的不公正活动，可能导致其投标被拒绝。</w:t>
      </w:r>
    </w:p>
    <w:p w14:paraId="574E46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、定标</w:t>
      </w:r>
    </w:p>
    <w:p w14:paraId="64C266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9327E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4730D6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3168484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6366E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w:t>
      </w:r>
      <w:r>
        <w:rPr>
          <w:rFonts w:hint="eastAsia" w:ascii="宋体" w:hAnsi="宋体" w:cs="宋体"/>
          <w:color w:val="auto"/>
          <w:szCs w:val="21"/>
          <w:highlight w:val="none"/>
          <w:lang w:val="en-US" w:eastAsia="zh-CN"/>
        </w:rPr>
        <w:t>的60%</w:t>
      </w:r>
      <w:r>
        <w:rPr>
          <w:rFonts w:hint="eastAsia" w:ascii="宋体" w:hAnsi="宋体" w:eastAsia="宋体" w:cs="宋体"/>
          <w:color w:val="auto"/>
          <w:szCs w:val="21"/>
          <w:highlight w:val="none"/>
          <w:lang w:val="en-US" w:eastAsia="zh-CN"/>
        </w:rPr>
        <w:t>，采用差额累进算法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cs="宋体"/>
          <w:color w:val="auto"/>
          <w:sz w:val="21"/>
          <w:szCs w:val="21"/>
          <w:highlight w:val="none"/>
          <w:lang w:val="en-US" w:eastAsia="zh-CN"/>
        </w:rPr>
        <w:t>叁</w:t>
      </w:r>
      <w:r>
        <w:rPr>
          <w:rFonts w:hint="eastAsia" w:ascii="宋体" w:hAnsi="宋体" w:eastAsia="宋体" w:cs="宋体"/>
          <w:color w:val="auto"/>
          <w:sz w:val="21"/>
          <w:szCs w:val="21"/>
          <w:highlight w:val="none"/>
          <w:lang w:val="en-US" w:eastAsia="zh-CN"/>
        </w:rPr>
        <w:t>仟元</w:t>
      </w:r>
      <w:r>
        <w:rPr>
          <w:rFonts w:hint="eastAsia" w:ascii="宋体" w:hAnsi="宋体" w:eastAsia="宋体" w:cs="宋体"/>
          <w:color w:val="auto"/>
          <w:sz w:val="21"/>
          <w:szCs w:val="21"/>
          <w:highlight w:val="none"/>
        </w:rPr>
        <w:t>的，按定额</w:t>
      </w:r>
      <w:r>
        <w:rPr>
          <w:rFonts w:hint="eastAsia" w:ascii="宋体" w:hAnsi="宋体" w:cs="宋体"/>
          <w:color w:val="auto"/>
          <w:sz w:val="21"/>
          <w:szCs w:val="21"/>
          <w:highlight w:val="none"/>
          <w:lang w:val="en-US" w:eastAsia="zh-CN"/>
        </w:rPr>
        <w:t>叁</w:t>
      </w:r>
      <w:r>
        <w:rPr>
          <w:rFonts w:hint="eastAsia" w:ascii="宋体" w:hAnsi="宋体" w:eastAsia="宋体" w:cs="宋体"/>
          <w:color w:val="auto"/>
          <w:sz w:val="21"/>
          <w:szCs w:val="21"/>
          <w:highlight w:val="none"/>
          <w:lang w:val="en-US" w:eastAsia="zh-CN"/>
        </w:rPr>
        <w:t>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671C2B8A">
      <w:pPr>
        <w:keepNext w:val="0"/>
        <w:keepLines w:val="0"/>
        <w:pageBreakBefore w:val="0"/>
        <w:kinsoku/>
        <w:wordWrap/>
        <w:topLinePunct w:val="0"/>
        <w:bidi w:val="0"/>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691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2000337">
            <w:pPr>
              <w:keepNext w:val="0"/>
              <w:keepLines w:val="0"/>
              <w:pageBreakBefore w:val="0"/>
              <w:kinsoku/>
              <w:wordWrap/>
              <w:topLinePunct w:val="0"/>
              <w:bidi w:val="0"/>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2" name="直接连接符 2"/>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PJxCxU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0CA4A6F9">
            <w:pPr>
              <w:keepNext w:val="0"/>
              <w:keepLines w:val="0"/>
              <w:pageBreakBefore w:val="0"/>
              <w:kinsoku/>
              <w:wordWrap/>
              <w:topLinePunct w:val="0"/>
              <w:bidi w:val="0"/>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8DEDE7A">
            <w:pPr>
              <w:keepNext w:val="0"/>
              <w:keepLines w:val="0"/>
              <w:pageBreakBefore w:val="0"/>
              <w:kinsoku/>
              <w:wordWrap/>
              <w:topLinePunct w:val="0"/>
              <w:bidi w:val="0"/>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E7BD137">
            <w:pPr>
              <w:keepNext w:val="0"/>
              <w:keepLines w:val="0"/>
              <w:pageBreakBefore w:val="0"/>
              <w:kinsoku/>
              <w:wordWrap/>
              <w:topLinePunct w:val="0"/>
              <w:bidi w:val="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8F17212">
            <w:pPr>
              <w:keepNext w:val="0"/>
              <w:keepLines w:val="0"/>
              <w:pageBreakBefore w:val="0"/>
              <w:kinsoku/>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33D8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16592D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0C163CB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534F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BC94FB1">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1CF1DC69">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659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637115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3754B2A5">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1496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D0C87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2A49277">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3A80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747677F">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4C25945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63BE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3C02870">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6DC363B0">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4E6B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1CDB8860">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3A59AE0">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73CE65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、合同签订</w:t>
      </w:r>
    </w:p>
    <w:p w14:paraId="1B6F47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06AEA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69D3FD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17FF1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4、中标供应商拒绝与采购人签订合同的，采购人可以按照评审报告推荐的中标候选人名单排序，确定下一候选人为中标供应商，也可以重新开展采购活动。</w:t>
      </w:r>
    </w:p>
    <w:p w14:paraId="00799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7CDC23DA">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94EF8B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7791E7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45C058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6371C65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（一）商务技术文件中的客观分由评标委员会讨论后统一打分；其余在规定的分值内单独评定打分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0FA39DA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04726ED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06D59B5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21EA0892">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0%×100 。</w:t>
      </w:r>
    </w:p>
    <w:p w14:paraId="121A616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38723DBF">
      <w:pPr>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46DB5A5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三、在最大限度地满足招标文件实质性要求前提下，评标委员会按照招标文件中规定的各项因素进行综合评审后，以评审总得分最高的投标人为第一中标候选人，评审总得分次高的投标人为第二中标候选人。</w:t>
      </w:r>
    </w:p>
    <w:p w14:paraId="69C2EFD8">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color w:val="auto"/>
          <w:sz w:val="21"/>
          <w:szCs w:val="21"/>
          <w:highlight w:val="none"/>
          <w:lang w:val="zh-CN"/>
        </w:rPr>
        <w:t>如综合得分相同，最后报价低者为先；如综合得分且最后报价相同</w:t>
      </w:r>
      <w:r>
        <w:rPr>
          <w:rFonts w:hint="eastAsia" w:ascii="宋体" w:hAnsi="宋体" w:eastAsia="宋体" w:cs="宋体"/>
          <w:color w:val="auto"/>
          <w:sz w:val="21"/>
          <w:szCs w:val="21"/>
          <w:highlight w:val="none"/>
          <w:lang w:val="zh-CN"/>
        </w:rPr>
        <w:t>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w:t>
      </w:r>
    </w:p>
    <w:p w14:paraId="5DA506E1">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w:t>
      </w:r>
      <w:r>
        <w:rPr>
          <w:rFonts w:hint="eastAsia" w:ascii="宋体" w:hAnsi="宋体" w:cs="宋体"/>
          <w:color w:val="auto"/>
          <w:sz w:val="21"/>
          <w:szCs w:val="21"/>
          <w:highlight w:val="none"/>
          <w:lang w:val="en-US" w:eastAsia="zh-CN"/>
        </w:rPr>
        <w:t>核心产品</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380E0DE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六、本次评分具体分值细化条款如下表：</w:t>
      </w:r>
    </w:p>
    <w:p w14:paraId="27361C32">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0"/>
        <w:tblW w:w="9597" w:type="dxa"/>
        <w:jc w:val="center"/>
        <w:tblLayout w:type="fixed"/>
        <w:tblCellMar>
          <w:top w:w="15" w:type="dxa"/>
          <w:left w:w="15" w:type="dxa"/>
          <w:bottom w:w="15" w:type="dxa"/>
          <w:right w:w="15" w:type="dxa"/>
        </w:tblCellMar>
      </w:tblPr>
      <w:tblGrid>
        <w:gridCol w:w="843"/>
        <w:gridCol w:w="1320"/>
        <w:gridCol w:w="6590"/>
        <w:gridCol w:w="844"/>
      </w:tblGrid>
      <w:tr w14:paraId="62F82BC3">
        <w:tblPrEx>
          <w:tblCellMar>
            <w:top w:w="15" w:type="dxa"/>
            <w:left w:w="15" w:type="dxa"/>
            <w:bottom w:w="15" w:type="dxa"/>
            <w:right w:w="15" w:type="dxa"/>
          </w:tblCellMar>
        </w:tblPrEx>
        <w:trPr>
          <w:trHeight w:val="60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79EF6D3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590" w:type="dxa"/>
            <w:tcBorders>
              <w:top w:val="single" w:color="auto" w:sz="4" w:space="0"/>
              <w:left w:val="single" w:color="auto" w:sz="4" w:space="0"/>
              <w:bottom w:val="single" w:color="auto" w:sz="4" w:space="0"/>
              <w:right w:val="single" w:color="auto" w:sz="4" w:space="0"/>
            </w:tcBorders>
            <w:vAlign w:val="center"/>
          </w:tcPr>
          <w:p w14:paraId="3AE241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44" w:type="dxa"/>
            <w:tcBorders>
              <w:top w:val="single" w:color="auto" w:sz="4" w:space="0"/>
              <w:left w:val="single" w:color="auto" w:sz="4" w:space="0"/>
              <w:bottom w:val="single" w:color="auto" w:sz="4" w:space="0"/>
              <w:right w:val="single" w:color="auto" w:sz="4" w:space="0"/>
            </w:tcBorders>
            <w:vAlign w:val="center"/>
          </w:tcPr>
          <w:p w14:paraId="42A0B5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63A2D2A2">
        <w:tblPrEx>
          <w:tblCellMar>
            <w:top w:w="15" w:type="dxa"/>
            <w:left w:w="15" w:type="dxa"/>
            <w:bottom w:w="15" w:type="dxa"/>
            <w:right w:w="15" w:type="dxa"/>
          </w:tblCellMar>
        </w:tblPrEx>
        <w:trPr>
          <w:trHeight w:val="90" w:hRule="atLeast"/>
          <w:jc w:val="center"/>
        </w:trPr>
        <w:tc>
          <w:tcPr>
            <w:tcW w:w="843" w:type="dxa"/>
            <w:vMerge w:val="restart"/>
            <w:tcBorders>
              <w:top w:val="single" w:color="auto" w:sz="4" w:space="0"/>
              <w:left w:val="single" w:color="auto" w:sz="4" w:space="0"/>
              <w:right w:val="single" w:color="auto" w:sz="4" w:space="0"/>
            </w:tcBorders>
            <w:vAlign w:val="center"/>
          </w:tcPr>
          <w:p w14:paraId="01BB65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6530E5F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320" w:type="dxa"/>
            <w:vMerge w:val="restart"/>
            <w:tcBorders>
              <w:top w:val="single" w:color="auto" w:sz="4" w:space="0"/>
              <w:left w:val="single" w:color="auto" w:sz="4" w:space="0"/>
              <w:right w:val="single" w:color="auto" w:sz="4" w:space="0"/>
            </w:tcBorders>
            <w:vAlign w:val="center"/>
          </w:tcPr>
          <w:p w14:paraId="2FD7BE93">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w:t>
            </w:r>
          </w:p>
        </w:tc>
        <w:tc>
          <w:tcPr>
            <w:tcW w:w="6590" w:type="dxa"/>
            <w:tcBorders>
              <w:top w:val="single" w:color="auto" w:sz="4" w:space="0"/>
              <w:left w:val="single" w:color="auto" w:sz="4" w:space="0"/>
              <w:bottom w:val="single" w:color="auto" w:sz="4" w:space="0"/>
              <w:right w:val="single" w:color="auto" w:sz="4" w:space="0"/>
            </w:tcBorders>
            <w:vAlign w:val="center"/>
          </w:tcPr>
          <w:p w14:paraId="2B6BE2C6">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投标人具有CMMI5级认证证书的得2分</w:t>
            </w:r>
            <w:r>
              <w:rPr>
                <w:rFonts w:hint="eastAsia" w:ascii="宋体" w:hAnsi="宋体" w:cs="宋体"/>
                <w:color w:val="auto"/>
                <w:kern w:val="0"/>
                <w:sz w:val="21"/>
                <w:szCs w:val="21"/>
                <w:highlight w:val="none"/>
                <w:lang w:val="en-US" w:eastAsia="zh-CN"/>
              </w:rPr>
              <w:t>。</w:t>
            </w:r>
          </w:p>
          <w:p w14:paraId="3472CC12">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default" w:ascii="宋体" w:hAnsi="宋体" w:eastAsia="仿宋" w:cs="宋体"/>
                <w:b/>
                <w:bCs/>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rPr>
              <w:t>相关证书</w:t>
            </w:r>
            <w:r>
              <w:rPr>
                <w:rFonts w:hint="eastAsia" w:ascii="宋体" w:hAnsi="宋体" w:eastAsia="宋体" w:cs="宋体"/>
                <w:b/>
                <w:bCs/>
                <w:color w:val="auto"/>
                <w:sz w:val="21"/>
                <w:szCs w:val="21"/>
                <w:highlight w:val="none"/>
                <w:lang w:val="en-US" w:eastAsia="zh-CN"/>
              </w:rPr>
              <w:t>复印件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310BFC88">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40B6B16B">
        <w:tblPrEx>
          <w:tblCellMar>
            <w:top w:w="15" w:type="dxa"/>
            <w:left w:w="15" w:type="dxa"/>
            <w:bottom w:w="15" w:type="dxa"/>
            <w:right w:w="15" w:type="dxa"/>
          </w:tblCellMar>
        </w:tblPrEx>
        <w:trPr>
          <w:trHeight w:val="1368" w:hRule="atLeast"/>
          <w:jc w:val="center"/>
        </w:trPr>
        <w:tc>
          <w:tcPr>
            <w:tcW w:w="843" w:type="dxa"/>
            <w:vMerge w:val="continue"/>
            <w:tcBorders>
              <w:left w:val="single" w:color="auto" w:sz="4" w:space="0"/>
              <w:right w:val="single" w:color="auto" w:sz="4" w:space="0"/>
            </w:tcBorders>
            <w:vAlign w:val="center"/>
          </w:tcPr>
          <w:p w14:paraId="3477B5A1">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vMerge w:val="continue"/>
            <w:tcBorders>
              <w:left w:val="single" w:color="auto" w:sz="4" w:space="0"/>
              <w:bottom w:val="single" w:color="auto" w:sz="4" w:space="0"/>
              <w:right w:val="single" w:color="auto" w:sz="4" w:space="0"/>
            </w:tcBorders>
            <w:vAlign w:val="center"/>
          </w:tcPr>
          <w:p w14:paraId="6E58DCC7">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p>
        </w:tc>
        <w:tc>
          <w:tcPr>
            <w:tcW w:w="6590" w:type="dxa"/>
            <w:tcBorders>
              <w:top w:val="single" w:color="auto" w:sz="4" w:space="0"/>
              <w:left w:val="single" w:color="auto" w:sz="4" w:space="0"/>
              <w:bottom w:val="single" w:color="auto" w:sz="4" w:space="0"/>
              <w:right w:val="single" w:color="auto" w:sz="4" w:space="0"/>
            </w:tcBorders>
            <w:vAlign w:val="center"/>
          </w:tcPr>
          <w:p w14:paraId="270030B5">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具有国家认证认可监督管理委员会批准认可的认证机构颁发的，且在有效期内的</w:t>
            </w:r>
            <w:r>
              <w:rPr>
                <w:rFonts w:hint="eastAsia" w:ascii="宋体" w:hAnsi="宋体" w:eastAsia="宋体" w:cs="宋体"/>
                <w:color w:val="auto"/>
                <w:kern w:val="0"/>
                <w:sz w:val="21"/>
                <w:szCs w:val="21"/>
                <w:highlight w:val="none"/>
                <w:lang w:val="en-US" w:eastAsia="zh-CN"/>
              </w:rPr>
              <w:t>质量管理体系认证证书、信息安全管理体系认证证书的，每提供1个得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4F7D4F6B">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rPr>
              <w:t>相关证书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w:t>
            </w:r>
            <w:r>
              <w:rPr>
                <w:rFonts w:hint="eastAsia" w:ascii="宋体" w:hAnsi="宋体" w:eastAsia="宋体" w:cs="宋体"/>
                <w:b/>
                <w:bCs/>
                <w:color w:val="auto"/>
                <w:sz w:val="21"/>
                <w:szCs w:val="21"/>
                <w:highlight w:val="none"/>
                <w:lang w:val="en-US" w:eastAsia="zh-CN"/>
              </w:rPr>
              <w:t>，上述资料复印件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03824FAC">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51456549">
        <w:tblPrEx>
          <w:tblCellMar>
            <w:top w:w="15" w:type="dxa"/>
            <w:left w:w="15" w:type="dxa"/>
            <w:bottom w:w="15" w:type="dxa"/>
            <w:right w:w="15" w:type="dxa"/>
          </w:tblCellMar>
        </w:tblPrEx>
        <w:trPr>
          <w:trHeight w:val="676" w:hRule="atLeast"/>
          <w:jc w:val="center"/>
        </w:trPr>
        <w:tc>
          <w:tcPr>
            <w:tcW w:w="843" w:type="dxa"/>
            <w:vMerge w:val="continue"/>
            <w:tcBorders>
              <w:left w:val="single" w:color="auto" w:sz="4" w:space="0"/>
              <w:right w:val="single" w:color="auto" w:sz="4" w:space="0"/>
            </w:tcBorders>
            <w:vAlign w:val="center"/>
          </w:tcPr>
          <w:p w14:paraId="0DBEDC5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left w:val="single" w:color="auto" w:sz="4" w:space="0"/>
              <w:bottom w:val="single" w:color="auto" w:sz="4" w:space="0"/>
              <w:right w:val="single" w:color="auto" w:sz="4" w:space="0"/>
            </w:tcBorders>
            <w:vAlign w:val="center"/>
          </w:tcPr>
          <w:p w14:paraId="4B2675C8">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原厂授权函</w:t>
            </w:r>
          </w:p>
        </w:tc>
        <w:tc>
          <w:tcPr>
            <w:tcW w:w="6590" w:type="dxa"/>
            <w:tcBorders>
              <w:top w:val="single" w:color="auto" w:sz="4" w:space="0"/>
              <w:left w:val="single" w:color="auto" w:sz="4" w:space="0"/>
              <w:bottom w:val="single" w:color="auto" w:sz="4" w:space="0"/>
              <w:right w:val="single" w:color="auto" w:sz="4" w:space="0"/>
            </w:tcBorders>
            <w:vAlign w:val="center"/>
          </w:tcPr>
          <w:p w14:paraId="2AC2A028">
            <w:pPr>
              <w:widowControl/>
              <w:spacing w:line="276"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zh-CN"/>
              </w:rPr>
              <w:t>投标人如为代理商，须提供所投产品原厂商针对本项目的有效授权函，本项最高1分，未提供的不得分。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6B60F7AC">
            <w:pPr>
              <w:adjustRightInd w:val="0"/>
              <w:spacing w:after="100" w:afterAutospacing="1"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00DA345E">
        <w:tblPrEx>
          <w:tblCellMar>
            <w:top w:w="15" w:type="dxa"/>
            <w:left w:w="15" w:type="dxa"/>
            <w:bottom w:w="15" w:type="dxa"/>
            <w:right w:w="15" w:type="dxa"/>
          </w:tblCellMar>
        </w:tblPrEx>
        <w:trPr>
          <w:trHeight w:val="676" w:hRule="atLeast"/>
          <w:jc w:val="center"/>
        </w:trPr>
        <w:tc>
          <w:tcPr>
            <w:tcW w:w="843" w:type="dxa"/>
            <w:vMerge w:val="continue"/>
            <w:tcBorders>
              <w:left w:val="single" w:color="auto" w:sz="4" w:space="0"/>
              <w:right w:val="single" w:color="auto" w:sz="4" w:space="0"/>
            </w:tcBorders>
            <w:vAlign w:val="center"/>
          </w:tcPr>
          <w:p w14:paraId="7A77C8C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left w:val="single" w:color="auto" w:sz="4" w:space="0"/>
              <w:bottom w:val="single" w:color="auto" w:sz="4" w:space="0"/>
              <w:right w:val="single" w:color="auto" w:sz="4" w:space="0"/>
            </w:tcBorders>
            <w:vAlign w:val="center"/>
          </w:tcPr>
          <w:p w14:paraId="6686B820">
            <w:pPr>
              <w:widowControl/>
              <w:spacing w:line="276"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质保期</w:t>
            </w:r>
          </w:p>
        </w:tc>
        <w:tc>
          <w:tcPr>
            <w:tcW w:w="6590" w:type="dxa"/>
            <w:tcBorders>
              <w:top w:val="single" w:color="auto" w:sz="4" w:space="0"/>
              <w:left w:val="single" w:color="auto" w:sz="4" w:space="0"/>
              <w:bottom w:val="single" w:color="auto" w:sz="4" w:space="0"/>
              <w:right w:val="single" w:color="auto" w:sz="4" w:space="0"/>
            </w:tcBorders>
            <w:vAlign w:val="center"/>
          </w:tcPr>
          <w:p w14:paraId="330F92DB">
            <w:pPr>
              <w:widowControl/>
              <w:spacing w:line="276" w:lineRule="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投标人承诺质保期为3年的得1分，承诺在此基础上增加1年的得1分。最高得2分。</w:t>
            </w:r>
            <w:r>
              <w:rPr>
                <w:rFonts w:hint="eastAsia" w:ascii="宋体" w:hAnsi="宋体" w:eastAsia="宋体" w:cs="宋体"/>
                <w:color w:val="auto"/>
                <w:kern w:val="0"/>
                <w:sz w:val="21"/>
                <w:szCs w:val="21"/>
                <w:highlight w:val="none"/>
                <w:lang w:val="zh-CN"/>
              </w:rPr>
              <w:t>不满足招标文件规定质保期要求或未提及此项不得分。</w:t>
            </w:r>
          </w:p>
          <w:p w14:paraId="63F784B2">
            <w:pPr>
              <w:widowControl/>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sz w:val="21"/>
                <w:szCs w:val="21"/>
                <w:highlight w:val="none"/>
                <w:lang w:val="en-US" w:eastAsia="zh-CN"/>
              </w:rPr>
              <w:t>（须提供</w:t>
            </w:r>
            <w:r>
              <w:rPr>
                <w:rFonts w:hint="eastAsia" w:ascii="宋体" w:hAnsi="宋体" w:cs="宋体"/>
                <w:b/>
                <w:bCs/>
                <w:color w:val="auto"/>
                <w:sz w:val="21"/>
                <w:szCs w:val="21"/>
                <w:highlight w:val="none"/>
                <w:lang w:val="en-US" w:eastAsia="zh-CN"/>
              </w:rPr>
              <w:t>承诺函原</w:t>
            </w:r>
            <w:r>
              <w:rPr>
                <w:rFonts w:hint="eastAsia" w:ascii="宋体" w:hAnsi="宋体" w:eastAsia="宋体" w:cs="宋体"/>
                <w:b/>
                <w:bCs/>
                <w:color w:val="auto"/>
                <w:sz w:val="21"/>
                <w:szCs w:val="21"/>
                <w:highlight w:val="none"/>
                <w:lang w:val="en-US" w:eastAsia="zh-CN"/>
              </w:rPr>
              <w:t>件并加盖投标人公章编入投标文件中，未提供的不得分）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5864BCF0">
            <w:pPr>
              <w:widowControl/>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2</w:t>
            </w:r>
          </w:p>
        </w:tc>
      </w:tr>
      <w:tr w14:paraId="4962F7D4">
        <w:tblPrEx>
          <w:tblCellMar>
            <w:top w:w="15" w:type="dxa"/>
            <w:left w:w="15" w:type="dxa"/>
            <w:bottom w:w="15" w:type="dxa"/>
            <w:right w:w="15" w:type="dxa"/>
          </w:tblCellMar>
        </w:tblPrEx>
        <w:trPr>
          <w:trHeight w:val="1368" w:hRule="atLeast"/>
          <w:jc w:val="center"/>
        </w:trPr>
        <w:tc>
          <w:tcPr>
            <w:tcW w:w="843" w:type="dxa"/>
            <w:vMerge w:val="continue"/>
            <w:tcBorders>
              <w:left w:val="single" w:color="auto" w:sz="4" w:space="0"/>
              <w:right w:val="single" w:color="auto" w:sz="4" w:space="0"/>
            </w:tcBorders>
            <w:vAlign w:val="center"/>
          </w:tcPr>
          <w:p w14:paraId="658EE47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7E4E4F0">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软件著作权</w:t>
            </w:r>
          </w:p>
        </w:tc>
        <w:tc>
          <w:tcPr>
            <w:tcW w:w="6590" w:type="dxa"/>
            <w:tcBorders>
              <w:top w:val="single" w:color="auto" w:sz="4" w:space="0"/>
              <w:left w:val="single" w:color="auto" w:sz="4" w:space="0"/>
              <w:bottom w:val="single" w:color="auto" w:sz="4" w:space="0"/>
              <w:right w:val="single" w:color="auto" w:sz="4" w:space="0"/>
            </w:tcBorders>
            <w:vAlign w:val="center"/>
          </w:tcPr>
          <w:p w14:paraId="02F28784">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投标人或产品制造商</w:t>
            </w:r>
            <w:r>
              <w:rPr>
                <w:rFonts w:hint="eastAsia" w:ascii="宋体" w:hAnsi="宋体" w:eastAsia="宋体" w:cs="宋体"/>
                <w:color w:val="auto"/>
                <w:kern w:val="0"/>
                <w:sz w:val="21"/>
                <w:szCs w:val="21"/>
                <w:highlight w:val="none"/>
                <w:lang w:val="en-US" w:eastAsia="zh-CN"/>
              </w:rPr>
              <w:t>具有与本项目相关的软件著作权登记证书的得1分。</w:t>
            </w:r>
          </w:p>
          <w:p w14:paraId="31286D33">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（须提供相关证书复印件并加盖投标人公章编入投标文件中，未提供的不得分）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0C00D1B0">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7AAF2F7B">
        <w:tblPrEx>
          <w:tblCellMar>
            <w:top w:w="15" w:type="dxa"/>
            <w:left w:w="15" w:type="dxa"/>
            <w:bottom w:w="15" w:type="dxa"/>
            <w:right w:w="15" w:type="dxa"/>
          </w:tblCellMar>
        </w:tblPrEx>
        <w:trPr>
          <w:trHeight w:val="918" w:hRule="atLeast"/>
          <w:jc w:val="center"/>
        </w:trPr>
        <w:tc>
          <w:tcPr>
            <w:tcW w:w="843" w:type="dxa"/>
            <w:vMerge w:val="continue"/>
            <w:tcBorders>
              <w:left w:val="single" w:color="auto" w:sz="4" w:space="0"/>
              <w:bottom w:val="single" w:color="auto" w:sz="4" w:space="0"/>
              <w:right w:val="single" w:color="auto" w:sz="4" w:space="0"/>
            </w:tcBorders>
            <w:vAlign w:val="center"/>
          </w:tcPr>
          <w:p w14:paraId="34EA0B77">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B420C86">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承接经验</w:t>
            </w:r>
          </w:p>
        </w:tc>
        <w:tc>
          <w:tcPr>
            <w:tcW w:w="6590" w:type="dxa"/>
            <w:tcBorders>
              <w:top w:val="single" w:color="auto" w:sz="4" w:space="0"/>
              <w:left w:val="single" w:color="auto" w:sz="4" w:space="0"/>
              <w:bottom w:val="single" w:color="auto" w:sz="4" w:space="0"/>
              <w:right w:val="single" w:color="auto" w:sz="4" w:space="0"/>
            </w:tcBorders>
            <w:vAlign w:val="center"/>
          </w:tcPr>
          <w:p w14:paraId="37CCC5B6">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lang w:val="en-US" w:eastAsia="zh-CN"/>
              </w:rPr>
              <w:t>自2022年1月1日以来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zh-CN"/>
              </w:rPr>
              <w:t>，</w:t>
            </w:r>
            <w:r>
              <w:rPr>
                <w:rFonts w:hint="eastAsia" w:ascii="宋体" w:hAnsi="宋体" w:eastAsia="宋体" w:cs="宋体"/>
                <w:b w:val="0"/>
                <w:bCs w:val="0"/>
                <w:color w:val="auto"/>
                <w:kern w:val="0"/>
                <w:sz w:val="21"/>
                <w:szCs w:val="21"/>
                <w:highlight w:val="none"/>
                <w:u w:val="none"/>
                <w:lang w:val="en-US" w:eastAsia="zh-CN"/>
              </w:rPr>
              <w:t>承接过类似</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，每提供一</w:t>
            </w:r>
            <w:r>
              <w:rPr>
                <w:rFonts w:hint="eastAsia" w:ascii="宋体" w:hAnsi="宋体" w:eastAsia="宋体" w:cs="宋体"/>
                <w:color w:val="auto"/>
                <w:kern w:val="0"/>
                <w:sz w:val="21"/>
                <w:szCs w:val="21"/>
                <w:highlight w:val="none"/>
                <w:lang w:val="en-US" w:eastAsia="zh-CN"/>
              </w:rPr>
              <w:t>个</w:t>
            </w:r>
            <w:r>
              <w:rPr>
                <w:rFonts w:hint="eastAsia" w:ascii="宋体" w:hAnsi="宋体" w:cs="宋体"/>
                <w:color w:val="auto"/>
                <w:kern w:val="0"/>
                <w:sz w:val="21"/>
                <w:szCs w:val="21"/>
                <w:highlight w:val="none"/>
                <w:lang w:val="en-US" w:eastAsia="zh-CN"/>
              </w:rPr>
              <w:t>项目</w:t>
            </w:r>
            <w:r>
              <w:rPr>
                <w:rFonts w:hint="eastAsia" w:ascii="宋体" w:hAnsi="宋体" w:cs="宋体"/>
                <w:b w:val="0"/>
                <w:bCs w:val="0"/>
                <w:color w:val="auto"/>
                <w:kern w:val="0"/>
                <w:sz w:val="21"/>
                <w:szCs w:val="21"/>
                <w:highlight w:val="none"/>
                <w:lang w:val="en-US" w:eastAsia="zh-CN"/>
              </w:rPr>
              <w:t>所需全部材料（</w:t>
            </w:r>
            <w:r>
              <w:rPr>
                <w:rFonts w:hint="eastAsia" w:ascii="宋体" w:hAnsi="宋体" w:eastAsia="宋体" w:cs="宋体"/>
                <w:b w:val="0"/>
                <w:bCs w:val="0"/>
                <w:color w:val="auto"/>
                <w:kern w:val="2"/>
                <w:sz w:val="21"/>
                <w:szCs w:val="21"/>
                <w:highlight w:val="none"/>
              </w:rPr>
              <w:t>合同、中标通知书及发票</w:t>
            </w:r>
            <w:r>
              <w:rPr>
                <w:rFonts w:hint="eastAsia" w:ascii="宋体" w:hAnsi="宋体" w:cs="宋体"/>
                <w:b w:val="0"/>
                <w:bCs w:val="0"/>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分，每提供一</w:t>
            </w:r>
            <w:r>
              <w:rPr>
                <w:rFonts w:hint="eastAsia" w:ascii="宋体" w:hAnsi="宋体" w:eastAsia="宋体" w:cs="宋体"/>
                <w:color w:val="auto"/>
                <w:kern w:val="0"/>
                <w:sz w:val="21"/>
                <w:szCs w:val="21"/>
                <w:highlight w:val="none"/>
                <w:lang w:val="en-US" w:eastAsia="zh-CN"/>
              </w:rPr>
              <w:t>个</w:t>
            </w:r>
            <w:r>
              <w:rPr>
                <w:rFonts w:hint="eastAsia" w:ascii="宋体" w:hAnsi="宋体" w:cs="宋体"/>
                <w:color w:val="auto"/>
                <w:kern w:val="0"/>
                <w:sz w:val="21"/>
                <w:szCs w:val="21"/>
                <w:highlight w:val="none"/>
                <w:lang w:val="en-US" w:eastAsia="zh-CN"/>
              </w:rPr>
              <w:t>项目</w:t>
            </w:r>
            <w:r>
              <w:rPr>
                <w:rFonts w:hint="eastAsia" w:ascii="宋体" w:hAnsi="宋体" w:cs="宋体"/>
                <w:b w:val="0"/>
                <w:bCs w:val="0"/>
                <w:color w:val="auto"/>
                <w:kern w:val="0"/>
                <w:sz w:val="21"/>
                <w:szCs w:val="21"/>
                <w:highlight w:val="none"/>
                <w:lang w:val="en-US" w:eastAsia="zh-CN"/>
              </w:rPr>
              <w:t>所需部分材料（</w:t>
            </w:r>
            <w:r>
              <w:rPr>
                <w:rFonts w:hint="eastAsia" w:ascii="宋体" w:hAnsi="宋体" w:eastAsia="宋体" w:cs="宋体"/>
                <w:b w:val="0"/>
                <w:bCs w:val="0"/>
                <w:color w:val="auto"/>
                <w:kern w:val="2"/>
                <w:sz w:val="21"/>
                <w:szCs w:val="21"/>
                <w:highlight w:val="none"/>
              </w:rPr>
              <w:t>合同、中标通知书及发票</w:t>
            </w:r>
            <w:r>
              <w:rPr>
                <w:rFonts w:hint="eastAsia" w:ascii="宋体" w:hAnsi="宋体" w:cs="宋体"/>
                <w:b w:val="0"/>
                <w:bCs w:val="0"/>
                <w:color w:val="auto"/>
                <w:kern w:val="2"/>
                <w:sz w:val="21"/>
                <w:szCs w:val="21"/>
                <w:highlight w:val="none"/>
                <w:lang w:val="en-US" w:eastAsia="zh-CN"/>
              </w:rPr>
              <w:t>中其中2样</w:t>
            </w:r>
            <w:r>
              <w:rPr>
                <w:rFonts w:hint="eastAsia" w:ascii="宋体" w:hAnsi="宋体" w:cs="宋体"/>
                <w:b w:val="0"/>
                <w:bCs w:val="0"/>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每提供一</w:t>
            </w:r>
            <w:r>
              <w:rPr>
                <w:rFonts w:hint="eastAsia" w:ascii="宋体" w:hAnsi="宋体" w:eastAsia="宋体" w:cs="宋体"/>
                <w:color w:val="auto"/>
                <w:kern w:val="0"/>
                <w:sz w:val="21"/>
                <w:szCs w:val="21"/>
                <w:highlight w:val="none"/>
                <w:lang w:val="en-US" w:eastAsia="zh-CN"/>
              </w:rPr>
              <w:t>个</w:t>
            </w:r>
            <w:r>
              <w:rPr>
                <w:rFonts w:hint="eastAsia" w:ascii="宋体" w:hAnsi="宋体" w:cs="宋体"/>
                <w:color w:val="auto"/>
                <w:kern w:val="0"/>
                <w:sz w:val="21"/>
                <w:szCs w:val="21"/>
                <w:highlight w:val="none"/>
                <w:lang w:val="en-US" w:eastAsia="zh-CN"/>
              </w:rPr>
              <w:t>项目</w:t>
            </w:r>
            <w:r>
              <w:rPr>
                <w:rFonts w:hint="eastAsia" w:ascii="宋体" w:hAnsi="宋体" w:cs="宋体"/>
                <w:b w:val="0"/>
                <w:bCs w:val="0"/>
                <w:color w:val="auto"/>
                <w:kern w:val="0"/>
                <w:sz w:val="21"/>
                <w:szCs w:val="21"/>
                <w:highlight w:val="none"/>
                <w:lang w:val="en-US" w:eastAsia="zh-CN"/>
              </w:rPr>
              <w:t>所需个别材料（</w:t>
            </w:r>
            <w:r>
              <w:rPr>
                <w:rFonts w:hint="eastAsia" w:ascii="宋体" w:hAnsi="宋体" w:eastAsia="宋体" w:cs="宋体"/>
                <w:b w:val="0"/>
                <w:bCs w:val="0"/>
                <w:color w:val="auto"/>
                <w:kern w:val="2"/>
                <w:sz w:val="21"/>
                <w:szCs w:val="21"/>
                <w:highlight w:val="none"/>
              </w:rPr>
              <w:t>合同、中标通知书及发票</w:t>
            </w:r>
            <w:r>
              <w:rPr>
                <w:rFonts w:hint="eastAsia" w:ascii="宋体" w:hAnsi="宋体" w:cs="宋体"/>
                <w:b w:val="0"/>
                <w:bCs w:val="0"/>
                <w:color w:val="auto"/>
                <w:kern w:val="2"/>
                <w:sz w:val="21"/>
                <w:szCs w:val="21"/>
                <w:highlight w:val="none"/>
                <w:lang w:val="en-US" w:eastAsia="zh-CN"/>
              </w:rPr>
              <w:t>中其中1样</w:t>
            </w:r>
            <w:r>
              <w:rPr>
                <w:rFonts w:hint="eastAsia" w:ascii="宋体" w:hAnsi="宋体" w:cs="宋体"/>
                <w:b w:val="0"/>
                <w:bCs w:val="0"/>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未提供的不得分</w:t>
            </w:r>
            <w:r>
              <w:rPr>
                <w:rFonts w:hint="eastAsia" w:ascii="宋体" w:hAnsi="宋体" w:eastAsia="宋体" w:cs="宋体"/>
                <w:color w:val="auto"/>
                <w:kern w:val="0"/>
                <w:sz w:val="21"/>
                <w:szCs w:val="21"/>
                <w:highlight w:val="none"/>
                <w:lang w:val="en-US" w:eastAsia="zh-CN"/>
              </w:rPr>
              <w:t>。</w:t>
            </w:r>
          </w:p>
          <w:p w14:paraId="58A390A8">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最高得3分。</w:t>
            </w:r>
          </w:p>
          <w:p w14:paraId="384AC134">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cs="宋体"/>
                <w:b/>
                <w:bCs/>
                <w:color w:val="auto"/>
                <w:kern w:val="2"/>
                <w:sz w:val="21"/>
                <w:szCs w:val="21"/>
                <w:highlight w:val="none"/>
                <w:lang w:val="en-US" w:eastAsia="zh-CN"/>
              </w:rPr>
              <w:t>须提供</w:t>
            </w:r>
            <w:r>
              <w:rPr>
                <w:rFonts w:hint="eastAsia" w:ascii="宋体" w:hAnsi="宋体" w:eastAsia="宋体" w:cs="宋体"/>
                <w:b/>
                <w:bCs/>
                <w:color w:val="auto"/>
                <w:kern w:val="2"/>
                <w:sz w:val="21"/>
                <w:szCs w:val="21"/>
                <w:highlight w:val="none"/>
              </w:rPr>
              <w:t>原件备查</w:t>
            </w:r>
            <w:r>
              <w:rPr>
                <w:rFonts w:hint="eastAsia" w:ascii="宋体" w:hAnsi="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未提供原件的本项不得分</w:t>
            </w:r>
            <w:r>
              <w:rPr>
                <w:rFonts w:hint="eastAsia" w:ascii="宋体" w:hAnsi="宋体" w:eastAsia="宋体" w:cs="宋体"/>
                <w:b/>
                <w:bCs/>
                <w:color w:val="auto"/>
                <w:kern w:val="2"/>
                <w:sz w:val="21"/>
                <w:szCs w:val="21"/>
                <w:highlight w:val="none"/>
              </w:rPr>
              <w:t>）</w:t>
            </w:r>
          </w:p>
        </w:tc>
        <w:tc>
          <w:tcPr>
            <w:tcW w:w="844" w:type="dxa"/>
            <w:tcBorders>
              <w:top w:val="single" w:color="auto" w:sz="4" w:space="0"/>
              <w:left w:val="single" w:color="auto" w:sz="4" w:space="0"/>
              <w:bottom w:val="single" w:color="auto" w:sz="4" w:space="0"/>
              <w:right w:val="single" w:color="auto" w:sz="4" w:space="0"/>
            </w:tcBorders>
            <w:vAlign w:val="center"/>
          </w:tcPr>
          <w:p w14:paraId="0A8C1A2A">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r>
      <w:tr w14:paraId="7E291543">
        <w:tblPrEx>
          <w:tblCellMar>
            <w:top w:w="15" w:type="dxa"/>
            <w:left w:w="15" w:type="dxa"/>
            <w:bottom w:w="15" w:type="dxa"/>
            <w:right w:w="15" w:type="dxa"/>
          </w:tblCellMar>
        </w:tblPrEx>
        <w:trPr>
          <w:trHeight w:val="3670"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14:paraId="09016A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3D5A33F7">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320" w:type="dxa"/>
            <w:tcBorders>
              <w:top w:val="single" w:color="auto" w:sz="4" w:space="0"/>
              <w:left w:val="single" w:color="auto" w:sz="4" w:space="0"/>
              <w:bottom w:val="single" w:color="auto" w:sz="4" w:space="0"/>
              <w:right w:val="single" w:color="auto" w:sz="4" w:space="0"/>
            </w:tcBorders>
            <w:vAlign w:val="center"/>
          </w:tcPr>
          <w:p w14:paraId="4FD88D3A">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lang w:val="en-US" w:eastAsia="zh-CN"/>
              </w:rPr>
              <w:t>技术性能响应</w:t>
            </w:r>
          </w:p>
        </w:tc>
        <w:tc>
          <w:tcPr>
            <w:tcW w:w="6590" w:type="dxa"/>
            <w:tcBorders>
              <w:top w:val="single" w:color="auto" w:sz="4" w:space="0"/>
              <w:left w:val="single" w:color="auto" w:sz="4" w:space="0"/>
              <w:bottom w:val="single" w:color="auto" w:sz="4" w:space="0"/>
              <w:right w:val="single" w:color="auto" w:sz="4" w:space="0"/>
            </w:tcBorders>
            <w:vAlign w:val="center"/>
          </w:tcPr>
          <w:p w14:paraId="734DDA05">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对投标产品的性能指标及技术参数满足程度进行</w:t>
            </w:r>
            <w:r>
              <w:rPr>
                <w:rFonts w:hint="eastAsia" w:ascii="宋体" w:hAnsi="宋体" w:eastAsia="宋体" w:cs="宋体"/>
                <w:color w:val="auto"/>
                <w:sz w:val="21"/>
                <w:szCs w:val="21"/>
                <w:highlight w:val="none"/>
                <w:lang w:val="en-US" w:eastAsia="zh-CN"/>
              </w:rPr>
              <w:t>打分。</w:t>
            </w:r>
          </w:p>
          <w:p w14:paraId="1CA81DF9">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①完全满足或高于招标文件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第四章 公开招标需求-三、项目具体技术参数需求</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要求的，得</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14:paraId="15067364">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②标“▲”</w:t>
            </w:r>
            <w:r>
              <w:rPr>
                <w:rFonts w:hint="eastAsia" w:ascii="宋体" w:hAnsi="宋体" w:eastAsia="宋体" w:cs="宋体"/>
                <w:color w:val="auto"/>
                <w:sz w:val="21"/>
                <w:szCs w:val="21"/>
                <w:highlight w:val="none"/>
                <w:lang w:val="en-US" w:eastAsia="zh-CN"/>
              </w:rPr>
              <w:t>为实质性条款，</w:t>
            </w:r>
            <w:r>
              <w:rPr>
                <w:rFonts w:hint="eastAsia" w:ascii="宋体" w:hAnsi="宋体" w:eastAsia="宋体" w:cs="宋体"/>
                <w:color w:val="auto"/>
                <w:sz w:val="21"/>
                <w:szCs w:val="21"/>
                <w:highlight w:val="none"/>
              </w:rPr>
              <w:t>不满足或负偏离</w:t>
            </w:r>
            <w:r>
              <w:rPr>
                <w:rFonts w:hint="eastAsia" w:ascii="宋体" w:hAnsi="宋体" w:eastAsia="宋体" w:cs="宋体"/>
                <w:color w:val="auto"/>
                <w:sz w:val="21"/>
                <w:szCs w:val="21"/>
                <w:highlight w:val="none"/>
                <w:lang w:val="en-US" w:eastAsia="zh-CN"/>
              </w:rPr>
              <w:t>的作无效标处理；</w:t>
            </w:r>
          </w:p>
          <w:p w14:paraId="00A5698C">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③标“★”的为</w:t>
            </w:r>
            <w:r>
              <w:rPr>
                <w:rFonts w:hint="eastAsia" w:ascii="宋体" w:hAnsi="宋体" w:eastAsia="宋体" w:cs="宋体"/>
                <w:color w:val="auto"/>
                <w:sz w:val="21"/>
                <w:szCs w:val="21"/>
                <w:highlight w:val="none"/>
                <w:lang w:val="en-US" w:eastAsia="zh-CN"/>
              </w:rPr>
              <w:t>重要性能</w:t>
            </w:r>
            <w:r>
              <w:rPr>
                <w:rFonts w:hint="eastAsia" w:ascii="宋体" w:hAnsi="宋体" w:eastAsia="宋体" w:cs="宋体"/>
                <w:color w:val="auto"/>
                <w:sz w:val="21"/>
                <w:szCs w:val="21"/>
                <w:highlight w:val="none"/>
              </w:rPr>
              <w:t>指标，不满足或负偏离的一项扣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达到3项或以上不满足或负偏离的，作无效标处理；</w:t>
            </w:r>
          </w:p>
          <w:p w14:paraId="7F1CFFA3">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rPr>
              <w:t>其他技术指标不满足或负偏离的一项扣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26997BE">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扣完为止。</w:t>
            </w:r>
          </w:p>
          <w:p w14:paraId="448B937C">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lang w:val="en-US" w:eastAsia="zh-CN"/>
              </w:rPr>
              <w:t>投标人必须如实地对各条款作出明确的逐项响应承诺，并对其真实性负责。</w:t>
            </w:r>
            <w:r>
              <w:rPr>
                <w:rFonts w:hint="eastAsia" w:ascii="宋体" w:hAnsi="宋体" w:eastAsia="宋体" w:cs="宋体"/>
                <w:b/>
                <w:bCs/>
                <w:color w:val="auto"/>
                <w:sz w:val="21"/>
                <w:szCs w:val="21"/>
                <w:highlight w:val="none"/>
              </w:rPr>
              <w:t>若应答时缺项，视同负偏离处理</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lang w:val="en-US" w:eastAsia="zh-CN"/>
              </w:rPr>
              <w:t>技术参数中如要求提供产品操作截图（截图请注明所在页码位置）的，投标人按要求提供，未提供的视为技术参数负偏离</w:t>
            </w:r>
            <w:r>
              <w:rPr>
                <w:rFonts w:hint="eastAsia" w:ascii="宋体" w:hAnsi="宋体" w:eastAsia="宋体" w:cs="宋体"/>
                <w:b/>
                <w:bCs/>
                <w:color w:val="auto"/>
                <w:sz w:val="21"/>
                <w:szCs w:val="21"/>
                <w:highlight w:val="none"/>
              </w:rPr>
              <w:t>处理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提供截图证明的，</w:t>
            </w:r>
            <w:r>
              <w:rPr>
                <w:rFonts w:hint="eastAsia" w:ascii="宋体" w:hAnsi="宋体" w:eastAsia="宋体" w:cs="宋体"/>
                <w:b/>
                <w:bCs/>
                <w:color w:val="auto"/>
                <w:sz w:val="21"/>
                <w:szCs w:val="21"/>
                <w:highlight w:val="none"/>
                <w:lang w:val="en-US" w:eastAsia="zh-CN"/>
              </w:rPr>
              <w:t>投标人在</w:t>
            </w:r>
            <w:r>
              <w:rPr>
                <w:rFonts w:hint="eastAsia" w:ascii="宋体" w:hAnsi="宋体" w:eastAsia="宋体" w:cs="宋体"/>
                <w:b/>
                <w:bCs/>
                <w:color w:val="auto"/>
                <w:sz w:val="21"/>
                <w:szCs w:val="21"/>
                <w:highlight w:val="none"/>
              </w:rPr>
              <w:t>投标文件中按要求提供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并注明所在页码位置。</w:t>
            </w:r>
            <w:r>
              <w:rPr>
                <w:rFonts w:hint="eastAsia" w:ascii="宋体" w:hAnsi="宋体" w:eastAsia="宋体" w:cs="宋体"/>
                <w:b/>
                <w:bCs/>
                <w:color w:val="auto"/>
                <w:sz w:val="21"/>
                <w:szCs w:val="21"/>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65BA45F0">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40</w:t>
            </w:r>
          </w:p>
        </w:tc>
      </w:tr>
      <w:tr w14:paraId="4932A567">
        <w:tblPrEx>
          <w:tblCellMar>
            <w:top w:w="15" w:type="dxa"/>
            <w:left w:w="15" w:type="dxa"/>
            <w:bottom w:w="15" w:type="dxa"/>
            <w:right w:w="15" w:type="dxa"/>
          </w:tblCellMar>
        </w:tblPrEx>
        <w:trPr>
          <w:trHeight w:val="220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1F96E665">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2A2D7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供货及验收方案</w:t>
            </w:r>
          </w:p>
        </w:tc>
        <w:tc>
          <w:tcPr>
            <w:tcW w:w="6590" w:type="dxa"/>
            <w:tcBorders>
              <w:top w:val="single" w:color="auto" w:sz="4" w:space="0"/>
              <w:left w:val="single" w:color="auto" w:sz="4" w:space="0"/>
              <w:bottom w:val="single" w:color="auto" w:sz="4" w:space="0"/>
              <w:right w:val="single" w:color="auto" w:sz="4" w:space="0"/>
            </w:tcBorders>
            <w:vAlign w:val="center"/>
          </w:tcPr>
          <w:p w14:paraId="1198DEF0">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根据投标人针对本次采购货物的供货方案</w:t>
            </w:r>
            <w:r>
              <w:rPr>
                <w:rFonts w:hint="eastAsia" w:ascii="宋体" w:hAnsi="宋体" w:eastAsia="宋体" w:cs="宋体"/>
                <w:color w:val="auto"/>
                <w:kern w:val="0"/>
                <w:sz w:val="21"/>
                <w:szCs w:val="21"/>
                <w:highlight w:val="none"/>
              </w:rPr>
              <w:t>进行打分。</w:t>
            </w:r>
          </w:p>
          <w:p w14:paraId="61DE15E9">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方案内容齐全，对具体的供货方案作出了详细、明确的阐述，且项目方案贴合本项目实际情况的得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41ED4842">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方案内容较齐全，对具体的供货方案作出了基本全面的阐述，但方案没有贴合本项目实际情况的得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4FFB1DD8">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方案内容不够齐全，缺少内容，供货方案阐述不明确的得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0090A9A3">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0845DA18">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5FB17026">
        <w:tblPrEx>
          <w:tblCellMar>
            <w:top w:w="15" w:type="dxa"/>
            <w:left w:w="15" w:type="dxa"/>
            <w:bottom w:w="15" w:type="dxa"/>
            <w:right w:w="15" w:type="dxa"/>
          </w:tblCellMar>
        </w:tblPrEx>
        <w:trPr>
          <w:trHeight w:val="2437"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3C7291F3">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5522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14:paraId="69CE34D6">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根据投标人针对本次采购货物的验收方案</w:t>
            </w:r>
            <w:r>
              <w:rPr>
                <w:rFonts w:hint="eastAsia" w:ascii="宋体" w:hAnsi="宋体" w:eastAsia="宋体" w:cs="宋体"/>
                <w:color w:val="auto"/>
                <w:kern w:val="0"/>
                <w:sz w:val="21"/>
                <w:szCs w:val="21"/>
                <w:highlight w:val="none"/>
              </w:rPr>
              <w:t>进行打分。</w:t>
            </w:r>
          </w:p>
          <w:p w14:paraId="14CA87FA">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方案内容齐全，对具体的验收方案作出了详细、明确的阐述，且项目方案贴合本项目实际情况的得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6B6C8E31">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方案内容较齐全，对具体的验收方案作出了基本全面的阐述，但方案没有贴合本项目实际情况的得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2A82EA28">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方案内容不够齐全，缺少内容，验收方案阐述不明确的得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2BB3A956">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3D1D7B7A">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3</w:t>
            </w:r>
          </w:p>
        </w:tc>
      </w:tr>
      <w:tr w14:paraId="2C6C6148">
        <w:tblPrEx>
          <w:tblCellMar>
            <w:top w:w="15" w:type="dxa"/>
            <w:left w:w="15" w:type="dxa"/>
            <w:bottom w:w="15" w:type="dxa"/>
            <w:right w:w="15" w:type="dxa"/>
          </w:tblCellMar>
        </w:tblPrEx>
        <w:trPr>
          <w:trHeight w:val="2204"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1E7D62B0">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1916DE0B">
            <w:pPr>
              <w:widowControl/>
              <w:jc w:val="center"/>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服务团队能力</w:t>
            </w:r>
          </w:p>
        </w:tc>
        <w:tc>
          <w:tcPr>
            <w:tcW w:w="6590" w:type="dxa"/>
            <w:tcBorders>
              <w:top w:val="single" w:color="auto" w:sz="4" w:space="0"/>
              <w:left w:val="single" w:color="auto" w:sz="4" w:space="0"/>
              <w:right w:val="single" w:color="auto" w:sz="4" w:space="0"/>
            </w:tcBorders>
            <w:shd w:val="clear" w:color="auto" w:fill="auto"/>
            <w:vAlign w:val="top"/>
          </w:tcPr>
          <w:p w14:paraId="73D4271A">
            <w:pPr>
              <w:widowControl/>
              <w:tabs>
                <w:tab w:val="left" w:pos="840"/>
              </w:tabs>
              <w:jc w:val="left"/>
              <w:rPr>
                <w:rFonts w:hint="eastAsia" w:ascii="宋体" w:hAnsi="宋体" w:eastAsia="宋体" w:cs="宋体"/>
                <w:b/>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拟投入本项目的项目负责人：</w:t>
            </w:r>
            <w:r>
              <w:rPr>
                <w:rFonts w:hint="eastAsia" w:ascii="宋体" w:hAnsi="宋体" w:cs="宋体"/>
                <w:b w:val="0"/>
                <w:bCs/>
                <w:color w:val="auto"/>
                <w:sz w:val="21"/>
                <w:szCs w:val="21"/>
                <w:highlight w:val="none"/>
                <w:lang w:val="en-US" w:eastAsia="zh-CN"/>
              </w:rPr>
              <w:t>具有PMP证书的得1分，其他不得分。</w:t>
            </w:r>
          </w:p>
          <w:p w14:paraId="03F51473">
            <w:pPr>
              <w:pStyle w:val="54"/>
              <w:keepNext w:val="0"/>
              <w:keepLines w:val="0"/>
              <w:pageBreakBefore w:val="0"/>
              <w:numPr>
                <w:ilvl w:val="0"/>
                <w:numId w:val="0"/>
              </w:numPr>
              <w:tabs>
                <w:tab w:val="left" w:pos="840"/>
              </w:tabs>
              <w:kinsoku/>
              <w:wordWrap/>
              <w:overflowPunct/>
              <w:topLinePunct w:val="0"/>
              <w:bidi w:val="0"/>
              <w:snapToGrid/>
              <w:spacing w:afterAutospacing="0" w:line="240" w:lineRule="auto"/>
              <w:ind w:left="0" w:leftChars="0" w:firstLine="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拟投入项目服务人员（含项目负责人）中</w:t>
            </w:r>
            <w:r>
              <w:rPr>
                <w:rFonts w:hint="eastAsia" w:ascii="宋体" w:hAnsi="宋体" w:eastAsia="宋体" w:cs="宋体"/>
                <w:color w:val="auto"/>
                <w:szCs w:val="24"/>
                <w:highlight w:val="none"/>
              </w:rPr>
              <w:t>需</w:t>
            </w:r>
            <w:r>
              <w:rPr>
                <w:rFonts w:hint="eastAsia" w:ascii="宋体" w:hAnsi="宋体" w:eastAsia="宋体" w:cs="宋体"/>
                <w:color w:val="auto"/>
                <w:szCs w:val="24"/>
                <w:highlight w:val="none"/>
                <w:lang w:val="en-US" w:eastAsia="zh-CN"/>
              </w:rPr>
              <w:t>有人</w:t>
            </w:r>
            <w:r>
              <w:rPr>
                <w:rFonts w:hint="eastAsia" w:ascii="宋体" w:hAnsi="宋体" w:eastAsia="宋体" w:cs="宋体"/>
                <w:color w:val="auto"/>
                <w:szCs w:val="24"/>
                <w:highlight w:val="none"/>
              </w:rPr>
              <w:t>具备原厂专业技术知识服务能力证书，</w:t>
            </w:r>
            <w:r>
              <w:rPr>
                <w:rFonts w:hint="eastAsia" w:ascii="宋体" w:hAnsi="宋体" w:eastAsia="宋体" w:cs="宋体"/>
                <w:color w:val="auto"/>
                <w:szCs w:val="24"/>
                <w:highlight w:val="none"/>
                <w:lang w:val="en-US" w:eastAsia="zh-CN"/>
              </w:rPr>
              <w:t>投入人数达到1-4人的得0.5分，</w:t>
            </w:r>
            <w:r>
              <w:rPr>
                <w:rFonts w:hint="eastAsia" w:ascii="宋体" w:hAnsi="宋体" w:eastAsia="宋体" w:cs="宋体"/>
                <w:color w:val="auto"/>
                <w:szCs w:val="24"/>
                <w:highlight w:val="none"/>
              </w:rPr>
              <w:t>满足5</w:t>
            </w:r>
            <w:r>
              <w:rPr>
                <w:rFonts w:hint="eastAsia" w:ascii="宋体" w:hAnsi="宋体" w:eastAsia="宋体" w:cs="宋体"/>
                <w:color w:val="auto"/>
                <w:szCs w:val="24"/>
                <w:highlight w:val="none"/>
                <w:lang w:val="en-US" w:eastAsia="zh-CN"/>
              </w:rPr>
              <w:t>-9人的</w:t>
            </w:r>
            <w:r>
              <w:rPr>
                <w:rFonts w:hint="eastAsia" w:ascii="宋体" w:hAnsi="宋体" w:eastAsia="宋体" w:cs="宋体"/>
                <w:color w:val="auto"/>
                <w:szCs w:val="24"/>
                <w:highlight w:val="none"/>
              </w:rPr>
              <w:t>得1分，满足10人</w:t>
            </w:r>
            <w:r>
              <w:rPr>
                <w:rFonts w:hint="eastAsia" w:ascii="宋体" w:hAnsi="宋体" w:eastAsia="宋体" w:cs="宋体"/>
                <w:color w:val="auto"/>
                <w:szCs w:val="24"/>
                <w:highlight w:val="none"/>
                <w:lang w:val="en-US" w:eastAsia="zh-CN"/>
              </w:rPr>
              <w:t>及以上的</w:t>
            </w:r>
            <w:r>
              <w:rPr>
                <w:rFonts w:hint="eastAsia" w:ascii="宋体" w:hAnsi="宋体" w:eastAsia="宋体" w:cs="宋体"/>
                <w:color w:val="auto"/>
                <w:szCs w:val="24"/>
                <w:highlight w:val="none"/>
              </w:rPr>
              <w:t>得2分，</w:t>
            </w:r>
            <w:r>
              <w:rPr>
                <w:rFonts w:hint="eastAsia" w:ascii="宋体" w:hAnsi="宋体" w:eastAsia="宋体" w:cs="宋体"/>
                <w:color w:val="auto"/>
                <w:szCs w:val="24"/>
                <w:highlight w:val="none"/>
                <w:lang w:val="en-US" w:eastAsia="zh-CN"/>
              </w:rPr>
              <w:t>其他</w:t>
            </w:r>
            <w:r>
              <w:rPr>
                <w:rFonts w:hint="eastAsia" w:ascii="宋体" w:hAnsi="宋体" w:eastAsia="宋体" w:cs="宋体"/>
                <w:color w:val="auto"/>
                <w:szCs w:val="24"/>
                <w:highlight w:val="none"/>
              </w:rPr>
              <w:t>不得分。</w:t>
            </w:r>
          </w:p>
          <w:p w14:paraId="34D323E7">
            <w:pPr>
              <w:pStyle w:val="54"/>
              <w:keepNext w:val="0"/>
              <w:keepLines w:val="0"/>
              <w:pageBreakBefore w:val="0"/>
              <w:numPr>
                <w:ilvl w:val="0"/>
                <w:numId w:val="0"/>
              </w:numPr>
              <w:tabs>
                <w:tab w:val="left" w:pos="840"/>
              </w:tabs>
              <w:kinsoku/>
              <w:wordWrap/>
              <w:overflowPunct/>
              <w:topLinePunct w:val="0"/>
              <w:bidi w:val="0"/>
              <w:snapToGrid/>
              <w:spacing w:afterAutospacing="0" w:line="240" w:lineRule="auto"/>
              <w:ind w:left="0" w:leftChars="0"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36E0130">
            <w:pPr>
              <w:keepNext w:val="0"/>
              <w:keepLines w:val="0"/>
              <w:pageBreakBefore w:val="0"/>
              <w:widowControl/>
              <w:numPr>
                <w:ilvl w:val="0"/>
                <w:numId w:val="0"/>
              </w:numPr>
              <w:tabs>
                <w:tab w:val="left" w:pos="840"/>
              </w:tabs>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（须提供人员清单和</w:t>
            </w:r>
            <w:r>
              <w:rPr>
                <w:rFonts w:hint="eastAsia" w:ascii="宋体" w:hAnsi="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en-US" w:eastAsia="zh-CN"/>
              </w:rPr>
              <w:t>证书复印件并加盖投标人公章编入投标文件中，未提供</w:t>
            </w:r>
            <w:r>
              <w:rPr>
                <w:rFonts w:hint="eastAsia" w:ascii="宋体" w:hAnsi="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lang w:val="en-US" w:eastAsia="zh-CN"/>
              </w:rPr>
              <w:t>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720B0219">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53427442">
        <w:tblPrEx>
          <w:tblCellMar>
            <w:top w:w="15" w:type="dxa"/>
            <w:left w:w="15" w:type="dxa"/>
            <w:bottom w:w="15" w:type="dxa"/>
            <w:right w:w="15" w:type="dxa"/>
          </w:tblCellMar>
        </w:tblPrEx>
        <w:trPr>
          <w:trHeight w:val="257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01C56011">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sz w:val="21"/>
                <w:szCs w:val="21"/>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75D6B516">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相关培训</w:t>
            </w:r>
          </w:p>
        </w:tc>
        <w:tc>
          <w:tcPr>
            <w:tcW w:w="6590" w:type="dxa"/>
            <w:tcBorders>
              <w:top w:val="single" w:color="auto" w:sz="4" w:space="0"/>
              <w:left w:val="single" w:color="auto" w:sz="4" w:space="0"/>
              <w:bottom w:val="single" w:color="auto" w:sz="4" w:space="0"/>
              <w:right w:val="single" w:color="auto" w:sz="4" w:space="0"/>
            </w:tcBorders>
            <w:vAlign w:val="center"/>
          </w:tcPr>
          <w:p w14:paraId="4135427C">
            <w:pPr>
              <w:widowControl/>
              <w:tabs>
                <w:tab w:val="left" w:pos="840"/>
              </w:tabs>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投标人提供的可行合理的培训方案及培训计划：含培训资质、培训方式、培训参加人员、培训内容、日程、课程安排、课时等：</w:t>
            </w:r>
          </w:p>
          <w:p w14:paraId="26E46A19">
            <w:pPr>
              <w:tabs>
                <w:tab w:val="left" w:pos="840"/>
              </w:tabs>
              <w:adjustRightInd w:val="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培训方案措施明确、培训人员安排非常周到、培训平台契合世界技能大赛官方推荐平台、培训内容非常丰富、课程安排非常合理、培训课时大于36课时的得6分；</w:t>
            </w:r>
          </w:p>
          <w:p w14:paraId="6F931359">
            <w:pPr>
              <w:tabs>
                <w:tab w:val="left" w:pos="840"/>
              </w:tabs>
              <w:adjustRightInd w:val="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培训方案措施比较明确、培训人员安排比较周到、培训内容比较丰富、课程安排比较合理、培训课时大于24课时的得3分；</w:t>
            </w:r>
          </w:p>
          <w:p w14:paraId="07F74416">
            <w:pPr>
              <w:tabs>
                <w:tab w:val="left" w:pos="840"/>
              </w:tabs>
              <w:adjustRightInd w:val="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培训方案措施不够明确、培训人员安排不够周到、培训内容不够丰富、课程安排不够合理、培训课时大于12课时的得1分。</w:t>
            </w:r>
          </w:p>
          <w:p w14:paraId="0325998B">
            <w:pPr>
              <w:tabs>
                <w:tab w:val="left" w:pos="840"/>
              </w:tabs>
              <w:adjustRightInd w:val="0"/>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54FFF9C6">
            <w:pPr>
              <w:tabs>
                <w:tab w:val="left" w:pos="840"/>
              </w:tabs>
              <w:adjustRightInd w:val="0"/>
              <w:spacing w:after="100" w:afterAutospacing="1"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08185B3D">
        <w:tblPrEx>
          <w:tblCellMar>
            <w:top w:w="15" w:type="dxa"/>
            <w:left w:w="15" w:type="dxa"/>
            <w:bottom w:w="15" w:type="dxa"/>
            <w:right w:w="15" w:type="dxa"/>
          </w:tblCellMar>
        </w:tblPrEx>
        <w:trPr>
          <w:trHeight w:val="9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6FEB3135">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936DE08">
            <w:pPr>
              <w:widowControl/>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售后服务方案</w:t>
            </w:r>
          </w:p>
        </w:tc>
        <w:tc>
          <w:tcPr>
            <w:tcW w:w="6590" w:type="dxa"/>
            <w:tcBorders>
              <w:top w:val="single" w:color="auto" w:sz="4" w:space="0"/>
              <w:left w:val="single" w:color="auto" w:sz="4" w:space="0"/>
              <w:bottom w:val="single" w:color="auto" w:sz="4" w:space="0"/>
              <w:right w:val="single" w:color="auto" w:sz="4" w:space="0"/>
            </w:tcBorders>
            <w:shd w:val="clear" w:color="auto" w:fill="auto"/>
            <w:vAlign w:val="center"/>
          </w:tcPr>
          <w:p w14:paraId="6649734F">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根据投标供应商提供的售后服务方案的优劣程度进行综合比较评价：</w:t>
            </w:r>
          </w:p>
          <w:p w14:paraId="46258EEF">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提供售后服务方案及保障措施完善，服务体系完整度高，服务团队人员稳定、技术能力强，服务响应</w:t>
            </w:r>
            <w:r>
              <w:rPr>
                <w:rFonts w:hint="eastAsia" w:ascii="宋体" w:hAnsi="宋体" w:eastAsia="宋体" w:cs="宋体"/>
                <w:color w:val="auto"/>
                <w:kern w:val="0"/>
                <w:sz w:val="21"/>
                <w:szCs w:val="21"/>
                <w:highlight w:val="none"/>
              </w:rPr>
              <w:t>时间在24小时内</w:t>
            </w:r>
            <w:r>
              <w:rPr>
                <w:rFonts w:hint="eastAsia" w:ascii="宋体" w:hAnsi="宋体" w:eastAsia="宋体" w:cs="宋体"/>
                <w:color w:val="auto"/>
                <w:kern w:val="0"/>
                <w:sz w:val="21"/>
                <w:szCs w:val="21"/>
                <w:highlight w:val="none"/>
                <w:lang w:val="zh-CN"/>
              </w:rPr>
              <w:t>，有统一服务热线电话和售后巡检服务的得</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分；</w:t>
            </w:r>
          </w:p>
          <w:p w14:paraId="73EB6A4E">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提供售后服务方案及保障措施较完善，服务体系较完备，服务团队人员相对稳定、技术能力较强，服务响应</w:t>
            </w:r>
            <w:r>
              <w:rPr>
                <w:rFonts w:hint="eastAsia" w:ascii="宋体" w:hAnsi="宋体" w:eastAsia="宋体" w:cs="宋体"/>
                <w:color w:val="auto"/>
                <w:kern w:val="0"/>
                <w:sz w:val="21"/>
                <w:szCs w:val="21"/>
                <w:highlight w:val="none"/>
              </w:rPr>
              <w:t>时间在48小时内</w:t>
            </w:r>
            <w:r>
              <w:rPr>
                <w:rFonts w:hint="eastAsia" w:ascii="宋体" w:hAnsi="宋体" w:eastAsia="宋体" w:cs="宋体"/>
                <w:color w:val="auto"/>
                <w:kern w:val="0"/>
                <w:sz w:val="21"/>
                <w:szCs w:val="21"/>
                <w:highlight w:val="none"/>
                <w:lang w:val="zh-CN"/>
              </w:rPr>
              <w:t>，具有统一服务热线措施的得</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分；</w:t>
            </w:r>
          </w:p>
          <w:p w14:paraId="77BC2AC9">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提供售后服务方案及保障措施不完善，质量体系不完备，服务团队人员不稳定、技术能力差，服务响应</w:t>
            </w:r>
            <w:r>
              <w:rPr>
                <w:rFonts w:hint="eastAsia" w:ascii="宋体" w:hAnsi="宋体" w:eastAsia="宋体" w:cs="宋体"/>
                <w:color w:val="auto"/>
                <w:kern w:val="0"/>
                <w:sz w:val="21"/>
                <w:szCs w:val="21"/>
                <w:highlight w:val="none"/>
              </w:rPr>
              <w:t>时间在72小时内</w:t>
            </w:r>
            <w:r>
              <w:rPr>
                <w:rFonts w:hint="eastAsia" w:ascii="宋体" w:hAnsi="宋体" w:eastAsia="宋体" w:cs="宋体"/>
                <w:color w:val="auto"/>
                <w:kern w:val="0"/>
                <w:sz w:val="21"/>
                <w:szCs w:val="21"/>
                <w:highlight w:val="none"/>
                <w:lang w:val="zh-CN"/>
              </w:rPr>
              <w:t>，未提供响应措施等，得</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分；</w:t>
            </w:r>
          </w:p>
          <w:p w14:paraId="71454B99">
            <w:pPr>
              <w:keepNext w:val="0"/>
              <w:keepLines w:val="0"/>
              <w:pageBreakBefore w:val="0"/>
              <w:widowControl/>
              <w:numPr>
                <w:ilvl w:val="0"/>
                <w:numId w:val="0"/>
              </w:numPr>
              <w:tabs>
                <w:tab w:val="left" w:pos="840"/>
              </w:tabs>
              <w:kinsoku/>
              <w:wordWrap/>
              <w:overflowPunct/>
              <w:topLinePunct w:val="0"/>
              <w:autoSpaceDE/>
              <w:autoSpaceDN/>
              <w:bidi w:val="0"/>
              <w:adjustRightInd/>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无方案或方案不合理的不得分。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3F2B3078">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5</w:t>
            </w:r>
          </w:p>
        </w:tc>
      </w:tr>
      <w:tr w14:paraId="5718FDE6">
        <w:tblPrEx>
          <w:tblCellMar>
            <w:top w:w="15" w:type="dxa"/>
            <w:left w:w="15" w:type="dxa"/>
            <w:bottom w:w="15" w:type="dxa"/>
            <w:right w:w="15" w:type="dxa"/>
          </w:tblCellMar>
        </w:tblPrEx>
        <w:trPr>
          <w:trHeight w:val="1113"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1E20E5A1">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价格</w:t>
            </w:r>
          </w:p>
          <w:p w14:paraId="20B413A4">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30分</w:t>
            </w:r>
            <w:r>
              <w:rPr>
                <w:rFonts w:hint="eastAsia" w:ascii="宋体" w:hAnsi="宋体" w:eastAsia="宋体" w:cs="宋体"/>
                <w:b w:val="0"/>
                <w:bCs/>
                <w:color w:val="auto"/>
                <w:kern w:val="0"/>
                <w:sz w:val="21"/>
                <w:szCs w:val="21"/>
                <w:highlight w:val="none"/>
                <w:lang w:eastAsia="zh-CN"/>
              </w:rPr>
              <w:t>）</w:t>
            </w:r>
          </w:p>
        </w:tc>
        <w:tc>
          <w:tcPr>
            <w:tcW w:w="6590" w:type="dxa"/>
            <w:tcBorders>
              <w:top w:val="single" w:color="auto" w:sz="4" w:space="0"/>
              <w:left w:val="single" w:color="auto" w:sz="4" w:space="0"/>
              <w:bottom w:val="single" w:color="auto" w:sz="4" w:space="0"/>
              <w:right w:val="single" w:color="auto" w:sz="4" w:space="0"/>
            </w:tcBorders>
            <w:vAlign w:val="center"/>
          </w:tcPr>
          <w:p w14:paraId="16140F5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4BE1478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p>
        </w:tc>
      </w:tr>
    </w:tbl>
    <w:p w14:paraId="7716AD44">
      <w:pPr>
        <w:spacing w:line="360" w:lineRule="auto"/>
        <w:jc w:val="center"/>
        <w:outlineLvl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5F2A408B">
      <w:p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br w:type="page"/>
      </w:r>
    </w:p>
    <w:p w14:paraId="346A1FE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436EA99">
      <w:pPr>
        <w:tabs>
          <w:tab w:val="left" w:pos="8280"/>
        </w:tabs>
        <w:autoSpaceDE w:val="0"/>
        <w:autoSpaceDN w:val="0"/>
        <w:adjustRightInd w:val="0"/>
        <w:spacing w:line="360" w:lineRule="auto"/>
        <w:ind w:right="25" w:firstLine="422" w:firstLineChars="200"/>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val="en-US" w:eastAsia="zh-CN"/>
        </w:rPr>
        <w:t>项目概况</w:t>
      </w:r>
    </w:p>
    <w:p w14:paraId="307F3017">
      <w:pPr>
        <w:tabs>
          <w:tab w:val="left" w:pos="8280"/>
        </w:tabs>
        <w:autoSpaceDE w:val="0"/>
        <w:autoSpaceDN w:val="0"/>
        <w:adjustRightInd w:val="0"/>
        <w:spacing w:line="360" w:lineRule="auto"/>
        <w:ind w:right="25"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2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725"/>
        <w:gridCol w:w="934"/>
      </w:tblGrid>
      <w:tr w14:paraId="65E2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1" w:type="dxa"/>
            <w:vAlign w:val="center"/>
          </w:tcPr>
          <w:p w14:paraId="1AC2CFA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379" w:type="dxa"/>
            <w:vAlign w:val="center"/>
          </w:tcPr>
          <w:p w14:paraId="535C229C">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64" w:type="dxa"/>
            <w:vAlign w:val="center"/>
          </w:tcPr>
          <w:p w14:paraId="05A576E9">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2" w:type="dxa"/>
            <w:vAlign w:val="center"/>
          </w:tcPr>
          <w:p w14:paraId="5CB79080">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2" w:type="dxa"/>
            <w:vAlign w:val="center"/>
          </w:tcPr>
          <w:p w14:paraId="19FEC8C5">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25" w:type="dxa"/>
            <w:vAlign w:val="center"/>
          </w:tcPr>
          <w:p w14:paraId="2C06FB95">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4431FF26">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934" w:type="dxa"/>
            <w:vAlign w:val="center"/>
          </w:tcPr>
          <w:p w14:paraId="7D2E2369">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251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14:paraId="0AC94513">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9" w:type="dxa"/>
            <w:vAlign w:val="center"/>
          </w:tcPr>
          <w:p w14:paraId="17D43854">
            <w:pPr>
              <w:keepNext w:val="0"/>
              <w:keepLines w:val="0"/>
              <w:pageBreakBefore w:val="0"/>
              <w:tabs>
                <w:tab w:val="left" w:pos="8280"/>
              </w:tabs>
              <w:kinsoku/>
              <w:wordWrap/>
              <w:topLinePunct w:val="0"/>
              <w:autoSpaceDE w:val="0"/>
              <w:autoSpaceDN w:val="0"/>
              <w:bidi w:val="0"/>
              <w:adjustRightInd w:val="0"/>
              <w:spacing w:line="360" w:lineRule="auto"/>
              <w:ind w:right="25" w:right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b w:val="0"/>
                <w:bCs w:val="0"/>
                <w:color w:val="auto"/>
                <w:sz w:val="21"/>
                <w:szCs w:val="21"/>
                <w:highlight w:val="none"/>
                <w:lang w:eastAsia="zh-CN"/>
              </w:rPr>
              <w:t>云计算赛教资源包建设项目</w:t>
            </w:r>
          </w:p>
        </w:tc>
        <w:tc>
          <w:tcPr>
            <w:tcW w:w="1564" w:type="dxa"/>
            <w:vAlign w:val="center"/>
          </w:tcPr>
          <w:p w14:paraId="2C046C95">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72" w:type="dxa"/>
            <w:vAlign w:val="center"/>
          </w:tcPr>
          <w:p w14:paraId="2058ED30">
            <w:pPr>
              <w:keepNext w:val="0"/>
              <w:keepLines w:val="0"/>
              <w:pageBreakBefore w:val="0"/>
              <w:tabs>
                <w:tab w:val="left" w:pos="8280"/>
              </w:tabs>
              <w:kinsoku/>
              <w:wordWrap/>
              <w:topLinePunct w:val="0"/>
              <w:autoSpaceDE w:val="0"/>
              <w:autoSpaceDN w:val="0"/>
              <w:bidi w:val="0"/>
              <w:adjustRightInd w:val="0"/>
              <w:spacing w:line="360" w:lineRule="auto"/>
              <w:ind w:right="25"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2" w:type="dxa"/>
            <w:vAlign w:val="center"/>
          </w:tcPr>
          <w:p w14:paraId="5D7083A3">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1725" w:type="dxa"/>
            <w:vAlign w:val="center"/>
          </w:tcPr>
          <w:p w14:paraId="296A7BCD">
            <w:pPr>
              <w:keepNext w:val="0"/>
              <w:keepLines w:val="0"/>
              <w:pageBreakBefore w:val="0"/>
              <w:tabs>
                <w:tab w:val="left" w:pos="8280"/>
              </w:tabs>
              <w:kinsoku/>
              <w:wordWrap/>
              <w:topLinePunct w:val="0"/>
              <w:autoSpaceDE w:val="0"/>
              <w:autoSpaceDN w:val="0"/>
              <w:bidi w:val="0"/>
              <w:adjustRightInd w:val="0"/>
              <w:spacing w:line="360" w:lineRule="auto"/>
              <w:ind w:right="25"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w:t>
            </w:r>
          </w:p>
        </w:tc>
        <w:tc>
          <w:tcPr>
            <w:tcW w:w="934" w:type="dxa"/>
            <w:vAlign w:val="center"/>
          </w:tcPr>
          <w:p w14:paraId="2D9C2A89">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776098D6">
      <w:pPr>
        <w:keepNext w:val="0"/>
        <w:keepLines w:val="0"/>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21"/>
          <w:highlight w:val="none"/>
        </w:rPr>
      </w:pPr>
    </w:p>
    <w:p w14:paraId="535E29F6">
      <w:pPr>
        <w:numPr>
          <w:ilvl w:val="0"/>
          <w:numId w:val="0"/>
        </w:numPr>
        <w:ind w:firstLine="422" w:firstLineChars="200"/>
        <w:rPr>
          <w:rFonts w:hint="eastAsia" w:hAnsi="宋体" w:cs="宋体"/>
          <w:b/>
          <w:bCs/>
          <w:color w:val="auto"/>
          <w:kern w:val="2"/>
          <w:sz w:val="21"/>
          <w:szCs w:val="21"/>
          <w:highlight w:val="none"/>
          <w:lang w:val="en-US" w:eastAsia="zh-CN" w:bidi="ar-SA"/>
        </w:rPr>
      </w:pPr>
      <w:r>
        <w:rPr>
          <w:rFonts w:hint="eastAsia" w:ascii="Times New Roman" w:hAnsi="宋体" w:eastAsia="宋体" w:cs="宋体"/>
          <w:b/>
          <w:bCs/>
          <w:color w:val="auto"/>
          <w:kern w:val="2"/>
          <w:sz w:val="21"/>
          <w:szCs w:val="21"/>
          <w:highlight w:val="none"/>
          <w:lang w:val="en-US" w:eastAsia="zh-CN" w:bidi="ar-SA"/>
        </w:rPr>
        <w:t>二、</w:t>
      </w:r>
      <w:r>
        <w:rPr>
          <w:rFonts w:hint="eastAsia" w:hAnsi="宋体" w:cs="宋体"/>
          <w:b/>
          <w:bCs/>
          <w:color w:val="auto"/>
          <w:kern w:val="2"/>
          <w:sz w:val="21"/>
          <w:szCs w:val="21"/>
          <w:highlight w:val="none"/>
          <w:lang w:val="en-US" w:eastAsia="zh-CN" w:bidi="ar-SA"/>
        </w:rPr>
        <w:t>采购内容一览表</w:t>
      </w:r>
    </w:p>
    <w:tbl>
      <w:tblPr>
        <w:tblStyle w:val="21"/>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4420"/>
        <w:gridCol w:w="705"/>
        <w:gridCol w:w="654"/>
        <w:gridCol w:w="1329"/>
        <w:gridCol w:w="1109"/>
      </w:tblGrid>
      <w:tr w14:paraId="7DA3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2" w:type="pct"/>
            <w:vAlign w:val="center"/>
          </w:tcPr>
          <w:p w14:paraId="1EA3B76E">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2515" w:type="pct"/>
            <w:vAlign w:val="center"/>
          </w:tcPr>
          <w:p w14:paraId="747D5EB6">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清单内容</w:t>
            </w:r>
          </w:p>
        </w:tc>
        <w:tc>
          <w:tcPr>
            <w:tcW w:w="401" w:type="pct"/>
            <w:vAlign w:val="center"/>
          </w:tcPr>
          <w:p w14:paraId="55DF1F47">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数量</w:t>
            </w:r>
          </w:p>
        </w:tc>
        <w:tc>
          <w:tcPr>
            <w:tcW w:w="372" w:type="pct"/>
            <w:vAlign w:val="center"/>
          </w:tcPr>
          <w:p w14:paraId="0CECE657">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单位</w:t>
            </w:r>
          </w:p>
        </w:tc>
        <w:tc>
          <w:tcPr>
            <w:tcW w:w="756" w:type="pct"/>
            <w:vAlign w:val="center"/>
          </w:tcPr>
          <w:p w14:paraId="5D935E14">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交货期</w:t>
            </w:r>
          </w:p>
        </w:tc>
        <w:tc>
          <w:tcPr>
            <w:tcW w:w="631" w:type="pct"/>
            <w:vAlign w:val="center"/>
          </w:tcPr>
          <w:p w14:paraId="0F9A6FA1">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4855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322" w:type="pct"/>
            <w:vAlign w:val="center"/>
          </w:tcPr>
          <w:p w14:paraId="2E90F640">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rPr>
              <w:t>1</w:t>
            </w:r>
          </w:p>
        </w:tc>
        <w:tc>
          <w:tcPr>
            <w:tcW w:w="2515" w:type="pct"/>
            <w:vAlign w:val="center"/>
          </w:tcPr>
          <w:p w14:paraId="40564E06">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云计算人才国赛技能提升服务包</w:t>
            </w:r>
          </w:p>
        </w:tc>
        <w:tc>
          <w:tcPr>
            <w:tcW w:w="401" w:type="pct"/>
            <w:vAlign w:val="center"/>
          </w:tcPr>
          <w:p w14:paraId="5A86CDB0">
            <w:pPr>
              <w:pStyle w:val="17"/>
              <w:keepNext w:val="0"/>
              <w:keepLines w:val="0"/>
              <w:widowControl/>
              <w:suppressLineNumbers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72" w:type="pct"/>
            <w:vAlign w:val="center"/>
          </w:tcPr>
          <w:p w14:paraId="7A10334B">
            <w:pPr>
              <w:keepNext w:val="0"/>
              <w:keepLines w:val="0"/>
              <w:pageBreakBefore w:val="0"/>
              <w:tabs>
                <w:tab w:val="left" w:pos="8280"/>
              </w:tabs>
              <w:kinsoku/>
              <w:wordWrap/>
              <w:topLinePunct w:val="0"/>
              <w:autoSpaceDE w:val="0"/>
              <w:autoSpaceDN w:val="0"/>
              <w:bidi w:val="0"/>
              <w:adjustRightInd w:val="0"/>
              <w:spacing w:line="240" w:lineRule="auto"/>
              <w:ind w:right="25"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756" w:type="pct"/>
            <w:vMerge w:val="restart"/>
            <w:vAlign w:val="center"/>
          </w:tcPr>
          <w:p w14:paraId="66F3537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中标公告发布后40天内交货完毕。</w:t>
            </w:r>
          </w:p>
        </w:tc>
        <w:tc>
          <w:tcPr>
            <w:tcW w:w="631" w:type="pct"/>
            <w:vAlign w:val="center"/>
          </w:tcPr>
          <w:p w14:paraId="7D977ED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核心产品</w:t>
            </w:r>
          </w:p>
        </w:tc>
      </w:tr>
      <w:tr w14:paraId="0B8D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322" w:type="pct"/>
            <w:vAlign w:val="center"/>
          </w:tcPr>
          <w:p w14:paraId="5B621D93">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rPr>
              <w:t>2</w:t>
            </w:r>
          </w:p>
        </w:tc>
        <w:tc>
          <w:tcPr>
            <w:tcW w:w="2515" w:type="pct"/>
            <w:vAlign w:val="center"/>
          </w:tcPr>
          <w:p w14:paraId="591F2DCF">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云计算技能提升题库</w:t>
            </w:r>
          </w:p>
        </w:tc>
        <w:tc>
          <w:tcPr>
            <w:tcW w:w="401" w:type="pct"/>
            <w:vAlign w:val="center"/>
          </w:tcPr>
          <w:p w14:paraId="154BCB54">
            <w:pPr>
              <w:pStyle w:val="17"/>
              <w:keepNext w:val="0"/>
              <w:keepLines w:val="0"/>
              <w:widowControl/>
              <w:suppressLineNumbers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72" w:type="pct"/>
            <w:vAlign w:val="center"/>
          </w:tcPr>
          <w:p w14:paraId="00AEF587">
            <w:pPr>
              <w:keepNext w:val="0"/>
              <w:keepLines w:val="0"/>
              <w:pageBreakBefore w:val="0"/>
              <w:tabs>
                <w:tab w:val="left" w:pos="8280"/>
              </w:tabs>
              <w:kinsoku/>
              <w:wordWrap/>
              <w:topLinePunct w:val="0"/>
              <w:autoSpaceDE w:val="0"/>
              <w:autoSpaceDN w:val="0"/>
              <w:bidi w:val="0"/>
              <w:adjustRightInd w:val="0"/>
              <w:spacing w:line="240" w:lineRule="auto"/>
              <w:ind w:right="25"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套</w:t>
            </w:r>
          </w:p>
        </w:tc>
        <w:tc>
          <w:tcPr>
            <w:tcW w:w="756" w:type="pct"/>
            <w:vMerge w:val="continue"/>
            <w:vAlign w:val="center"/>
          </w:tcPr>
          <w:p w14:paraId="7F98889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1" w:type="pct"/>
            <w:vAlign w:val="center"/>
          </w:tcPr>
          <w:p w14:paraId="3E96E5C5">
            <w:pPr>
              <w:keepNext w:val="0"/>
              <w:keepLines w:val="0"/>
              <w:widowControl/>
              <w:numPr>
                <w:ilvl w:val="0"/>
                <w:numId w:val="0"/>
              </w:numPr>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44B70387">
      <w:pPr>
        <w:numPr>
          <w:ilvl w:val="0"/>
          <w:numId w:val="0"/>
        </w:numPr>
        <w:spacing w:line="36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color w:val="auto"/>
          <w:sz w:val="21"/>
          <w:szCs w:val="21"/>
          <w:highlight w:val="none"/>
          <w:lang w:val="zh-CN"/>
        </w:rPr>
        <w:t>评审得分相同的，由评标委员会集体推荐一个投标人作为中标候选人，其他同品牌投标人不作为中标候选人。</w:t>
      </w:r>
    </w:p>
    <w:p w14:paraId="54DCDA29">
      <w:pPr>
        <w:numPr>
          <w:ilvl w:val="0"/>
          <w:numId w:val="0"/>
        </w:numPr>
        <w:spacing w:line="360" w:lineRule="auto"/>
        <w:ind w:left="0" w:leftChars="0" w:firstLine="422" w:firstLineChars="200"/>
        <w:rPr>
          <w:rFonts w:hint="eastAsia" w:ascii="宋体" w:hAnsi="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cs="宋体"/>
          <w:b/>
          <w:bCs/>
          <w:color w:val="auto"/>
          <w:sz w:val="21"/>
          <w:szCs w:val="21"/>
          <w:highlight w:val="none"/>
          <w:lang w:val="en-US" w:eastAsia="zh-CN"/>
        </w:rPr>
        <w:t>项目具体技术参数需求</w:t>
      </w:r>
    </w:p>
    <w:tbl>
      <w:tblPr>
        <w:tblStyle w:val="21"/>
        <w:tblW w:w="5217"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3"/>
        <w:gridCol w:w="6844"/>
      </w:tblGrid>
      <w:tr w14:paraId="7962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25" w:type="dxa"/>
            <w:noWrap w:val="0"/>
            <w:vAlign w:val="center"/>
          </w:tcPr>
          <w:p w14:paraId="3E6B582E">
            <w:pPr>
              <w:widowControl/>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序号</w:t>
            </w:r>
          </w:p>
        </w:tc>
        <w:tc>
          <w:tcPr>
            <w:tcW w:w="1423" w:type="dxa"/>
            <w:noWrap w:val="0"/>
            <w:vAlign w:val="center"/>
          </w:tcPr>
          <w:p w14:paraId="2AB7F992">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rPr>
              <w:t>名称</w:t>
            </w:r>
          </w:p>
        </w:tc>
        <w:tc>
          <w:tcPr>
            <w:tcW w:w="6845" w:type="dxa"/>
            <w:noWrap w:val="0"/>
            <w:vAlign w:val="center"/>
          </w:tcPr>
          <w:p w14:paraId="3691D2E1">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rPr>
              <w:t>产品参数</w:t>
            </w:r>
          </w:p>
        </w:tc>
      </w:tr>
      <w:tr w14:paraId="2898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14:paraId="6D40D4AF">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1423" w:type="dxa"/>
            <w:noWrap w:val="0"/>
            <w:vAlign w:val="center"/>
          </w:tcPr>
          <w:p w14:paraId="26E8EA4E">
            <w:pPr>
              <w:widowControl/>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云计算人才国赛技能提升服务包</w:t>
            </w:r>
          </w:p>
        </w:tc>
        <w:tc>
          <w:tcPr>
            <w:tcW w:w="6845" w:type="dxa"/>
            <w:noWrap w:val="0"/>
            <w:vAlign w:val="center"/>
          </w:tcPr>
          <w:p w14:paraId="69F99F53">
            <w:pPr>
              <w:keepNext w:val="0"/>
              <w:keepLines w:val="0"/>
              <w:pageBreakBefore w:val="0"/>
              <w:widowControl/>
              <w:kinsoku/>
              <w:wordWrap/>
              <w:overflowPunct/>
              <w:topLinePunct w:val="0"/>
              <w:bidi w:val="0"/>
              <w:adjustRightInd/>
              <w:snapToGrid/>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提供≥8轮，每轮两天的培训。</w:t>
            </w:r>
          </w:p>
          <w:p w14:paraId="6E0C1C8D">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培训内容涉及容器技术与Docker相关技术。</w:t>
            </w:r>
          </w:p>
          <w:p w14:paraId="5CC02786">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培训内容需要包含云计算服务模式，其中具有 IaaS、PaaS、SaaS三部分内容</w:t>
            </w:r>
            <w:r>
              <w:rPr>
                <w:rFonts w:hint="eastAsia" w:ascii="宋体" w:hAnsi="宋体" w:eastAsia="宋体" w:cs="宋体"/>
                <w:color w:val="auto"/>
                <w:sz w:val="21"/>
                <w:szCs w:val="21"/>
                <w:highlight w:val="none"/>
                <w:lang w:eastAsia="zh-CN"/>
              </w:rPr>
              <w:t>。</w:t>
            </w:r>
          </w:p>
          <w:p w14:paraId="13FB59E1">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提供配套培训轮次的培训内容列表</w:t>
            </w:r>
            <w:r>
              <w:rPr>
                <w:rFonts w:hint="eastAsia" w:ascii="宋体" w:hAnsi="宋体" w:eastAsia="宋体" w:cs="宋体"/>
                <w:color w:val="auto"/>
                <w:sz w:val="21"/>
                <w:szCs w:val="21"/>
                <w:highlight w:val="none"/>
                <w:lang w:eastAsia="zh-CN"/>
              </w:rPr>
              <w:t>。</w:t>
            </w:r>
          </w:p>
          <w:p w14:paraId="42DE781B">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★5</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要求交付工程师中有人有6个以上主流云厂商的认证证书；中标后7个工作日内提供相关证书复印件加盖投标人公章。</w:t>
            </w:r>
          </w:p>
          <w:p w14:paraId="07EA2480">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u w:val="single"/>
              </w:rPr>
              <w:t>▲6</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培训平台需与世界技能大赛官方推荐平台一致；（</w:t>
            </w:r>
            <w:r>
              <w:rPr>
                <w:rFonts w:hint="eastAsia" w:ascii="宋体" w:hAnsi="宋体" w:cs="宋体"/>
                <w:b/>
                <w:bCs w:val="0"/>
                <w:color w:val="auto"/>
                <w:sz w:val="21"/>
                <w:szCs w:val="21"/>
                <w:highlight w:val="none"/>
                <w:u w:val="single"/>
                <w:lang w:val="en-US" w:eastAsia="zh-CN"/>
              </w:rPr>
              <w:t>须</w:t>
            </w:r>
            <w:r>
              <w:rPr>
                <w:rFonts w:hint="eastAsia" w:ascii="宋体" w:hAnsi="宋体" w:eastAsia="宋体" w:cs="宋体"/>
                <w:b/>
                <w:bCs w:val="0"/>
                <w:color w:val="auto"/>
                <w:sz w:val="21"/>
                <w:szCs w:val="21"/>
                <w:highlight w:val="none"/>
                <w:u w:val="single"/>
              </w:rPr>
              <w:t>提供赛事证明截图）</w:t>
            </w:r>
          </w:p>
          <w:p w14:paraId="00ADF699">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培训内容需要以公有云的最佳实践为主，包含基本技能（点）、技术方案技能（线）、和系统架构设计技能（面）三个层次。</w:t>
            </w:r>
          </w:p>
          <w:p w14:paraId="688A4FE4">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培训方式主要以互动式、实操式、演练式的方式进行，主要会用到云计算 Workshop 演练、架构修复和故障完善等培训，并进行复盘，强调最佳实践、技术关键点等活动，在训练营中循序渐进地夯实学生和教练的云计算技能。</w:t>
            </w:r>
          </w:p>
          <w:p w14:paraId="50C22E03">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培训平台可以实现用户的注册与登录，允许选手创建账户并使用其凭据登录系统，确保只有合法用户可以访问。</w:t>
            </w:r>
          </w:p>
          <w:p w14:paraId="7D3E13B2">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培训平台可以实现访问控制，能够管理选手对系统不同功能和资源的访问权限。</w:t>
            </w:r>
          </w:p>
          <w:p w14:paraId="4B46A9A3">
            <w:pPr>
              <w:keepNext w:val="0"/>
              <w:keepLines w:val="0"/>
              <w:pageBreakBefore w:val="0"/>
              <w:widowControl/>
              <w:kinsoku/>
              <w:wordWrap/>
              <w:overflowPunct/>
              <w:topLinePunct w:val="0"/>
              <w:bidi w:val="0"/>
              <w:adjustRightInd/>
              <w:snapToGrid/>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平台提供全方位的企业级云计算应用场景模拟实训，包括云架构设计、搭建、运维场景故障修复、数据分析、人工智能、IOT等，以提高学生的技能水平和应用能力。</w:t>
            </w:r>
          </w:p>
          <w:p w14:paraId="70AECADD">
            <w:pPr>
              <w:pStyle w:val="24"/>
              <w:keepNext w:val="0"/>
              <w:keepLines w:val="0"/>
              <w:pageBreakBefore w:val="0"/>
              <w:kinsoku/>
              <w:wordWrap/>
              <w:overflowPunct/>
              <w:topLinePunct w:val="0"/>
              <w:bidi w:val="0"/>
              <w:adjustRightInd/>
              <w:snapToGrid/>
              <w:spacing w:after="0"/>
              <w:ind w:left="0" w:leftChars="0" w:firstLine="0"/>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★12</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平台具备完善的实训事件管理、事件成员管理、实训题目选择和日程管理等功能，以支持老师和学生进行实训的有效组织和管理</w:t>
            </w:r>
            <w:r>
              <w:rPr>
                <w:rFonts w:hint="eastAsia" w:hAnsi="宋体" w:cs="宋体"/>
                <w:b/>
                <w:bCs w:val="0"/>
                <w:color w:val="auto"/>
                <w:sz w:val="21"/>
                <w:szCs w:val="21"/>
                <w:highlight w:val="none"/>
                <w:lang w:eastAsia="zh-CN"/>
              </w:rPr>
              <w:t>。</w:t>
            </w:r>
          </w:p>
          <w:p w14:paraId="0490F247">
            <w:pPr>
              <w:pStyle w:val="24"/>
              <w:keepNext w:val="0"/>
              <w:keepLines w:val="0"/>
              <w:pageBreakBefore w:val="0"/>
              <w:kinsoku/>
              <w:wordWrap/>
              <w:overflowPunct/>
              <w:topLinePunct w:val="0"/>
              <w:bidi w:val="0"/>
              <w:adjustRightInd/>
              <w:snapToGrid/>
              <w:spacing w:after="0"/>
              <w:ind w:left="0" w:leftChars="0"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平台支持事件进程管理、起停、暂停和管理员功能，以确保实训过程的顺利进行</w:t>
            </w:r>
            <w:r>
              <w:rPr>
                <w:rFonts w:hint="eastAsia" w:hAnsi="宋体" w:cs="宋体"/>
                <w:color w:val="auto"/>
                <w:sz w:val="21"/>
                <w:szCs w:val="21"/>
                <w:highlight w:val="none"/>
                <w:lang w:eastAsia="zh-CN"/>
              </w:rPr>
              <w:t>。</w:t>
            </w:r>
          </w:p>
          <w:p w14:paraId="583636D3">
            <w:pPr>
              <w:pStyle w:val="24"/>
              <w:keepNext w:val="0"/>
              <w:keepLines w:val="0"/>
              <w:pageBreakBefore w:val="0"/>
              <w:kinsoku/>
              <w:wordWrap/>
              <w:overflowPunct/>
              <w:topLinePunct w:val="0"/>
              <w:bidi w:val="0"/>
              <w:adjustRightInd/>
              <w:snapToGrid/>
              <w:spacing w:after="0"/>
              <w:ind w:left="0" w:leftChars="0" w:firstLine="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★14</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平台内置竞赛计分系统，支持实时分数、趋势和学生比赛实时排名的Dashboard等功能，以鼓励学生进行竞赛</w:t>
            </w:r>
          </w:p>
          <w:p w14:paraId="02610297">
            <w:pPr>
              <w:pStyle w:val="24"/>
              <w:keepNext w:val="0"/>
              <w:keepLines w:val="0"/>
              <w:pageBreakBefore w:val="0"/>
              <w:kinsoku/>
              <w:wordWrap/>
              <w:overflowPunct/>
              <w:topLinePunct w:val="0"/>
              <w:bidi w:val="0"/>
              <w:adjustRightInd/>
              <w:snapToGrid/>
              <w:spacing w:after="0"/>
              <w:ind w:left="0" w:leftChars="0" w:firstLine="0" w:firstLine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平台支持独立部署发布到客户的账号，支持客户针对前端的并发数量，自主做动态的资源调整</w:t>
            </w:r>
          </w:p>
        </w:tc>
      </w:tr>
      <w:tr w14:paraId="50C5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14:paraId="13E850F3">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1423" w:type="dxa"/>
            <w:noWrap w:val="0"/>
            <w:vAlign w:val="center"/>
          </w:tcPr>
          <w:p w14:paraId="32AE1F06">
            <w:pPr>
              <w:widowControl/>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云计算技能提升题库</w:t>
            </w:r>
          </w:p>
        </w:tc>
        <w:tc>
          <w:tcPr>
            <w:tcW w:w="6845" w:type="dxa"/>
            <w:noWrap w:val="0"/>
            <w:vAlign w:val="center"/>
          </w:tcPr>
          <w:p w14:paraId="0A0A03BA">
            <w:pPr>
              <w:widowControl/>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平台题库数量≥300道故障排除以及≥25道架构完善题目，需要提供相应列表</w:t>
            </w:r>
          </w:p>
          <w:p w14:paraId="293B534D">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架构完善类题目需涉及Cloud Ops及Migration相关内容</w:t>
            </w:r>
          </w:p>
          <w:p w14:paraId="08209E7B">
            <w:pPr>
              <w:widowControl/>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所提供的题库需要与世界技能大赛真题类型保持一致</w:t>
            </w:r>
          </w:p>
        </w:tc>
      </w:tr>
    </w:tbl>
    <w:p w14:paraId="0FE0C89A">
      <w:pPr>
        <w:adjustRightInd w:val="0"/>
        <w:snapToGrid w:val="0"/>
        <w:spacing w:line="360" w:lineRule="auto"/>
        <w:ind w:firstLine="422" w:firstLineChars="200"/>
        <w:rPr>
          <w:rFonts w:hint="eastAsia" w:ascii="宋体" w:hAnsi="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备注：</w:t>
      </w:r>
      <w:r>
        <w:rPr>
          <w:rFonts w:hint="eastAsia" w:ascii="宋体" w:hAnsi="宋体" w:cs="宋体"/>
          <w:b/>
          <w:bCs/>
          <w:color w:val="auto"/>
          <w:sz w:val="21"/>
          <w:szCs w:val="21"/>
          <w:highlight w:val="none"/>
          <w:u w:val="single"/>
          <w:lang w:val="en-US" w:eastAsia="zh-CN" w:bidi="ar"/>
        </w:rPr>
        <w:t>▲1、上述货物参数中含如操作系统软件、办公软件、杀毒软件及应用软件的，须提供正版，不得使用盗版。</w:t>
      </w:r>
    </w:p>
    <w:p w14:paraId="5DAD8965">
      <w:pPr>
        <w:adjustRightInd w:val="0"/>
        <w:snapToGrid w:val="0"/>
        <w:spacing w:line="360" w:lineRule="auto"/>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val="en-US" w:eastAsia="zh-CN" w:bidi="ar"/>
        </w:rPr>
        <w:t>清单中所列技术参数为本次招标的基本要求，投标</w:t>
      </w:r>
      <w:r>
        <w:rPr>
          <w:rFonts w:hint="eastAsia" w:ascii="宋体" w:hAnsi="宋体" w:cs="宋体"/>
          <w:b/>
          <w:bCs/>
          <w:color w:val="auto"/>
          <w:sz w:val="21"/>
          <w:szCs w:val="21"/>
          <w:highlight w:val="none"/>
          <w:lang w:val="en-US" w:eastAsia="zh-CN" w:bidi="ar"/>
        </w:rPr>
        <w:t>人</w:t>
      </w:r>
      <w:r>
        <w:rPr>
          <w:rFonts w:hint="eastAsia" w:ascii="宋体" w:hAnsi="宋体" w:eastAsia="宋体" w:cs="宋体"/>
          <w:b/>
          <w:bCs/>
          <w:color w:val="auto"/>
          <w:sz w:val="21"/>
          <w:szCs w:val="21"/>
          <w:highlight w:val="none"/>
          <w:lang w:val="en-US" w:eastAsia="zh-CN" w:bidi="ar"/>
        </w:rPr>
        <w:t>所投货物的技术参数不应低于本项目的技术要求和档次。</w:t>
      </w:r>
    </w:p>
    <w:p w14:paraId="0BDC5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商务需求</w:t>
      </w:r>
    </w:p>
    <w:p w14:paraId="1935EE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default" w:ascii="宋体" w:hAnsi="宋体" w:cs="Times New Roman"/>
          <w:color w:val="auto"/>
          <w:szCs w:val="21"/>
          <w:highlight w:val="none"/>
          <w:lang w:val="en-US"/>
        </w:rPr>
      </w:pPr>
      <w:r>
        <w:rPr>
          <w:rFonts w:hint="eastAsia" w:ascii="宋体" w:hAnsi="宋体" w:cs="Times New Roman"/>
          <w:b/>
          <w:bCs/>
          <w:color w:val="auto"/>
          <w:szCs w:val="21"/>
          <w:highlight w:val="none"/>
        </w:rPr>
        <w:t>1、付款方式：</w:t>
      </w:r>
      <w:r>
        <w:rPr>
          <w:rFonts w:hint="eastAsia" w:ascii="宋体" w:hAnsi="宋体" w:eastAsia="宋体" w:cs="宋体"/>
          <w:color w:val="auto"/>
          <w:sz w:val="21"/>
          <w:szCs w:val="21"/>
          <w:highlight w:val="none"/>
          <w:lang w:val="en-US" w:eastAsia="zh-CN" w:bidi="ar"/>
        </w:rPr>
        <w:t>合同签订后，采购方向中标方支付</w:t>
      </w:r>
      <w:r>
        <w:rPr>
          <w:rFonts w:hint="eastAsia" w:ascii="宋体" w:hAnsi="宋体" w:eastAsia="宋体" w:cs="宋体"/>
          <w:color w:val="auto"/>
          <w:sz w:val="21"/>
          <w:szCs w:val="21"/>
          <w:highlight w:val="none"/>
          <w:u w:val="single"/>
          <w:lang w:val="en-US" w:eastAsia="zh-CN" w:bidi="ar"/>
        </w:rPr>
        <w:t xml:space="preserve"> 40% </w:t>
      </w:r>
      <w:r>
        <w:rPr>
          <w:rFonts w:hint="eastAsia" w:ascii="宋体" w:hAnsi="宋体" w:eastAsia="宋体" w:cs="宋体"/>
          <w:color w:val="auto"/>
          <w:sz w:val="21"/>
          <w:szCs w:val="21"/>
          <w:highlight w:val="none"/>
          <w:lang w:val="en-US" w:eastAsia="zh-CN" w:bidi="ar"/>
        </w:rPr>
        <w:t>的合同款项作为预付款；中标方在规定的交货时间和交货地点完成交货；货到后中标方进行</w:t>
      </w:r>
      <w:r>
        <w:rPr>
          <w:rFonts w:hint="eastAsia" w:ascii="宋体" w:hAnsi="宋体" w:cs="宋体"/>
          <w:color w:val="auto"/>
          <w:sz w:val="21"/>
          <w:szCs w:val="21"/>
          <w:highlight w:val="none"/>
          <w:lang w:val="en-US" w:eastAsia="zh-CN" w:bidi="ar"/>
        </w:rPr>
        <w:t>产品</w:t>
      </w:r>
      <w:r>
        <w:rPr>
          <w:rFonts w:hint="eastAsia" w:ascii="宋体" w:hAnsi="宋体" w:eastAsia="宋体" w:cs="宋体"/>
          <w:color w:val="auto"/>
          <w:sz w:val="21"/>
          <w:szCs w:val="21"/>
          <w:highlight w:val="none"/>
          <w:lang w:val="en-US" w:eastAsia="zh-CN" w:bidi="ar"/>
        </w:rPr>
        <w:t>的安装调试，安装调试完成后采购方组织该项目验收小组进行验收，验收合格后，在中标方票证齐全符合采购方付款流程的前提下</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采购方一次性付清剩余款项。</w:t>
      </w:r>
    </w:p>
    <w:p w14:paraId="4D6202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b/>
          <w:bCs/>
          <w:color w:val="auto"/>
          <w:szCs w:val="21"/>
          <w:highlight w:val="none"/>
        </w:rPr>
      </w:pPr>
      <w:r>
        <w:rPr>
          <w:rFonts w:hint="eastAsia" w:ascii="宋体" w:hAnsi="宋体" w:cs="Times New Roman"/>
          <w:b/>
          <w:bCs/>
          <w:color w:val="auto"/>
          <w:szCs w:val="21"/>
          <w:highlight w:val="none"/>
          <w:lang w:val="en-US" w:eastAsia="zh-CN"/>
        </w:rPr>
        <w:t>2、</w:t>
      </w:r>
      <w:r>
        <w:rPr>
          <w:rFonts w:hint="eastAsia" w:ascii="宋体" w:hAnsi="宋体" w:cs="Times New Roman"/>
          <w:b/>
          <w:bCs/>
          <w:color w:val="auto"/>
          <w:szCs w:val="21"/>
          <w:highlight w:val="none"/>
        </w:rPr>
        <w:t>质保期</w:t>
      </w:r>
      <w:r>
        <w:rPr>
          <w:rFonts w:hint="eastAsia" w:ascii="宋体" w:hAnsi="宋体" w:cs="Times New Roman"/>
          <w:b/>
          <w:bCs/>
          <w:color w:val="auto"/>
          <w:szCs w:val="21"/>
          <w:highlight w:val="none"/>
          <w:lang w:eastAsia="zh-CN"/>
        </w:rPr>
        <w:t>：</w:t>
      </w:r>
      <w:r>
        <w:rPr>
          <w:rFonts w:hint="eastAsia" w:ascii="宋体" w:hAnsi="宋体" w:cs="Times New Roman"/>
          <w:b w:val="0"/>
          <w:bCs w:val="0"/>
          <w:color w:val="auto"/>
          <w:szCs w:val="21"/>
          <w:highlight w:val="none"/>
          <w:lang w:eastAsia="zh-CN"/>
        </w:rPr>
        <w:t>要求</w:t>
      </w:r>
      <w:r>
        <w:rPr>
          <w:rFonts w:hint="eastAsia" w:ascii="宋体" w:hAnsi="宋体" w:cs="Times New Roman"/>
          <w:b w:val="0"/>
          <w:bCs w:val="0"/>
          <w:color w:val="auto"/>
          <w:szCs w:val="21"/>
          <w:highlight w:val="none"/>
          <w:lang w:val="en-US" w:eastAsia="zh-CN"/>
        </w:rPr>
        <w:t>不少于3</w:t>
      </w:r>
      <w:r>
        <w:rPr>
          <w:rFonts w:hint="eastAsia" w:ascii="宋体" w:hAnsi="宋体" w:cs="Times New Roman"/>
          <w:b w:val="0"/>
          <w:bCs w:val="0"/>
          <w:color w:val="auto"/>
          <w:szCs w:val="21"/>
          <w:highlight w:val="none"/>
          <w:lang w:eastAsia="zh-CN"/>
        </w:rPr>
        <w:t>年（</w:t>
      </w:r>
      <w:r>
        <w:rPr>
          <w:rFonts w:hint="eastAsia" w:ascii="宋体" w:hAnsi="宋体" w:cs="Times New Roman"/>
          <w:b w:val="0"/>
          <w:bCs w:val="0"/>
          <w:color w:val="auto"/>
          <w:szCs w:val="21"/>
          <w:highlight w:val="none"/>
          <w:lang w:val="en-US" w:eastAsia="zh-CN"/>
        </w:rPr>
        <w:t>自项目验收合格之日起计算</w:t>
      </w:r>
      <w:r>
        <w:rPr>
          <w:rFonts w:hint="eastAsia" w:ascii="宋体" w:hAnsi="宋体" w:cs="宋体"/>
          <w:color w:val="auto"/>
          <w:szCs w:val="21"/>
          <w:highlight w:val="none"/>
          <w:lang w:eastAsia="zh-CN"/>
        </w:rPr>
        <w:t>）</w:t>
      </w:r>
    </w:p>
    <w:p w14:paraId="011D5D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3、交货时间及地点：</w:t>
      </w:r>
    </w:p>
    <w:p w14:paraId="6DE130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olor w:val="auto"/>
          <w:highlight w:val="none"/>
          <w:lang w:val="en-US" w:eastAsia="zh-CN"/>
        </w:rPr>
      </w:pPr>
      <w:r>
        <w:rPr>
          <w:rFonts w:hint="eastAsia" w:ascii="宋体" w:hAnsi="宋体" w:eastAsia="宋体" w:cs="宋体"/>
          <w:color w:val="auto"/>
          <w:sz w:val="21"/>
          <w:szCs w:val="21"/>
          <w:highlight w:val="none"/>
          <w:lang w:val="en-US" w:eastAsia="zh-CN" w:bidi="ar"/>
        </w:rPr>
        <w:t>（1）交货时间：</w:t>
      </w:r>
      <w:r>
        <w:rPr>
          <w:rFonts w:hint="eastAsia" w:ascii="宋体" w:hAnsi="宋体" w:eastAsia="宋体" w:cs="宋体"/>
          <w:b w:val="0"/>
          <w:bCs w:val="0"/>
          <w:color w:val="auto"/>
          <w:sz w:val="21"/>
          <w:szCs w:val="21"/>
          <w:highlight w:val="none"/>
          <w:lang w:val="en-US" w:eastAsia="zh-CN"/>
        </w:rPr>
        <w:t>中标公告发布后4</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天内</w:t>
      </w:r>
      <w:r>
        <w:rPr>
          <w:rFonts w:hint="eastAsia" w:ascii="宋体" w:hAnsi="宋体" w:cs="宋体"/>
          <w:b w:val="0"/>
          <w:bCs w:val="0"/>
          <w:color w:val="auto"/>
          <w:sz w:val="21"/>
          <w:szCs w:val="21"/>
          <w:highlight w:val="none"/>
          <w:lang w:val="en-US" w:eastAsia="zh-CN"/>
        </w:rPr>
        <w:t>交货完毕。</w:t>
      </w:r>
    </w:p>
    <w:p w14:paraId="1BAC44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（2）交货地点：台州技师学院。</w:t>
      </w:r>
    </w:p>
    <w:p w14:paraId="6758B00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五、调试和验收要求</w:t>
      </w:r>
    </w:p>
    <w:p w14:paraId="15D4C4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1、采购方对中标方提交的货物依据招标文件上的技术规格要求和国家有关质量标准进行现场初步验收，外观、说明书符合招标文件技术要求的，给予签收，初步验收不合格的不予签收。</w:t>
      </w:r>
    </w:p>
    <w:p w14:paraId="164D32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2、中标方交货前应对产品作出全面检查和对验收文件进行整理，并列出清单，作为采购方收货验收和使用的技术条件依据，检验的结果应随货物交采购方。</w:t>
      </w:r>
    </w:p>
    <w:p w14:paraId="0B032A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3、采购方对中标方提供的货物在使用前进行调试时，中标方需负责安装并培训采购方的使用操作人员，并协助采购方一起调试，直到符合技术要求，采购方才作最终验收。</w:t>
      </w:r>
    </w:p>
    <w:p w14:paraId="1612DB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安装调试过程中，中标方应采取安全保障措施，保证人员安全。如因中标方原因造成人员伤亡和财产损失的，中标方应承担全部赔偿责任。</w:t>
      </w:r>
    </w:p>
    <w:p w14:paraId="44E50B6E">
      <w:pPr>
        <w:numPr>
          <w:ilvl w:val="0"/>
          <w:numId w:val="0"/>
        </w:numPr>
        <w:snapToGrid w:val="0"/>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验收时中标方必须在现场，验收完毕后做出验收结果报告；对技术复杂的货物，采购方应请专家进行验收并出具验收报告，验收费用由中标方负责。</w:t>
      </w:r>
    </w:p>
    <w:p w14:paraId="0579DF12">
      <w:pPr>
        <w:numPr>
          <w:ilvl w:val="0"/>
          <w:numId w:val="0"/>
        </w:num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宋体" w:hAnsi="宋体" w:eastAsia="宋体" w:cs="宋体"/>
          <w:b/>
          <w:bCs/>
          <w:color w:val="auto"/>
          <w:sz w:val="21"/>
          <w:szCs w:val="21"/>
          <w:highlight w:val="none"/>
          <w:lang w:val="en-US" w:eastAsia="zh-CN" w:bidi="ar"/>
        </w:rPr>
        <w:t>六、</w:t>
      </w:r>
      <w:r>
        <w:rPr>
          <w:rFonts w:hint="eastAsia" w:asciiTheme="minorEastAsia" w:hAnsiTheme="minorEastAsia" w:eastAsiaTheme="minorEastAsia" w:cstheme="minorEastAsia"/>
          <w:b/>
          <w:bCs/>
          <w:color w:val="auto"/>
          <w:sz w:val="21"/>
          <w:szCs w:val="21"/>
          <w:highlight w:val="none"/>
        </w:rPr>
        <w:t>质量保证</w:t>
      </w:r>
      <w:r>
        <w:rPr>
          <w:rFonts w:hint="eastAsia" w:asciiTheme="minorEastAsia" w:hAnsiTheme="minorEastAsia" w:eastAsiaTheme="minorEastAsia" w:cstheme="minorEastAsia"/>
          <w:b/>
          <w:color w:val="auto"/>
          <w:sz w:val="21"/>
          <w:szCs w:val="21"/>
          <w:highlight w:val="none"/>
        </w:rPr>
        <w:t>及售后服务</w:t>
      </w:r>
    </w:p>
    <w:p w14:paraId="6FDDFD26">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1、中标方</w:t>
      </w:r>
      <w:r>
        <w:rPr>
          <w:rFonts w:hint="eastAsia" w:asciiTheme="minorEastAsia" w:hAnsiTheme="minorEastAsia" w:eastAsiaTheme="minorEastAsia" w:cstheme="minorEastAsia"/>
          <w:b w:val="0"/>
          <w:bCs/>
          <w:color w:val="auto"/>
          <w:sz w:val="21"/>
          <w:szCs w:val="21"/>
          <w:highlight w:val="none"/>
        </w:rPr>
        <w:t>应按招标文件规定的货物性能、技术要求、质量标准向</w:t>
      </w:r>
      <w:r>
        <w:rPr>
          <w:rFonts w:hint="eastAsia" w:asciiTheme="minorEastAsia" w:hAnsiTheme="minorEastAsia" w:eastAsiaTheme="minorEastAsia" w:cstheme="minorEastAsia"/>
          <w:b w:val="0"/>
          <w:bCs/>
          <w:color w:val="auto"/>
          <w:sz w:val="21"/>
          <w:szCs w:val="21"/>
          <w:highlight w:val="none"/>
          <w:lang w:val="en-US" w:eastAsia="zh-CN"/>
        </w:rPr>
        <w:t>采购方</w:t>
      </w:r>
      <w:r>
        <w:rPr>
          <w:rFonts w:hint="eastAsia" w:asciiTheme="minorEastAsia" w:hAnsiTheme="minorEastAsia" w:eastAsiaTheme="minorEastAsia" w:cstheme="minorEastAsia"/>
          <w:b w:val="0"/>
          <w:bCs/>
          <w:color w:val="auto"/>
          <w:sz w:val="21"/>
          <w:szCs w:val="21"/>
          <w:highlight w:val="none"/>
        </w:rPr>
        <w:t>提供未经使用的全新产品。</w:t>
      </w:r>
    </w:p>
    <w:p w14:paraId="34833943">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在质保期内，</w:t>
      </w:r>
      <w:r>
        <w:rPr>
          <w:rFonts w:hint="eastAsia" w:asciiTheme="minorEastAsia" w:hAnsiTheme="minorEastAsia" w:eastAsiaTheme="minorEastAsia" w:cstheme="minorEastAsia"/>
          <w:b w:val="0"/>
          <w:bCs/>
          <w:color w:val="auto"/>
          <w:sz w:val="21"/>
          <w:szCs w:val="21"/>
          <w:highlight w:val="none"/>
          <w:lang w:val="en-US" w:eastAsia="zh-CN"/>
        </w:rPr>
        <w:t>中标方</w:t>
      </w:r>
      <w:r>
        <w:rPr>
          <w:rFonts w:hint="eastAsia" w:asciiTheme="minorEastAsia" w:hAnsiTheme="minorEastAsia" w:eastAsiaTheme="minorEastAsia" w:cstheme="minorEastAsia"/>
          <w:b w:val="0"/>
          <w:bCs/>
          <w:color w:val="auto"/>
          <w:sz w:val="21"/>
          <w:szCs w:val="21"/>
          <w:highlight w:val="none"/>
        </w:rPr>
        <w:t>应对货物出现的质量及安全问题负责处理解决并承担一切费用</w:t>
      </w:r>
      <w:r>
        <w:rPr>
          <w:rFonts w:hint="eastAsia" w:asciiTheme="minorEastAsia" w:hAnsiTheme="minorEastAsia" w:eastAsiaTheme="minorEastAsia" w:cstheme="minorEastAsia"/>
          <w:b w:val="0"/>
          <w:bCs/>
          <w:color w:val="auto"/>
          <w:sz w:val="21"/>
          <w:szCs w:val="21"/>
          <w:highlight w:val="none"/>
          <w:lang w:eastAsia="zh-CN"/>
        </w:rPr>
        <w:t>。</w:t>
      </w:r>
    </w:p>
    <w:p w14:paraId="75D1B706">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3、要求供应商提供售后服务方案及保障措施完善，服务体系完整度高，有厂家技术支撑，服务团队人员稳定、技术能力强，服务响应及时，有统一服务热线电话和售后巡检服务。</w:t>
      </w:r>
    </w:p>
    <w:p w14:paraId="52A2F698">
      <w:pPr>
        <w:keepNext w:val="0"/>
        <w:keepLines w:val="0"/>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21"/>
          <w:highlight w:val="none"/>
        </w:rPr>
      </w:pPr>
    </w:p>
    <w:p w14:paraId="7D36587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430013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65025C6C">
      <w:pPr>
        <w:widowControl/>
        <w:spacing w:line="360" w:lineRule="auto"/>
        <w:ind w:firstLine="420" w:firstLineChars="20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64C20CFA">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以下为成交后签订本项目合同的通用条款，中标人不得提出实质性的修改，关于专用条款将由采购人与中标人结合本项目具体情况协商后签订。</w:t>
      </w:r>
    </w:p>
    <w:p w14:paraId="5AAA3A04">
      <w:pPr>
        <w:snapToGrid w:val="0"/>
        <w:spacing w:line="360" w:lineRule="auto"/>
        <w:rPr>
          <w:rFonts w:hint="eastAsia" w:asciiTheme="minorEastAsia" w:hAnsiTheme="minorEastAsia" w:eastAsiaTheme="minorEastAsia" w:cstheme="minorEastAsia"/>
          <w:color w:val="auto"/>
          <w:sz w:val="21"/>
          <w:szCs w:val="21"/>
          <w:highlight w:val="none"/>
        </w:rPr>
      </w:pPr>
    </w:p>
    <w:p w14:paraId="7DD87942">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云计算赛教资源包建设项目</w:t>
      </w:r>
      <w:r>
        <w:rPr>
          <w:rFonts w:hint="eastAsia" w:asciiTheme="minorEastAsia" w:hAnsiTheme="minorEastAsia" w:eastAsiaTheme="minorEastAsia" w:cstheme="minorEastAsia"/>
          <w:color w:val="auto"/>
          <w:sz w:val="21"/>
          <w:szCs w:val="21"/>
          <w:highlight w:val="none"/>
        </w:rPr>
        <w:t xml:space="preserve">                           </w:t>
      </w:r>
    </w:p>
    <w:p w14:paraId="051F0AE2">
      <w:pPr>
        <w:snapToGrid w:val="0"/>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zjhy2025-tz21</w:t>
      </w:r>
    </w:p>
    <w:p w14:paraId="43F1CD3D">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甲方：（采购单位）</w:t>
      </w:r>
      <w:r>
        <w:rPr>
          <w:rFonts w:hint="eastAsia" w:asciiTheme="minorEastAsia" w:hAnsiTheme="minorEastAsia" w:eastAsiaTheme="minorEastAsia" w:cstheme="minorEastAsia"/>
          <w:color w:val="auto"/>
          <w:sz w:val="21"/>
          <w:szCs w:val="21"/>
          <w:highlight w:val="none"/>
          <w:lang w:val="en-US" w:eastAsia="zh-CN"/>
        </w:rPr>
        <w:t>台州技师学院</w:t>
      </w:r>
      <w:r>
        <w:rPr>
          <w:rFonts w:hint="eastAsia" w:asciiTheme="minorEastAsia" w:hAnsiTheme="minorEastAsia" w:eastAsiaTheme="minorEastAsia" w:cstheme="minorEastAsia"/>
          <w:color w:val="auto"/>
          <w:sz w:val="21"/>
          <w:szCs w:val="21"/>
          <w:highlight w:val="none"/>
        </w:rPr>
        <w:t xml:space="preserve">          所在地：台州市台州湾新区聚洋大道1255号          </w:t>
      </w:r>
    </w:p>
    <w:p w14:paraId="3178730E">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乙方：（中标人）                        所在地：</w:t>
      </w:r>
    </w:p>
    <w:p w14:paraId="5B5C8781">
      <w:pP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val="en-US" w:eastAsia="zh-CN"/>
        </w:rPr>
        <w:t>台州技师学院</w:t>
      </w:r>
      <w:r>
        <w:rPr>
          <w:rFonts w:hint="eastAsia" w:asciiTheme="minorEastAsia" w:hAnsiTheme="minorEastAsia" w:eastAsiaTheme="minorEastAsia" w:cstheme="minorEastAsia"/>
          <w:color w:val="auto"/>
          <w:sz w:val="21"/>
          <w:szCs w:val="21"/>
          <w:highlight w:val="none"/>
          <w:u w:val="single"/>
          <w:lang w:eastAsia="zh-CN"/>
        </w:rPr>
        <w:t>云计算赛教资源包建设项目</w:t>
      </w:r>
      <w:r>
        <w:rPr>
          <w:rFonts w:hint="eastAsia" w:asciiTheme="minorEastAsia" w:hAnsiTheme="minorEastAsia" w:eastAsiaTheme="minorEastAsia" w:cstheme="minorEastAsia"/>
          <w:color w:val="auto"/>
          <w:sz w:val="21"/>
          <w:szCs w:val="21"/>
          <w:highlight w:val="none"/>
          <w:u w:val="single"/>
        </w:rPr>
        <w:t>公开招标</w:t>
      </w:r>
      <w:r>
        <w:rPr>
          <w:rFonts w:hint="eastAsia" w:asciiTheme="minorEastAsia" w:hAnsiTheme="minorEastAsia" w:eastAsiaTheme="minorEastAsia" w:cstheme="minorEastAsia"/>
          <w:color w:val="auto"/>
          <w:sz w:val="21"/>
          <w:szCs w:val="21"/>
          <w:highlight w:val="none"/>
        </w:rPr>
        <w:t>的结果，签署本合同。</w:t>
      </w:r>
    </w:p>
    <w:p w14:paraId="2B72FABC">
      <w:pPr>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一、合同文件</w:t>
      </w:r>
    </w:p>
    <w:p w14:paraId="79DA2CE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val="zh-CN"/>
        </w:rPr>
        <w:t>）合同条款</w:t>
      </w:r>
    </w:p>
    <w:p w14:paraId="2538904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val="zh-CN"/>
        </w:rPr>
        <w:t>中标通知书</w:t>
      </w:r>
    </w:p>
    <w:p w14:paraId="035BECD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val="zh-CN"/>
        </w:rPr>
        <w:t>更正补充文件</w:t>
      </w:r>
    </w:p>
    <w:p w14:paraId="75E6579A">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四</w:t>
      </w:r>
      <w:r>
        <w:rPr>
          <w:rFonts w:hint="eastAsia" w:asciiTheme="minorEastAsia" w:hAnsiTheme="minorEastAsia" w:eastAsiaTheme="minorEastAsia" w:cstheme="minorEastAsia"/>
          <w:color w:val="auto"/>
          <w:sz w:val="21"/>
          <w:szCs w:val="21"/>
          <w:highlight w:val="none"/>
          <w:lang w:val="zh-CN"/>
        </w:rPr>
        <w:t>）招标文件</w:t>
      </w:r>
    </w:p>
    <w:p w14:paraId="1F309B47">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（五）</w:t>
      </w:r>
      <w:r>
        <w:rPr>
          <w:rFonts w:hint="eastAsia" w:asciiTheme="minorEastAsia" w:hAnsiTheme="minorEastAsia" w:eastAsiaTheme="minorEastAsia" w:cstheme="minorEastAsia"/>
          <w:color w:val="auto"/>
          <w:sz w:val="21"/>
          <w:szCs w:val="21"/>
          <w:highlight w:val="none"/>
          <w:lang w:val="zh-CN"/>
        </w:rPr>
        <w:t>中标</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val="zh-CN"/>
        </w:rPr>
        <w:t>投标文件</w:t>
      </w:r>
    </w:p>
    <w:p w14:paraId="0C54EA1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六</w:t>
      </w:r>
      <w:r>
        <w:rPr>
          <w:rFonts w:hint="eastAsia" w:asciiTheme="minorEastAsia" w:hAnsiTheme="minorEastAsia" w:eastAsiaTheme="minorEastAsia" w:cstheme="minorEastAsia"/>
          <w:color w:val="auto"/>
          <w:sz w:val="21"/>
          <w:szCs w:val="21"/>
          <w:highlight w:val="none"/>
          <w:lang w:val="zh-CN"/>
        </w:rPr>
        <w:t>）其他</w:t>
      </w:r>
    </w:p>
    <w:p w14:paraId="13522DD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上述所指合同文件应认为是互相补充和解释的，但是有模棱两可或互相矛盾之处，以其所列内容顺序为准。</w:t>
      </w:r>
    </w:p>
    <w:p w14:paraId="5115ECAC">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二、货物内容</w:t>
      </w:r>
    </w:p>
    <w:p w14:paraId="0C16F6B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详见招标文件技术需求</w:t>
      </w:r>
      <w:r>
        <w:rPr>
          <w:rFonts w:hint="eastAsia" w:asciiTheme="minorEastAsia" w:hAnsiTheme="minorEastAsia" w:eastAsiaTheme="minorEastAsia" w:cstheme="minorEastAsia"/>
          <w:b/>
          <w:bCs/>
          <w:color w:val="auto"/>
          <w:sz w:val="21"/>
          <w:szCs w:val="21"/>
          <w:highlight w:val="none"/>
        </w:rPr>
        <w:t>（技术参数以乙方投标承诺为准）</w:t>
      </w:r>
      <w:r>
        <w:rPr>
          <w:rFonts w:hint="eastAsia" w:asciiTheme="minorEastAsia" w:hAnsiTheme="minorEastAsia" w:eastAsiaTheme="minorEastAsia" w:cstheme="minorEastAsia"/>
          <w:color w:val="auto"/>
          <w:sz w:val="21"/>
          <w:szCs w:val="21"/>
          <w:highlight w:val="none"/>
        </w:rPr>
        <w:t>：</w:t>
      </w:r>
    </w:p>
    <w:p w14:paraId="796F372C">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721239D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本合同金额为（大写）：____________________元（￥__________元）人民币</w:t>
      </w:r>
      <w:r>
        <w:rPr>
          <w:rFonts w:hint="eastAsia" w:asciiTheme="minorEastAsia" w:hAnsiTheme="minorEastAsia" w:eastAsiaTheme="minorEastAsia" w:cstheme="minorEastAsia"/>
          <w:color w:val="auto"/>
          <w:sz w:val="21"/>
          <w:szCs w:val="21"/>
          <w:highlight w:val="none"/>
          <w:u w:val="none"/>
        </w:rPr>
        <w:t>。</w:t>
      </w:r>
    </w:p>
    <w:p w14:paraId="2CC47FE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以上合同总价包含货物到达甲方所需的一切费用，包括但不限于包装费、运输费、装卸费、保险费、安装调试费、技术服务费、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646E6B57">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四、技术资料</w:t>
      </w:r>
    </w:p>
    <w:p w14:paraId="2E0F643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（一）乙方应按招标文件规定的时间向甲方提供使用货物的有关技术资料。</w:t>
      </w:r>
    </w:p>
    <w:p w14:paraId="2B25C11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13B2C716">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五、知识产权</w:t>
      </w:r>
    </w:p>
    <w:p w14:paraId="164BD39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（一）乙方应保证所提供的货物或其任何一部分均不会侵犯任何第三方的知识产权。</w:t>
      </w:r>
    </w:p>
    <w:p w14:paraId="2650659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（二）若侵犯，由乙方赔偿甲方因此遭受的损失（包括但不限于应对及追偿过程中所支付的律师费、差旅费、诉讼费、保全费、鉴定费、评估费等）。</w:t>
      </w:r>
    </w:p>
    <w:p w14:paraId="55CFF31A">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六、质量保证与产权担保</w:t>
      </w:r>
    </w:p>
    <w:p w14:paraId="09BE169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（一）乙方应保证所供货物是全新且未使用过的，并完全符合甲方的质量性能规格型号和价格要求。在货物交付验收后的质保期内，乙方应对由于设计、工艺或材料等缺陷而产生的故障负责。</w:t>
      </w:r>
    </w:p>
    <w:p w14:paraId="2A06C92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（二）乙方保证所交付的货物的所有权完全属于乙方且无任何抵押、查封等产权瑕疵。</w:t>
      </w:r>
    </w:p>
    <w:p w14:paraId="4468CF39">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七、履约保证金</w:t>
      </w:r>
    </w:p>
    <w:p w14:paraId="10C045C9">
      <w:pPr>
        <w:tabs>
          <w:tab w:val="left" w:pos="1418"/>
        </w:tabs>
        <w:autoSpaceDE w:val="0"/>
        <w:autoSpaceDN w:val="0"/>
        <w:adjustRightIn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本项目履约保证金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无。</w:t>
      </w:r>
    </w:p>
    <w:p w14:paraId="0F28779B">
      <w:pPr>
        <w:tabs>
          <w:tab w:val="left" w:pos="1418"/>
        </w:tabs>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没有履行本合同项下约定的义务和责任所需承担的违约金、赔偿金及其他费用，甲方有权直接从履约保证金中扣除，履约保证金中不足以扣除的，甲方有权从任何一笔合同价款中扣除。剩余履约保证金（如有）自合同约定的质保期届满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个工作日内由甲方无息返还给乙方。</w:t>
      </w:r>
    </w:p>
    <w:p w14:paraId="0A4F75EA">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八、转包或分包</w:t>
      </w:r>
    </w:p>
    <w:p w14:paraId="1A9DF50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（一）本合同范围的货物，应由乙方直接供应，不得转让他人供应。</w:t>
      </w:r>
    </w:p>
    <w:p w14:paraId="5DC1B2E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（二）除非得到甲方的书面同意，乙方不得将本合同范围的货物全部或部分分包给他人供应。</w:t>
      </w:r>
    </w:p>
    <w:p w14:paraId="125A63A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（三）如有转让和未经甲方同意的分包行为，甲方有权解除合同，并追究乙方的违约责任。</w:t>
      </w:r>
    </w:p>
    <w:p w14:paraId="48AAD973">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九、质保期</w:t>
      </w:r>
    </w:p>
    <w:p w14:paraId="63664B3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质保期___年。（</w:t>
      </w:r>
      <w:r>
        <w:rPr>
          <w:rFonts w:hint="eastAsia" w:ascii="宋体" w:hAnsi="宋体" w:cs="Times New Roman"/>
          <w:b w:val="0"/>
          <w:bCs w:val="0"/>
          <w:color w:val="auto"/>
          <w:szCs w:val="21"/>
          <w:highlight w:val="none"/>
          <w:lang w:val="en-US" w:eastAsia="zh-CN"/>
        </w:rPr>
        <w:t>自项目验收合格之日起计算</w:t>
      </w:r>
      <w:r>
        <w:rPr>
          <w:rFonts w:hint="eastAsia" w:asciiTheme="minorEastAsia" w:hAnsiTheme="minorEastAsia" w:eastAsiaTheme="minorEastAsia" w:cstheme="minorEastAsia"/>
          <w:color w:val="auto"/>
          <w:sz w:val="21"/>
          <w:szCs w:val="21"/>
          <w:highlight w:val="none"/>
        </w:rPr>
        <w:t>）</w:t>
      </w:r>
    </w:p>
    <w:p w14:paraId="7752E7BF">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十、交货期、交货方式及交货地点</w:t>
      </w:r>
    </w:p>
    <w:p w14:paraId="03E995E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（一）交货期：</w:t>
      </w:r>
      <w:r>
        <w:rPr>
          <w:rFonts w:hint="eastAsia" w:ascii="宋体" w:hAnsi="宋体" w:eastAsia="宋体" w:cs="宋体"/>
          <w:b w:val="0"/>
          <w:bCs w:val="0"/>
          <w:color w:val="auto"/>
          <w:sz w:val="21"/>
          <w:szCs w:val="21"/>
          <w:highlight w:val="none"/>
          <w:lang w:val="en-US" w:eastAsia="zh-CN"/>
        </w:rPr>
        <w:t>中标公告发布后4</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天内</w:t>
      </w:r>
      <w:r>
        <w:rPr>
          <w:rFonts w:hint="eastAsia" w:ascii="宋体" w:hAnsi="宋体" w:cs="宋体"/>
          <w:b w:val="0"/>
          <w:bCs w:val="0"/>
          <w:color w:val="auto"/>
          <w:sz w:val="21"/>
          <w:szCs w:val="21"/>
          <w:highlight w:val="none"/>
          <w:lang w:val="en-US" w:eastAsia="zh-CN"/>
        </w:rPr>
        <w:t>交货完毕。</w:t>
      </w:r>
    </w:p>
    <w:p w14:paraId="4C705CF8">
      <w:pPr>
        <w:snapToGrid w:val="0"/>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（二）交货方式：</w:t>
      </w:r>
      <w:r>
        <w:rPr>
          <w:rFonts w:hint="eastAsia" w:asciiTheme="minorEastAsia" w:hAnsiTheme="minorEastAsia" w:eastAsiaTheme="minorEastAsia" w:cstheme="minorEastAsia"/>
          <w:bCs/>
          <w:color w:val="auto"/>
          <w:sz w:val="21"/>
          <w:szCs w:val="21"/>
          <w:highlight w:val="none"/>
          <w:lang w:val="en-US" w:eastAsia="zh-CN"/>
        </w:rPr>
        <w:t>按甲方的方式交货。</w:t>
      </w:r>
    </w:p>
    <w:p w14:paraId="67FC0192">
      <w:pP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（三）交货地点：</w:t>
      </w:r>
      <w:r>
        <w:rPr>
          <w:rFonts w:hint="eastAsia" w:ascii="宋体" w:hAnsi="宋体" w:eastAsia="宋体" w:cs="宋体"/>
          <w:color w:val="auto"/>
          <w:sz w:val="21"/>
          <w:szCs w:val="21"/>
          <w:highlight w:val="none"/>
          <w:lang w:val="en-US" w:eastAsia="zh-CN" w:bidi="ar"/>
        </w:rPr>
        <w:t>台州技师学院。</w:t>
      </w:r>
    </w:p>
    <w:p w14:paraId="36716FEF">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十一、货款支付</w:t>
      </w:r>
    </w:p>
    <w:p w14:paraId="37184147">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（一）付款方式：</w:t>
      </w:r>
      <w:r>
        <w:rPr>
          <w:rFonts w:hint="eastAsia" w:ascii="宋体" w:hAnsi="宋体" w:eastAsia="宋体" w:cs="宋体"/>
          <w:color w:val="auto"/>
          <w:sz w:val="21"/>
          <w:szCs w:val="21"/>
          <w:highlight w:val="none"/>
          <w:lang w:val="en-US" w:eastAsia="zh-CN" w:bidi="ar"/>
        </w:rPr>
        <w:t>合同签订后，甲方向乙方支付</w:t>
      </w:r>
      <w:r>
        <w:rPr>
          <w:rFonts w:hint="eastAsia" w:ascii="宋体" w:hAnsi="宋体" w:eastAsia="宋体" w:cs="宋体"/>
          <w:color w:val="auto"/>
          <w:sz w:val="21"/>
          <w:szCs w:val="21"/>
          <w:highlight w:val="none"/>
          <w:u w:val="single"/>
          <w:lang w:val="en-US" w:eastAsia="zh-CN" w:bidi="ar"/>
        </w:rPr>
        <w:t xml:space="preserve"> 40% </w:t>
      </w:r>
      <w:r>
        <w:rPr>
          <w:rFonts w:hint="eastAsia" w:ascii="宋体" w:hAnsi="宋体" w:eastAsia="宋体" w:cs="宋体"/>
          <w:color w:val="auto"/>
          <w:sz w:val="21"/>
          <w:szCs w:val="21"/>
          <w:highlight w:val="none"/>
          <w:lang w:val="en-US" w:eastAsia="zh-CN" w:bidi="ar"/>
        </w:rPr>
        <w:t>的合同款项作为预付款；乙方在规定的交货时间和交货地点完成交货；货到后乙方进行</w:t>
      </w:r>
      <w:r>
        <w:rPr>
          <w:rFonts w:hint="eastAsia" w:ascii="宋体" w:hAnsi="宋体" w:cs="宋体"/>
          <w:color w:val="auto"/>
          <w:sz w:val="21"/>
          <w:szCs w:val="21"/>
          <w:highlight w:val="none"/>
          <w:lang w:val="en-US" w:eastAsia="zh-CN" w:bidi="ar"/>
        </w:rPr>
        <w:t>产品</w:t>
      </w:r>
      <w:r>
        <w:rPr>
          <w:rFonts w:hint="eastAsia" w:ascii="宋体" w:hAnsi="宋体" w:eastAsia="宋体" w:cs="宋体"/>
          <w:color w:val="auto"/>
          <w:sz w:val="21"/>
          <w:szCs w:val="21"/>
          <w:highlight w:val="none"/>
          <w:lang w:val="en-US" w:eastAsia="zh-CN" w:bidi="ar"/>
        </w:rPr>
        <w:t>的安装调试，安装调试完成后甲方组织该项目验收小组进行验收，验收合格后，在乙方票证齐全符合甲方付款流程的前提下</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甲方一次性付清剩余款项。</w:t>
      </w:r>
    </w:p>
    <w:p w14:paraId="0664216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val="zh-CN"/>
        </w:rPr>
        <w:t>）当采购数量与实际使用数量不一致时，由</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zh-CN"/>
        </w:rPr>
        <w:t>向同级财政部门申请并经批准后，可以由乙方根据实际使用量供货，合同的最终结算金额按实际使用量乘以成交单价进行计算。</w:t>
      </w:r>
    </w:p>
    <w:p w14:paraId="3D37DED8">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（三）甲方付款前，乙方应向甲方开具等额有效的增值税发票，甲方未收到发票的，有权不予支付相应款项直至乙方提供合格发票，并不承担延迟付款责任。发票认证通过是付款的必要前提之一。</w:t>
      </w:r>
    </w:p>
    <w:p w14:paraId="1BF3B680">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十二、税费</w:t>
      </w:r>
    </w:p>
    <w:p w14:paraId="2BAAB9C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本合同执行中相关的一切税费均由乙方负担。</w:t>
      </w:r>
    </w:p>
    <w:p w14:paraId="43C0E614">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十三、质量保证及售后服务</w:t>
      </w:r>
    </w:p>
    <w:p w14:paraId="3B6A2B45">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（一）乙方应按招标文件规定的货物性能、技术要求、质量标准向甲方提供未经使用的全新产品。</w:t>
      </w:r>
    </w:p>
    <w:p w14:paraId="004336FA">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（二）乙方提供的货物在质保期内因货物本身的质量问题发生故障，乙方应负责免费更换。对达不到技术要求者，根据实际情况，经双方协商，可按以下办法处理：</w:t>
      </w:r>
    </w:p>
    <w:p w14:paraId="25DCA647">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1.更换：由乙方承担所发生的全部费用。</w:t>
      </w:r>
    </w:p>
    <w:p w14:paraId="54F5A6DB">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2.贬值处理：由甲乙双方合议定价。</w:t>
      </w:r>
    </w:p>
    <w:p w14:paraId="592777F3">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3.退货处理：乙方应退还甲方支付的合同款，同时应承担该货物的直接费用（运输、保险、检验、货款利息及银行手续费等）。</w:t>
      </w:r>
    </w:p>
    <w:p w14:paraId="142D799E">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（三）如在使用过程中发生质量问题，乙方在接到甲方通知后在</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小时内到达甲方现场，并于到达现场</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小时之内排除故障。</w:t>
      </w:r>
    </w:p>
    <w:p w14:paraId="5649EF37">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（四）在质保期内，乙方应对货物出现的质量及安全问题负责处理解决并承担一切费用。</w:t>
      </w:r>
    </w:p>
    <w:p w14:paraId="35A7C5E1">
      <w:pPr>
        <w:snapToGrid w:val="0"/>
        <w:spacing w:line="360" w:lineRule="auto"/>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（五）上述的货物免费质保期为</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年，因人为因素出现的故障不在免费保修范围内。超过保修期的</w:t>
      </w:r>
      <w:r>
        <w:rPr>
          <w:rFonts w:hint="eastAsia" w:asciiTheme="minorEastAsia" w:hAnsiTheme="minorEastAsia" w:eastAsiaTheme="minorEastAsia" w:cstheme="minorEastAsia"/>
          <w:b w:val="0"/>
          <w:bCs/>
          <w:color w:val="auto"/>
          <w:sz w:val="21"/>
          <w:szCs w:val="21"/>
          <w:highlight w:val="none"/>
          <w:lang w:val="en-US" w:eastAsia="zh-CN"/>
        </w:rPr>
        <w:t>产品</w:t>
      </w:r>
      <w:r>
        <w:rPr>
          <w:rFonts w:hint="eastAsia" w:asciiTheme="minorEastAsia" w:hAnsiTheme="minorEastAsia" w:eastAsiaTheme="minorEastAsia" w:cstheme="minorEastAsia"/>
          <w:b w:val="0"/>
          <w:bCs/>
          <w:color w:val="auto"/>
          <w:sz w:val="21"/>
          <w:szCs w:val="21"/>
          <w:highlight w:val="none"/>
        </w:rPr>
        <w:t>，终身</w:t>
      </w:r>
      <w:r>
        <w:rPr>
          <w:rFonts w:hint="eastAsia" w:asciiTheme="minorEastAsia" w:hAnsiTheme="minorEastAsia" w:eastAsiaTheme="minorEastAsia" w:cstheme="minorEastAsia"/>
          <w:b w:val="0"/>
          <w:bCs/>
          <w:color w:val="auto"/>
          <w:sz w:val="21"/>
          <w:szCs w:val="21"/>
          <w:highlight w:val="none"/>
          <w:lang w:val="en-US" w:eastAsia="zh-CN"/>
        </w:rPr>
        <w:t>维护</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维护</w:t>
      </w:r>
      <w:r>
        <w:rPr>
          <w:rFonts w:hint="eastAsia" w:asciiTheme="minorEastAsia" w:hAnsiTheme="minorEastAsia" w:eastAsiaTheme="minorEastAsia" w:cstheme="minorEastAsia"/>
          <w:b w:val="0"/>
          <w:bCs/>
          <w:color w:val="auto"/>
          <w:sz w:val="21"/>
          <w:szCs w:val="21"/>
          <w:highlight w:val="none"/>
        </w:rPr>
        <w:t>时只收部件成本费，服务内容应与质保期内的要求相一致。</w:t>
      </w:r>
    </w:p>
    <w:p w14:paraId="3A3BF32C">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十四、</w:t>
      </w:r>
      <w:r>
        <w:rPr>
          <w:rFonts w:hint="eastAsia" w:asciiTheme="minorEastAsia" w:hAnsiTheme="minorEastAsia" w:eastAsiaTheme="minorEastAsia" w:cstheme="minorEastAsia"/>
          <w:b/>
          <w:color w:val="auto"/>
          <w:sz w:val="21"/>
          <w:szCs w:val="21"/>
          <w:highlight w:val="none"/>
        </w:rPr>
        <w:t>调试和验收</w:t>
      </w:r>
      <w:r>
        <w:rPr>
          <w:rFonts w:hint="eastAsia" w:asciiTheme="minorEastAsia" w:hAnsiTheme="minorEastAsia" w:eastAsiaTheme="minorEastAsia" w:cstheme="minorEastAsia"/>
          <w:b/>
          <w:color w:val="auto"/>
          <w:sz w:val="21"/>
          <w:szCs w:val="21"/>
          <w:highlight w:val="none"/>
          <w:lang w:val="en-US" w:eastAsia="zh-CN"/>
        </w:rPr>
        <w:t>要求</w:t>
      </w:r>
    </w:p>
    <w:p w14:paraId="26826FA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（一）甲方对乙方提交的货物依据招标文件上的技术规格要求和国家有关质量标准进行现场初步验收，外观、说明书符合招标文件技术要求的，给予签收，初步验收不合格的不予签收。</w:t>
      </w:r>
    </w:p>
    <w:p w14:paraId="789AE99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（二）乙方交货前应对产品作出全面检查和对验收文件进行整理，并列出清单，作为甲方收货验收和使用的技术条件依据，检验的结果应随货物交甲方。</w:t>
      </w:r>
    </w:p>
    <w:p w14:paraId="6927E8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（三）甲方对乙方提供的货物在使用前进行调试时，乙方需负责安装并培训甲方的使用操作人员，并协助甲方一起调试，直到符合技术要求，甲方才作最终验收。</w:t>
      </w:r>
    </w:p>
    <w:p w14:paraId="2867862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安装调试过程中，乙方应采取安全保障措施，保证人员安全。如因乙方原因造成人员伤亡和财产损失的，乙方应承担全部赔偿责任。</w:t>
      </w:r>
    </w:p>
    <w:p w14:paraId="1BAE728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）验收时乙方必须在现场，验收完毕后做出验收结果报告；对技术复杂的货物，甲方应请</w:t>
      </w:r>
      <w:r>
        <w:rPr>
          <w:rFonts w:hint="eastAsia" w:asciiTheme="minorEastAsia" w:hAnsiTheme="minorEastAsia" w:eastAsiaTheme="minorEastAsia" w:cstheme="minorEastAsia"/>
          <w:color w:val="auto"/>
          <w:sz w:val="21"/>
          <w:szCs w:val="21"/>
          <w:highlight w:val="none"/>
          <w:lang w:val="en-US" w:eastAsia="zh-CN"/>
        </w:rPr>
        <w:t>专家进行验收并出具验收报告，</w:t>
      </w:r>
      <w:r>
        <w:rPr>
          <w:rFonts w:hint="eastAsia" w:asciiTheme="minorEastAsia" w:hAnsiTheme="minorEastAsia" w:eastAsiaTheme="minorEastAsia" w:cstheme="minorEastAsia"/>
          <w:color w:val="auto"/>
          <w:sz w:val="21"/>
          <w:szCs w:val="21"/>
          <w:highlight w:val="none"/>
        </w:rPr>
        <w:t>验收费用由</w:t>
      </w:r>
      <w:r>
        <w:rPr>
          <w:rFonts w:hint="eastAsia" w:asciiTheme="minorEastAsia" w:hAnsiTheme="minorEastAsia" w:eastAsiaTheme="minorEastAsia" w:cstheme="minorEastAsia"/>
          <w:color w:val="auto"/>
          <w:sz w:val="21"/>
          <w:szCs w:val="21"/>
          <w:highlight w:val="none"/>
          <w:lang w:val="en-US" w:eastAsia="zh-CN"/>
        </w:rPr>
        <w:t>乙</w:t>
      </w:r>
      <w:r>
        <w:rPr>
          <w:rFonts w:hint="eastAsia" w:asciiTheme="minorEastAsia" w:hAnsiTheme="minorEastAsia" w:eastAsiaTheme="minorEastAsia" w:cstheme="minorEastAsia"/>
          <w:color w:val="auto"/>
          <w:sz w:val="21"/>
          <w:szCs w:val="21"/>
          <w:highlight w:val="none"/>
        </w:rPr>
        <w:t>方负责。</w:t>
      </w:r>
    </w:p>
    <w:p w14:paraId="30194FA6">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十五、货物包装、发运及运输</w:t>
      </w:r>
    </w:p>
    <w:p w14:paraId="4A18718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（一）乙方应在货物发运前对其进行满足运输距离、防潮、防震、防锈和防破损装卸等要求包装，以保证货物安全运达甲方指定地点。</w:t>
      </w:r>
    </w:p>
    <w:p w14:paraId="38086BD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（二）使用说明书、质量检验证明书、随配附件和工具以及清单一并附于货物内。</w:t>
      </w:r>
    </w:p>
    <w:p w14:paraId="644F0D2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（三）乙方在货物发运手续办理完毕后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24</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小时内或货到甲方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48</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小时前通知甲方，以准备接货。</w:t>
      </w:r>
    </w:p>
    <w:p w14:paraId="4B6A299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（四）货物在交付甲方前发生的风险均由乙方负责。</w:t>
      </w:r>
    </w:p>
    <w:p w14:paraId="505FE40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（五）货物在规定的交付期限内由乙方送达甲方指定的地点并经甲方初步验收后视为交付，乙方同时需通知甲方货物已送达。</w:t>
      </w:r>
    </w:p>
    <w:p w14:paraId="5F83DE6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（六）乙方运送的货物涉及商品包装和快递包装的，参考《商品包装政府采购需求标准（试行）》、《快递包装政府采购需求标准（试行）》（财办库〔2020〕123号）。</w:t>
      </w:r>
    </w:p>
    <w:p w14:paraId="5A120D4E">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bookmarkStart w:id="0" w:name="_Hlk148431679"/>
      <w:r>
        <w:rPr>
          <w:rFonts w:hint="eastAsia" w:asciiTheme="minorEastAsia" w:hAnsiTheme="minorEastAsia" w:eastAsiaTheme="minorEastAsia" w:cstheme="minorEastAsia"/>
          <w:b/>
          <w:bCs/>
          <w:color w:val="auto"/>
          <w:sz w:val="21"/>
          <w:szCs w:val="21"/>
          <w:highlight w:val="none"/>
        </w:rPr>
        <w:t>十六、保密条款</w:t>
      </w:r>
    </w:p>
    <w:p w14:paraId="202F211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乙方对合同内容及履行合同过程中所获悉的属于甲方的且无法自公开渠道获得的文件及资料，应负保密义务，未经甲方书面同意，不得擅自利用或对外发表或披露。违反前述约定的，乙方应向甲方支付违约金</w:t>
      </w:r>
      <w:r>
        <w:rPr>
          <w:rFonts w:hint="eastAsia" w:asciiTheme="minorEastAsia" w:hAnsiTheme="minorEastAsia" w:eastAsiaTheme="minorEastAsia" w:cstheme="minorEastAsia"/>
          <w:color w:val="auto"/>
          <w:sz w:val="21"/>
          <w:szCs w:val="21"/>
          <w:highlight w:val="none"/>
          <w:lang w:val="en-US" w:eastAsia="zh-CN"/>
        </w:rPr>
        <w:t>______</w:t>
      </w:r>
      <w:r>
        <w:rPr>
          <w:rFonts w:hint="eastAsia" w:asciiTheme="minorEastAsia" w:hAnsiTheme="minorEastAsia" w:eastAsiaTheme="minorEastAsia" w:cstheme="minorEastAsia"/>
          <w:color w:val="auto"/>
          <w:sz w:val="21"/>
          <w:szCs w:val="21"/>
          <w:highlight w:val="none"/>
        </w:rPr>
        <w:t>万元；违约金不足以弥补甲方损失的，乙方还应负责赔偿。保密期限自乙方接收或知悉甲方信息资料之日起至该信息资料公开之日或甲方书面解除乙方保密义务之日止。</w:t>
      </w:r>
    </w:p>
    <w:bookmarkEnd w:id="0"/>
    <w:p w14:paraId="0F1B6E02">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、违约责任</w:t>
      </w:r>
    </w:p>
    <w:p w14:paraId="37CE000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（一）甲方无正当理由拒收货物的，甲方向乙方偿付拒收货款总值的</w:t>
      </w:r>
      <w:r>
        <w:rPr>
          <w:rFonts w:hint="eastAsia" w:asciiTheme="minorEastAsia" w:hAnsiTheme="minorEastAsia" w:eastAsiaTheme="minorEastAsia" w:cstheme="minorEastAsia"/>
          <w:color w:val="auto"/>
          <w:sz w:val="21"/>
          <w:szCs w:val="21"/>
          <w:highlight w:val="none"/>
          <w:u w:val="single"/>
        </w:rPr>
        <w:t>百分之五</w:t>
      </w:r>
      <w:r>
        <w:rPr>
          <w:rFonts w:hint="eastAsia" w:asciiTheme="minorEastAsia" w:hAnsiTheme="minorEastAsia" w:eastAsiaTheme="minorEastAsia" w:cstheme="minorEastAsia"/>
          <w:color w:val="auto"/>
          <w:sz w:val="21"/>
          <w:szCs w:val="21"/>
          <w:highlight w:val="none"/>
        </w:rPr>
        <w:t>违约金。</w:t>
      </w:r>
    </w:p>
    <w:p w14:paraId="002B36D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（二）甲方无故逾期验收和办理货款支付手续的，甲方应按逾期付款总额每日</w:t>
      </w:r>
      <w:r>
        <w:rPr>
          <w:rFonts w:hint="eastAsia" w:asciiTheme="minorEastAsia" w:hAnsiTheme="minorEastAsia" w:eastAsiaTheme="minorEastAsia" w:cstheme="minorEastAsia"/>
          <w:color w:val="auto"/>
          <w:sz w:val="21"/>
          <w:szCs w:val="21"/>
          <w:highlight w:val="none"/>
          <w:u w:val="single"/>
        </w:rPr>
        <w:t>万分之五</w:t>
      </w:r>
      <w:r>
        <w:rPr>
          <w:rFonts w:hint="eastAsia" w:asciiTheme="minorEastAsia" w:hAnsiTheme="minorEastAsia" w:eastAsiaTheme="minorEastAsia" w:cstheme="minorEastAsia"/>
          <w:color w:val="auto"/>
          <w:sz w:val="21"/>
          <w:szCs w:val="21"/>
          <w:highlight w:val="none"/>
        </w:rPr>
        <w:t>向乙方支付违约金。</w:t>
      </w:r>
    </w:p>
    <w:p w14:paraId="3C3A104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（三）乙方逾期交付货物的，乙方应按逾期交货总额每日</w:t>
      </w:r>
      <w:r>
        <w:rPr>
          <w:rFonts w:hint="eastAsia" w:asciiTheme="minorEastAsia" w:hAnsiTheme="minorEastAsia" w:eastAsiaTheme="minorEastAsia" w:cstheme="minorEastAsia"/>
          <w:color w:val="auto"/>
          <w:sz w:val="21"/>
          <w:szCs w:val="21"/>
          <w:highlight w:val="none"/>
          <w:u w:val="single"/>
        </w:rPr>
        <w:t>千分之六</w:t>
      </w:r>
      <w:r>
        <w:rPr>
          <w:rFonts w:hint="eastAsia" w:asciiTheme="minorEastAsia" w:hAnsiTheme="minorEastAsia" w:eastAsiaTheme="minorEastAsia" w:cstheme="minorEastAsia"/>
          <w:color w:val="auto"/>
          <w:sz w:val="21"/>
          <w:szCs w:val="21"/>
          <w:highlight w:val="none"/>
        </w:rPr>
        <w:t>向甲方支付违约金，由甲方从待付货款中扣除。逾期超过约定日期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auto"/>
          <w:sz w:val="21"/>
          <w:szCs w:val="21"/>
          <w:highlight w:val="none"/>
          <w:u w:val="single"/>
        </w:rPr>
        <w:t>5%</w:t>
      </w:r>
      <w:r>
        <w:rPr>
          <w:rFonts w:hint="eastAsia" w:asciiTheme="minorEastAsia" w:hAnsiTheme="minorEastAsia" w:eastAsiaTheme="minorEastAsia" w:cstheme="minorEastAsia"/>
          <w:color w:val="auto"/>
          <w:sz w:val="21"/>
          <w:szCs w:val="21"/>
          <w:highlight w:val="none"/>
        </w:rPr>
        <w:t xml:space="preserve">的违约金，如造成甲方损失超过违约金的，超出部分由乙方继续承担赔偿责任。 </w:t>
      </w:r>
    </w:p>
    <w:p w14:paraId="68CEF96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0E92AB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（五）若发生纠纷，由违约方赔偿守约方因纠纷所支付的费用（包括但不限于律师费、差旅费、诉讼费、保全费、鉴定费、评估费等）。</w:t>
      </w:r>
    </w:p>
    <w:p w14:paraId="3C3C5EB6">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、不可抗力事件处理</w:t>
      </w:r>
    </w:p>
    <w:p w14:paraId="1F8F3F0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（一）在合同有效期内，任何一方因不可抗力事件导致不能履行合同，则合同履行期可延长，其延长期与不可抗力影响期相同。</w:t>
      </w:r>
    </w:p>
    <w:p w14:paraId="7E04761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（二）不可抗力事件发生后，应立即通知对方，并寄送有关权威机构出具的证明。</w:t>
      </w:r>
    </w:p>
    <w:p w14:paraId="7D81286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（三）不可抗力事件延续120天以上，双方应通过友好协商，确定是否继续履行合同。</w:t>
      </w:r>
    </w:p>
    <w:p w14:paraId="18121DF8">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、解决争议的方法</w:t>
      </w:r>
    </w:p>
    <w:p w14:paraId="2C7F318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如双方在履行合同时发生纠纷，应协商解决；协商不成时，可提请政府采购监管处调解；调解不成的通过以下第（  ）方式解决：</w:t>
      </w:r>
    </w:p>
    <w:p w14:paraId="43EB570C">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（一）提交</w:t>
      </w:r>
      <w:r>
        <w:rPr>
          <w:rFonts w:hint="eastAsia" w:asciiTheme="minorEastAsia" w:hAnsiTheme="minorEastAsia" w:eastAsiaTheme="minorEastAsia" w:cstheme="minorEastAsia"/>
          <w:color w:val="auto"/>
          <w:sz w:val="21"/>
          <w:szCs w:val="21"/>
          <w:highlight w:val="none"/>
          <w:u w:val="single"/>
        </w:rPr>
        <w:t>台州</w:t>
      </w:r>
      <w:r>
        <w:rPr>
          <w:rFonts w:hint="eastAsia" w:asciiTheme="minorEastAsia" w:hAnsiTheme="minorEastAsia" w:eastAsiaTheme="minorEastAsia" w:cstheme="minorEastAsia"/>
          <w:color w:val="auto"/>
          <w:kern w:val="0"/>
          <w:sz w:val="21"/>
          <w:szCs w:val="21"/>
          <w:highlight w:val="none"/>
        </w:rPr>
        <w:t>仲裁委员会仲裁。</w:t>
      </w:r>
    </w:p>
    <w:p w14:paraId="5B6C452F">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（二）依法向甲方所在地人民法院提起诉讼。 </w:t>
      </w:r>
    </w:p>
    <w:p w14:paraId="0F26BC11">
      <w:pPr>
        <w:tabs>
          <w:tab w:val="left" w:pos="5790"/>
        </w:tabs>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二十</w:t>
      </w:r>
      <w:r>
        <w:rPr>
          <w:rFonts w:hint="eastAsia" w:asciiTheme="minorEastAsia" w:hAnsiTheme="minorEastAsia" w:eastAsiaTheme="minorEastAsia" w:cstheme="minorEastAsia"/>
          <w:b/>
          <w:color w:val="auto"/>
          <w:sz w:val="21"/>
          <w:szCs w:val="21"/>
          <w:highlight w:val="none"/>
        </w:rPr>
        <w:t>、合同生效及其他</w:t>
      </w:r>
      <w:r>
        <w:rPr>
          <w:rFonts w:hint="eastAsia" w:asciiTheme="minorEastAsia" w:hAnsiTheme="minorEastAsia" w:eastAsiaTheme="minorEastAsia" w:cstheme="minorEastAsia"/>
          <w:b/>
          <w:color w:val="auto"/>
          <w:sz w:val="21"/>
          <w:szCs w:val="21"/>
          <w:highlight w:val="none"/>
        </w:rPr>
        <w:tab/>
      </w:r>
    </w:p>
    <w:p w14:paraId="303D4FC0">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（一）合同经双方法定代表人或授权代表签名并加盖单位公章后生效。</w:t>
      </w:r>
    </w:p>
    <w:p w14:paraId="70818C48">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（二）本合同未尽事宜，遵照《</w:t>
      </w:r>
      <w:r>
        <w:rPr>
          <w:rFonts w:hint="eastAsia" w:asciiTheme="minorEastAsia" w:hAnsiTheme="minorEastAsia" w:eastAsiaTheme="minorEastAsia" w:cstheme="minorEastAsia"/>
          <w:color w:val="auto"/>
          <w:sz w:val="21"/>
          <w:szCs w:val="21"/>
          <w:highlight w:val="none"/>
          <w:shd w:val="clear" w:color="auto" w:fill="FFFFFF"/>
        </w:rPr>
        <w:t>中华人民共和国民法典</w:t>
      </w:r>
      <w:r>
        <w:rPr>
          <w:rFonts w:hint="eastAsia" w:asciiTheme="minorEastAsia" w:hAnsiTheme="minorEastAsia" w:eastAsiaTheme="minorEastAsia" w:cstheme="minorEastAsia"/>
          <w:color w:val="auto"/>
          <w:sz w:val="21"/>
          <w:szCs w:val="21"/>
          <w:highlight w:val="none"/>
        </w:rPr>
        <w:t>》有关条文执行。</w:t>
      </w:r>
    </w:p>
    <w:p w14:paraId="43A38ED4">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（三）本合同一式</w:t>
      </w:r>
      <w:r>
        <w:rPr>
          <w:rFonts w:hint="eastAsia" w:asciiTheme="minorEastAsia" w:hAnsiTheme="minorEastAsia" w:eastAsiaTheme="minorEastAsia" w:cstheme="minorEastAsia"/>
          <w:color w:val="auto"/>
          <w:sz w:val="21"/>
          <w:szCs w:val="21"/>
          <w:highlight w:val="none"/>
          <w:lang w:val="en-US" w:eastAsia="zh-CN"/>
        </w:rPr>
        <w:t>陆</w:t>
      </w:r>
      <w:r>
        <w:rPr>
          <w:rFonts w:hint="eastAsia" w:asciiTheme="minorEastAsia" w:hAnsiTheme="minorEastAsia" w:eastAsiaTheme="minorEastAsia" w:cstheme="minorEastAsia"/>
          <w:color w:val="auto"/>
          <w:sz w:val="21"/>
          <w:szCs w:val="21"/>
          <w:highlight w:val="none"/>
        </w:rPr>
        <w:t>份，甲、乙双方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各执</w:t>
      </w:r>
      <w:r>
        <w:rPr>
          <w:rFonts w:hint="eastAsia" w:asciiTheme="minorEastAsia" w:hAnsiTheme="minorEastAsia" w:eastAsiaTheme="minorEastAsia" w:cstheme="minorEastAsia"/>
          <w:color w:val="auto"/>
          <w:sz w:val="21"/>
          <w:szCs w:val="21"/>
          <w:highlight w:val="none"/>
          <w:lang w:val="en-US" w:eastAsia="zh-CN"/>
        </w:rPr>
        <w:t>贰</w:t>
      </w:r>
      <w:r>
        <w:rPr>
          <w:rFonts w:hint="eastAsia" w:asciiTheme="minorEastAsia" w:hAnsiTheme="minorEastAsia" w:eastAsiaTheme="minorEastAsia" w:cstheme="minorEastAsia"/>
          <w:color w:val="auto"/>
          <w:sz w:val="21"/>
          <w:szCs w:val="21"/>
          <w:highlight w:val="none"/>
        </w:rPr>
        <w:t>份。本项目未尽事宜以招标文件、投标文件及澄清文件等为准。</w:t>
      </w:r>
    </w:p>
    <w:p w14:paraId="333F4ED8">
      <w:pPr>
        <w:widowControl/>
        <w:spacing w:line="360" w:lineRule="auto"/>
        <w:ind w:firstLine="422" w:firstLineChars="200"/>
        <w:rPr>
          <w:rFonts w:hint="eastAsia" w:asciiTheme="minorEastAsia" w:hAnsiTheme="minorEastAsia" w:eastAsiaTheme="minorEastAsia" w:cstheme="minorEastAsia"/>
          <w:b/>
          <w:color w:val="auto"/>
          <w:sz w:val="21"/>
          <w:szCs w:val="21"/>
          <w:highlight w:val="none"/>
        </w:rPr>
      </w:pPr>
    </w:p>
    <w:p w14:paraId="705BA1F4">
      <w:pPr>
        <w:spacing w:line="360" w:lineRule="auto"/>
        <w:rPr>
          <w:rFonts w:hint="eastAsia" w:asciiTheme="minorEastAsia" w:hAnsiTheme="minorEastAsia" w:eastAsiaTheme="minorEastAsia" w:cstheme="minorEastAsia"/>
          <w:color w:val="auto"/>
          <w:sz w:val="21"/>
          <w:szCs w:val="21"/>
          <w:highlight w:val="none"/>
        </w:rPr>
      </w:pPr>
    </w:p>
    <w:p w14:paraId="080EF827">
      <w:pPr>
        <w:spacing w:line="360" w:lineRule="auto"/>
        <w:rPr>
          <w:rFonts w:hint="eastAsia" w:asciiTheme="minorEastAsia" w:hAnsiTheme="minorEastAsia" w:eastAsiaTheme="minorEastAsia" w:cstheme="minorEastAsia"/>
          <w:color w:val="auto"/>
          <w:sz w:val="21"/>
          <w:szCs w:val="21"/>
          <w:highlight w:val="none"/>
        </w:rPr>
      </w:pPr>
    </w:p>
    <w:p w14:paraId="26B2BBC1">
      <w:pPr>
        <w:spacing w:line="360" w:lineRule="auto"/>
        <w:rPr>
          <w:rFonts w:hint="eastAsia" w:asciiTheme="minorEastAsia" w:hAnsiTheme="minorEastAsia" w:eastAsiaTheme="minorEastAsia" w:cstheme="minorEastAsia"/>
          <w:color w:val="auto"/>
          <w:sz w:val="21"/>
          <w:szCs w:val="21"/>
          <w:highlight w:val="none"/>
        </w:rPr>
      </w:pPr>
    </w:p>
    <w:p w14:paraId="4C64A22C">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                                     乙方（盖章）</w:t>
      </w:r>
    </w:p>
    <w:p w14:paraId="3C6E6D0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14:paraId="3C8A074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14:paraId="6FEA41F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                                       联系电话：</w:t>
      </w:r>
    </w:p>
    <w:p w14:paraId="32BEF9B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                                       开户银行：</w:t>
      </w:r>
    </w:p>
    <w:p w14:paraId="16C3A4CC">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                                           账号：</w:t>
      </w:r>
    </w:p>
    <w:p w14:paraId="11E9BAB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地址及邮编：                                     地址及邮编：</w:t>
      </w:r>
    </w:p>
    <w:p w14:paraId="44979A91">
      <w:pPr>
        <w:spacing w:line="360" w:lineRule="auto"/>
        <w:rPr>
          <w:rFonts w:hint="eastAsia" w:asciiTheme="minorEastAsia" w:hAnsiTheme="minorEastAsia" w:eastAsiaTheme="minorEastAsia" w:cstheme="minorEastAsia"/>
          <w:color w:val="auto"/>
          <w:sz w:val="21"/>
          <w:szCs w:val="21"/>
          <w:highlight w:val="none"/>
        </w:rPr>
      </w:pPr>
    </w:p>
    <w:p w14:paraId="52B502D8">
      <w:pPr>
        <w:pStyle w:val="7"/>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合同见证方：</w:t>
      </w:r>
    </w:p>
    <w:p w14:paraId="7A773339">
      <w:pPr>
        <w:pStyle w:val="7"/>
        <w:keepNext w:val="0"/>
        <w:keepLines w:val="0"/>
        <w:pageBreakBefore w:val="0"/>
        <w:kinsoku/>
        <w:wordWrap/>
        <w:overflowPunct/>
        <w:topLinePunct w:val="0"/>
        <w:bidi w:val="0"/>
        <w:spacing w:after="0" w:line="360" w:lineRule="auto"/>
        <w:ind w:firstLine="2940" w:firstLineChars="1400"/>
        <w:jc w:val="both"/>
        <w:outlineLvl w:val="9"/>
        <w:rPr>
          <w:rFonts w:hint="eastAsia" w:ascii="宋体" w:hAnsi="宋体" w:eastAsia="宋体" w:cs="宋体"/>
          <w:snapToGrid w:val="0"/>
          <w:color w:val="auto"/>
          <w:szCs w:val="21"/>
          <w:highlight w:val="none"/>
        </w:rPr>
      </w:pPr>
      <w:r>
        <w:rPr>
          <w:rFonts w:hint="eastAsia" w:asciiTheme="minorEastAsia" w:hAnsiTheme="minorEastAsia" w:eastAsiaTheme="minorEastAsia" w:cstheme="minorEastAsia"/>
          <w:color w:val="auto"/>
          <w:sz w:val="21"/>
          <w:szCs w:val="21"/>
          <w:highlight w:val="none"/>
        </w:rPr>
        <w:t>签订时间：    年   月    日</w:t>
      </w:r>
    </w:p>
    <w:p w14:paraId="6ABFFE2D">
      <w:pPr>
        <w:pStyle w:val="7"/>
        <w:rPr>
          <w:rFonts w:hint="eastAsia" w:ascii="宋体" w:hAnsi="宋体" w:eastAsia="宋体" w:cs="宋体"/>
          <w:snapToGrid w:val="0"/>
          <w:color w:val="auto"/>
          <w:szCs w:val="21"/>
          <w:highlight w:val="none"/>
        </w:rPr>
      </w:pPr>
    </w:p>
    <w:p w14:paraId="5BA74836">
      <w:pPr>
        <w:spacing w:line="360" w:lineRule="auto"/>
        <w:jc w:val="both"/>
        <w:rPr>
          <w:rFonts w:hint="eastAsia" w:ascii="宋体" w:hAnsi="宋体" w:eastAsia="宋体" w:cs="宋体"/>
          <w:b/>
          <w:color w:val="auto"/>
          <w:sz w:val="36"/>
          <w:szCs w:val="36"/>
          <w:highlight w:val="none"/>
        </w:rPr>
      </w:pPr>
    </w:p>
    <w:p w14:paraId="2A7EBF55">
      <w:pPr>
        <w:spacing w:line="360" w:lineRule="auto"/>
        <w:jc w:val="both"/>
        <w:rPr>
          <w:rFonts w:hint="eastAsia" w:ascii="宋体" w:hAnsi="宋体" w:eastAsia="宋体" w:cs="宋体"/>
          <w:b/>
          <w:color w:val="auto"/>
          <w:sz w:val="36"/>
          <w:szCs w:val="36"/>
          <w:highlight w:val="none"/>
        </w:rPr>
      </w:pPr>
    </w:p>
    <w:p w14:paraId="328DC2D1">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0E78C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D7FB62A">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w:t>
      </w:r>
    </w:p>
    <w:p w14:paraId="23171B91">
      <w:pPr>
        <w:keepNext w:val="0"/>
        <w:keepLines w:val="0"/>
        <w:pageBreakBefore w:val="0"/>
        <w:numPr>
          <w:ilvl w:val="0"/>
          <w:numId w:val="0"/>
        </w:numPr>
        <w:kinsoku/>
        <w:wordWrap/>
        <w:overflowPunct/>
        <w:topLinePunct w:val="0"/>
        <w:bidi w:val="0"/>
        <w:spacing w:line="360" w:lineRule="auto"/>
        <w:jc w:val="both"/>
        <w:outlineLvl w:val="9"/>
        <w:rPr>
          <w:rFonts w:hint="eastAsia" w:ascii="宋体" w:hAnsi="宋体" w:eastAsia="宋体" w:cs="宋体"/>
          <w:b/>
          <w:color w:val="auto"/>
          <w:sz w:val="30"/>
          <w:szCs w:val="30"/>
          <w:highlight w:val="none"/>
        </w:rPr>
      </w:pPr>
    </w:p>
    <w:p w14:paraId="78086DE1">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5E32E76">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47EE35BE">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203CD1C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8255E21">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8F1711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B41416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7155F10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444F7C46">
      <w:pPr>
        <w:pStyle w:val="4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5193F6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F8A7898">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1F74AEC8">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894932A">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BC5A7CE">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0EC3DC0C">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投标声明书</w:t>
      </w:r>
      <w:r>
        <w:rPr>
          <w:rFonts w:hint="eastAsia" w:ascii="宋体" w:hAnsi="宋体" w:eastAsia="宋体" w:cs="宋体"/>
          <w:color w:val="auto"/>
          <w:sz w:val="24"/>
          <w:szCs w:val="24"/>
          <w:highlight w:val="none"/>
        </w:rPr>
        <w:t>（附件2）</w:t>
      </w:r>
    </w:p>
    <w:p w14:paraId="7128DF2E">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授权委托书（附件3）</w:t>
      </w:r>
    </w:p>
    <w:p w14:paraId="524F996F">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法人或者其他组织的营业执照等证明文件，自然人的身份证明</w:t>
      </w:r>
    </w:p>
    <w:p w14:paraId="1F97A5E3">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投标人认为需要说明的其他材料。</w:t>
      </w:r>
    </w:p>
    <w:p w14:paraId="74836F91">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p>
    <w:p w14:paraId="35BF62B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0E850510">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C91C976">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49E641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A82DFA2">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6B88F3A">
      <w:pPr>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6314E313">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5D0C4928">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44559D6F">
      <w:pPr>
        <w:pStyle w:val="26"/>
        <w:keepNext w:val="0"/>
        <w:keepLines w:val="0"/>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685A544A">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14263C80">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38B5ED4A">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6D54CF84">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0F87244">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803246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E1B36A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33BDBA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37A0454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台州技师学院</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A41CFE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750080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云计算赛教资源包建设项目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zjhy2025-tz21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）的投标，为此，我公司就本次投标有关事项郑重声明如下：</w:t>
      </w:r>
    </w:p>
    <w:p w14:paraId="4B50A22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5634EF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7769A3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60BC45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CE7477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1CF981D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65CD892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1BC0221">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388C09D9">
      <w:pPr>
        <w:keepNext w:val="0"/>
        <w:keepLines w:val="0"/>
        <w:pageBreakBefore w:val="0"/>
        <w:kinsoku/>
        <w:wordWrap/>
        <w:overflowPunct/>
        <w:topLinePunct w:val="0"/>
        <w:bidi w:val="0"/>
        <w:spacing w:line="360" w:lineRule="auto"/>
        <w:ind w:firstLine="1050" w:firstLineChars="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2FB57223">
      <w:pPr>
        <w:keepNext w:val="0"/>
        <w:keepLines w:val="0"/>
        <w:pageBreakBefore w:val="0"/>
        <w:kinsoku/>
        <w:wordWrap/>
        <w:overflowPunct/>
        <w:topLinePunct w:val="0"/>
        <w:bidi w:val="0"/>
        <w:spacing w:line="360" w:lineRule="auto"/>
        <w:ind w:firstLine="3360" w:firstLineChars="1600"/>
        <w:jc w:val="both"/>
        <w:outlineLvl w:val="9"/>
        <w:rPr>
          <w:rFonts w:hint="eastAsia" w:ascii="宋体" w:hAnsi="宋体" w:eastAsia="宋体" w:cs="宋体"/>
          <w:color w:val="auto"/>
          <w:sz w:val="24"/>
          <w:szCs w:val="32"/>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9748C3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1E7253F0">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283FEAE8">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03AA0C5">
      <w:pPr>
        <w:pStyle w:val="12"/>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台州技师学院</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75D450D">
      <w:pPr>
        <w:pStyle w:val="12"/>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云计算赛教资源包建设项目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37D5D7FD">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780442F5">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DF5A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126569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076A55D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38E7651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A12D32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06B70EB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BE9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F985DC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751879E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716118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7BC57FA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E833E2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8A4FCE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46741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C7F4E36">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523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5C03FA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p w14:paraId="55A4701E">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3B371E1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52C1A9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3BD6669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7C3978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D97D28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6AF9A7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909167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3514EA5">
      <w:pPr>
        <w:keepNext w:val="0"/>
        <w:keepLines w:val="0"/>
        <w:pageBreakBefore w:val="0"/>
        <w:kinsoku/>
        <w:wordWrap/>
        <w:overflowPunct/>
        <w:topLinePunct w:val="0"/>
        <w:bidi w:val="0"/>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36C5163C">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D31A4CF">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51B24A7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2CF98AB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58A0862">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47C20FEE">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5F8B21E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0BCC3E88">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4AE20349">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7FC98C66">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2A551E5B">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5F28CB35">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33A570F3">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77F37F0B">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3FC6449">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2384519">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22A25F7">
      <w:pPr>
        <w:keepNext w:val="0"/>
        <w:keepLines w:val="0"/>
        <w:pageBreakBefore w:val="0"/>
        <w:numPr>
          <w:ilvl w:val="0"/>
          <w:numId w:val="0"/>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lang w:val="en-US" w:eastAsia="zh-CN" w:bidi="ar-SA"/>
        </w:rPr>
        <w:t>一、</w:t>
      </w:r>
      <w:r>
        <w:rPr>
          <w:rFonts w:hint="eastAsia" w:ascii="宋体" w:hAnsi="宋体" w:eastAsia="宋体" w:cs="宋体"/>
          <w:b/>
          <w:bCs/>
          <w:color w:val="auto"/>
          <w:szCs w:val="21"/>
          <w:highlight w:val="none"/>
        </w:rPr>
        <w:t>评标索引</w:t>
      </w:r>
    </w:p>
    <w:p w14:paraId="22FD28BE">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5</w:t>
      </w:r>
      <w:r>
        <w:rPr>
          <w:rFonts w:hint="eastAsia" w:ascii="宋体" w:hAnsi="宋体" w:eastAsia="宋体" w:cs="宋体"/>
          <w:color w:val="auto"/>
          <w:highlight w:val="none"/>
        </w:rPr>
        <w:t>）</w:t>
      </w:r>
    </w:p>
    <w:p w14:paraId="05005053">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4EFC529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6</w:t>
      </w:r>
      <w:bookmarkStart w:id="1" w:name="_GoBack"/>
      <w:bookmarkEnd w:id="1"/>
      <w:r>
        <w:rPr>
          <w:rFonts w:hint="eastAsia" w:ascii="宋体" w:hAnsi="宋体" w:eastAsia="宋体" w:cs="宋体"/>
          <w:color w:val="auto"/>
          <w:sz w:val="21"/>
          <w:szCs w:val="21"/>
          <w:highlight w:val="none"/>
        </w:rPr>
        <w:t>）；</w:t>
      </w:r>
    </w:p>
    <w:p w14:paraId="2CAABA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4CB8B4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43CA0A1F">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5F9145D2">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3941BA90">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p>
    <w:p w14:paraId="4F9D619F">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2C88415C">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30625B9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512DE2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90</w:t>
      </w:r>
      <w:r>
        <w:rPr>
          <w:rFonts w:hint="eastAsia" w:ascii="宋体" w:hAnsi="宋体" w:eastAsia="宋体" w:cs="宋体"/>
          <w:color w:val="auto"/>
          <w:szCs w:val="21"/>
          <w:highlight w:val="none"/>
        </w:rPr>
        <w:t>）；</w:t>
      </w:r>
    </w:p>
    <w:p w14:paraId="5B2D53D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01AFE82C">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7C6ED9DC">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w:t>
      </w:r>
    </w:p>
    <w:p w14:paraId="5BCD585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w:t>
      </w:r>
    </w:p>
    <w:p w14:paraId="37C2B14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w:t>
      </w:r>
    </w:p>
    <w:p w14:paraId="2252296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p>
    <w:p w14:paraId="598655B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720CF501">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421CE111">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25E5DEB5">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1B8133C2">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3AB4FA66">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5E1C65E8">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36A3506F">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22D85A3C">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0"/>
        <w:tblW w:w="10751" w:type="dxa"/>
        <w:jc w:val="center"/>
        <w:tblLayout w:type="fixed"/>
        <w:tblCellMar>
          <w:top w:w="15" w:type="dxa"/>
          <w:left w:w="15" w:type="dxa"/>
          <w:bottom w:w="15" w:type="dxa"/>
          <w:right w:w="15" w:type="dxa"/>
        </w:tblCellMar>
      </w:tblPr>
      <w:tblGrid>
        <w:gridCol w:w="843"/>
        <w:gridCol w:w="1320"/>
        <w:gridCol w:w="6590"/>
        <w:gridCol w:w="844"/>
        <w:gridCol w:w="566"/>
        <w:gridCol w:w="588"/>
      </w:tblGrid>
      <w:tr w14:paraId="64AC95EB">
        <w:tblPrEx>
          <w:tblCellMar>
            <w:top w:w="15" w:type="dxa"/>
            <w:left w:w="15" w:type="dxa"/>
            <w:bottom w:w="15" w:type="dxa"/>
            <w:right w:w="15" w:type="dxa"/>
          </w:tblCellMar>
        </w:tblPrEx>
        <w:trPr>
          <w:trHeight w:val="23"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111DF56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590" w:type="dxa"/>
            <w:tcBorders>
              <w:top w:val="single" w:color="auto" w:sz="4" w:space="0"/>
              <w:left w:val="single" w:color="auto" w:sz="4" w:space="0"/>
              <w:bottom w:val="single" w:color="auto" w:sz="4" w:space="0"/>
              <w:right w:val="single" w:color="auto" w:sz="4" w:space="0"/>
            </w:tcBorders>
            <w:vAlign w:val="center"/>
          </w:tcPr>
          <w:p w14:paraId="6D704A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44" w:type="dxa"/>
            <w:tcBorders>
              <w:top w:val="single" w:color="auto" w:sz="4" w:space="0"/>
              <w:left w:val="single" w:color="auto" w:sz="4" w:space="0"/>
              <w:bottom w:val="single" w:color="auto" w:sz="4" w:space="0"/>
              <w:right w:val="single" w:color="auto" w:sz="4" w:space="0"/>
            </w:tcBorders>
            <w:vAlign w:val="center"/>
          </w:tcPr>
          <w:p w14:paraId="03CFD6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66" w:type="dxa"/>
            <w:tcBorders>
              <w:top w:val="single" w:color="auto" w:sz="4" w:space="0"/>
              <w:left w:val="single" w:color="auto" w:sz="4" w:space="0"/>
              <w:bottom w:val="single" w:color="auto" w:sz="4" w:space="0"/>
              <w:right w:val="single" w:color="auto" w:sz="4" w:space="0"/>
            </w:tcBorders>
            <w:vAlign w:val="center"/>
          </w:tcPr>
          <w:p w14:paraId="774CF7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588" w:type="dxa"/>
            <w:tcBorders>
              <w:top w:val="single" w:color="auto" w:sz="4" w:space="0"/>
              <w:left w:val="single" w:color="auto" w:sz="4" w:space="0"/>
              <w:bottom w:val="single" w:color="auto" w:sz="4" w:space="0"/>
              <w:right w:val="single" w:color="auto" w:sz="4" w:space="0"/>
            </w:tcBorders>
            <w:vAlign w:val="center"/>
          </w:tcPr>
          <w:p w14:paraId="470134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2B78D42B">
        <w:tblPrEx>
          <w:tblCellMar>
            <w:top w:w="15" w:type="dxa"/>
            <w:left w:w="15" w:type="dxa"/>
            <w:bottom w:w="15" w:type="dxa"/>
            <w:right w:w="15" w:type="dxa"/>
          </w:tblCellMar>
        </w:tblPrEx>
        <w:trPr>
          <w:trHeight w:val="23" w:hRule="atLeast"/>
          <w:jc w:val="center"/>
        </w:trPr>
        <w:tc>
          <w:tcPr>
            <w:tcW w:w="843" w:type="dxa"/>
            <w:vMerge w:val="restart"/>
            <w:tcBorders>
              <w:top w:val="single" w:color="auto" w:sz="4" w:space="0"/>
              <w:left w:val="single" w:color="auto" w:sz="4" w:space="0"/>
              <w:right w:val="single" w:color="auto" w:sz="4" w:space="0"/>
            </w:tcBorders>
            <w:vAlign w:val="center"/>
          </w:tcPr>
          <w:p w14:paraId="136E1F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1F333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320" w:type="dxa"/>
            <w:vMerge w:val="restart"/>
            <w:tcBorders>
              <w:top w:val="single" w:color="auto" w:sz="4" w:space="0"/>
              <w:left w:val="single" w:color="auto" w:sz="4" w:space="0"/>
              <w:right w:val="single" w:color="auto" w:sz="4" w:space="0"/>
            </w:tcBorders>
            <w:vAlign w:val="center"/>
          </w:tcPr>
          <w:p w14:paraId="3292D191">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w:t>
            </w:r>
          </w:p>
        </w:tc>
        <w:tc>
          <w:tcPr>
            <w:tcW w:w="6590" w:type="dxa"/>
            <w:tcBorders>
              <w:top w:val="single" w:color="auto" w:sz="4" w:space="0"/>
              <w:left w:val="single" w:color="auto" w:sz="4" w:space="0"/>
              <w:bottom w:val="single" w:color="auto" w:sz="4" w:space="0"/>
              <w:right w:val="single" w:color="auto" w:sz="4" w:space="0"/>
            </w:tcBorders>
            <w:vAlign w:val="center"/>
          </w:tcPr>
          <w:p w14:paraId="1736BC5A">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投标人具有CMMI5级认证证书的得2分</w:t>
            </w:r>
            <w:r>
              <w:rPr>
                <w:rFonts w:hint="eastAsia" w:ascii="宋体" w:hAnsi="宋体" w:cs="宋体"/>
                <w:color w:val="auto"/>
                <w:kern w:val="0"/>
                <w:sz w:val="21"/>
                <w:szCs w:val="21"/>
                <w:highlight w:val="none"/>
                <w:lang w:val="en-US" w:eastAsia="zh-CN"/>
              </w:rPr>
              <w:t>。</w:t>
            </w:r>
          </w:p>
          <w:p w14:paraId="09911FDF">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default" w:ascii="宋体" w:hAnsi="宋体" w:eastAsia="仿宋" w:cs="宋体"/>
                <w:b/>
                <w:bCs/>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rPr>
              <w:t>相关证书</w:t>
            </w:r>
            <w:r>
              <w:rPr>
                <w:rFonts w:hint="eastAsia" w:ascii="宋体" w:hAnsi="宋体" w:eastAsia="宋体" w:cs="宋体"/>
                <w:b/>
                <w:bCs/>
                <w:color w:val="auto"/>
                <w:sz w:val="21"/>
                <w:szCs w:val="21"/>
                <w:highlight w:val="none"/>
                <w:lang w:val="en-US" w:eastAsia="zh-CN"/>
              </w:rPr>
              <w:t>复印件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3C12BEC8">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66" w:type="dxa"/>
            <w:tcBorders>
              <w:top w:val="single" w:color="auto" w:sz="4" w:space="0"/>
              <w:left w:val="single" w:color="auto" w:sz="4" w:space="0"/>
              <w:bottom w:val="single" w:color="auto" w:sz="4" w:space="0"/>
              <w:right w:val="single" w:color="auto" w:sz="4" w:space="0"/>
            </w:tcBorders>
            <w:vAlign w:val="center"/>
          </w:tcPr>
          <w:p w14:paraId="3137323F">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cs="宋体"/>
                <w:color w:val="auto"/>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17D49B15">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cs="宋体"/>
                <w:color w:val="auto"/>
                <w:sz w:val="21"/>
                <w:szCs w:val="21"/>
                <w:highlight w:val="none"/>
                <w:lang w:val="en-US" w:eastAsia="zh-CN"/>
              </w:rPr>
            </w:pPr>
          </w:p>
        </w:tc>
      </w:tr>
      <w:tr w14:paraId="499CC194">
        <w:tblPrEx>
          <w:tblCellMar>
            <w:top w:w="15" w:type="dxa"/>
            <w:left w:w="15" w:type="dxa"/>
            <w:bottom w:w="15" w:type="dxa"/>
            <w:right w:w="15" w:type="dxa"/>
          </w:tblCellMar>
        </w:tblPrEx>
        <w:trPr>
          <w:trHeight w:val="23" w:hRule="atLeast"/>
          <w:jc w:val="center"/>
        </w:trPr>
        <w:tc>
          <w:tcPr>
            <w:tcW w:w="843" w:type="dxa"/>
            <w:vMerge w:val="continue"/>
            <w:tcBorders>
              <w:left w:val="single" w:color="auto" w:sz="4" w:space="0"/>
              <w:right w:val="single" w:color="auto" w:sz="4" w:space="0"/>
            </w:tcBorders>
            <w:vAlign w:val="center"/>
          </w:tcPr>
          <w:p w14:paraId="050CE53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vMerge w:val="continue"/>
            <w:tcBorders>
              <w:left w:val="single" w:color="auto" w:sz="4" w:space="0"/>
              <w:bottom w:val="single" w:color="auto" w:sz="4" w:space="0"/>
              <w:right w:val="single" w:color="auto" w:sz="4" w:space="0"/>
            </w:tcBorders>
            <w:vAlign w:val="center"/>
          </w:tcPr>
          <w:p w14:paraId="6CF096D1">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p>
        </w:tc>
        <w:tc>
          <w:tcPr>
            <w:tcW w:w="6590" w:type="dxa"/>
            <w:tcBorders>
              <w:top w:val="single" w:color="auto" w:sz="4" w:space="0"/>
              <w:left w:val="single" w:color="auto" w:sz="4" w:space="0"/>
              <w:bottom w:val="single" w:color="auto" w:sz="4" w:space="0"/>
              <w:right w:val="single" w:color="auto" w:sz="4" w:space="0"/>
            </w:tcBorders>
            <w:vAlign w:val="center"/>
          </w:tcPr>
          <w:p w14:paraId="0C46E9D1">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具有国家认证认可监督管理委员会批准认可的认证机构颁发的，且在有效期内的</w:t>
            </w:r>
            <w:r>
              <w:rPr>
                <w:rFonts w:hint="eastAsia" w:ascii="宋体" w:hAnsi="宋体" w:eastAsia="宋体" w:cs="宋体"/>
                <w:color w:val="auto"/>
                <w:kern w:val="0"/>
                <w:sz w:val="21"/>
                <w:szCs w:val="21"/>
                <w:highlight w:val="none"/>
                <w:lang w:val="en-US" w:eastAsia="zh-CN"/>
              </w:rPr>
              <w:t>质量管理体系认证证书、信息安全管理体系认证证书的，每提供1个得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347F2191">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rPr>
              <w:t>相关证书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w:t>
            </w:r>
            <w:r>
              <w:rPr>
                <w:rFonts w:hint="eastAsia" w:ascii="宋体" w:hAnsi="宋体" w:eastAsia="宋体" w:cs="宋体"/>
                <w:b/>
                <w:bCs/>
                <w:color w:val="auto"/>
                <w:sz w:val="21"/>
                <w:szCs w:val="21"/>
                <w:highlight w:val="none"/>
                <w:lang w:val="en-US" w:eastAsia="zh-CN"/>
              </w:rPr>
              <w:t>，上述资料复印件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178D5868">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66" w:type="dxa"/>
            <w:tcBorders>
              <w:top w:val="single" w:color="auto" w:sz="4" w:space="0"/>
              <w:left w:val="single" w:color="auto" w:sz="4" w:space="0"/>
              <w:bottom w:val="single" w:color="auto" w:sz="4" w:space="0"/>
              <w:right w:val="single" w:color="auto" w:sz="4" w:space="0"/>
            </w:tcBorders>
            <w:vAlign w:val="center"/>
          </w:tcPr>
          <w:p w14:paraId="38BBD31E">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cs="宋体"/>
                <w:color w:val="auto"/>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3AE58A8B">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cs="宋体"/>
                <w:color w:val="auto"/>
                <w:sz w:val="21"/>
                <w:szCs w:val="21"/>
                <w:highlight w:val="none"/>
                <w:lang w:val="en-US" w:eastAsia="zh-CN"/>
              </w:rPr>
            </w:pPr>
          </w:p>
        </w:tc>
      </w:tr>
      <w:tr w14:paraId="0246090A">
        <w:tblPrEx>
          <w:tblCellMar>
            <w:top w:w="15" w:type="dxa"/>
            <w:left w:w="15" w:type="dxa"/>
            <w:bottom w:w="15" w:type="dxa"/>
            <w:right w:w="15" w:type="dxa"/>
          </w:tblCellMar>
        </w:tblPrEx>
        <w:trPr>
          <w:trHeight w:val="23" w:hRule="atLeast"/>
          <w:jc w:val="center"/>
        </w:trPr>
        <w:tc>
          <w:tcPr>
            <w:tcW w:w="843" w:type="dxa"/>
            <w:vMerge w:val="continue"/>
            <w:tcBorders>
              <w:left w:val="single" w:color="auto" w:sz="4" w:space="0"/>
              <w:right w:val="single" w:color="auto" w:sz="4" w:space="0"/>
            </w:tcBorders>
            <w:vAlign w:val="center"/>
          </w:tcPr>
          <w:p w14:paraId="676BA9A9">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left w:val="single" w:color="auto" w:sz="4" w:space="0"/>
              <w:bottom w:val="single" w:color="auto" w:sz="4" w:space="0"/>
              <w:right w:val="single" w:color="auto" w:sz="4" w:space="0"/>
            </w:tcBorders>
            <w:vAlign w:val="center"/>
          </w:tcPr>
          <w:p w14:paraId="4231B484">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原厂授权函</w:t>
            </w:r>
          </w:p>
        </w:tc>
        <w:tc>
          <w:tcPr>
            <w:tcW w:w="6590" w:type="dxa"/>
            <w:tcBorders>
              <w:top w:val="single" w:color="auto" w:sz="4" w:space="0"/>
              <w:left w:val="single" w:color="auto" w:sz="4" w:space="0"/>
              <w:bottom w:val="single" w:color="auto" w:sz="4" w:space="0"/>
              <w:right w:val="single" w:color="auto" w:sz="4" w:space="0"/>
            </w:tcBorders>
            <w:vAlign w:val="center"/>
          </w:tcPr>
          <w:p w14:paraId="63F88BFA">
            <w:pPr>
              <w:widowControl/>
              <w:spacing w:line="276"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zh-CN"/>
              </w:rPr>
              <w:t>投标人如为代理商，须提供所投产品原厂商针对本项目的有效授权函，本项最高1分，未提供的不得分。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5C096D7C">
            <w:pPr>
              <w:adjustRightInd w:val="0"/>
              <w:spacing w:after="100" w:afterAutospacing="1"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66" w:type="dxa"/>
            <w:tcBorders>
              <w:top w:val="single" w:color="auto" w:sz="4" w:space="0"/>
              <w:left w:val="single" w:color="auto" w:sz="4" w:space="0"/>
              <w:bottom w:val="single" w:color="auto" w:sz="4" w:space="0"/>
              <w:right w:val="single" w:color="auto" w:sz="4" w:space="0"/>
            </w:tcBorders>
            <w:vAlign w:val="center"/>
          </w:tcPr>
          <w:p w14:paraId="5F1C7E45">
            <w:pPr>
              <w:adjustRightInd w:val="0"/>
              <w:spacing w:after="100" w:afterAutospacing="1" w:line="276" w:lineRule="auto"/>
              <w:jc w:val="center"/>
              <w:rPr>
                <w:rFonts w:hint="eastAsia" w:ascii="宋体" w:hAnsi="宋体" w:eastAsia="宋体" w:cs="宋体"/>
                <w:color w:val="auto"/>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630986DF">
            <w:pPr>
              <w:adjustRightInd w:val="0"/>
              <w:spacing w:after="100" w:afterAutospacing="1" w:line="276" w:lineRule="auto"/>
              <w:jc w:val="center"/>
              <w:rPr>
                <w:rFonts w:hint="eastAsia" w:ascii="宋体" w:hAnsi="宋体" w:eastAsia="宋体" w:cs="宋体"/>
                <w:color w:val="auto"/>
                <w:sz w:val="21"/>
                <w:szCs w:val="21"/>
                <w:highlight w:val="none"/>
                <w:lang w:val="en-US" w:eastAsia="zh-CN"/>
              </w:rPr>
            </w:pPr>
          </w:p>
        </w:tc>
      </w:tr>
      <w:tr w14:paraId="271F21C8">
        <w:tblPrEx>
          <w:tblCellMar>
            <w:top w:w="15" w:type="dxa"/>
            <w:left w:w="15" w:type="dxa"/>
            <w:bottom w:w="15" w:type="dxa"/>
            <w:right w:w="15" w:type="dxa"/>
          </w:tblCellMar>
        </w:tblPrEx>
        <w:trPr>
          <w:trHeight w:val="23" w:hRule="atLeast"/>
          <w:jc w:val="center"/>
        </w:trPr>
        <w:tc>
          <w:tcPr>
            <w:tcW w:w="843" w:type="dxa"/>
            <w:vMerge w:val="continue"/>
            <w:tcBorders>
              <w:left w:val="single" w:color="auto" w:sz="4" w:space="0"/>
              <w:right w:val="single" w:color="auto" w:sz="4" w:space="0"/>
            </w:tcBorders>
            <w:vAlign w:val="center"/>
          </w:tcPr>
          <w:p w14:paraId="26E6C327">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left w:val="single" w:color="auto" w:sz="4" w:space="0"/>
              <w:bottom w:val="single" w:color="auto" w:sz="4" w:space="0"/>
              <w:right w:val="single" w:color="auto" w:sz="4" w:space="0"/>
            </w:tcBorders>
            <w:vAlign w:val="center"/>
          </w:tcPr>
          <w:p w14:paraId="60D623C0">
            <w:pPr>
              <w:widowControl/>
              <w:spacing w:line="276"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质保期</w:t>
            </w:r>
          </w:p>
        </w:tc>
        <w:tc>
          <w:tcPr>
            <w:tcW w:w="6590" w:type="dxa"/>
            <w:tcBorders>
              <w:top w:val="single" w:color="auto" w:sz="4" w:space="0"/>
              <w:left w:val="single" w:color="auto" w:sz="4" w:space="0"/>
              <w:bottom w:val="single" w:color="auto" w:sz="4" w:space="0"/>
              <w:right w:val="single" w:color="auto" w:sz="4" w:space="0"/>
            </w:tcBorders>
            <w:vAlign w:val="center"/>
          </w:tcPr>
          <w:p w14:paraId="63786386">
            <w:pPr>
              <w:widowControl/>
              <w:spacing w:line="276" w:lineRule="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投标人承诺质保期为3年的得1分，承诺在此基础上增加1年的得1分。最高得2分。</w:t>
            </w:r>
            <w:r>
              <w:rPr>
                <w:rFonts w:hint="eastAsia" w:ascii="宋体" w:hAnsi="宋体" w:eastAsia="宋体" w:cs="宋体"/>
                <w:color w:val="auto"/>
                <w:kern w:val="0"/>
                <w:sz w:val="21"/>
                <w:szCs w:val="21"/>
                <w:highlight w:val="none"/>
                <w:lang w:val="zh-CN"/>
              </w:rPr>
              <w:t>不满足招标文件规定质保期要求或未提及此项不得分。</w:t>
            </w:r>
          </w:p>
          <w:p w14:paraId="140CF235">
            <w:pPr>
              <w:widowControl/>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sz w:val="21"/>
                <w:szCs w:val="21"/>
                <w:highlight w:val="none"/>
                <w:lang w:val="en-US" w:eastAsia="zh-CN"/>
              </w:rPr>
              <w:t>（须提供</w:t>
            </w:r>
            <w:r>
              <w:rPr>
                <w:rFonts w:hint="eastAsia" w:ascii="宋体" w:hAnsi="宋体" w:cs="宋体"/>
                <w:b/>
                <w:bCs/>
                <w:color w:val="auto"/>
                <w:sz w:val="21"/>
                <w:szCs w:val="21"/>
                <w:highlight w:val="none"/>
                <w:lang w:val="en-US" w:eastAsia="zh-CN"/>
              </w:rPr>
              <w:t>承诺函原</w:t>
            </w:r>
            <w:r>
              <w:rPr>
                <w:rFonts w:hint="eastAsia" w:ascii="宋体" w:hAnsi="宋体" w:eastAsia="宋体" w:cs="宋体"/>
                <w:b/>
                <w:bCs/>
                <w:color w:val="auto"/>
                <w:sz w:val="21"/>
                <w:szCs w:val="21"/>
                <w:highlight w:val="none"/>
                <w:lang w:val="en-US" w:eastAsia="zh-CN"/>
              </w:rPr>
              <w:t>件并加盖投标人公章编入投标文件中，未提供的不得分）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68DFBD19">
            <w:pPr>
              <w:widowControl/>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2</w:t>
            </w:r>
          </w:p>
        </w:tc>
        <w:tc>
          <w:tcPr>
            <w:tcW w:w="566" w:type="dxa"/>
            <w:tcBorders>
              <w:top w:val="single" w:color="auto" w:sz="4" w:space="0"/>
              <w:left w:val="single" w:color="auto" w:sz="4" w:space="0"/>
              <w:bottom w:val="single" w:color="auto" w:sz="4" w:space="0"/>
              <w:right w:val="single" w:color="auto" w:sz="4" w:space="0"/>
            </w:tcBorders>
            <w:vAlign w:val="center"/>
          </w:tcPr>
          <w:p w14:paraId="6323E968">
            <w:pPr>
              <w:widowControl/>
              <w:spacing w:line="276" w:lineRule="auto"/>
              <w:jc w:val="center"/>
              <w:rPr>
                <w:rFonts w:hint="eastAsia" w:ascii="宋体" w:hAnsi="宋体" w:eastAsia="宋体" w:cs="宋体"/>
                <w:color w:val="auto"/>
                <w:kern w:val="0"/>
                <w:sz w:val="21"/>
                <w:szCs w:val="21"/>
                <w:highlight w:val="none"/>
                <w:lang w:val="zh-CN"/>
              </w:rPr>
            </w:pPr>
          </w:p>
        </w:tc>
        <w:tc>
          <w:tcPr>
            <w:tcW w:w="588" w:type="dxa"/>
            <w:tcBorders>
              <w:top w:val="single" w:color="auto" w:sz="4" w:space="0"/>
              <w:left w:val="single" w:color="auto" w:sz="4" w:space="0"/>
              <w:bottom w:val="single" w:color="auto" w:sz="4" w:space="0"/>
              <w:right w:val="single" w:color="auto" w:sz="4" w:space="0"/>
            </w:tcBorders>
            <w:vAlign w:val="center"/>
          </w:tcPr>
          <w:p w14:paraId="78F80F25">
            <w:pPr>
              <w:widowControl/>
              <w:spacing w:line="276" w:lineRule="auto"/>
              <w:jc w:val="center"/>
              <w:rPr>
                <w:rFonts w:hint="eastAsia" w:ascii="宋体" w:hAnsi="宋体" w:eastAsia="宋体" w:cs="宋体"/>
                <w:color w:val="auto"/>
                <w:kern w:val="0"/>
                <w:sz w:val="21"/>
                <w:szCs w:val="21"/>
                <w:highlight w:val="none"/>
                <w:lang w:val="zh-CN"/>
              </w:rPr>
            </w:pPr>
          </w:p>
        </w:tc>
      </w:tr>
      <w:tr w14:paraId="5BA61CCF">
        <w:tblPrEx>
          <w:tblCellMar>
            <w:top w:w="15" w:type="dxa"/>
            <w:left w:w="15" w:type="dxa"/>
            <w:bottom w:w="15" w:type="dxa"/>
            <w:right w:w="15" w:type="dxa"/>
          </w:tblCellMar>
        </w:tblPrEx>
        <w:trPr>
          <w:trHeight w:val="23" w:hRule="atLeast"/>
          <w:jc w:val="center"/>
        </w:trPr>
        <w:tc>
          <w:tcPr>
            <w:tcW w:w="843" w:type="dxa"/>
            <w:vMerge w:val="continue"/>
            <w:tcBorders>
              <w:left w:val="single" w:color="auto" w:sz="4" w:space="0"/>
              <w:right w:val="single" w:color="auto" w:sz="4" w:space="0"/>
            </w:tcBorders>
            <w:vAlign w:val="center"/>
          </w:tcPr>
          <w:p w14:paraId="34B6AA6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2CB53D1">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软件著作权</w:t>
            </w:r>
          </w:p>
        </w:tc>
        <w:tc>
          <w:tcPr>
            <w:tcW w:w="6590" w:type="dxa"/>
            <w:tcBorders>
              <w:top w:val="single" w:color="auto" w:sz="4" w:space="0"/>
              <w:left w:val="single" w:color="auto" w:sz="4" w:space="0"/>
              <w:bottom w:val="single" w:color="auto" w:sz="4" w:space="0"/>
              <w:right w:val="single" w:color="auto" w:sz="4" w:space="0"/>
            </w:tcBorders>
            <w:vAlign w:val="center"/>
          </w:tcPr>
          <w:p w14:paraId="062D18D2">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投标人或产品制造商具有与本项目相关的软件著作权登记证书的得1分。</w:t>
            </w:r>
          </w:p>
          <w:p w14:paraId="3D6FA87B">
            <w:pPr>
              <w:keepNext w:val="0"/>
              <w:keepLines w:val="0"/>
              <w:pageBreakBefore w:val="0"/>
              <w:widowControl/>
              <w:tabs>
                <w:tab w:val="left" w:pos="2061"/>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（须提供相关证书复印件并加盖投标人公章编入投标文件中，未提供的不得分）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3FFA2637">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66" w:type="dxa"/>
            <w:tcBorders>
              <w:top w:val="single" w:color="auto" w:sz="4" w:space="0"/>
              <w:left w:val="single" w:color="auto" w:sz="4" w:space="0"/>
              <w:bottom w:val="single" w:color="auto" w:sz="4" w:space="0"/>
              <w:right w:val="single" w:color="auto" w:sz="4" w:space="0"/>
            </w:tcBorders>
            <w:vAlign w:val="center"/>
          </w:tcPr>
          <w:p w14:paraId="60BC746D">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7CB0498B">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p>
        </w:tc>
      </w:tr>
      <w:tr w14:paraId="764953F3">
        <w:tblPrEx>
          <w:tblCellMar>
            <w:top w:w="15" w:type="dxa"/>
            <w:left w:w="15" w:type="dxa"/>
            <w:bottom w:w="15" w:type="dxa"/>
            <w:right w:w="15" w:type="dxa"/>
          </w:tblCellMar>
        </w:tblPrEx>
        <w:trPr>
          <w:trHeight w:val="23" w:hRule="atLeast"/>
          <w:jc w:val="center"/>
        </w:trPr>
        <w:tc>
          <w:tcPr>
            <w:tcW w:w="843" w:type="dxa"/>
            <w:vMerge w:val="continue"/>
            <w:tcBorders>
              <w:left w:val="single" w:color="auto" w:sz="4" w:space="0"/>
              <w:bottom w:val="single" w:color="auto" w:sz="4" w:space="0"/>
              <w:right w:val="single" w:color="auto" w:sz="4" w:space="0"/>
            </w:tcBorders>
            <w:vAlign w:val="center"/>
          </w:tcPr>
          <w:p w14:paraId="6935C5C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6D09995">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承接经验</w:t>
            </w:r>
          </w:p>
        </w:tc>
        <w:tc>
          <w:tcPr>
            <w:tcW w:w="6590" w:type="dxa"/>
            <w:tcBorders>
              <w:top w:val="single" w:color="auto" w:sz="4" w:space="0"/>
              <w:left w:val="single" w:color="auto" w:sz="4" w:space="0"/>
              <w:bottom w:val="single" w:color="auto" w:sz="4" w:space="0"/>
              <w:right w:val="single" w:color="auto" w:sz="4" w:space="0"/>
            </w:tcBorders>
            <w:vAlign w:val="center"/>
          </w:tcPr>
          <w:p w14:paraId="0D2DDB2A">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lang w:val="en-US" w:eastAsia="zh-CN"/>
              </w:rPr>
              <w:t>自2022年1月1日以来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，每提供一</w:t>
            </w:r>
            <w:r>
              <w:rPr>
                <w:rFonts w:hint="eastAsia" w:ascii="宋体" w:hAnsi="宋体" w:eastAsia="宋体" w:cs="宋体"/>
                <w:color w:val="auto"/>
                <w:kern w:val="0"/>
                <w:sz w:val="21"/>
                <w:szCs w:val="21"/>
                <w:highlight w:val="none"/>
                <w:lang w:val="en-US" w:eastAsia="zh-CN"/>
              </w:rPr>
              <w:t>个</w:t>
            </w:r>
            <w:r>
              <w:rPr>
                <w:rFonts w:hint="eastAsia" w:ascii="宋体" w:hAnsi="宋体" w:cs="宋体"/>
                <w:color w:val="auto"/>
                <w:kern w:val="0"/>
                <w:sz w:val="21"/>
                <w:szCs w:val="21"/>
                <w:highlight w:val="none"/>
                <w:lang w:val="en-US" w:eastAsia="zh-CN"/>
              </w:rPr>
              <w:t>项目</w:t>
            </w:r>
            <w:r>
              <w:rPr>
                <w:rFonts w:hint="eastAsia" w:ascii="宋体" w:hAnsi="宋体" w:cs="宋体"/>
                <w:b w:val="0"/>
                <w:bCs w:val="0"/>
                <w:color w:val="auto"/>
                <w:kern w:val="0"/>
                <w:sz w:val="21"/>
                <w:szCs w:val="21"/>
                <w:highlight w:val="none"/>
                <w:lang w:val="en-US" w:eastAsia="zh-CN"/>
              </w:rPr>
              <w:t>所需全部材料（</w:t>
            </w:r>
            <w:r>
              <w:rPr>
                <w:rFonts w:hint="eastAsia" w:ascii="宋体" w:hAnsi="宋体" w:eastAsia="宋体" w:cs="宋体"/>
                <w:b w:val="0"/>
                <w:bCs w:val="0"/>
                <w:color w:val="auto"/>
                <w:kern w:val="2"/>
                <w:sz w:val="21"/>
                <w:szCs w:val="21"/>
                <w:highlight w:val="none"/>
              </w:rPr>
              <w:t>合同、中标通知书及发票</w:t>
            </w:r>
            <w:r>
              <w:rPr>
                <w:rFonts w:hint="eastAsia" w:ascii="宋体" w:hAnsi="宋体" w:cs="宋体"/>
                <w:b w:val="0"/>
                <w:bCs w:val="0"/>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分，每提供一</w:t>
            </w:r>
            <w:r>
              <w:rPr>
                <w:rFonts w:hint="eastAsia" w:ascii="宋体" w:hAnsi="宋体" w:eastAsia="宋体" w:cs="宋体"/>
                <w:color w:val="auto"/>
                <w:kern w:val="0"/>
                <w:sz w:val="21"/>
                <w:szCs w:val="21"/>
                <w:highlight w:val="none"/>
                <w:lang w:val="en-US" w:eastAsia="zh-CN"/>
              </w:rPr>
              <w:t>个</w:t>
            </w:r>
            <w:r>
              <w:rPr>
                <w:rFonts w:hint="eastAsia" w:ascii="宋体" w:hAnsi="宋体" w:cs="宋体"/>
                <w:color w:val="auto"/>
                <w:kern w:val="0"/>
                <w:sz w:val="21"/>
                <w:szCs w:val="21"/>
                <w:highlight w:val="none"/>
                <w:lang w:val="en-US" w:eastAsia="zh-CN"/>
              </w:rPr>
              <w:t>项目</w:t>
            </w:r>
            <w:r>
              <w:rPr>
                <w:rFonts w:hint="eastAsia" w:ascii="宋体" w:hAnsi="宋体" w:cs="宋体"/>
                <w:b w:val="0"/>
                <w:bCs w:val="0"/>
                <w:color w:val="auto"/>
                <w:kern w:val="0"/>
                <w:sz w:val="21"/>
                <w:szCs w:val="21"/>
                <w:highlight w:val="none"/>
                <w:lang w:val="en-US" w:eastAsia="zh-CN"/>
              </w:rPr>
              <w:t>所需部分材料（</w:t>
            </w:r>
            <w:r>
              <w:rPr>
                <w:rFonts w:hint="eastAsia" w:ascii="宋体" w:hAnsi="宋体" w:eastAsia="宋体" w:cs="宋体"/>
                <w:b w:val="0"/>
                <w:bCs w:val="0"/>
                <w:color w:val="auto"/>
                <w:kern w:val="2"/>
                <w:sz w:val="21"/>
                <w:szCs w:val="21"/>
                <w:highlight w:val="none"/>
              </w:rPr>
              <w:t>合同、中标通知书及发票</w:t>
            </w:r>
            <w:r>
              <w:rPr>
                <w:rFonts w:hint="eastAsia" w:ascii="宋体" w:hAnsi="宋体" w:cs="宋体"/>
                <w:b w:val="0"/>
                <w:bCs w:val="0"/>
                <w:color w:val="auto"/>
                <w:kern w:val="2"/>
                <w:sz w:val="21"/>
                <w:szCs w:val="21"/>
                <w:highlight w:val="none"/>
                <w:lang w:val="en-US" w:eastAsia="zh-CN"/>
              </w:rPr>
              <w:t>中其中2样</w:t>
            </w:r>
            <w:r>
              <w:rPr>
                <w:rFonts w:hint="eastAsia" w:ascii="宋体" w:hAnsi="宋体" w:cs="宋体"/>
                <w:b w:val="0"/>
                <w:bCs w:val="0"/>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每提供一</w:t>
            </w:r>
            <w:r>
              <w:rPr>
                <w:rFonts w:hint="eastAsia" w:ascii="宋体" w:hAnsi="宋体" w:eastAsia="宋体" w:cs="宋体"/>
                <w:color w:val="auto"/>
                <w:kern w:val="0"/>
                <w:sz w:val="21"/>
                <w:szCs w:val="21"/>
                <w:highlight w:val="none"/>
                <w:lang w:val="en-US" w:eastAsia="zh-CN"/>
              </w:rPr>
              <w:t>个</w:t>
            </w:r>
            <w:r>
              <w:rPr>
                <w:rFonts w:hint="eastAsia" w:ascii="宋体" w:hAnsi="宋体" w:cs="宋体"/>
                <w:color w:val="auto"/>
                <w:kern w:val="0"/>
                <w:sz w:val="21"/>
                <w:szCs w:val="21"/>
                <w:highlight w:val="none"/>
                <w:lang w:val="en-US" w:eastAsia="zh-CN"/>
              </w:rPr>
              <w:t>项目</w:t>
            </w:r>
            <w:r>
              <w:rPr>
                <w:rFonts w:hint="eastAsia" w:ascii="宋体" w:hAnsi="宋体" w:cs="宋体"/>
                <w:b w:val="0"/>
                <w:bCs w:val="0"/>
                <w:color w:val="auto"/>
                <w:kern w:val="0"/>
                <w:sz w:val="21"/>
                <w:szCs w:val="21"/>
                <w:highlight w:val="none"/>
                <w:lang w:val="en-US" w:eastAsia="zh-CN"/>
              </w:rPr>
              <w:t>所需个别材料（</w:t>
            </w:r>
            <w:r>
              <w:rPr>
                <w:rFonts w:hint="eastAsia" w:ascii="宋体" w:hAnsi="宋体" w:eastAsia="宋体" w:cs="宋体"/>
                <w:b w:val="0"/>
                <w:bCs w:val="0"/>
                <w:color w:val="auto"/>
                <w:kern w:val="2"/>
                <w:sz w:val="21"/>
                <w:szCs w:val="21"/>
                <w:highlight w:val="none"/>
              </w:rPr>
              <w:t>合同、中标通知书及发票</w:t>
            </w:r>
            <w:r>
              <w:rPr>
                <w:rFonts w:hint="eastAsia" w:ascii="宋体" w:hAnsi="宋体" w:cs="宋体"/>
                <w:b w:val="0"/>
                <w:bCs w:val="0"/>
                <w:color w:val="auto"/>
                <w:kern w:val="2"/>
                <w:sz w:val="21"/>
                <w:szCs w:val="21"/>
                <w:highlight w:val="none"/>
                <w:lang w:val="en-US" w:eastAsia="zh-CN"/>
              </w:rPr>
              <w:t>中其中1样</w:t>
            </w:r>
            <w:r>
              <w:rPr>
                <w:rFonts w:hint="eastAsia" w:ascii="宋体" w:hAnsi="宋体" w:cs="宋体"/>
                <w:b w:val="0"/>
                <w:bCs w:val="0"/>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未提供的不得分</w:t>
            </w:r>
            <w:r>
              <w:rPr>
                <w:rFonts w:hint="eastAsia" w:ascii="宋体" w:hAnsi="宋体" w:eastAsia="宋体" w:cs="宋体"/>
                <w:color w:val="auto"/>
                <w:kern w:val="0"/>
                <w:sz w:val="21"/>
                <w:szCs w:val="21"/>
                <w:highlight w:val="none"/>
                <w:lang w:val="en-US" w:eastAsia="zh-CN"/>
              </w:rPr>
              <w:t>。</w:t>
            </w:r>
          </w:p>
          <w:p w14:paraId="5AA59D29">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最高得3分。</w:t>
            </w:r>
          </w:p>
          <w:p w14:paraId="5EDEC103">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cs="宋体"/>
                <w:b/>
                <w:bCs/>
                <w:color w:val="auto"/>
                <w:kern w:val="2"/>
                <w:sz w:val="21"/>
                <w:szCs w:val="21"/>
                <w:highlight w:val="none"/>
                <w:lang w:val="en-US" w:eastAsia="zh-CN"/>
              </w:rPr>
              <w:t>须提供</w:t>
            </w:r>
            <w:r>
              <w:rPr>
                <w:rFonts w:hint="eastAsia" w:ascii="宋体" w:hAnsi="宋体" w:eastAsia="宋体" w:cs="宋体"/>
                <w:b/>
                <w:bCs/>
                <w:color w:val="auto"/>
                <w:kern w:val="2"/>
                <w:sz w:val="21"/>
                <w:szCs w:val="21"/>
                <w:highlight w:val="none"/>
              </w:rPr>
              <w:t>原件备查</w:t>
            </w:r>
            <w:r>
              <w:rPr>
                <w:rFonts w:hint="eastAsia" w:ascii="宋体" w:hAnsi="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未提供原件的本项不得分</w:t>
            </w:r>
            <w:r>
              <w:rPr>
                <w:rFonts w:hint="eastAsia" w:ascii="宋体" w:hAnsi="宋体" w:eastAsia="宋体" w:cs="宋体"/>
                <w:b/>
                <w:bCs/>
                <w:color w:val="auto"/>
                <w:kern w:val="2"/>
                <w:sz w:val="21"/>
                <w:szCs w:val="21"/>
                <w:highlight w:val="none"/>
              </w:rPr>
              <w:t>）</w:t>
            </w:r>
          </w:p>
        </w:tc>
        <w:tc>
          <w:tcPr>
            <w:tcW w:w="844" w:type="dxa"/>
            <w:tcBorders>
              <w:top w:val="single" w:color="auto" w:sz="4" w:space="0"/>
              <w:left w:val="single" w:color="auto" w:sz="4" w:space="0"/>
              <w:bottom w:val="single" w:color="auto" w:sz="4" w:space="0"/>
              <w:right w:val="single" w:color="auto" w:sz="4" w:space="0"/>
            </w:tcBorders>
            <w:vAlign w:val="center"/>
          </w:tcPr>
          <w:p w14:paraId="2BE1CA42">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566" w:type="dxa"/>
            <w:tcBorders>
              <w:top w:val="single" w:color="auto" w:sz="4" w:space="0"/>
              <w:left w:val="single" w:color="auto" w:sz="4" w:space="0"/>
              <w:bottom w:val="single" w:color="auto" w:sz="4" w:space="0"/>
              <w:right w:val="single" w:color="auto" w:sz="4" w:space="0"/>
            </w:tcBorders>
            <w:vAlign w:val="center"/>
          </w:tcPr>
          <w:p w14:paraId="2FCB0977">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680492D2">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p>
        </w:tc>
      </w:tr>
      <w:tr w14:paraId="36BA1A69">
        <w:tblPrEx>
          <w:tblCellMar>
            <w:top w:w="15" w:type="dxa"/>
            <w:left w:w="15" w:type="dxa"/>
            <w:bottom w:w="15" w:type="dxa"/>
            <w:right w:w="15" w:type="dxa"/>
          </w:tblCellMar>
        </w:tblPrEx>
        <w:trPr>
          <w:trHeight w:val="23"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14:paraId="2AAA80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14F88794">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320" w:type="dxa"/>
            <w:tcBorders>
              <w:top w:val="single" w:color="auto" w:sz="4" w:space="0"/>
              <w:left w:val="single" w:color="auto" w:sz="4" w:space="0"/>
              <w:bottom w:val="single" w:color="auto" w:sz="4" w:space="0"/>
              <w:right w:val="single" w:color="auto" w:sz="4" w:space="0"/>
            </w:tcBorders>
            <w:vAlign w:val="center"/>
          </w:tcPr>
          <w:p w14:paraId="37A8D123">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lang w:val="en-US" w:eastAsia="zh-CN"/>
              </w:rPr>
              <w:t>技术性能响应</w:t>
            </w:r>
          </w:p>
        </w:tc>
        <w:tc>
          <w:tcPr>
            <w:tcW w:w="6590" w:type="dxa"/>
            <w:tcBorders>
              <w:top w:val="single" w:color="auto" w:sz="4" w:space="0"/>
              <w:left w:val="single" w:color="auto" w:sz="4" w:space="0"/>
              <w:bottom w:val="single" w:color="auto" w:sz="4" w:space="0"/>
              <w:right w:val="single" w:color="auto" w:sz="4" w:space="0"/>
            </w:tcBorders>
            <w:vAlign w:val="center"/>
          </w:tcPr>
          <w:p w14:paraId="1CBC147D">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对投标产品的性能指标及技术参数满足程度进行</w:t>
            </w:r>
            <w:r>
              <w:rPr>
                <w:rFonts w:hint="eastAsia" w:ascii="宋体" w:hAnsi="宋体" w:eastAsia="宋体" w:cs="宋体"/>
                <w:color w:val="auto"/>
                <w:sz w:val="21"/>
                <w:szCs w:val="21"/>
                <w:highlight w:val="none"/>
                <w:lang w:val="en-US" w:eastAsia="zh-CN"/>
              </w:rPr>
              <w:t>打分。</w:t>
            </w:r>
          </w:p>
          <w:p w14:paraId="4288C74C">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①完全满足或高于招标文件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第四章 公开招标需求-三、项目具体技术参数需求</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要求的，得</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14:paraId="26DA61FD">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②标“▲”</w:t>
            </w:r>
            <w:r>
              <w:rPr>
                <w:rFonts w:hint="eastAsia" w:ascii="宋体" w:hAnsi="宋体" w:eastAsia="宋体" w:cs="宋体"/>
                <w:color w:val="auto"/>
                <w:sz w:val="21"/>
                <w:szCs w:val="21"/>
                <w:highlight w:val="none"/>
                <w:lang w:val="en-US" w:eastAsia="zh-CN"/>
              </w:rPr>
              <w:t>为实质性条款，</w:t>
            </w:r>
            <w:r>
              <w:rPr>
                <w:rFonts w:hint="eastAsia" w:ascii="宋体" w:hAnsi="宋体" w:eastAsia="宋体" w:cs="宋体"/>
                <w:color w:val="auto"/>
                <w:sz w:val="21"/>
                <w:szCs w:val="21"/>
                <w:highlight w:val="none"/>
              </w:rPr>
              <w:t>不满足或负偏离</w:t>
            </w:r>
            <w:r>
              <w:rPr>
                <w:rFonts w:hint="eastAsia" w:ascii="宋体" w:hAnsi="宋体" w:eastAsia="宋体" w:cs="宋体"/>
                <w:color w:val="auto"/>
                <w:sz w:val="21"/>
                <w:szCs w:val="21"/>
                <w:highlight w:val="none"/>
                <w:lang w:val="en-US" w:eastAsia="zh-CN"/>
              </w:rPr>
              <w:t>的作无效标处理；</w:t>
            </w:r>
          </w:p>
          <w:p w14:paraId="326AE2D9">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③标“★”的为</w:t>
            </w:r>
            <w:r>
              <w:rPr>
                <w:rFonts w:hint="eastAsia" w:ascii="宋体" w:hAnsi="宋体" w:eastAsia="宋体" w:cs="宋体"/>
                <w:color w:val="auto"/>
                <w:sz w:val="21"/>
                <w:szCs w:val="21"/>
                <w:highlight w:val="none"/>
                <w:lang w:val="en-US" w:eastAsia="zh-CN"/>
              </w:rPr>
              <w:t>重要性能</w:t>
            </w:r>
            <w:r>
              <w:rPr>
                <w:rFonts w:hint="eastAsia" w:ascii="宋体" w:hAnsi="宋体" w:eastAsia="宋体" w:cs="宋体"/>
                <w:color w:val="auto"/>
                <w:sz w:val="21"/>
                <w:szCs w:val="21"/>
                <w:highlight w:val="none"/>
              </w:rPr>
              <w:t>指标，不满足或负偏离的一项扣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达到3项或以上不满足或负偏离的，作无效标处理；</w:t>
            </w:r>
          </w:p>
          <w:p w14:paraId="27EB0853">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rPr>
              <w:t>其他技术指标不满足或负偏离的一项扣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98073D">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扣完为止。</w:t>
            </w:r>
          </w:p>
          <w:p w14:paraId="4080B07C">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lang w:val="en-US" w:eastAsia="zh-CN"/>
              </w:rPr>
              <w:t>投标人必须如实地对各条款作出明确的逐项响应承诺，并对其真实性负责。</w:t>
            </w:r>
            <w:r>
              <w:rPr>
                <w:rFonts w:hint="eastAsia" w:ascii="宋体" w:hAnsi="宋体" w:eastAsia="宋体" w:cs="宋体"/>
                <w:b/>
                <w:bCs/>
                <w:color w:val="auto"/>
                <w:sz w:val="21"/>
                <w:szCs w:val="21"/>
                <w:highlight w:val="none"/>
              </w:rPr>
              <w:t>若应答时缺项，视同负偏离处理</w:t>
            </w:r>
            <w:r>
              <w:rPr>
                <w:rFonts w:hint="eastAsia" w:ascii="宋体" w:hAnsi="宋体" w:eastAsia="宋体" w:cs="宋体"/>
                <w:b/>
                <w:bCs/>
                <w:color w:val="auto"/>
                <w:sz w:val="21"/>
                <w:szCs w:val="21"/>
                <w:highlight w:val="none"/>
                <w:lang w:eastAsia="zh-CN"/>
              </w:rPr>
              <w:t>。②</w:t>
            </w:r>
            <w:r>
              <w:rPr>
                <w:rFonts w:hint="eastAsia" w:ascii="宋体" w:hAnsi="宋体" w:eastAsia="宋体" w:cs="宋体"/>
                <w:b/>
                <w:bCs/>
                <w:color w:val="auto"/>
                <w:sz w:val="21"/>
                <w:szCs w:val="21"/>
                <w:highlight w:val="none"/>
                <w:lang w:val="en-US" w:eastAsia="zh-CN"/>
              </w:rPr>
              <w:t>技术参数中如要求提供产品操作截图（截图请注明所在页码位置）的，投标人按要求提供，未提供的视为技术参数负偏离</w:t>
            </w:r>
            <w:r>
              <w:rPr>
                <w:rFonts w:hint="eastAsia" w:ascii="宋体" w:hAnsi="宋体" w:eastAsia="宋体" w:cs="宋体"/>
                <w:b/>
                <w:bCs/>
                <w:color w:val="auto"/>
                <w:sz w:val="21"/>
                <w:szCs w:val="21"/>
                <w:highlight w:val="none"/>
              </w:rPr>
              <w:t>处理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提供截图证明的，</w:t>
            </w:r>
            <w:r>
              <w:rPr>
                <w:rFonts w:hint="eastAsia" w:ascii="宋体" w:hAnsi="宋体" w:eastAsia="宋体" w:cs="宋体"/>
                <w:b/>
                <w:bCs/>
                <w:color w:val="auto"/>
                <w:sz w:val="21"/>
                <w:szCs w:val="21"/>
                <w:highlight w:val="none"/>
                <w:lang w:val="en-US" w:eastAsia="zh-CN"/>
              </w:rPr>
              <w:t>投标人在</w:t>
            </w:r>
            <w:r>
              <w:rPr>
                <w:rFonts w:hint="eastAsia" w:ascii="宋体" w:hAnsi="宋体" w:eastAsia="宋体" w:cs="宋体"/>
                <w:b/>
                <w:bCs/>
                <w:color w:val="auto"/>
                <w:sz w:val="21"/>
                <w:szCs w:val="21"/>
                <w:highlight w:val="none"/>
              </w:rPr>
              <w:t>投标文件中按要求提供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并注明所在页码位置。</w:t>
            </w:r>
            <w:r>
              <w:rPr>
                <w:rFonts w:hint="eastAsia" w:ascii="宋体" w:hAnsi="宋体" w:eastAsia="宋体" w:cs="宋体"/>
                <w:b/>
                <w:bCs/>
                <w:color w:val="auto"/>
                <w:sz w:val="21"/>
                <w:szCs w:val="21"/>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2922062F">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40</w:t>
            </w:r>
          </w:p>
        </w:tc>
        <w:tc>
          <w:tcPr>
            <w:tcW w:w="566" w:type="dxa"/>
            <w:tcBorders>
              <w:top w:val="single" w:color="auto" w:sz="4" w:space="0"/>
              <w:left w:val="single" w:color="auto" w:sz="4" w:space="0"/>
              <w:bottom w:val="single" w:color="auto" w:sz="4" w:space="0"/>
              <w:right w:val="single" w:color="auto" w:sz="4" w:space="0"/>
            </w:tcBorders>
            <w:vAlign w:val="center"/>
          </w:tcPr>
          <w:p w14:paraId="4D4667ED">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16AEBD9D">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r w14:paraId="29AFC42B">
        <w:tblPrEx>
          <w:tblCellMar>
            <w:top w:w="15" w:type="dxa"/>
            <w:left w:w="15" w:type="dxa"/>
            <w:bottom w:w="15" w:type="dxa"/>
            <w:right w:w="15" w:type="dxa"/>
          </w:tblCellMar>
        </w:tblPrEx>
        <w:trPr>
          <w:trHeight w:val="23"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45CA2A31">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4122D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供货及验收方案</w:t>
            </w:r>
          </w:p>
        </w:tc>
        <w:tc>
          <w:tcPr>
            <w:tcW w:w="6590" w:type="dxa"/>
            <w:tcBorders>
              <w:top w:val="single" w:color="auto" w:sz="4" w:space="0"/>
              <w:left w:val="single" w:color="auto" w:sz="4" w:space="0"/>
              <w:bottom w:val="single" w:color="auto" w:sz="4" w:space="0"/>
              <w:right w:val="single" w:color="auto" w:sz="4" w:space="0"/>
            </w:tcBorders>
            <w:vAlign w:val="center"/>
          </w:tcPr>
          <w:p w14:paraId="7627A496">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根据投标人针对本次采购货物的供货方案进行打分。</w:t>
            </w:r>
          </w:p>
          <w:p w14:paraId="29343BD2">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方案内容齐全，对具体的供货方案作出了详细、明确的阐述，且项目方案贴合本项目实际情况的得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2C732E69">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方案内容较齐全，对具体的供货方案作出了基本全面的阐述，但方案没有贴合本项目实际情况的得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2A1D3FBD">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方案内容不够齐全，缺少内容，供货方案阐述不明确的得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0B9C5FC2">
            <w:pPr>
              <w:keepNext w:val="0"/>
              <w:keepLines w:val="0"/>
              <w:pageBreakBefore w:val="0"/>
              <w:widowControl w:val="0"/>
              <w:tabs>
                <w:tab w:val="left" w:pos="840"/>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0A174C9C">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66" w:type="dxa"/>
            <w:tcBorders>
              <w:top w:val="single" w:color="auto" w:sz="4" w:space="0"/>
              <w:left w:val="single" w:color="auto" w:sz="4" w:space="0"/>
              <w:bottom w:val="single" w:color="auto" w:sz="4" w:space="0"/>
              <w:right w:val="single" w:color="auto" w:sz="4" w:space="0"/>
            </w:tcBorders>
            <w:vAlign w:val="center"/>
          </w:tcPr>
          <w:p w14:paraId="515BF922">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74EA0339">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p>
        </w:tc>
      </w:tr>
      <w:tr w14:paraId="12F999B0">
        <w:tblPrEx>
          <w:tblCellMar>
            <w:top w:w="15" w:type="dxa"/>
            <w:left w:w="15" w:type="dxa"/>
            <w:bottom w:w="15" w:type="dxa"/>
            <w:right w:w="15" w:type="dxa"/>
          </w:tblCellMar>
        </w:tblPrEx>
        <w:trPr>
          <w:trHeight w:val="23"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315E5866">
            <w:pPr>
              <w:pStyle w:val="19"/>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28956A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14:paraId="3A763322">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根据投标人针对本次采购货物的验收方案进行打分。</w:t>
            </w:r>
          </w:p>
          <w:p w14:paraId="5E238EEB">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方案内容齐全，对具体的验收方案作出了详细、明确的阐述，且项目方案贴合本项目实际情况的得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5E804521">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方案内容较齐全，对具体的验收方案作出了基本全面的阐述，但方案没有贴合本项目实际情况的得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77C4311E">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方案内容不够齐全，缺少内容，验收方案阐述不明确的得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40B13EBA">
            <w:pPr>
              <w:keepNext w:val="0"/>
              <w:keepLines w:val="0"/>
              <w:pageBreakBefore w:val="0"/>
              <w:widowControl w:val="0"/>
              <w:tabs>
                <w:tab w:val="left" w:pos="84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14:paraId="56DBC9D6">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3</w:t>
            </w:r>
          </w:p>
        </w:tc>
        <w:tc>
          <w:tcPr>
            <w:tcW w:w="566" w:type="dxa"/>
            <w:tcBorders>
              <w:top w:val="single" w:color="auto" w:sz="4" w:space="0"/>
              <w:left w:val="single" w:color="auto" w:sz="4" w:space="0"/>
              <w:bottom w:val="single" w:color="auto" w:sz="4" w:space="0"/>
              <w:right w:val="single" w:color="auto" w:sz="4" w:space="0"/>
            </w:tcBorders>
            <w:vAlign w:val="center"/>
          </w:tcPr>
          <w:p w14:paraId="106152CE">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vAlign w:val="center"/>
          </w:tcPr>
          <w:p w14:paraId="71757791">
            <w:pPr>
              <w:keepNext w:val="0"/>
              <w:keepLines w:val="0"/>
              <w:pageBreakBefore w:val="0"/>
              <w:widowControl w:val="0"/>
              <w:tabs>
                <w:tab w:val="left" w:pos="84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p>
        </w:tc>
      </w:tr>
      <w:tr w14:paraId="2F18CBCE">
        <w:tblPrEx>
          <w:tblCellMar>
            <w:top w:w="15" w:type="dxa"/>
            <w:left w:w="15" w:type="dxa"/>
            <w:bottom w:w="15" w:type="dxa"/>
            <w:right w:w="15" w:type="dxa"/>
          </w:tblCellMar>
        </w:tblPrEx>
        <w:trPr>
          <w:trHeight w:val="23"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29E56601">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F449827">
            <w:pPr>
              <w:widowControl/>
              <w:jc w:val="center"/>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服务团队能力</w:t>
            </w:r>
          </w:p>
        </w:tc>
        <w:tc>
          <w:tcPr>
            <w:tcW w:w="6590" w:type="dxa"/>
            <w:tcBorders>
              <w:top w:val="single" w:color="auto" w:sz="4" w:space="0"/>
              <w:left w:val="single" w:color="auto" w:sz="4" w:space="0"/>
              <w:right w:val="single" w:color="auto" w:sz="4" w:space="0"/>
            </w:tcBorders>
            <w:shd w:val="clear" w:color="auto" w:fill="auto"/>
            <w:vAlign w:val="top"/>
          </w:tcPr>
          <w:p w14:paraId="2B9FC73D">
            <w:pPr>
              <w:widowControl/>
              <w:tabs>
                <w:tab w:val="left" w:pos="840"/>
              </w:tabs>
              <w:jc w:val="left"/>
              <w:rPr>
                <w:rFonts w:hint="eastAsia" w:ascii="宋体" w:hAnsi="宋体" w:eastAsia="宋体" w:cs="宋体"/>
                <w:b/>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拟投入本项目的项目负责人：</w:t>
            </w:r>
            <w:r>
              <w:rPr>
                <w:rFonts w:hint="eastAsia" w:ascii="宋体" w:hAnsi="宋体" w:cs="宋体"/>
                <w:b w:val="0"/>
                <w:bCs/>
                <w:color w:val="auto"/>
                <w:sz w:val="21"/>
                <w:szCs w:val="21"/>
                <w:highlight w:val="none"/>
                <w:lang w:val="en-US" w:eastAsia="zh-CN"/>
              </w:rPr>
              <w:t>具有PMP证书的得1分，其他不得分。</w:t>
            </w:r>
          </w:p>
          <w:p w14:paraId="115299A2">
            <w:pPr>
              <w:pStyle w:val="54"/>
              <w:keepNext w:val="0"/>
              <w:keepLines w:val="0"/>
              <w:pageBreakBefore w:val="0"/>
              <w:numPr>
                <w:ilvl w:val="0"/>
                <w:numId w:val="0"/>
              </w:numPr>
              <w:tabs>
                <w:tab w:val="left" w:pos="840"/>
              </w:tabs>
              <w:kinsoku/>
              <w:wordWrap/>
              <w:overflowPunct/>
              <w:topLinePunct w:val="0"/>
              <w:bidi w:val="0"/>
              <w:snapToGrid/>
              <w:spacing w:afterAutospacing="0" w:line="240" w:lineRule="auto"/>
              <w:ind w:left="0" w:leftChars="0" w:firstLine="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拟投入项目服务人员（含项目负责人）中</w:t>
            </w:r>
            <w:r>
              <w:rPr>
                <w:rFonts w:hint="eastAsia" w:ascii="宋体" w:hAnsi="宋体" w:eastAsia="宋体" w:cs="宋体"/>
                <w:color w:val="auto"/>
                <w:szCs w:val="24"/>
                <w:highlight w:val="none"/>
              </w:rPr>
              <w:t>需</w:t>
            </w:r>
            <w:r>
              <w:rPr>
                <w:rFonts w:hint="eastAsia" w:ascii="宋体" w:hAnsi="宋体" w:eastAsia="宋体" w:cs="宋体"/>
                <w:color w:val="auto"/>
                <w:szCs w:val="24"/>
                <w:highlight w:val="none"/>
                <w:lang w:val="en-US" w:eastAsia="zh-CN"/>
              </w:rPr>
              <w:t>有人</w:t>
            </w:r>
            <w:r>
              <w:rPr>
                <w:rFonts w:hint="eastAsia" w:ascii="宋体" w:hAnsi="宋体" w:eastAsia="宋体" w:cs="宋体"/>
                <w:color w:val="auto"/>
                <w:szCs w:val="24"/>
                <w:highlight w:val="none"/>
              </w:rPr>
              <w:t>具备原厂专业技术知识服务能力证书，</w:t>
            </w:r>
            <w:r>
              <w:rPr>
                <w:rFonts w:hint="eastAsia" w:ascii="宋体" w:hAnsi="宋体" w:eastAsia="宋体" w:cs="宋体"/>
                <w:color w:val="auto"/>
                <w:szCs w:val="24"/>
                <w:highlight w:val="none"/>
                <w:lang w:val="en-US" w:eastAsia="zh-CN"/>
              </w:rPr>
              <w:t>投入人数达到1-4人的得0.5分，</w:t>
            </w:r>
            <w:r>
              <w:rPr>
                <w:rFonts w:hint="eastAsia" w:ascii="宋体" w:hAnsi="宋体" w:eastAsia="宋体" w:cs="宋体"/>
                <w:color w:val="auto"/>
                <w:szCs w:val="24"/>
                <w:highlight w:val="none"/>
              </w:rPr>
              <w:t>满足5</w:t>
            </w:r>
            <w:r>
              <w:rPr>
                <w:rFonts w:hint="eastAsia" w:ascii="宋体" w:hAnsi="宋体" w:eastAsia="宋体" w:cs="宋体"/>
                <w:color w:val="auto"/>
                <w:szCs w:val="24"/>
                <w:highlight w:val="none"/>
                <w:lang w:val="en-US" w:eastAsia="zh-CN"/>
              </w:rPr>
              <w:t>-9人的</w:t>
            </w:r>
            <w:r>
              <w:rPr>
                <w:rFonts w:hint="eastAsia" w:ascii="宋体" w:hAnsi="宋体" w:eastAsia="宋体" w:cs="宋体"/>
                <w:color w:val="auto"/>
                <w:szCs w:val="24"/>
                <w:highlight w:val="none"/>
              </w:rPr>
              <w:t>得1分，满足10人</w:t>
            </w:r>
            <w:r>
              <w:rPr>
                <w:rFonts w:hint="eastAsia" w:ascii="宋体" w:hAnsi="宋体" w:eastAsia="宋体" w:cs="宋体"/>
                <w:color w:val="auto"/>
                <w:szCs w:val="24"/>
                <w:highlight w:val="none"/>
                <w:lang w:val="en-US" w:eastAsia="zh-CN"/>
              </w:rPr>
              <w:t>及以上的</w:t>
            </w:r>
            <w:r>
              <w:rPr>
                <w:rFonts w:hint="eastAsia" w:ascii="宋体" w:hAnsi="宋体" w:eastAsia="宋体" w:cs="宋体"/>
                <w:color w:val="auto"/>
                <w:szCs w:val="24"/>
                <w:highlight w:val="none"/>
              </w:rPr>
              <w:t>得2分，</w:t>
            </w:r>
            <w:r>
              <w:rPr>
                <w:rFonts w:hint="eastAsia" w:ascii="宋体" w:hAnsi="宋体" w:eastAsia="宋体" w:cs="宋体"/>
                <w:color w:val="auto"/>
                <w:szCs w:val="24"/>
                <w:highlight w:val="none"/>
                <w:lang w:val="en-US" w:eastAsia="zh-CN"/>
              </w:rPr>
              <w:t>其他</w:t>
            </w:r>
            <w:r>
              <w:rPr>
                <w:rFonts w:hint="eastAsia" w:ascii="宋体" w:hAnsi="宋体" w:eastAsia="宋体" w:cs="宋体"/>
                <w:color w:val="auto"/>
                <w:szCs w:val="24"/>
                <w:highlight w:val="none"/>
              </w:rPr>
              <w:t>不得分。</w:t>
            </w:r>
          </w:p>
          <w:p w14:paraId="27DF93EA">
            <w:pPr>
              <w:pStyle w:val="54"/>
              <w:keepNext w:val="0"/>
              <w:keepLines w:val="0"/>
              <w:pageBreakBefore w:val="0"/>
              <w:numPr>
                <w:ilvl w:val="0"/>
                <w:numId w:val="0"/>
              </w:numPr>
              <w:tabs>
                <w:tab w:val="left" w:pos="840"/>
              </w:tabs>
              <w:kinsoku/>
              <w:wordWrap/>
              <w:overflowPunct/>
              <w:topLinePunct w:val="0"/>
              <w:bidi w:val="0"/>
              <w:snapToGrid/>
              <w:spacing w:afterAutospacing="0" w:line="240" w:lineRule="auto"/>
              <w:ind w:left="0" w:leftChars="0"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71CBB26">
            <w:pPr>
              <w:keepNext w:val="0"/>
              <w:keepLines w:val="0"/>
              <w:pageBreakBefore w:val="0"/>
              <w:widowControl/>
              <w:numPr>
                <w:ilvl w:val="0"/>
                <w:numId w:val="0"/>
              </w:numPr>
              <w:tabs>
                <w:tab w:val="left" w:pos="840"/>
              </w:tabs>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（须提供人员清单和</w:t>
            </w:r>
            <w:r>
              <w:rPr>
                <w:rFonts w:hint="eastAsia" w:ascii="宋体" w:hAnsi="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en-US" w:eastAsia="zh-CN"/>
              </w:rPr>
              <w:t>证书复印件并加盖投标人公章编入投标文件中，未提供</w:t>
            </w:r>
            <w:r>
              <w:rPr>
                <w:rFonts w:hint="eastAsia" w:ascii="宋体" w:hAnsi="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lang w:val="en-US" w:eastAsia="zh-CN"/>
              </w:rPr>
              <w:t>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00FA8C3D">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49A1C8DF">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42CEFCF">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r w14:paraId="53235D7A">
        <w:tblPrEx>
          <w:tblCellMar>
            <w:top w:w="15" w:type="dxa"/>
            <w:left w:w="15" w:type="dxa"/>
            <w:bottom w:w="15" w:type="dxa"/>
            <w:right w:w="15" w:type="dxa"/>
          </w:tblCellMar>
        </w:tblPrEx>
        <w:trPr>
          <w:trHeight w:val="23"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527964FF">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2B4B673">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相关培训</w:t>
            </w:r>
          </w:p>
        </w:tc>
        <w:tc>
          <w:tcPr>
            <w:tcW w:w="6590" w:type="dxa"/>
            <w:tcBorders>
              <w:top w:val="single" w:color="auto" w:sz="4" w:space="0"/>
              <w:left w:val="single" w:color="auto" w:sz="4" w:space="0"/>
              <w:bottom w:val="single" w:color="auto" w:sz="4" w:space="0"/>
              <w:right w:val="single" w:color="auto" w:sz="4" w:space="0"/>
            </w:tcBorders>
            <w:vAlign w:val="center"/>
          </w:tcPr>
          <w:p w14:paraId="555CAE28">
            <w:pPr>
              <w:widowControl/>
              <w:tabs>
                <w:tab w:val="left" w:pos="840"/>
              </w:tabs>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投标人提供的可行合理的培训方案及培训计划：含培训资质、培训方式、培训参加人员、培训内容、日程、课程安排、课时等：</w:t>
            </w:r>
          </w:p>
          <w:p w14:paraId="3D53BFA5">
            <w:pPr>
              <w:tabs>
                <w:tab w:val="left" w:pos="840"/>
              </w:tabs>
              <w:adjustRightInd w:val="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培训方案措施明确、培训人员安排非常周到、培训平台契合世界技能大赛官方推荐平台、培训内容非常丰富、课程安排非常合理、培训课时大于36课时的得6分；</w:t>
            </w:r>
          </w:p>
          <w:p w14:paraId="7696123A">
            <w:pPr>
              <w:tabs>
                <w:tab w:val="left" w:pos="840"/>
              </w:tabs>
              <w:adjustRightInd w:val="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培训方案措施比较明确、培训人员安排比较周到、培训内容比较丰富、课程安排比较合理、培训课时大于24课时的得3分；</w:t>
            </w:r>
          </w:p>
          <w:p w14:paraId="4A6B33D1">
            <w:pPr>
              <w:tabs>
                <w:tab w:val="left" w:pos="840"/>
              </w:tabs>
              <w:adjustRightInd w:val="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培训方案措施不够明确、培训人员安排不够周到、培训内容不够丰富、课程安排不够合理、培训课时大于12课时的得1分。</w:t>
            </w:r>
          </w:p>
          <w:p w14:paraId="77A99779">
            <w:pPr>
              <w:tabs>
                <w:tab w:val="left" w:pos="840"/>
              </w:tabs>
              <w:adjustRightInd w:val="0"/>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4982CA23">
            <w:pPr>
              <w:tabs>
                <w:tab w:val="left" w:pos="840"/>
              </w:tabs>
              <w:adjustRightInd w:val="0"/>
              <w:spacing w:after="100" w:afterAutospacing="1"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566" w:type="dxa"/>
            <w:tcBorders>
              <w:top w:val="single" w:color="auto" w:sz="4" w:space="0"/>
              <w:left w:val="single" w:color="auto" w:sz="4" w:space="0"/>
              <w:bottom w:val="single" w:color="auto" w:sz="4" w:space="0"/>
              <w:right w:val="single" w:color="auto" w:sz="4" w:space="0"/>
            </w:tcBorders>
            <w:vAlign w:val="center"/>
          </w:tcPr>
          <w:p w14:paraId="71544CB0">
            <w:pPr>
              <w:tabs>
                <w:tab w:val="left" w:pos="840"/>
              </w:tabs>
              <w:adjustRightInd w:val="0"/>
              <w:spacing w:after="100" w:afterAutospacing="1" w:line="276" w:lineRule="auto"/>
              <w:jc w:val="center"/>
              <w:rPr>
                <w:rFonts w:hint="eastAsia" w:ascii="宋体" w:hAnsi="宋体" w:cs="宋体"/>
                <w:color w:val="auto"/>
                <w:kern w:val="2"/>
                <w:sz w:val="21"/>
                <w:szCs w:val="21"/>
                <w:highlight w:val="none"/>
                <w:lang w:val="en-US" w:eastAsia="zh-CN" w:bidi="ar-SA"/>
              </w:rPr>
            </w:pPr>
          </w:p>
        </w:tc>
        <w:tc>
          <w:tcPr>
            <w:tcW w:w="588" w:type="dxa"/>
            <w:tcBorders>
              <w:top w:val="single" w:color="auto" w:sz="4" w:space="0"/>
              <w:left w:val="single" w:color="auto" w:sz="4" w:space="0"/>
              <w:bottom w:val="single" w:color="auto" w:sz="4" w:space="0"/>
              <w:right w:val="single" w:color="auto" w:sz="4" w:space="0"/>
            </w:tcBorders>
            <w:vAlign w:val="center"/>
          </w:tcPr>
          <w:p w14:paraId="6A6F3EB5">
            <w:pPr>
              <w:tabs>
                <w:tab w:val="left" w:pos="840"/>
              </w:tabs>
              <w:adjustRightInd w:val="0"/>
              <w:spacing w:after="100" w:afterAutospacing="1" w:line="276" w:lineRule="auto"/>
              <w:jc w:val="center"/>
              <w:rPr>
                <w:rFonts w:hint="eastAsia" w:ascii="宋体" w:hAnsi="宋体" w:cs="宋体"/>
                <w:color w:val="auto"/>
                <w:kern w:val="2"/>
                <w:sz w:val="21"/>
                <w:szCs w:val="21"/>
                <w:highlight w:val="none"/>
                <w:lang w:val="en-US" w:eastAsia="zh-CN" w:bidi="ar-SA"/>
              </w:rPr>
            </w:pPr>
          </w:p>
        </w:tc>
      </w:tr>
      <w:tr w14:paraId="199B953A">
        <w:tblPrEx>
          <w:tblCellMar>
            <w:top w:w="15" w:type="dxa"/>
            <w:left w:w="15" w:type="dxa"/>
            <w:bottom w:w="15" w:type="dxa"/>
            <w:right w:w="15" w:type="dxa"/>
          </w:tblCellMar>
        </w:tblPrEx>
        <w:trPr>
          <w:trHeight w:val="23"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72122649">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9E88A2E">
            <w:pPr>
              <w:widowControl/>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售后服务方案</w:t>
            </w:r>
          </w:p>
        </w:tc>
        <w:tc>
          <w:tcPr>
            <w:tcW w:w="6590" w:type="dxa"/>
            <w:tcBorders>
              <w:top w:val="single" w:color="auto" w:sz="4" w:space="0"/>
              <w:left w:val="single" w:color="auto" w:sz="4" w:space="0"/>
              <w:bottom w:val="single" w:color="auto" w:sz="4" w:space="0"/>
              <w:right w:val="single" w:color="auto" w:sz="4" w:space="0"/>
            </w:tcBorders>
            <w:shd w:val="clear" w:color="auto" w:fill="auto"/>
            <w:vAlign w:val="center"/>
          </w:tcPr>
          <w:p w14:paraId="60FD5AAA">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根据投标供应商提供的售后服务方案的优劣程度进行综合比较评价：</w:t>
            </w:r>
          </w:p>
          <w:p w14:paraId="2E4F9830">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提供售后服务方案及保障措施完善，服务体系完整度高，服务团队人员稳定、技术能力强，服务响应</w:t>
            </w:r>
            <w:r>
              <w:rPr>
                <w:rFonts w:hint="eastAsia" w:ascii="宋体" w:hAnsi="宋体" w:eastAsia="宋体" w:cs="宋体"/>
                <w:color w:val="auto"/>
                <w:kern w:val="0"/>
                <w:sz w:val="21"/>
                <w:szCs w:val="21"/>
                <w:highlight w:val="none"/>
              </w:rPr>
              <w:t>时间在24小时内</w:t>
            </w:r>
            <w:r>
              <w:rPr>
                <w:rFonts w:hint="eastAsia" w:ascii="宋体" w:hAnsi="宋体" w:eastAsia="宋体" w:cs="宋体"/>
                <w:color w:val="auto"/>
                <w:kern w:val="0"/>
                <w:sz w:val="21"/>
                <w:szCs w:val="21"/>
                <w:highlight w:val="none"/>
                <w:lang w:val="zh-CN"/>
              </w:rPr>
              <w:t>，有统一服务热线电话和售后巡检服务的得</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分；</w:t>
            </w:r>
          </w:p>
          <w:p w14:paraId="7D05989B">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提供售后服务方案及保障措施较完善，服务体系较完备，服务团队人员相对稳定、技术能力较强，服务响应</w:t>
            </w:r>
            <w:r>
              <w:rPr>
                <w:rFonts w:hint="eastAsia" w:ascii="宋体" w:hAnsi="宋体" w:eastAsia="宋体" w:cs="宋体"/>
                <w:color w:val="auto"/>
                <w:kern w:val="0"/>
                <w:sz w:val="21"/>
                <w:szCs w:val="21"/>
                <w:highlight w:val="none"/>
              </w:rPr>
              <w:t>时间在48小时内</w:t>
            </w:r>
            <w:r>
              <w:rPr>
                <w:rFonts w:hint="eastAsia" w:ascii="宋体" w:hAnsi="宋体" w:eastAsia="宋体" w:cs="宋体"/>
                <w:color w:val="auto"/>
                <w:kern w:val="0"/>
                <w:sz w:val="21"/>
                <w:szCs w:val="21"/>
                <w:highlight w:val="none"/>
                <w:lang w:val="zh-CN"/>
              </w:rPr>
              <w:t>，具有统一服务热线措施的得</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分；</w:t>
            </w:r>
          </w:p>
          <w:p w14:paraId="0D1CB9A2">
            <w:pPr>
              <w:widowControl/>
              <w:tabs>
                <w:tab w:val="left" w:pos="840"/>
              </w:tabs>
              <w:spacing w:line="276"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提供售后服务方案及保障措施不完善，质量体系不完备，服务团队人员不稳定、技术能力差，服务响应</w:t>
            </w:r>
            <w:r>
              <w:rPr>
                <w:rFonts w:hint="eastAsia" w:ascii="宋体" w:hAnsi="宋体" w:eastAsia="宋体" w:cs="宋体"/>
                <w:color w:val="auto"/>
                <w:kern w:val="0"/>
                <w:sz w:val="21"/>
                <w:szCs w:val="21"/>
                <w:highlight w:val="none"/>
              </w:rPr>
              <w:t>时间在72小时内</w:t>
            </w:r>
            <w:r>
              <w:rPr>
                <w:rFonts w:hint="eastAsia" w:ascii="宋体" w:hAnsi="宋体" w:eastAsia="宋体" w:cs="宋体"/>
                <w:color w:val="auto"/>
                <w:kern w:val="0"/>
                <w:sz w:val="21"/>
                <w:szCs w:val="21"/>
                <w:highlight w:val="none"/>
                <w:lang w:val="zh-CN"/>
              </w:rPr>
              <w:t>，未提供响应措施等，得</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分；</w:t>
            </w:r>
          </w:p>
          <w:p w14:paraId="614B3FAD">
            <w:pPr>
              <w:keepNext w:val="0"/>
              <w:keepLines w:val="0"/>
              <w:pageBreakBefore w:val="0"/>
              <w:widowControl/>
              <w:numPr>
                <w:ilvl w:val="0"/>
                <w:numId w:val="0"/>
              </w:numPr>
              <w:tabs>
                <w:tab w:val="left" w:pos="840"/>
              </w:tabs>
              <w:kinsoku/>
              <w:wordWrap/>
              <w:overflowPunct/>
              <w:topLinePunct w:val="0"/>
              <w:autoSpaceDE/>
              <w:autoSpaceDN/>
              <w:bidi w:val="0"/>
              <w:adjustRightInd/>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无方案或方案不合理的不得分。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7506B5DE">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5</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36D03798">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kern w:val="2"/>
                <w:sz w:val="21"/>
                <w:szCs w:val="21"/>
                <w:highlight w:val="none"/>
                <w:lang w:val="en-US" w:eastAsia="zh-CN" w:bidi="ar-SA"/>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B6FE6B7">
            <w:pPr>
              <w:keepNext w:val="0"/>
              <w:keepLines w:val="0"/>
              <w:pageBreakBefore w:val="0"/>
              <w:widowControl/>
              <w:tabs>
                <w:tab w:val="left" w:pos="840"/>
              </w:tabs>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kern w:val="2"/>
                <w:sz w:val="21"/>
                <w:szCs w:val="21"/>
                <w:highlight w:val="none"/>
                <w:lang w:val="en-US" w:eastAsia="zh-CN" w:bidi="ar-SA"/>
              </w:rPr>
            </w:pPr>
          </w:p>
        </w:tc>
      </w:tr>
    </w:tbl>
    <w:p w14:paraId="4160760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zh-CN"/>
        </w:rPr>
      </w:pPr>
    </w:p>
    <w:p w14:paraId="3474D329">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B4542D0">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1362F2F7">
      <w:pPr>
        <w:pStyle w:val="35"/>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366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5D97D23C">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246901D8">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001" w:type="dxa"/>
            <w:gridSpan w:val="3"/>
          </w:tcPr>
          <w:p w14:paraId="3E0A3898">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01367EAD">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40F6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5725528">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36073A5B">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577839EB">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52F7C6C6">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51CD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70D72F6">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07010863">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c>
          <w:tcPr>
            <w:tcW w:w="910" w:type="dxa"/>
          </w:tcPr>
          <w:p w14:paraId="32A6E103">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694B2FD4">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10AB579C">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7B20EA08">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53E31E0">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r>
      <w:tr w14:paraId="0191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78DD7529">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585F5582">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Borders>
              <w:top w:val="nil"/>
            </w:tcBorders>
          </w:tcPr>
          <w:p w14:paraId="1371F883">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34AD40EE">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555B9129">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2F802F3F">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558DD1C">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3414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2FBC494E">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vMerge w:val="continue"/>
          </w:tcPr>
          <w:p w14:paraId="0A5A9912">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Pr>
          <w:p w14:paraId="2B110D13">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08080C6">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6D6D6C33">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3B6C081A">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7C9F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4553B425">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11EF27F6">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5344F7BB">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FEFCCD1">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13386F2F">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340C9B4A">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1E9CEA1">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4983C157">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65CE4A5C">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2E565F4C">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359E27BD">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7FE3E0C9">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6E5B1F7F">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36381FC3">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3569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62DF210">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3A237364">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0052A690">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163" w:type="dxa"/>
            <w:gridSpan w:val="2"/>
          </w:tcPr>
          <w:p w14:paraId="55B631A5">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66E93736">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4BDDCCCF">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324E9841">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9E4D679">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r>
      <w:tr w14:paraId="5EEC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E02B250">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7AEBC3E7">
            <w:pPr>
              <w:pStyle w:val="35"/>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26AFCD39">
            <w:pPr>
              <w:pStyle w:val="35"/>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p>
        </w:tc>
        <w:tc>
          <w:tcPr>
            <w:tcW w:w="1163" w:type="dxa"/>
            <w:gridSpan w:val="2"/>
          </w:tcPr>
          <w:p w14:paraId="459EED06">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154A1016">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kern w:val="0"/>
                <w:sz w:val="21"/>
                <w:szCs w:val="21"/>
                <w:highlight w:val="none"/>
              </w:rPr>
            </w:pPr>
          </w:p>
          <w:p w14:paraId="1FDB0BAC">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218" w:type="dxa"/>
          </w:tcPr>
          <w:p w14:paraId="42E7F895">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5B1E371E">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55FF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2C8C528F">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1D24BF33">
            <w:pPr>
              <w:pStyle w:val="35"/>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6EA6132A">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3DDA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26EC9A5A">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8063" w:type="dxa"/>
            <w:gridSpan w:val="11"/>
          </w:tcPr>
          <w:p w14:paraId="7758A513">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B32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277C0DDB">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459BEB4B">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16AFAEBD">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6DF39CD9">
            <w:pPr>
              <w:pStyle w:val="35"/>
              <w:keepNext w:val="0"/>
              <w:keepLines w:val="0"/>
              <w:pageBreakBefore w:val="0"/>
              <w:shd w:val="clear" w:color="auto" w:fill="FFFFFF"/>
              <w:kinsoku/>
              <w:wordWrap/>
              <w:overflowPunct/>
              <w:topLinePunct w:val="0"/>
              <w:bidi w:val="0"/>
              <w:spacing w:line="24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2628D149">
            <w:pPr>
              <w:pStyle w:val="35"/>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51220B75">
            <w:pPr>
              <w:pStyle w:val="35"/>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5CF29CB2">
            <w:pPr>
              <w:pStyle w:val="35"/>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6E6E5893">
            <w:pPr>
              <w:pStyle w:val="35"/>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2D4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2AEB1E31">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744F75C0">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964" w:type="dxa"/>
            <w:gridSpan w:val="2"/>
          </w:tcPr>
          <w:p w14:paraId="15B238CA">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418" w:type="dxa"/>
            <w:gridSpan w:val="2"/>
          </w:tcPr>
          <w:p w14:paraId="4851A1DD">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276" w:type="dxa"/>
          </w:tcPr>
          <w:p w14:paraId="73C7F543">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551" w:type="dxa"/>
            <w:gridSpan w:val="3"/>
          </w:tcPr>
          <w:p w14:paraId="3FFCB3FC">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5202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B3AE51A">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c>
          <w:tcPr>
            <w:tcW w:w="1854" w:type="dxa"/>
            <w:gridSpan w:val="3"/>
          </w:tcPr>
          <w:p w14:paraId="5ECBF110">
            <w:pPr>
              <w:pStyle w:val="35"/>
              <w:keepNext w:val="0"/>
              <w:keepLines w:val="0"/>
              <w:pageBreakBefore w:val="0"/>
              <w:shd w:val="clear" w:color="auto" w:fill="FFFFFF"/>
              <w:kinsoku/>
              <w:wordWrap/>
              <w:overflowPunct/>
              <w:topLinePunct w:val="0"/>
              <w:bidi w:val="0"/>
              <w:spacing w:before="0" w:beforeAutospacing="0" w:after="0" w:afterAutospacing="0" w:line="24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3D9305FD">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729F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4D65695B">
            <w:pPr>
              <w:pStyle w:val="35"/>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p>
        </w:tc>
        <w:tc>
          <w:tcPr>
            <w:tcW w:w="1854" w:type="dxa"/>
            <w:gridSpan w:val="3"/>
          </w:tcPr>
          <w:p w14:paraId="099A6C98">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B68BA0C">
            <w:pPr>
              <w:pStyle w:val="35"/>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bl>
    <w:p w14:paraId="13A34150">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57A22C65">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979F44E">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355425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7B7899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2C966B5E">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C91B0D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527D7DEB">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27D861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0081610">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BE45D33">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3811CF2">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A14BAB5">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47D5FB7">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A46D3D2">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18CA0D0">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7211502">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4D25E00">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CE6DEA2">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A64159F">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D21B853">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542210C">
      <w:pPr>
        <w:pStyle w:val="35"/>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739BF3A4">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1D471F7B">
      <w:pPr>
        <w:keepNext w:val="0"/>
        <w:keepLines w:val="0"/>
        <w:pageBreakBefore w:val="0"/>
        <w:kinsoku/>
        <w:wordWrap/>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2EDDA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40E2228C">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68B1057">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263B313">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8A515FB">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A9382D1">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81CC5DD">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00A83F2">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690B0DD8">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778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173718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1CFFE3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62F47E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42A2FF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44CCC0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7D6219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969D02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D66D81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63D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DBA5FF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5872AD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9C0B34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D65DE0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4C806A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8F1B6B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109BB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58AF75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1C8F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581B4E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6EAD4A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60A529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9F70F54">
            <w:pPr>
              <w:pStyle w:val="13"/>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4F8496">
            <w:pPr>
              <w:pStyle w:val="13"/>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B91AA20">
            <w:pPr>
              <w:pStyle w:val="13"/>
              <w:keepNext w:val="0"/>
              <w:keepLines w:val="0"/>
              <w:pageBreakBefore w:val="0"/>
              <w:kinsoku/>
              <w:wordWrap/>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E55F45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2126" w:type="dxa"/>
            <w:tcBorders>
              <w:top w:val="single" w:color="auto" w:sz="4" w:space="0"/>
              <w:left w:val="single" w:color="auto" w:sz="4" w:space="0"/>
              <w:bottom w:val="single" w:color="auto" w:sz="4" w:space="0"/>
            </w:tcBorders>
          </w:tcPr>
          <w:p w14:paraId="7271F6B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F10A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A43DEC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240F5A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65CD79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6A0E07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63C7F9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4A1B7C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7F1F20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1FFE42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05B8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12E815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615CE51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F7329A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516062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42CFFF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A1650A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5151A8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13C61A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38AF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723705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1EECC1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997291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D653E6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2E506E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AF19C6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B02DA5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4F6CD2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EDE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BA3883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18F5A3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ACECFF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BC21C4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9FA4126">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3639A2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AB29F5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4778B6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69C2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9F09E8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53E6BC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741882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145152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06C49B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63AD13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D79E3A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913A32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495B532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B3246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56563D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57CD55B">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0685938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2C224B9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C1F3AE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7A355A9">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84A4C7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19C6C3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4085BF8">
      <w:pPr>
        <w:spacing w:line="360" w:lineRule="auto"/>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7872A3BA">
      <w:pPr>
        <w:spacing w:before="156" w:beforeLines="50" w:after="156"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投标人提供的产品供货清单及原产地</w:t>
      </w:r>
    </w:p>
    <w:p w14:paraId="4866BFE5">
      <w:pPr>
        <w:spacing w:line="360" w:lineRule="auto"/>
        <w:rPr>
          <w:rFonts w:hint="eastAsia" w:ascii="宋体" w:hAnsi="宋体" w:eastAsia="宋体" w:cs="宋体"/>
          <w:b/>
          <w:color w:val="auto"/>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1DEE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68E0784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13F8B60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794BBD8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23FCBCC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7F82D64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64BB779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7841B7E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58D0E4C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4CB2F60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632B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2B72FF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266BC94B">
            <w:pPr>
              <w:spacing w:line="360" w:lineRule="auto"/>
              <w:jc w:val="center"/>
              <w:rPr>
                <w:rFonts w:hint="eastAsia" w:ascii="宋体" w:hAnsi="宋体" w:eastAsia="宋体" w:cs="宋体"/>
                <w:color w:val="auto"/>
                <w:sz w:val="21"/>
                <w:szCs w:val="21"/>
                <w:highlight w:val="none"/>
              </w:rPr>
            </w:pPr>
          </w:p>
        </w:tc>
        <w:tc>
          <w:tcPr>
            <w:tcW w:w="1138" w:type="dxa"/>
            <w:noWrap w:val="0"/>
            <w:vAlign w:val="center"/>
          </w:tcPr>
          <w:p w14:paraId="4C9B46EB">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34664EC1">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01A83670">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07E25DEB">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3CCF2409">
            <w:pPr>
              <w:spacing w:line="360" w:lineRule="auto"/>
              <w:jc w:val="center"/>
              <w:rPr>
                <w:rFonts w:hint="eastAsia" w:ascii="宋体" w:hAnsi="宋体" w:eastAsia="宋体" w:cs="宋体"/>
                <w:color w:val="auto"/>
                <w:sz w:val="21"/>
                <w:szCs w:val="21"/>
                <w:highlight w:val="none"/>
              </w:rPr>
            </w:pPr>
          </w:p>
        </w:tc>
        <w:tc>
          <w:tcPr>
            <w:tcW w:w="1139" w:type="dxa"/>
            <w:noWrap w:val="0"/>
            <w:vAlign w:val="center"/>
          </w:tcPr>
          <w:p w14:paraId="37ECF903">
            <w:pPr>
              <w:spacing w:line="360" w:lineRule="auto"/>
              <w:jc w:val="center"/>
              <w:rPr>
                <w:rFonts w:hint="eastAsia" w:ascii="宋体" w:hAnsi="宋体" w:eastAsia="宋体" w:cs="宋体"/>
                <w:color w:val="auto"/>
                <w:sz w:val="21"/>
                <w:szCs w:val="21"/>
                <w:highlight w:val="none"/>
              </w:rPr>
            </w:pPr>
          </w:p>
        </w:tc>
      </w:tr>
      <w:tr w14:paraId="3DB4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24D0AF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5C50AAEB">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646E88A6">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4D60EB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575C91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3AC0A35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0687529">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F19FE50">
            <w:pPr>
              <w:spacing w:line="360" w:lineRule="auto"/>
              <w:jc w:val="center"/>
              <w:rPr>
                <w:rFonts w:hint="eastAsia" w:ascii="宋体" w:hAnsi="宋体" w:eastAsia="宋体" w:cs="宋体"/>
                <w:color w:val="auto"/>
                <w:sz w:val="21"/>
                <w:szCs w:val="21"/>
                <w:highlight w:val="none"/>
              </w:rPr>
            </w:pPr>
          </w:p>
        </w:tc>
      </w:tr>
      <w:tr w14:paraId="3C8B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338176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24969A63">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1541C24C">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1CAF24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B55D301">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F74332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57F917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6C1105D">
            <w:pPr>
              <w:spacing w:line="360" w:lineRule="auto"/>
              <w:jc w:val="center"/>
              <w:rPr>
                <w:rFonts w:hint="eastAsia" w:ascii="宋体" w:hAnsi="宋体" w:eastAsia="宋体" w:cs="宋体"/>
                <w:color w:val="auto"/>
                <w:sz w:val="21"/>
                <w:szCs w:val="21"/>
                <w:highlight w:val="none"/>
              </w:rPr>
            </w:pPr>
          </w:p>
        </w:tc>
      </w:tr>
      <w:tr w14:paraId="00A1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4155BF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9C13F6B">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50AC96D6">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358BE94B">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2F7B06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DA9F78E">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F3EB5B1">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D9329C8">
            <w:pPr>
              <w:spacing w:line="360" w:lineRule="auto"/>
              <w:jc w:val="center"/>
              <w:rPr>
                <w:rFonts w:hint="eastAsia" w:ascii="宋体" w:hAnsi="宋体" w:eastAsia="宋体" w:cs="宋体"/>
                <w:color w:val="auto"/>
                <w:sz w:val="21"/>
                <w:szCs w:val="21"/>
                <w:highlight w:val="none"/>
              </w:rPr>
            </w:pPr>
          </w:p>
        </w:tc>
      </w:tr>
      <w:tr w14:paraId="6C41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01AE9D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337F32BC">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2B8C6379">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3B889D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70FA17B">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FCB2593">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CAEDEB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8F0283C">
            <w:pPr>
              <w:spacing w:line="360" w:lineRule="auto"/>
              <w:jc w:val="center"/>
              <w:rPr>
                <w:rFonts w:hint="eastAsia" w:ascii="宋体" w:hAnsi="宋体" w:eastAsia="宋体" w:cs="宋体"/>
                <w:color w:val="auto"/>
                <w:sz w:val="21"/>
                <w:szCs w:val="21"/>
                <w:highlight w:val="none"/>
              </w:rPr>
            </w:pPr>
          </w:p>
        </w:tc>
      </w:tr>
      <w:tr w14:paraId="6FF6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B2900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62DCB069">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66D4DE6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0BD8A30">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15CC89F">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968AEF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EC020A3">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42AAD361">
            <w:pPr>
              <w:spacing w:line="360" w:lineRule="auto"/>
              <w:jc w:val="center"/>
              <w:rPr>
                <w:rFonts w:hint="eastAsia" w:ascii="宋体" w:hAnsi="宋体" w:eastAsia="宋体" w:cs="宋体"/>
                <w:color w:val="auto"/>
                <w:sz w:val="21"/>
                <w:szCs w:val="21"/>
                <w:highlight w:val="none"/>
              </w:rPr>
            </w:pPr>
          </w:p>
        </w:tc>
      </w:tr>
      <w:tr w14:paraId="5E56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0B752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66616FF0">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1D017778">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40B5C8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967F67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BFD5F36">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E1E5A60">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BF3C1FD">
            <w:pPr>
              <w:spacing w:line="360" w:lineRule="auto"/>
              <w:jc w:val="center"/>
              <w:rPr>
                <w:rFonts w:hint="eastAsia" w:ascii="宋体" w:hAnsi="宋体" w:eastAsia="宋体" w:cs="宋体"/>
                <w:color w:val="auto"/>
                <w:sz w:val="21"/>
                <w:szCs w:val="21"/>
                <w:highlight w:val="none"/>
              </w:rPr>
            </w:pPr>
          </w:p>
        </w:tc>
      </w:tr>
      <w:tr w14:paraId="15F1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F5AF743">
            <w:pPr>
              <w:spacing w:line="360" w:lineRule="auto"/>
              <w:jc w:val="center"/>
              <w:rPr>
                <w:rFonts w:hint="eastAsia" w:ascii="宋体" w:hAnsi="宋体" w:eastAsia="宋体" w:cs="宋体"/>
                <w:color w:val="auto"/>
                <w:sz w:val="21"/>
                <w:szCs w:val="21"/>
                <w:highlight w:val="none"/>
              </w:rPr>
            </w:pPr>
          </w:p>
        </w:tc>
        <w:tc>
          <w:tcPr>
            <w:tcW w:w="1316" w:type="dxa"/>
            <w:noWrap w:val="0"/>
            <w:vAlign w:val="top"/>
          </w:tcPr>
          <w:p w14:paraId="3E19C1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29274B98">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2134AE7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4CDACC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103266E7">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C73300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317664D7">
            <w:pPr>
              <w:spacing w:line="360" w:lineRule="auto"/>
              <w:jc w:val="center"/>
              <w:rPr>
                <w:rFonts w:hint="eastAsia" w:ascii="宋体" w:hAnsi="宋体" w:eastAsia="宋体" w:cs="宋体"/>
                <w:color w:val="auto"/>
                <w:sz w:val="21"/>
                <w:szCs w:val="21"/>
                <w:highlight w:val="none"/>
              </w:rPr>
            </w:pPr>
          </w:p>
        </w:tc>
      </w:tr>
      <w:tr w14:paraId="5B3F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AACCD6">
            <w:pPr>
              <w:spacing w:line="360" w:lineRule="auto"/>
              <w:jc w:val="center"/>
              <w:rPr>
                <w:rFonts w:hint="eastAsia" w:ascii="宋体" w:hAnsi="宋体" w:eastAsia="宋体" w:cs="宋体"/>
                <w:color w:val="auto"/>
                <w:sz w:val="21"/>
                <w:szCs w:val="21"/>
                <w:highlight w:val="none"/>
              </w:rPr>
            </w:pPr>
          </w:p>
        </w:tc>
        <w:tc>
          <w:tcPr>
            <w:tcW w:w="1316" w:type="dxa"/>
            <w:noWrap w:val="0"/>
            <w:vAlign w:val="top"/>
          </w:tcPr>
          <w:p w14:paraId="14916FAA">
            <w:pPr>
              <w:spacing w:line="360" w:lineRule="auto"/>
              <w:jc w:val="center"/>
              <w:rPr>
                <w:rFonts w:hint="eastAsia" w:ascii="宋体" w:hAnsi="宋体" w:eastAsia="宋体" w:cs="宋体"/>
                <w:color w:val="auto"/>
                <w:sz w:val="21"/>
                <w:szCs w:val="21"/>
                <w:highlight w:val="none"/>
              </w:rPr>
            </w:pPr>
          </w:p>
        </w:tc>
        <w:tc>
          <w:tcPr>
            <w:tcW w:w="1138" w:type="dxa"/>
            <w:noWrap w:val="0"/>
            <w:vAlign w:val="top"/>
          </w:tcPr>
          <w:p w14:paraId="6DF78688">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66188AC5">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55BC89DC">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4B8F542D">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75BAC9E2">
            <w:pPr>
              <w:spacing w:line="360" w:lineRule="auto"/>
              <w:jc w:val="center"/>
              <w:rPr>
                <w:rFonts w:hint="eastAsia" w:ascii="宋体" w:hAnsi="宋体" w:eastAsia="宋体" w:cs="宋体"/>
                <w:color w:val="auto"/>
                <w:sz w:val="21"/>
                <w:szCs w:val="21"/>
                <w:highlight w:val="none"/>
              </w:rPr>
            </w:pPr>
          </w:p>
        </w:tc>
        <w:tc>
          <w:tcPr>
            <w:tcW w:w="1139" w:type="dxa"/>
            <w:noWrap w:val="0"/>
            <w:vAlign w:val="top"/>
          </w:tcPr>
          <w:p w14:paraId="0EFF2BE8">
            <w:pPr>
              <w:spacing w:line="360" w:lineRule="auto"/>
              <w:jc w:val="center"/>
              <w:rPr>
                <w:rFonts w:hint="eastAsia" w:ascii="宋体" w:hAnsi="宋体" w:eastAsia="宋体" w:cs="宋体"/>
                <w:color w:val="auto"/>
                <w:sz w:val="21"/>
                <w:szCs w:val="21"/>
                <w:highlight w:val="none"/>
              </w:rPr>
            </w:pPr>
          </w:p>
        </w:tc>
      </w:tr>
    </w:tbl>
    <w:p w14:paraId="522AF075">
      <w:pPr>
        <w:spacing w:line="360" w:lineRule="auto"/>
        <w:rPr>
          <w:rFonts w:hint="eastAsia" w:ascii="宋体" w:hAnsi="宋体" w:eastAsia="宋体" w:cs="宋体"/>
          <w:color w:val="auto"/>
          <w:sz w:val="21"/>
          <w:szCs w:val="21"/>
          <w:highlight w:val="none"/>
        </w:rPr>
      </w:pPr>
    </w:p>
    <w:p w14:paraId="58B6A4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本表所列项目应全部计入投标总价。</w:t>
      </w:r>
    </w:p>
    <w:p w14:paraId="394A3F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投标人在投标时，应对所供产品的包装方式给于具体说明。</w:t>
      </w:r>
    </w:p>
    <w:p w14:paraId="6670365D">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6D69222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353213A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3FFFD6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43D516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0C70E3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61D571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527C39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1"/>
          <w:szCs w:val="21"/>
          <w:highlight w:val="none"/>
        </w:rPr>
      </w:pPr>
    </w:p>
    <w:p w14:paraId="0E806443">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13A5DCE">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0EB19C4">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67319547">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25BE086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47D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01311E8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5400E8E8">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49" w:type="dxa"/>
            <w:vAlign w:val="center"/>
          </w:tcPr>
          <w:p w14:paraId="1D7AD9CE">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60" w:type="dxa"/>
            <w:vAlign w:val="center"/>
          </w:tcPr>
          <w:p w14:paraId="338FA668">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0B0DFCC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44E306A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0F34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6F5F89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751E33F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4E9B317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6F516A0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5C24A78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5CA2D4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F4E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C1B82E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7BC88D6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6A3E1A4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6A4932F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36EBDB9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AB5B6D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EFB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CEB091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4B1374C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0EFCDD2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57ADB2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50B63E8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18631C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A7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8C86EE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4A0D486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503126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2B5356A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0C80F33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5240E2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B47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6BD002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115B1D4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5BD1139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270050C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2887FE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98EF8F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DE5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7065D4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23309AF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23C86F3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3140978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21A527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4E4595E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29A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01F028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785" w:type="dxa"/>
            <w:vAlign w:val="center"/>
          </w:tcPr>
          <w:p w14:paraId="75AFE2B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49" w:type="dxa"/>
            <w:vAlign w:val="center"/>
          </w:tcPr>
          <w:p w14:paraId="3C9D944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60" w:type="dxa"/>
            <w:vAlign w:val="center"/>
          </w:tcPr>
          <w:p w14:paraId="567681C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01" w:type="dxa"/>
            <w:vAlign w:val="center"/>
          </w:tcPr>
          <w:p w14:paraId="1AD5ECF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0B83FD0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18BCFBE4">
      <w:pPr>
        <w:pStyle w:val="37"/>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2E91EF2">
      <w:pPr>
        <w:pStyle w:val="37"/>
        <w:keepNext w:val="0"/>
        <w:keepLines w:val="0"/>
        <w:pageBreakBefore w:val="0"/>
        <w:tabs>
          <w:tab w:val="left" w:pos="360"/>
        </w:tabs>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本表的名称须与《报价明细表》一致。</w:t>
      </w:r>
    </w:p>
    <w:p w14:paraId="63C5AEB2">
      <w:pPr>
        <w:pStyle w:val="37"/>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部分“招标需求”内具体技术需求填制，投标人应根据投标设备的性能指标、服务指标，对照招标文件要求在“偏离情况”栏注明“正偏离”、“负偏离”或“无偏离”。</w:t>
      </w:r>
    </w:p>
    <w:p w14:paraId="5C3020AE">
      <w:pPr>
        <w:pStyle w:val="37"/>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9E6382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D978A33">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B68339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0AAA014B">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8EBB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47974FE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590EAD4">
      <w:pPr>
        <w:pStyle w:val="38"/>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625B78A6">
      <w:pPr>
        <w:pStyle w:val="38"/>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5A08CFE4">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67D7D3CF">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2FB9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B1AE906">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242A7C8D">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0DB9813A">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4479DEC4">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092BF3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F645871">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17D3DC1D">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23ECA2EC">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3677104D">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2655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C65F59">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41F84160">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02A5AFAF">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1DB96307">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FB7E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1C4AE0">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933A18F">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1DA5CAA7">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15155F1E">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C84A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7FF11F">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FB083C0">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5CA246C3">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2F0C2A25">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21D0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DC4BFF8">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02F59788">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78602E28">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37745966">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6499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F18405D">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478DB44">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68CC739F">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580ABF2C">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61FF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4DF5CBBA">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double" w:color="auto" w:sz="4" w:space="0"/>
            </w:tcBorders>
          </w:tcPr>
          <w:p w14:paraId="3A28A9E6">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double" w:color="auto" w:sz="4" w:space="0"/>
            </w:tcBorders>
          </w:tcPr>
          <w:p w14:paraId="7D301979">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12DDBC7A">
            <w:pPr>
              <w:pStyle w:val="39"/>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2B35279">
      <w:pPr>
        <w:pStyle w:val="39"/>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17F9A2E5">
      <w:pPr>
        <w:pStyle w:val="39"/>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0CB7685D">
      <w:pPr>
        <w:pStyle w:val="39"/>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594535F4">
      <w:pPr>
        <w:pStyle w:val="39"/>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245F6BE">
      <w:pPr>
        <w:pStyle w:val="39"/>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D52BA7E">
      <w:pPr>
        <w:pStyle w:val="39"/>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59F2F90">
      <w:pPr>
        <w:pStyle w:val="39"/>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CD32084">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FCE428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033F472E">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4B018A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156A9FC5">
      <w:pPr>
        <w:pStyle w:val="35"/>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5700603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4AD4790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733DEAF">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3F56D71">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1E424C8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2C83310F">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66F6FF3A">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2E3D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94B762A">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2968FED">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96AF13C">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EA5A80F">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F41AC0C">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1E3EBA6">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B0C8CB">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EF2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43319C8">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0B03DDC">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C282D37">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790C9FD">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7CE6703">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9049348">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7EB8528">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43F84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08A6F18">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6EFD511">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8CD471F">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1ABC396">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976C52B">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6409FA6">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9E69343">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5460C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64AC938">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F985E68">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CFAADC8">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5DCF0B3">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6A46BBF">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03282E3">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9AC5AEC">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A47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4B7FC3A">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7F4A5A66">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B939F43">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7A043CD">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35D0A10">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CD39100">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C7CAC6A">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457C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0043DE6">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0214121">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FA63EA7">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99F906E">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7CA3427">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CD438A6">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90507AF">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E950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893DEF6">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27CD5B2E">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9543EBB">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6C4E62B">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674BC25">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A87B00D">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7C072F2">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10FF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B877B33">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197EEE6C">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F85F931">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61AE41E">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1F56C4B">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32A7518">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EC655EE">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58496599">
      <w:pPr>
        <w:keepNext w:val="0"/>
        <w:keepLines w:val="0"/>
        <w:pageBreakBefore w:val="0"/>
        <w:kinsoku/>
        <w:wordWrap/>
        <w:overflowPunct/>
        <w:topLinePunct w:val="0"/>
        <w:autoSpaceDE w:val="0"/>
        <w:autoSpaceDN w:val="0"/>
        <w:bidi w:val="0"/>
        <w:adjustRightInd w:val="0"/>
        <w:spacing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963DC31">
      <w:pPr>
        <w:keepNext w:val="0"/>
        <w:keepLines w:val="0"/>
        <w:pageBreakBefore w:val="0"/>
        <w:kinsoku/>
        <w:wordWrap/>
        <w:overflowPunct/>
        <w:topLinePunct w:val="0"/>
        <w:autoSpaceDE w:val="0"/>
        <w:autoSpaceDN w:val="0"/>
        <w:bidi w:val="0"/>
        <w:adjustRightInd w:val="0"/>
        <w:spacing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786D085">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DED7C5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30EC752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3C267A0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E1676E3">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757921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EC9842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B6CCC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ED4231D">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 w:val="21"/>
          <w:szCs w:val="21"/>
          <w:highlight w:val="none"/>
        </w:rPr>
      </w:pPr>
    </w:p>
    <w:p w14:paraId="6538753C">
      <w:pPr>
        <w:pStyle w:val="39"/>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3985F587">
      <w:pPr>
        <w:pStyle w:val="39"/>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6782069E">
      <w:pPr>
        <w:pStyle w:val="39"/>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5B148C95">
      <w:pPr>
        <w:pStyle w:val="39"/>
        <w:keepNext w:val="0"/>
        <w:keepLines w:val="0"/>
        <w:pageBreakBefore w:val="0"/>
        <w:tabs>
          <w:tab w:val="left" w:pos="1050"/>
        </w:tabs>
        <w:kinsoku/>
        <w:wordWrap/>
        <w:overflowPunct/>
        <w:topLinePunct w:val="0"/>
        <w:bidi w:val="0"/>
        <w:spacing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60DE1B33">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47AA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0E07E7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3C0B9A4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04050B2">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4FF12566">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50EEC12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6396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F623F0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7F9B03DF">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质保期</w:t>
            </w:r>
          </w:p>
        </w:tc>
        <w:tc>
          <w:tcPr>
            <w:tcW w:w="1541" w:type="dxa"/>
            <w:vAlign w:val="center"/>
          </w:tcPr>
          <w:p w14:paraId="3CC52F5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78B0093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0119967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07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26E204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6F980815">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供货期</w:t>
            </w:r>
          </w:p>
        </w:tc>
        <w:tc>
          <w:tcPr>
            <w:tcW w:w="1541" w:type="dxa"/>
            <w:vAlign w:val="center"/>
          </w:tcPr>
          <w:p w14:paraId="53C391A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6991029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1E3AB7D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24A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714B3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52629241">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付款方式</w:t>
            </w:r>
          </w:p>
        </w:tc>
        <w:tc>
          <w:tcPr>
            <w:tcW w:w="1541" w:type="dxa"/>
            <w:vAlign w:val="center"/>
          </w:tcPr>
          <w:p w14:paraId="692BFEF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5A2A965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2D22C7A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400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EA02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472F3C10">
            <w:pPr>
              <w:pStyle w:val="1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w:t>
            </w:r>
          </w:p>
        </w:tc>
        <w:tc>
          <w:tcPr>
            <w:tcW w:w="1541" w:type="dxa"/>
            <w:vAlign w:val="center"/>
          </w:tcPr>
          <w:p w14:paraId="51E8CA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1037340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0DAF139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16A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6FE4CE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top"/>
          </w:tcPr>
          <w:p w14:paraId="1C3E7BC6">
            <w:pPr>
              <w:snapToGrid w:val="0"/>
              <w:rPr>
                <w:rFonts w:hint="eastAsia" w:ascii="宋体" w:hAnsi="宋体" w:eastAsia="宋体" w:cs="宋体"/>
                <w:color w:val="auto"/>
                <w:sz w:val="21"/>
                <w:szCs w:val="21"/>
                <w:highlight w:val="none"/>
              </w:rPr>
            </w:pPr>
          </w:p>
        </w:tc>
        <w:tc>
          <w:tcPr>
            <w:tcW w:w="1541" w:type="dxa"/>
            <w:vAlign w:val="center"/>
          </w:tcPr>
          <w:p w14:paraId="5849261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72D406F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238B26F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5EBE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238D40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tcPr>
          <w:p w14:paraId="3530911E">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p>
        </w:tc>
        <w:tc>
          <w:tcPr>
            <w:tcW w:w="1541" w:type="dxa"/>
            <w:vAlign w:val="center"/>
          </w:tcPr>
          <w:p w14:paraId="3AB3301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5CA29E2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2F35BC8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79FFD5C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5997F36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BC1502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CAA70F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005016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DA6FB6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13D6759F">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225F8307">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7A4D5E5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7A3E5B7B">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059BEED4">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2781A6B8">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6EA18571">
      <w:pPr>
        <w:pStyle w:val="4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A7F7FBF">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89E9F10">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7B8A553C">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D3C850F">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72BA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32013F3">
            <w:pPr>
              <w:pStyle w:val="40"/>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569F5B5D">
            <w:pPr>
              <w:pStyle w:val="40"/>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1C75E313">
            <w:pPr>
              <w:pStyle w:val="40"/>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594EB543">
            <w:pPr>
              <w:pStyle w:val="40"/>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26E1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4ED201B2">
            <w:pPr>
              <w:pStyle w:val="40"/>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52B1C82">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质保期内售后服务情况(服务方式、服务网点、售后服务的内容和措施等等，可用附页和宣传材料)</w:t>
            </w:r>
          </w:p>
        </w:tc>
        <w:tc>
          <w:tcPr>
            <w:tcW w:w="4061" w:type="dxa"/>
          </w:tcPr>
          <w:p w14:paraId="20988403">
            <w:pPr>
              <w:pStyle w:val="40"/>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1EB32C41">
            <w:pPr>
              <w:pStyle w:val="40"/>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14AEB1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3F0E123B">
            <w:pPr>
              <w:pStyle w:val="40"/>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302EAF1E">
            <w:pPr>
              <w:pStyle w:val="40"/>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保修期后售后服务</w:t>
            </w:r>
          </w:p>
        </w:tc>
        <w:tc>
          <w:tcPr>
            <w:tcW w:w="4061" w:type="dxa"/>
          </w:tcPr>
          <w:p w14:paraId="30528A94">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51DF825">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921F962">
            <w:pPr>
              <w:pStyle w:val="40"/>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3B9F42EB">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902A6BF">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3187D6E">
            <w:pPr>
              <w:pStyle w:val="40"/>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16D88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56A0995">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vAlign w:val="center"/>
          </w:tcPr>
          <w:p w14:paraId="429FFC29">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68911973">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DB6044B">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tcPr>
          <w:p w14:paraId="395E65C5">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381BEC5">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5FF0023">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CFC2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4DD80302">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1909564F">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6D7F09C5">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tcBorders>
              <w:bottom w:val="single" w:color="auto" w:sz="4" w:space="0"/>
            </w:tcBorders>
          </w:tcPr>
          <w:p w14:paraId="75002DE1">
            <w:pPr>
              <w:pStyle w:val="40"/>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247F2D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710BA03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7951C4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F55201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47E5216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B3F30C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FDBDDE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C6F4B6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9AEDAF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29ED8C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444F00DA">
      <w:pPr>
        <w:pStyle w:val="4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652EF3CA">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54C5EEAC">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p>
    <w:p w14:paraId="680ECB05">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6781CB6">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39712183">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7FB650A8">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642439C1">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79955D9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6FF3D76">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6A63970">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66C2AB5C">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7A2F2CFE">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29D5B5D5">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D6AAB7B">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697A288D">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6D9AC95F">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2A2EBBC2">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26FCF9B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6918656F">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760A7E0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02360F8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1"/>
          <w:szCs w:val="21"/>
          <w:highlight w:val="none"/>
        </w:rPr>
      </w:pPr>
    </w:p>
    <w:p w14:paraId="140F3A00">
      <w:pPr>
        <w:pStyle w:val="26"/>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E7BE0DA">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EA9708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50201E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71D021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5DD4F1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C94FC2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378D91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1D6B8D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87A13D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4381EA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564B63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1A6427D">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45EB1B1">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D3E347D">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A74400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A9D4BA5">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011BE75">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BF30644">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612A296">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0AB35DC8">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DD164F8">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1D41B043">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35FF53CB">
      <w:pPr>
        <w:pStyle w:val="44"/>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07EFD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EF94E15">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29DA564">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5BAB8A95">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r w14:paraId="6DD9CD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2273D06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F61DB6C">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58C545BB">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bl>
    <w:p w14:paraId="7EC1187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3AFD6986">
      <w:pPr>
        <w:pStyle w:val="4"/>
        <w:keepNext w:val="0"/>
        <w:keepLines w:val="0"/>
        <w:pageBreakBefore w:val="0"/>
        <w:kinsoku/>
        <w:wordWrap/>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采购人</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5B5831D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28F8BA6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F54C8E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03DDF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CFF153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126E5B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35E49E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9E90D2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37D23417">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F0EA165">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7F77D94">
      <w:pPr>
        <w:pStyle w:val="4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51A9639">
      <w:pPr>
        <w:rPr>
          <w:rFonts w:hint="eastAsia" w:ascii="宋体" w:hAnsi="宋体" w:eastAsia="宋体" w:cs="宋体"/>
          <w:color w:val="auto"/>
          <w:highlight w:val="none"/>
        </w:rPr>
      </w:pPr>
    </w:p>
    <w:p w14:paraId="4BFE63F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7FB472D2">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2A475D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39F4F599">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FF4DBE3">
      <w:pPr>
        <w:pStyle w:val="44"/>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5559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66DF473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0" w:type="dxa"/>
            <w:vAlign w:val="center"/>
          </w:tcPr>
          <w:p w14:paraId="6D5CB512">
            <w:pPr>
              <w:keepNext w:val="0"/>
              <w:keepLines w:val="0"/>
              <w:pageBreakBefore w:val="0"/>
              <w:tabs>
                <w:tab w:val="left" w:pos="8280"/>
              </w:tabs>
              <w:kinsoku/>
              <w:wordWrap/>
              <w:overflowPunct/>
              <w:topLinePunct w:val="0"/>
              <w:autoSpaceDE w:val="0"/>
              <w:autoSpaceDN w:val="0"/>
              <w:bidi w:val="0"/>
              <w:adjustRightInd w:val="0"/>
              <w:spacing w:line="360" w:lineRule="auto"/>
              <w:ind w:right="25"/>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559" w:type="dxa"/>
            <w:vAlign w:val="center"/>
          </w:tcPr>
          <w:p w14:paraId="77A86159">
            <w:pPr>
              <w:keepNext w:val="0"/>
              <w:keepLines w:val="0"/>
              <w:pageBreakBefore w:val="0"/>
              <w:tabs>
                <w:tab w:val="left" w:pos="8280"/>
              </w:tabs>
              <w:kinsoku/>
              <w:wordWrap/>
              <w:overflowPunct/>
              <w:topLinePunct w:val="0"/>
              <w:autoSpaceDE w:val="0"/>
              <w:autoSpaceDN w:val="0"/>
              <w:bidi w:val="0"/>
              <w:adjustRightInd w:val="0"/>
              <w:spacing w:line="360" w:lineRule="auto"/>
              <w:ind w:right="25"/>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14:paraId="64D2CB78">
            <w:pPr>
              <w:keepNext w:val="0"/>
              <w:keepLines w:val="0"/>
              <w:pageBreakBefore w:val="0"/>
              <w:kinsoku/>
              <w:wordWrap/>
              <w:overflowPunct/>
              <w:topLinePunct w:val="0"/>
              <w:bidi w:val="0"/>
              <w:spacing w:line="360" w:lineRule="auto"/>
              <w:ind w:left="5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14:paraId="297B740C">
            <w:pPr>
              <w:keepNext w:val="0"/>
              <w:keepLines w:val="0"/>
              <w:pageBreakBefore w:val="0"/>
              <w:kinsoku/>
              <w:wordWrap/>
              <w:overflowPunct/>
              <w:topLinePunct w:val="0"/>
              <w:bidi w:val="0"/>
              <w:spacing w:line="360" w:lineRule="auto"/>
              <w:ind w:left="15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0D09C2A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1A502524">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76EEFF0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894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5C6BC69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01F23D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7D1E03B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1D22ABC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39CD9C0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6CC068D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71DEF93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4300CF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2093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4395024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5CA2B5D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5AECF49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12DDAB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542C56E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50F85DC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1CE529B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7FE2908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5B34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B16AA7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1E3A2AA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4598C8D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168D49B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075CAAF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62F41CF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1D97B17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56F8A0B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4F9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2D268BB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7C469FB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3B7413D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557DDC1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02FDD95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794193F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40E1D64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036969B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40F1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4BC76FE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60" w:type="dxa"/>
            <w:vAlign w:val="center"/>
          </w:tcPr>
          <w:p w14:paraId="5B74934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4AFDEDF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426DC4B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4E9FC98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302A35D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07A7407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10CDEA0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6313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4E48F83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037F674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B362675">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0E4EFE32">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7CD661D3">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投标报价明细表所填内容按招标文件采购要求为准。如有漏报的，视同已包含在投标总价内或已作优惠处理。有重大缺项的将作无效标处理。</w:t>
      </w:r>
    </w:p>
    <w:p w14:paraId="301D6CD7">
      <w:pPr>
        <w:pStyle w:val="13"/>
        <w:keepNext w:val="0"/>
        <w:keepLines w:val="0"/>
        <w:pageBreakBefore w:val="0"/>
        <w:kinsoku/>
        <w:wordWrap/>
        <w:overflowPunct/>
        <w:topLinePunct w:val="0"/>
        <w:bidi w:val="0"/>
        <w:ind w:left="0" w:leftChars="0" w:firstLine="0" w:firstLineChars="0"/>
        <w:outlineLvl w:val="9"/>
        <w:rPr>
          <w:rFonts w:hint="eastAsia" w:ascii="宋体" w:hAnsi="宋体" w:eastAsia="宋体" w:cs="宋体"/>
          <w:color w:val="auto"/>
          <w:highlight w:val="none"/>
        </w:rPr>
      </w:pPr>
    </w:p>
    <w:p w14:paraId="44C618CF">
      <w:pPr>
        <w:pStyle w:val="7"/>
        <w:rPr>
          <w:rFonts w:hint="eastAsia" w:ascii="宋体" w:hAnsi="宋体" w:eastAsia="宋体" w:cs="宋体"/>
          <w:color w:val="auto"/>
          <w:highlight w:val="none"/>
        </w:rPr>
      </w:pPr>
    </w:p>
    <w:p w14:paraId="2F5F99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9EBAAEB">
      <w:pPr>
        <w:spacing w:line="360" w:lineRule="auto"/>
        <w:ind w:firstLine="435"/>
        <w:rPr>
          <w:rFonts w:hint="eastAsia" w:ascii="宋体" w:hAnsi="宋体" w:eastAsia="宋体" w:cs="宋体"/>
          <w:color w:val="auto"/>
          <w:sz w:val="21"/>
          <w:szCs w:val="21"/>
          <w:highlight w:val="none"/>
          <w:lang w:eastAsia="zh-CN"/>
        </w:rPr>
      </w:pPr>
    </w:p>
    <w:p w14:paraId="41669A7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1F87DBA">
      <w:pPr>
        <w:spacing w:line="360" w:lineRule="auto"/>
        <w:ind w:firstLine="435"/>
        <w:rPr>
          <w:rFonts w:hint="eastAsia" w:ascii="宋体" w:hAnsi="宋体" w:eastAsia="宋体" w:cs="宋体"/>
          <w:color w:val="auto"/>
          <w:sz w:val="21"/>
          <w:szCs w:val="21"/>
          <w:highlight w:val="none"/>
        </w:rPr>
      </w:pPr>
    </w:p>
    <w:p w14:paraId="7358F6F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461D8B8">
      <w:pPr>
        <w:pStyle w:val="7"/>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B24B">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44425">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644425">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8611">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788A9">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4788A9">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A29C">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E493FE">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3360;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52E493FE">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9DA38">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21C0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F21C0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41F2">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D27F">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E381">
    <w:pPr>
      <w:rPr>
        <w:rFonts w:hint="eastAsia"/>
        <w:b/>
        <w:i/>
        <w:color w:val="000000"/>
        <w:kern w:val="0"/>
        <w:sz w:val="18"/>
        <w:u w:val="single"/>
        <w:lang w:val="en-US" w:eastAsia="zh-CN"/>
      </w:rPr>
    </w:pPr>
    <w:r>
      <w:rPr>
        <w:rFonts w:hint="eastAsia"/>
        <w:b/>
        <w:i/>
        <w:color w:val="000000"/>
        <w:kern w:val="0"/>
        <w:sz w:val="18"/>
        <w:u w:val="single"/>
      </w:rPr>
      <w:t>招标文件</w:t>
    </w:r>
    <w:r>
      <w:rPr>
        <w:b/>
        <w:i/>
        <w:color w:val="000000"/>
        <w:kern w:val="0"/>
        <w:sz w:val="18"/>
        <w:u w:val="single"/>
      </w:rPr>
      <w:t>--</w:t>
    </w:r>
    <w:r>
      <w:rPr>
        <w:rFonts w:hint="eastAsia"/>
        <w:b/>
        <w:i/>
        <w:color w:val="000000"/>
        <w:kern w:val="0"/>
        <w:sz w:val="18"/>
        <w:u w:val="single"/>
        <w:lang w:val="en-US" w:eastAsia="zh-CN"/>
      </w:rPr>
      <w:t>云计算赛教资源包建设项目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1B8E">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7458">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A4B3">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0D340E"/>
    <w:rsid w:val="003C6577"/>
    <w:rsid w:val="00532108"/>
    <w:rsid w:val="007D1C17"/>
    <w:rsid w:val="009C6908"/>
    <w:rsid w:val="009E7B9B"/>
    <w:rsid w:val="00BE3149"/>
    <w:rsid w:val="00D27694"/>
    <w:rsid w:val="00E04ED8"/>
    <w:rsid w:val="00FF74E6"/>
    <w:rsid w:val="011912C7"/>
    <w:rsid w:val="01711CC9"/>
    <w:rsid w:val="018351BC"/>
    <w:rsid w:val="01CF6F44"/>
    <w:rsid w:val="02C726A7"/>
    <w:rsid w:val="03774435"/>
    <w:rsid w:val="03783DF9"/>
    <w:rsid w:val="04127F24"/>
    <w:rsid w:val="043F7FC4"/>
    <w:rsid w:val="052676B9"/>
    <w:rsid w:val="06B14ECE"/>
    <w:rsid w:val="07E46324"/>
    <w:rsid w:val="08390248"/>
    <w:rsid w:val="08CE00D2"/>
    <w:rsid w:val="090E293E"/>
    <w:rsid w:val="09E03F7D"/>
    <w:rsid w:val="0A2A7C4B"/>
    <w:rsid w:val="0AE56754"/>
    <w:rsid w:val="0AF13356"/>
    <w:rsid w:val="0AF64F0D"/>
    <w:rsid w:val="0B793A50"/>
    <w:rsid w:val="0D1F4CD0"/>
    <w:rsid w:val="0D507F3E"/>
    <w:rsid w:val="0E1B3A54"/>
    <w:rsid w:val="0F666824"/>
    <w:rsid w:val="0FDE3BD5"/>
    <w:rsid w:val="104B2971"/>
    <w:rsid w:val="121665CB"/>
    <w:rsid w:val="1271384F"/>
    <w:rsid w:val="12EC03CE"/>
    <w:rsid w:val="12FC2E26"/>
    <w:rsid w:val="1496602A"/>
    <w:rsid w:val="14F30402"/>
    <w:rsid w:val="15F606A7"/>
    <w:rsid w:val="163E01CD"/>
    <w:rsid w:val="17D9652F"/>
    <w:rsid w:val="19830729"/>
    <w:rsid w:val="19D05D2D"/>
    <w:rsid w:val="1A3430C1"/>
    <w:rsid w:val="1A5971E6"/>
    <w:rsid w:val="1A6C1BE4"/>
    <w:rsid w:val="1A9C0D69"/>
    <w:rsid w:val="1B0B45A2"/>
    <w:rsid w:val="1B570782"/>
    <w:rsid w:val="1B572F6A"/>
    <w:rsid w:val="1B657549"/>
    <w:rsid w:val="1C434DBE"/>
    <w:rsid w:val="1CCC0A3F"/>
    <w:rsid w:val="1DC34F54"/>
    <w:rsid w:val="1DCE60B7"/>
    <w:rsid w:val="1EAE6CCF"/>
    <w:rsid w:val="1F9336B9"/>
    <w:rsid w:val="20BB0882"/>
    <w:rsid w:val="20D443A7"/>
    <w:rsid w:val="20DE4395"/>
    <w:rsid w:val="24D66261"/>
    <w:rsid w:val="25286D45"/>
    <w:rsid w:val="255D0959"/>
    <w:rsid w:val="26177DBD"/>
    <w:rsid w:val="26DC1BC7"/>
    <w:rsid w:val="26F70EA2"/>
    <w:rsid w:val="27DD40F7"/>
    <w:rsid w:val="2C1467FC"/>
    <w:rsid w:val="2C1D2D6A"/>
    <w:rsid w:val="2D255269"/>
    <w:rsid w:val="2D97745C"/>
    <w:rsid w:val="2D9B57C6"/>
    <w:rsid w:val="2E8A782C"/>
    <w:rsid w:val="2EED2E72"/>
    <w:rsid w:val="2EF41664"/>
    <w:rsid w:val="2EF46E3D"/>
    <w:rsid w:val="2F877B1C"/>
    <w:rsid w:val="30346277"/>
    <w:rsid w:val="303B19C4"/>
    <w:rsid w:val="304C2EF9"/>
    <w:rsid w:val="31B84D11"/>
    <w:rsid w:val="31FB63E4"/>
    <w:rsid w:val="32295B32"/>
    <w:rsid w:val="324D01C5"/>
    <w:rsid w:val="328C0BF4"/>
    <w:rsid w:val="33872BCA"/>
    <w:rsid w:val="3389238A"/>
    <w:rsid w:val="344D7F0F"/>
    <w:rsid w:val="35050484"/>
    <w:rsid w:val="35747E49"/>
    <w:rsid w:val="389E58B5"/>
    <w:rsid w:val="3A7A6F1E"/>
    <w:rsid w:val="3AE10DD4"/>
    <w:rsid w:val="3B404B41"/>
    <w:rsid w:val="3B5B0562"/>
    <w:rsid w:val="3BFB34AA"/>
    <w:rsid w:val="3C9E13D2"/>
    <w:rsid w:val="3D3118D9"/>
    <w:rsid w:val="3D536218"/>
    <w:rsid w:val="3EC66767"/>
    <w:rsid w:val="3EEE5F16"/>
    <w:rsid w:val="3EFB2C7C"/>
    <w:rsid w:val="41216D50"/>
    <w:rsid w:val="42E31B7D"/>
    <w:rsid w:val="43563026"/>
    <w:rsid w:val="441E4F0B"/>
    <w:rsid w:val="44C4255C"/>
    <w:rsid w:val="45A621BD"/>
    <w:rsid w:val="45AD5676"/>
    <w:rsid w:val="46A13154"/>
    <w:rsid w:val="47C11F07"/>
    <w:rsid w:val="48771E5C"/>
    <w:rsid w:val="48DD5981"/>
    <w:rsid w:val="496F1741"/>
    <w:rsid w:val="4996204F"/>
    <w:rsid w:val="4A25750C"/>
    <w:rsid w:val="4B891934"/>
    <w:rsid w:val="4C303A07"/>
    <w:rsid w:val="4EF7463C"/>
    <w:rsid w:val="4F2D7EF4"/>
    <w:rsid w:val="50116A53"/>
    <w:rsid w:val="508E1972"/>
    <w:rsid w:val="50A26FD9"/>
    <w:rsid w:val="516731BD"/>
    <w:rsid w:val="52091939"/>
    <w:rsid w:val="52AD243F"/>
    <w:rsid w:val="54971006"/>
    <w:rsid w:val="54AA11BC"/>
    <w:rsid w:val="54C57758"/>
    <w:rsid w:val="552A7E3D"/>
    <w:rsid w:val="5557660E"/>
    <w:rsid w:val="556A04C9"/>
    <w:rsid w:val="57361328"/>
    <w:rsid w:val="58E7215A"/>
    <w:rsid w:val="590F3861"/>
    <w:rsid w:val="596C2241"/>
    <w:rsid w:val="59F52BAB"/>
    <w:rsid w:val="5A827487"/>
    <w:rsid w:val="5BB821CA"/>
    <w:rsid w:val="5BE40941"/>
    <w:rsid w:val="5BE95BFB"/>
    <w:rsid w:val="5C672A9D"/>
    <w:rsid w:val="5D1C4ACD"/>
    <w:rsid w:val="5D2268C3"/>
    <w:rsid w:val="5DCB09A7"/>
    <w:rsid w:val="5E1F1821"/>
    <w:rsid w:val="5F797C86"/>
    <w:rsid w:val="5FC86CCC"/>
    <w:rsid w:val="610856EB"/>
    <w:rsid w:val="61100F76"/>
    <w:rsid w:val="618D3618"/>
    <w:rsid w:val="61FB57CA"/>
    <w:rsid w:val="6277234F"/>
    <w:rsid w:val="62962BC8"/>
    <w:rsid w:val="62E75079"/>
    <w:rsid w:val="63377F9B"/>
    <w:rsid w:val="634F4D8F"/>
    <w:rsid w:val="63FC75A2"/>
    <w:rsid w:val="64026DE0"/>
    <w:rsid w:val="642F3009"/>
    <w:rsid w:val="658B79A7"/>
    <w:rsid w:val="65DD5EC1"/>
    <w:rsid w:val="65F662FF"/>
    <w:rsid w:val="66A44E08"/>
    <w:rsid w:val="66A50792"/>
    <w:rsid w:val="66C703F4"/>
    <w:rsid w:val="670C1258"/>
    <w:rsid w:val="68052909"/>
    <w:rsid w:val="68F0466E"/>
    <w:rsid w:val="6AB70450"/>
    <w:rsid w:val="6AC122CA"/>
    <w:rsid w:val="6AD50C05"/>
    <w:rsid w:val="6C8A6BF6"/>
    <w:rsid w:val="6CFF6C21"/>
    <w:rsid w:val="6D955625"/>
    <w:rsid w:val="6EC241C4"/>
    <w:rsid w:val="700370F8"/>
    <w:rsid w:val="70A22878"/>
    <w:rsid w:val="710A4BF0"/>
    <w:rsid w:val="71245BFC"/>
    <w:rsid w:val="713826BC"/>
    <w:rsid w:val="71E60CDD"/>
    <w:rsid w:val="729E1CEF"/>
    <w:rsid w:val="736A5E0C"/>
    <w:rsid w:val="740917FB"/>
    <w:rsid w:val="743979EA"/>
    <w:rsid w:val="74570DA8"/>
    <w:rsid w:val="749E610A"/>
    <w:rsid w:val="75850F9F"/>
    <w:rsid w:val="75A529A2"/>
    <w:rsid w:val="770A7D21"/>
    <w:rsid w:val="770B44C5"/>
    <w:rsid w:val="77DD1EE1"/>
    <w:rsid w:val="785C4F97"/>
    <w:rsid w:val="78F733EA"/>
    <w:rsid w:val="793332E3"/>
    <w:rsid w:val="797715F8"/>
    <w:rsid w:val="7AF42C11"/>
    <w:rsid w:val="7B167E15"/>
    <w:rsid w:val="7B376CA9"/>
    <w:rsid w:val="7B601B5B"/>
    <w:rsid w:val="7BEE3352"/>
    <w:rsid w:val="7C5E2286"/>
    <w:rsid w:val="7D482624"/>
    <w:rsid w:val="7E8F66FC"/>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toc 2"/>
    <w:basedOn w:val="1"/>
    <w:next w:val="1"/>
    <w:autoRedefine/>
    <w:qFormat/>
    <w:uiPriority w:val="0"/>
    <w:pPr>
      <w:spacing w:line="480" w:lineRule="auto"/>
      <w:ind w:left="200" w:leftChars="200"/>
    </w:pPr>
  </w:style>
  <w:style w:type="paragraph" w:styleId="6">
    <w:name w:val="annotation text"/>
    <w:basedOn w:val="1"/>
    <w:qFormat/>
    <w:uiPriority w:val="0"/>
    <w:pPr>
      <w:jc w:val="left"/>
    </w:pPr>
  </w:style>
  <w:style w:type="paragraph" w:styleId="7">
    <w:name w:val="Body Text"/>
    <w:basedOn w:val="1"/>
    <w:next w:val="8"/>
    <w:link w:val="29"/>
    <w:autoRedefine/>
    <w:semiHidden/>
    <w:unhideWhenUsed/>
    <w:qFormat/>
    <w:uiPriority w:val="99"/>
    <w:pPr>
      <w:spacing w:after="120"/>
    </w:pPr>
  </w:style>
  <w:style w:type="paragraph" w:styleId="8">
    <w:name w:val="Body Text First Indent"/>
    <w:basedOn w:val="7"/>
    <w:next w:val="9"/>
    <w:autoRedefine/>
    <w:qFormat/>
    <w:uiPriority w:val="0"/>
    <w:pPr>
      <w:ind w:firstLine="420" w:firstLineChars="100"/>
    </w:pPr>
  </w:style>
  <w:style w:type="paragraph" w:styleId="9">
    <w:name w:val="toc 6"/>
    <w:basedOn w:val="1"/>
    <w:next w:val="1"/>
    <w:unhideWhenUsed/>
    <w:qFormat/>
    <w:uiPriority w:val="39"/>
    <w:pPr>
      <w:ind w:left="2100" w:leftChars="1000"/>
    </w:pPr>
    <w:rPr>
      <w:rFonts w:ascii="Calibri" w:hAnsi="Calibri"/>
      <w:szCs w:val="22"/>
    </w:rPr>
  </w:style>
  <w:style w:type="paragraph" w:styleId="10">
    <w:name w:val="Body Text Indent"/>
    <w:basedOn w:val="1"/>
    <w:next w:val="1"/>
    <w:link w:val="30"/>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1"/>
    <w:autoRedefine/>
    <w:semiHidden/>
    <w:unhideWhenUsed/>
    <w:qFormat/>
    <w:uiPriority w:val="99"/>
    <w:rPr>
      <w:sz w:val="18"/>
      <w:szCs w:val="18"/>
    </w:rPr>
  </w:style>
  <w:style w:type="paragraph" w:styleId="15">
    <w:name w:val="footer"/>
    <w:basedOn w:val="1"/>
    <w:link w:val="2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2"/>
    <w:basedOn w:val="10"/>
    <w:next w:val="1"/>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autoRedefine/>
    <w:unhideWhenUsed/>
    <w:qFormat/>
    <w:uiPriority w:val="0"/>
    <w:rPr>
      <w:color w:val="0000FF"/>
      <w:u w:val="single"/>
    </w:rPr>
  </w:style>
  <w:style w:type="paragraph" w:customStyle="1" w:styleId="24">
    <w:name w:val="Body Text First Indent 21"/>
    <w:basedOn w:val="1"/>
    <w:unhideWhenUsed/>
    <w:qFormat/>
    <w:uiPriority w:val="0"/>
    <w:pPr>
      <w:autoSpaceDE w:val="0"/>
      <w:autoSpaceDN w:val="0"/>
      <w:adjustRightInd w:val="0"/>
      <w:spacing w:after="120"/>
      <w:ind w:left="200" w:leftChars="200" w:firstLine="420"/>
    </w:pPr>
    <w:rPr>
      <w:rFonts w:hint="eastAsia" w:ascii="宋体" w:cs="宋体"/>
      <w:color w:val="auto"/>
      <w:sz w:val="24"/>
      <w:szCs w:val="21"/>
    </w:rPr>
  </w:style>
  <w:style w:type="paragraph" w:customStyle="1" w:styleId="25">
    <w:name w:val="[Normal]"/>
    <w:autoRedefine/>
    <w:qFormat/>
    <w:uiPriority w:val="0"/>
    <w:rPr>
      <w:rFonts w:ascii="宋体" w:hAnsi="宋体" w:eastAsia="宋体" w:cs="Times New Roman"/>
      <w:sz w:val="24"/>
      <w:szCs w:val="22"/>
      <w:lang w:val="zh-CN" w:eastAsia="zh-CN" w:bidi="ar-SA"/>
    </w:rPr>
  </w:style>
  <w:style w:type="paragraph" w:customStyle="1" w:styleId="26">
    <w:name w:val="表格文字"/>
    <w:basedOn w:val="1"/>
    <w:next w:val="7"/>
    <w:autoRedefine/>
    <w:qFormat/>
    <w:uiPriority w:val="99"/>
    <w:pPr>
      <w:adjustRightInd w:val="0"/>
      <w:spacing w:line="420" w:lineRule="atLeast"/>
      <w:jc w:val="left"/>
      <w:textAlignment w:val="baseline"/>
    </w:pPr>
    <w:rPr>
      <w:kern w:val="0"/>
    </w:rPr>
  </w:style>
  <w:style w:type="character" w:customStyle="1" w:styleId="27">
    <w:name w:val="页眉 Char"/>
    <w:basedOn w:val="22"/>
    <w:link w:val="16"/>
    <w:autoRedefine/>
    <w:semiHidden/>
    <w:qFormat/>
    <w:uiPriority w:val="99"/>
    <w:rPr>
      <w:sz w:val="18"/>
      <w:szCs w:val="18"/>
    </w:rPr>
  </w:style>
  <w:style w:type="character" w:customStyle="1" w:styleId="28">
    <w:name w:val="页脚 Char"/>
    <w:basedOn w:val="22"/>
    <w:link w:val="15"/>
    <w:autoRedefine/>
    <w:semiHidden/>
    <w:qFormat/>
    <w:uiPriority w:val="99"/>
    <w:rPr>
      <w:sz w:val="18"/>
      <w:szCs w:val="18"/>
    </w:rPr>
  </w:style>
  <w:style w:type="character" w:customStyle="1" w:styleId="29">
    <w:name w:val="正文文本 Char"/>
    <w:basedOn w:val="22"/>
    <w:link w:val="7"/>
    <w:autoRedefine/>
    <w:semiHidden/>
    <w:qFormat/>
    <w:uiPriority w:val="99"/>
    <w:rPr>
      <w:rFonts w:ascii="Times New Roman" w:hAnsi="Times New Roman" w:eastAsia="宋体" w:cs="Times New Roman"/>
      <w:szCs w:val="24"/>
    </w:rPr>
  </w:style>
  <w:style w:type="character" w:customStyle="1" w:styleId="30">
    <w:name w:val="正文文本缩进 Char"/>
    <w:basedOn w:val="22"/>
    <w:link w:val="10"/>
    <w:autoRedefine/>
    <w:qFormat/>
    <w:uiPriority w:val="99"/>
    <w:rPr>
      <w:rFonts w:ascii="Times New Roman" w:hAnsi="Times New Roman" w:eastAsia="宋体" w:cs="Times New Roman"/>
      <w:szCs w:val="24"/>
    </w:rPr>
  </w:style>
  <w:style w:type="character" w:customStyle="1" w:styleId="31">
    <w:name w:val="批注框文本 Char"/>
    <w:basedOn w:val="22"/>
    <w:link w:val="14"/>
    <w:autoRedefine/>
    <w:semiHidden/>
    <w:qFormat/>
    <w:uiPriority w:val="99"/>
    <w:rPr>
      <w:rFonts w:ascii="Times New Roman" w:hAnsi="Times New Roman" w:eastAsia="宋体" w:cs="Times New Roman"/>
      <w:sz w:val="18"/>
      <w:szCs w:val="18"/>
    </w:rPr>
  </w:style>
  <w:style w:type="character" w:customStyle="1" w:styleId="32">
    <w:name w:val="无"/>
    <w:autoRedefine/>
    <w:qFormat/>
    <w:uiPriority w:val="99"/>
  </w:style>
  <w:style w:type="paragraph" w:customStyle="1" w:styleId="33">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6">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autoRedefine/>
    <w:qFormat/>
    <w:uiPriority w:val="99"/>
    <w:rPr>
      <w:rFonts w:ascii="Times New Roman" w:hAnsi="Times New Roman" w:eastAsia="宋体" w:cs="Times New Roman"/>
      <w:sz w:val="21"/>
      <w:szCs w:val="22"/>
      <w:lang w:val="en-US" w:eastAsia="zh-CN" w:bidi="ar-SA"/>
    </w:rPr>
  </w:style>
  <w:style w:type="paragraph" w:customStyle="1" w:styleId="38">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autoRedefine/>
    <w:qFormat/>
    <w:uiPriority w:val="99"/>
    <w:pPr>
      <w:widowControl/>
      <w:jc w:val="left"/>
    </w:pPr>
    <w:rPr>
      <w:rFonts w:ascii="宋体" w:hAnsi="Courier New"/>
      <w:szCs w:val="21"/>
    </w:rPr>
  </w:style>
  <w:style w:type="paragraph" w:customStyle="1" w:styleId="42">
    <w:name w:val="纯文本_0_1"/>
    <w:basedOn w:val="1"/>
    <w:autoRedefine/>
    <w:qFormat/>
    <w:uiPriority w:val="99"/>
    <w:pPr>
      <w:widowControl/>
      <w:jc w:val="left"/>
    </w:pPr>
    <w:rPr>
      <w:rFonts w:ascii="宋体" w:hAnsi="Courier New"/>
      <w:szCs w:val="21"/>
    </w:rPr>
  </w:style>
  <w:style w:type="paragraph" w:customStyle="1" w:styleId="43">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styleId="48">
    <w:name w:val="List Paragraph"/>
    <w:basedOn w:val="1"/>
    <w:autoRedefine/>
    <w:qFormat/>
    <w:uiPriority w:val="0"/>
    <w:pPr>
      <w:ind w:firstLine="420" w:firstLineChars="200"/>
    </w:pPr>
    <w:rPr>
      <w:rFonts w:ascii="Calibri" w:hAnsi="Calibri"/>
      <w:szCs w:val="22"/>
    </w:rPr>
  </w:style>
  <w:style w:type="character" w:customStyle="1" w:styleId="49">
    <w:name w:val="标题 2 Char1"/>
    <w:autoRedefine/>
    <w:qFormat/>
    <w:uiPriority w:val="0"/>
    <w:rPr>
      <w:rFonts w:ascii="Arial" w:hAnsi="Arial" w:eastAsia="黑体"/>
      <w:b/>
      <w:bCs/>
      <w:kern w:val="2"/>
      <w:sz w:val="30"/>
      <w:szCs w:val="32"/>
      <w:lang w:val="en-US" w:eastAsia="zh-CN" w:bidi="ar-SA"/>
    </w:rPr>
  </w:style>
  <w:style w:type="character" w:customStyle="1" w:styleId="50">
    <w:name w:val="标题 2 Char"/>
    <w:autoRedefine/>
    <w:qFormat/>
    <w:uiPriority w:val="0"/>
    <w:rPr>
      <w:rFonts w:ascii="Arial" w:hAnsi="Arial" w:eastAsia="黑体"/>
      <w:b/>
      <w:bCs/>
      <w:kern w:val="2"/>
      <w:sz w:val="30"/>
      <w:szCs w:val="32"/>
      <w:lang w:val="en-US" w:eastAsia="zh-CN" w:bidi="ar-SA"/>
    </w:rPr>
  </w:style>
  <w:style w:type="paragraph" w:customStyle="1" w:styleId="51">
    <w:name w:val="表格文本"/>
    <w:basedOn w:val="1"/>
    <w:autoRedefine/>
    <w:qFormat/>
    <w:uiPriority w:val="0"/>
    <w:pPr>
      <w:spacing w:before="120" w:after="120"/>
    </w:pPr>
    <w:rPr>
      <w:rFonts w:cs="黑体"/>
      <w:sz w:val="21"/>
      <w:szCs w:val="21"/>
    </w:rPr>
  </w:style>
  <w:style w:type="paragraph" w:customStyle="1" w:styleId="52">
    <w:name w:val="纯文本1"/>
    <w:basedOn w:val="47"/>
    <w:autoRedefine/>
    <w:qFormat/>
    <w:uiPriority w:val="0"/>
    <w:pPr>
      <w:widowControl/>
      <w:jc w:val="left"/>
    </w:pPr>
    <w:rPr>
      <w:rFonts w:ascii="宋体" w:hAnsi="Courier New"/>
      <w:szCs w:val="20"/>
    </w:rPr>
  </w:style>
  <w:style w:type="paragraph" w:customStyle="1" w:styleId="53">
    <w:name w:val="正文（首行缩进2字符）"/>
    <w:basedOn w:val="1"/>
    <w:autoRedefine/>
    <w:qFormat/>
    <w:uiPriority w:val="0"/>
    <w:pPr>
      <w:ind w:firstLine="480" w:firstLineChars="200"/>
    </w:pPr>
    <w:rPr>
      <w:sz w:val="24"/>
      <w:szCs w:val="20"/>
    </w:rPr>
  </w:style>
  <w:style w:type="paragraph" w:customStyle="1" w:styleId="54">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22325</Words>
  <Characters>22836</Characters>
  <Lines>1</Lines>
  <Paragraphs>1</Paragraphs>
  <TotalTime>0</TotalTime>
  <ScaleCrop>false</ScaleCrop>
  <LinksUpToDate>false</LinksUpToDate>
  <CharactersWithSpaces>23406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2025-07-07T07:59:52Z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77D2C37A1AF940BA801B40EDC50D3444</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