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49F8E1FD">
      <w:pPr>
        <w:rPr>
          <w:rFonts w:hint="eastAsia" w:ascii="宋体" w:hAnsi="宋体" w:eastAsia="宋体" w:cs="宋体"/>
          <w:color w:val="auto"/>
          <w:highlight w:val="none"/>
        </w:rPr>
      </w:pPr>
    </w:p>
    <w:p w14:paraId="4C79D138">
      <w:pPr>
        <w:pStyle w:val="6"/>
        <w:jc w:val="center"/>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114300" distR="114300">
            <wp:extent cx="5268595" cy="2705100"/>
            <wp:effectExtent l="0" t="0" r="8255" b="0"/>
            <wp:docPr id="5" name="图片 1" descr="D:\工作文件\中石化费用账单\九峰加油站\2020\永安H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工作文件\中石化费用账单\九峰加油站\2020\永安HY logo.png"/>
                    <pic:cNvPicPr>
                      <a:picLocks noChangeAspect="1"/>
                    </pic:cNvPicPr>
                  </pic:nvPicPr>
                  <pic:blipFill>
                    <a:blip r:embed="rId14"/>
                    <a:stretch>
                      <a:fillRect/>
                    </a:stretch>
                  </pic:blipFill>
                  <pic:spPr>
                    <a:xfrm>
                      <a:off x="0" y="0"/>
                      <a:ext cx="5268595" cy="2705100"/>
                    </a:xfrm>
                    <a:prstGeom prst="rect">
                      <a:avLst/>
                    </a:prstGeom>
                    <a:noFill/>
                    <a:ln>
                      <a:noFill/>
                    </a:ln>
                  </pic:spPr>
                </pic:pic>
              </a:graphicData>
            </a:graphic>
          </wp:inline>
        </w:drawing>
      </w:r>
    </w:p>
    <w:p w14:paraId="45D280F2">
      <w:pPr>
        <w:pStyle w:val="6"/>
        <w:jc w:val="center"/>
        <w:rPr>
          <w:rFonts w:hint="eastAsia" w:ascii="宋体" w:hAnsi="宋体" w:eastAsia="宋体" w:cs="宋体"/>
          <w:color w:val="auto"/>
          <w:highlight w:val="none"/>
        </w:rPr>
      </w:pPr>
    </w:p>
    <w:p w14:paraId="23F156E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招标文件</w:t>
      </w:r>
    </w:p>
    <w:p w14:paraId="728E6815">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zjhy2025-tz10</w:t>
      </w:r>
      <w:r>
        <w:rPr>
          <w:rFonts w:hint="eastAsia" w:ascii="宋体" w:hAnsi="宋体" w:eastAsia="宋体" w:cs="宋体"/>
          <w:color w:val="auto"/>
          <w:kern w:val="0"/>
          <w:sz w:val="28"/>
          <w:szCs w:val="28"/>
          <w:highlight w:val="none"/>
          <w:u w:val="single"/>
          <w:lang w:eastAsia="zh-CN"/>
        </w:rPr>
        <w:t xml:space="preserve"> </w:t>
      </w:r>
      <w:r>
        <w:rPr>
          <w:rFonts w:hint="eastAsia" w:ascii="宋体" w:hAnsi="宋体" w:eastAsia="宋体" w:cs="宋体"/>
          <w:color w:val="auto"/>
          <w:kern w:val="0"/>
          <w:sz w:val="28"/>
          <w:szCs w:val="28"/>
          <w:highlight w:val="none"/>
          <w:u w:val="single"/>
          <w:lang w:val="en-US" w:eastAsia="zh-CN"/>
        </w:rPr>
        <w:t xml:space="preserve"> </w:t>
      </w:r>
    </w:p>
    <w:p w14:paraId="6F0E0AAF">
      <w:pPr>
        <w:pStyle w:val="6"/>
        <w:jc w:val="center"/>
        <w:rPr>
          <w:rFonts w:hint="eastAsia" w:ascii="宋体" w:hAnsi="宋体" w:eastAsia="宋体" w:cs="宋体"/>
          <w:color w:val="auto"/>
          <w:highlight w:val="none"/>
        </w:rPr>
      </w:pPr>
    </w:p>
    <w:p w14:paraId="77A89FA6">
      <w:pPr>
        <w:pStyle w:val="6"/>
        <w:jc w:val="both"/>
        <w:rPr>
          <w:rFonts w:hint="eastAsia" w:ascii="宋体" w:hAnsi="宋体" w:eastAsia="宋体" w:cs="宋体"/>
          <w:color w:val="auto"/>
          <w:highlight w:val="none"/>
        </w:rPr>
      </w:pPr>
    </w:p>
    <w:p w14:paraId="3CB83312">
      <w:pPr>
        <w:pStyle w:val="6"/>
        <w:jc w:val="center"/>
        <w:rPr>
          <w:rFonts w:hint="eastAsia" w:ascii="宋体" w:hAnsi="宋体" w:eastAsia="宋体" w:cs="宋体"/>
          <w:color w:val="auto"/>
          <w:highlight w:val="none"/>
        </w:rPr>
      </w:pPr>
    </w:p>
    <w:p w14:paraId="4A7D03FC">
      <w:pPr>
        <w:spacing w:line="360" w:lineRule="auto"/>
        <w:jc w:val="center"/>
        <w:rPr>
          <w:rFonts w:hint="eastAsia" w:ascii="宋体" w:hAnsi="宋体" w:eastAsia="宋体" w:cs="宋体"/>
          <w:b/>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录播教室采购项目</w:t>
      </w:r>
    </w:p>
    <w:p w14:paraId="0A475840">
      <w:pPr>
        <w:pStyle w:val="6"/>
        <w:jc w:val="center"/>
        <w:rPr>
          <w:rFonts w:hint="eastAsia" w:ascii="宋体" w:hAnsi="宋体" w:eastAsia="宋体" w:cs="宋体"/>
          <w:color w:val="auto"/>
          <w:highlight w:val="none"/>
        </w:rPr>
      </w:pPr>
    </w:p>
    <w:p w14:paraId="45DB1AAF">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台州市金清中学</w:t>
      </w:r>
    </w:p>
    <w:p w14:paraId="7E53B7C4">
      <w:pPr>
        <w:pStyle w:val="6"/>
        <w:rPr>
          <w:rFonts w:hint="eastAsia" w:ascii="宋体" w:hAnsi="宋体" w:eastAsia="宋体" w:cs="宋体"/>
          <w:color w:val="auto"/>
          <w:highlight w:val="none"/>
        </w:rPr>
      </w:pPr>
    </w:p>
    <w:p w14:paraId="27D6C66B">
      <w:pPr>
        <w:pStyle w:val="6"/>
        <w:rPr>
          <w:rFonts w:hint="eastAsia" w:ascii="宋体" w:hAnsi="宋体" w:eastAsia="宋体" w:cs="宋体"/>
          <w:color w:val="auto"/>
          <w:highlight w:val="none"/>
        </w:rPr>
      </w:pPr>
    </w:p>
    <w:p w14:paraId="29B34FC4">
      <w:pPr>
        <w:pStyle w:val="6"/>
        <w:rPr>
          <w:rFonts w:hint="eastAsia" w:ascii="宋体" w:hAnsi="宋体" w:eastAsia="宋体" w:cs="宋体"/>
          <w:color w:val="auto"/>
          <w:highlight w:val="none"/>
        </w:rPr>
      </w:pPr>
    </w:p>
    <w:p w14:paraId="2A47147A">
      <w:pPr>
        <w:pStyle w:val="6"/>
        <w:rPr>
          <w:rFonts w:hint="eastAsia" w:ascii="宋体" w:hAnsi="宋体" w:eastAsia="宋体" w:cs="宋体"/>
          <w:color w:val="auto"/>
          <w:highlight w:val="none"/>
        </w:rPr>
      </w:pPr>
    </w:p>
    <w:p w14:paraId="4945B482">
      <w:pPr>
        <w:spacing w:line="360" w:lineRule="auto"/>
        <w:ind w:firstLine="1687" w:firstLineChars="600"/>
        <w:jc w:val="both"/>
        <w:rPr>
          <w:rFonts w:hint="eastAsia" w:ascii="宋体" w:hAnsi="宋体" w:eastAsia="宋体" w:cs="宋体"/>
          <w:color w:val="auto"/>
          <w:kern w:val="0"/>
          <w:sz w:val="28"/>
          <w:szCs w:val="28"/>
          <w:highlight w:val="none"/>
          <w:lang w:eastAsia="zh-CN"/>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lang w:eastAsia="zh-CN"/>
        </w:rPr>
        <w:t>浙江汇永工程咨询有限公司</w:t>
      </w:r>
    </w:p>
    <w:p w14:paraId="536DF447">
      <w:pPr>
        <w:pStyle w:val="6"/>
        <w:rPr>
          <w:rFonts w:hint="eastAsia" w:ascii="宋体" w:hAnsi="宋体" w:eastAsia="宋体" w:cs="宋体"/>
          <w:color w:val="auto"/>
          <w:highlight w:val="none"/>
        </w:rPr>
      </w:pPr>
    </w:p>
    <w:p w14:paraId="46935723">
      <w:pPr>
        <w:pStyle w:val="6"/>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二○二五年六月</w:t>
      </w:r>
    </w:p>
    <w:p w14:paraId="18210DDF">
      <w:pPr>
        <w:pStyle w:val="6"/>
        <w:jc w:val="both"/>
        <w:rPr>
          <w:rFonts w:hint="eastAsia" w:ascii="宋体" w:hAnsi="宋体" w:eastAsia="宋体" w:cs="宋体"/>
          <w:color w:val="auto"/>
          <w:highlight w:val="none"/>
        </w:rPr>
        <w:sectPr>
          <w:headerReference r:id="rId3" w:type="default"/>
          <w:footerReference r:id="rId4" w:type="default"/>
          <w:pgSz w:w="11906" w:h="16838"/>
          <w:pgMar w:top="1440" w:right="1440" w:bottom="1440" w:left="1803" w:header="851" w:footer="992" w:gutter="0"/>
          <w:pgNumType w:fmt="numberInDash"/>
          <w:cols w:space="0" w:num="1"/>
          <w:docGrid w:type="lines" w:linePitch="325" w:charSpace="0"/>
        </w:sectPr>
      </w:pPr>
    </w:p>
    <w:p w14:paraId="43D96A48">
      <w:pPr>
        <w:pStyle w:val="6"/>
        <w:jc w:val="both"/>
        <w:rPr>
          <w:rFonts w:hint="eastAsia" w:ascii="宋体" w:hAnsi="宋体" w:eastAsia="宋体" w:cs="宋体"/>
          <w:color w:val="auto"/>
          <w:highlight w:val="none"/>
        </w:rPr>
      </w:pPr>
    </w:p>
    <w:p w14:paraId="1ECE67D1">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7B4BBB03">
      <w:pPr>
        <w:spacing w:line="360" w:lineRule="auto"/>
        <w:rPr>
          <w:rFonts w:hint="eastAsia" w:ascii="宋体" w:hAnsi="宋体" w:eastAsia="宋体" w:cs="宋体"/>
          <w:color w:val="auto"/>
          <w:sz w:val="28"/>
          <w:szCs w:val="28"/>
          <w:highlight w:val="none"/>
        </w:rPr>
      </w:pPr>
    </w:p>
    <w:p w14:paraId="42B3038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公开招标采购公告</w:t>
      </w:r>
    </w:p>
    <w:p w14:paraId="4D8AA27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投标人须知</w:t>
      </w:r>
    </w:p>
    <w:p w14:paraId="0C83B93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评标办法及评分标准</w:t>
      </w:r>
    </w:p>
    <w:p w14:paraId="06AC45E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公开招标需求</w:t>
      </w:r>
    </w:p>
    <w:p w14:paraId="28DB28B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合同主要条款</w:t>
      </w:r>
    </w:p>
    <w:p w14:paraId="2638342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投标文件格式附件</w:t>
      </w:r>
    </w:p>
    <w:p w14:paraId="1F81D51E">
      <w:pPr>
        <w:pStyle w:val="6"/>
        <w:jc w:val="center"/>
        <w:rPr>
          <w:rFonts w:hint="eastAsia" w:ascii="宋体" w:hAnsi="宋体" w:eastAsia="宋体" w:cs="宋体"/>
          <w:color w:val="auto"/>
          <w:highlight w:val="none"/>
        </w:rPr>
      </w:pPr>
    </w:p>
    <w:p w14:paraId="0970017B">
      <w:pPr>
        <w:pStyle w:val="6"/>
        <w:jc w:val="center"/>
        <w:rPr>
          <w:rFonts w:hint="eastAsia" w:ascii="宋体" w:hAnsi="宋体" w:eastAsia="宋体" w:cs="宋体"/>
          <w:color w:val="auto"/>
          <w:highlight w:val="none"/>
        </w:rPr>
      </w:pPr>
    </w:p>
    <w:p w14:paraId="49F2C764">
      <w:pPr>
        <w:pStyle w:val="6"/>
        <w:jc w:val="center"/>
        <w:rPr>
          <w:rFonts w:hint="eastAsia" w:ascii="宋体" w:hAnsi="宋体" w:eastAsia="宋体" w:cs="宋体"/>
          <w:color w:val="auto"/>
          <w:highlight w:val="none"/>
        </w:rPr>
      </w:pPr>
    </w:p>
    <w:p w14:paraId="5E7CC517">
      <w:pPr>
        <w:pStyle w:val="6"/>
        <w:jc w:val="center"/>
        <w:rPr>
          <w:rFonts w:hint="eastAsia" w:ascii="宋体" w:hAnsi="宋体" w:eastAsia="宋体" w:cs="宋体"/>
          <w:color w:val="auto"/>
          <w:highlight w:val="none"/>
        </w:rPr>
      </w:pPr>
    </w:p>
    <w:p w14:paraId="4A797E8F">
      <w:pPr>
        <w:pStyle w:val="6"/>
        <w:jc w:val="center"/>
        <w:rPr>
          <w:rFonts w:hint="eastAsia" w:ascii="宋体" w:hAnsi="宋体" w:eastAsia="宋体" w:cs="宋体"/>
          <w:color w:val="auto"/>
          <w:highlight w:val="none"/>
        </w:rPr>
      </w:pPr>
    </w:p>
    <w:p w14:paraId="04093DF8">
      <w:pPr>
        <w:pStyle w:val="6"/>
        <w:jc w:val="center"/>
        <w:rPr>
          <w:rFonts w:hint="eastAsia" w:ascii="宋体" w:hAnsi="宋体" w:eastAsia="宋体" w:cs="宋体"/>
          <w:color w:val="auto"/>
          <w:highlight w:val="none"/>
        </w:rPr>
      </w:pPr>
    </w:p>
    <w:p w14:paraId="57B7FA2A">
      <w:pPr>
        <w:pStyle w:val="6"/>
        <w:jc w:val="center"/>
        <w:rPr>
          <w:rFonts w:hint="eastAsia" w:ascii="宋体" w:hAnsi="宋体" w:eastAsia="宋体" w:cs="宋体"/>
          <w:color w:val="auto"/>
          <w:highlight w:val="none"/>
        </w:rPr>
      </w:pPr>
    </w:p>
    <w:p w14:paraId="1E8B160C">
      <w:pPr>
        <w:pStyle w:val="6"/>
        <w:jc w:val="center"/>
        <w:rPr>
          <w:rFonts w:hint="eastAsia" w:ascii="宋体" w:hAnsi="宋体" w:eastAsia="宋体" w:cs="宋体"/>
          <w:color w:val="auto"/>
          <w:highlight w:val="none"/>
        </w:rPr>
      </w:pPr>
    </w:p>
    <w:p w14:paraId="5CB1EFC7">
      <w:pPr>
        <w:pStyle w:val="6"/>
        <w:jc w:val="center"/>
        <w:rPr>
          <w:rFonts w:hint="eastAsia" w:ascii="宋体" w:hAnsi="宋体" w:eastAsia="宋体" w:cs="宋体"/>
          <w:color w:val="auto"/>
          <w:highlight w:val="none"/>
        </w:rPr>
      </w:pPr>
    </w:p>
    <w:p w14:paraId="1DAF13F5">
      <w:pPr>
        <w:pStyle w:val="6"/>
        <w:jc w:val="center"/>
        <w:rPr>
          <w:rFonts w:hint="eastAsia" w:ascii="宋体" w:hAnsi="宋体" w:eastAsia="宋体" w:cs="宋体"/>
          <w:color w:val="auto"/>
          <w:highlight w:val="none"/>
        </w:rPr>
      </w:pPr>
    </w:p>
    <w:p w14:paraId="7F25BAD6">
      <w:pPr>
        <w:pStyle w:val="6"/>
        <w:jc w:val="center"/>
        <w:rPr>
          <w:rFonts w:hint="eastAsia" w:ascii="宋体" w:hAnsi="宋体" w:eastAsia="宋体" w:cs="宋体"/>
          <w:color w:val="auto"/>
          <w:highlight w:val="none"/>
        </w:rPr>
      </w:pPr>
    </w:p>
    <w:p w14:paraId="5D555613">
      <w:pPr>
        <w:pStyle w:val="6"/>
        <w:jc w:val="center"/>
        <w:rPr>
          <w:rFonts w:hint="eastAsia" w:ascii="宋体" w:hAnsi="宋体" w:eastAsia="宋体" w:cs="宋体"/>
          <w:color w:val="auto"/>
          <w:highlight w:val="none"/>
        </w:rPr>
      </w:pPr>
    </w:p>
    <w:p w14:paraId="49362B61">
      <w:pPr>
        <w:pStyle w:val="6"/>
        <w:jc w:val="center"/>
        <w:rPr>
          <w:rFonts w:hint="eastAsia" w:ascii="宋体" w:hAnsi="宋体" w:eastAsia="宋体" w:cs="宋体"/>
          <w:color w:val="auto"/>
          <w:highlight w:val="none"/>
        </w:rPr>
      </w:pPr>
    </w:p>
    <w:p w14:paraId="5589A69C">
      <w:pPr>
        <w:pStyle w:val="6"/>
        <w:jc w:val="center"/>
        <w:rPr>
          <w:rFonts w:hint="eastAsia" w:ascii="宋体" w:hAnsi="宋体" w:eastAsia="宋体" w:cs="宋体"/>
          <w:color w:val="auto"/>
          <w:highlight w:val="none"/>
        </w:rPr>
      </w:pPr>
    </w:p>
    <w:p w14:paraId="035FBAA5">
      <w:pPr>
        <w:pStyle w:val="6"/>
        <w:jc w:val="center"/>
        <w:rPr>
          <w:rFonts w:hint="eastAsia" w:ascii="宋体" w:hAnsi="宋体" w:eastAsia="宋体" w:cs="宋体"/>
          <w:color w:val="auto"/>
          <w:highlight w:val="none"/>
        </w:rPr>
      </w:pPr>
    </w:p>
    <w:p w14:paraId="2DE5A191">
      <w:pPr>
        <w:pStyle w:val="6"/>
        <w:jc w:val="center"/>
        <w:rPr>
          <w:rFonts w:hint="eastAsia" w:ascii="宋体" w:hAnsi="宋体" w:eastAsia="宋体" w:cs="宋体"/>
          <w:color w:val="auto"/>
          <w:highlight w:val="none"/>
        </w:rPr>
      </w:pPr>
    </w:p>
    <w:p w14:paraId="516C865E">
      <w:pPr>
        <w:pStyle w:val="6"/>
        <w:jc w:val="center"/>
        <w:rPr>
          <w:rFonts w:hint="eastAsia" w:ascii="宋体" w:hAnsi="宋体" w:eastAsia="宋体" w:cs="宋体"/>
          <w:color w:val="auto"/>
          <w:highlight w:val="none"/>
        </w:rPr>
      </w:pPr>
    </w:p>
    <w:p w14:paraId="15DBDFBD">
      <w:pPr>
        <w:pStyle w:val="6"/>
        <w:jc w:val="center"/>
        <w:rPr>
          <w:rFonts w:hint="eastAsia" w:ascii="宋体" w:hAnsi="宋体" w:eastAsia="宋体" w:cs="宋体"/>
          <w:color w:val="auto"/>
          <w:highlight w:val="none"/>
        </w:rPr>
      </w:pPr>
    </w:p>
    <w:p w14:paraId="61104EDC">
      <w:pPr>
        <w:pStyle w:val="6"/>
        <w:jc w:val="both"/>
        <w:rPr>
          <w:rFonts w:hint="eastAsia" w:ascii="宋体" w:hAnsi="宋体" w:eastAsia="宋体" w:cs="宋体"/>
          <w:color w:val="auto"/>
          <w:highlight w:val="none"/>
        </w:rPr>
      </w:pPr>
    </w:p>
    <w:p w14:paraId="3BFE89F3">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auto"/>
          <w:kern w:val="0"/>
          <w:sz w:val="36"/>
          <w:szCs w:val="36"/>
          <w:highlight w:val="none"/>
        </w:rPr>
        <w:sectPr>
          <w:footerReference r:id="rId5" w:type="default"/>
          <w:pgSz w:w="11906" w:h="16838"/>
          <w:pgMar w:top="1440" w:right="1440" w:bottom="1440" w:left="1803" w:header="851" w:footer="992" w:gutter="0"/>
          <w:pgNumType w:fmt="numberInDash"/>
          <w:cols w:space="0" w:num="1"/>
          <w:docGrid w:type="lines" w:linePitch="325" w:charSpace="0"/>
        </w:sectPr>
      </w:pPr>
    </w:p>
    <w:p w14:paraId="4DD00496">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公开</w:t>
      </w:r>
      <w:r>
        <w:rPr>
          <w:rFonts w:hint="eastAsia" w:ascii="宋体" w:hAnsi="宋体" w:eastAsia="宋体" w:cs="宋体"/>
          <w:b/>
          <w:color w:val="auto"/>
          <w:sz w:val="36"/>
          <w:szCs w:val="36"/>
          <w:highlight w:val="none"/>
        </w:rPr>
        <w:t>招标采购公告</w:t>
      </w:r>
    </w:p>
    <w:p w14:paraId="46CCD680">
      <w:pPr>
        <w:keepNext w:val="0"/>
        <w:keepLines w:val="0"/>
        <w:pageBreakBefore w:val="0"/>
        <w:kinsoku/>
        <w:wordWrap/>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参照</w:t>
      </w:r>
      <w:r>
        <w:rPr>
          <w:rFonts w:hint="eastAsia" w:ascii="宋体" w:hAnsi="宋体" w:eastAsia="宋体" w:cs="宋体"/>
          <w:color w:val="auto"/>
          <w:sz w:val="21"/>
          <w:szCs w:val="21"/>
          <w:highlight w:val="none"/>
        </w:rPr>
        <w:t>《中华人民共和国政府采购法》、《中华人民共和国政府采购法实施条例》和财政部令第87号《政府采购货物和服务招标投标管理办法》等有关规定, 受</w:t>
      </w:r>
      <w:r>
        <w:rPr>
          <w:rFonts w:hint="eastAsia" w:ascii="宋体" w:hAnsi="宋体" w:cs="宋体"/>
          <w:b/>
          <w:bCs/>
          <w:color w:val="auto"/>
          <w:sz w:val="21"/>
          <w:szCs w:val="21"/>
          <w:highlight w:val="none"/>
          <w:lang w:eastAsia="zh-CN"/>
        </w:rPr>
        <w:t>台州市金清中学</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录播教室采购项目</w:t>
      </w:r>
      <w:r>
        <w:rPr>
          <w:rFonts w:hint="eastAsia" w:ascii="宋体" w:hAnsi="宋体" w:eastAsia="宋体" w:cs="宋体"/>
          <w:color w:val="auto"/>
          <w:sz w:val="21"/>
          <w:szCs w:val="21"/>
          <w:highlight w:val="none"/>
        </w:rPr>
        <w:t>进行公开招标采购，欢迎合格供应商前来投标。</w:t>
      </w:r>
    </w:p>
    <w:p w14:paraId="3CFDBF2C">
      <w:pPr>
        <w:keepNext w:val="0"/>
        <w:keepLines w:val="0"/>
        <w:pageBreakBefore w:val="0"/>
        <w:kinsoku/>
        <w:wordWrap/>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zjhy2025-tz10</w:t>
      </w:r>
      <w:r>
        <w:rPr>
          <w:rFonts w:hint="eastAsia" w:ascii="宋体" w:hAnsi="宋体" w:eastAsia="宋体" w:cs="宋体"/>
          <w:b/>
          <w:bCs/>
          <w:color w:val="auto"/>
          <w:sz w:val="21"/>
          <w:szCs w:val="21"/>
          <w:highlight w:val="none"/>
          <w:lang w:val="en-US" w:eastAsia="zh-CN"/>
        </w:rPr>
        <w:t xml:space="preserve"> </w:t>
      </w:r>
    </w:p>
    <w:p w14:paraId="4D312CE9">
      <w:pPr>
        <w:keepNext w:val="0"/>
        <w:keepLines w:val="0"/>
        <w:pageBreakBefore w:val="0"/>
        <w:kinsoku/>
        <w:wordWrap/>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二、招标项目概况：</w:t>
      </w:r>
    </w:p>
    <w:tbl>
      <w:tblPr>
        <w:tblStyle w:val="20"/>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447"/>
        <w:gridCol w:w="1600"/>
        <w:gridCol w:w="866"/>
        <w:gridCol w:w="867"/>
        <w:gridCol w:w="1250"/>
        <w:gridCol w:w="1188"/>
        <w:gridCol w:w="1188"/>
      </w:tblGrid>
      <w:tr w14:paraId="4D69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17" w:type="dxa"/>
            <w:vAlign w:val="center"/>
          </w:tcPr>
          <w:p w14:paraId="176CA952">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default" w:ascii="宋体" w:hAnsi="宋体" w:eastAsia="宋体" w:cs="宋体"/>
                <w:b/>
                <w:color w:val="auto"/>
                <w:sz w:val="21"/>
                <w:szCs w:val="21"/>
                <w:highlight w:val="none"/>
                <w:lang w:val="en-US"/>
              </w:rPr>
            </w:pPr>
            <w:r>
              <w:rPr>
                <w:rFonts w:hint="eastAsia" w:ascii="宋体" w:hAnsi="宋体" w:cs="宋体"/>
                <w:b/>
                <w:color w:val="auto"/>
                <w:sz w:val="21"/>
                <w:szCs w:val="21"/>
                <w:highlight w:val="none"/>
                <w:lang w:val="en-US" w:eastAsia="zh-CN"/>
              </w:rPr>
              <w:t>序号</w:t>
            </w:r>
          </w:p>
        </w:tc>
        <w:tc>
          <w:tcPr>
            <w:tcW w:w="2447" w:type="dxa"/>
            <w:vAlign w:val="center"/>
          </w:tcPr>
          <w:p w14:paraId="0D348B57">
            <w:pPr>
              <w:keepNext w:val="0"/>
              <w:keepLines w:val="0"/>
              <w:pageBreakBefore w:val="0"/>
              <w:tabs>
                <w:tab w:val="left" w:pos="8280"/>
              </w:tabs>
              <w:kinsoku/>
              <w:wordWrap/>
              <w:topLinePunct w:val="0"/>
              <w:autoSpaceDE w:val="0"/>
              <w:autoSpaceDN w:val="0"/>
              <w:bidi w:val="0"/>
              <w:adjustRightInd w:val="0"/>
              <w:spacing w:line="240" w:lineRule="auto"/>
              <w:ind w:right="25" w:firstLine="105" w:firstLineChars="5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600" w:type="dxa"/>
            <w:vAlign w:val="center"/>
          </w:tcPr>
          <w:p w14:paraId="1460F045">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866" w:type="dxa"/>
            <w:vAlign w:val="center"/>
          </w:tcPr>
          <w:p w14:paraId="42065066">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867" w:type="dxa"/>
            <w:vAlign w:val="center"/>
          </w:tcPr>
          <w:p w14:paraId="1E3E15E6">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250" w:type="dxa"/>
            <w:vAlign w:val="center"/>
          </w:tcPr>
          <w:p w14:paraId="013E3B7D">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62AAED30">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188" w:type="dxa"/>
            <w:vAlign w:val="center"/>
          </w:tcPr>
          <w:p w14:paraId="1BC48E02">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最高限价</w:t>
            </w:r>
            <w:r>
              <w:rPr>
                <w:rFonts w:hint="eastAsia" w:ascii="宋体" w:hAnsi="宋体" w:eastAsia="宋体" w:cs="宋体"/>
                <w:b/>
                <w:color w:val="auto"/>
                <w:sz w:val="21"/>
                <w:szCs w:val="21"/>
                <w:highlight w:val="none"/>
              </w:rPr>
              <w:t>（万元）</w:t>
            </w:r>
          </w:p>
        </w:tc>
        <w:tc>
          <w:tcPr>
            <w:tcW w:w="1188" w:type="dxa"/>
            <w:vAlign w:val="center"/>
          </w:tcPr>
          <w:p w14:paraId="027A4B46">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14:paraId="5B80E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917" w:type="dxa"/>
            <w:vAlign w:val="center"/>
          </w:tcPr>
          <w:p w14:paraId="0E08F4C8">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447" w:type="dxa"/>
            <w:vAlign w:val="center"/>
          </w:tcPr>
          <w:p w14:paraId="3ECE5212">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default" w:ascii="宋体" w:hAnsi="宋体" w:eastAsia="宋体" w:cs="宋体"/>
                <w:color w:val="auto"/>
                <w:sz w:val="21"/>
                <w:szCs w:val="21"/>
                <w:highlight w:val="none"/>
                <w:lang w:val="en-US"/>
              </w:rPr>
            </w:pPr>
            <w:r>
              <w:rPr>
                <w:rFonts w:hint="eastAsia" w:ascii="宋体" w:hAnsi="宋体" w:cs="宋体"/>
                <w:b w:val="0"/>
                <w:bCs w:val="0"/>
                <w:color w:val="auto"/>
                <w:sz w:val="21"/>
                <w:szCs w:val="21"/>
                <w:highlight w:val="none"/>
                <w:lang w:val="en-US" w:eastAsia="zh-CN"/>
              </w:rPr>
              <w:t>录播教室采购项目</w:t>
            </w:r>
          </w:p>
        </w:tc>
        <w:tc>
          <w:tcPr>
            <w:tcW w:w="1600" w:type="dxa"/>
            <w:vAlign w:val="center"/>
          </w:tcPr>
          <w:p w14:paraId="48B4EDED">
            <w:pPr>
              <w:keepNext w:val="0"/>
              <w:keepLines w:val="0"/>
              <w:pageBreakBefore w:val="0"/>
              <w:widowControl/>
              <w:kinsoku/>
              <w:wordWrap/>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详见项目需求</w:t>
            </w:r>
          </w:p>
        </w:tc>
        <w:tc>
          <w:tcPr>
            <w:tcW w:w="866" w:type="dxa"/>
            <w:vAlign w:val="center"/>
          </w:tcPr>
          <w:p w14:paraId="205097EE">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67" w:type="dxa"/>
            <w:vAlign w:val="center"/>
          </w:tcPr>
          <w:p w14:paraId="24377F8B">
            <w:pPr>
              <w:keepNext w:val="0"/>
              <w:keepLines w:val="0"/>
              <w:pageBreakBefore w:val="0"/>
              <w:widowControl/>
              <w:kinsoku/>
              <w:wordWrap/>
              <w:topLinePunct w:val="0"/>
              <w:bidi w:val="0"/>
              <w:spacing w:line="36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批</w:t>
            </w:r>
          </w:p>
        </w:tc>
        <w:tc>
          <w:tcPr>
            <w:tcW w:w="1250" w:type="dxa"/>
            <w:vAlign w:val="center"/>
          </w:tcPr>
          <w:p w14:paraId="3AEEF1EC">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35</w:t>
            </w:r>
          </w:p>
        </w:tc>
        <w:tc>
          <w:tcPr>
            <w:tcW w:w="1188" w:type="dxa"/>
            <w:vAlign w:val="center"/>
          </w:tcPr>
          <w:p w14:paraId="3494642C">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29.5</w:t>
            </w:r>
          </w:p>
        </w:tc>
        <w:tc>
          <w:tcPr>
            <w:tcW w:w="1188" w:type="dxa"/>
            <w:vAlign w:val="center"/>
          </w:tcPr>
          <w:p w14:paraId="0AC9B8C7">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宋体" w:hAnsi="宋体" w:eastAsia="宋体" w:cs="宋体"/>
                <w:color w:val="auto"/>
                <w:sz w:val="21"/>
                <w:szCs w:val="21"/>
                <w:highlight w:val="none"/>
                <w:lang w:val="en-US" w:eastAsia="zh-CN"/>
              </w:rPr>
            </w:pPr>
          </w:p>
        </w:tc>
      </w:tr>
    </w:tbl>
    <w:p w14:paraId="3242C57C">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三、合格投标人的资格条件：</w:t>
      </w:r>
    </w:p>
    <w:p w14:paraId="03D6A7C0">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p>
    <w:p w14:paraId="21B64164">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6E7B946A">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rPr>
        <w:t>本项目不接受联合体投标。</w:t>
      </w:r>
    </w:p>
    <w:p w14:paraId="36FECE6D">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四、招标文件的发售：</w:t>
      </w:r>
    </w:p>
    <w:p w14:paraId="212000ED">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color w:val="auto"/>
          <w:sz w:val="21"/>
          <w:szCs w:val="21"/>
          <w:highlight w:val="none"/>
        </w:rPr>
        <w:t>发售时间：</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eastAsia="zh-CN"/>
        </w:rPr>
        <w:t>至</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rPr>
        <w:t>(双休日及法定节假日除外，每日上午9：30—11：30，13：30—16：30，北京时间)</w:t>
      </w:r>
    </w:p>
    <w:p w14:paraId="0317BBB0">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Cs w:val="21"/>
          <w:highlight w:val="none"/>
          <w:lang w:val="en-US" w:eastAsia="zh-CN"/>
        </w:rPr>
        <w:t>2、</w:t>
      </w:r>
      <w:r>
        <w:rPr>
          <w:rFonts w:hint="eastAsia" w:ascii="宋体" w:hAnsi="宋体" w:eastAsia="宋体" w:cs="宋体"/>
          <w:b/>
          <w:bCs/>
          <w:color w:val="auto"/>
          <w:sz w:val="21"/>
          <w:szCs w:val="21"/>
          <w:highlight w:val="none"/>
        </w:rPr>
        <w:t>发售地点：</w:t>
      </w:r>
      <w:r>
        <w:rPr>
          <w:rFonts w:hint="eastAsia" w:ascii="宋体" w:hAnsi="宋体" w:eastAsia="宋体" w:cs="宋体"/>
          <w:color w:val="auto"/>
          <w:sz w:val="21"/>
          <w:szCs w:val="21"/>
          <w:highlight w:val="none"/>
          <w:lang w:eastAsia="zh-CN"/>
        </w:rPr>
        <w:t>台州市椒江区中环世纪中心6幢8楼</w:t>
      </w:r>
      <w:r>
        <w:rPr>
          <w:rFonts w:hint="eastAsia" w:ascii="宋体" w:hAnsi="宋体" w:eastAsia="宋体" w:cs="宋体"/>
          <w:color w:val="auto"/>
          <w:sz w:val="21"/>
          <w:szCs w:val="21"/>
          <w:highlight w:val="none"/>
        </w:rPr>
        <w:t>。</w:t>
      </w:r>
    </w:p>
    <w:p w14:paraId="322E6DA5">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3、</w:t>
      </w:r>
      <w:r>
        <w:rPr>
          <w:rFonts w:hint="eastAsia" w:ascii="宋体" w:hAnsi="宋体" w:eastAsia="宋体" w:cs="宋体"/>
          <w:b/>
          <w:bCs/>
          <w:color w:val="auto"/>
          <w:sz w:val="21"/>
          <w:szCs w:val="21"/>
          <w:highlight w:val="none"/>
        </w:rPr>
        <w:t>标书售价：</w:t>
      </w:r>
      <w:r>
        <w:rPr>
          <w:rFonts w:hint="eastAsia" w:ascii="宋体" w:hAnsi="宋体" w:cs="宋体"/>
          <w:color w:val="auto"/>
          <w:sz w:val="21"/>
          <w:szCs w:val="21"/>
          <w:highlight w:val="none"/>
          <w:lang w:val="en-US" w:eastAsia="zh-CN"/>
        </w:rPr>
        <w:t>0元。</w:t>
      </w:r>
    </w:p>
    <w:p w14:paraId="77EA746A">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购买标书时必须提交的资料：</w:t>
      </w:r>
    </w:p>
    <w:p w14:paraId="1FB11EC1">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企业法人营业执照副本（复印件加盖公章）；</w:t>
      </w:r>
    </w:p>
    <w:p w14:paraId="3417F373">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法定代表人授权书原件（加盖公章）；</w:t>
      </w:r>
    </w:p>
    <w:p w14:paraId="78371683">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报名人有效身份证件(复印件加盖公章)；</w:t>
      </w:r>
    </w:p>
    <w:p w14:paraId="313A73E5">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投标供应商报名表。</w:t>
      </w:r>
    </w:p>
    <w:p w14:paraId="30FD12A4">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14856FA5">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1B44C814">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六、投标截止及开标时间、地点：</w:t>
      </w:r>
    </w:p>
    <w:p w14:paraId="1D99D636">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本次招标将于</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eastAsia="zh-CN"/>
        </w:rPr>
        <w:t>14:30整</w:t>
      </w:r>
      <w:r>
        <w:rPr>
          <w:rFonts w:hint="eastAsia" w:ascii="宋体" w:hAnsi="宋体" w:eastAsia="宋体" w:cs="宋体"/>
          <w:color w:val="auto"/>
          <w:sz w:val="21"/>
          <w:szCs w:val="21"/>
          <w:highlight w:val="none"/>
        </w:rPr>
        <w:t>在</w:t>
      </w:r>
      <w:r>
        <w:rPr>
          <w:rFonts w:hint="eastAsia" w:ascii="宋体" w:hAnsi="宋体" w:cs="宋体"/>
          <w:color w:val="auto"/>
          <w:kern w:val="2"/>
          <w:sz w:val="21"/>
          <w:szCs w:val="21"/>
          <w:highlight w:val="none"/>
          <w:lang w:val="en-US" w:eastAsia="zh-CN" w:bidi="ar-SA"/>
        </w:rPr>
        <w:t>台州市金清中学会议室</w:t>
      </w:r>
      <w:r>
        <w:rPr>
          <w:rFonts w:hint="eastAsia" w:ascii="宋体" w:hAnsi="宋体" w:eastAsia="宋体" w:cs="宋体"/>
          <w:color w:val="auto"/>
          <w:sz w:val="21"/>
          <w:szCs w:val="21"/>
          <w:highlight w:val="none"/>
        </w:rPr>
        <w:t>开标。</w:t>
      </w:r>
      <w:r>
        <w:rPr>
          <w:rFonts w:hint="eastAsia" w:ascii="宋体" w:hAnsi="宋体" w:eastAsia="宋体" w:cs="宋体"/>
          <w:b/>
          <w:bCs/>
          <w:color w:val="auto"/>
          <w:kern w:val="2"/>
          <w:sz w:val="21"/>
          <w:szCs w:val="21"/>
          <w:highlight w:val="none"/>
          <w:shd w:val="clear" w:color="auto" w:fill="auto"/>
          <w:lang w:val="en-US" w:eastAsia="zh-CN" w:bidi="ar-SA"/>
        </w:rPr>
        <w:t>（开标通过钉钉群直播形式进行，法定代表人或授权委托代理人无须现场参加开标）</w:t>
      </w:r>
    </w:p>
    <w:p w14:paraId="4E092A74">
      <w:pPr>
        <w:pStyle w:val="11"/>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七</w:t>
      </w:r>
      <w:r>
        <w:rPr>
          <w:rFonts w:hint="eastAsia" w:ascii="宋体" w:hAnsi="宋体" w:eastAsia="宋体" w:cs="宋体"/>
          <w:b/>
          <w:bCs/>
          <w:color w:val="auto"/>
          <w:highlight w:val="none"/>
        </w:rPr>
        <w:t>、本项目需要投标人将投标文件在</w:t>
      </w:r>
      <w:r>
        <w:rPr>
          <w:rFonts w:hint="eastAsia" w:hAnsi="宋体" w:cs="宋体"/>
          <w:b/>
          <w:bCs/>
          <w:color w:val="auto"/>
          <w:highlight w:val="none"/>
          <w:lang w:eastAsia="zh-CN"/>
        </w:rPr>
        <w:t>投标截止时间前（建议提前半天送达）按要求</w:t>
      </w:r>
      <w:r>
        <w:rPr>
          <w:rFonts w:hint="eastAsia" w:ascii="宋体" w:hAnsi="宋体" w:eastAsia="宋体" w:cs="宋体"/>
          <w:b/>
          <w:bCs/>
          <w:color w:val="auto"/>
          <w:highlight w:val="none"/>
        </w:rPr>
        <w:t>密封并顺丰邮寄到台州市椒江区中环世纪6幢8</w:t>
      </w:r>
      <w:r>
        <w:rPr>
          <w:rFonts w:hint="eastAsia" w:ascii="宋体" w:hAnsi="宋体" w:eastAsia="宋体" w:cs="宋体"/>
          <w:b/>
          <w:bCs/>
          <w:color w:val="auto"/>
          <w:highlight w:val="none"/>
          <w:lang w:val="en-US" w:eastAsia="zh-CN"/>
        </w:rPr>
        <w:t>楼</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浙江汇永工程咨询有限公司</w:t>
      </w:r>
      <w:r>
        <w:rPr>
          <w:rFonts w:hint="eastAsia" w:ascii="宋体" w:hAnsi="宋体" w:eastAsia="宋体" w:cs="宋体"/>
          <w:b/>
          <w:bCs/>
          <w:color w:val="auto"/>
          <w:highlight w:val="none"/>
        </w:rPr>
        <w:t>），逾期寄达或未按要求密封将被拒收。</w:t>
      </w:r>
    </w:p>
    <w:p w14:paraId="1DC69E87">
      <w:pPr>
        <w:pStyle w:val="11"/>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八、</w:t>
      </w:r>
      <w:r>
        <w:rPr>
          <w:rFonts w:hint="eastAsia" w:ascii="宋体" w:hAnsi="宋体" w:eastAsia="宋体" w:cs="宋体"/>
          <w:b/>
          <w:bCs/>
          <w:color w:val="auto"/>
          <w:highlight w:val="none"/>
        </w:rPr>
        <w:t>投标保证金：</w:t>
      </w:r>
    </w:p>
    <w:p w14:paraId="02AA9A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b w:val="0"/>
          <w:bCs w:val="0"/>
          <w:color w:val="auto"/>
          <w:sz w:val="21"/>
          <w:szCs w:val="21"/>
          <w:highlight w:val="none"/>
        </w:rPr>
        <w:t>不提交，但若投标人在投标过程中存在违规行为给采购人造成损失的，须赔偿全部损失。</w:t>
      </w:r>
    </w:p>
    <w:p w14:paraId="79FF8DFF">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664ADBF9">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1、供应商认为采购文件使自己的权益受到损害的，可以自</w:t>
      </w:r>
      <w:r>
        <w:rPr>
          <w:rFonts w:hint="eastAsia" w:ascii="宋体" w:hAnsi="宋体" w:eastAsia="宋体" w:cs="宋体"/>
          <w:color w:val="auto"/>
          <w:sz w:val="21"/>
          <w:szCs w:val="21"/>
          <w:highlight w:val="none"/>
          <w:lang w:val="en-US" w:eastAsia="zh-CN"/>
        </w:rPr>
        <w:t>获取</w:t>
      </w:r>
      <w:r>
        <w:rPr>
          <w:rFonts w:hint="eastAsia" w:ascii="宋体" w:hAnsi="宋体" w:eastAsia="宋体" w:cs="宋体"/>
          <w:color w:val="auto"/>
          <w:sz w:val="21"/>
          <w:szCs w:val="21"/>
          <w:highlight w:val="none"/>
        </w:rPr>
        <w:t>采购文件之日或者采购文件公告期限届满之日（公告发布后的第6个工作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0D654C97">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2、本项目所有公告发布网站：“</w:t>
      </w:r>
      <w:r>
        <w:rPr>
          <w:rFonts w:hint="eastAsia" w:ascii="宋体" w:hAnsi="宋体" w:eastAsia="宋体" w:cs="宋体"/>
          <w:color w:val="auto"/>
          <w:sz w:val="21"/>
          <w:szCs w:val="21"/>
          <w:highlight w:val="none"/>
          <w:lang w:eastAsia="zh-CN"/>
        </w:rPr>
        <w:t>浙江政府采购网</w:t>
      </w:r>
      <w:r>
        <w:rPr>
          <w:rFonts w:hint="eastAsia" w:ascii="宋体" w:hAnsi="宋体" w:eastAsia="宋体" w:cs="宋体"/>
          <w:color w:val="auto"/>
          <w:sz w:val="21"/>
          <w:szCs w:val="21"/>
          <w:highlight w:val="none"/>
        </w:rPr>
        <w:t xml:space="preserve">”（http://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Style w:val="23"/>
          <w:rFonts w:hint="eastAsia" w:ascii="宋体" w:hAnsi="宋体" w:eastAsia="宋体" w:cs="宋体"/>
          <w:color w:val="auto"/>
          <w:sz w:val="21"/>
          <w:szCs w:val="21"/>
          <w:highlight w:val="none"/>
        </w:rPr>
        <w:t>www.zjzfcg.gov.cn）。</w:t>
      </w:r>
      <w:r>
        <w:rPr>
          <w:rStyle w:val="23"/>
          <w:rFonts w:hint="eastAsia" w:ascii="宋体" w:hAnsi="宋体" w:eastAsia="宋体" w:cs="宋体"/>
          <w:color w:val="auto"/>
          <w:sz w:val="21"/>
          <w:szCs w:val="21"/>
          <w:highlight w:val="none"/>
        </w:rPr>
        <w:fldChar w:fldCharType="end"/>
      </w:r>
    </w:p>
    <w:p w14:paraId="2601C480">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3DFC0A86">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280E599A">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浙江汇永工程咨询有限公司</w:t>
      </w:r>
    </w:p>
    <w:p w14:paraId="2F08FBC4">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Theme="minorEastAsia" w:hAnsiTheme="minorEastAsia" w:eastAsiaTheme="minorEastAsia" w:cstheme="minorEastAsia"/>
          <w:color w:val="auto"/>
          <w:szCs w:val="21"/>
          <w:highlight w:val="none"/>
          <w:lang w:val="en-US" w:eastAsia="zh-CN"/>
        </w:rPr>
        <w:t>陈女士</w:t>
      </w:r>
    </w:p>
    <w:p w14:paraId="0B360700">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联系电话：0576-88885613  18257695510</w:t>
      </w:r>
    </w:p>
    <w:p w14:paraId="5E829E0F">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质疑接收人：</w:t>
      </w:r>
      <w:r>
        <w:rPr>
          <w:rFonts w:hint="eastAsia" w:ascii="宋体" w:hAnsi="宋体" w:eastAsia="宋体" w:cs="宋体"/>
          <w:color w:val="auto"/>
          <w:szCs w:val="21"/>
          <w:highlight w:val="none"/>
          <w:lang w:val="en-US" w:eastAsia="zh-CN"/>
        </w:rPr>
        <w:t>管女士</w:t>
      </w:r>
    </w:p>
    <w:p w14:paraId="798998AB">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13396938203</w:t>
      </w:r>
    </w:p>
    <w:p w14:paraId="42E5F3D9">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台州市椒江区中环世纪中心6幢8楼</w:t>
      </w:r>
    </w:p>
    <w:p w14:paraId="760F364F">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3567B6C2">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台州市金清中学</w:t>
      </w:r>
    </w:p>
    <w:p w14:paraId="0BEBED18">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联系人：</w:t>
      </w:r>
      <w:r>
        <w:rPr>
          <w:rFonts w:hint="eastAsia" w:ascii="宋体" w:hAnsi="宋体" w:cs="宋体"/>
          <w:color w:val="auto"/>
          <w:szCs w:val="21"/>
          <w:highlight w:val="none"/>
          <w:lang w:val="en-US" w:eastAsia="zh-CN"/>
        </w:rPr>
        <w:t>郭老师</w:t>
      </w:r>
    </w:p>
    <w:p w14:paraId="1F55EE0A">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13968697541</w:t>
      </w:r>
    </w:p>
    <w:p w14:paraId="0BE44EE4">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采购人地址：</w:t>
      </w:r>
      <w:r>
        <w:rPr>
          <w:rFonts w:hint="eastAsia" w:ascii="宋体" w:hAnsi="宋体" w:cs="宋体"/>
          <w:color w:val="auto"/>
          <w:szCs w:val="21"/>
          <w:highlight w:val="none"/>
          <w:lang w:eastAsia="zh-CN"/>
        </w:rPr>
        <w:t>台州市路桥区金清镇金清大道100号</w:t>
      </w:r>
      <w:r>
        <w:rPr>
          <w:rFonts w:hint="eastAsia" w:ascii="宋体" w:hAnsi="宋体" w:eastAsia="宋体" w:cs="宋体"/>
          <w:color w:val="auto"/>
          <w:sz w:val="21"/>
          <w:szCs w:val="21"/>
          <w:highlight w:val="none"/>
          <w:lang w:val="en-US" w:eastAsia="zh-CN"/>
        </w:rPr>
        <w:t xml:space="preserve"> </w:t>
      </w:r>
    </w:p>
    <w:p w14:paraId="0BECC2F2">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 xml:space="preserve">同级采购监管机构 </w:t>
      </w:r>
    </w:p>
    <w:p w14:paraId="6A8619FA">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台州市金清中学</w:t>
      </w:r>
    </w:p>
    <w:p w14:paraId="2693A3C5">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联系人：</w:t>
      </w:r>
      <w:r>
        <w:rPr>
          <w:rFonts w:hint="eastAsia" w:ascii="宋体" w:hAnsi="宋体" w:cs="宋体"/>
          <w:color w:val="auto"/>
          <w:szCs w:val="21"/>
          <w:highlight w:val="none"/>
          <w:lang w:val="en-US" w:eastAsia="zh-CN"/>
        </w:rPr>
        <w:t>梁老师</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p>
    <w:p w14:paraId="42B8F03D">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13968699798</w:t>
      </w:r>
    </w:p>
    <w:p w14:paraId="5FF184ED">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宋体" w:hAnsi="宋体" w:cs="宋体"/>
          <w:color w:val="auto"/>
          <w:szCs w:val="21"/>
          <w:highlight w:val="none"/>
          <w:lang w:eastAsia="zh-CN"/>
        </w:rPr>
        <w:t>台州市路桥区金清镇金清大道100号</w:t>
      </w:r>
      <w:r>
        <w:rPr>
          <w:rFonts w:hint="eastAsia" w:ascii="宋体" w:hAnsi="宋体" w:eastAsia="宋体" w:cs="宋体"/>
          <w:color w:val="auto"/>
          <w:sz w:val="21"/>
          <w:szCs w:val="21"/>
          <w:highlight w:val="none"/>
          <w:lang w:val="en-US" w:eastAsia="zh-CN"/>
        </w:rPr>
        <w:t xml:space="preserve"> </w:t>
      </w:r>
    </w:p>
    <w:p w14:paraId="41691F0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3"/>
          <w:rFonts w:hint="eastAsia" w:ascii="宋体" w:hAnsi="宋体" w:eastAsia="宋体" w:cs="宋体"/>
          <w:color w:val="auto"/>
          <w:szCs w:val="21"/>
          <w:highlight w:val="none"/>
        </w:rPr>
        <w:t>http://zfcg.czt.zj.gov.cn</w:t>
      </w:r>
      <w:r>
        <w:rPr>
          <w:rStyle w:val="23"/>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40FB49A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53F61F27">
      <w:pPr>
        <w:keepNext w:val="0"/>
        <w:keepLines w:val="0"/>
        <w:pageBreakBefore w:val="0"/>
        <w:kinsoku/>
        <w:wordWrap/>
        <w:topLinePunct w:val="0"/>
        <w:bidi w:val="0"/>
        <w:spacing w:line="240" w:lineRule="auto"/>
        <w:jc w:val="righ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浙江汇永工程咨询有限公司</w:t>
      </w:r>
    </w:p>
    <w:p w14:paraId="052AC05C">
      <w:pPr>
        <w:pStyle w:val="6"/>
        <w:keepNext w:val="0"/>
        <w:keepLines w:val="0"/>
        <w:pageBreakBefore w:val="0"/>
        <w:kinsoku/>
        <w:wordWrap/>
        <w:topLinePunct w:val="0"/>
        <w:bidi w:val="0"/>
        <w:jc w:val="right"/>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二○二五年六月</w:t>
      </w:r>
    </w:p>
    <w:p w14:paraId="23ED8DC4">
      <w:pPr>
        <w:numPr>
          <w:ilvl w:val="0"/>
          <w:numId w:val="0"/>
        </w:numPr>
        <w:spacing w:line="360" w:lineRule="auto"/>
        <w:jc w:val="center"/>
        <w:outlineLvl w:val="0"/>
        <w:rPr>
          <w:rFonts w:hint="eastAsia" w:ascii="宋体" w:hAnsi="宋体" w:eastAsia="宋体" w:cs="宋体"/>
          <w:b/>
          <w:color w:val="auto"/>
          <w:sz w:val="36"/>
          <w:szCs w:val="36"/>
          <w:highlight w:val="none"/>
          <w:lang w:val="en-US" w:eastAsia="zh-CN"/>
        </w:rPr>
        <w:sectPr>
          <w:footerReference r:id="rId6" w:type="default"/>
          <w:pgSz w:w="11906" w:h="16838"/>
          <w:pgMar w:top="1440" w:right="1440" w:bottom="1440" w:left="1803" w:header="851" w:footer="992" w:gutter="0"/>
          <w:pgNumType w:fmt="numberInDash"/>
          <w:cols w:space="0" w:num="1"/>
          <w:docGrid w:type="lines" w:linePitch="325" w:charSpace="0"/>
        </w:sectPr>
      </w:pPr>
    </w:p>
    <w:p w14:paraId="7D026CB9">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投标人须知</w:t>
      </w:r>
    </w:p>
    <w:p w14:paraId="6EEEF434">
      <w:pPr>
        <w:keepNext w:val="0"/>
        <w:keepLines w:val="0"/>
        <w:pageBreakBefore w:val="0"/>
        <w:kinsoku/>
        <w:wordWrap/>
        <w:topLinePunct w:val="0"/>
        <w:bidi w:val="0"/>
        <w:spacing w:line="360" w:lineRule="auto"/>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前</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表</w:t>
      </w:r>
    </w:p>
    <w:tbl>
      <w:tblPr>
        <w:tblStyle w:val="20"/>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224"/>
        <w:gridCol w:w="6151"/>
      </w:tblGrid>
      <w:tr w14:paraId="105E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23" w:type="dxa"/>
            <w:vAlign w:val="center"/>
          </w:tcPr>
          <w:p w14:paraId="1BD1F320">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224" w:type="dxa"/>
            <w:vAlign w:val="center"/>
          </w:tcPr>
          <w:p w14:paraId="27B6B47F">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151" w:type="dxa"/>
            <w:vAlign w:val="center"/>
          </w:tcPr>
          <w:p w14:paraId="4D5D483E">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5D5B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23" w:type="dxa"/>
            <w:vAlign w:val="center"/>
          </w:tcPr>
          <w:p w14:paraId="2C1348F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24" w:type="dxa"/>
            <w:vAlign w:val="center"/>
          </w:tcPr>
          <w:p w14:paraId="45DE515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151" w:type="dxa"/>
            <w:vAlign w:val="center"/>
          </w:tcPr>
          <w:p w14:paraId="09C8C69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符合招标公告资格要求的供应商</w:t>
            </w:r>
          </w:p>
        </w:tc>
      </w:tr>
      <w:tr w14:paraId="4E1D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23" w:type="dxa"/>
            <w:vAlign w:val="center"/>
          </w:tcPr>
          <w:p w14:paraId="5DE4113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224" w:type="dxa"/>
            <w:vAlign w:val="center"/>
          </w:tcPr>
          <w:p w14:paraId="4CB7679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151" w:type="dxa"/>
            <w:vAlign w:val="center"/>
          </w:tcPr>
          <w:p w14:paraId="14FA633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7F18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723" w:type="dxa"/>
            <w:vAlign w:val="center"/>
          </w:tcPr>
          <w:p w14:paraId="244494B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224" w:type="dxa"/>
            <w:vAlign w:val="center"/>
          </w:tcPr>
          <w:p w14:paraId="53D32E1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投标文件包装要求</w:t>
            </w:r>
          </w:p>
        </w:tc>
        <w:tc>
          <w:tcPr>
            <w:tcW w:w="6151" w:type="dxa"/>
            <w:vAlign w:val="center"/>
          </w:tcPr>
          <w:p w14:paraId="56399C7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投标文件中的报价文件必须与其他文件分开各自密封包装。</w:t>
            </w:r>
          </w:p>
          <w:p w14:paraId="76A158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资格证明文件正本</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商务与技术文件正本</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份，报价文件正本</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份。</w:t>
            </w:r>
          </w:p>
        </w:tc>
      </w:tr>
      <w:tr w14:paraId="3F03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23" w:type="dxa"/>
            <w:vAlign w:val="center"/>
          </w:tcPr>
          <w:p w14:paraId="560CECA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224" w:type="dxa"/>
            <w:vAlign w:val="center"/>
          </w:tcPr>
          <w:p w14:paraId="4BB4A92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151" w:type="dxa"/>
            <w:vAlign w:val="center"/>
          </w:tcPr>
          <w:p w14:paraId="7190C47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投标有效期为开标后90天，投标有效期从提交投标文件的截止之日起算。</w:t>
            </w:r>
          </w:p>
        </w:tc>
      </w:tr>
      <w:tr w14:paraId="7D7E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723" w:type="dxa"/>
            <w:vAlign w:val="center"/>
          </w:tcPr>
          <w:p w14:paraId="01C2F01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224" w:type="dxa"/>
            <w:vAlign w:val="center"/>
          </w:tcPr>
          <w:p w14:paraId="5BEF3F0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w:t>
            </w:r>
          </w:p>
        </w:tc>
        <w:tc>
          <w:tcPr>
            <w:tcW w:w="6151" w:type="dxa"/>
            <w:vAlign w:val="center"/>
          </w:tcPr>
          <w:p w14:paraId="6722E9EB">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截止时间：北京时间</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eastAsia="zh-CN"/>
              </w:rPr>
              <w:t>14:30</w:t>
            </w:r>
          </w:p>
          <w:p w14:paraId="7C343B3B">
            <w:p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highlight w:val="none"/>
              </w:rPr>
              <w:t>本项目需要投标人将投标文件在</w:t>
            </w:r>
            <w:r>
              <w:rPr>
                <w:rFonts w:hint="eastAsia" w:ascii="宋体" w:hAnsi="宋体" w:cs="宋体"/>
                <w:b/>
                <w:bCs/>
                <w:color w:val="auto"/>
                <w:highlight w:val="none"/>
                <w:lang w:eastAsia="zh-CN"/>
              </w:rPr>
              <w:t>投标截止时间前（建议提前半天送达）按要求</w:t>
            </w:r>
            <w:r>
              <w:rPr>
                <w:rFonts w:hint="eastAsia" w:ascii="宋体" w:hAnsi="宋体" w:eastAsia="宋体" w:cs="宋体"/>
                <w:b/>
                <w:bCs/>
                <w:color w:val="auto"/>
                <w:highlight w:val="none"/>
              </w:rPr>
              <w:t>密封并顺丰邮寄到台州市椒江区中环世纪6幢8</w:t>
            </w:r>
            <w:r>
              <w:rPr>
                <w:rFonts w:hint="eastAsia" w:ascii="宋体" w:hAnsi="宋体" w:eastAsia="宋体" w:cs="宋体"/>
                <w:b/>
                <w:bCs/>
                <w:color w:val="auto"/>
                <w:highlight w:val="none"/>
                <w:lang w:val="en-US" w:eastAsia="zh-CN"/>
              </w:rPr>
              <w:t>楼</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浙江汇永工程咨询有限公司</w:t>
            </w:r>
            <w:r>
              <w:rPr>
                <w:rFonts w:hint="eastAsia" w:ascii="宋体" w:hAnsi="宋体" w:eastAsia="宋体" w:cs="宋体"/>
                <w:b/>
                <w:bCs/>
                <w:color w:val="auto"/>
                <w:highlight w:val="none"/>
              </w:rPr>
              <w:t>），逾期寄达或未按要求密封将被拒收。</w:t>
            </w:r>
          </w:p>
        </w:tc>
      </w:tr>
      <w:tr w14:paraId="1D6C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723" w:type="dxa"/>
            <w:vAlign w:val="center"/>
          </w:tcPr>
          <w:p w14:paraId="5BD36E0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224" w:type="dxa"/>
            <w:vAlign w:val="center"/>
          </w:tcPr>
          <w:p w14:paraId="2FA65DA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开标时间及地点</w:t>
            </w:r>
          </w:p>
        </w:tc>
        <w:tc>
          <w:tcPr>
            <w:tcW w:w="6151" w:type="dxa"/>
            <w:vAlign w:val="center"/>
          </w:tcPr>
          <w:p w14:paraId="026CDB70">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时间：北京时间</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eastAsia="zh-CN"/>
              </w:rPr>
              <w:t>14:30</w:t>
            </w:r>
          </w:p>
          <w:p w14:paraId="5F95CE17">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cs="宋体"/>
                <w:color w:val="auto"/>
                <w:kern w:val="2"/>
                <w:sz w:val="21"/>
                <w:szCs w:val="21"/>
                <w:highlight w:val="none"/>
                <w:lang w:val="en-US" w:eastAsia="zh-CN" w:bidi="ar-SA"/>
              </w:rPr>
              <w:t>台州市金清中学会议室</w:t>
            </w:r>
            <w:r>
              <w:rPr>
                <w:rFonts w:hint="eastAsia" w:ascii="宋体" w:hAnsi="宋体" w:eastAsia="宋体" w:cs="宋体"/>
                <w:b/>
                <w:bCs/>
                <w:color w:val="auto"/>
                <w:kern w:val="2"/>
                <w:sz w:val="21"/>
                <w:szCs w:val="21"/>
                <w:highlight w:val="none"/>
                <w:shd w:val="clear" w:color="auto" w:fill="auto"/>
                <w:lang w:val="en-US" w:eastAsia="zh-CN" w:bidi="ar-SA"/>
              </w:rPr>
              <w:t>（开标通过钉钉群直播形式进行，法定代表人或授权委托代理人无须现场参加开标）</w:t>
            </w:r>
          </w:p>
        </w:tc>
      </w:tr>
      <w:tr w14:paraId="4CB5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23" w:type="dxa"/>
            <w:vAlign w:val="center"/>
          </w:tcPr>
          <w:p w14:paraId="4D6F35F4">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224" w:type="dxa"/>
            <w:vAlign w:val="center"/>
          </w:tcPr>
          <w:p w14:paraId="3359672B">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投标保证金</w:t>
            </w:r>
          </w:p>
        </w:tc>
        <w:tc>
          <w:tcPr>
            <w:tcW w:w="6151" w:type="dxa"/>
            <w:vAlign w:val="center"/>
          </w:tcPr>
          <w:p w14:paraId="1AAB124C">
            <w:pPr>
              <w:keepNext w:val="0"/>
              <w:keepLines w:val="0"/>
              <w:pageBreakBefore w:val="0"/>
              <w:numPr>
                <w:ilvl w:val="0"/>
                <w:numId w:val="0"/>
              </w:numPr>
              <w:kinsoku/>
              <w:wordWrap/>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不提交，但若投标人在投标过程中存在违规行为给采购人造成损失的，须赔偿全部损失。</w:t>
            </w:r>
          </w:p>
        </w:tc>
      </w:tr>
      <w:tr w14:paraId="10D4D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23" w:type="dxa"/>
            <w:vAlign w:val="center"/>
          </w:tcPr>
          <w:p w14:paraId="2A33A492">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2224" w:type="dxa"/>
            <w:vAlign w:val="center"/>
          </w:tcPr>
          <w:p w14:paraId="063F035B">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151" w:type="dxa"/>
            <w:vAlign w:val="center"/>
          </w:tcPr>
          <w:p w14:paraId="0A943B00">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▲”的条款是实质性条款，投标文件须作出实质性响应，否则作无效投标处理。</w:t>
            </w:r>
          </w:p>
        </w:tc>
      </w:tr>
      <w:tr w14:paraId="4251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23" w:type="dxa"/>
            <w:vAlign w:val="center"/>
          </w:tcPr>
          <w:p w14:paraId="45A80070">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2224" w:type="dxa"/>
            <w:vAlign w:val="center"/>
          </w:tcPr>
          <w:p w14:paraId="73C3330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6151" w:type="dxa"/>
            <w:vAlign w:val="center"/>
          </w:tcPr>
          <w:p w14:paraId="1500836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本招标文件解释权属于采购人和采购代理机构。</w:t>
            </w:r>
          </w:p>
        </w:tc>
      </w:tr>
    </w:tbl>
    <w:p w14:paraId="68F8051E">
      <w:pPr>
        <w:keepNext w:val="0"/>
        <w:keepLines w:val="0"/>
        <w:pageBreakBefore w:val="0"/>
        <w:kinsoku/>
        <w:wordWrap/>
        <w:topLinePunct w:val="0"/>
        <w:bidi w:val="0"/>
        <w:spacing w:line="360" w:lineRule="auto"/>
        <w:outlineLvl w:val="9"/>
        <w:rPr>
          <w:rFonts w:hint="eastAsia" w:ascii="宋体" w:hAnsi="宋体" w:eastAsia="宋体" w:cs="宋体"/>
          <w:b/>
          <w:bCs/>
          <w:color w:val="auto"/>
          <w:sz w:val="21"/>
          <w:szCs w:val="21"/>
          <w:highlight w:val="none"/>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NumType w:fmt="numberInDash"/>
          <w:cols w:space="425" w:num="1"/>
          <w:docGrid w:type="lines" w:linePitch="312" w:charSpace="0"/>
        </w:sectPr>
      </w:pPr>
    </w:p>
    <w:p w14:paraId="7596C703">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4125304C">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51FFC1E8">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本招标文件适用于本次项目的招标、投标、评标、定标、验收、合同履约、付款等行为（法律、法规另有规定的，从其规定）。</w:t>
      </w:r>
    </w:p>
    <w:p w14:paraId="26B65C20">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09048432">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“采购组织机构”指采购人委托组织招标的采购代理机构。</w:t>
      </w:r>
    </w:p>
    <w:p w14:paraId="6ED2FC56">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w:t>
      </w:r>
      <w:r>
        <w:rPr>
          <w:rFonts w:hint="eastAsia" w:ascii="宋体" w:hAnsi="宋体" w:eastAsia="宋体" w:cs="宋体"/>
          <w:color w:val="auto"/>
          <w:sz w:val="21"/>
          <w:szCs w:val="21"/>
          <w:highlight w:val="none"/>
          <w:lang w:val="zh-CN"/>
        </w:rPr>
        <w:t>采购代理机构</w:t>
      </w:r>
      <w:r>
        <w:rPr>
          <w:rFonts w:hint="eastAsia" w:ascii="宋体" w:hAnsi="宋体" w:eastAsia="宋体" w:cs="宋体"/>
          <w:color w:val="auto"/>
          <w:sz w:val="21"/>
          <w:szCs w:val="21"/>
          <w:highlight w:val="none"/>
        </w:rPr>
        <w:t>采购本次项目的国家机关、事业单位和团体组织。</w:t>
      </w:r>
    </w:p>
    <w:p w14:paraId="6D3BD5CC">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3、投标人：是指向采购</w:t>
      </w:r>
      <w:r>
        <w:rPr>
          <w:rFonts w:hint="eastAsia" w:ascii="宋体" w:hAnsi="宋体" w:eastAsia="宋体" w:cs="宋体"/>
          <w:color w:val="auto"/>
          <w:sz w:val="21"/>
          <w:szCs w:val="21"/>
          <w:highlight w:val="none"/>
          <w:lang w:val="zh-CN"/>
        </w:rPr>
        <w:t>组织</w:t>
      </w:r>
      <w:r>
        <w:rPr>
          <w:rFonts w:hint="eastAsia" w:ascii="宋体" w:hAnsi="宋体" w:eastAsia="宋体" w:cs="宋体"/>
          <w:color w:val="auto"/>
          <w:sz w:val="21"/>
          <w:szCs w:val="21"/>
          <w:highlight w:val="none"/>
        </w:rPr>
        <w:t>机构提交投标文件的单位或个人。</w:t>
      </w:r>
    </w:p>
    <w:p w14:paraId="56EFDE1E">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14:paraId="750F6B66">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14:paraId="43304715">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14:paraId="7184589A">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14:paraId="42FBBDD4">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（三）投标费用</w:t>
      </w:r>
    </w:p>
    <w:p w14:paraId="32E4670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不论投标结果如何，投标人均应自行承担所有与投标有关的全部费用（招标文件有相关规定除外）。</w:t>
      </w:r>
    </w:p>
    <w:p w14:paraId="25EAFA69">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0DE6582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1、投标人投标所使用的资格、信誉、荣誉、业绩与企业认证必须为本法人所拥有。投标人投标所使用的采购项目实施人员必须为本法人员工（指本法人或控股公司正式员工）。</w:t>
      </w:r>
    </w:p>
    <w:p w14:paraId="67CAC9F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auto"/>
          <w:sz w:val="21"/>
          <w:szCs w:val="21"/>
          <w:highlight w:val="none"/>
        </w:rPr>
        <w:tab/>
      </w:r>
    </w:p>
    <w:p w14:paraId="1E51E94D">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3596931">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6608B9CE">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5、为采购项目提供整体设计、规范编制或者项目管理、监理、检测等服务的供应商，不得再参加该采购项目的其他采购活动。</w:t>
      </w:r>
    </w:p>
    <w:p w14:paraId="5A673A1E">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6、投标文件格式中的表格式样可以根据项目差别做适当调整,但应当保持表格样式基本形态不变。</w:t>
      </w:r>
    </w:p>
    <w:p w14:paraId="5456CF14">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7、单位负责人为同一人或者存在直接控股、管理关系的不同供应商，不得参加同一合同项下的采购活动。</w:t>
      </w:r>
    </w:p>
    <w:p w14:paraId="6F024EBD">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8、本项目不允许分包。</w:t>
      </w:r>
    </w:p>
    <w:p w14:paraId="3C603DFA">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二、招标文件</w:t>
      </w:r>
    </w:p>
    <w:p w14:paraId="294A2B97">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（一）招标文件由招标文件总目录所列内容组成。</w:t>
      </w:r>
    </w:p>
    <w:p w14:paraId="7E6F1920">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（二）招标文件的澄清或修改</w:t>
      </w:r>
    </w:p>
    <w:p w14:paraId="56E848B5">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78A5BFDD">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2FAD1E02">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w:t>
      </w:r>
    </w:p>
    <w:p w14:paraId="162D0BE3">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（一）</w:t>
      </w:r>
      <w:r>
        <w:rPr>
          <w:rFonts w:hint="eastAsia" w:ascii="宋体" w:hAnsi="宋体" w:eastAsia="宋体" w:cs="宋体"/>
          <w:b/>
          <w:bCs/>
          <w:color w:val="auto"/>
          <w:sz w:val="21"/>
          <w:szCs w:val="21"/>
          <w:highlight w:val="none"/>
        </w:rPr>
        <w:t>投标文件的组成</w:t>
      </w:r>
    </w:p>
    <w:p w14:paraId="40547504">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lang w:val="zh-CN"/>
        </w:rPr>
      </w:pPr>
      <w:r>
        <w:rPr>
          <w:rFonts w:hint="eastAsia" w:ascii="宋体" w:hAnsi="宋体" w:eastAsia="宋体" w:cs="宋体"/>
          <w:color w:val="auto"/>
          <w:sz w:val="21"/>
          <w:szCs w:val="21"/>
          <w:highlight w:val="none"/>
        </w:rPr>
        <w:t>投标人接到招标文件后，按照</w:t>
      </w:r>
      <w:r>
        <w:rPr>
          <w:rFonts w:hint="eastAsia" w:ascii="宋体" w:hAnsi="宋体" w:eastAsia="宋体" w:cs="宋体"/>
          <w:color w:val="auto"/>
          <w:sz w:val="21"/>
          <w:szCs w:val="21"/>
          <w:highlight w:val="none"/>
          <w:lang w:val="en-US" w:eastAsia="zh-CN"/>
        </w:rPr>
        <w:t>采购组织机构</w:t>
      </w:r>
      <w:r>
        <w:rPr>
          <w:rFonts w:hint="eastAsia" w:ascii="宋体" w:hAnsi="宋体" w:eastAsia="宋体" w:cs="宋体"/>
          <w:color w:val="auto"/>
          <w:sz w:val="21"/>
          <w:szCs w:val="21"/>
          <w:highlight w:val="none"/>
        </w:rPr>
        <w:t>的要求提供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资格证明文件、商务与技术文件</w:t>
      </w:r>
      <w:r>
        <w:rPr>
          <w:rFonts w:hint="eastAsia" w:ascii="宋体" w:hAnsi="宋体" w:eastAsia="宋体" w:cs="宋体"/>
          <w:b w:val="0"/>
          <w:bCs w:val="0"/>
          <w:color w:val="auto"/>
          <w:sz w:val="21"/>
          <w:szCs w:val="21"/>
          <w:highlight w:val="none"/>
        </w:rPr>
        <w:t>和报价文件</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zh-CN"/>
        </w:rPr>
        <w:t>【特别提示：如有要求提供资料原件的，原件另行包装，并与投标文件一起提交，投标截止时间后所有原件不予接收。资料原件也可以用与原件相符的公证原件替代】</w:t>
      </w:r>
    </w:p>
    <w:p w14:paraId="3BF60BBC">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▲1、资格证明文件的组成：</w:t>
      </w:r>
    </w:p>
    <w:p w14:paraId="1E0015DC">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（1）投标声明书；</w:t>
      </w:r>
    </w:p>
    <w:p w14:paraId="32891738">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（2）授权委托书（法定代表人亲自办理投标事宜的，则无需提交)；</w:t>
      </w:r>
    </w:p>
    <w:p w14:paraId="19C16606">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（3）法人或者其他组织的营业执照等证明文件，自然人的身份证明；</w:t>
      </w:r>
    </w:p>
    <w:p w14:paraId="7E32D302">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投标人认为需要说明的其他材料。</w:t>
      </w:r>
    </w:p>
    <w:p w14:paraId="7D412B8B">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2、商务与技术文件的组成：</w:t>
      </w:r>
    </w:p>
    <w:p w14:paraId="28E84DBE">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（1）投标人</w:t>
      </w:r>
      <w:r>
        <w:rPr>
          <w:rFonts w:hint="eastAsia" w:ascii="宋体" w:hAnsi="宋体" w:eastAsia="宋体" w:cs="宋体"/>
          <w:b w:val="0"/>
          <w:bCs w:val="0"/>
          <w:color w:val="auto"/>
          <w:sz w:val="21"/>
          <w:szCs w:val="21"/>
          <w:highlight w:val="none"/>
          <w:lang w:val="en-US" w:eastAsia="zh-CN"/>
        </w:rPr>
        <w:t>企业</w:t>
      </w:r>
      <w:r>
        <w:rPr>
          <w:rFonts w:hint="eastAsia" w:ascii="宋体" w:hAnsi="宋体" w:eastAsia="宋体" w:cs="宋体"/>
          <w:b w:val="0"/>
          <w:bCs w:val="0"/>
          <w:color w:val="auto"/>
          <w:sz w:val="21"/>
          <w:szCs w:val="21"/>
          <w:highlight w:val="none"/>
        </w:rPr>
        <w:t>情况介绍</w:t>
      </w:r>
      <w:r>
        <w:rPr>
          <w:rFonts w:hint="eastAsia" w:ascii="宋体" w:hAnsi="宋体" w:eastAsia="宋体" w:cs="宋体"/>
          <w:b w:val="0"/>
          <w:bCs w:val="0"/>
          <w:color w:val="auto"/>
          <w:sz w:val="21"/>
          <w:szCs w:val="21"/>
          <w:highlight w:val="none"/>
          <w:lang w:eastAsia="zh-CN"/>
        </w:rPr>
        <w:t>；</w:t>
      </w:r>
    </w:p>
    <w:p w14:paraId="5CB9A0D2">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（2）投标方案描述：</w:t>
      </w:r>
    </w:p>
    <w:p w14:paraId="2F50372D">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14:paraId="1CF1AE89">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B.项目组织实施方案（包括项目工期、确保项目供货的措施或方案、项目实施进度安排、项目实施人员及项目负责人的资质、类似经验及社保证明等）。</w:t>
      </w:r>
    </w:p>
    <w:p w14:paraId="4D324AD9">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C.安装及验收方案（包括项目验收标准和验收方法等）和措施；</w:t>
      </w:r>
    </w:p>
    <w:p w14:paraId="425F3034">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（3）投标产品描述及相关资料：</w:t>
      </w:r>
    </w:p>
    <w:p w14:paraId="1338833E">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A.设备配置清单（均不含报价）。</w:t>
      </w:r>
    </w:p>
    <w:p w14:paraId="67C237F8">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B.产品品牌及型号、技术参数指标、性能特点、图片资料以及所遵循的技术规范、产品质保期、出厂标准、产品质量相关检测报告等内容。</w:t>
      </w:r>
    </w:p>
    <w:p w14:paraId="645CB481">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C.商务及技术响应表。</w:t>
      </w:r>
    </w:p>
    <w:p w14:paraId="34585F75">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（4）投标人通过</w:t>
      </w:r>
      <w:r>
        <w:rPr>
          <w:rFonts w:hint="eastAsia" w:ascii="宋体" w:hAnsi="宋体" w:cs="宋体"/>
          <w:b w:val="0"/>
          <w:bCs w:val="0"/>
          <w:color w:val="auto"/>
          <w:sz w:val="21"/>
          <w:szCs w:val="21"/>
          <w:highlight w:val="none"/>
          <w:lang w:eastAsia="zh-CN"/>
        </w:rPr>
        <w:t>的</w:t>
      </w:r>
      <w:r>
        <w:rPr>
          <w:rFonts w:hint="eastAsia" w:ascii="宋体" w:hAnsi="宋体" w:eastAsia="宋体" w:cs="宋体"/>
          <w:b w:val="0"/>
          <w:bCs w:val="0"/>
          <w:color w:val="auto"/>
          <w:sz w:val="21"/>
          <w:szCs w:val="21"/>
          <w:highlight w:val="none"/>
        </w:rPr>
        <w:t>与本项目相关的认证证书或文件；</w:t>
      </w:r>
    </w:p>
    <w:p w14:paraId="6B256AC2">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（5）类似项目的成功案例（投标人类似项目实施情况一览表、合同复印件及其相应的发票、用户验收报告等；</w:t>
      </w:r>
    </w:p>
    <w:p w14:paraId="09E6289E">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（6）投标人认为需要提供的其他资料（包括可能影响投标人商务与技术文件评分的各类证明材料）。</w:t>
      </w:r>
    </w:p>
    <w:p w14:paraId="560A47DA">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（7）售后服务描述及承诺：</w:t>
      </w:r>
    </w:p>
    <w:p w14:paraId="3072C63A">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A.距采购人最近的服务网点详细介绍（包括地理位置、资质资格、技术力量、工作业绩、服务内容及联系电话等）。</w:t>
      </w:r>
    </w:p>
    <w:p w14:paraId="5A6981DD">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B.针对本项目的售后服务措施及承诺（售后技术服务方案、人员配备、故障响应时间、技术培训方案等）。</w:t>
      </w:r>
    </w:p>
    <w:p w14:paraId="4DFD78CF">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14:paraId="313230A5">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（1）报价文件由开标一览表、报价明细表</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以及投标人认为其他需要说明的内容组成。</w:t>
      </w:r>
    </w:p>
    <w:p w14:paraId="79DBB456">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（2）此报价为投标人一次性报出唯一的最终价格，包含其它一切所要涉及到的费用，有选择的报价将被拒绝。</w:t>
      </w:r>
    </w:p>
    <w:p w14:paraId="5819C533">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（3）</w:t>
      </w:r>
      <w:r>
        <w:rPr>
          <w:rFonts w:hint="eastAsia" w:asciiTheme="minorEastAsia" w:hAnsiTheme="minorEastAsia" w:eastAsiaTheme="minorEastAsia" w:cstheme="minorEastAsia"/>
          <w:color w:val="auto"/>
          <w:sz w:val="21"/>
          <w:szCs w:val="21"/>
          <w:highlight w:val="none"/>
        </w:rPr>
        <w:t>投标总报价</w:t>
      </w:r>
      <w:r>
        <w:rPr>
          <w:rFonts w:hint="eastAsia" w:asciiTheme="minorEastAsia" w:hAnsiTheme="minorEastAsia" w:eastAsiaTheme="minorEastAsia" w:cstheme="minorEastAsia"/>
          <w:color w:val="auto"/>
          <w:sz w:val="21"/>
          <w:szCs w:val="21"/>
          <w:highlight w:val="none"/>
          <w:u w:val="none"/>
        </w:rPr>
        <w:t>包含货物到达</w:t>
      </w:r>
      <w:r>
        <w:rPr>
          <w:rFonts w:hint="eastAsia" w:asciiTheme="minorEastAsia" w:hAnsiTheme="minorEastAsia" w:eastAsiaTheme="minorEastAsia" w:cstheme="minorEastAsia"/>
          <w:color w:val="auto"/>
          <w:sz w:val="21"/>
          <w:szCs w:val="21"/>
          <w:highlight w:val="none"/>
          <w:u w:val="none"/>
          <w:lang w:val="en-US" w:eastAsia="zh-CN"/>
        </w:rPr>
        <w:t>采购人</w:t>
      </w:r>
      <w:r>
        <w:rPr>
          <w:rFonts w:hint="eastAsia" w:asciiTheme="minorEastAsia" w:hAnsiTheme="minorEastAsia" w:eastAsiaTheme="minorEastAsia" w:cstheme="minorEastAsia"/>
          <w:color w:val="auto"/>
          <w:sz w:val="21"/>
          <w:szCs w:val="21"/>
          <w:highlight w:val="none"/>
          <w:u w:val="none"/>
        </w:rPr>
        <w:t>所需的一切费用，包括但不限于包装费、运输费、装卸费、保险费、安装调试费、技术服务费、</w:t>
      </w:r>
      <w:r>
        <w:rPr>
          <w:rFonts w:hint="eastAsia" w:asciiTheme="minorEastAsia" w:hAnsiTheme="minorEastAsia" w:eastAsiaTheme="minorEastAsia" w:cstheme="minorEastAsia"/>
          <w:color w:val="auto"/>
          <w:sz w:val="21"/>
          <w:szCs w:val="21"/>
          <w:highlight w:val="none"/>
          <w:u w:val="none"/>
          <w:lang w:val="en-US" w:eastAsia="zh-CN"/>
        </w:rPr>
        <w:t>验收费、</w:t>
      </w:r>
      <w:r>
        <w:rPr>
          <w:rFonts w:hint="eastAsia" w:asciiTheme="minorEastAsia" w:hAnsiTheme="minorEastAsia" w:eastAsiaTheme="minorEastAsia" w:cstheme="minorEastAsia"/>
          <w:color w:val="auto"/>
          <w:sz w:val="21"/>
          <w:szCs w:val="21"/>
          <w:highlight w:val="none"/>
          <w:u w:val="none"/>
        </w:rPr>
        <w:t>培训费以及保修费、税费等。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）相关报价单需打印或用不</w:t>
      </w:r>
      <w:r>
        <w:rPr>
          <w:rFonts w:hint="eastAsia" w:ascii="宋体" w:hAnsi="宋体" w:cs="宋体"/>
          <w:b w:val="0"/>
          <w:bCs w:val="0"/>
          <w:color w:val="auto"/>
          <w:sz w:val="21"/>
          <w:szCs w:val="21"/>
          <w:highlight w:val="none"/>
          <w:lang w:val="en-US" w:eastAsia="zh-CN"/>
        </w:rPr>
        <w:t>褪色</w:t>
      </w:r>
      <w:r>
        <w:rPr>
          <w:rFonts w:hint="eastAsia" w:ascii="宋体" w:hAnsi="宋体" w:eastAsia="宋体" w:cs="宋体"/>
          <w:b w:val="0"/>
          <w:bCs w:val="0"/>
          <w:color w:val="auto"/>
          <w:sz w:val="21"/>
          <w:szCs w:val="21"/>
          <w:highlight w:val="none"/>
        </w:rPr>
        <w:t>的墨水填写， 投标报价单不得涂改和增删，如有错漏必须修改，修改处须由同一签署人签字或盖章。由于字迹模糊或表达不清引起的后果由投标人负责。</w:t>
      </w:r>
    </w:p>
    <w:p w14:paraId="4D18972D">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）投标报价应按招标文件中相关附表格式填写。</w:t>
      </w:r>
    </w:p>
    <w:p w14:paraId="11A21928">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（二）投标文件的制作、封装及递交要求</w:t>
      </w:r>
    </w:p>
    <w:p w14:paraId="645C4E5E">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1、投标文件的制作要求</w:t>
      </w:r>
    </w:p>
    <w:p w14:paraId="4A638479">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（1）投标人应按照投标文件组成内容及项目招标需求制作投标文件，不按招标文件要求制作投标文件的将视情处理（拒收、扣分等），由此产生的责任由投标人自行承担。</w:t>
      </w:r>
    </w:p>
    <w:p w14:paraId="0A01D143">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（2）投标人应对所提供的全部资料的真实性承担法律责任，</w:t>
      </w:r>
      <w:r>
        <w:rPr>
          <w:rFonts w:hint="eastAsia" w:ascii="宋体" w:hAnsi="宋体" w:eastAsia="宋体" w:cs="宋体"/>
          <w:color w:val="auto"/>
          <w:sz w:val="21"/>
          <w:szCs w:val="21"/>
          <w:highlight w:val="none"/>
          <w:lang w:val="zh-CN"/>
        </w:rPr>
        <w:t>投标文件内容中有要求盖章或签字的地方，必须加盖投标人的公章以及法定代表人或授权委托代理人盖章或签字。</w:t>
      </w:r>
    </w:p>
    <w:p w14:paraId="4A187009">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投标文件以及投标人与采购组织机构就有关投标事宜的所有来往函电，均应以中文汉语书写。除签字、盖章、专用名称等特殊情形外，以中文汉语以外的文字表述的投标文件视同未提供。</w:t>
      </w:r>
    </w:p>
    <w:p w14:paraId="698EE91C">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（4）投标计量单位，招标文件已有明确规定的，使用招标文件规定的计量单位；招标文件没有规定的，应采用中华人民共和国法定计量单位（货币单位：人民币元）。</w:t>
      </w:r>
    </w:p>
    <w:p w14:paraId="3AEE1283">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（5）若投标人不按招标文件的要求提供资格审查材料，其风险由投标人自行承担。</w:t>
      </w:r>
    </w:p>
    <w:p w14:paraId="60442D0C">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（6）与本次投标无关的内容请不要制作在内，确保投标文件有针对性、简洁明了，同时节约纸张；投标文件建议以A4纸大小双面打印并装订。</w:t>
      </w:r>
    </w:p>
    <w:p w14:paraId="3C20975E">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2、投标文件的封装要求</w:t>
      </w:r>
    </w:p>
    <w:p w14:paraId="210C610A">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（1）投标文件份数：资格证明文件、商务与技术文件、报价文件必须分别编制并分开单独装订成册：资格证明文件共</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份（正本</w:t>
      </w:r>
      <w:r>
        <w:rPr>
          <w:rFonts w:hint="eastAsia" w:ascii="宋体" w:hAnsi="宋体" w:eastAsia="宋体" w:cs="宋体"/>
          <w:color w:val="auto"/>
          <w:sz w:val="21"/>
          <w:szCs w:val="21"/>
          <w:highlight w:val="none"/>
          <w:lang w:val="en-US" w:eastAsia="zh-CN"/>
        </w:rPr>
        <w:t>一份，</w:t>
      </w:r>
      <w:r>
        <w:rPr>
          <w:rFonts w:hint="eastAsia" w:ascii="宋体" w:hAnsi="宋体" w:eastAsia="宋体" w:cs="宋体"/>
          <w:color w:val="auto"/>
          <w:sz w:val="21"/>
          <w:szCs w:val="21"/>
          <w:highlight w:val="none"/>
        </w:rPr>
        <w:t>副本</w:t>
      </w:r>
      <w:r>
        <w:rPr>
          <w:rFonts w:hint="eastAsia" w:ascii="宋体" w:hAnsi="宋体" w:eastAsia="宋体" w:cs="宋体"/>
          <w:color w:val="auto"/>
          <w:sz w:val="21"/>
          <w:szCs w:val="21"/>
          <w:highlight w:val="none"/>
          <w:lang w:val="en-US" w:eastAsia="zh-CN"/>
        </w:rPr>
        <w:t>四份</w:t>
      </w:r>
      <w:r>
        <w:rPr>
          <w:rFonts w:hint="eastAsia" w:ascii="宋体" w:hAnsi="宋体" w:eastAsia="宋体" w:cs="宋体"/>
          <w:color w:val="auto"/>
          <w:sz w:val="21"/>
          <w:szCs w:val="21"/>
          <w:highlight w:val="none"/>
        </w:rPr>
        <w:t>，封装成一袋），商务与技术文件共</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份（正本</w:t>
      </w:r>
      <w:r>
        <w:rPr>
          <w:rFonts w:hint="eastAsia" w:ascii="宋体" w:hAnsi="宋体" w:eastAsia="宋体" w:cs="宋体"/>
          <w:color w:val="auto"/>
          <w:sz w:val="21"/>
          <w:szCs w:val="21"/>
          <w:highlight w:val="none"/>
          <w:lang w:val="en-US" w:eastAsia="zh-CN"/>
        </w:rPr>
        <w:t>一份，</w:t>
      </w:r>
      <w:r>
        <w:rPr>
          <w:rFonts w:hint="eastAsia" w:ascii="宋体" w:hAnsi="宋体" w:eastAsia="宋体" w:cs="宋体"/>
          <w:color w:val="auto"/>
          <w:sz w:val="21"/>
          <w:szCs w:val="21"/>
          <w:highlight w:val="none"/>
        </w:rPr>
        <w:t>副本</w:t>
      </w:r>
      <w:r>
        <w:rPr>
          <w:rFonts w:hint="eastAsia" w:ascii="宋体" w:hAnsi="宋体" w:eastAsia="宋体" w:cs="宋体"/>
          <w:color w:val="auto"/>
          <w:sz w:val="21"/>
          <w:szCs w:val="21"/>
          <w:highlight w:val="none"/>
          <w:lang w:val="en-US" w:eastAsia="zh-CN"/>
        </w:rPr>
        <w:t>四份</w:t>
      </w:r>
      <w:r>
        <w:rPr>
          <w:rFonts w:hint="eastAsia" w:ascii="宋体" w:hAnsi="宋体" w:eastAsia="宋体" w:cs="宋体"/>
          <w:color w:val="auto"/>
          <w:sz w:val="21"/>
          <w:szCs w:val="21"/>
          <w:highlight w:val="none"/>
        </w:rPr>
        <w:t>，封装成一袋），报价文件共</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份（正本</w:t>
      </w:r>
      <w:r>
        <w:rPr>
          <w:rFonts w:hint="eastAsia" w:ascii="宋体" w:hAnsi="宋体" w:eastAsia="宋体" w:cs="宋体"/>
          <w:color w:val="auto"/>
          <w:sz w:val="21"/>
          <w:szCs w:val="21"/>
          <w:highlight w:val="none"/>
          <w:lang w:val="en-US" w:eastAsia="zh-CN"/>
        </w:rPr>
        <w:t>一份，</w:t>
      </w:r>
      <w:r>
        <w:rPr>
          <w:rFonts w:hint="eastAsia" w:ascii="宋体" w:hAnsi="宋体" w:eastAsia="宋体" w:cs="宋体"/>
          <w:color w:val="auto"/>
          <w:sz w:val="21"/>
          <w:szCs w:val="21"/>
          <w:highlight w:val="none"/>
        </w:rPr>
        <w:t>副本</w:t>
      </w:r>
      <w:r>
        <w:rPr>
          <w:rFonts w:hint="eastAsia" w:ascii="宋体" w:hAnsi="宋体" w:eastAsia="宋体" w:cs="宋体"/>
          <w:color w:val="auto"/>
          <w:sz w:val="21"/>
          <w:szCs w:val="21"/>
          <w:highlight w:val="none"/>
          <w:lang w:val="en-US" w:eastAsia="zh-CN"/>
        </w:rPr>
        <w:t>四份</w:t>
      </w:r>
      <w:r>
        <w:rPr>
          <w:rFonts w:hint="eastAsia" w:ascii="宋体" w:hAnsi="宋体" w:eastAsia="宋体" w:cs="宋体"/>
          <w:color w:val="auto"/>
          <w:sz w:val="21"/>
          <w:szCs w:val="21"/>
          <w:highlight w:val="none"/>
        </w:rPr>
        <w:t>，封装成一袋）。投标文件的正本封面必须注明“正本”字样，副本可以采用正本的复印件。除报价文件外其余一律不准出现数字报价。如有不同标段，请按标段号分别装订，密封要求同上。</w:t>
      </w:r>
    </w:p>
    <w:p w14:paraId="41E45B07">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（2）所有投标资料按投标文件的组成所列内容及顺序装订成册，</w:t>
      </w:r>
      <w:r>
        <w:rPr>
          <w:rFonts w:hint="eastAsia" w:ascii="宋体" w:hAnsi="宋体" w:eastAsia="宋体" w:cs="宋体"/>
          <w:color w:val="auto"/>
          <w:sz w:val="21"/>
          <w:szCs w:val="21"/>
          <w:highlight w:val="none"/>
          <w:lang w:val="zh-CN"/>
        </w:rPr>
        <w:t>并逐页连续标注页码。因投标文件内容不完整、编排混乱导致投标文件被误读、漏读或者查找不到相关内容的责任由投标人自行承担。</w:t>
      </w:r>
    </w:p>
    <w:p w14:paraId="5B200C25">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（3）密封袋的封口处应有投标单位公章</w:t>
      </w:r>
      <w:r>
        <w:rPr>
          <w:rFonts w:hint="eastAsia" w:ascii="宋体" w:hAnsi="宋体" w:eastAsia="宋体" w:cs="宋体"/>
          <w:color w:val="auto"/>
          <w:sz w:val="21"/>
          <w:szCs w:val="21"/>
          <w:highlight w:val="none"/>
          <w:lang w:val="en-US" w:eastAsia="zh-CN"/>
        </w:rPr>
        <w:t>和法定代表人或</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签名。封皮上写明项目编号、标项、招标项目名称、投标人名称，并注明“投标文件名称（</w:t>
      </w:r>
      <w:r>
        <w:rPr>
          <w:rFonts w:hint="eastAsia" w:ascii="宋体" w:hAnsi="宋体" w:eastAsia="宋体" w:cs="宋体"/>
          <w:color w:val="auto"/>
          <w:sz w:val="21"/>
          <w:szCs w:val="21"/>
          <w:highlight w:val="none"/>
          <w:lang w:val="zh-CN"/>
        </w:rPr>
        <w:t>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lang w:val="zh-CN"/>
        </w:rPr>
        <w:t>商务</w:t>
      </w:r>
      <w:r>
        <w:rPr>
          <w:rFonts w:hint="eastAsia" w:ascii="宋体" w:hAnsi="宋体" w:eastAsia="宋体" w:cs="宋体"/>
          <w:color w:val="auto"/>
          <w:sz w:val="21"/>
          <w:szCs w:val="21"/>
          <w:highlight w:val="none"/>
          <w:lang w:val="en-US" w:eastAsia="zh-CN"/>
        </w:rPr>
        <w:t>与</w:t>
      </w:r>
      <w:r>
        <w:rPr>
          <w:rFonts w:hint="eastAsia" w:ascii="宋体" w:hAnsi="宋体" w:eastAsia="宋体" w:cs="宋体"/>
          <w:color w:val="auto"/>
          <w:sz w:val="21"/>
          <w:szCs w:val="21"/>
          <w:highlight w:val="none"/>
          <w:lang w:val="zh-CN"/>
        </w:rPr>
        <w:t>技术文件</w:t>
      </w:r>
      <w:r>
        <w:rPr>
          <w:rFonts w:hint="eastAsia" w:ascii="宋体" w:hAnsi="宋体" w:eastAsia="宋体" w:cs="宋体"/>
          <w:color w:val="auto"/>
          <w:sz w:val="21"/>
          <w:szCs w:val="21"/>
          <w:highlight w:val="none"/>
        </w:rPr>
        <w:t>、报价文件）”、“开标时启封”字样，未按上述要求密封及加写标记，采购代理机构对投标文件的误投和提前启封不负责任。</w:t>
      </w:r>
    </w:p>
    <w:p w14:paraId="79F1C50B">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（4）项目如分标项，各标项投标文件必须分开编制，并按上述份数要求单独密封包装。</w:t>
      </w:r>
    </w:p>
    <w:p w14:paraId="4320AF4A">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14:paraId="1FBCA2D5">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3、投标文件的递交要求</w:t>
      </w:r>
    </w:p>
    <w:p w14:paraId="74A5012C">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bCs/>
          <w:color w:val="auto"/>
          <w:highlight w:val="none"/>
        </w:rPr>
        <w:t>本项目需要投标人将投标文件在</w:t>
      </w:r>
      <w:r>
        <w:rPr>
          <w:rFonts w:hint="eastAsia" w:ascii="宋体" w:hAnsi="宋体" w:cs="宋体"/>
          <w:b/>
          <w:bCs/>
          <w:color w:val="auto"/>
          <w:highlight w:val="none"/>
          <w:lang w:eastAsia="zh-CN"/>
        </w:rPr>
        <w:t>投标截止时间前（建议提前半天送达）按要求</w:t>
      </w:r>
      <w:r>
        <w:rPr>
          <w:rFonts w:hint="eastAsia" w:ascii="宋体" w:hAnsi="宋体" w:eastAsia="宋体" w:cs="宋体"/>
          <w:b/>
          <w:bCs/>
          <w:color w:val="auto"/>
          <w:highlight w:val="none"/>
        </w:rPr>
        <w:t>密封并顺丰邮寄到台州市椒江区中环世纪6幢8</w:t>
      </w:r>
      <w:r>
        <w:rPr>
          <w:rFonts w:hint="eastAsia" w:ascii="宋体" w:hAnsi="宋体" w:eastAsia="宋体" w:cs="宋体"/>
          <w:b/>
          <w:bCs/>
          <w:color w:val="auto"/>
          <w:highlight w:val="none"/>
          <w:lang w:val="en-US" w:eastAsia="zh-CN"/>
        </w:rPr>
        <w:t>楼</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浙江汇永工程咨询有限公司</w:t>
      </w:r>
      <w:r>
        <w:rPr>
          <w:rFonts w:hint="eastAsia" w:ascii="宋体" w:hAnsi="宋体" w:eastAsia="宋体" w:cs="宋体"/>
          <w:b/>
          <w:bCs/>
          <w:color w:val="auto"/>
          <w:highlight w:val="none"/>
        </w:rPr>
        <w:t>），逾期寄达或未按要求密封将被拒收。</w:t>
      </w:r>
    </w:p>
    <w:p w14:paraId="5F1EF48A">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（2）如有特殊情况，采购组织机构延长截止时间和开标时间，采购组织机构和投标人的权利和义务将受到新的截止时间和开标时间的约束。</w:t>
      </w:r>
    </w:p>
    <w:p w14:paraId="4D514E38">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4、投标文件的补充、修改和撤回。</w:t>
      </w:r>
    </w:p>
    <w:p w14:paraId="7A4CF13F">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（1）投标人如需对上交的投标文件进行补充、修改或撤回的，必须在投标截止时间以前将书面的修改文件或撤消通知送达采购组织机构。</w:t>
      </w:r>
    </w:p>
    <w:p w14:paraId="7DA5D55B">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（2）投标修改文件必须密封，在密封袋上写明项目编号、标段、招标项目名称、投标人名称、并注明“修改文件”、“开标时启封”字样，其作为投标文件的组成部份。</w:t>
      </w:r>
    </w:p>
    <w:p w14:paraId="33746D73">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（三）投标文件的有效期</w:t>
      </w:r>
    </w:p>
    <w:p w14:paraId="154FC4CF">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GB"/>
        </w:rPr>
        <w:t>自投标截止日起90天投标文件应保持有效。有效期不足的投标文件将被拒绝。</w:t>
      </w:r>
    </w:p>
    <w:p w14:paraId="7BA5FCB4">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GB"/>
        </w:rPr>
        <w:t>在特殊情况下，采购人可与投标人协商延长投标文件的有效期，这种要求和答复均以书面形式进行。</w:t>
      </w:r>
    </w:p>
    <w:p w14:paraId="3AEBF850">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3、中标人的投标文件自开标之日起至合同履行完毕均应保持有效。</w:t>
      </w:r>
    </w:p>
    <w:p w14:paraId="21F503C7">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开标</w:t>
      </w:r>
    </w:p>
    <w:p w14:paraId="541A9D05">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（一）开标事项</w:t>
      </w:r>
    </w:p>
    <w:p w14:paraId="486DB23C">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在“招标公告”规定的时间和地点公开开标，投标人的法定代表人或其授权代表应参加开标会并签到。投标人的法定代表人或其授权代表未按时签到的，视同放弃开标监督权利、认可开标结果。采购组织机构工作人员接收投标文件并登记，</w:t>
      </w:r>
      <w:r>
        <w:rPr>
          <w:rFonts w:hint="eastAsia" w:ascii="宋体" w:hAnsi="宋体" w:eastAsia="宋体" w:cs="宋体"/>
          <w:color w:val="auto"/>
          <w:sz w:val="21"/>
          <w:szCs w:val="21"/>
          <w:highlight w:val="none"/>
          <w:lang w:eastAsia="zh-CN"/>
        </w:rPr>
        <w:t>并由供应商代表对递交记录情况进行钉钉确认</w:t>
      </w:r>
      <w:r>
        <w:rPr>
          <w:rFonts w:hint="eastAsia" w:ascii="宋体" w:hAnsi="宋体" w:eastAsia="宋体" w:cs="宋体"/>
          <w:color w:val="auto"/>
          <w:sz w:val="21"/>
          <w:szCs w:val="21"/>
          <w:highlight w:val="none"/>
        </w:rPr>
        <w:t>。评标委员会成员不得参加开标活动。（本次招标采用先评审商务资格和技术服务方案，后公开并评审商务报价的办法实施）。</w:t>
      </w:r>
    </w:p>
    <w:p w14:paraId="22B4546F">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 开标程序</w:t>
      </w:r>
    </w:p>
    <w:p w14:paraId="653683EB">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1、开标会由招标项目负责人主持，主持人宣布开标会议开始；</w:t>
      </w:r>
    </w:p>
    <w:p w14:paraId="22A36A44">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2、主持人介绍参加开标会的人员名单； </w:t>
      </w:r>
    </w:p>
    <w:p w14:paraId="2FFADE1D">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3、主持人宣布评标期间的有关事项，告知应当回避的情形,提请有关人员回避；</w:t>
      </w:r>
    </w:p>
    <w:p w14:paraId="2E0E001B">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4、投标人或其当场推荐的代表，检查投标文件密封的完整性；</w:t>
      </w:r>
    </w:p>
    <w:p w14:paraId="1D4EB11A">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5、按投标文件递交的先后顺序当场拆封资格证明文件、</w:t>
      </w:r>
      <w:r>
        <w:rPr>
          <w:rFonts w:hint="eastAsia" w:ascii="宋体" w:hAnsi="宋体" w:eastAsia="宋体" w:cs="宋体"/>
          <w:color w:val="auto"/>
          <w:sz w:val="21"/>
          <w:szCs w:val="21"/>
          <w:highlight w:val="none"/>
          <w:lang w:val="zh-CN"/>
        </w:rPr>
        <w:t>商务与技术文件</w:t>
      </w:r>
      <w:r>
        <w:rPr>
          <w:rFonts w:hint="eastAsia" w:ascii="宋体" w:hAnsi="宋体" w:eastAsia="宋体" w:cs="宋体"/>
          <w:color w:val="auto"/>
          <w:sz w:val="21"/>
          <w:szCs w:val="21"/>
          <w:highlight w:val="none"/>
        </w:rPr>
        <w:t>后，进入资格审查及符合性审查环节；</w:t>
      </w:r>
    </w:p>
    <w:p w14:paraId="5C962411">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6、完成综合比较与评价后，由主持人按投标文件的先后顺序当场拆封报价文件，并现场宣读《开标一览表》中的投标报价，以及采购组织机构认为有必要宣读的其他内容；</w:t>
      </w:r>
    </w:p>
    <w:p w14:paraId="5F932B5D">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7、采购组织机构做开标记录, </w:t>
      </w:r>
      <w:r>
        <w:rPr>
          <w:rFonts w:hint="eastAsia" w:ascii="宋体" w:hAnsi="宋体" w:eastAsia="宋体" w:cs="宋体"/>
          <w:color w:val="auto"/>
          <w:sz w:val="21"/>
          <w:szCs w:val="21"/>
          <w:highlight w:val="none"/>
          <w:lang w:eastAsia="zh-CN"/>
        </w:rPr>
        <w:t>投标人代表对开标记录进行当场校核及勘误，并钉钉确认</w:t>
      </w:r>
      <w:r>
        <w:rPr>
          <w:rFonts w:hint="eastAsia" w:ascii="宋体" w:hAnsi="宋体" w:eastAsia="宋体" w:cs="宋体"/>
          <w:color w:val="auto"/>
          <w:sz w:val="21"/>
          <w:szCs w:val="21"/>
          <w:highlight w:val="none"/>
        </w:rPr>
        <w:t>。同时由记录人、监督人当场签字确认。</w:t>
      </w:r>
      <w:r>
        <w:rPr>
          <w:rFonts w:hint="eastAsia" w:ascii="宋体" w:hAnsi="宋体" w:eastAsia="宋体" w:cs="宋体"/>
          <w:color w:val="auto"/>
          <w:sz w:val="21"/>
          <w:szCs w:val="21"/>
          <w:highlight w:val="none"/>
          <w:lang w:eastAsia="zh-CN"/>
        </w:rPr>
        <w:t>投标人代表未确认的，不影响评标过程</w:t>
      </w:r>
      <w:r>
        <w:rPr>
          <w:rFonts w:hint="eastAsia" w:ascii="宋体" w:hAnsi="宋体" w:eastAsia="宋体" w:cs="宋体"/>
          <w:color w:val="auto"/>
          <w:sz w:val="21"/>
          <w:szCs w:val="21"/>
          <w:highlight w:val="none"/>
        </w:rPr>
        <w:t>；</w:t>
      </w:r>
    </w:p>
    <w:p w14:paraId="10016D4D">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8、在完成评标后，宣布评标结果，开标会议结束。</w:t>
      </w:r>
    </w:p>
    <w:p w14:paraId="2BA05E07">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、评标</w:t>
      </w:r>
    </w:p>
    <w:p w14:paraId="14A6CFC1">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（一）组建评标委员会</w:t>
      </w:r>
    </w:p>
    <w:p w14:paraId="44EB1777">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评标委员会由采购人代表和评审专家组成，成员人数为5人以上单数，其中评审专家不得少于成员总数的三分之二。</w:t>
      </w:r>
    </w:p>
    <w:p w14:paraId="7FC4E90E">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（二）评标程序</w:t>
      </w:r>
    </w:p>
    <w:p w14:paraId="7B64C070">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w:t>
      </w:r>
    </w:p>
    <w:p w14:paraId="71F33020">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74EA245A">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2、符合性审查</w:t>
      </w:r>
    </w:p>
    <w:p w14:paraId="3822A1B3">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37DB65DE">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3、综合比较与评价</w:t>
      </w:r>
    </w:p>
    <w:p w14:paraId="4DADFD4B">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（1）对于投标文件中含义不明确、同类问题表述不一致或者有明显文字和计算错误的内容，评标委员会应当以书面形式要求投标人作出必要的澄清、说明或者补正。</w:t>
      </w:r>
    </w:p>
    <w:p w14:paraId="2EC4C8AA">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4916BEF1">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（3）评标时，评标委员会各成员应当独立对每个投标人的投标文件进行评价，并汇总每个投标人的得分。</w:t>
      </w:r>
    </w:p>
    <w:p w14:paraId="1F7771EA">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4、得分确认及评审报告编写</w:t>
      </w:r>
    </w:p>
    <w:p w14:paraId="4EE3C32A">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（1）评标委员会对报价文件进行复核，对于系统计算出的价格分及总得分进行确认；</w:t>
      </w:r>
    </w:p>
    <w:p w14:paraId="3A77A500">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4409C506">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（3）评标委员会按评标原则及得分情况编写评审报告。</w:t>
      </w:r>
    </w:p>
    <w:p w14:paraId="785C9206">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5、评价</w:t>
      </w:r>
    </w:p>
    <w:p w14:paraId="5B291540">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采购组织机构对评标委员会评审专家进行评价。</w:t>
      </w:r>
    </w:p>
    <w:p w14:paraId="3ACD47FE">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（三）澄清问题的形式</w:t>
      </w:r>
    </w:p>
    <w:p w14:paraId="1FF0C9D2">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投标人的澄清、说明或者补正应当采用书面形式，并加盖公章或者由法定代理人或其授权的代表签字，并不得超出投标文件的范围或者改变投标文件的实质性内容。</w:t>
      </w:r>
    </w:p>
    <w:p w14:paraId="746187D5">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（四）错误修正</w:t>
      </w:r>
    </w:p>
    <w:p w14:paraId="00AC13C0">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投标文件报价出现前后不一致的，除招标文件另有规定外，按照下列规定修正：</w:t>
      </w:r>
    </w:p>
    <w:p w14:paraId="7EDED1C9">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1、投标文件中开标一览表内容与投标文件中相应内容不一致的，以开标一览表为准；</w:t>
      </w:r>
    </w:p>
    <w:p w14:paraId="674B3D46">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1D2396B7">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14:paraId="4828A358">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04427DA5">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6022B35E">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（五）投标人存在下列情况之一的，投标无效</w:t>
      </w:r>
    </w:p>
    <w:p w14:paraId="5EB9077D">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03702D7D">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2、不具备招标文件中规定的资格要求的。</w:t>
      </w:r>
      <w:r>
        <w:rPr>
          <w:rFonts w:hint="eastAsia" w:ascii="宋体" w:hAnsi="宋体" w:eastAsia="宋体" w:cs="宋体"/>
          <w:color w:val="auto"/>
          <w:sz w:val="21"/>
          <w:szCs w:val="21"/>
          <w:highlight w:val="none"/>
        </w:rPr>
        <w:tab/>
      </w:r>
    </w:p>
    <w:p w14:paraId="6FEAEAD2">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3、投标文件含有采购人不能接受的附加条件的。</w:t>
      </w:r>
    </w:p>
    <w:p w14:paraId="4DAC0D40">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4、投标代表人未能出具身份证明或与法定代表人授权委托人身份不符的；</w:t>
      </w:r>
    </w:p>
    <w:p w14:paraId="6B933B2A">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3C1EC86">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6、报价超过招标文件中规定的最高限价。 </w:t>
      </w:r>
    </w:p>
    <w:p w14:paraId="5F2C11EC">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7、投标参数未如实填写，完全复制粘贴招标参数的。</w:t>
      </w:r>
    </w:p>
    <w:p w14:paraId="183BE0EB">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8、投标文件提供虚假材料的。 </w:t>
      </w:r>
    </w:p>
    <w:p w14:paraId="3C8DB3CE">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9、不符合中华人民共和国财政部令第87号《政府采购货物和服务招标投标管理办法》第三十七条情形之一的，视为投标人串通投标，其投标无效，并移送采购监管部门：</w:t>
      </w:r>
    </w:p>
    <w:p w14:paraId="5EBB3B65">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19FEEAF4">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334EB0E7">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（3）不同投标人的投标文件载明的项目管理成员或者联系人员为同一人；</w:t>
      </w:r>
    </w:p>
    <w:p w14:paraId="00A519AE">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6A88C397">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7893478F">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、不符合法律、法规和招标文件中规定的其他实质性要求的（招标文件中打“▲”内容及被拒绝的条款）。</w:t>
      </w:r>
    </w:p>
    <w:p w14:paraId="606D6833">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（六）有下列情况之一的，本次招标作为废标处理</w:t>
      </w:r>
    </w:p>
    <w:p w14:paraId="065D1492">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6AAD79A6">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2、评标委员会发现招标文件存在歧义、重大缺陷导致评标工作无法进行，或者招标文件内容违反国家有关强制性规定的；</w:t>
      </w:r>
    </w:p>
    <w:p w14:paraId="7711BA3C">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50A99CDA">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4、法律、法规和招标文件规定的其他导致评标结果无效的。</w:t>
      </w:r>
    </w:p>
    <w:p w14:paraId="41C82F4E">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（七）评标原则和评标办法</w:t>
      </w:r>
    </w:p>
    <w:p w14:paraId="513F7A37">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157826B">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2、评标办法。具体评标内容及评分标准等详见《第三章：评标</w:t>
      </w:r>
      <w:r>
        <w:rPr>
          <w:rFonts w:hint="eastAsia" w:ascii="宋体" w:hAnsi="宋体" w:eastAsia="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28BEEB2B">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（八）评标过程的监控</w:t>
      </w:r>
    </w:p>
    <w:p w14:paraId="018EBD55">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本项目评标过程实行全程录音、录像监控，采购监管部门视情进行现场监督，投标人在评标过程中所进行的试图影响评标结果的不公正活动，可能导致其投标被拒绝。</w:t>
      </w:r>
    </w:p>
    <w:p w14:paraId="574E46EF">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、定标</w:t>
      </w:r>
    </w:p>
    <w:p w14:paraId="64C2668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1、确定中标供应商。评标委员会根据</w:t>
      </w:r>
      <w:r>
        <w:rPr>
          <w:rFonts w:hint="eastAsia" w:ascii="宋体" w:hAnsi="宋体" w:eastAsia="宋体" w:cs="宋体"/>
          <w:color w:val="auto"/>
          <w:sz w:val="21"/>
          <w:szCs w:val="21"/>
          <w:highlight w:val="none"/>
          <w:lang w:val="en-US" w:eastAsia="zh-CN"/>
        </w:rPr>
        <w:t>评标结果</w:t>
      </w:r>
      <w:r>
        <w:rPr>
          <w:rFonts w:hint="eastAsia" w:ascii="宋体" w:hAnsi="宋体" w:eastAsia="宋体" w:cs="宋体"/>
          <w:color w:val="auto"/>
          <w:sz w:val="21"/>
          <w:szCs w:val="21"/>
          <w:highlight w:val="none"/>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59327E3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14:paraId="4730D64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3、发出中标通知书。采购组织机构在发布中标结果的同时，向中标人发出中标通知书。</w:t>
      </w:r>
    </w:p>
    <w:p w14:paraId="3168484D">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2D9643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5、招标代理费：按定额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w:t>
      </w:r>
      <w:r>
        <w:rPr>
          <w:rFonts w:hint="eastAsia" w:ascii="宋体" w:hAnsi="宋体" w:eastAsia="宋体" w:cs="宋体"/>
          <w:color w:val="auto"/>
          <w:sz w:val="21"/>
          <w:szCs w:val="21"/>
          <w:highlight w:val="none"/>
          <w:lang w:eastAsia="zh-CN"/>
        </w:rPr>
        <w:t>浙江汇永工程咨询有限公司</w:t>
      </w:r>
      <w:r>
        <w:rPr>
          <w:rFonts w:hint="eastAsia" w:ascii="宋体" w:hAnsi="宋体" w:eastAsia="宋体" w:cs="宋体"/>
          <w:color w:val="auto"/>
          <w:sz w:val="21"/>
          <w:szCs w:val="21"/>
          <w:highlight w:val="none"/>
        </w:rPr>
        <w:t>；人民币账号：</w:t>
      </w:r>
      <w:r>
        <w:rPr>
          <w:rFonts w:hint="eastAsia" w:ascii="宋体" w:hAnsi="宋体" w:eastAsia="宋体" w:cs="宋体"/>
          <w:color w:val="auto"/>
          <w:sz w:val="21"/>
          <w:szCs w:val="21"/>
          <w:highlight w:val="none"/>
          <w:lang w:eastAsia="zh-CN"/>
        </w:rPr>
        <w:t>550423591600015</w:t>
      </w:r>
      <w:r>
        <w:rPr>
          <w:rFonts w:hint="eastAsia" w:ascii="宋体" w:hAnsi="宋体" w:eastAsia="宋体" w:cs="宋体"/>
          <w:color w:val="auto"/>
          <w:sz w:val="21"/>
          <w:szCs w:val="21"/>
          <w:highlight w:val="none"/>
        </w:rPr>
        <w:t>；开户行：</w:t>
      </w:r>
      <w:r>
        <w:rPr>
          <w:rFonts w:hint="eastAsia" w:ascii="宋体" w:hAnsi="宋体" w:eastAsia="宋体" w:cs="宋体"/>
          <w:color w:val="auto"/>
          <w:sz w:val="21"/>
          <w:szCs w:val="21"/>
          <w:highlight w:val="none"/>
          <w:lang w:eastAsia="zh-CN"/>
        </w:rPr>
        <w:t>台州银行市府大道支行</w:t>
      </w:r>
      <w:r>
        <w:rPr>
          <w:rFonts w:hint="eastAsia" w:ascii="宋体" w:hAnsi="宋体" w:eastAsia="宋体" w:cs="宋体"/>
          <w:color w:val="auto"/>
          <w:sz w:val="21"/>
          <w:szCs w:val="21"/>
          <w:highlight w:val="none"/>
        </w:rPr>
        <w:t>）</w:t>
      </w:r>
    </w:p>
    <w:p w14:paraId="73CE656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、合同签订</w:t>
      </w:r>
    </w:p>
    <w:p w14:paraId="1B6F47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1、采购人应当自中标通知书发出之日起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日内，按照招标文件和中标人投标文件的规定，与中标人签订书面合同。所签订的合同不得对招标文件确定的事项和中标人投标文件作实质性修改。</w:t>
      </w:r>
    </w:p>
    <w:p w14:paraId="06AEAA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2、采购人不得向中标人提出任何不合理的要求作为签订合同的条件。</w:t>
      </w:r>
    </w:p>
    <w:p w14:paraId="69D3FD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3、中标供应商无故拖延、拒签合同的,取消中标资格。</w:t>
      </w:r>
    </w:p>
    <w:p w14:paraId="17FF1D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4、中标供应商拒绝与采购人签订合同的，采购人可以按照评审报告推荐的中标候选人名单排序，确定下一候选人为中标供应商，也可以重新开展采购活动。</w:t>
      </w:r>
    </w:p>
    <w:p w14:paraId="007992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5C6B37B8">
      <w:pPr>
        <w:spacing w:line="360" w:lineRule="auto"/>
        <w:jc w:val="center"/>
        <w:outlineLvl w:val="0"/>
        <w:rPr>
          <w:rFonts w:hint="eastAsia" w:ascii="宋体" w:hAnsi="宋体" w:eastAsia="宋体" w:cs="宋体"/>
          <w:b/>
          <w:color w:val="auto"/>
          <w:sz w:val="36"/>
          <w:szCs w:val="36"/>
          <w:highlight w:val="none"/>
        </w:rPr>
        <w:sectPr>
          <w:pgSz w:w="11906" w:h="16838"/>
          <w:pgMar w:top="1440" w:right="1800" w:bottom="1440" w:left="1800" w:header="851" w:footer="992" w:gutter="0"/>
          <w:pgNumType w:fmt="numberInDash"/>
          <w:cols w:space="425" w:num="1"/>
          <w:docGrid w:type="lines" w:linePitch="312" w:charSpace="0"/>
        </w:sectPr>
      </w:pPr>
    </w:p>
    <w:p w14:paraId="494EF8BA">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14:paraId="1A9ECF4B">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一、采购组织机构将组织评标委员会，对投标人提供的投标文件进行综合评审。</w:t>
      </w:r>
    </w:p>
    <w:p w14:paraId="741DCA67">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二、本次招标项目的评标方法为综合评分法，总计100分，其中</w:t>
      </w:r>
      <w:r>
        <w:rPr>
          <w:rFonts w:hint="eastAsia" w:ascii="宋体" w:hAnsi="宋体" w:eastAsia="宋体" w:cs="宋体"/>
          <w:color w:val="auto"/>
          <w:sz w:val="21"/>
          <w:szCs w:val="21"/>
          <w:highlight w:val="none"/>
          <w:lang w:val="zh-CN"/>
        </w:rPr>
        <w:t>商务技术文件分值</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分，投标报价分值</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。评标标准按评分细化条款及分值进行评审。</w:t>
      </w:r>
    </w:p>
    <w:p w14:paraId="6DCE9D2D">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（一）商务技术文件中的客观分由评标委员会讨论后统一打分；其余在规定的分值内单独评定打分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color w:val="auto"/>
          <w:sz w:val="21"/>
          <w:szCs w:val="21"/>
          <w:highlight w:val="none"/>
          <w:lang w:val="zh-CN"/>
        </w:rPr>
        <w:t>。</w:t>
      </w:r>
    </w:p>
    <w:p w14:paraId="56DF227A">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（二）各投标人商务技术文件得分按照评标委员会成员的独立评分结果汇总后的算术平均分计算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，计算公式为：</w:t>
      </w:r>
    </w:p>
    <w:p w14:paraId="70776E31">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商务技术文件</w:t>
      </w: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val="zh-CN"/>
        </w:rPr>
        <w:t>=评标委员会所有成员评分合计数/评标委员会组成人员数。</w:t>
      </w:r>
    </w:p>
    <w:p w14:paraId="23071300">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（三）投标报价得分采用低价优先法计算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，即满足招标文件要求且投标价格最低的投标报价为评标基准价，其报价得满分。其他投标人的投标报价得分按下列公式计算：</w:t>
      </w:r>
    </w:p>
    <w:p w14:paraId="6914D691">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投标报价得分=(评标基准价／投标报价)×</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val="zh-CN"/>
        </w:rPr>
        <w:t>0%×100 。</w:t>
      </w:r>
    </w:p>
    <w:p w14:paraId="2FD19444">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（四）投标人综合得分＝商务技术文件得分＋投标报价得分。</w:t>
      </w:r>
    </w:p>
    <w:p w14:paraId="6A2F28BB">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rPr>
        <w:t>经评审专家统一认定明显低价有可能影响产品质量或者不能诚信履约的做无效标处理。</w:t>
      </w:r>
    </w:p>
    <w:p w14:paraId="0B25C97F">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三、在最大限度地满足招标文件实质性要求前提下，评标委员会按照招标文件中规定的各项因素进行综合评审后，以评审总得分最高的投标人为第一中标候选人，评审总得分次高的投标人为为第二中标候选人。</w:t>
      </w:r>
    </w:p>
    <w:p w14:paraId="2E050A04">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得分较高者为先。</w:t>
      </w:r>
    </w:p>
    <w:p w14:paraId="442FDFDD">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w:t>
      </w:r>
      <w:r>
        <w:rPr>
          <w:rFonts w:hint="eastAsia" w:ascii="宋体" w:hAnsi="宋体" w:cs="宋体"/>
          <w:color w:val="auto"/>
          <w:sz w:val="21"/>
          <w:szCs w:val="21"/>
          <w:highlight w:val="none"/>
          <w:lang w:val="en-US" w:eastAsia="zh-CN"/>
        </w:rPr>
        <w:t>核心产品</w:t>
      </w:r>
      <w:r>
        <w:rPr>
          <w:rFonts w:hint="eastAsia" w:ascii="宋体" w:hAnsi="宋体" w:eastAsia="宋体" w:cs="宋体"/>
          <w:color w:val="auto"/>
          <w:sz w:val="21"/>
          <w:szCs w:val="21"/>
          <w:highlight w:val="none"/>
          <w:lang w:val="zh-CN"/>
        </w:rPr>
        <w:t>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51343CA6">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六、本次评分具体分值细化条款如下表：</w:t>
      </w:r>
    </w:p>
    <w:p w14:paraId="7D3F6998">
      <w:pPr>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b/>
          <w:color w:val="auto"/>
          <w:szCs w:val="21"/>
          <w:highlight w:val="none"/>
        </w:rPr>
        <w:t>评标打分标准表</w:t>
      </w:r>
      <w:r>
        <w:rPr>
          <w:rFonts w:hint="eastAsia" w:ascii="宋体" w:hAnsi="宋体" w:eastAsia="宋体" w:cs="宋体"/>
          <w:color w:val="auto"/>
          <w:szCs w:val="21"/>
          <w:highlight w:val="none"/>
          <w:lang w:val="zh-CN"/>
        </w:rPr>
        <w:t xml:space="preserve"> </w:t>
      </w:r>
    </w:p>
    <w:tbl>
      <w:tblPr>
        <w:tblStyle w:val="20"/>
        <w:tblW w:w="9597" w:type="dxa"/>
        <w:jc w:val="center"/>
        <w:tblLayout w:type="fixed"/>
        <w:tblCellMar>
          <w:top w:w="15" w:type="dxa"/>
          <w:left w:w="15" w:type="dxa"/>
          <w:bottom w:w="15" w:type="dxa"/>
          <w:right w:w="15" w:type="dxa"/>
        </w:tblCellMar>
      </w:tblPr>
      <w:tblGrid>
        <w:gridCol w:w="843"/>
        <w:gridCol w:w="925"/>
        <w:gridCol w:w="6985"/>
        <w:gridCol w:w="844"/>
      </w:tblGrid>
      <w:tr w14:paraId="383D35E1">
        <w:tblPrEx>
          <w:tblCellMar>
            <w:top w:w="15" w:type="dxa"/>
            <w:left w:w="15" w:type="dxa"/>
            <w:bottom w:w="15" w:type="dxa"/>
            <w:right w:w="15" w:type="dxa"/>
          </w:tblCellMar>
        </w:tblPrEx>
        <w:trPr>
          <w:trHeight w:val="285" w:hRule="atLeast"/>
          <w:jc w:val="center"/>
        </w:trPr>
        <w:tc>
          <w:tcPr>
            <w:tcW w:w="1768" w:type="dxa"/>
            <w:gridSpan w:val="2"/>
            <w:tcBorders>
              <w:top w:val="single" w:color="auto" w:sz="4" w:space="0"/>
              <w:left w:val="single" w:color="auto" w:sz="4" w:space="0"/>
              <w:bottom w:val="single" w:color="auto" w:sz="4" w:space="0"/>
              <w:right w:val="single" w:color="auto" w:sz="4" w:space="0"/>
            </w:tcBorders>
            <w:vAlign w:val="center"/>
          </w:tcPr>
          <w:p w14:paraId="0D8E47F0">
            <w:pPr>
              <w:keepNext w:val="0"/>
              <w:keepLines/>
              <w:pageBreakBefore w:val="0"/>
              <w:widowControl/>
              <w:kinsoku/>
              <w:wordWrap w:val="0"/>
              <w:overflowPunct/>
              <w:topLinePunct w:val="0"/>
              <w:autoSpaceDE/>
              <w:autoSpaceDN/>
              <w:bidi w:val="0"/>
              <w:adjustRightInd/>
              <w:snapToGrid/>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评分内容</w:t>
            </w:r>
          </w:p>
        </w:tc>
        <w:tc>
          <w:tcPr>
            <w:tcW w:w="6985" w:type="dxa"/>
            <w:tcBorders>
              <w:top w:val="single" w:color="auto" w:sz="4" w:space="0"/>
              <w:left w:val="single" w:color="auto" w:sz="4" w:space="0"/>
              <w:bottom w:val="single" w:color="auto" w:sz="4" w:space="0"/>
              <w:right w:val="single" w:color="auto" w:sz="4" w:space="0"/>
            </w:tcBorders>
            <w:vAlign w:val="center"/>
          </w:tcPr>
          <w:p w14:paraId="75152805">
            <w:pPr>
              <w:keepNext w:val="0"/>
              <w:keepLines/>
              <w:pageBreakBefore w:val="0"/>
              <w:widowControl/>
              <w:kinsoku/>
              <w:wordWrap w:val="0"/>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评分标准</w:t>
            </w:r>
          </w:p>
        </w:tc>
        <w:tc>
          <w:tcPr>
            <w:tcW w:w="844" w:type="dxa"/>
            <w:tcBorders>
              <w:top w:val="single" w:color="auto" w:sz="4" w:space="0"/>
              <w:left w:val="single" w:color="auto" w:sz="4" w:space="0"/>
              <w:bottom w:val="single" w:color="auto" w:sz="4" w:space="0"/>
              <w:right w:val="single" w:color="auto" w:sz="4" w:space="0"/>
            </w:tcBorders>
            <w:vAlign w:val="center"/>
          </w:tcPr>
          <w:p w14:paraId="4D523475">
            <w:pPr>
              <w:keepNext w:val="0"/>
              <w:keepLines/>
              <w:pageBreakBefore w:val="0"/>
              <w:widowControl/>
              <w:kinsoku/>
              <w:wordWrap w:val="0"/>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r>
      <w:tr w14:paraId="20F7FA78">
        <w:tblPrEx>
          <w:tblCellMar>
            <w:top w:w="15" w:type="dxa"/>
            <w:left w:w="15" w:type="dxa"/>
            <w:bottom w:w="15" w:type="dxa"/>
            <w:right w:w="15" w:type="dxa"/>
          </w:tblCellMar>
        </w:tblPrEx>
        <w:trPr>
          <w:trHeight w:val="90" w:hRule="atLeast"/>
          <w:jc w:val="center"/>
        </w:trPr>
        <w:tc>
          <w:tcPr>
            <w:tcW w:w="843" w:type="dxa"/>
            <w:vMerge w:val="restart"/>
            <w:tcBorders>
              <w:top w:val="single" w:color="auto" w:sz="4" w:space="0"/>
              <w:left w:val="single" w:color="auto" w:sz="4" w:space="0"/>
              <w:right w:val="single" w:color="auto" w:sz="4" w:space="0"/>
            </w:tcBorders>
            <w:vAlign w:val="center"/>
          </w:tcPr>
          <w:p w14:paraId="5D72987B">
            <w:pPr>
              <w:keepNext w:val="0"/>
              <w:keepLines/>
              <w:pageBreakBefore w:val="0"/>
              <w:widowControl/>
              <w:kinsoku/>
              <w:wordWrap w:val="0"/>
              <w:overflowPunct/>
              <w:topLinePunct w:val="0"/>
              <w:autoSpaceDE/>
              <w:autoSpaceDN/>
              <w:bidi w:val="0"/>
              <w:adjustRightInd/>
              <w:snapToGrid/>
              <w:spacing w:line="240" w:lineRule="auto"/>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商务分</w:t>
            </w:r>
          </w:p>
          <w:p w14:paraId="6B0AD145">
            <w:pPr>
              <w:keepNext w:val="0"/>
              <w:keepLines/>
              <w:pageBreakBefore w:val="0"/>
              <w:widowControl/>
              <w:kinsoku/>
              <w:wordWrap w:val="0"/>
              <w:overflowPunct/>
              <w:topLinePunct w:val="0"/>
              <w:autoSpaceDE/>
              <w:autoSpaceDN/>
              <w:bidi w:val="0"/>
              <w:adjustRightInd/>
              <w:snapToGrid/>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10</w:t>
            </w:r>
            <w:r>
              <w:rPr>
                <w:rFonts w:hint="eastAsia" w:ascii="宋体" w:hAnsi="宋体" w:eastAsia="宋体" w:cs="宋体"/>
                <w:color w:val="auto"/>
                <w:highlight w:val="none"/>
              </w:rPr>
              <w:t>分）</w:t>
            </w:r>
          </w:p>
        </w:tc>
        <w:tc>
          <w:tcPr>
            <w:tcW w:w="925" w:type="dxa"/>
            <w:vMerge w:val="restart"/>
            <w:tcBorders>
              <w:top w:val="single" w:color="auto" w:sz="4" w:space="0"/>
              <w:left w:val="single" w:color="auto" w:sz="4" w:space="0"/>
              <w:right w:val="single" w:color="auto" w:sz="4" w:space="0"/>
            </w:tcBorders>
            <w:vAlign w:val="center"/>
          </w:tcPr>
          <w:p w14:paraId="1BD51BC1">
            <w:pPr>
              <w:keepNext w:val="0"/>
              <w:keepLines/>
              <w:pageBreakBefore w:val="0"/>
              <w:widowControl/>
              <w:kinsoku/>
              <w:wordWrap w:val="0"/>
              <w:overflowPunct/>
              <w:topLinePunct w:val="0"/>
              <w:autoSpaceDE/>
              <w:autoSpaceDN/>
              <w:bidi w:val="0"/>
              <w:adjustRightInd/>
              <w:snapToGrid/>
              <w:spacing w:line="24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企业实力</w:t>
            </w:r>
          </w:p>
        </w:tc>
        <w:tc>
          <w:tcPr>
            <w:tcW w:w="6985" w:type="dxa"/>
            <w:tcBorders>
              <w:top w:val="single" w:color="auto" w:sz="4" w:space="0"/>
              <w:left w:val="single" w:color="auto" w:sz="4" w:space="0"/>
              <w:bottom w:val="single" w:color="auto" w:sz="4" w:space="0"/>
              <w:right w:val="single" w:color="auto" w:sz="4" w:space="0"/>
            </w:tcBorders>
            <w:vAlign w:val="top"/>
          </w:tcPr>
          <w:p w14:paraId="6DDBC1AB">
            <w:pP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投标人具有</w:t>
            </w:r>
            <w:r>
              <w:rPr>
                <w:rFonts w:hint="eastAsia" w:ascii="宋体" w:hAnsi="宋体" w:eastAsia="宋体" w:cs="宋体"/>
                <w:color w:val="auto"/>
                <w:kern w:val="0"/>
                <w:sz w:val="21"/>
                <w:szCs w:val="21"/>
                <w:highlight w:val="none"/>
              </w:rPr>
              <w:t>有效期内的信息安全管理体系认证</w:t>
            </w:r>
            <w:r>
              <w:rPr>
                <w:rFonts w:hint="eastAsia" w:ascii="宋体" w:hAnsi="宋体" w:eastAsia="宋体" w:cs="宋体"/>
                <w:color w:val="auto"/>
                <w:kern w:val="0"/>
                <w:sz w:val="21"/>
                <w:szCs w:val="21"/>
                <w:highlight w:val="none"/>
                <w:lang w:val="en-US" w:eastAsia="zh-CN"/>
              </w:rPr>
              <w:t>证书</w:t>
            </w:r>
            <w:r>
              <w:rPr>
                <w:rFonts w:hint="eastAsia" w:ascii="宋体" w:hAnsi="宋体" w:eastAsia="宋体" w:cs="宋体"/>
                <w:color w:val="auto"/>
                <w:kern w:val="0"/>
                <w:sz w:val="21"/>
                <w:szCs w:val="21"/>
                <w:highlight w:val="none"/>
              </w:rPr>
              <w:t>的得</w:t>
            </w: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p>
          <w:p w14:paraId="489EC632">
            <w:pP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投标人具有</w:t>
            </w:r>
            <w:r>
              <w:rPr>
                <w:rFonts w:hint="eastAsia" w:ascii="宋体" w:hAnsi="宋体" w:eastAsia="宋体" w:cs="宋体"/>
                <w:color w:val="auto"/>
                <w:kern w:val="0"/>
                <w:sz w:val="21"/>
                <w:szCs w:val="21"/>
                <w:highlight w:val="none"/>
              </w:rPr>
              <w:t>有效期内的信息技术服务管理体系认证</w:t>
            </w:r>
            <w:r>
              <w:rPr>
                <w:rFonts w:hint="eastAsia" w:ascii="宋体" w:hAnsi="宋体" w:eastAsia="宋体" w:cs="宋体"/>
                <w:color w:val="auto"/>
                <w:kern w:val="0"/>
                <w:sz w:val="21"/>
                <w:szCs w:val="21"/>
                <w:highlight w:val="none"/>
                <w:lang w:val="en-US" w:eastAsia="zh-CN"/>
              </w:rPr>
              <w:t>证书</w:t>
            </w:r>
            <w:r>
              <w:rPr>
                <w:rFonts w:hint="eastAsia" w:ascii="宋体" w:hAnsi="宋体" w:eastAsia="宋体" w:cs="宋体"/>
                <w:color w:val="auto"/>
                <w:kern w:val="0"/>
                <w:sz w:val="21"/>
                <w:szCs w:val="21"/>
                <w:highlight w:val="none"/>
              </w:rPr>
              <w:t>的得1</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p>
          <w:p w14:paraId="0E40399F">
            <w:pP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本项最高得3分。</w:t>
            </w:r>
          </w:p>
          <w:p w14:paraId="5CCA0B37">
            <w:pPr>
              <w:keepNext w:val="0"/>
              <w:keepLines/>
              <w:pageBreakBefore w:val="0"/>
              <w:widowControl/>
              <w:kinsoku/>
              <w:wordWrap w:val="0"/>
              <w:overflowPunct/>
              <w:topLinePunct w:val="0"/>
              <w:autoSpaceDE/>
              <w:autoSpaceDN/>
              <w:bidi w:val="0"/>
              <w:adjustRightInd/>
              <w:snapToGrid/>
              <w:spacing w:line="240" w:lineRule="auto"/>
              <w:jc w:val="left"/>
              <w:rPr>
                <w:rFonts w:hint="eastAsia"/>
                <w:b/>
                <w:bCs/>
                <w:color w:val="auto"/>
                <w:highlight w:val="none"/>
                <w:lang w:val="zh-CN"/>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提供相关证书复印件及</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全国认证认可信息公共服务平台</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t>网站截图并加盖投标人公章编入投标文件中，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844" w:type="dxa"/>
            <w:tcBorders>
              <w:top w:val="single" w:color="auto" w:sz="4" w:space="0"/>
              <w:left w:val="single" w:color="auto" w:sz="4" w:space="0"/>
              <w:bottom w:val="single" w:color="auto" w:sz="4" w:space="0"/>
              <w:right w:val="single" w:color="auto" w:sz="4" w:space="0"/>
            </w:tcBorders>
            <w:vAlign w:val="center"/>
          </w:tcPr>
          <w:p w14:paraId="52574444">
            <w:pPr>
              <w:keepNext w:val="0"/>
              <w:keepLines/>
              <w:pageBreakBefore w:val="0"/>
              <w:widowControl/>
              <w:kinsoku/>
              <w:wordWrap w:val="0"/>
              <w:overflowPunct/>
              <w:topLinePunct w:val="0"/>
              <w:autoSpaceDE/>
              <w:autoSpaceDN/>
              <w:bidi w:val="0"/>
              <w:adjustRightInd/>
              <w:snapToGrid/>
              <w:spacing w:line="240" w:lineRule="auto"/>
              <w:jc w:val="center"/>
              <w:rPr>
                <w:rFonts w:hint="default" w:ascii="宋体" w:hAnsi="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3</w:t>
            </w:r>
          </w:p>
        </w:tc>
      </w:tr>
      <w:tr w14:paraId="722D594E">
        <w:tblPrEx>
          <w:tblCellMar>
            <w:top w:w="15" w:type="dxa"/>
            <w:left w:w="15" w:type="dxa"/>
            <w:bottom w:w="15" w:type="dxa"/>
            <w:right w:w="15" w:type="dxa"/>
          </w:tblCellMar>
        </w:tblPrEx>
        <w:trPr>
          <w:trHeight w:val="90" w:hRule="atLeast"/>
          <w:jc w:val="center"/>
        </w:trPr>
        <w:tc>
          <w:tcPr>
            <w:tcW w:w="843" w:type="dxa"/>
            <w:vMerge w:val="continue"/>
            <w:tcBorders>
              <w:left w:val="single" w:color="auto" w:sz="4" w:space="0"/>
              <w:right w:val="single" w:color="auto" w:sz="4" w:space="0"/>
            </w:tcBorders>
            <w:vAlign w:val="center"/>
          </w:tcPr>
          <w:p w14:paraId="04785FEA">
            <w:pPr>
              <w:keepNext w:val="0"/>
              <w:keepLines/>
              <w:pageBreakBefore w:val="0"/>
              <w:widowControl/>
              <w:kinsoku/>
              <w:wordWrap w:val="0"/>
              <w:overflowPunct/>
              <w:topLinePunct w:val="0"/>
              <w:autoSpaceDE/>
              <w:autoSpaceDN/>
              <w:bidi w:val="0"/>
              <w:adjustRightInd/>
              <w:snapToGrid/>
              <w:spacing w:line="240" w:lineRule="auto"/>
              <w:rPr>
                <w:rFonts w:hint="eastAsia" w:ascii="宋体" w:hAnsi="宋体" w:eastAsia="宋体" w:cs="宋体"/>
                <w:color w:val="auto"/>
                <w:highlight w:val="none"/>
              </w:rPr>
            </w:pPr>
          </w:p>
        </w:tc>
        <w:tc>
          <w:tcPr>
            <w:tcW w:w="925" w:type="dxa"/>
            <w:vMerge w:val="continue"/>
            <w:tcBorders>
              <w:left w:val="single" w:color="auto" w:sz="4" w:space="0"/>
              <w:bottom w:val="single" w:color="auto" w:sz="4" w:space="0"/>
              <w:right w:val="single" w:color="auto" w:sz="4" w:space="0"/>
            </w:tcBorders>
            <w:vAlign w:val="center"/>
          </w:tcPr>
          <w:p w14:paraId="450F546E">
            <w:pPr>
              <w:keepNext w:val="0"/>
              <w:keepLines/>
              <w:pageBreakBefore w:val="0"/>
              <w:widowControl/>
              <w:kinsoku/>
              <w:wordWrap w:val="0"/>
              <w:overflowPunct/>
              <w:topLinePunct w:val="0"/>
              <w:autoSpaceDE/>
              <w:autoSpaceDN/>
              <w:bidi w:val="0"/>
              <w:adjustRightInd/>
              <w:snapToGrid/>
              <w:spacing w:line="240" w:lineRule="auto"/>
              <w:jc w:val="center"/>
              <w:rPr>
                <w:rFonts w:hint="eastAsia" w:ascii="宋体" w:hAnsi="宋体" w:cs="宋体"/>
                <w:color w:val="auto"/>
                <w:szCs w:val="21"/>
                <w:highlight w:val="none"/>
                <w:lang w:val="en-US" w:eastAsia="zh-CN"/>
              </w:rPr>
            </w:pPr>
          </w:p>
        </w:tc>
        <w:tc>
          <w:tcPr>
            <w:tcW w:w="6985" w:type="dxa"/>
            <w:tcBorders>
              <w:top w:val="single" w:color="auto" w:sz="4" w:space="0"/>
              <w:left w:val="single" w:color="auto" w:sz="4" w:space="0"/>
              <w:bottom w:val="single" w:color="auto" w:sz="4" w:space="0"/>
              <w:right w:val="single" w:color="auto" w:sz="4" w:space="0"/>
            </w:tcBorders>
            <w:vAlign w:val="top"/>
          </w:tcPr>
          <w:p w14:paraId="56FF5FF6">
            <w:pP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1、投标产品制造商具有</w:t>
            </w:r>
            <w:r>
              <w:rPr>
                <w:rFonts w:hint="eastAsia" w:ascii="宋体" w:hAnsi="宋体" w:eastAsia="宋体" w:cs="宋体"/>
                <w:color w:val="auto"/>
                <w:kern w:val="0"/>
                <w:sz w:val="21"/>
                <w:szCs w:val="21"/>
                <w:highlight w:val="none"/>
              </w:rPr>
              <w:t>有效期内的</w:t>
            </w:r>
            <w:r>
              <w:rPr>
                <w:rFonts w:hint="eastAsia" w:ascii="宋体" w:hAnsi="宋体" w:eastAsia="宋体" w:cs="宋体"/>
                <w:color w:val="auto"/>
                <w:kern w:val="0"/>
                <w:sz w:val="21"/>
                <w:szCs w:val="21"/>
                <w:highlight w:val="none"/>
                <w:lang w:val="en-US" w:eastAsia="zh-CN"/>
              </w:rPr>
              <w:t>知识产权管理体系认证证书的得1分。</w:t>
            </w:r>
          </w:p>
          <w:p w14:paraId="65153C53">
            <w:pP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2、投标产品制造商具有</w:t>
            </w:r>
            <w:r>
              <w:rPr>
                <w:rFonts w:hint="eastAsia" w:ascii="宋体" w:hAnsi="宋体" w:eastAsia="宋体" w:cs="宋体"/>
                <w:color w:val="auto"/>
                <w:kern w:val="0"/>
                <w:sz w:val="21"/>
                <w:szCs w:val="21"/>
                <w:highlight w:val="none"/>
              </w:rPr>
              <w:t>有效期内的</w:t>
            </w:r>
            <w:r>
              <w:rPr>
                <w:rFonts w:hint="eastAsia" w:ascii="宋体" w:hAnsi="宋体" w:eastAsia="宋体" w:cs="宋体"/>
                <w:color w:val="auto"/>
                <w:kern w:val="0"/>
                <w:sz w:val="21"/>
                <w:szCs w:val="21"/>
                <w:highlight w:val="none"/>
                <w:lang w:val="en-US" w:eastAsia="zh-CN"/>
              </w:rPr>
              <w:t>质量管理体系认证证书的得1分。</w:t>
            </w:r>
          </w:p>
          <w:p w14:paraId="4627D641">
            <w:pP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3、投标产品制造商具有</w:t>
            </w:r>
            <w:r>
              <w:rPr>
                <w:rFonts w:hint="eastAsia" w:ascii="宋体" w:hAnsi="宋体" w:eastAsia="宋体" w:cs="宋体"/>
                <w:color w:val="auto"/>
                <w:kern w:val="0"/>
                <w:sz w:val="21"/>
                <w:szCs w:val="21"/>
                <w:highlight w:val="none"/>
              </w:rPr>
              <w:t>有效期内的</w:t>
            </w:r>
            <w:r>
              <w:rPr>
                <w:rFonts w:hint="eastAsia" w:ascii="宋体" w:hAnsi="宋体" w:eastAsia="宋体" w:cs="宋体"/>
                <w:color w:val="auto"/>
                <w:kern w:val="0"/>
                <w:sz w:val="21"/>
                <w:szCs w:val="21"/>
                <w:highlight w:val="none"/>
                <w:lang w:val="en-US" w:eastAsia="zh-CN"/>
              </w:rPr>
              <w:t>有害物质过程管理认证证书的得1分。</w:t>
            </w:r>
          </w:p>
          <w:p w14:paraId="59A3D37A">
            <w:pP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4、投标产品制造商具有</w:t>
            </w:r>
            <w:r>
              <w:rPr>
                <w:rFonts w:hint="eastAsia" w:ascii="宋体" w:hAnsi="宋体" w:eastAsia="宋体" w:cs="宋体"/>
                <w:color w:val="auto"/>
                <w:kern w:val="0"/>
                <w:sz w:val="21"/>
                <w:szCs w:val="21"/>
                <w:highlight w:val="none"/>
              </w:rPr>
              <w:t>有效期内的</w:t>
            </w:r>
            <w:r>
              <w:rPr>
                <w:rFonts w:hint="eastAsia" w:ascii="宋体" w:hAnsi="宋体" w:eastAsia="宋体" w:cs="宋体"/>
                <w:color w:val="auto"/>
                <w:kern w:val="0"/>
                <w:sz w:val="21"/>
                <w:szCs w:val="21"/>
                <w:highlight w:val="none"/>
                <w:lang w:val="en-US" w:eastAsia="zh-CN"/>
              </w:rPr>
              <w:t>经公安部门备案的等级三级及以上的信息系统安全等级保护备案证明的得1分。</w:t>
            </w:r>
          </w:p>
          <w:p w14:paraId="0D92B3AD">
            <w:pP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提供相关证书</w:t>
            </w:r>
            <w:r>
              <w:rPr>
                <w:rFonts w:hint="eastAsia" w:ascii="宋体" w:hAnsi="宋体" w:eastAsia="宋体" w:cs="宋体"/>
                <w:b/>
                <w:bCs/>
                <w:color w:val="auto"/>
                <w:sz w:val="21"/>
                <w:szCs w:val="21"/>
                <w:highlight w:val="none"/>
                <w:lang w:val="en-US" w:eastAsia="zh-CN"/>
              </w:rPr>
              <w:t>或证明材料</w:t>
            </w:r>
            <w:r>
              <w:rPr>
                <w:rFonts w:hint="eastAsia" w:ascii="宋体" w:hAnsi="宋体" w:eastAsia="宋体" w:cs="宋体"/>
                <w:b/>
                <w:bCs/>
                <w:color w:val="auto"/>
                <w:sz w:val="21"/>
                <w:szCs w:val="21"/>
                <w:highlight w:val="none"/>
              </w:rPr>
              <w:t>复印件</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1-3项还须提供</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全国认证认可信息公共服务平台</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t>网站截图并加盖投标人公章编入投标文件中，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844" w:type="dxa"/>
            <w:tcBorders>
              <w:top w:val="single" w:color="auto" w:sz="4" w:space="0"/>
              <w:left w:val="single" w:color="auto" w:sz="4" w:space="0"/>
              <w:bottom w:val="single" w:color="auto" w:sz="4" w:space="0"/>
              <w:right w:val="single" w:color="auto" w:sz="4" w:space="0"/>
            </w:tcBorders>
            <w:vAlign w:val="center"/>
          </w:tcPr>
          <w:p w14:paraId="4BFA936C">
            <w:pPr>
              <w:keepNext w:val="0"/>
              <w:keepLines/>
              <w:pageBreakBefore w:val="0"/>
              <w:widowControl/>
              <w:kinsoku/>
              <w:wordWrap w:val="0"/>
              <w:overflowPunct/>
              <w:topLinePunct w:val="0"/>
              <w:autoSpaceDE/>
              <w:autoSpaceDN/>
              <w:bidi w:val="0"/>
              <w:adjustRightInd/>
              <w:snapToGrid/>
              <w:spacing w:line="240" w:lineRule="auto"/>
              <w:jc w:val="center"/>
              <w:rPr>
                <w:rFonts w:hint="default" w:ascii="宋体" w:hAnsi="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4</w:t>
            </w:r>
          </w:p>
        </w:tc>
      </w:tr>
      <w:tr w14:paraId="01450DAC">
        <w:tblPrEx>
          <w:tblCellMar>
            <w:top w:w="15" w:type="dxa"/>
            <w:left w:w="15" w:type="dxa"/>
            <w:bottom w:w="15" w:type="dxa"/>
            <w:right w:w="15" w:type="dxa"/>
          </w:tblCellMar>
        </w:tblPrEx>
        <w:trPr>
          <w:trHeight w:val="875" w:hRule="atLeast"/>
          <w:jc w:val="center"/>
        </w:trPr>
        <w:tc>
          <w:tcPr>
            <w:tcW w:w="843" w:type="dxa"/>
            <w:vMerge w:val="continue"/>
            <w:tcBorders>
              <w:left w:val="single" w:color="auto" w:sz="4" w:space="0"/>
              <w:right w:val="single" w:color="auto" w:sz="4" w:space="0"/>
            </w:tcBorders>
            <w:vAlign w:val="center"/>
          </w:tcPr>
          <w:p w14:paraId="19AC9B82">
            <w:pPr>
              <w:keepNext w:val="0"/>
              <w:keepLines/>
              <w:pageBreakBefore w:val="0"/>
              <w:widowControl/>
              <w:kinsoku/>
              <w:wordWrap w:val="0"/>
              <w:overflowPunct/>
              <w:topLinePunct w:val="0"/>
              <w:autoSpaceDE/>
              <w:autoSpaceDN/>
              <w:bidi w:val="0"/>
              <w:adjustRightInd/>
              <w:snapToGrid/>
              <w:spacing w:line="240" w:lineRule="auto"/>
              <w:rPr>
                <w:rFonts w:hint="eastAsia" w:ascii="宋体" w:hAnsi="宋体" w:eastAsia="宋体" w:cs="宋体"/>
                <w:color w:val="auto"/>
                <w:highlight w:val="none"/>
              </w:rPr>
            </w:pPr>
          </w:p>
        </w:tc>
        <w:tc>
          <w:tcPr>
            <w:tcW w:w="925" w:type="dxa"/>
            <w:tcBorders>
              <w:top w:val="single" w:color="auto" w:sz="4" w:space="0"/>
              <w:left w:val="single" w:color="auto" w:sz="4" w:space="0"/>
              <w:right w:val="single" w:color="auto" w:sz="4" w:space="0"/>
            </w:tcBorders>
            <w:vAlign w:val="center"/>
          </w:tcPr>
          <w:p w14:paraId="21A2E605">
            <w:pPr>
              <w:keepNext w:val="0"/>
              <w:keepLines/>
              <w:pageBreakBefore w:val="0"/>
              <w:widowControl/>
              <w:kinsoku/>
              <w:wordWrap w:val="0"/>
              <w:overflowPunct/>
              <w:topLinePunct w:val="0"/>
              <w:autoSpaceDE/>
              <w:autoSpaceDN/>
              <w:bidi w:val="0"/>
              <w:adjustRightInd/>
              <w:snapToGrid/>
              <w:spacing w:line="24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承接经验</w:t>
            </w:r>
          </w:p>
        </w:tc>
        <w:tc>
          <w:tcPr>
            <w:tcW w:w="6985" w:type="dxa"/>
            <w:tcBorders>
              <w:top w:val="single" w:color="auto" w:sz="4" w:space="0"/>
              <w:left w:val="single" w:color="auto" w:sz="4" w:space="0"/>
              <w:right w:val="single" w:color="auto" w:sz="4" w:space="0"/>
            </w:tcBorders>
            <w:vAlign w:val="top"/>
          </w:tcPr>
          <w:p w14:paraId="1A2BDCCA">
            <w:pPr>
              <w:keepNext w:val="0"/>
              <w:keepLines/>
              <w:pageBreakBefore w:val="0"/>
              <w:widowControl/>
              <w:kinsoku/>
              <w:wordWrap w:val="0"/>
              <w:overflowPunct/>
              <w:topLinePunct w:val="0"/>
              <w:autoSpaceDE/>
              <w:autoSpaceDN/>
              <w:bidi w:val="0"/>
              <w:adjustRightInd/>
              <w:snapToGrid/>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投标人自202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月1日</w:t>
            </w:r>
            <w:r>
              <w:rPr>
                <w:rFonts w:hint="eastAsia" w:ascii="宋体" w:hAnsi="宋体" w:cs="宋体"/>
                <w:color w:val="auto"/>
                <w:szCs w:val="21"/>
                <w:highlight w:val="none"/>
                <w:lang w:val="zh-CN"/>
              </w:rPr>
              <w:t>（以合同签订时间为准）</w:t>
            </w:r>
            <w:r>
              <w:rPr>
                <w:rFonts w:hint="eastAsia" w:ascii="宋体" w:hAnsi="宋体" w:cs="宋体"/>
                <w:color w:val="auto"/>
                <w:szCs w:val="21"/>
                <w:highlight w:val="none"/>
              </w:rPr>
              <w:t>以来</w:t>
            </w:r>
            <w:r>
              <w:rPr>
                <w:rFonts w:hint="eastAsia" w:ascii="宋体" w:hAnsi="宋体" w:cs="宋体"/>
                <w:color w:val="auto"/>
                <w:szCs w:val="21"/>
                <w:highlight w:val="none"/>
                <w:lang w:val="zh-CN"/>
              </w:rPr>
              <w:t>，</w:t>
            </w:r>
            <w:r>
              <w:rPr>
                <w:rFonts w:hint="eastAsia" w:ascii="宋体" w:hAnsi="宋体" w:cs="宋体"/>
                <w:color w:val="auto"/>
                <w:szCs w:val="21"/>
                <w:highlight w:val="none"/>
              </w:rPr>
              <w:t>承接过类似项目业绩</w:t>
            </w:r>
            <w:r>
              <w:rPr>
                <w:rFonts w:hint="eastAsia" w:ascii="宋体" w:hAnsi="宋体" w:cs="宋体"/>
                <w:color w:val="auto"/>
                <w:szCs w:val="21"/>
                <w:highlight w:val="none"/>
                <w:lang w:eastAsia="zh-CN"/>
              </w:rPr>
              <w:t>的</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每提供</w:t>
            </w:r>
            <w:r>
              <w:rPr>
                <w:rFonts w:hint="eastAsia" w:ascii="宋体" w:hAnsi="宋体" w:cs="宋体"/>
                <w:color w:val="auto"/>
                <w:szCs w:val="21"/>
                <w:highlight w:val="none"/>
              </w:rPr>
              <w:t>一个合同得1分，</w:t>
            </w:r>
            <w:r>
              <w:rPr>
                <w:rFonts w:hint="eastAsia" w:ascii="宋体" w:hAnsi="宋体" w:cs="宋体"/>
                <w:color w:val="auto"/>
                <w:szCs w:val="21"/>
                <w:highlight w:val="none"/>
                <w:lang w:val="en-US" w:eastAsia="zh-CN"/>
              </w:rPr>
              <w:t>本项</w:t>
            </w:r>
            <w:r>
              <w:rPr>
                <w:rFonts w:hint="eastAsia" w:ascii="宋体" w:hAnsi="宋体" w:cs="宋体"/>
                <w:color w:val="auto"/>
                <w:szCs w:val="21"/>
                <w:highlight w:val="none"/>
              </w:rPr>
              <w:t>最高</w:t>
            </w:r>
            <w:r>
              <w:rPr>
                <w:rFonts w:hint="eastAsia" w:ascii="宋体" w:hAnsi="宋体" w:cs="宋体"/>
                <w:color w:val="auto"/>
                <w:szCs w:val="21"/>
                <w:highlight w:val="none"/>
                <w:lang w:val="en-US" w:eastAsia="zh-CN"/>
              </w:rPr>
              <w:t>得</w:t>
            </w:r>
            <w:r>
              <w:rPr>
                <w:rFonts w:hint="eastAsia" w:ascii="宋体" w:hAnsi="宋体" w:cs="宋体"/>
                <w:color w:val="auto"/>
                <w:szCs w:val="21"/>
                <w:highlight w:val="none"/>
              </w:rPr>
              <w:t>3分。</w:t>
            </w:r>
          </w:p>
          <w:p w14:paraId="4C7F29FF">
            <w:pPr>
              <w:keepNext w:val="0"/>
              <w:keepLines/>
              <w:pageBreakBefore w:val="0"/>
              <w:widowControl/>
              <w:kinsoku/>
              <w:wordWrap w:val="0"/>
              <w:overflowPunct/>
              <w:topLinePunct w:val="0"/>
              <w:autoSpaceDE/>
              <w:autoSpaceDN/>
              <w:bidi w:val="0"/>
              <w:adjustRightInd/>
              <w:snapToGrid/>
              <w:spacing w:line="240" w:lineRule="auto"/>
              <w:jc w:val="left"/>
              <w:rPr>
                <w:rFonts w:hint="eastAsia" w:ascii="宋体" w:hAnsi="宋体" w:eastAsia="宋体" w:cs="宋体"/>
                <w:bCs/>
                <w:color w:val="auto"/>
                <w:szCs w:val="21"/>
                <w:highlight w:val="none"/>
              </w:rPr>
            </w:pPr>
            <w:r>
              <w:rPr>
                <w:rFonts w:hint="eastAsia"/>
                <w:b/>
                <w:bCs/>
                <w:color w:val="auto"/>
                <w:highlight w:val="none"/>
                <w:lang w:val="zh-CN"/>
              </w:rPr>
              <w:t>（</w:t>
            </w:r>
            <w:r>
              <w:rPr>
                <w:rFonts w:hint="eastAsia"/>
                <w:b/>
                <w:bCs/>
                <w:color w:val="auto"/>
                <w:highlight w:val="none"/>
              </w:rPr>
              <w:t>须</w:t>
            </w:r>
            <w:r>
              <w:rPr>
                <w:rFonts w:hint="eastAsia"/>
                <w:b/>
                <w:bCs/>
                <w:color w:val="auto"/>
                <w:highlight w:val="none"/>
                <w:lang w:val="zh-CN"/>
              </w:rPr>
              <w:t>提供</w:t>
            </w:r>
            <w:r>
              <w:rPr>
                <w:rFonts w:hint="eastAsia"/>
                <w:b/>
                <w:bCs/>
                <w:color w:val="auto"/>
                <w:highlight w:val="none"/>
                <w:lang w:val="en-US" w:eastAsia="zh-CN"/>
              </w:rPr>
              <w:t>有效的</w:t>
            </w:r>
            <w:r>
              <w:rPr>
                <w:rFonts w:hint="eastAsia"/>
                <w:b/>
                <w:bCs/>
                <w:color w:val="auto"/>
                <w:highlight w:val="none"/>
                <w:lang w:val="zh-CN"/>
              </w:rPr>
              <w:t>合同</w:t>
            </w:r>
            <w:r>
              <w:rPr>
                <w:rFonts w:hint="eastAsia"/>
                <w:b/>
                <w:bCs/>
                <w:color w:val="auto"/>
                <w:highlight w:val="none"/>
                <w:lang w:val="en-US" w:eastAsia="zh-CN"/>
              </w:rPr>
              <w:t>复印件并加盖投标人公章编入投标文件中</w:t>
            </w:r>
            <w:r>
              <w:rPr>
                <w:rFonts w:hint="eastAsia"/>
                <w:b/>
                <w:bCs/>
                <w:color w:val="auto"/>
                <w:highlight w:val="none"/>
              </w:rPr>
              <w:t>，未提供的不得分）</w:t>
            </w:r>
          </w:p>
        </w:tc>
        <w:tc>
          <w:tcPr>
            <w:tcW w:w="844" w:type="dxa"/>
            <w:tcBorders>
              <w:top w:val="single" w:color="auto" w:sz="4" w:space="0"/>
              <w:left w:val="single" w:color="auto" w:sz="4" w:space="0"/>
              <w:bottom w:val="single" w:color="auto" w:sz="4" w:space="0"/>
              <w:right w:val="single" w:color="auto" w:sz="4" w:space="0"/>
            </w:tcBorders>
            <w:vAlign w:val="center"/>
          </w:tcPr>
          <w:p w14:paraId="16993739">
            <w:pPr>
              <w:keepNext w:val="0"/>
              <w:keepLines/>
              <w:pageBreakBefore w:val="0"/>
              <w:widowControl/>
              <w:kinsoku/>
              <w:wordWrap w:val="0"/>
              <w:overflowPunct/>
              <w:topLinePunct w:val="0"/>
              <w:autoSpaceDE/>
              <w:autoSpaceDN/>
              <w:bidi w:val="0"/>
              <w:adjustRightInd/>
              <w:snapToGrid/>
              <w:spacing w:line="240" w:lineRule="auto"/>
              <w:jc w:val="center"/>
              <w:rPr>
                <w:rFonts w:hint="eastAsia" w:ascii="宋体" w:hAnsi="宋体" w:eastAsia="宋体" w:cs="宋体"/>
                <w:color w:val="auto"/>
                <w:szCs w:val="21"/>
                <w:highlight w:val="none"/>
              </w:rPr>
            </w:pPr>
            <w:r>
              <w:rPr>
                <w:rFonts w:hint="eastAsia" w:ascii="宋体" w:hAnsi="宋体" w:cs="宋体"/>
                <w:snapToGrid w:val="0"/>
                <w:color w:val="auto"/>
                <w:szCs w:val="21"/>
                <w:highlight w:val="none"/>
                <w:lang w:val="en-US" w:eastAsia="zh-CN"/>
              </w:rPr>
              <w:t>3</w:t>
            </w:r>
          </w:p>
        </w:tc>
      </w:tr>
      <w:tr w14:paraId="0A658338">
        <w:tblPrEx>
          <w:tblCellMar>
            <w:top w:w="15" w:type="dxa"/>
            <w:left w:w="15" w:type="dxa"/>
            <w:bottom w:w="15" w:type="dxa"/>
            <w:right w:w="15" w:type="dxa"/>
          </w:tblCellMar>
        </w:tblPrEx>
        <w:trPr>
          <w:trHeight w:val="1050" w:hRule="atLeast"/>
          <w:jc w:val="center"/>
        </w:trPr>
        <w:tc>
          <w:tcPr>
            <w:tcW w:w="843" w:type="dxa"/>
            <w:vMerge w:val="restart"/>
            <w:tcBorders>
              <w:top w:val="single" w:color="auto" w:sz="4" w:space="0"/>
              <w:left w:val="single" w:color="auto" w:sz="4" w:space="0"/>
              <w:bottom w:val="single" w:color="auto" w:sz="4" w:space="0"/>
              <w:right w:val="single" w:color="auto" w:sz="4" w:space="0"/>
            </w:tcBorders>
            <w:vAlign w:val="center"/>
          </w:tcPr>
          <w:p w14:paraId="5B46D93F">
            <w:pPr>
              <w:keepNext w:val="0"/>
              <w:keepLines/>
              <w:pageBreakBefore w:val="0"/>
              <w:widowControl/>
              <w:kinsoku/>
              <w:wordWrap w:val="0"/>
              <w:overflowPunct/>
              <w:topLinePunct w:val="0"/>
              <w:autoSpaceDE/>
              <w:autoSpaceDN/>
              <w:bidi w:val="0"/>
              <w:adjustRightInd/>
              <w:snapToGrid/>
              <w:spacing w:line="240" w:lineRule="auto"/>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技术分</w:t>
            </w:r>
          </w:p>
          <w:p w14:paraId="0903A9ED">
            <w:pPr>
              <w:keepNext w:val="0"/>
              <w:keepLines/>
              <w:pageBreakBefore w:val="0"/>
              <w:widowControl/>
              <w:kinsoku/>
              <w:wordWrap w:val="0"/>
              <w:overflowPunct/>
              <w:topLinePunct w:val="0"/>
              <w:autoSpaceDE/>
              <w:autoSpaceDN/>
              <w:bidi w:val="0"/>
              <w:adjustRightInd/>
              <w:snapToGrid/>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60</w:t>
            </w:r>
            <w:r>
              <w:rPr>
                <w:rFonts w:hint="eastAsia" w:ascii="宋体" w:hAnsi="宋体" w:eastAsia="宋体" w:cs="宋体"/>
                <w:color w:val="auto"/>
                <w:highlight w:val="none"/>
              </w:rPr>
              <w:t>分）</w:t>
            </w:r>
          </w:p>
        </w:tc>
        <w:tc>
          <w:tcPr>
            <w:tcW w:w="925" w:type="dxa"/>
            <w:tcBorders>
              <w:top w:val="single" w:color="auto" w:sz="4" w:space="0"/>
              <w:left w:val="single" w:color="auto" w:sz="4" w:space="0"/>
              <w:bottom w:val="single" w:color="auto" w:sz="4" w:space="0"/>
              <w:right w:val="single" w:color="auto" w:sz="4" w:space="0"/>
            </w:tcBorders>
            <w:vAlign w:val="center"/>
          </w:tcPr>
          <w:p w14:paraId="5184E207">
            <w:pPr>
              <w:keepNext w:val="0"/>
              <w:keepLines/>
              <w:pageBreakBefore w:val="0"/>
              <w:widowControl/>
              <w:kinsoku/>
              <w:wordWrap w:val="0"/>
              <w:overflowPunct/>
              <w:topLinePunct w:val="0"/>
              <w:autoSpaceDE/>
              <w:autoSpaceDN/>
              <w:bidi w:val="0"/>
              <w:adjustRightInd/>
              <w:snapToGrid/>
              <w:spacing w:line="240" w:lineRule="auto"/>
              <w:jc w:val="center"/>
              <w:rPr>
                <w:rFonts w:hint="eastAsia" w:ascii="宋体" w:hAnsi="宋体" w:eastAsia="宋体" w:cs="宋体"/>
                <w:color w:val="auto"/>
                <w:szCs w:val="21"/>
                <w:highlight w:val="none"/>
                <w:lang w:val="en-US" w:eastAsia="zh-CN"/>
              </w:rPr>
            </w:pPr>
            <w:r>
              <w:rPr>
                <w:rStyle w:val="53"/>
                <w:rFonts w:hint="eastAsia" w:ascii="宋体" w:hAnsi="宋体" w:cs="宋体"/>
                <w:color w:val="auto"/>
                <w:szCs w:val="21"/>
                <w:highlight w:val="none"/>
              </w:rPr>
              <w:t>设备性能指标</w:t>
            </w:r>
            <w:r>
              <w:rPr>
                <w:rStyle w:val="53"/>
                <w:rFonts w:hint="eastAsia" w:ascii="宋体" w:hAnsi="宋体" w:cs="宋体"/>
                <w:color w:val="auto"/>
                <w:szCs w:val="21"/>
                <w:highlight w:val="none"/>
                <w:lang w:val="en-US" w:eastAsia="zh-CN"/>
              </w:rPr>
              <w:t>响应</w:t>
            </w:r>
          </w:p>
        </w:tc>
        <w:tc>
          <w:tcPr>
            <w:tcW w:w="6985" w:type="dxa"/>
            <w:tcBorders>
              <w:top w:val="single" w:color="auto" w:sz="4" w:space="0"/>
              <w:left w:val="single" w:color="auto" w:sz="4" w:space="0"/>
              <w:bottom w:val="single" w:color="auto" w:sz="4" w:space="0"/>
              <w:right w:val="single" w:color="auto" w:sz="4" w:space="0"/>
            </w:tcBorders>
            <w:vAlign w:val="center"/>
          </w:tcPr>
          <w:p w14:paraId="01B0356C">
            <w:pPr>
              <w:keepNext w:val="0"/>
              <w:keepLines/>
              <w:pageBreakBefore w:val="0"/>
              <w:widowControl/>
              <w:kinsoku/>
              <w:wordWrap w:val="0"/>
              <w:overflowPunct/>
              <w:topLinePunct w:val="0"/>
              <w:autoSpaceDE/>
              <w:autoSpaceDN/>
              <w:bidi w:val="0"/>
              <w:adjustRightInd/>
              <w:snapToGrid/>
              <w:ind w:left="0"/>
              <w:jc w:val="left"/>
              <w:textAlignment w:val="auto"/>
              <w:rPr>
                <w:rFonts w:hint="eastAsia" w:ascii="宋体" w:hAnsi="宋体" w:cs="宋体"/>
                <w:color w:val="auto"/>
                <w:spacing w:val="-4"/>
                <w:kern w:val="2"/>
                <w:sz w:val="21"/>
                <w:szCs w:val="21"/>
                <w:highlight w:val="none"/>
                <w:lang w:val="en-US" w:eastAsia="zh-CN" w:bidi="ar-SA"/>
              </w:rPr>
            </w:pPr>
            <w:r>
              <w:rPr>
                <w:rFonts w:hint="eastAsia" w:ascii="宋体" w:hAnsi="宋体" w:cs="宋体"/>
                <w:color w:val="auto"/>
                <w:spacing w:val="-4"/>
                <w:kern w:val="2"/>
                <w:sz w:val="21"/>
                <w:szCs w:val="21"/>
                <w:highlight w:val="none"/>
                <w:lang w:val="en-US" w:eastAsia="zh-CN" w:bidi="ar-SA"/>
              </w:rPr>
              <w:t>根据</w:t>
            </w:r>
            <w:r>
              <w:rPr>
                <w:rFonts w:hint="eastAsia" w:ascii="宋体" w:hAnsi="宋体" w:eastAsia="宋体" w:cs="宋体"/>
                <w:color w:val="auto"/>
                <w:spacing w:val="-4"/>
                <w:kern w:val="2"/>
                <w:sz w:val="21"/>
                <w:szCs w:val="21"/>
                <w:highlight w:val="none"/>
                <w:lang w:val="en-US" w:eastAsia="zh-CN" w:bidi="ar-SA"/>
              </w:rPr>
              <w:t>所投产品所有技术指标均</w:t>
            </w:r>
            <w:r>
              <w:rPr>
                <w:rFonts w:hint="eastAsia" w:ascii="宋体" w:hAnsi="宋体" w:cs="宋体"/>
                <w:color w:val="auto"/>
                <w:spacing w:val="-4"/>
                <w:kern w:val="2"/>
                <w:sz w:val="21"/>
                <w:szCs w:val="21"/>
                <w:highlight w:val="none"/>
                <w:lang w:val="en-US" w:eastAsia="zh-CN" w:bidi="ar-SA"/>
              </w:rPr>
              <w:t>优于或满足</w:t>
            </w:r>
            <w:r>
              <w:rPr>
                <w:rFonts w:hint="eastAsia" w:ascii="宋体" w:hAnsi="宋体" w:eastAsia="宋体" w:cs="宋体"/>
                <w:color w:val="auto"/>
                <w:spacing w:val="-4"/>
                <w:kern w:val="2"/>
                <w:sz w:val="21"/>
                <w:szCs w:val="21"/>
                <w:highlight w:val="none"/>
                <w:lang w:val="en-US" w:eastAsia="zh-CN" w:bidi="ar-SA"/>
              </w:rPr>
              <w:t>招标文件</w:t>
            </w:r>
            <w:r>
              <w:rPr>
                <w:rFonts w:hint="eastAsia" w:ascii="宋体" w:hAnsi="宋体" w:cs="宋体"/>
                <w:b/>
                <w:bCs/>
                <w:color w:val="auto"/>
                <w:spacing w:val="-4"/>
                <w:kern w:val="2"/>
                <w:sz w:val="21"/>
                <w:szCs w:val="21"/>
                <w:highlight w:val="none"/>
                <w:lang w:val="en-US" w:eastAsia="zh-CN" w:bidi="ar-SA"/>
              </w:rPr>
              <w:t>“第四章 公开招标需求- 三、技术指标参数”</w:t>
            </w:r>
            <w:r>
              <w:rPr>
                <w:rFonts w:hint="eastAsia" w:ascii="宋体" w:hAnsi="宋体" w:eastAsia="宋体" w:cs="宋体"/>
                <w:color w:val="auto"/>
                <w:spacing w:val="-4"/>
                <w:kern w:val="2"/>
                <w:sz w:val="21"/>
                <w:szCs w:val="21"/>
                <w:highlight w:val="none"/>
                <w:lang w:val="en-US" w:eastAsia="zh-CN" w:bidi="ar-SA"/>
              </w:rPr>
              <w:t>要求的得</w:t>
            </w:r>
            <w:r>
              <w:rPr>
                <w:rFonts w:hint="eastAsia" w:ascii="宋体" w:hAnsi="宋体" w:cs="宋体"/>
                <w:color w:val="auto"/>
                <w:spacing w:val="-4"/>
                <w:kern w:val="2"/>
                <w:sz w:val="21"/>
                <w:szCs w:val="21"/>
                <w:highlight w:val="none"/>
                <w:lang w:val="en-US" w:eastAsia="zh-CN" w:bidi="ar-SA"/>
              </w:rPr>
              <w:t>36</w:t>
            </w:r>
            <w:r>
              <w:rPr>
                <w:rFonts w:hint="eastAsia" w:ascii="宋体" w:hAnsi="宋体" w:eastAsia="宋体" w:cs="宋体"/>
                <w:color w:val="auto"/>
                <w:spacing w:val="-4"/>
                <w:kern w:val="2"/>
                <w:sz w:val="21"/>
                <w:szCs w:val="21"/>
                <w:highlight w:val="none"/>
                <w:lang w:val="en-US" w:eastAsia="zh-CN" w:bidi="ar-SA"/>
              </w:rPr>
              <w:t>分</w:t>
            </w:r>
            <w:r>
              <w:rPr>
                <w:rFonts w:hint="eastAsia" w:ascii="宋体" w:hAnsi="宋体" w:cs="宋体"/>
                <w:color w:val="auto"/>
                <w:spacing w:val="-4"/>
                <w:kern w:val="2"/>
                <w:sz w:val="21"/>
                <w:szCs w:val="21"/>
                <w:highlight w:val="none"/>
                <w:lang w:val="en-US" w:eastAsia="zh-CN" w:bidi="ar-SA"/>
              </w:rPr>
              <w:t>。</w:t>
            </w:r>
          </w:p>
          <w:p w14:paraId="6BAFD85A">
            <w:pPr>
              <w:keepNext w:val="0"/>
              <w:keepLines/>
              <w:pageBreakBefore w:val="0"/>
              <w:widowControl/>
              <w:kinsoku/>
              <w:wordWrap w:val="0"/>
              <w:overflowPunct/>
              <w:topLinePunct w:val="0"/>
              <w:autoSpaceDE/>
              <w:autoSpaceDN/>
              <w:bidi w:val="0"/>
              <w:adjustRightInd/>
              <w:snapToGrid/>
              <w:ind w:left="0"/>
              <w:jc w:val="left"/>
              <w:textAlignment w:val="auto"/>
              <w:rPr>
                <w:rFonts w:hint="eastAsia" w:ascii="宋体" w:hAnsi="宋体" w:cs="宋体"/>
                <w:color w:val="auto"/>
                <w:spacing w:val="-4"/>
                <w:kern w:val="2"/>
                <w:sz w:val="21"/>
                <w:szCs w:val="21"/>
                <w:highlight w:val="none"/>
                <w:lang w:val="en-US" w:eastAsia="zh-CN" w:bidi="ar-SA"/>
              </w:rPr>
            </w:pPr>
            <w:r>
              <w:rPr>
                <w:rFonts w:hint="eastAsia" w:ascii="宋体" w:hAnsi="宋体" w:cs="宋体"/>
                <w:color w:val="auto"/>
                <w:spacing w:val="-4"/>
                <w:kern w:val="2"/>
                <w:sz w:val="21"/>
                <w:szCs w:val="21"/>
                <w:highlight w:val="none"/>
                <w:lang w:val="en-US" w:eastAsia="zh-CN" w:bidi="ar-SA"/>
              </w:rPr>
              <w:t>1、打“</w:t>
            </w:r>
            <w:r>
              <w:rPr>
                <w:rFonts w:hint="eastAsia" w:ascii="宋体" w:hAnsi="宋体" w:eastAsia="宋体" w:cs="宋体"/>
                <w:color w:val="auto"/>
                <w:spacing w:val="-4"/>
                <w:kern w:val="2"/>
                <w:sz w:val="21"/>
                <w:szCs w:val="21"/>
                <w:highlight w:val="none"/>
                <w:lang w:val="en-US" w:eastAsia="zh-CN" w:bidi="ar-SA"/>
              </w:rPr>
              <w:t>★</w:t>
            </w:r>
            <w:r>
              <w:rPr>
                <w:rFonts w:hint="eastAsia" w:ascii="宋体" w:hAnsi="宋体" w:cs="宋体"/>
                <w:color w:val="auto"/>
                <w:spacing w:val="-4"/>
                <w:kern w:val="2"/>
                <w:sz w:val="21"/>
                <w:szCs w:val="21"/>
                <w:highlight w:val="none"/>
                <w:lang w:val="en-US" w:eastAsia="zh-CN" w:bidi="ar-SA"/>
              </w:rPr>
              <w:t>”</w:t>
            </w:r>
            <w:r>
              <w:rPr>
                <w:rFonts w:hint="eastAsia" w:ascii="宋体" w:hAnsi="宋体" w:eastAsia="宋体" w:cs="宋体"/>
                <w:color w:val="auto"/>
                <w:spacing w:val="-4"/>
                <w:kern w:val="2"/>
                <w:sz w:val="21"/>
                <w:szCs w:val="21"/>
                <w:highlight w:val="none"/>
                <w:lang w:val="en-US" w:eastAsia="zh-CN" w:bidi="ar-SA"/>
              </w:rPr>
              <w:t>项为重要技术参数指标项，</w:t>
            </w:r>
            <w:r>
              <w:rPr>
                <w:rFonts w:hint="eastAsia" w:ascii="宋体" w:hAnsi="宋体" w:cs="宋体"/>
                <w:color w:val="auto"/>
                <w:spacing w:val="-4"/>
                <w:kern w:val="2"/>
                <w:sz w:val="21"/>
                <w:szCs w:val="21"/>
                <w:highlight w:val="none"/>
                <w:lang w:val="en-US" w:eastAsia="zh-CN" w:bidi="ar-SA"/>
              </w:rPr>
              <w:t>负偏离或</w:t>
            </w:r>
            <w:r>
              <w:rPr>
                <w:rFonts w:hint="eastAsia" w:ascii="宋体" w:hAnsi="宋体" w:eastAsia="宋体" w:cs="宋体"/>
                <w:color w:val="auto"/>
                <w:spacing w:val="-4"/>
                <w:kern w:val="2"/>
                <w:sz w:val="21"/>
                <w:szCs w:val="21"/>
                <w:highlight w:val="none"/>
                <w:lang w:val="en-US" w:eastAsia="zh-CN" w:bidi="ar-SA"/>
              </w:rPr>
              <w:t>不满足</w:t>
            </w:r>
            <w:r>
              <w:rPr>
                <w:rFonts w:hint="eastAsia" w:ascii="宋体" w:hAnsi="宋体" w:cs="宋体"/>
                <w:color w:val="auto"/>
                <w:spacing w:val="-4"/>
                <w:kern w:val="2"/>
                <w:sz w:val="21"/>
                <w:szCs w:val="21"/>
                <w:highlight w:val="none"/>
                <w:lang w:val="en-US" w:eastAsia="zh-CN" w:bidi="ar-SA"/>
              </w:rPr>
              <w:t>的，每项</w:t>
            </w:r>
            <w:r>
              <w:rPr>
                <w:rFonts w:hint="eastAsia" w:ascii="宋体" w:hAnsi="宋体" w:eastAsia="宋体" w:cs="宋体"/>
                <w:color w:val="auto"/>
                <w:spacing w:val="-4"/>
                <w:kern w:val="2"/>
                <w:sz w:val="21"/>
                <w:szCs w:val="21"/>
                <w:highlight w:val="none"/>
                <w:lang w:val="en-US" w:eastAsia="zh-CN" w:bidi="ar-SA"/>
              </w:rPr>
              <w:t>扣</w:t>
            </w:r>
            <w:r>
              <w:rPr>
                <w:rFonts w:hint="eastAsia" w:ascii="宋体" w:hAnsi="宋体" w:cs="宋体"/>
                <w:color w:val="auto"/>
                <w:spacing w:val="-4"/>
                <w:kern w:val="2"/>
                <w:sz w:val="21"/>
                <w:szCs w:val="21"/>
                <w:highlight w:val="none"/>
                <w:lang w:val="en-US" w:eastAsia="zh-CN" w:bidi="ar-SA"/>
              </w:rPr>
              <w:t>0.2</w:t>
            </w:r>
            <w:r>
              <w:rPr>
                <w:rFonts w:hint="eastAsia" w:ascii="宋体" w:hAnsi="宋体" w:eastAsia="宋体" w:cs="宋体"/>
                <w:color w:val="auto"/>
                <w:spacing w:val="-4"/>
                <w:kern w:val="2"/>
                <w:sz w:val="21"/>
                <w:szCs w:val="21"/>
                <w:highlight w:val="none"/>
                <w:lang w:val="en-US" w:eastAsia="zh-CN" w:bidi="ar-SA"/>
              </w:rPr>
              <w:t>分</w:t>
            </w:r>
            <w:r>
              <w:rPr>
                <w:rFonts w:hint="eastAsia" w:ascii="宋体" w:hAnsi="宋体" w:cs="宋体"/>
                <w:color w:val="auto"/>
                <w:spacing w:val="-4"/>
                <w:kern w:val="2"/>
                <w:sz w:val="21"/>
                <w:szCs w:val="21"/>
                <w:highlight w:val="none"/>
                <w:lang w:val="en-US" w:eastAsia="zh-CN" w:bidi="ar-SA"/>
              </w:rPr>
              <w:t>；</w:t>
            </w:r>
          </w:p>
          <w:p w14:paraId="3E84C268">
            <w:pPr>
              <w:keepNext w:val="0"/>
              <w:keepLines/>
              <w:pageBreakBefore w:val="0"/>
              <w:widowControl/>
              <w:kinsoku/>
              <w:wordWrap w:val="0"/>
              <w:overflowPunct/>
              <w:topLinePunct w:val="0"/>
              <w:autoSpaceDE/>
              <w:autoSpaceDN/>
              <w:bidi w:val="0"/>
              <w:adjustRightInd/>
              <w:snapToGrid/>
              <w:ind w:left="0"/>
              <w:jc w:val="left"/>
              <w:textAlignment w:val="auto"/>
              <w:rPr>
                <w:rFonts w:hint="eastAsia" w:ascii="宋体" w:hAnsi="宋体" w:cs="宋体"/>
                <w:color w:val="auto"/>
                <w:spacing w:val="-4"/>
                <w:kern w:val="2"/>
                <w:sz w:val="21"/>
                <w:szCs w:val="21"/>
                <w:highlight w:val="none"/>
                <w:lang w:val="en-US" w:eastAsia="zh-CN" w:bidi="ar-SA"/>
              </w:rPr>
            </w:pPr>
            <w:r>
              <w:rPr>
                <w:rFonts w:hint="eastAsia" w:ascii="宋体" w:hAnsi="宋体" w:cs="宋体"/>
                <w:color w:val="auto"/>
                <w:spacing w:val="-4"/>
                <w:kern w:val="2"/>
                <w:sz w:val="21"/>
                <w:szCs w:val="21"/>
                <w:highlight w:val="none"/>
                <w:lang w:val="en-US" w:eastAsia="zh-CN" w:bidi="ar-SA"/>
              </w:rPr>
              <w:t>2、</w:t>
            </w:r>
            <w:r>
              <w:rPr>
                <w:rFonts w:hint="eastAsia" w:ascii="宋体" w:hAnsi="宋体" w:eastAsia="宋体" w:cs="宋体"/>
                <w:color w:val="auto"/>
                <w:spacing w:val="-4"/>
                <w:kern w:val="2"/>
                <w:sz w:val="21"/>
                <w:szCs w:val="21"/>
                <w:highlight w:val="none"/>
                <w:lang w:val="en-US" w:eastAsia="zh-CN" w:bidi="ar-SA"/>
              </w:rPr>
              <w:t>其他技术指标</w:t>
            </w:r>
            <w:r>
              <w:rPr>
                <w:rFonts w:hint="eastAsia" w:ascii="宋体" w:hAnsi="宋体" w:cs="宋体"/>
                <w:color w:val="auto"/>
                <w:spacing w:val="-4"/>
                <w:kern w:val="2"/>
                <w:sz w:val="21"/>
                <w:szCs w:val="21"/>
                <w:highlight w:val="none"/>
                <w:lang w:val="en-US" w:eastAsia="zh-CN" w:bidi="ar-SA"/>
              </w:rPr>
              <w:t>，负偏离或</w:t>
            </w:r>
            <w:r>
              <w:rPr>
                <w:rFonts w:hint="eastAsia" w:ascii="宋体" w:hAnsi="宋体" w:eastAsia="宋体" w:cs="宋体"/>
                <w:color w:val="auto"/>
                <w:spacing w:val="-4"/>
                <w:kern w:val="2"/>
                <w:sz w:val="21"/>
                <w:szCs w:val="21"/>
                <w:highlight w:val="none"/>
                <w:lang w:val="en-US" w:eastAsia="zh-CN" w:bidi="ar-SA"/>
              </w:rPr>
              <w:t>不满足</w:t>
            </w:r>
            <w:r>
              <w:rPr>
                <w:rFonts w:hint="eastAsia" w:ascii="宋体" w:hAnsi="宋体" w:cs="宋体"/>
                <w:color w:val="auto"/>
                <w:spacing w:val="-4"/>
                <w:kern w:val="2"/>
                <w:sz w:val="21"/>
                <w:szCs w:val="21"/>
                <w:highlight w:val="none"/>
                <w:lang w:val="en-US" w:eastAsia="zh-CN" w:bidi="ar-SA"/>
              </w:rPr>
              <w:t>的，每项</w:t>
            </w:r>
            <w:r>
              <w:rPr>
                <w:rFonts w:hint="eastAsia" w:ascii="宋体" w:hAnsi="宋体" w:eastAsia="宋体" w:cs="宋体"/>
                <w:color w:val="auto"/>
                <w:spacing w:val="-4"/>
                <w:kern w:val="2"/>
                <w:sz w:val="21"/>
                <w:szCs w:val="21"/>
                <w:highlight w:val="none"/>
                <w:lang w:val="en-US" w:eastAsia="zh-CN" w:bidi="ar-SA"/>
              </w:rPr>
              <w:t>扣</w:t>
            </w:r>
            <w:r>
              <w:rPr>
                <w:rFonts w:hint="eastAsia" w:ascii="宋体" w:hAnsi="宋体" w:cs="宋体"/>
                <w:color w:val="auto"/>
                <w:spacing w:val="-4"/>
                <w:kern w:val="2"/>
                <w:sz w:val="21"/>
                <w:szCs w:val="21"/>
                <w:highlight w:val="none"/>
                <w:lang w:val="en-US" w:eastAsia="zh-CN" w:bidi="ar-SA"/>
              </w:rPr>
              <w:t>0.06</w:t>
            </w:r>
            <w:r>
              <w:rPr>
                <w:rFonts w:hint="eastAsia" w:ascii="宋体" w:hAnsi="宋体" w:eastAsia="宋体" w:cs="宋体"/>
                <w:color w:val="auto"/>
                <w:spacing w:val="-4"/>
                <w:kern w:val="2"/>
                <w:sz w:val="21"/>
                <w:szCs w:val="21"/>
                <w:highlight w:val="none"/>
                <w:lang w:val="en-US" w:eastAsia="zh-CN" w:bidi="ar-SA"/>
              </w:rPr>
              <w:t>分</w:t>
            </w:r>
            <w:r>
              <w:rPr>
                <w:rFonts w:hint="eastAsia" w:ascii="宋体" w:hAnsi="宋体" w:cs="宋体"/>
                <w:color w:val="auto"/>
                <w:spacing w:val="-4"/>
                <w:kern w:val="2"/>
                <w:sz w:val="21"/>
                <w:szCs w:val="21"/>
                <w:highlight w:val="none"/>
                <w:lang w:val="en-US" w:eastAsia="zh-CN" w:bidi="ar-SA"/>
              </w:rPr>
              <w:t>。</w:t>
            </w:r>
          </w:p>
          <w:p w14:paraId="52DBA9D4">
            <w:pPr>
              <w:keepNext w:val="0"/>
              <w:keepLines/>
              <w:pageBreakBefore w:val="0"/>
              <w:widowControl/>
              <w:kinsoku/>
              <w:wordWrap w:val="0"/>
              <w:overflowPunct/>
              <w:topLinePunct w:val="0"/>
              <w:autoSpaceDE/>
              <w:autoSpaceDN/>
              <w:bidi w:val="0"/>
              <w:adjustRightInd/>
              <w:snapToGrid/>
              <w:ind w:left="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扣完为止。</w:t>
            </w:r>
          </w:p>
          <w:p w14:paraId="14290CFE">
            <w:pPr>
              <w:keepNext w:val="0"/>
              <w:keepLines/>
              <w:pageBreakBefore w:val="0"/>
              <w:widowControl/>
              <w:tabs>
                <w:tab w:val="left" w:pos="2061"/>
              </w:tabs>
              <w:kinsoku/>
              <w:wordWrap w:val="0"/>
              <w:overflowPunct/>
              <w:topLinePunct w:val="0"/>
              <w:autoSpaceDE/>
              <w:autoSpaceDN/>
              <w:bidi w:val="0"/>
              <w:adjustRightInd/>
              <w:snapToGrid/>
              <w:spacing w:line="240" w:lineRule="auto"/>
              <w:rPr>
                <w:rFonts w:hint="eastAsia" w:ascii="宋体" w:hAnsi="宋体" w:eastAsia="宋体" w:cs="宋体"/>
                <w:color w:val="auto"/>
                <w:szCs w:val="21"/>
                <w:highlight w:val="none"/>
              </w:rPr>
            </w:pPr>
            <w:r>
              <w:rPr>
                <w:rFonts w:hint="eastAsia" w:ascii="宋体" w:hAnsi="宋体" w:eastAsia="宋体" w:cs="宋体"/>
                <w:b/>
                <w:bCs/>
                <w:color w:val="auto"/>
                <w:spacing w:val="-4"/>
                <w:kern w:val="2"/>
                <w:sz w:val="21"/>
                <w:szCs w:val="21"/>
                <w:highlight w:val="none"/>
                <w:lang w:val="en-US" w:eastAsia="zh-CN" w:bidi="ar-SA"/>
              </w:rPr>
              <w:t>（注：</w:t>
            </w:r>
            <w:r>
              <w:rPr>
                <w:rFonts w:hint="eastAsia" w:ascii="宋体" w:hAnsi="宋体" w:cs="宋体"/>
                <w:b/>
                <w:bCs/>
                <w:color w:val="auto"/>
                <w:spacing w:val="-4"/>
                <w:kern w:val="2"/>
                <w:sz w:val="21"/>
                <w:szCs w:val="21"/>
                <w:highlight w:val="none"/>
                <w:lang w:val="en-US" w:eastAsia="zh-CN" w:bidi="ar-SA"/>
              </w:rPr>
              <w:t>响应招标参数要求，但未提供招标文件要求的证明材料或提供的材料不满足要求的，视为负偏离。</w:t>
            </w:r>
            <w:r>
              <w:rPr>
                <w:rFonts w:hint="eastAsia" w:ascii="宋体" w:hAnsi="宋体" w:eastAsia="宋体" w:cs="宋体"/>
                <w:b/>
                <w:bCs/>
                <w:color w:val="auto"/>
                <w:spacing w:val="-4"/>
                <w:kern w:val="2"/>
                <w:sz w:val="21"/>
                <w:szCs w:val="21"/>
                <w:highlight w:val="none"/>
                <w:lang w:val="en-US" w:eastAsia="zh-CN" w:bidi="ar-SA"/>
              </w:rPr>
              <w:t>）</w:t>
            </w:r>
          </w:p>
        </w:tc>
        <w:tc>
          <w:tcPr>
            <w:tcW w:w="844" w:type="dxa"/>
            <w:tcBorders>
              <w:top w:val="single" w:color="auto" w:sz="4" w:space="0"/>
              <w:left w:val="single" w:color="auto" w:sz="4" w:space="0"/>
              <w:bottom w:val="single" w:color="auto" w:sz="4" w:space="0"/>
              <w:right w:val="single" w:color="auto" w:sz="4" w:space="0"/>
            </w:tcBorders>
            <w:vAlign w:val="center"/>
          </w:tcPr>
          <w:p w14:paraId="70C10B34">
            <w:pPr>
              <w:keepNext w:val="0"/>
              <w:keepLines/>
              <w:pageBreakBefore w:val="0"/>
              <w:widowControl/>
              <w:kinsoku/>
              <w:wordWrap w:val="0"/>
              <w:overflowPunct/>
              <w:topLinePunct w:val="0"/>
              <w:autoSpaceDE/>
              <w:autoSpaceDN/>
              <w:bidi w:val="0"/>
              <w:adjustRightInd/>
              <w:snapToGrid/>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36</w:t>
            </w:r>
          </w:p>
        </w:tc>
      </w:tr>
      <w:tr w14:paraId="48D4B466">
        <w:tblPrEx>
          <w:tblCellMar>
            <w:top w:w="15" w:type="dxa"/>
            <w:left w:w="15" w:type="dxa"/>
            <w:bottom w:w="15" w:type="dxa"/>
            <w:right w:w="15" w:type="dxa"/>
          </w:tblCellMar>
        </w:tblPrEx>
        <w:trPr>
          <w:trHeight w:val="1674"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14:paraId="1D650BF6">
            <w:pPr>
              <w:keepNext w:val="0"/>
              <w:keepLines/>
              <w:pageBreakBefore w:val="0"/>
              <w:widowControl/>
              <w:kinsoku/>
              <w:wordWrap w:val="0"/>
              <w:overflowPunct/>
              <w:topLinePunct w:val="0"/>
              <w:autoSpaceDE/>
              <w:autoSpaceDN/>
              <w:bidi w:val="0"/>
              <w:adjustRightInd/>
              <w:snapToGrid/>
              <w:spacing w:line="240" w:lineRule="auto"/>
              <w:rPr>
                <w:rFonts w:hint="eastAsia" w:ascii="宋体" w:hAnsi="宋体" w:eastAsia="宋体" w:cs="宋体"/>
                <w:color w:val="auto"/>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0207441F">
            <w:pPr>
              <w:keepNext w:val="0"/>
              <w:keepLines/>
              <w:pageBreakBefore w:val="0"/>
              <w:widowControl/>
              <w:kinsoku/>
              <w:wordWrap w:val="0"/>
              <w:overflowPunct/>
              <w:topLinePunct w:val="0"/>
              <w:autoSpaceDE/>
              <w:autoSpaceDN/>
              <w:bidi w:val="0"/>
              <w:adjustRightInd/>
              <w:snapToGrid/>
              <w:spacing w:line="240" w:lineRule="auto"/>
              <w:jc w:val="center"/>
              <w:rPr>
                <w:rFonts w:hint="eastAsia" w:ascii="宋体" w:hAnsi="宋体" w:eastAsia="宋体" w:cs="宋体"/>
                <w:color w:val="auto"/>
                <w:szCs w:val="21"/>
                <w:highlight w:val="none"/>
              </w:rPr>
            </w:pPr>
            <w:r>
              <w:rPr>
                <w:rFonts w:hint="eastAsia" w:ascii="宋体" w:hAnsi="宋体" w:cs="宋体"/>
                <w:color w:val="auto"/>
                <w:kern w:val="0"/>
                <w:szCs w:val="21"/>
                <w:highlight w:val="none"/>
                <w:lang w:val="en-US" w:eastAsia="zh-CN"/>
              </w:rPr>
              <w:t>技术、</w:t>
            </w:r>
            <w:r>
              <w:rPr>
                <w:rFonts w:hint="eastAsia" w:ascii="宋体" w:hAnsi="宋体" w:cs="宋体"/>
                <w:color w:val="auto"/>
                <w:kern w:val="0"/>
                <w:szCs w:val="21"/>
                <w:highlight w:val="none"/>
              </w:rPr>
              <w:t>实施方案</w:t>
            </w:r>
          </w:p>
        </w:tc>
        <w:tc>
          <w:tcPr>
            <w:tcW w:w="6985" w:type="dxa"/>
            <w:tcBorders>
              <w:top w:val="single" w:color="auto" w:sz="4" w:space="0"/>
              <w:left w:val="single" w:color="auto" w:sz="4" w:space="0"/>
              <w:bottom w:val="single" w:color="auto" w:sz="4" w:space="0"/>
              <w:right w:val="single" w:color="auto" w:sz="4" w:space="0"/>
            </w:tcBorders>
            <w:vAlign w:val="center"/>
          </w:tcPr>
          <w:p w14:paraId="19A28548">
            <w:pPr>
              <w:pStyle w:val="50"/>
              <w:keepNext w:val="0"/>
              <w:keepLines/>
              <w:pageBreakBefore w:val="0"/>
              <w:widowControl/>
              <w:kinsoku/>
              <w:wordWrap w:val="0"/>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rPr>
              <w:t>根据</w:t>
            </w:r>
            <w:r>
              <w:rPr>
                <w:rFonts w:hint="eastAsia" w:ascii="宋体" w:hAnsi="宋体" w:eastAsia="宋体" w:cs="宋体"/>
                <w:color w:val="auto"/>
                <w:szCs w:val="24"/>
                <w:highlight w:val="none"/>
                <w:lang w:val="en-US" w:eastAsia="zh-CN"/>
              </w:rPr>
              <w:t>投标人</w:t>
            </w:r>
            <w:r>
              <w:rPr>
                <w:rFonts w:hint="eastAsia" w:ascii="宋体" w:hAnsi="宋体" w:eastAsia="宋体" w:cs="宋体"/>
                <w:color w:val="auto"/>
                <w:sz w:val="21"/>
                <w:szCs w:val="21"/>
                <w:highlight w:val="none"/>
                <w:lang w:val="en-US" w:eastAsia="zh-CN"/>
              </w:rPr>
              <w:t>针对本项目</w:t>
            </w:r>
            <w:r>
              <w:rPr>
                <w:rFonts w:hint="eastAsia" w:ascii="宋体" w:hAnsi="宋体" w:cs="宋体"/>
                <w:color w:val="auto"/>
                <w:sz w:val="21"/>
                <w:szCs w:val="21"/>
                <w:highlight w:val="none"/>
                <w:lang w:val="en-US" w:eastAsia="zh-CN"/>
              </w:rPr>
              <w:t>提供的组织实施方案（包括产品供货、验货、安装调试、试运行、测试、调优等内容）进行综合打分。</w:t>
            </w:r>
          </w:p>
          <w:p w14:paraId="416F7A88">
            <w:pPr>
              <w:pStyle w:val="50"/>
              <w:keepNext w:val="0"/>
              <w:keepLines/>
              <w:pageBreakBefore w:val="0"/>
              <w:widowControl/>
              <w:kinsoku/>
              <w:wordWrap w:val="0"/>
              <w:overflowPunct/>
              <w:topLinePunct w:val="0"/>
              <w:autoSpaceDE/>
              <w:autoSpaceDN/>
              <w:bidi w:val="0"/>
              <w:adjustRightInd/>
              <w:snapToGrid/>
              <w:spacing w:before="0" w:after="0" w:line="240" w:lineRule="auto"/>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方案适用本项目，</w:t>
            </w:r>
            <w:r>
              <w:rPr>
                <w:rFonts w:hint="eastAsia" w:hAnsi="宋体"/>
                <w:color w:val="auto"/>
                <w:kern w:val="0"/>
                <w:szCs w:val="21"/>
                <w:highlight w:val="none"/>
              </w:rPr>
              <w:t>内容详细，有针对性，可行性高</w:t>
            </w:r>
            <w:r>
              <w:rPr>
                <w:rFonts w:hint="eastAsia" w:asciiTheme="minorEastAsia" w:hAnsiTheme="minorEastAsia" w:eastAsiaTheme="minorEastAsia" w:cstheme="minorEastAsia"/>
                <w:color w:val="auto"/>
                <w:highlight w:val="none"/>
                <w:lang w:val="en-US" w:eastAsia="zh-CN"/>
              </w:rPr>
              <w:t>的得4分；</w:t>
            </w:r>
          </w:p>
          <w:p w14:paraId="585B4B91">
            <w:pPr>
              <w:pStyle w:val="50"/>
              <w:keepNext w:val="0"/>
              <w:keepLines/>
              <w:pageBreakBefore w:val="0"/>
              <w:widowControl/>
              <w:kinsoku/>
              <w:wordWrap w:val="0"/>
              <w:overflowPunct/>
              <w:topLinePunct w:val="0"/>
              <w:autoSpaceDE/>
              <w:autoSpaceDN/>
              <w:bidi w:val="0"/>
              <w:adjustRightInd/>
              <w:snapToGrid/>
              <w:spacing w:before="0" w:after="0" w:line="240" w:lineRule="auto"/>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方案基本满足本项目，</w:t>
            </w:r>
            <w:r>
              <w:rPr>
                <w:rFonts w:hint="eastAsia" w:hAnsi="宋体"/>
                <w:color w:val="auto"/>
                <w:kern w:val="0"/>
                <w:szCs w:val="21"/>
                <w:highlight w:val="none"/>
              </w:rPr>
              <w:t>内容较为详细，可行性较高</w:t>
            </w:r>
            <w:r>
              <w:rPr>
                <w:rFonts w:hint="eastAsia" w:asciiTheme="minorEastAsia" w:hAnsiTheme="minorEastAsia" w:eastAsiaTheme="minorEastAsia" w:cstheme="minorEastAsia"/>
                <w:color w:val="auto"/>
                <w:highlight w:val="none"/>
                <w:lang w:val="en-US" w:eastAsia="zh-CN"/>
              </w:rPr>
              <w:t>的得3分；</w:t>
            </w:r>
          </w:p>
          <w:p w14:paraId="7A6F18D3">
            <w:pPr>
              <w:pStyle w:val="50"/>
              <w:keepNext w:val="0"/>
              <w:keepLines/>
              <w:pageBreakBefore w:val="0"/>
              <w:widowControl/>
              <w:kinsoku/>
              <w:wordWrap w:val="0"/>
              <w:overflowPunct/>
              <w:topLinePunct w:val="0"/>
              <w:autoSpaceDE/>
              <w:autoSpaceDN/>
              <w:bidi w:val="0"/>
              <w:adjustRightInd/>
              <w:snapToGrid/>
              <w:spacing w:before="0" w:after="0" w:line="240" w:lineRule="auto"/>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方案一般，有所欠缺，可行性一般的得2分；</w:t>
            </w:r>
          </w:p>
          <w:p w14:paraId="4DC7E88E">
            <w:pPr>
              <w:pStyle w:val="50"/>
              <w:keepNext w:val="0"/>
              <w:keepLines/>
              <w:pageBreakBefore w:val="0"/>
              <w:widowControl/>
              <w:kinsoku/>
              <w:wordWrap w:val="0"/>
              <w:overflowPunct/>
              <w:topLinePunct w:val="0"/>
              <w:autoSpaceDE/>
              <w:autoSpaceDN/>
              <w:bidi w:val="0"/>
              <w:adjustRightInd/>
              <w:snapToGrid/>
              <w:spacing w:before="0" w:after="0" w:line="240" w:lineRule="auto"/>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方案与本项目需求相差较大且内容不够全面的得1分；</w:t>
            </w:r>
          </w:p>
          <w:p w14:paraId="3807A5F9">
            <w:pPr>
              <w:keepNext w:val="0"/>
              <w:keepLines/>
              <w:pageBreakBefore w:val="0"/>
              <w:widowControl/>
              <w:kinsoku/>
              <w:wordWrap w:val="0"/>
              <w:overflowPunct/>
              <w:topLinePunct w:val="0"/>
              <w:autoSpaceDE/>
              <w:autoSpaceDN/>
              <w:bidi w:val="0"/>
              <w:adjustRightInd/>
              <w:snapToGrid/>
              <w:spacing w:line="240" w:lineRule="auto"/>
              <w:jc w:val="left"/>
              <w:rPr>
                <w:rFonts w:hint="eastAsia" w:ascii="宋体" w:hAnsi="宋体" w:eastAsia="宋体" w:cs="宋体"/>
                <w:color w:val="auto"/>
                <w:szCs w:val="21"/>
                <w:highlight w:val="none"/>
              </w:rPr>
            </w:pPr>
            <w:r>
              <w:rPr>
                <w:rFonts w:hint="eastAsia" w:asciiTheme="minorEastAsia" w:hAnsiTheme="minorEastAsia" w:eastAsiaTheme="minorEastAsia" w:cstheme="minorEastAsia"/>
                <w:color w:val="auto"/>
                <w:highlight w:val="none"/>
                <w:lang w:val="en-US" w:eastAsia="zh-CN"/>
              </w:rPr>
              <w:t>未提及此项不得分。</w:t>
            </w:r>
          </w:p>
        </w:tc>
        <w:tc>
          <w:tcPr>
            <w:tcW w:w="844" w:type="dxa"/>
            <w:tcBorders>
              <w:top w:val="single" w:color="auto" w:sz="4" w:space="0"/>
              <w:left w:val="single" w:color="auto" w:sz="4" w:space="0"/>
              <w:bottom w:val="single" w:color="auto" w:sz="4" w:space="0"/>
              <w:right w:val="single" w:color="auto" w:sz="4" w:space="0"/>
            </w:tcBorders>
            <w:vAlign w:val="center"/>
          </w:tcPr>
          <w:p w14:paraId="7F9480CF">
            <w:pPr>
              <w:keepNext w:val="0"/>
              <w:keepLines/>
              <w:pageBreakBefore w:val="0"/>
              <w:widowControl/>
              <w:kinsoku/>
              <w:wordWrap w:val="0"/>
              <w:overflowPunct/>
              <w:topLinePunct w:val="0"/>
              <w:autoSpaceDE/>
              <w:autoSpaceDN/>
              <w:bidi w:val="0"/>
              <w:adjustRightInd/>
              <w:snapToGrid/>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pacing w:val="-4"/>
                <w:szCs w:val="21"/>
                <w:highlight w:val="none"/>
                <w:lang w:val="en-US" w:eastAsia="zh-CN"/>
              </w:rPr>
              <w:t>4</w:t>
            </w:r>
          </w:p>
        </w:tc>
      </w:tr>
      <w:tr w14:paraId="22928F68">
        <w:tblPrEx>
          <w:tblCellMar>
            <w:top w:w="15" w:type="dxa"/>
            <w:left w:w="15" w:type="dxa"/>
            <w:bottom w:w="15" w:type="dxa"/>
            <w:right w:w="15" w:type="dxa"/>
          </w:tblCellMar>
        </w:tblPrEx>
        <w:trPr>
          <w:trHeight w:val="598"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14:paraId="5D900746">
            <w:pPr>
              <w:keepNext w:val="0"/>
              <w:keepLines/>
              <w:pageBreakBefore w:val="0"/>
              <w:widowControl/>
              <w:kinsoku/>
              <w:wordWrap w:val="0"/>
              <w:overflowPunct/>
              <w:topLinePunct w:val="0"/>
              <w:autoSpaceDE/>
              <w:autoSpaceDN/>
              <w:bidi w:val="0"/>
              <w:adjustRightInd/>
              <w:snapToGrid/>
              <w:spacing w:line="240" w:lineRule="auto"/>
              <w:jc w:val="center"/>
              <w:textAlignment w:val="center"/>
              <w:rPr>
                <w:rFonts w:hint="eastAsia" w:ascii="宋体" w:hAnsi="宋体" w:eastAsia="宋体" w:cs="宋体"/>
                <w:color w:val="auto"/>
                <w:szCs w:val="21"/>
                <w:highlight w:val="none"/>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6276597">
            <w:pPr>
              <w:keepNext w:val="0"/>
              <w:keepLines/>
              <w:pageBreakBefore w:val="0"/>
              <w:widowControl/>
              <w:kinsoku/>
              <w:wordWrap w:val="0"/>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交付培训方案</w:t>
            </w:r>
          </w:p>
        </w:tc>
        <w:tc>
          <w:tcPr>
            <w:tcW w:w="6985" w:type="dxa"/>
            <w:tcBorders>
              <w:top w:val="single" w:color="auto" w:sz="4" w:space="0"/>
              <w:left w:val="single" w:color="auto" w:sz="4" w:space="0"/>
              <w:bottom w:val="single" w:color="auto" w:sz="4" w:space="0"/>
              <w:right w:val="single" w:color="auto" w:sz="4" w:space="0"/>
            </w:tcBorders>
            <w:shd w:val="clear" w:color="auto" w:fill="auto"/>
            <w:vAlign w:val="center"/>
          </w:tcPr>
          <w:p w14:paraId="5FF8341D">
            <w:pPr>
              <w:keepNext w:val="0"/>
              <w:keepLines/>
              <w:pageBreakBefore w:val="0"/>
              <w:widowControl/>
              <w:tabs>
                <w:tab w:val="left" w:pos="2061"/>
              </w:tabs>
              <w:kinsoku/>
              <w:wordWrap w:val="0"/>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cs="宋体"/>
                <w:color w:val="auto"/>
                <w:kern w:val="0"/>
                <w:highlight w:val="none"/>
                <w:lang w:val="en-US" w:eastAsia="zh-CN"/>
              </w:rPr>
            </w:pPr>
            <w:r>
              <w:rPr>
                <w:rFonts w:hint="eastAsia" w:ascii="宋体" w:hAnsi="宋体" w:cs="宋体"/>
                <w:color w:val="auto"/>
                <w:kern w:val="0"/>
                <w:highlight w:val="none"/>
              </w:rPr>
              <w:t>根据投标人的</w:t>
            </w:r>
            <w:r>
              <w:rPr>
                <w:rFonts w:hint="eastAsia" w:ascii="宋体" w:hAnsi="宋体" w:cs="宋体"/>
                <w:color w:val="auto"/>
                <w:kern w:val="0"/>
                <w:highlight w:val="none"/>
                <w:lang w:val="en-US" w:eastAsia="zh-CN"/>
              </w:rPr>
              <w:t>培训方案（</w:t>
            </w:r>
            <w:r>
              <w:rPr>
                <w:rFonts w:hint="eastAsia" w:ascii="宋体" w:hAnsi="宋体" w:eastAsia="宋体" w:cs="宋体"/>
                <w:color w:val="auto"/>
                <w:kern w:val="0"/>
                <w:sz w:val="21"/>
                <w:szCs w:val="21"/>
                <w:highlight w:val="none"/>
              </w:rPr>
              <w:t>包含</w:t>
            </w:r>
            <w:r>
              <w:rPr>
                <w:rFonts w:hint="eastAsia" w:ascii="宋体" w:hAnsi="宋体" w:cs="宋体"/>
                <w:color w:val="auto"/>
                <w:sz w:val="21"/>
                <w:szCs w:val="21"/>
                <w:highlight w:val="none"/>
                <w:lang w:val="en-US" w:eastAsia="zh-CN"/>
              </w:rPr>
              <w:t>操作管理培训、项目运行维护培训、其他</w:t>
            </w:r>
            <w:r>
              <w:rPr>
                <w:rFonts w:hint="eastAsia" w:ascii="宋体" w:hAnsi="宋体" w:eastAsia="宋体" w:cs="宋体"/>
                <w:color w:val="auto"/>
                <w:kern w:val="0"/>
                <w:sz w:val="21"/>
                <w:szCs w:val="21"/>
                <w:highlight w:val="none"/>
              </w:rPr>
              <w:t>培训内容、培训</w:t>
            </w:r>
            <w:r>
              <w:rPr>
                <w:rFonts w:hint="eastAsia" w:ascii="宋体" w:hAnsi="宋体" w:eastAsia="宋体" w:cs="宋体"/>
                <w:color w:val="auto"/>
                <w:kern w:val="0"/>
                <w:sz w:val="21"/>
                <w:szCs w:val="21"/>
                <w:highlight w:val="none"/>
                <w:lang w:val="en-GB"/>
              </w:rPr>
              <w:t>目标</w:t>
            </w:r>
            <w:r>
              <w:rPr>
                <w:rFonts w:hint="eastAsia" w:ascii="宋体" w:hAnsi="宋体" w:eastAsia="宋体" w:cs="宋体"/>
                <w:color w:val="auto"/>
                <w:kern w:val="0"/>
                <w:sz w:val="21"/>
                <w:szCs w:val="21"/>
                <w:highlight w:val="none"/>
              </w:rPr>
              <w:t>、培训时间和地点安排、师资力量等内容</w:t>
            </w:r>
            <w:r>
              <w:rPr>
                <w:rFonts w:hint="eastAsia" w:ascii="宋体" w:hAnsi="宋体" w:cs="宋体"/>
                <w:color w:val="auto"/>
                <w:kern w:val="0"/>
                <w:highlight w:val="none"/>
                <w:lang w:val="en-US" w:eastAsia="zh-CN"/>
              </w:rPr>
              <w:t>）的合理性和可行性进行</w:t>
            </w:r>
            <w:r>
              <w:rPr>
                <w:rFonts w:hint="eastAsia" w:ascii="宋体" w:hAnsi="宋体" w:cs="宋体"/>
                <w:color w:val="auto"/>
                <w:sz w:val="21"/>
                <w:szCs w:val="21"/>
                <w:highlight w:val="none"/>
                <w:lang w:val="en-US" w:eastAsia="zh-CN"/>
              </w:rPr>
              <w:t>综合</w:t>
            </w:r>
            <w:r>
              <w:rPr>
                <w:rFonts w:hint="eastAsia" w:ascii="宋体" w:hAnsi="宋体" w:cs="宋体"/>
                <w:color w:val="auto"/>
                <w:kern w:val="0"/>
                <w:highlight w:val="none"/>
                <w:lang w:val="en-US" w:eastAsia="zh-CN"/>
              </w:rPr>
              <w:t>打分。</w:t>
            </w:r>
          </w:p>
          <w:p w14:paraId="3925C8DC">
            <w:pPr>
              <w:keepNext w:val="0"/>
              <w:keepLines/>
              <w:pageBreakBefore w:val="0"/>
              <w:widowControl/>
              <w:tabs>
                <w:tab w:val="left" w:pos="2061"/>
              </w:tabs>
              <w:kinsoku/>
              <w:wordWrap w:val="0"/>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kern w:val="0"/>
                <w:highlight w:val="none"/>
                <w:lang w:val="en-US" w:eastAsia="zh-CN"/>
              </w:rPr>
              <w:t>培训方案</w:t>
            </w:r>
            <w:r>
              <w:rPr>
                <w:rFonts w:hint="eastAsia" w:ascii="宋体" w:hAnsi="宋体" w:eastAsia="宋体" w:cs="宋体"/>
                <w:b w:val="0"/>
                <w:bCs w:val="0"/>
                <w:color w:val="auto"/>
                <w:sz w:val="21"/>
                <w:szCs w:val="21"/>
                <w:highlight w:val="none"/>
                <w:lang w:val="en-US" w:eastAsia="zh-CN"/>
              </w:rPr>
              <w:t>全面、合理有效的得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w:t>
            </w:r>
          </w:p>
          <w:p w14:paraId="6ECFBFFB">
            <w:pPr>
              <w:keepNext w:val="0"/>
              <w:keepLines/>
              <w:pageBreakBefore w:val="0"/>
              <w:widowControl/>
              <w:tabs>
                <w:tab w:val="left" w:pos="2061"/>
              </w:tabs>
              <w:kinsoku/>
              <w:wordWrap w:val="0"/>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kern w:val="0"/>
                <w:highlight w:val="none"/>
                <w:lang w:val="en-US" w:eastAsia="zh-CN"/>
              </w:rPr>
              <w:t>培训方案</w:t>
            </w:r>
            <w:r>
              <w:rPr>
                <w:rFonts w:hint="eastAsia" w:ascii="宋体" w:hAnsi="宋体" w:eastAsia="宋体" w:cs="宋体"/>
                <w:b w:val="0"/>
                <w:bCs w:val="0"/>
                <w:color w:val="auto"/>
                <w:sz w:val="21"/>
                <w:szCs w:val="21"/>
                <w:highlight w:val="none"/>
                <w:lang w:val="en-US" w:eastAsia="zh-CN"/>
              </w:rPr>
              <w:t>阐述较详尽，有欠缺的得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305472A7">
            <w:pPr>
              <w:keepNext w:val="0"/>
              <w:keepLines/>
              <w:pageBreakBefore w:val="0"/>
              <w:widowControl/>
              <w:kinsoku/>
              <w:wordWrap w:val="0"/>
              <w:overflowPunct/>
              <w:topLinePunct w:val="0"/>
              <w:autoSpaceDE/>
              <w:autoSpaceDN/>
              <w:bidi w:val="0"/>
              <w:adjustRightInd/>
              <w:snapToGrid/>
              <w:spacing w:line="240" w:lineRule="auto"/>
              <w:ind w:left="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kern w:val="0"/>
                <w:highlight w:val="none"/>
                <w:lang w:val="en-US" w:eastAsia="zh-CN"/>
              </w:rPr>
              <w:t>培训方案</w:t>
            </w:r>
            <w:r>
              <w:rPr>
                <w:rFonts w:hint="eastAsia" w:ascii="宋体" w:hAnsi="宋体" w:eastAsia="宋体" w:cs="宋体"/>
                <w:b w:val="0"/>
                <w:bCs w:val="0"/>
                <w:color w:val="auto"/>
                <w:sz w:val="21"/>
                <w:szCs w:val="21"/>
                <w:highlight w:val="none"/>
                <w:lang w:val="en-US" w:eastAsia="zh-CN"/>
              </w:rPr>
              <w:t>一般的得1分；</w:t>
            </w:r>
          </w:p>
          <w:p w14:paraId="542BAFCB">
            <w:pPr>
              <w:keepNext w:val="0"/>
              <w:keepLines/>
              <w:pageBreakBefore w:val="0"/>
              <w:widowControl/>
              <w:kinsoku/>
              <w:wordWrap w:val="0"/>
              <w:overflowPunct/>
              <w:topLinePunct w:val="0"/>
              <w:autoSpaceDE/>
              <w:autoSpaceDN/>
              <w:bidi w:val="0"/>
              <w:adjustRightInd/>
              <w:snapToGrid/>
              <w:spacing w:line="240" w:lineRule="auto"/>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未提及此项不得分。</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2B2FBFF6">
            <w:pPr>
              <w:keepNext w:val="0"/>
              <w:keepLines/>
              <w:pageBreakBefore w:val="0"/>
              <w:widowControl/>
              <w:tabs>
                <w:tab w:val="left" w:pos="780"/>
              </w:tabs>
              <w:kinsoku/>
              <w:wordWrap w:val="0"/>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r>
      <w:tr w14:paraId="6531A7C7">
        <w:tblPrEx>
          <w:tblCellMar>
            <w:top w:w="15" w:type="dxa"/>
            <w:left w:w="15" w:type="dxa"/>
            <w:bottom w:w="15" w:type="dxa"/>
            <w:right w:w="15" w:type="dxa"/>
          </w:tblCellMar>
        </w:tblPrEx>
        <w:trPr>
          <w:trHeight w:val="148"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14:paraId="64631D23">
            <w:pPr>
              <w:keepNext w:val="0"/>
              <w:keepLines/>
              <w:pageBreakBefore w:val="0"/>
              <w:widowControl/>
              <w:kinsoku/>
              <w:wordWrap w:val="0"/>
              <w:overflowPunct/>
              <w:topLinePunct w:val="0"/>
              <w:autoSpaceDE/>
              <w:autoSpaceDN/>
              <w:bidi w:val="0"/>
              <w:adjustRightInd/>
              <w:snapToGrid/>
              <w:spacing w:line="240"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 xml:space="preserve"> </w:t>
            </w:r>
          </w:p>
        </w:tc>
        <w:tc>
          <w:tcPr>
            <w:tcW w:w="925" w:type="dxa"/>
            <w:tcBorders>
              <w:top w:val="single" w:color="auto" w:sz="4" w:space="0"/>
              <w:left w:val="single" w:color="auto" w:sz="4" w:space="0"/>
              <w:bottom w:val="single" w:color="auto" w:sz="4" w:space="0"/>
              <w:right w:val="single" w:color="auto" w:sz="4" w:space="0"/>
            </w:tcBorders>
            <w:vAlign w:val="center"/>
          </w:tcPr>
          <w:p w14:paraId="16205A22">
            <w:pPr>
              <w:keepNext w:val="0"/>
              <w:keepLines/>
              <w:pageBreakBefore w:val="0"/>
              <w:widowControl/>
              <w:kinsoku/>
              <w:wordWrap w:val="0"/>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售后服务</w:t>
            </w:r>
            <w:r>
              <w:rPr>
                <w:rFonts w:hint="eastAsia" w:ascii="宋体" w:hAnsi="宋体" w:eastAsia="宋体" w:cs="宋体"/>
                <w:color w:val="auto"/>
                <w:sz w:val="21"/>
                <w:szCs w:val="21"/>
                <w:highlight w:val="none"/>
                <w:lang w:val="en-US" w:eastAsia="zh-CN"/>
              </w:rPr>
              <w:t>方案</w:t>
            </w:r>
          </w:p>
        </w:tc>
        <w:tc>
          <w:tcPr>
            <w:tcW w:w="6985" w:type="dxa"/>
            <w:tcBorders>
              <w:top w:val="single" w:color="auto" w:sz="4" w:space="0"/>
              <w:left w:val="single" w:color="auto" w:sz="4" w:space="0"/>
              <w:bottom w:val="single" w:color="auto" w:sz="4" w:space="0"/>
              <w:right w:val="single" w:color="auto" w:sz="4" w:space="0"/>
            </w:tcBorders>
            <w:vAlign w:val="center"/>
          </w:tcPr>
          <w:p w14:paraId="52B9BFC2">
            <w:pPr>
              <w:keepNext w:val="0"/>
              <w:keepLines/>
              <w:pageBreakBefore w:val="0"/>
              <w:widowControl/>
              <w:tabs>
                <w:tab w:val="left" w:pos="2061"/>
              </w:tabs>
              <w:kinsoku/>
              <w:wordWrap w:val="0"/>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cs="宋体"/>
                <w:color w:val="auto"/>
                <w:kern w:val="0"/>
                <w:highlight w:val="none"/>
                <w:lang w:val="en-US" w:eastAsia="zh-CN"/>
              </w:rPr>
            </w:pPr>
            <w:r>
              <w:rPr>
                <w:rFonts w:hint="eastAsia" w:ascii="宋体" w:hAnsi="宋体" w:cs="宋体"/>
                <w:color w:val="auto"/>
                <w:kern w:val="0"/>
                <w:highlight w:val="none"/>
              </w:rPr>
              <w:t>根据投标人的</w:t>
            </w:r>
            <w:r>
              <w:rPr>
                <w:rFonts w:hint="eastAsia" w:ascii="宋体" w:hAnsi="宋体" w:cs="宋体"/>
                <w:color w:val="auto"/>
                <w:kern w:val="0"/>
                <w:highlight w:val="none"/>
                <w:lang w:val="en-US" w:eastAsia="zh-CN"/>
              </w:rPr>
              <w:t>售后服务方案（</w:t>
            </w:r>
            <w:r>
              <w:rPr>
                <w:rFonts w:hint="eastAsia" w:ascii="宋体" w:hAnsi="宋体" w:cs="宋体"/>
                <w:color w:val="auto"/>
                <w:sz w:val="21"/>
                <w:szCs w:val="21"/>
                <w:highlight w:val="none"/>
                <w:lang w:val="en-US" w:eastAsia="zh-CN"/>
              </w:rPr>
              <w:t>包括</w:t>
            </w:r>
            <w:r>
              <w:rPr>
                <w:rFonts w:hint="eastAsia" w:ascii="宋体" w:hAnsi="宋体" w:eastAsia="宋体" w:cs="宋体"/>
                <w:color w:val="auto"/>
                <w:kern w:val="0"/>
                <w:sz w:val="21"/>
                <w:szCs w:val="21"/>
                <w:highlight w:val="none"/>
              </w:rPr>
              <w:t>远程视频免费咨询服务</w:t>
            </w:r>
            <w:r>
              <w:rPr>
                <w:rFonts w:hint="eastAsia" w:ascii="宋体" w:hAnsi="宋体" w:eastAsia="宋体" w:cs="宋体"/>
                <w:color w:val="auto"/>
                <w:kern w:val="0"/>
                <w:sz w:val="21"/>
                <w:szCs w:val="21"/>
                <w:highlight w:val="none"/>
                <w:lang w:eastAsia="zh-CN"/>
              </w:rPr>
              <w:t>、</w:t>
            </w:r>
            <w:r>
              <w:rPr>
                <w:rFonts w:hint="eastAsia"/>
                <w:color w:val="auto"/>
                <w:highlight w:val="none"/>
              </w:rPr>
              <w:t>售后服务响应时间、响应程度、紧急故障处理预案等内容</w:t>
            </w:r>
            <w:r>
              <w:rPr>
                <w:rFonts w:hint="eastAsia" w:ascii="宋体" w:hAnsi="宋体" w:cs="宋体"/>
                <w:color w:val="auto"/>
                <w:kern w:val="0"/>
                <w:highlight w:val="none"/>
                <w:lang w:val="en-US" w:eastAsia="zh-CN"/>
              </w:rPr>
              <w:t>等情况）的合理性和可行性进行</w:t>
            </w:r>
            <w:r>
              <w:rPr>
                <w:rFonts w:hint="eastAsia" w:ascii="宋体" w:hAnsi="宋体" w:cs="宋体"/>
                <w:color w:val="auto"/>
                <w:sz w:val="21"/>
                <w:szCs w:val="21"/>
                <w:highlight w:val="none"/>
                <w:lang w:val="en-US" w:eastAsia="zh-CN"/>
              </w:rPr>
              <w:t>综合</w:t>
            </w:r>
            <w:r>
              <w:rPr>
                <w:rFonts w:hint="eastAsia" w:ascii="宋体" w:hAnsi="宋体" w:cs="宋体"/>
                <w:color w:val="auto"/>
                <w:kern w:val="0"/>
                <w:highlight w:val="none"/>
                <w:lang w:val="en-US" w:eastAsia="zh-CN"/>
              </w:rPr>
              <w:t>打分。</w:t>
            </w:r>
          </w:p>
          <w:p w14:paraId="15E0A60F">
            <w:pPr>
              <w:keepNext w:val="0"/>
              <w:keepLines/>
              <w:pageBreakBefore w:val="0"/>
              <w:widowControl/>
              <w:tabs>
                <w:tab w:val="left" w:pos="2061"/>
              </w:tabs>
              <w:kinsoku/>
              <w:wordWrap w:val="0"/>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kern w:val="0"/>
                <w:highlight w:val="none"/>
                <w:lang w:val="en-US" w:eastAsia="zh-CN"/>
              </w:rPr>
              <w:t>售后</w:t>
            </w:r>
            <w:r>
              <w:rPr>
                <w:rFonts w:hint="eastAsia" w:ascii="宋体" w:hAnsi="宋体" w:eastAsia="宋体" w:cs="宋体"/>
                <w:b w:val="0"/>
                <w:bCs w:val="0"/>
                <w:color w:val="auto"/>
                <w:sz w:val="21"/>
                <w:szCs w:val="21"/>
                <w:highlight w:val="none"/>
                <w:lang w:val="en-US" w:eastAsia="zh-CN"/>
              </w:rPr>
              <w:t>服务方案全面、后续实施保障措施合理有效的得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06CAE94A">
            <w:pPr>
              <w:keepNext w:val="0"/>
              <w:keepLines/>
              <w:pageBreakBefore w:val="0"/>
              <w:widowControl/>
              <w:tabs>
                <w:tab w:val="left" w:pos="2061"/>
              </w:tabs>
              <w:kinsoku/>
              <w:wordWrap w:val="0"/>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kern w:val="0"/>
                <w:highlight w:val="none"/>
                <w:lang w:val="en-US" w:eastAsia="zh-CN"/>
              </w:rPr>
              <w:t>售后</w:t>
            </w:r>
            <w:r>
              <w:rPr>
                <w:rFonts w:hint="eastAsia" w:ascii="宋体" w:hAnsi="宋体" w:eastAsia="宋体" w:cs="宋体"/>
                <w:b w:val="0"/>
                <w:bCs w:val="0"/>
                <w:color w:val="auto"/>
                <w:sz w:val="21"/>
                <w:szCs w:val="21"/>
                <w:highlight w:val="none"/>
                <w:lang w:val="en-US" w:eastAsia="zh-CN"/>
              </w:rPr>
              <w:t>服务方案阐述较详尽，后续实施保障措施有欠缺的得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w:t>
            </w:r>
          </w:p>
          <w:p w14:paraId="7858C5E1">
            <w:pPr>
              <w:keepNext w:val="0"/>
              <w:keepLines/>
              <w:pageBreakBefore w:val="0"/>
              <w:widowControl/>
              <w:kinsoku/>
              <w:wordWrap w:val="0"/>
              <w:overflowPunct/>
              <w:topLinePunct w:val="0"/>
              <w:autoSpaceDE/>
              <w:autoSpaceDN/>
              <w:bidi w:val="0"/>
              <w:adjustRightInd/>
              <w:snapToGrid/>
              <w:spacing w:line="240" w:lineRule="auto"/>
              <w:ind w:left="0" w:left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售后服务方案简单的得0.5分；</w:t>
            </w:r>
          </w:p>
          <w:p w14:paraId="76127078">
            <w:pPr>
              <w:keepNext w:val="0"/>
              <w:keepLines/>
              <w:pageBreakBefore w:val="0"/>
              <w:widowControl/>
              <w:kinsoku/>
              <w:wordWrap w:val="0"/>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lang w:val="en-US" w:eastAsia="zh-CN"/>
              </w:rPr>
              <w:t>未提及此项不得分。</w:t>
            </w:r>
          </w:p>
        </w:tc>
        <w:tc>
          <w:tcPr>
            <w:tcW w:w="844" w:type="dxa"/>
            <w:tcBorders>
              <w:top w:val="single" w:color="auto" w:sz="4" w:space="0"/>
              <w:left w:val="single" w:color="auto" w:sz="4" w:space="0"/>
              <w:bottom w:val="single" w:color="auto" w:sz="4" w:space="0"/>
              <w:right w:val="single" w:color="auto" w:sz="4" w:space="0"/>
            </w:tcBorders>
            <w:vAlign w:val="center"/>
          </w:tcPr>
          <w:p w14:paraId="2E34E8CA">
            <w:pPr>
              <w:keepNext w:val="0"/>
              <w:keepLines/>
              <w:pageBreakBefore w:val="0"/>
              <w:widowControl/>
              <w:tabs>
                <w:tab w:val="left" w:pos="780"/>
              </w:tabs>
              <w:kinsoku/>
              <w:wordWrap w:val="0"/>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 w:val="21"/>
                <w:szCs w:val="21"/>
                <w:highlight w:val="none"/>
                <w:lang w:val="en-US" w:eastAsia="zh-CN"/>
              </w:rPr>
              <w:t>2</w:t>
            </w:r>
          </w:p>
        </w:tc>
      </w:tr>
      <w:tr w14:paraId="177BCA50">
        <w:tblPrEx>
          <w:tblCellMar>
            <w:top w:w="15" w:type="dxa"/>
            <w:left w:w="15" w:type="dxa"/>
            <w:bottom w:w="15" w:type="dxa"/>
            <w:right w:w="15" w:type="dxa"/>
          </w:tblCellMar>
        </w:tblPrEx>
        <w:trPr>
          <w:trHeight w:val="90"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14:paraId="51D00D1E">
            <w:pPr>
              <w:keepNext w:val="0"/>
              <w:keepLines/>
              <w:pageBreakBefore w:val="0"/>
              <w:widowControl/>
              <w:kinsoku/>
              <w:wordWrap w:val="0"/>
              <w:overflowPunct/>
              <w:topLinePunct w:val="0"/>
              <w:autoSpaceDE/>
              <w:autoSpaceDN/>
              <w:bidi w:val="0"/>
              <w:adjustRightInd/>
              <w:snapToGrid/>
              <w:spacing w:line="240" w:lineRule="auto"/>
              <w:jc w:val="center"/>
              <w:textAlignment w:val="center"/>
              <w:rPr>
                <w:rFonts w:hint="eastAsia" w:ascii="宋体" w:hAnsi="宋体" w:eastAsia="宋体" w:cs="宋体"/>
                <w:color w:val="auto"/>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653E2F33">
            <w:pPr>
              <w:keepNext w:val="0"/>
              <w:keepLines/>
              <w:pageBreakBefore w:val="0"/>
              <w:widowControl/>
              <w:kinsoku/>
              <w:wordWrap w:val="0"/>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color w:val="auto"/>
                <w:spacing w:val="-4"/>
                <w:szCs w:val="21"/>
                <w:highlight w:val="none"/>
              </w:rPr>
              <w:t>产品功能演示</w:t>
            </w:r>
          </w:p>
        </w:tc>
        <w:tc>
          <w:tcPr>
            <w:tcW w:w="6985" w:type="dxa"/>
            <w:tcBorders>
              <w:top w:val="single" w:color="auto" w:sz="4" w:space="0"/>
              <w:left w:val="single" w:color="auto" w:sz="4" w:space="0"/>
              <w:bottom w:val="single" w:color="auto" w:sz="4" w:space="0"/>
              <w:right w:val="single" w:color="auto" w:sz="4" w:space="0"/>
            </w:tcBorders>
            <w:vAlign w:val="center"/>
          </w:tcPr>
          <w:p w14:paraId="22E52679">
            <w:pP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演示项</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kern w:val="0"/>
                <w:sz w:val="21"/>
                <w:szCs w:val="21"/>
                <w:highlight w:val="none"/>
              </w:rPr>
              <w:t>演示测试所使用的</w:t>
            </w:r>
            <w:r>
              <w:rPr>
                <w:rFonts w:hint="eastAsia" w:ascii="宋体" w:hAnsi="宋体" w:eastAsia="宋体" w:cs="宋体"/>
                <w:b/>
                <w:bCs/>
                <w:color w:val="auto"/>
                <w:kern w:val="0"/>
                <w:sz w:val="21"/>
                <w:szCs w:val="21"/>
                <w:highlight w:val="none"/>
                <w:lang w:val="en-US" w:eastAsia="zh-CN"/>
              </w:rPr>
              <w:t>系统</w:t>
            </w:r>
            <w:r>
              <w:rPr>
                <w:rFonts w:hint="eastAsia" w:ascii="宋体" w:hAnsi="宋体" w:eastAsia="宋体" w:cs="宋体"/>
                <w:b/>
                <w:bCs/>
                <w:color w:val="auto"/>
                <w:kern w:val="0"/>
                <w:sz w:val="21"/>
                <w:szCs w:val="21"/>
                <w:highlight w:val="none"/>
              </w:rPr>
              <w:t>设备，必须为投标的</w:t>
            </w:r>
            <w:r>
              <w:rPr>
                <w:rFonts w:hint="eastAsia" w:ascii="宋体" w:hAnsi="宋体" w:eastAsia="宋体" w:cs="宋体"/>
                <w:b/>
                <w:bCs/>
                <w:color w:val="auto"/>
                <w:kern w:val="0"/>
                <w:sz w:val="21"/>
                <w:szCs w:val="21"/>
                <w:highlight w:val="none"/>
                <w:lang w:val="en-US" w:eastAsia="zh-CN"/>
              </w:rPr>
              <w:t>系统</w:t>
            </w:r>
            <w:r>
              <w:rPr>
                <w:rFonts w:hint="eastAsia" w:ascii="宋体" w:hAnsi="宋体" w:eastAsia="宋体" w:cs="宋体"/>
                <w:b/>
                <w:bCs/>
                <w:color w:val="auto"/>
                <w:kern w:val="0"/>
                <w:sz w:val="21"/>
                <w:szCs w:val="21"/>
                <w:highlight w:val="none"/>
              </w:rPr>
              <w:t>设备，不允许使用其他不同型号的设备演示测试</w:t>
            </w:r>
            <w:r>
              <w:rPr>
                <w:rFonts w:hint="eastAsia" w:ascii="宋体" w:hAnsi="宋体" w:cs="宋体"/>
                <w:b/>
                <w:bCs/>
                <w:color w:val="auto"/>
                <w:sz w:val="21"/>
                <w:szCs w:val="21"/>
                <w:highlight w:val="none"/>
                <w:lang w:val="en-US" w:eastAsia="zh-CN"/>
              </w:rPr>
              <w:t>）</w:t>
            </w:r>
          </w:p>
          <w:p w14:paraId="3EB6CC13">
            <w:pPr>
              <w:widowControl w:val="0"/>
              <w:numPr>
                <w:ilvl w:val="0"/>
                <w:numId w:val="0"/>
              </w:numPr>
              <w:ind w:left="0" w:leftChars="0"/>
              <w:jc w:val="both"/>
              <w:rPr>
                <w:rFonts w:hint="eastAsia" w:ascii="宋体" w:hAnsi="宋体" w:eastAsia="宋体" w:cs="宋体"/>
                <w:b/>
                <w:bCs/>
                <w:color w:val="auto"/>
                <w:szCs w:val="21"/>
                <w:highlight w:val="none"/>
                <w:lang w:eastAsia="zh-CN"/>
              </w:rPr>
            </w:pPr>
            <w:r>
              <w:rPr>
                <w:rFonts w:hint="eastAsia" w:ascii="宋体" w:hAnsi="宋体" w:eastAsia="宋体" w:cs="宋体"/>
                <w:b w:val="0"/>
                <w:bCs w:val="0"/>
                <w:color w:val="auto"/>
                <w:spacing w:val="0"/>
                <w:kern w:val="2"/>
                <w:sz w:val="21"/>
                <w:szCs w:val="21"/>
                <w:highlight w:val="none"/>
                <w:lang w:val="en-US" w:eastAsia="zh-CN" w:bidi="ar-SA"/>
              </w:rPr>
              <w:t>1、</w:t>
            </w:r>
            <w:r>
              <w:rPr>
                <w:rFonts w:hint="eastAsia" w:ascii="宋体" w:hAnsi="宋体" w:eastAsia="宋体" w:cs="宋体"/>
                <w:color w:val="auto"/>
                <w:highlight w:val="none"/>
              </w:rPr>
              <w:t>演示互动录播主机采用高清液晶触控屏，非外接触控屏，通过触控屏可直接预监到导播画面；录播主机上具有三合一按键，短按息屏，长按系统可弹出10秒关机确认对话框，点击确认后系统执行关机命令，避免用户误操作；若倒计时内未确认或取消，系统自动关机；同时支持用户自设置息屏时间，可支持 至少4种多种时间选择；录制支持至少3种录播倒计时，点击录制，倒计时结束后自动开启录制。</w:t>
            </w:r>
            <w:r>
              <w:rPr>
                <w:rFonts w:hint="eastAsia" w:ascii="宋体" w:hAnsi="宋体" w:eastAsia="宋体" w:cs="宋体"/>
                <w:b/>
                <w:bCs/>
                <w:color w:val="auto"/>
                <w:szCs w:val="21"/>
                <w:highlight w:val="none"/>
                <w:lang w:val="zh-CN"/>
              </w:rPr>
              <w:t>（演示内容完全符合采购需求的得</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lang w:val="zh-CN"/>
              </w:rPr>
              <w:t>分，演示内容有欠缺</w:t>
            </w:r>
            <w:r>
              <w:rPr>
                <w:rFonts w:hint="eastAsia" w:ascii="宋体" w:hAnsi="宋体" w:eastAsia="宋体" w:cs="宋体"/>
                <w:b/>
                <w:bCs/>
                <w:color w:val="auto"/>
                <w:szCs w:val="21"/>
                <w:highlight w:val="none"/>
              </w:rPr>
              <w:t>或</w:t>
            </w:r>
            <w:r>
              <w:rPr>
                <w:rFonts w:hint="eastAsia" w:ascii="宋体" w:hAnsi="宋体" w:eastAsia="宋体" w:cs="宋体"/>
                <w:b/>
                <w:bCs/>
                <w:color w:val="auto"/>
                <w:szCs w:val="21"/>
                <w:highlight w:val="none"/>
                <w:lang w:val="zh-CN"/>
              </w:rPr>
              <w:t>未提供演示的</w:t>
            </w:r>
            <w:r>
              <w:rPr>
                <w:rFonts w:hint="eastAsia" w:ascii="宋体" w:hAnsi="宋体" w:eastAsia="宋体" w:cs="宋体"/>
                <w:b/>
                <w:bCs/>
                <w:color w:val="auto"/>
                <w:szCs w:val="21"/>
                <w:highlight w:val="none"/>
              </w:rPr>
              <w:t>不得分。</w:t>
            </w:r>
            <w:r>
              <w:rPr>
                <w:rFonts w:hint="eastAsia" w:ascii="宋体" w:hAnsi="宋体" w:eastAsia="宋体" w:cs="宋体"/>
                <w:b/>
                <w:bCs/>
                <w:color w:val="auto"/>
                <w:szCs w:val="21"/>
                <w:highlight w:val="none"/>
                <w:lang w:eastAsia="zh-CN"/>
              </w:rPr>
              <w:t>）</w:t>
            </w:r>
          </w:p>
          <w:p w14:paraId="61933BBA">
            <w:pPr>
              <w:widowControl w:val="0"/>
              <w:numPr>
                <w:ilvl w:val="0"/>
                <w:numId w:val="0"/>
              </w:numPr>
              <w:ind w:left="0" w:left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highlight w:val="none"/>
              </w:rPr>
              <w:t>演示一键网络测速功能，直接在录播主机触控屏幕上，无需安装第三方软件，针对服务联通性、网关稳定性、直播稳定性、互动稳定性、文件上传速度、文件下行速度、网络追踪性、网卡信息实时检测，检测结果以折线图方式实时呈现网络稳定性、上传速度和下行速度。</w:t>
            </w:r>
            <w:r>
              <w:rPr>
                <w:rFonts w:hint="eastAsia" w:ascii="宋体" w:hAnsi="宋体" w:eastAsia="宋体" w:cs="宋体"/>
                <w:color w:val="auto"/>
                <w:highlight w:val="none"/>
                <w:lang w:eastAsia="zh-CN"/>
              </w:rPr>
              <w:t>（</w:t>
            </w:r>
            <w:r>
              <w:rPr>
                <w:rFonts w:hint="eastAsia" w:ascii="宋体" w:hAnsi="宋体" w:eastAsia="宋体" w:cs="宋体"/>
                <w:b/>
                <w:bCs/>
                <w:color w:val="auto"/>
                <w:szCs w:val="21"/>
                <w:highlight w:val="none"/>
                <w:lang w:val="zh-CN"/>
              </w:rPr>
              <w:t>演示内容完全符合采购需求的得</w:t>
            </w: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zh-CN"/>
              </w:rPr>
              <w:t>分，演示内容有欠缺</w:t>
            </w:r>
            <w:r>
              <w:rPr>
                <w:rFonts w:hint="eastAsia" w:ascii="宋体" w:hAnsi="宋体" w:eastAsia="宋体" w:cs="宋体"/>
                <w:b/>
                <w:bCs/>
                <w:color w:val="auto"/>
                <w:szCs w:val="21"/>
                <w:highlight w:val="none"/>
              </w:rPr>
              <w:t>或</w:t>
            </w:r>
            <w:r>
              <w:rPr>
                <w:rFonts w:hint="eastAsia" w:ascii="宋体" w:hAnsi="宋体" w:eastAsia="宋体" w:cs="宋体"/>
                <w:b/>
                <w:bCs/>
                <w:color w:val="auto"/>
                <w:szCs w:val="21"/>
                <w:highlight w:val="none"/>
                <w:lang w:val="zh-CN"/>
              </w:rPr>
              <w:t>未提供演示的</w:t>
            </w:r>
            <w:r>
              <w:rPr>
                <w:rFonts w:hint="eastAsia" w:ascii="宋体" w:hAnsi="宋体" w:eastAsia="宋体" w:cs="宋体"/>
                <w:b/>
                <w:bCs/>
                <w:color w:val="auto"/>
                <w:szCs w:val="21"/>
                <w:highlight w:val="none"/>
              </w:rPr>
              <w:t>不得分。</w:t>
            </w:r>
            <w:r>
              <w:rPr>
                <w:rFonts w:hint="eastAsia" w:ascii="宋体" w:hAnsi="宋体" w:eastAsia="宋体" w:cs="宋体"/>
                <w:b/>
                <w:bCs/>
                <w:color w:val="auto"/>
                <w:szCs w:val="21"/>
                <w:highlight w:val="none"/>
                <w:lang w:eastAsia="zh-CN"/>
              </w:rPr>
              <w:t>）</w:t>
            </w:r>
          </w:p>
          <w:p w14:paraId="2D309CC8">
            <w:pPr>
              <w:widowControl w:val="0"/>
              <w:numPr>
                <w:ilvl w:val="0"/>
                <w:numId w:val="0"/>
              </w:numPr>
              <w:ind w:left="0" w:left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highlight w:val="none"/>
              </w:rPr>
              <w:t>演示无线麦克风采用领夹式双麦克风充电仓设计，方便收纳、使用；录播主机内置无线麦克风接收模块，无线麦克风从充电仓取出后，可实现自动与主机匹配连接；无线麦克风机身自带彩色显示屏，支持显示音量、电量、一键静音状态，录播主机屏幕可同步显示麦克风的信号强度与电量。</w:t>
            </w:r>
          </w:p>
          <w:p w14:paraId="7D736ADA">
            <w:pPr>
              <w:widowControl w:val="0"/>
              <w:numPr>
                <w:ilvl w:val="0"/>
                <w:numId w:val="0"/>
              </w:numPr>
              <w:ind w:left="0" w:left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Cs w:val="21"/>
                <w:highlight w:val="none"/>
                <w:lang w:val="zh-CN"/>
              </w:rPr>
              <w:t>（演示内容完全符合采购需求的得</w:t>
            </w: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zh-CN"/>
              </w:rPr>
              <w:t>分，演示内容有欠缺</w:t>
            </w:r>
            <w:r>
              <w:rPr>
                <w:rFonts w:hint="eastAsia" w:ascii="宋体" w:hAnsi="宋体" w:eastAsia="宋体" w:cs="宋体"/>
                <w:b/>
                <w:bCs/>
                <w:color w:val="auto"/>
                <w:szCs w:val="21"/>
                <w:highlight w:val="none"/>
              </w:rPr>
              <w:t>或</w:t>
            </w:r>
            <w:r>
              <w:rPr>
                <w:rFonts w:hint="eastAsia" w:ascii="宋体" w:hAnsi="宋体" w:eastAsia="宋体" w:cs="宋体"/>
                <w:b/>
                <w:bCs/>
                <w:color w:val="auto"/>
                <w:szCs w:val="21"/>
                <w:highlight w:val="none"/>
                <w:lang w:val="zh-CN"/>
              </w:rPr>
              <w:t>未提供演示的</w:t>
            </w:r>
            <w:r>
              <w:rPr>
                <w:rFonts w:hint="eastAsia" w:ascii="宋体" w:hAnsi="宋体" w:eastAsia="宋体" w:cs="宋体"/>
                <w:b/>
                <w:bCs/>
                <w:color w:val="auto"/>
                <w:szCs w:val="21"/>
                <w:highlight w:val="none"/>
              </w:rPr>
              <w:t>不得分。</w:t>
            </w:r>
            <w:r>
              <w:rPr>
                <w:rFonts w:hint="eastAsia" w:ascii="宋体" w:hAnsi="宋体" w:eastAsia="宋体" w:cs="宋体"/>
                <w:b/>
                <w:bCs/>
                <w:color w:val="auto"/>
                <w:szCs w:val="21"/>
                <w:highlight w:val="none"/>
                <w:lang w:eastAsia="zh-CN"/>
              </w:rPr>
              <w:t>）</w:t>
            </w:r>
          </w:p>
          <w:p w14:paraId="7EF35EAC">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highlight w:val="none"/>
              </w:rPr>
              <w:t>演示无线麦克风</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采用领夹式双麦克风充电仓设计，方便收纳、使用；录播主机内置无线麦克风接收模块，无线麦克风从充电仓取出后，可实现自动与主机匹配连接；无线麦克风机身自带彩色显示屏，支持显示音量、电量、一键静音状态，录播主机屏幕可同步显示麦克风的信号强度与电量。</w:t>
            </w:r>
          </w:p>
          <w:p w14:paraId="431E7790">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Cs w:val="21"/>
                <w:highlight w:val="none"/>
                <w:lang w:val="zh-CN"/>
              </w:rPr>
              <w:t>（演示内容完全符合采购需求的得</w:t>
            </w: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zh-CN"/>
              </w:rPr>
              <w:t>分，演示内容有欠缺</w:t>
            </w:r>
            <w:r>
              <w:rPr>
                <w:rFonts w:hint="eastAsia" w:ascii="宋体" w:hAnsi="宋体" w:eastAsia="宋体" w:cs="宋体"/>
                <w:b/>
                <w:bCs/>
                <w:color w:val="auto"/>
                <w:szCs w:val="21"/>
                <w:highlight w:val="none"/>
              </w:rPr>
              <w:t>或</w:t>
            </w:r>
            <w:r>
              <w:rPr>
                <w:rFonts w:hint="eastAsia" w:ascii="宋体" w:hAnsi="宋体" w:eastAsia="宋体" w:cs="宋体"/>
                <w:b/>
                <w:bCs/>
                <w:color w:val="auto"/>
                <w:szCs w:val="21"/>
                <w:highlight w:val="none"/>
                <w:lang w:val="zh-CN"/>
              </w:rPr>
              <w:t>未提供演示的</w:t>
            </w:r>
            <w:r>
              <w:rPr>
                <w:rFonts w:hint="eastAsia" w:ascii="宋体" w:hAnsi="宋体" w:eastAsia="宋体" w:cs="宋体"/>
                <w:b/>
                <w:bCs/>
                <w:color w:val="auto"/>
                <w:szCs w:val="21"/>
                <w:highlight w:val="none"/>
              </w:rPr>
              <w:t>不得分。</w:t>
            </w:r>
            <w:r>
              <w:rPr>
                <w:rFonts w:hint="eastAsia" w:ascii="宋体" w:hAnsi="宋体" w:eastAsia="宋体" w:cs="宋体"/>
                <w:b/>
                <w:bCs/>
                <w:color w:val="auto"/>
                <w:szCs w:val="21"/>
                <w:highlight w:val="none"/>
                <w:lang w:eastAsia="zh-CN"/>
              </w:rPr>
              <w:t>）</w:t>
            </w:r>
          </w:p>
          <w:p w14:paraId="57AF2871">
            <w:pPr>
              <w:widowControl w:val="0"/>
              <w:numPr>
                <w:ilvl w:val="0"/>
                <w:numId w:val="0"/>
              </w:numPr>
              <w:jc w:val="both"/>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highlight w:val="none"/>
              </w:rPr>
              <w:t>演示</w:t>
            </w:r>
            <w:r>
              <w:rPr>
                <w:rFonts w:hint="eastAsia" w:ascii="宋体" w:hAnsi="宋体" w:eastAsia="宋体" w:cs="宋体"/>
                <w:color w:val="auto"/>
                <w:highlight w:val="none"/>
                <w:lang w:val="en-US" w:eastAsia="zh-CN"/>
              </w:rPr>
              <w:t>阵列麦克风，考察</w:t>
            </w:r>
            <w:r>
              <w:rPr>
                <w:rFonts w:hint="eastAsia" w:ascii="宋体" w:hAnsi="宋体" w:eastAsia="宋体" w:cs="宋体"/>
                <w:color w:val="auto"/>
                <w:highlight w:val="none"/>
              </w:rPr>
              <w:t>麦克风的降噪</w:t>
            </w:r>
            <w:r>
              <w:rPr>
                <w:rFonts w:hint="eastAsia" w:ascii="宋体" w:hAnsi="宋体" w:eastAsia="宋体" w:cs="宋体"/>
                <w:color w:val="auto"/>
                <w:highlight w:val="none"/>
                <w:lang w:val="en-US" w:eastAsia="zh-CN"/>
              </w:rPr>
              <w:t>算法</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要求</w:t>
            </w:r>
            <w:r>
              <w:rPr>
                <w:rFonts w:hint="eastAsia" w:ascii="宋体" w:hAnsi="宋体" w:eastAsia="宋体" w:cs="宋体"/>
                <w:color w:val="auto"/>
                <w:highlight w:val="none"/>
              </w:rPr>
              <w:t>在录制师生对话情景中模拟噪音环境（演示：敲击桌子、拖动椅子、翻书、电风扇）。对比现场录像和录制出来的视频声音，录播主机录制的视频对声音进行AI降噪消除过滤各类噪音，仅保留清晰的师生对话。</w:t>
            </w:r>
            <w:r>
              <w:rPr>
                <w:rFonts w:hint="eastAsia" w:ascii="宋体" w:hAnsi="宋体" w:eastAsia="宋体" w:cs="宋体"/>
                <w:b/>
                <w:bCs/>
                <w:color w:val="auto"/>
                <w:szCs w:val="21"/>
                <w:highlight w:val="none"/>
                <w:lang w:val="zh-CN"/>
              </w:rPr>
              <w:t>（演示内容完全符合采购需求的得</w:t>
            </w: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zh-CN"/>
              </w:rPr>
              <w:t>分，演示内容有欠缺</w:t>
            </w:r>
            <w:r>
              <w:rPr>
                <w:rFonts w:hint="eastAsia" w:ascii="宋体" w:hAnsi="宋体" w:eastAsia="宋体" w:cs="宋体"/>
                <w:b/>
                <w:bCs/>
                <w:color w:val="auto"/>
                <w:szCs w:val="21"/>
                <w:highlight w:val="none"/>
              </w:rPr>
              <w:t>或</w:t>
            </w:r>
            <w:r>
              <w:rPr>
                <w:rFonts w:hint="eastAsia" w:ascii="宋体" w:hAnsi="宋体" w:eastAsia="宋体" w:cs="宋体"/>
                <w:b/>
                <w:bCs/>
                <w:color w:val="auto"/>
                <w:szCs w:val="21"/>
                <w:highlight w:val="none"/>
                <w:lang w:val="zh-CN"/>
              </w:rPr>
              <w:t>未提供演示的</w:t>
            </w:r>
            <w:r>
              <w:rPr>
                <w:rFonts w:hint="eastAsia" w:ascii="宋体" w:hAnsi="宋体" w:eastAsia="宋体" w:cs="宋体"/>
                <w:b/>
                <w:bCs/>
                <w:color w:val="auto"/>
                <w:szCs w:val="21"/>
                <w:highlight w:val="none"/>
              </w:rPr>
              <w:t>不得分。</w:t>
            </w:r>
            <w:r>
              <w:rPr>
                <w:rFonts w:hint="eastAsia" w:ascii="宋体" w:hAnsi="宋体" w:eastAsia="宋体" w:cs="宋体"/>
                <w:b/>
                <w:bCs/>
                <w:color w:val="auto"/>
                <w:szCs w:val="21"/>
                <w:highlight w:val="none"/>
                <w:lang w:eastAsia="zh-CN"/>
              </w:rPr>
              <w:t>）</w:t>
            </w:r>
          </w:p>
          <w:p w14:paraId="670D4A7E">
            <w:pPr>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6、</w:t>
            </w:r>
            <w:r>
              <w:rPr>
                <w:rFonts w:hint="eastAsia" w:ascii="宋体" w:hAnsi="宋体" w:eastAsia="宋体" w:cs="宋体"/>
                <w:color w:val="auto"/>
                <w:highlight w:val="none"/>
              </w:rPr>
              <w:t>演示课堂智能反馈系统可自动根据授课情况，针对课堂总览、师生对话，课堂互动、新课标落实等维度，生成AI分析文字解读。支持老师查看AI建议，从上述四个维度，通过既定问题，以对话的方式，生成AI建议，为老师提供课堂改进思路。对于AI建议，可进行“点赞”或“待改进”的评价。</w:t>
            </w:r>
          </w:p>
          <w:p w14:paraId="4567AD51">
            <w:pPr>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bCs/>
                <w:color w:val="auto"/>
                <w:szCs w:val="21"/>
                <w:highlight w:val="none"/>
                <w:lang w:val="zh-CN"/>
              </w:rPr>
              <w:t>（演示内容完全符合采购需求的得</w:t>
            </w: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zh-CN"/>
              </w:rPr>
              <w:t>分，演示内容有欠缺</w:t>
            </w:r>
            <w:r>
              <w:rPr>
                <w:rFonts w:hint="eastAsia" w:ascii="宋体" w:hAnsi="宋体" w:eastAsia="宋体" w:cs="宋体"/>
                <w:b/>
                <w:bCs/>
                <w:color w:val="auto"/>
                <w:szCs w:val="21"/>
                <w:highlight w:val="none"/>
              </w:rPr>
              <w:t>或</w:t>
            </w:r>
            <w:r>
              <w:rPr>
                <w:rFonts w:hint="eastAsia" w:ascii="宋体" w:hAnsi="宋体" w:eastAsia="宋体" w:cs="宋体"/>
                <w:b/>
                <w:bCs/>
                <w:color w:val="auto"/>
                <w:szCs w:val="21"/>
                <w:highlight w:val="none"/>
                <w:lang w:val="zh-CN"/>
              </w:rPr>
              <w:t>未提供演示的</w:t>
            </w:r>
            <w:r>
              <w:rPr>
                <w:rFonts w:hint="eastAsia" w:ascii="宋体" w:hAnsi="宋体" w:eastAsia="宋体" w:cs="宋体"/>
                <w:b/>
                <w:bCs/>
                <w:color w:val="auto"/>
                <w:szCs w:val="21"/>
                <w:highlight w:val="none"/>
              </w:rPr>
              <w:t>不得分。</w:t>
            </w:r>
            <w:r>
              <w:rPr>
                <w:rFonts w:hint="eastAsia" w:ascii="宋体" w:hAnsi="宋体" w:eastAsia="宋体" w:cs="宋体"/>
                <w:b/>
                <w:bCs/>
                <w:color w:val="auto"/>
                <w:szCs w:val="21"/>
                <w:highlight w:val="none"/>
                <w:lang w:eastAsia="zh-CN"/>
              </w:rPr>
              <w:t>）</w:t>
            </w:r>
          </w:p>
          <w:p w14:paraId="7EEFB716">
            <w:pPr>
              <w:pStyle w:val="6"/>
              <w:keepNext w:val="0"/>
              <w:keepLines/>
              <w:pageBreakBefore w:val="0"/>
              <w:widowControl/>
              <w:kinsoku/>
              <w:wordWrap w:val="0"/>
              <w:overflowPunct/>
              <w:topLinePunct w:val="0"/>
              <w:autoSpaceDE/>
              <w:autoSpaceDN/>
              <w:bidi w:val="0"/>
              <w:adjustRightInd/>
              <w:snapToGrid/>
              <w:spacing w:after="0"/>
              <w:jc w:val="left"/>
              <w:textAlignment w:val="auto"/>
              <w:rPr>
                <w:rFonts w:hint="eastAsia" w:ascii="宋体" w:hAnsi="宋体" w:cs="宋体" w:eastAsiaTheme="minorEastAsia"/>
                <w:color w:val="auto"/>
                <w:szCs w:val="21"/>
                <w:highlight w:val="none"/>
                <w:lang w:eastAsia="zh-CN"/>
              </w:rPr>
            </w:pPr>
            <w:r>
              <w:rPr>
                <w:rFonts w:hint="eastAsia" w:ascii="宋体" w:hAnsi="宋体" w:eastAsia="宋体" w:cs="宋体"/>
                <w:b w:val="0"/>
                <w:bCs w:val="0"/>
                <w:color w:val="auto"/>
                <w:spacing w:val="0"/>
                <w:kern w:val="2"/>
                <w:sz w:val="21"/>
                <w:szCs w:val="21"/>
                <w:highlight w:val="none"/>
                <w:lang w:val="en-US" w:eastAsia="zh-CN" w:bidi="ar-SA"/>
              </w:rPr>
              <w:t>7、</w:t>
            </w:r>
            <w:r>
              <w:rPr>
                <w:rFonts w:hint="eastAsia" w:ascii="宋体" w:hAnsi="宋体" w:eastAsia="宋体" w:cs="宋体"/>
                <w:color w:val="auto"/>
                <w:highlight w:val="none"/>
              </w:rPr>
              <w:t>演示课堂智能反馈系统将通过师生课堂活动的轨迹，生成课堂热力图。热力图可反映老师在课堂中的巡堂轨迹，快速了解自己在上课时的关注倾向。支持在热力图中观看活跃学生的情况，并查看对应视频片段，同时对该学生的举手次数、上台互动次数、回答问题次数进行统计。支持视频打点并快速跳转。</w:t>
            </w:r>
            <w:r>
              <w:rPr>
                <w:rFonts w:hint="eastAsia" w:ascii="宋体" w:hAnsi="宋体" w:eastAsia="宋体" w:cs="宋体"/>
                <w:color w:val="auto"/>
                <w:highlight w:val="none"/>
                <w:lang w:eastAsia="zh-CN"/>
              </w:rPr>
              <w:t>（</w:t>
            </w:r>
            <w:r>
              <w:rPr>
                <w:rFonts w:hint="eastAsia" w:ascii="宋体" w:hAnsi="宋体" w:eastAsia="宋体" w:cs="宋体"/>
                <w:b/>
                <w:bCs/>
                <w:color w:val="auto"/>
                <w:szCs w:val="21"/>
                <w:highlight w:val="none"/>
                <w:lang w:val="zh-CN"/>
              </w:rPr>
              <w:t>演示内容完全符合采购需求的得</w:t>
            </w: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zh-CN"/>
              </w:rPr>
              <w:t>分，演示内容有欠缺</w:t>
            </w:r>
            <w:r>
              <w:rPr>
                <w:rFonts w:hint="eastAsia" w:ascii="宋体" w:hAnsi="宋体" w:eastAsia="宋体" w:cs="宋体"/>
                <w:b/>
                <w:bCs/>
                <w:color w:val="auto"/>
                <w:szCs w:val="21"/>
                <w:highlight w:val="none"/>
              </w:rPr>
              <w:t>或</w:t>
            </w:r>
            <w:r>
              <w:rPr>
                <w:rFonts w:hint="eastAsia" w:ascii="宋体" w:hAnsi="宋体" w:eastAsia="宋体" w:cs="宋体"/>
                <w:b/>
                <w:bCs/>
                <w:color w:val="auto"/>
                <w:szCs w:val="21"/>
                <w:highlight w:val="none"/>
                <w:lang w:val="zh-CN"/>
              </w:rPr>
              <w:t>未提供演示的</w:t>
            </w:r>
            <w:r>
              <w:rPr>
                <w:rFonts w:hint="eastAsia" w:ascii="宋体" w:hAnsi="宋体" w:eastAsia="宋体" w:cs="宋体"/>
                <w:b/>
                <w:bCs/>
                <w:color w:val="auto"/>
                <w:szCs w:val="21"/>
                <w:highlight w:val="none"/>
              </w:rPr>
              <w:t>不得分。</w:t>
            </w:r>
            <w:r>
              <w:rPr>
                <w:rFonts w:hint="eastAsia" w:ascii="宋体" w:hAnsi="宋体" w:eastAsia="宋体" w:cs="宋体"/>
                <w:b/>
                <w:bCs/>
                <w:color w:val="auto"/>
                <w:szCs w:val="21"/>
                <w:highlight w:val="none"/>
                <w:lang w:eastAsia="zh-CN"/>
              </w:rPr>
              <w:t>）</w:t>
            </w:r>
          </w:p>
        </w:tc>
        <w:tc>
          <w:tcPr>
            <w:tcW w:w="844" w:type="dxa"/>
            <w:tcBorders>
              <w:top w:val="single" w:color="auto" w:sz="4" w:space="0"/>
              <w:left w:val="single" w:color="auto" w:sz="4" w:space="0"/>
              <w:bottom w:val="single" w:color="auto" w:sz="4" w:space="0"/>
              <w:right w:val="single" w:color="auto" w:sz="4" w:space="0"/>
            </w:tcBorders>
            <w:vAlign w:val="center"/>
          </w:tcPr>
          <w:p w14:paraId="09B0C6EF">
            <w:pPr>
              <w:keepNext w:val="0"/>
              <w:keepLines/>
              <w:pageBreakBefore w:val="0"/>
              <w:widowControl/>
              <w:kinsoku/>
              <w:wordWrap w:val="0"/>
              <w:overflowPunct/>
              <w:topLinePunct w:val="0"/>
              <w:autoSpaceDE/>
              <w:autoSpaceDN/>
              <w:bidi w:val="0"/>
              <w:adjustRightInd/>
              <w:snapToGrid/>
              <w:spacing w:line="240" w:lineRule="auto"/>
              <w:jc w:val="center"/>
              <w:rPr>
                <w:rFonts w:hint="default" w:ascii="宋体" w:hAnsi="宋体" w:eastAsia="宋体" w:cs="宋体"/>
                <w:color w:val="auto"/>
                <w:szCs w:val="21"/>
                <w:highlight w:val="none"/>
                <w:lang w:val="en-US"/>
              </w:rPr>
            </w:pPr>
            <w:r>
              <w:rPr>
                <w:rFonts w:hint="eastAsia" w:ascii="宋体"/>
                <w:color w:val="auto"/>
                <w:szCs w:val="21"/>
                <w:highlight w:val="none"/>
                <w:lang w:val="en-US" w:eastAsia="zh-CN"/>
              </w:rPr>
              <w:t>15</w:t>
            </w:r>
          </w:p>
        </w:tc>
      </w:tr>
      <w:tr w14:paraId="44D32048">
        <w:tblPrEx>
          <w:tblCellMar>
            <w:top w:w="15" w:type="dxa"/>
            <w:left w:w="15" w:type="dxa"/>
            <w:bottom w:w="15" w:type="dxa"/>
            <w:right w:w="15" w:type="dxa"/>
          </w:tblCellMar>
        </w:tblPrEx>
        <w:trPr>
          <w:trHeight w:val="1113" w:hRule="atLeast"/>
          <w:jc w:val="center"/>
        </w:trPr>
        <w:tc>
          <w:tcPr>
            <w:tcW w:w="1768" w:type="dxa"/>
            <w:gridSpan w:val="2"/>
            <w:tcBorders>
              <w:top w:val="single" w:color="auto" w:sz="4" w:space="0"/>
              <w:left w:val="single" w:color="auto" w:sz="4" w:space="0"/>
              <w:bottom w:val="single" w:color="auto" w:sz="4" w:space="0"/>
              <w:right w:val="single" w:color="auto" w:sz="4" w:space="0"/>
            </w:tcBorders>
            <w:vAlign w:val="center"/>
          </w:tcPr>
          <w:p w14:paraId="324F1745">
            <w:pPr>
              <w:keepNext w:val="0"/>
              <w:keepLines/>
              <w:pageBreakBefore w:val="0"/>
              <w:widowControl/>
              <w:kinsoku/>
              <w:wordWrap w:val="0"/>
              <w:overflowPunct/>
              <w:topLinePunct w:val="0"/>
              <w:autoSpaceDE/>
              <w:autoSpaceDN/>
              <w:bidi w:val="0"/>
              <w:adjustRightInd/>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w:t>
            </w:r>
          </w:p>
          <w:p w14:paraId="0BEC21EC">
            <w:pPr>
              <w:keepNext w:val="0"/>
              <w:keepLines/>
              <w:pageBreakBefore w:val="0"/>
              <w:widowControl/>
              <w:kinsoku/>
              <w:wordWrap w:val="0"/>
              <w:overflowPunct/>
              <w:topLinePunct w:val="0"/>
              <w:autoSpaceDE/>
              <w:autoSpaceDN/>
              <w:bidi w:val="0"/>
              <w:adjustRightInd/>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分）</w:t>
            </w:r>
          </w:p>
        </w:tc>
        <w:tc>
          <w:tcPr>
            <w:tcW w:w="6985" w:type="dxa"/>
            <w:tcBorders>
              <w:top w:val="single" w:color="auto" w:sz="4" w:space="0"/>
              <w:left w:val="single" w:color="auto" w:sz="4" w:space="0"/>
              <w:bottom w:val="single" w:color="auto" w:sz="4" w:space="0"/>
              <w:right w:val="single" w:color="auto" w:sz="4" w:space="0"/>
            </w:tcBorders>
            <w:vAlign w:val="center"/>
          </w:tcPr>
          <w:p w14:paraId="236B23A9">
            <w:pPr>
              <w:keepNext w:val="0"/>
              <w:keepLines/>
              <w:pageBreakBefore w:val="0"/>
              <w:widowControl/>
              <w:kinsoku/>
              <w:wordWrap w:val="0"/>
              <w:overflowPunct/>
              <w:topLinePunct w:val="0"/>
              <w:autoSpaceDE/>
              <w:autoSpaceDN/>
              <w:bidi w:val="0"/>
              <w:adjustRightInd/>
              <w:snapToGrid/>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取投标合格供应商的投标最终报价最低价为评标基准价，基准价为</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0分。投标报价得分=(评标基准价／投标报价)×</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0%×100。（小数点后保留2位小数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四舍五入</w:t>
            </w:r>
            <w:r>
              <w:rPr>
                <w:rFonts w:hint="eastAsia" w:ascii="宋体" w:hAnsi="宋体" w:eastAsia="宋体" w:cs="宋体"/>
                <w:color w:val="auto"/>
                <w:szCs w:val="21"/>
                <w:highlight w:val="none"/>
              </w:rPr>
              <w:t>）。</w:t>
            </w:r>
          </w:p>
        </w:tc>
        <w:tc>
          <w:tcPr>
            <w:tcW w:w="844" w:type="dxa"/>
            <w:tcBorders>
              <w:top w:val="single" w:color="auto" w:sz="4" w:space="0"/>
              <w:left w:val="single" w:color="auto" w:sz="4" w:space="0"/>
              <w:bottom w:val="single" w:color="auto" w:sz="4" w:space="0"/>
              <w:right w:val="single" w:color="auto" w:sz="4" w:space="0"/>
            </w:tcBorders>
            <w:vAlign w:val="center"/>
          </w:tcPr>
          <w:p w14:paraId="084D3F9D">
            <w:pPr>
              <w:keepNext w:val="0"/>
              <w:keepLines/>
              <w:pageBreakBefore w:val="0"/>
              <w:widowControl/>
              <w:kinsoku/>
              <w:wordWrap w:val="0"/>
              <w:overflowPunct/>
              <w:topLinePunct w:val="0"/>
              <w:autoSpaceDE/>
              <w:autoSpaceDN/>
              <w:bidi w:val="0"/>
              <w:adjustRightInd/>
              <w:snapToGrid/>
              <w:spacing w:line="240" w:lineRule="auto"/>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30</w:t>
            </w:r>
          </w:p>
        </w:tc>
      </w:tr>
    </w:tbl>
    <w:p w14:paraId="21A15917">
      <w:pPr>
        <w:spacing w:line="360" w:lineRule="auto"/>
        <w:ind w:firstLine="422" w:firstLineChars="200"/>
        <w:rPr>
          <w:rFonts w:hint="eastAsia" w:ascii="宋体" w:hAnsi="宋体" w:eastAsia="宋体" w:cs="宋体"/>
          <w:color w:val="auto"/>
          <w:sz w:val="24"/>
          <w:highlight w:val="none"/>
          <w:lang w:val="zh-CN"/>
        </w:rPr>
      </w:pPr>
      <w:r>
        <w:rPr>
          <w:rFonts w:hint="eastAsia" w:ascii="宋体" w:hAnsi="宋体" w:eastAsia="宋体" w:cs="宋体"/>
          <w:b/>
          <w:color w:val="auto"/>
          <w:szCs w:val="21"/>
          <w:highlight w:val="none"/>
          <w:lang w:val="en-US" w:eastAsia="zh-CN"/>
        </w:rPr>
        <w:t>注：提供视频演示的各投标人将需演示的部分自行演示并录制成视频制作在 U 盘中，录制视频总时长15 分钟以内，录制的视频必须为MP4格式（若视频为其他格式导致评审中不能正常播放的，责任自负），U盘须加设密码并装入密封袋，在投标截止时间前用密封袋包装好注明项目名称和投标人名称快递到招标代理机构处，招标代理在投标截止时间后联系投标人获取密码进行播放，未提供演示或使用其他方式（如软件Demo、PPT 演示、图片原型或方案等）演示，此项不得分。评委观看演示视频按招标文件评分项进行评分。</w:t>
      </w:r>
      <w:r>
        <w:rPr>
          <w:rFonts w:hint="eastAsia" w:ascii="宋体" w:hAnsi="宋体" w:eastAsia="宋体" w:cs="宋体"/>
          <w:color w:val="auto"/>
          <w:sz w:val="24"/>
          <w:highlight w:val="none"/>
          <w:lang w:val="zh-CN"/>
        </w:rPr>
        <w:t xml:space="preserve">  </w:t>
      </w:r>
    </w:p>
    <w:p w14:paraId="716CFC04">
      <w:pPr>
        <w:pStyle w:val="2"/>
        <w:rPr>
          <w:rFonts w:hint="eastAsia" w:ascii="宋体" w:hAnsi="宋体" w:eastAsia="宋体" w:cs="宋体"/>
          <w:color w:val="auto"/>
          <w:highlight w:val="none"/>
        </w:rPr>
        <w:sectPr>
          <w:pgSz w:w="11906" w:h="16838"/>
          <w:pgMar w:top="1440" w:right="1800" w:bottom="1440" w:left="1800" w:header="851" w:footer="992" w:gutter="0"/>
          <w:pgNumType w:fmt="numberInDash"/>
          <w:cols w:space="425" w:num="1"/>
          <w:docGrid w:type="lines" w:linePitch="312" w:charSpace="0"/>
        </w:sectPr>
      </w:pPr>
    </w:p>
    <w:p w14:paraId="346A1FEA">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公开招标需求</w:t>
      </w:r>
    </w:p>
    <w:p w14:paraId="3F5C3F47">
      <w:pPr>
        <w:tabs>
          <w:tab w:val="left" w:pos="8280"/>
        </w:tabs>
        <w:autoSpaceDE w:val="0"/>
        <w:autoSpaceDN w:val="0"/>
        <w:adjustRightInd w:val="0"/>
        <w:spacing w:line="360" w:lineRule="auto"/>
        <w:ind w:right="25" w:firstLine="422"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一、</w:t>
      </w:r>
      <w:r>
        <w:rPr>
          <w:rFonts w:hint="eastAsia" w:ascii="宋体" w:hAnsi="宋体" w:cs="宋体"/>
          <w:b/>
          <w:color w:val="auto"/>
          <w:sz w:val="21"/>
          <w:szCs w:val="21"/>
          <w:highlight w:val="none"/>
          <w:lang w:val="en-US" w:eastAsia="zh-CN"/>
        </w:rPr>
        <w:t>项目概况</w:t>
      </w:r>
    </w:p>
    <w:p w14:paraId="4AA6A078">
      <w:pPr>
        <w:tabs>
          <w:tab w:val="left" w:pos="8280"/>
        </w:tabs>
        <w:autoSpaceDE w:val="0"/>
        <w:autoSpaceDN w:val="0"/>
        <w:adjustRightInd w:val="0"/>
        <w:spacing w:line="360" w:lineRule="auto"/>
        <w:ind w:right="25" w:firstLine="280"/>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本次招标共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个标段，具体内容如下表：</w:t>
      </w:r>
    </w:p>
    <w:tbl>
      <w:tblPr>
        <w:tblStyle w:val="20"/>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447"/>
        <w:gridCol w:w="1600"/>
        <w:gridCol w:w="866"/>
        <w:gridCol w:w="867"/>
        <w:gridCol w:w="1250"/>
        <w:gridCol w:w="1188"/>
        <w:gridCol w:w="1188"/>
      </w:tblGrid>
      <w:tr w14:paraId="5C73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17" w:type="dxa"/>
            <w:vAlign w:val="center"/>
          </w:tcPr>
          <w:p w14:paraId="72FDFD6C">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default" w:ascii="宋体" w:hAnsi="宋体" w:eastAsia="宋体" w:cs="宋体"/>
                <w:b/>
                <w:color w:val="auto"/>
                <w:sz w:val="21"/>
                <w:szCs w:val="21"/>
                <w:highlight w:val="none"/>
                <w:lang w:val="en-US"/>
              </w:rPr>
            </w:pPr>
            <w:r>
              <w:rPr>
                <w:rFonts w:hint="eastAsia" w:ascii="宋体" w:hAnsi="宋体" w:cs="宋体"/>
                <w:b/>
                <w:color w:val="auto"/>
                <w:sz w:val="21"/>
                <w:szCs w:val="21"/>
                <w:highlight w:val="none"/>
                <w:lang w:val="en-US" w:eastAsia="zh-CN"/>
              </w:rPr>
              <w:t>序号</w:t>
            </w:r>
          </w:p>
        </w:tc>
        <w:tc>
          <w:tcPr>
            <w:tcW w:w="2447" w:type="dxa"/>
            <w:vAlign w:val="center"/>
          </w:tcPr>
          <w:p w14:paraId="762AFF66">
            <w:pPr>
              <w:keepNext w:val="0"/>
              <w:keepLines w:val="0"/>
              <w:pageBreakBefore w:val="0"/>
              <w:tabs>
                <w:tab w:val="left" w:pos="8280"/>
              </w:tabs>
              <w:kinsoku/>
              <w:wordWrap/>
              <w:topLinePunct w:val="0"/>
              <w:autoSpaceDE w:val="0"/>
              <w:autoSpaceDN w:val="0"/>
              <w:bidi w:val="0"/>
              <w:adjustRightInd w:val="0"/>
              <w:spacing w:line="240" w:lineRule="auto"/>
              <w:ind w:right="25" w:firstLine="105" w:firstLineChars="5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600" w:type="dxa"/>
            <w:vAlign w:val="center"/>
          </w:tcPr>
          <w:p w14:paraId="14F798E5">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866" w:type="dxa"/>
            <w:vAlign w:val="center"/>
          </w:tcPr>
          <w:p w14:paraId="557D38AB">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867" w:type="dxa"/>
            <w:vAlign w:val="center"/>
          </w:tcPr>
          <w:p w14:paraId="5B5830E4">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250" w:type="dxa"/>
            <w:vAlign w:val="center"/>
          </w:tcPr>
          <w:p w14:paraId="25318BB4">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4C4924D6">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188" w:type="dxa"/>
            <w:vAlign w:val="center"/>
          </w:tcPr>
          <w:p w14:paraId="160EAF62">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最高限价</w:t>
            </w:r>
            <w:r>
              <w:rPr>
                <w:rFonts w:hint="eastAsia" w:ascii="宋体" w:hAnsi="宋体" w:eastAsia="宋体" w:cs="宋体"/>
                <w:b/>
                <w:color w:val="auto"/>
                <w:sz w:val="21"/>
                <w:szCs w:val="21"/>
                <w:highlight w:val="none"/>
              </w:rPr>
              <w:t>（万元）</w:t>
            </w:r>
          </w:p>
        </w:tc>
        <w:tc>
          <w:tcPr>
            <w:tcW w:w="1188" w:type="dxa"/>
            <w:vAlign w:val="center"/>
          </w:tcPr>
          <w:p w14:paraId="1612F168">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14:paraId="5ABF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917" w:type="dxa"/>
            <w:vAlign w:val="center"/>
          </w:tcPr>
          <w:p w14:paraId="6117DFB5">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447" w:type="dxa"/>
            <w:vAlign w:val="center"/>
          </w:tcPr>
          <w:p w14:paraId="4A988C93">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default" w:ascii="宋体" w:hAnsi="宋体" w:eastAsia="宋体" w:cs="宋体"/>
                <w:color w:val="auto"/>
                <w:sz w:val="21"/>
                <w:szCs w:val="21"/>
                <w:highlight w:val="none"/>
                <w:lang w:val="en-US"/>
              </w:rPr>
            </w:pPr>
            <w:r>
              <w:rPr>
                <w:rFonts w:hint="eastAsia" w:ascii="宋体" w:hAnsi="宋体" w:cs="宋体"/>
                <w:b w:val="0"/>
                <w:bCs w:val="0"/>
                <w:color w:val="auto"/>
                <w:sz w:val="21"/>
                <w:szCs w:val="21"/>
                <w:highlight w:val="none"/>
                <w:lang w:val="en-US" w:eastAsia="zh-CN"/>
              </w:rPr>
              <w:t>录播教室采购项目</w:t>
            </w:r>
          </w:p>
        </w:tc>
        <w:tc>
          <w:tcPr>
            <w:tcW w:w="1600" w:type="dxa"/>
            <w:vAlign w:val="center"/>
          </w:tcPr>
          <w:p w14:paraId="50A95F5E">
            <w:pPr>
              <w:keepNext w:val="0"/>
              <w:keepLines w:val="0"/>
              <w:pageBreakBefore w:val="0"/>
              <w:widowControl/>
              <w:kinsoku/>
              <w:wordWrap/>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详见项目需求</w:t>
            </w:r>
          </w:p>
        </w:tc>
        <w:tc>
          <w:tcPr>
            <w:tcW w:w="866" w:type="dxa"/>
            <w:vAlign w:val="center"/>
          </w:tcPr>
          <w:p w14:paraId="2355D4EC">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67" w:type="dxa"/>
            <w:vAlign w:val="center"/>
          </w:tcPr>
          <w:p w14:paraId="3E4900D2">
            <w:pPr>
              <w:keepNext w:val="0"/>
              <w:keepLines w:val="0"/>
              <w:pageBreakBefore w:val="0"/>
              <w:widowControl/>
              <w:kinsoku/>
              <w:wordWrap/>
              <w:topLinePunct w:val="0"/>
              <w:bidi w:val="0"/>
              <w:spacing w:line="36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批</w:t>
            </w:r>
          </w:p>
        </w:tc>
        <w:tc>
          <w:tcPr>
            <w:tcW w:w="1250" w:type="dxa"/>
            <w:vAlign w:val="center"/>
          </w:tcPr>
          <w:p w14:paraId="28C63924">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35</w:t>
            </w:r>
          </w:p>
        </w:tc>
        <w:tc>
          <w:tcPr>
            <w:tcW w:w="1188" w:type="dxa"/>
            <w:vAlign w:val="center"/>
          </w:tcPr>
          <w:p w14:paraId="43A80957">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29.5</w:t>
            </w:r>
          </w:p>
        </w:tc>
        <w:tc>
          <w:tcPr>
            <w:tcW w:w="1188" w:type="dxa"/>
            <w:vAlign w:val="center"/>
          </w:tcPr>
          <w:p w14:paraId="563643D0">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宋体" w:hAnsi="宋体" w:eastAsia="宋体" w:cs="宋体"/>
                <w:color w:val="auto"/>
                <w:sz w:val="21"/>
                <w:szCs w:val="21"/>
                <w:highlight w:val="none"/>
                <w:lang w:val="en-US" w:eastAsia="zh-CN"/>
              </w:rPr>
            </w:pPr>
          </w:p>
        </w:tc>
      </w:tr>
    </w:tbl>
    <w:p w14:paraId="6D716B51">
      <w:pPr>
        <w:pStyle w:val="46"/>
        <w:numPr>
          <w:ilvl w:val="0"/>
          <w:numId w:val="0"/>
        </w:numPr>
        <w:spacing w:line="360" w:lineRule="auto"/>
        <w:ind w:firstLine="422" w:firstLineChars="200"/>
        <w:rPr>
          <w:rFonts w:hint="eastAsia" w:ascii="宋体" w:hAnsi="宋体" w:eastAsia="宋体" w:cs="宋体"/>
          <w:b/>
          <w:bCs/>
          <w:color w:val="auto"/>
          <w:kern w:val="2"/>
          <w:sz w:val="21"/>
          <w:szCs w:val="21"/>
          <w:highlight w:val="none"/>
          <w:lang w:val="en-US" w:eastAsia="zh-CN" w:bidi="ar-SA"/>
        </w:rPr>
      </w:pPr>
    </w:p>
    <w:p w14:paraId="7D40D2A9">
      <w:pPr>
        <w:pStyle w:val="46"/>
        <w:numPr>
          <w:ilvl w:val="0"/>
          <w:numId w:val="0"/>
        </w:numPr>
        <w:spacing w:line="360" w:lineRule="auto"/>
        <w:ind w:firstLine="422" w:firstLineChars="200"/>
        <w:rPr>
          <w:rFonts w:hint="eastAsia" w:hAnsi="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w:t>
      </w:r>
      <w:r>
        <w:rPr>
          <w:rFonts w:hint="eastAsia" w:hAnsi="宋体" w:cs="宋体"/>
          <w:b/>
          <w:bCs/>
          <w:color w:val="auto"/>
          <w:kern w:val="2"/>
          <w:sz w:val="21"/>
          <w:szCs w:val="21"/>
          <w:highlight w:val="none"/>
          <w:lang w:val="en-US" w:eastAsia="zh-CN" w:bidi="ar-SA"/>
        </w:rPr>
        <w:t>采购内容一览表</w:t>
      </w:r>
    </w:p>
    <w:tbl>
      <w:tblPr>
        <w:tblStyle w:val="21"/>
        <w:tblW w:w="55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756"/>
        <w:gridCol w:w="2950"/>
        <w:gridCol w:w="1481"/>
        <w:gridCol w:w="1463"/>
        <w:gridCol w:w="2087"/>
      </w:tblGrid>
      <w:tr w14:paraId="68DD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55" w:type="dxa"/>
            <w:noWrap w:val="0"/>
            <w:vAlign w:val="center"/>
          </w:tcPr>
          <w:p w14:paraId="0A162477">
            <w:pPr>
              <w:jc w:val="center"/>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名称</w:t>
            </w:r>
          </w:p>
        </w:tc>
        <w:tc>
          <w:tcPr>
            <w:tcW w:w="756" w:type="dxa"/>
            <w:noWrap w:val="0"/>
            <w:vAlign w:val="top"/>
          </w:tcPr>
          <w:p w14:paraId="233C4DE7">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950" w:type="dxa"/>
            <w:noWrap w:val="0"/>
            <w:vAlign w:val="top"/>
          </w:tcPr>
          <w:p w14:paraId="499AFF1A">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品名</w:t>
            </w:r>
          </w:p>
        </w:tc>
        <w:tc>
          <w:tcPr>
            <w:tcW w:w="1481" w:type="dxa"/>
            <w:noWrap w:val="0"/>
            <w:vAlign w:val="top"/>
          </w:tcPr>
          <w:p w14:paraId="58DC32CC">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1463" w:type="dxa"/>
            <w:noWrap w:val="0"/>
            <w:vAlign w:val="top"/>
          </w:tcPr>
          <w:p w14:paraId="65216C3D">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c>
          <w:tcPr>
            <w:tcW w:w="2087" w:type="dxa"/>
            <w:noWrap w:val="0"/>
            <w:vAlign w:val="top"/>
          </w:tcPr>
          <w:p w14:paraId="6736E72C">
            <w:pPr>
              <w:jc w:val="center"/>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备注</w:t>
            </w:r>
          </w:p>
        </w:tc>
      </w:tr>
      <w:tr w14:paraId="5735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55" w:type="dxa"/>
            <w:vMerge w:val="restart"/>
            <w:noWrap w:val="0"/>
            <w:vAlign w:val="center"/>
          </w:tcPr>
          <w:p w14:paraId="7EBA7B1A">
            <w:pPr>
              <w:jc w:val="center"/>
              <w:rPr>
                <w:rFonts w:hint="eastAsia"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精品录播系统</w:t>
            </w:r>
          </w:p>
        </w:tc>
        <w:tc>
          <w:tcPr>
            <w:tcW w:w="756" w:type="dxa"/>
            <w:noWrap w:val="0"/>
            <w:vAlign w:val="top"/>
          </w:tcPr>
          <w:p w14:paraId="06819005">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w:t>
            </w:r>
          </w:p>
        </w:tc>
        <w:tc>
          <w:tcPr>
            <w:tcW w:w="2950" w:type="dxa"/>
            <w:noWrap w:val="0"/>
            <w:vAlign w:val="center"/>
          </w:tcPr>
          <w:p w14:paraId="516A77CF">
            <w:pPr>
              <w:keepNext w:val="0"/>
              <w:keepLines w:val="0"/>
              <w:widowControl/>
              <w:suppressLineNumbers w:val="0"/>
              <w:jc w:val="center"/>
              <w:textAlignment w:val="center"/>
              <w:rPr>
                <w:rFonts w:hint="default" w:ascii="宋体" w:hAnsi="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互动录播主机</w:t>
            </w:r>
            <w:r>
              <w:rPr>
                <w:rFonts w:hint="eastAsia" w:ascii="宋体" w:hAnsi="宋体" w:cs="宋体"/>
                <w:b/>
                <w:bCs/>
                <w:i w:val="0"/>
                <w:iCs w:val="0"/>
                <w:color w:val="auto"/>
                <w:kern w:val="0"/>
                <w:sz w:val="21"/>
                <w:szCs w:val="21"/>
                <w:highlight w:val="none"/>
                <w:u w:val="none"/>
                <w:lang w:val="en-US" w:eastAsia="zh-CN" w:bidi="ar"/>
              </w:rPr>
              <w:t>（核心产品）</w:t>
            </w:r>
          </w:p>
        </w:tc>
        <w:tc>
          <w:tcPr>
            <w:tcW w:w="1481" w:type="dxa"/>
            <w:noWrap w:val="0"/>
            <w:vAlign w:val="center"/>
          </w:tcPr>
          <w:p w14:paraId="247B034F">
            <w:pPr>
              <w:keepNext w:val="0"/>
              <w:keepLines w:val="0"/>
              <w:widowControl/>
              <w:suppressLineNumbers w:val="0"/>
              <w:jc w:val="center"/>
              <w:textAlignment w:val="center"/>
              <w:rPr>
                <w:rFonts w:hint="default" w:ascii="宋体" w:hAnsi="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台</w:t>
            </w:r>
          </w:p>
        </w:tc>
        <w:tc>
          <w:tcPr>
            <w:tcW w:w="1463" w:type="dxa"/>
            <w:noWrap w:val="0"/>
            <w:vAlign w:val="center"/>
          </w:tcPr>
          <w:p w14:paraId="10FD6595">
            <w:pPr>
              <w:keepNext w:val="0"/>
              <w:keepLines w:val="0"/>
              <w:widowControl/>
              <w:suppressLineNumbers w:val="0"/>
              <w:jc w:val="center"/>
              <w:textAlignment w:val="center"/>
              <w:rPr>
                <w:rFonts w:hint="default" w:ascii="宋体" w:hAnsi="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2087" w:type="dxa"/>
            <w:vMerge w:val="restart"/>
            <w:noWrap w:val="0"/>
            <w:vAlign w:val="center"/>
          </w:tcPr>
          <w:p w14:paraId="0A0EB383">
            <w:pPr>
              <w:keepNext w:val="0"/>
              <w:keepLines w:val="0"/>
              <w:widowControl/>
              <w:suppressLineNumbers w:val="0"/>
              <w:jc w:val="center"/>
              <w:textAlignment w:val="center"/>
              <w:rPr>
                <w:rFonts w:hint="eastAsia" w:ascii="宋体" w:hAnsi="宋体" w:cs="宋体"/>
                <w:b/>
                <w:bCs/>
                <w:i w:val="0"/>
                <w:iCs w:val="0"/>
                <w:color w:val="auto"/>
                <w:kern w:val="0"/>
                <w:sz w:val="21"/>
                <w:szCs w:val="21"/>
                <w:highlight w:val="none"/>
                <w:u w:val="single"/>
                <w:lang w:val="en-US" w:eastAsia="zh-CN" w:bidi="ar"/>
              </w:rPr>
            </w:pPr>
            <w:r>
              <w:rPr>
                <w:rFonts w:hint="eastAsia" w:ascii="宋体" w:hAnsi="宋体" w:eastAsia="宋体" w:cs="宋体"/>
                <w:b/>
                <w:bCs/>
                <w:color w:val="auto"/>
                <w:sz w:val="21"/>
                <w:szCs w:val="21"/>
                <w:highlight w:val="none"/>
                <w:u w:val="single"/>
              </w:rPr>
              <w:t>▲</w:t>
            </w:r>
            <w:r>
              <w:rPr>
                <w:rFonts w:hint="eastAsia" w:ascii="宋体" w:hAnsi="宋体" w:cs="宋体"/>
                <w:b/>
                <w:bCs/>
                <w:i w:val="0"/>
                <w:iCs w:val="0"/>
                <w:color w:val="auto"/>
                <w:kern w:val="0"/>
                <w:sz w:val="21"/>
                <w:szCs w:val="21"/>
                <w:highlight w:val="none"/>
                <w:u w:val="single"/>
                <w:lang w:val="en-US" w:eastAsia="zh-CN" w:bidi="ar"/>
              </w:rPr>
              <w:t>最高限价：</w:t>
            </w:r>
          </w:p>
          <w:p w14:paraId="09E6F23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single"/>
                <w:lang w:val="en-US" w:eastAsia="zh-CN" w:bidi="ar"/>
              </w:rPr>
              <w:t>19万元</w:t>
            </w:r>
          </w:p>
        </w:tc>
      </w:tr>
      <w:tr w14:paraId="7D294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5" w:type="dxa"/>
            <w:vMerge w:val="continue"/>
            <w:noWrap w:val="0"/>
            <w:vAlign w:val="center"/>
          </w:tcPr>
          <w:p w14:paraId="168391F5">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39EFE1CD">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w:t>
            </w:r>
          </w:p>
        </w:tc>
        <w:tc>
          <w:tcPr>
            <w:tcW w:w="2950" w:type="dxa"/>
            <w:noWrap w:val="0"/>
            <w:vAlign w:val="center"/>
          </w:tcPr>
          <w:p w14:paraId="2107C4D0">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主机导播系统</w:t>
            </w:r>
            <w:r>
              <w:rPr>
                <w:rFonts w:hint="eastAsia" w:ascii="宋体" w:hAnsi="宋体" w:cs="宋体"/>
                <w:i w:val="0"/>
                <w:iCs w:val="0"/>
                <w:color w:val="auto"/>
                <w:kern w:val="0"/>
                <w:sz w:val="21"/>
                <w:szCs w:val="21"/>
                <w:highlight w:val="none"/>
                <w:u w:val="none"/>
                <w:lang w:val="en-US" w:eastAsia="zh-CN" w:bidi="ar"/>
              </w:rPr>
              <w:t>1</w:t>
            </w:r>
          </w:p>
        </w:tc>
        <w:tc>
          <w:tcPr>
            <w:tcW w:w="1481" w:type="dxa"/>
            <w:noWrap w:val="0"/>
            <w:vAlign w:val="center"/>
          </w:tcPr>
          <w:p w14:paraId="7D02971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463" w:type="dxa"/>
            <w:noWrap w:val="0"/>
            <w:vAlign w:val="center"/>
          </w:tcPr>
          <w:p w14:paraId="395ECD4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087" w:type="dxa"/>
            <w:vMerge w:val="continue"/>
            <w:noWrap w:val="0"/>
            <w:vAlign w:val="center"/>
          </w:tcPr>
          <w:p w14:paraId="64C0CDE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0D1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center"/>
          </w:tcPr>
          <w:p w14:paraId="04F53474">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6F45CF8D">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w:t>
            </w:r>
          </w:p>
        </w:tc>
        <w:tc>
          <w:tcPr>
            <w:tcW w:w="2950" w:type="dxa"/>
            <w:noWrap w:val="0"/>
            <w:vAlign w:val="center"/>
          </w:tcPr>
          <w:p w14:paraId="3BC60712">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主机互动系统</w:t>
            </w:r>
            <w:r>
              <w:rPr>
                <w:rFonts w:hint="eastAsia" w:ascii="宋体" w:hAnsi="宋体" w:cs="宋体"/>
                <w:i w:val="0"/>
                <w:iCs w:val="0"/>
                <w:color w:val="auto"/>
                <w:kern w:val="0"/>
                <w:sz w:val="21"/>
                <w:szCs w:val="21"/>
                <w:highlight w:val="none"/>
                <w:u w:val="none"/>
                <w:lang w:val="en-US" w:eastAsia="zh-CN" w:bidi="ar"/>
              </w:rPr>
              <w:t>1</w:t>
            </w:r>
          </w:p>
        </w:tc>
        <w:tc>
          <w:tcPr>
            <w:tcW w:w="1481" w:type="dxa"/>
            <w:noWrap w:val="0"/>
            <w:vAlign w:val="center"/>
          </w:tcPr>
          <w:p w14:paraId="7235AB1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463" w:type="dxa"/>
            <w:noWrap w:val="0"/>
            <w:vAlign w:val="center"/>
          </w:tcPr>
          <w:p w14:paraId="3378AA8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087" w:type="dxa"/>
            <w:vMerge w:val="continue"/>
            <w:noWrap w:val="0"/>
            <w:vAlign w:val="center"/>
          </w:tcPr>
          <w:p w14:paraId="0C6E3C0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3BF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center"/>
          </w:tcPr>
          <w:p w14:paraId="0435A113">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2D82A452">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w:t>
            </w:r>
          </w:p>
        </w:tc>
        <w:tc>
          <w:tcPr>
            <w:tcW w:w="2950" w:type="dxa"/>
            <w:noWrap w:val="0"/>
            <w:vAlign w:val="center"/>
          </w:tcPr>
          <w:p w14:paraId="7A908103">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主机视频处理系统</w:t>
            </w:r>
            <w:r>
              <w:rPr>
                <w:rFonts w:hint="eastAsia" w:ascii="宋体" w:hAnsi="宋体" w:cs="宋体"/>
                <w:i w:val="0"/>
                <w:iCs w:val="0"/>
                <w:color w:val="auto"/>
                <w:kern w:val="0"/>
                <w:sz w:val="21"/>
                <w:szCs w:val="21"/>
                <w:highlight w:val="none"/>
                <w:u w:val="none"/>
                <w:lang w:val="en-US" w:eastAsia="zh-CN" w:bidi="ar"/>
              </w:rPr>
              <w:t>1</w:t>
            </w:r>
          </w:p>
        </w:tc>
        <w:tc>
          <w:tcPr>
            <w:tcW w:w="1481" w:type="dxa"/>
            <w:noWrap w:val="0"/>
            <w:vAlign w:val="center"/>
          </w:tcPr>
          <w:p w14:paraId="11710C9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463" w:type="dxa"/>
            <w:noWrap w:val="0"/>
            <w:vAlign w:val="center"/>
          </w:tcPr>
          <w:p w14:paraId="3C80FDF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087" w:type="dxa"/>
            <w:vMerge w:val="continue"/>
            <w:noWrap w:val="0"/>
            <w:vAlign w:val="center"/>
          </w:tcPr>
          <w:p w14:paraId="616C9BC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A3F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center"/>
          </w:tcPr>
          <w:p w14:paraId="62477CD3">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146950CE">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w:t>
            </w:r>
          </w:p>
        </w:tc>
        <w:tc>
          <w:tcPr>
            <w:tcW w:w="2950" w:type="dxa"/>
            <w:noWrap w:val="0"/>
            <w:vAlign w:val="center"/>
          </w:tcPr>
          <w:p w14:paraId="71F095E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远程互动课堂软件</w:t>
            </w:r>
          </w:p>
        </w:tc>
        <w:tc>
          <w:tcPr>
            <w:tcW w:w="1481" w:type="dxa"/>
            <w:noWrap w:val="0"/>
            <w:vAlign w:val="center"/>
          </w:tcPr>
          <w:p w14:paraId="527BEC8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463" w:type="dxa"/>
            <w:noWrap w:val="0"/>
            <w:vAlign w:val="center"/>
          </w:tcPr>
          <w:p w14:paraId="20EE4A0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087" w:type="dxa"/>
            <w:vMerge w:val="continue"/>
            <w:noWrap w:val="0"/>
            <w:vAlign w:val="center"/>
          </w:tcPr>
          <w:p w14:paraId="76BD97F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1F0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center"/>
          </w:tcPr>
          <w:p w14:paraId="1836B767">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4BFE0F40">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6</w:t>
            </w:r>
          </w:p>
        </w:tc>
        <w:tc>
          <w:tcPr>
            <w:tcW w:w="2950" w:type="dxa"/>
            <w:noWrap w:val="0"/>
            <w:vAlign w:val="center"/>
          </w:tcPr>
          <w:p w14:paraId="1ED946E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教师定位辅助摄像机</w:t>
            </w:r>
          </w:p>
        </w:tc>
        <w:tc>
          <w:tcPr>
            <w:tcW w:w="1481" w:type="dxa"/>
            <w:noWrap w:val="0"/>
            <w:vAlign w:val="center"/>
          </w:tcPr>
          <w:p w14:paraId="2276B89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1463" w:type="dxa"/>
            <w:noWrap w:val="0"/>
            <w:vAlign w:val="center"/>
          </w:tcPr>
          <w:p w14:paraId="42DDF721">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087" w:type="dxa"/>
            <w:vMerge w:val="continue"/>
            <w:noWrap w:val="0"/>
            <w:vAlign w:val="center"/>
          </w:tcPr>
          <w:p w14:paraId="50DC1AF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DFF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center"/>
          </w:tcPr>
          <w:p w14:paraId="4335FCBC">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023F687F">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7</w:t>
            </w:r>
          </w:p>
        </w:tc>
        <w:tc>
          <w:tcPr>
            <w:tcW w:w="2950" w:type="dxa"/>
            <w:noWrap w:val="0"/>
            <w:vAlign w:val="center"/>
          </w:tcPr>
          <w:p w14:paraId="00192E8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教师摄像机图像处理系统</w:t>
            </w:r>
          </w:p>
        </w:tc>
        <w:tc>
          <w:tcPr>
            <w:tcW w:w="1481" w:type="dxa"/>
            <w:noWrap w:val="0"/>
            <w:vAlign w:val="center"/>
          </w:tcPr>
          <w:p w14:paraId="1E6351E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463" w:type="dxa"/>
            <w:noWrap w:val="0"/>
            <w:vAlign w:val="center"/>
          </w:tcPr>
          <w:p w14:paraId="512545E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087" w:type="dxa"/>
            <w:vMerge w:val="continue"/>
            <w:noWrap w:val="0"/>
            <w:vAlign w:val="center"/>
          </w:tcPr>
          <w:p w14:paraId="4E35A15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B5E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center"/>
          </w:tcPr>
          <w:p w14:paraId="069076F1">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72A287FB">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8</w:t>
            </w:r>
          </w:p>
        </w:tc>
        <w:tc>
          <w:tcPr>
            <w:tcW w:w="2950" w:type="dxa"/>
            <w:noWrap w:val="0"/>
            <w:vAlign w:val="center"/>
          </w:tcPr>
          <w:p w14:paraId="10615A4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学生定位辅助摄像机</w:t>
            </w:r>
          </w:p>
        </w:tc>
        <w:tc>
          <w:tcPr>
            <w:tcW w:w="1481" w:type="dxa"/>
            <w:noWrap w:val="0"/>
            <w:vAlign w:val="center"/>
          </w:tcPr>
          <w:p w14:paraId="7CCFE5C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1463" w:type="dxa"/>
            <w:noWrap w:val="0"/>
            <w:vAlign w:val="center"/>
          </w:tcPr>
          <w:p w14:paraId="6457CB5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087" w:type="dxa"/>
            <w:vMerge w:val="continue"/>
            <w:noWrap w:val="0"/>
            <w:vAlign w:val="center"/>
          </w:tcPr>
          <w:p w14:paraId="4E088D2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E96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center"/>
          </w:tcPr>
          <w:p w14:paraId="6E06556A">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712FDE40">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9</w:t>
            </w:r>
          </w:p>
        </w:tc>
        <w:tc>
          <w:tcPr>
            <w:tcW w:w="2950" w:type="dxa"/>
            <w:noWrap w:val="0"/>
            <w:vAlign w:val="center"/>
          </w:tcPr>
          <w:p w14:paraId="1CF278E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学生摄像机图像处理系统</w:t>
            </w:r>
          </w:p>
        </w:tc>
        <w:tc>
          <w:tcPr>
            <w:tcW w:w="1481" w:type="dxa"/>
            <w:noWrap w:val="0"/>
            <w:vAlign w:val="center"/>
          </w:tcPr>
          <w:p w14:paraId="1173C28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463" w:type="dxa"/>
            <w:noWrap w:val="0"/>
            <w:vAlign w:val="center"/>
          </w:tcPr>
          <w:p w14:paraId="5DA665A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087" w:type="dxa"/>
            <w:vMerge w:val="continue"/>
            <w:noWrap w:val="0"/>
            <w:vAlign w:val="center"/>
          </w:tcPr>
          <w:p w14:paraId="2A78E5A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FA0A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center"/>
          </w:tcPr>
          <w:p w14:paraId="12473039">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50C09E36">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10</w:t>
            </w:r>
          </w:p>
        </w:tc>
        <w:tc>
          <w:tcPr>
            <w:tcW w:w="2950" w:type="dxa"/>
            <w:noWrap w:val="0"/>
            <w:vAlign w:val="center"/>
          </w:tcPr>
          <w:p w14:paraId="3A977CD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机械云台摄像机</w:t>
            </w:r>
          </w:p>
        </w:tc>
        <w:tc>
          <w:tcPr>
            <w:tcW w:w="1481" w:type="dxa"/>
            <w:noWrap w:val="0"/>
            <w:vAlign w:val="center"/>
          </w:tcPr>
          <w:p w14:paraId="3432EC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1463" w:type="dxa"/>
            <w:noWrap w:val="0"/>
            <w:vAlign w:val="center"/>
          </w:tcPr>
          <w:p w14:paraId="5CC11EA7">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2087" w:type="dxa"/>
            <w:vMerge w:val="continue"/>
            <w:noWrap w:val="0"/>
            <w:vAlign w:val="center"/>
          </w:tcPr>
          <w:p w14:paraId="578E24E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B13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center"/>
          </w:tcPr>
          <w:p w14:paraId="58135746">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23C06AF3">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11</w:t>
            </w:r>
          </w:p>
        </w:tc>
        <w:tc>
          <w:tcPr>
            <w:tcW w:w="2950" w:type="dxa"/>
            <w:noWrap w:val="0"/>
            <w:vAlign w:val="center"/>
          </w:tcPr>
          <w:p w14:paraId="4526BBAE">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云台摄像机图像处理系统</w:t>
            </w:r>
            <w:r>
              <w:rPr>
                <w:rFonts w:hint="eastAsia" w:ascii="宋体" w:hAnsi="宋体" w:cs="宋体"/>
                <w:i w:val="0"/>
                <w:iCs w:val="0"/>
                <w:color w:val="auto"/>
                <w:kern w:val="0"/>
                <w:sz w:val="21"/>
                <w:szCs w:val="21"/>
                <w:highlight w:val="none"/>
                <w:u w:val="none"/>
                <w:lang w:val="en-US" w:eastAsia="zh-CN" w:bidi="ar"/>
              </w:rPr>
              <w:t>1</w:t>
            </w:r>
          </w:p>
        </w:tc>
        <w:tc>
          <w:tcPr>
            <w:tcW w:w="1481" w:type="dxa"/>
            <w:noWrap w:val="0"/>
            <w:vAlign w:val="center"/>
          </w:tcPr>
          <w:p w14:paraId="14534D0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463" w:type="dxa"/>
            <w:noWrap w:val="0"/>
            <w:vAlign w:val="center"/>
          </w:tcPr>
          <w:p w14:paraId="2754FC89">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2087" w:type="dxa"/>
            <w:vMerge w:val="continue"/>
            <w:noWrap w:val="0"/>
            <w:vAlign w:val="center"/>
          </w:tcPr>
          <w:p w14:paraId="32824CC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8F1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center"/>
          </w:tcPr>
          <w:p w14:paraId="52B19369">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7CDB9351">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12</w:t>
            </w:r>
          </w:p>
        </w:tc>
        <w:tc>
          <w:tcPr>
            <w:tcW w:w="2950" w:type="dxa"/>
            <w:noWrap w:val="0"/>
            <w:vAlign w:val="center"/>
          </w:tcPr>
          <w:p w14:paraId="779CD06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阵列麦克风</w:t>
            </w:r>
          </w:p>
        </w:tc>
        <w:tc>
          <w:tcPr>
            <w:tcW w:w="1481" w:type="dxa"/>
            <w:noWrap w:val="0"/>
            <w:vAlign w:val="center"/>
          </w:tcPr>
          <w:p w14:paraId="73CABD9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463" w:type="dxa"/>
            <w:noWrap w:val="0"/>
            <w:vAlign w:val="center"/>
          </w:tcPr>
          <w:p w14:paraId="08BBCA4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2087" w:type="dxa"/>
            <w:vMerge w:val="continue"/>
            <w:noWrap w:val="0"/>
            <w:vAlign w:val="center"/>
          </w:tcPr>
          <w:p w14:paraId="0C1B0CE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DEC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center"/>
          </w:tcPr>
          <w:p w14:paraId="75C6D73F">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2FE97B5B">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13</w:t>
            </w:r>
          </w:p>
        </w:tc>
        <w:tc>
          <w:tcPr>
            <w:tcW w:w="2950" w:type="dxa"/>
            <w:noWrap w:val="0"/>
            <w:vAlign w:val="center"/>
          </w:tcPr>
          <w:p w14:paraId="4E2EC12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有线麦克风音频处理系统</w:t>
            </w:r>
          </w:p>
        </w:tc>
        <w:tc>
          <w:tcPr>
            <w:tcW w:w="1481" w:type="dxa"/>
            <w:noWrap w:val="0"/>
            <w:vAlign w:val="center"/>
          </w:tcPr>
          <w:p w14:paraId="32FFEDD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463" w:type="dxa"/>
            <w:noWrap w:val="0"/>
            <w:vAlign w:val="center"/>
          </w:tcPr>
          <w:p w14:paraId="0D00F49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2087" w:type="dxa"/>
            <w:vMerge w:val="continue"/>
            <w:noWrap w:val="0"/>
            <w:vAlign w:val="center"/>
          </w:tcPr>
          <w:p w14:paraId="21903B5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A7B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center"/>
          </w:tcPr>
          <w:p w14:paraId="41FEB78D">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1C06C254">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14</w:t>
            </w:r>
          </w:p>
        </w:tc>
        <w:tc>
          <w:tcPr>
            <w:tcW w:w="2950" w:type="dxa"/>
            <w:noWrap w:val="0"/>
            <w:vAlign w:val="center"/>
          </w:tcPr>
          <w:p w14:paraId="3EFD3178">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无线麦克风</w:t>
            </w:r>
            <w:r>
              <w:rPr>
                <w:rFonts w:hint="eastAsia" w:ascii="宋体" w:hAnsi="宋体" w:cs="宋体"/>
                <w:i w:val="0"/>
                <w:iCs w:val="0"/>
                <w:color w:val="auto"/>
                <w:kern w:val="0"/>
                <w:sz w:val="21"/>
                <w:szCs w:val="21"/>
                <w:highlight w:val="none"/>
                <w:u w:val="none"/>
                <w:lang w:val="en-US" w:eastAsia="zh-CN" w:bidi="ar"/>
              </w:rPr>
              <w:t>1</w:t>
            </w:r>
          </w:p>
        </w:tc>
        <w:tc>
          <w:tcPr>
            <w:tcW w:w="1481" w:type="dxa"/>
            <w:noWrap w:val="0"/>
            <w:vAlign w:val="center"/>
          </w:tcPr>
          <w:p w14:paraId="39984AF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463" w:type="dxa"/>
            <w:noWrap w:val="0"/>
            <w:vAlign w:val="center"/>
          </w:tcPr>
          <w:p w14:paraId="5C1482B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087" w:type="dxa"/>
            <w:vMerge w:val="continue"/>
            <w:noWrap w:val="0"/>
            <w:vAlign w:val="center"/>
          </w:tcPr>
          <w:p w14:paraId="71DC70E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47E8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center"/>
          </w:tcPr>
          <w:p w14:paraId="14AABDB5">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7AAEBD5C">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15</w:t>
            </w:r>
          </w:p>
        </w:tc>
        <w:tc>
          <w:tcPr>
            <w:tcW w:w="2950" w:type="dxa"/>
            <w:noWrap w:val="0"/>
            <w:vAlign w:val="center"/>
          </w:tcPr>
          <w:p w14:paraId="152DA0B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无线麦克风音频处理系统</w:t>
            </w:r>
          </w:p>
        </w:tc>
        <w:tc>
          <w:tcPr>
            <w:tcW w:w="1481" w:type="dxa"/>
            <w:noWrap w:val="0"/>
            <w:vAlign w:val="center"/>
          </w:tcPr>
          <w:p w14:paraId="4B54D2F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463" w:type="dxa"/>
            <w:noWrap w:val="0"/>
            <w:vAlign w:val="center"/>
          </w:tcPr>
          <w:p w14:paraId="3DFAD74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087" w:type="dxa"/>
            <w:vMerge w:val="continue"/>
            <w:noWrap w:val="0"/>
            <w:vAlign w:val="center"/>
          </w:tcPr>
          <w:p w14:paraId="7AF09BD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A78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center"/>
          </w:tcPr>
          <w:p w14:paraId="5E882A69">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6011F523">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16</w:t>
            </w:r>
          </w:p>
        </w:tc>
        <w:tc>
          <w:tcPr>
            <w:tcW w:w="2950" w:type="dxa"/>
            <w:noWrap w:val="0"/>
            <w:vAlign w:val="center"/>
          </w:tcPr>
          <w:p w14:paraId="770E3F1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专业功放</w:t>
            </w:r>
          </w:p>
        </w:tc>
        <w:tc>
          <w:tcPr>
            <w:tcW w:w="1481" w:type="dxa"/>
            <w:noWrap w:val="0"/>
            <w:vAlign w:val="center"/>
          </w:tcPr>
          <w:p w14:paraId="1A224F0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463" w:type="dxa"/>
            <w:noWrap w:val="0"/>
            <w:vAlign w:val="center"/>
          </w:tcPr>
          <w:p w14:paraId="00D72EE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087" w:type="dxa"/>
            <w:vMerge w:val="continue"/>
            <w:noWrap w:val="0"/>
            <w:vAlign w:val="center"/>
          </w:tcPr>
          <w:p w14:paraId="23113E7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E2A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center"/>
          </w:tcPr>
          <w:p w14:paraId="7D076881">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6A4788CE">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17</w:t>
            </w:r>
          </w:p>
        </w:tc>
        <w:tc>
          <w:tcPr>
            <w:tcW w:w="2950" w:type="dxa"/>
            <w:noWrap w:val="0"/>
            <w:vAlign w:val="center"/>
          </w:tcPr>
          <w:p w14:paraId="242B98F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专业音响</w:t>
            </w:r>
          </w:p>
        </w:tc>
        <w:tc>
          <w:tcPr>
            <w:tcW w:w="1481" w:type="dxa"/>
            <w:noWrap w:val="0"/>
            <w:vAlign w:val="center"/>
          </w:tcPr>
          <w:p w14:paraId="0AE65B4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对</w:t>
            </w:r>
          </w:p>
        </w:tc>
        <w:tc>
          <w:tcPr>
            <w:tcW w:w="1463" w:type="dxa"/>
            <w:noWrap w:val="0"/>
            <w:vAlign w:val="center"/>
          </w:tcPr>
          <w:p w14:paraId="4BF44B6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087" w:type="dxa"/>
            <w:vMerge w:val="continue"/>
            <w:noWrap w:val="0"/>
            <w:vAlign w:val="center"/>
          </w:tcPr>
          <w:p w14:paraId="5C8BA33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C24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center"/>
          </w:tcPr>
          <w:p w14:paraId="76209807">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584751A3">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18</w:t>
            </w:r>
          </w:p>
        </w:tc>
        <w:tc>
          <w:tcPr>
            <w:tcW w:w="2950" w:type="dxa"/>
            <w:noWrap w:val="0"/>
            <w:vAlign w:val="center"/>
          </w:tcPr>
          <w:p w14:paraId="0E5FFFC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交换机</w:t>
            </w:r>
          </w:p>
        </w:tc>
        <w:tc>
          <w:tcPr>
            <w:tcW w:w="1481" w:type="dxa"/>
            <w:noWrap w:val="0"/>
            <w:vAlign w:val="center"/>
          </w:tcPr>
          <w:p w14:paraId="0D2D4DD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463" w:type="dxa"/>
            <w:noWrap w:val="0"/>
            <w:vAlign w:val="center"/>
          </w:tcPr>
          <w:p w14:paraId="74F0119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087" w:type="dxa"/>
            <w:vMerge w:val="continue"/>
            <w:noWrap w:val="0"/>
            <w:vAlign w:val="center"/>
          </w:tcPr>
          <w:p w14:paraId="6E234B9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664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center"/>
          </w:tcPr>
          <w:p w14:paraId="0D27246D">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15F5C928">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19</w:t>
            </w:r>
          </w:p>
        </w:tc>
        <w:tc>
          <w:tcPr>
            <w:tcW w:w="2950" w:type="dxa"/>
            <w:noWrap w:val="0"/>
            <w:vAlign w:val="center"/>
          </w:tcPr>
          <w:p w14:paraId="0964C97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有源音箱</w:t>
            </w:r>
          </w:p>
        </w:tc>
        <w:tc>
          <w:tcPr>
            <w:tcW w:w="1481" w:type="dxa"/>
            <w:noWrap w:val="0"/>
            <w:vAlign w:val="center"/>
          </w:tcPr>
          <w:p w14:paraId="162FB29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对</w:t>
            </w:r>
          </w:p>
        </w:tc>
        <w:tc>
          <w:tcPr>
            <w:tcW w:w="1463" w:type="dxa"/>
            <w:noWrap w:val="0"/>
            <w:vAlign w:val="center"/>
          </w:tcPr>
          <w:p w14:paraId="7060A54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087" w:type="dxa"/>
            <w:vMerge w:val="continue"/>
            <w:noWrap w:val="0"/>
            <w:vAlign w:val="center"/>
          </w:tcPr>
          <w:p w14:paraId="46C9E32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DA5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center"/>
          </w:tcPr>
          <w:p w14:paraId="280AFFCB">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7CFD5302">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20</w:t>
            </w:r>
          </w:p>
        </w:tc>
        <w:tc>
          <w:tcPr>
            <w:tcW w:w="2950" w:type="dxa"/>
            <w:noWrap w:val="0"/>
            <w:vAlign w:val="center"/>
          </w:tcPr>
          <w:p w14:paraId="42B9B57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专业导播台</w:t>
            </w:r>
          </w:p>
        </w:tc>
        <w:tc>
          <w:tcPr>
            <w:tcW w:w="1481" w:type="dxa"/>
            <w:noWrap w:val="0"/>
            <w:vAlign w:val="center"/>
          </w:tcPr>
          <w:p w14:paraId="10379A3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1463" w:type="dxa"/>
            <w:noWrap w:val="0"/>
            <w:vAlign w:val="center"/>
          </w:tcPr>
          <w:p w14:paraId="096EF8E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087" w:type="dxa"/>
            <w:vMerge w:val="continue"/>
            <w:noWrap w:val="0"/>
            <w:vAlign w:val="center"/>
          </w:tcPr>
          <w:p w14:paraId="66D05C9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951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center"/>
          </w:tcPr>
          <w:p w14:paraId="5941B7B0">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59E0D019">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21</w:t>
            </w:r>
          </w:p>
        </w:tc>
        <w:tc>
          <w:tcPr>
            <w:tcW w:w="2950" w:type="dxa"/>
            <w:noWrap w:val="0"/>
            <w:vAlign w:val="center"/>
          </w:tcPr>
          <w:p w14:paraId="4131F68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导播控制台应用系统</w:t>
            </w:r>
          </w:p>
        </w:tc>
        <w:tc>
          <w:tcPr>
            <w:tcW w:w="1481" w:type="dxa"/>
            <w:noWrap w:val="0"/>
            <w:vAlign w:val="center"/>
          </w:tcPr>
          <w:p w14:paraId="00D5CCF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463" w:type="dxa"/>
            <w:noWrap w:val="0"/>
            <w:vAlign w:val="center"/>
          </w:tcPr>
          <w:p w14:paraId="3150F53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087" w:type="dxa"/>
            <w:vMerge w:val="continue"/>
            <w:noWrap w:val="0"/>
            <w:vAlign w:val="center"/>
          </w:tcPr>
          <w:p w14:paraId="4A5F969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734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center"/>
          </w:tcPr>
          <w:p w14:paraId="0CBA490B">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3A9A3C82">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22</w:t>
            </w:r>
          </w:p>
        </w:tc>
        <w:tc>
          <w:tcPr>
            <w:tcW w:w="2950" w:type="dxa"/>
            <w:noWrap w:val="0"/>
            <w:vAlign w:val="center"/>
          </w:tcPr>
          <w:p w14:paraId="49C56321">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电视机</w:t>
            </w:r>
          </w:p>
        </w:tc>
        <w:tc>
          <w:tcPr>
            <w:tcW w:w="1481" w:type="dxa"/>
            <w:noWrap w:val="0"/>
            <w:vAlign w:val="top"/>
          </w:tcPr>
          <w:p w14:paraId="7C8122AF">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台</w:t>
            </w:r>
          </w:p>
        </w:tc>
        <w:tc>
          <w:tcPr>
            <w:tcW w:w="1463" w:type="dxa"/>
            <w:noWrap w:val="0"/>
            <w:vAlign w:val="center"/>
          </w:tcPr>
          <w:p w14:paraId="7A2DA721">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p>
        </w:tc>
        <w:tc>
          <w:tcPr>
            <w:tcW w:w="2087" w:type="dxa"/>
            <w:vMerge w:val="continue"/>
            <w:noWrap w:val="0"/>
            <w:vAlign w:val="center"/>
          </w:tcPr>
          <w:p w14:paraId="59B57293">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p>
        </w:tc>
      </w:tr>
      <w:tr w14:paraId="3732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center"/>
          </w:tcPr>
          <w:p w14:paraId="1E4A4B93">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1674835A">
            <w:pPr>
              <w:jc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23</w:t>
            </w:r>
          </w:p>
        </w:tc>
        <w:tc>
          <w:tcPr>
            <w:tcW w:w="2950" w:type="dxa"/>
            <w:noWrap w:val="0"/>
            <w:vAlign w:val="center"/>
          </w:tcPr>
          <w:p w14:paraId="13AFB19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课堂智能反馈系统</w:t>
            </w:r>
          </w:p>
        </w:tc>
        <w:tc>
          <w:tcPr>
            <w:tcW w:w="1481" w:type="dxa"/>
            <w:noWrap w:val="0"/>
            <w:vAlign w:val="top"/>
          </w:tcPr>
          <w:p w14:paraId="6C43954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463" w:type="dxa"/>
            <w:noWrap w:val="0"/>
            <w:vAlign w:val="center"/>
          </w:tcPr>
          <w:p w14:paraId="053AE444">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087" w:type="dxa"/>
            <w:vMerge w:val="continue"/>
            <w:noWrap w:val="0"/>
            <w:vAlign w:val="center"/>
          </w:tcPr>
          <w:p w14:paraId="2878E2D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92B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center"/>
          </w:tcPr>
          <w:p w14:paraId="161F5C63">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060F4138">
            <w:pPr>
              <w:jc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24</w:t>
            </w:r>
          </w:p>
        </w:tc>
        <w:tc>
          <w:tcPr>
            <w:tcW w:w="2950" w:type="dxa"/>
            <w:noWrap w:val="0"/>
            <w:vAlign w:val="center"/>
          </w:tcPr>
          <w:p w14:paraId="137BEB5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智能抠像系统</w:t>
            </w:r>
          </w:p>
        </w:tc>
        <w:tc>
          <w:tcPr>
            <w:tcW w:w="1481" w:type="dxa"/>
            <w:noWrap w:val="0"/>
            <w:vAlign w:val="center"/>
          </w:tcPr>
          <w:p w14:paraId="778183E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批</w:t>
            </w:r>
          </w:p>
        </w:tc>
        <w:tc>
          <w:tcPr>
            <w:tcW w:w="1463" w:type="dxa"/>
            <w:noWrap w:val="0"/>
            <w:vAlign w:val="center"/>
          </w:tcPr>
          <w:p w14:paraId="5F9DDB9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1</w:t>
            </w:r>
          </w:p>
        </w:tc>
        <w:tc>
          <w:tcPr>
            <w:tcW w:w="2087" w:type="dxa"/>
            <w:vMerge w:val="continue"/>
            <w:noWrap w:val="0"/>
            <w:vAlign w:val="center"/>
          </w:tcPr>
          <w:p w14:paraId="70C3E6C0">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r>
      <w:tr w14:paraId="5C95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center"/>
          </w:tcPr>
          <w:p w14:paraId="265BED56">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0B95A72D">
            <w:pPr>
              <w:jc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25</w:t>
            </w:r>
          </w:p>
        </w:tc>
        <w:tc>
          <w:tcPr>
            <w:tcW w:w="2950" w:type="dxa"/>
            <w:noWrap w:val="0"/>
            <w:vAlign w:val="center"/>
          </w:tcPr>
          <w:p w14:paraId="277726D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LED柔光灯</w:t>
            </w:r>
          </w:p>
        </w:tc>
        <w:tc>
          <w:tcPr>
            <w:tcW w:w="1481" w:type="dxa"/>
            <w:noWrap w:val="0"/>
            <w:vAlign w:val="center"/>
          </w:tcPr>
          <w:p w14:paraId="04B9955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套</w:t>
            </w:r>
          </w:p>
        </w:tc>
        <w:tc>
          <w:tcPr>
            <w:tcW w:w="1463" w:type="dxa"/>
            <w:noWrap w:val="0"/>
            <w:vAlign w:val="center"/>
          </w:tcPr>
          <w:p w14:paraId="135F956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4</w:t>
            </w:r>
          </w:p>
        </w:tc>
        <w:tc>
          <w:tcPr>
            <w:tcW w:w="2087" w:type="dxa"/>
            <w:vMerge w:val="continue"/>
            <w:noWrap w:val="0"/>
            <w:vAlign w:val="center"/>
          </w:tcPr>
          <w:p w14:paraId="08406B0C">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r>
      <w:tr w14:paraId="780E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center"/>
          </w:tcPr>
          <w:p w14:paraId="4CF570AB">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0C375635">
            <w:pPr>
              <w:jc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26</w:t>
            </w:r>
          </w:p>
        </w:tc>
        <w:tc>
          <w:tcPr>
            <w:tcW w:w="2950" w:type="dxa"/>
            <w:noWrap w:val="0"/>
            <w:vAlign w:val="center"/>
          </w:tcPr>
          <w:p w14:paraId="57F68F2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LED柔光灯遥控器</w:t>
            </w:r>
          </w:p>
        </w:tc>
        <w:tc>
          <w:tcPr>
            <w:tcW w:w="1481" w:type="dxa"/>
            <w:noWrap w:val="0"/>
            <w:vAlign w:val="center"/>
          </w:tcPr>
          <w:p w14:paraId="7B63BEC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套</w:t>
            </w:r>
          </w:p>
        </w:tc>
        <w:tc>
          <w:tcPr>
            <w:tcW w:w="1463" w:type="dxa"/>
            <w:noWrap w:val="0"/>
            <w:vAlign w:val="center"/>
          </w:tcPr>
          <w:p w14:paraId="0111DF0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1</w:t>
            </w:r>
          </w:p>
        </w:tc>
        <w:tc>
          <w:tcPr>
            <w:tcW w:w="2087" w:type="dxa"/>
            <w:vMerge w:val="continue"/>
            <w:noWrap w:val="0"/>
            <w:vAlign w:val="center"/>
          </w:tcPr>
          <w:p w14:paraId="1175B49E">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r>
      <w:tr w14:paraId="0060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center"/>
          </w:tcPr>
          <w:p w14:paraId="65DF7748">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0297872C">
            <w:pPr>
              <w:jc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27</w:t>
            </w:r>
          </w:p>
        </w:tc>
        <w:tc>
          <w:tcPr>
            <w:tcW w:w="2950" w:type="dxa"/>
            <w:noWrap w:val="0"/>
            <w:vAlign w:val="center"/>
          </w:tcPr>
          <w:p w14:paraId="724A33B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显示器</w:t>
            </w:r>
          </w:p>
        </w:tc>
        <w:tc>
          <w:tcPr>
            <w:tcW w:w="1481" w:type="dxa"/>
            <w:noWrap w:val="0"/>
            <w:vAlign w:val="center"/>
          </w:tcPr>
          <w:p w14:paraId="1E6EA69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台</w:t>
            </w:r>
          </w:p>
        </w:tc>
        <w:tc>
          <w:tcPr>
            <w:tcW w:w="1463" w:type="dxa"/>
            <w:noWrap w:val="0"/>
            <w:vAlign w:val="center"/>
          </w:tcPr>
          <w:p w14:paraId="2F19872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1</w:t>
            </w:r>
          </w:p>
        </w:tc>
        <w:tc>
          <w:tcPr>
            <w:tcW w:w="2087" w:type="dxa"/>
            <w:vMerge w:val="continue"/>
            <w:noWrap w:val="0"/>
            <w:vAlign w:val="center"/>
          </w:tcPr>
          <w:p w14:paraId="48F801FD">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r>
      <w:tr w14:paraId="0C87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center"/>
          </w:tcPr>
          <w:p w14:paraId="1717D9EA">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1698F92F">
            <w:pPr>
              <w:jc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28</w:t>
            </w:r>
          </w:p>
        </w:tc>
        <w:tc>
          <w:tcPr>
            <w:tcW w:w="2950" w:type="dxa"/>
            <w:noWrap w:val="0"/>
            <w:vAlign w:val="center"/>
          </w:tcPr>
          <w:p w14:paraId="0B0C1CF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提词器</w:t>
            </w:r>
          </w:p>
        </w:tc>
        <w:tc>
          <w:tcPr>
            <w:tcW w:w="1481" w:type="dxa"/>
            <w:noWrap w:val="0"/>
            <w:vAlign w:val="center"/>
          </w:tcPr>
          <w:p w14:paraId="4848E6D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台</w:t>
            </w:r>
          </w:p>
        </w:tc>
        <w:tc>
          <w:tcPr>
            <w:tcW w:w="1463" w:type="dxa"/>
            <w:noWrap w:val="0"/>
            <w:vAlign w:val="center"/>
          </w:tcPr>
          <w:p w14:paraId="04F4ED8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1</w:t>
            </w:r>
          </w:p>
        </w:tc>
        <w:tc>
          <w:tcPr>
            <w:tcW w:w="2087" w:type="dxa"/>
            <w:vMerge w:val="continue"/>
            <w:noWrap w:val="0"/>
            <w:vAlign w:val="center"/>
          </w:tcPr>
          <w:p w14:paraId="1ACAD682">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r>
      <w:tr w14:paraId="5CEC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center"/>
          </w:tcPr>
          <w:p w14:paraId="131F2965">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05E9B35D">
            <w:pPr>
              <w:jc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29</w:t>
            </w:r>
          </w:p>
        </w:tc>
        <w:tc>
          <w:tcPr>
            <w:tcW w:w="2950" w:type="dxa"/>
            <w:noWrap w:val="0"/>
            <w:vAlign w:val="center"/>
          </w:tcPr>
          <w:p w14:paraId="61C82B91">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智能授课终端</w:t>
            </w:r>
            <w:r>
              <w:rPr>
                <w:rFonts w:hint="eastAsia" w:ascii="宋体" w:hAnsi="宋体" w:cs="宋体"/>
                <w:b/>
                <w:bCs/>
                <w:i w:val="0"/>
                <w:iCs w:val="0"/>
                <w:color w:val="auto"/>
                <w:kern w:val="0"/>
                <w:sz w:val="21"/>
                <w:szCs w:val="21"/>
                <w:highlight w:val="none"/>
                <w:u w:val="none"/>
                <w:lang w:val="en-US" w:eastAsia="zh-CN" w:bidi="ar"/>
              </w:rPr>
              <w:t>（核心产品）</w:t>
            </w:r>
          </w:p>
        </w:tc>
        <w:tc>
          <w:tcPr>
            <w:tcW w:w="1481" w:type="dxa"/>
            <w:noWrap w:val="0"/>
            <w:vAlign w:val="center"/>
          </w:tcPr>
          <w:p w14:paraId="18E7D0C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套</w:t>
            </w:r>
          </w:p>
        </w:tc>
        <w:tc>
          <w:tcPr>
            <w:tcW w:w="1463" w:type="dxa"/>
            <w:noWrap w:val="0"/>
            <w:vAlign w:val="center"/>
          </w:tcPr>
          <w:p w14:paraId="738FE2C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1</w:t>
            </w:r>
          </w:p>
        </w:tc>
        <w:tc>
          <w:tcPr>
            <w:tcW w:w="2087" w:type="dxa"/>
            <w:vMerge w:val="continue"/>
            <w:noWrap w:val="0"/>
            <w:vAlign w:val="center"/>
          </w:tcPr>
          <w:p w14:paraId="704EA1CC">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r>
      <w:tr w14:paraId="65B8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center"/>
          </w:tcPr>
          <w:p w14:paraId="521B5DB5">
            <w:pPr>
              <w:jc w:val="center"/>
              <w:rPr>
                <w:rFonts w:hint="eastAsia" w:ascii="宋体" w:hAnsi="宋体" w:cs="宋体"/>
                <w:b w:val="0"/>
                <w:bCs w:val="0"/>
                <w:color w:val="auto"/>
                <w:kern w:val="0"/>
                <w:sz w:val="21"/>
                <w:szCs w:val="21"/>
                <w:highlight w:val="none"/>
                <w:lang w:val="en-US" w:eastAsia="zh-CN" w:bidi="ar-SA"/>
              </w:rPr>
            </w:pPr>
          </w:p>
        </w:tc>
        <w:tc>
          <w:tcPr>
            <w:tcW w:w="756" w:type="dxa"/>
            <w:noWrap w:val="0"/>
            <w:vAlign w:val="top"/>
          </w:tcPr>
          <w:p w14:paraId="09927118">
            <w:pPr>
              <w:jc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30</w:t>
            </w:r>
          </w:p>
        </w:tc>
        <w:tc>
          <w:tcPr>
            <w:tcW w:w="2950" w:type="dxa"/>
            <w:noWrap w:val="0"/>
            <w:vAlign w:val="center"/>
          </w:tcPr>
          <w:p w14:paraId="06A45F4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集控pro版</w:t>
            </w:r>
          </w:p>
        </w:tc>
        <w:tc>
          <w:tcPr>
            <w:tcW w:w="1481" w:type="dxa"/>
            <w:noWrap w:val="0"/>
            <w:vAlign w:val="center"/>
          </w:tcPr>
          <w:p w14:paraId="1C59AA3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套</w:t>
            </w:r>
          </w:p>
        </w:tc>
        <w:tc>
          <w:tcPr>
            <w:tcW w:w="1463" w:type="dxa"/>
            <w:noWrap w:val="0"/>
            <w:vAlign w:val="center"/>
          </w:tcPr>
          <w:p w14:paraId="43C7FBF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2087" w:type="dxa"/>
            <w:vMerge w:val="continue"/>
            <w:noWrap w:val="0"/>
            <w:vAlign w:val="center"/>
          </w:tcPr>
          <w:p w14:paraId="0C599588">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p>
        </w:tc>
      </w:tr>
      <w:tr w14:paraId="2C04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center"/>
          </w:tcPr>
          <w:p w14:paraId="165564DD">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323A5932">
            <w:pPr>
              <w:jc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31</w:t>
            </w:r>
          </w:p>
        </w:tc>
        <w:tc>
          <w:tcPr>
            <w:tcW w:w="2950" w:type="dxa"/>
            <w:noWrap w:val="0"/>
            <w:vAlign w:val="center"/>
          </w:tcPr>
          <w:p w14:paraId="26E35E6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default" w:ascii="宋体" w:hAnsi="宋体" w:cs="宋体"/>
                <w:i w:val="0"/>
                <w:iCs w:val="0"/>
                <w:color w:val="auto"/>
                <w:kern w:val="0"/>
                <w:sz w:val="21"/>
                <w:szCs w:val="21"/>
                <w:highlight w:val="none"/>
                <w:u w:val="none"/>
                <w:lang w:val="en-US" w:eastAsia="zh-CN" w:bidi="ar"/>
              </w:rPr>
              <w:t>AI授课助手</w:t>
            </w:r>
          </w:p>
        </w:tc>
        <w:tc>
          <w:tcPr>
            <w:tcW w:w="1481" w:type="dxa"/>
            <w:noWrap w:val="0"/>
            <w:vAlign w:val="center"/>
          </w:tcPr>
          <w:p w14:paraId="5299C34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套</w:t>
            </w:r>
          </w:p>
        </w:tc>
        <w:tc>
          <w:tcPr>
            <w:tcW w:w="1463" w:type="dxa"/>
            <w:noWrap w:val="0"/>
            <w:vAlign w:val="center"/>
          </w:tcPr>
          <w:p w14:paraId="36C3DEF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2087" w:type="dxa"/>
            <w:vMerge w:val="continue"/>
            <w:noWrap w:val="0"/>
            <w:vAlign w:val="center"/>
          </w:tcPr>
          <w:p w14:paraId="6C10F2D7">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p>
        </w:tc>
      </w:tr>
      <w:tr w14:paraId="3BA94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center"/>
          </w:tcPr>
          <w:p w14:paraId="54058CD1">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3562DF0B">
            <w:pPr>
              <w:jc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32</w:t>
            </w:r>
          </w:p>
        </w:tc>
        <w:tc>
          <w:tcPr>
            <w:tcW w:w="2950" w:type="dxa"/>
            <w:noWrap w:val="0"/>
            <w:vAlign w:val="center"/>
          </w:tcPr>
          <w:p w14:paraId="5FF1B1A2">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安装附件及线材</w:t>
            </w:r>
          </w:p>
        </w:tc>
        <w:tc>
          <w:tcPr>
            <w:tcW w:w="1481" w:type="dxa"/>
            <w:noWrap w:val="0"/>
            <w:vAlign w:val="center"/>
          </w:tcPr>
          <w:p w14:paraId="45257E7D">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批</w:t>
            </w:r>
          </w:p>
        </w:tc>
        <w:tc>
          <w:tcPr>
            <w:tcW w:w="1463" w:type="dxa"/>
            <w:noWrap w:val="0"/>
            <w:vAlign w:val="center"/>
          </w:tcPr>
          <w:p w14:paraId="39CC14C5">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087" w:type="dxa"/>
            <w:vMerge w:val="continue"/>
            <w:noWrap w:val="0"/>
            <w:vAlign w:val="center"/>
          </w:tcPr>
          <w:p w14:paraId="192F59C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4D60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restart"/>
            <w:noWrap w:val="0"/>
            <w:vAlign w:val="center"/>
          </w:tcPr>
          <w:p w14:paraId="74E51372">
            <w:pPr>
              <w:jc w:val="center"/>
              <w:rPr>
                <w:rFonts w:hint="eastAsia"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移动录播系统</w:t>
            </w:r>
          </w:p>
        </w:tc>
        <w:tc>
          <w:tcPr>
            <w:tcW w:w="756" w:type="dxa"/>
            <w:noWrap w:val="0"/>
            <w:vAlign w:val="top"/>
          </w:tcPr>
          <w:p w14:paraId="441FBA74">
            <w:pPr>
              <w:jc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33</w:t>
            </w:r>
          </w:p>
        </w:tc>
        <w:tc>
          <w:tcPr>
            <w:tcW w:w="2950" w:type="dxa"/>
            <w:noWrap w:val="0"/>
            <w:vAlign w:val="center"/>
          </w:tcPr>
          <w:p w14:paraId="6C5AD437">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移动录播主机</w:t>
            </w:r>
            <w:r>
              <w:rPr>
                <w:rFonts w:hint="eastAsia" w:ascii="宋体" w:hAnsi="宋体" w:cs="宋体"/>
                <w:b/>
                <w:bCs/>
                <w:i w:val="0"/>
                <w:iCs w:val="0"/>
                <w:color w:val="auto"/>
                <w:kern w:val="0"/>
                <w:sz w:val="21"/>
                <w:szCs w:val="21"/>
                <w:highlight w:val="none"/>
                <w:u w:val="none"/>
                <w:lang w:val="en-US" w:eastAsia="zh-CN" w:bidi="ar"/>
              </w:rPr>
              <w:t>（核心产品）</w:t>
            </w:r>
          </w:p>
        </w:tc>
        <w:tc>
          <w:tcPr>
            <w:tcW w:w="1481" w:type="dxa"/>
            <w:noWrap w:val="0"/>
            <w:vAlign w:val="center"/>
          </w:tcPr>
          <w:p w14:paraId="362DD64B">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1463" w:type="dxa"/>
            <w:noWrap w:val="0"/>
            <w:vAlign w:val="center"/>
          </w:tcPr>
          <w:p w14:paraId="14911270">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087" w:type="dxa"/>
            <w:vMerge w:val="restart"/>
            <w:noWrap w:val="0"/>
            <w:vAlign w:val="center"/>
          </w:tcPr>
          <w:p w14:paraId="75E53AD2">
            <w:pPr>
              <w:keepNext w:val="0"/>
              <w:keepLines w:val="0"/>
              <w:widowControl/>
              <w:suppressLineNumbers w:val="0"/>
              <w:jc w:val="center"/>
              <w:textAlignment w:val="center"/>
              <w:rPr>
                <w:rFonts w:hint="eastAsia" w:ascii="宋体" w:hAnsi="宋体" w:cs="宋体"/>
                <w:b/>
                <w:bCs/>
                <w:i w:val="0"/>
                <w:iCs w:val="0"/>
                <w:color w:val="auto"/>
                <w:kern w:val="0"/>
                <w:sz w:val="21"/>
                <w:szCs w:val="21"/>
                <w:highlight w:val="none"/>
                <w:u w:val="single"/>
                <w:lang w:val="en-US" w:eastAsia="zh-CN" w:bidi="ar"/>
              </w:rPr>
            </w:pPr>
            <w:r>
              <w:rPr>
                <w:rFonts w:hint="eastAsia" w:ascii="宋体" w:hAnsi="宋体" w:eastAsia="宋体" w:cs="宋体"/>
                <w:b/>
                <w:bCs/>
                <w:color w:val="auto"/>
                <w:sz w:val="21"/>
                <w:szCs w:val="21"/>
                <w:highlight w:val="none"/>
                <w:u w:val="single"/>
              </w:rPr>
              <w:t>▲</w:t>
            </w:r>
            <w:r>
              <w:rPr>
                <w:rFonts w:hint="eastAsia" w:ascii="宋体" w:hAnsi="宋体" w:cs="宋体"/>
                <w:b/>
                <w:bCs/>
                <w:i w:val="0"/>
                <w:iCs w:val="0"/>
                <w:color w:val="auto"/>
                <w:kern w:val="0"/>
                <w:sz w:val="21"/>
                <w:szCs w:val="21"/>
                <w:highlight w:val="none"/>
                <w:u w:val="single"/>
                <w:lang w:val="en-US" w:eastAsia="zh-CN" w:bidi="ar"/>
              </w:rPr>
              <w:t>最高限价：</w:t>
            </w:r>
          </w:p>
          <w:p w14:paraId="6BEBC6E3">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single"/>
                <w:lang w:val="en-US" w:eastAsia="zh-CN" w:bidi="ar"/>
              </w:rPr>
              <w:t>10.5万元</w:t>
            </w:r>
          </w:p>
        </w:tc>
      </w:tr>
      <w:tr w14:paraId="40C2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top"/>
          </w:tcPr>
          <w:p w14:paraId="55AF1545">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786261E5">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34</w:t>
            </w:r>
          </w:p>
        </w:tc>
        <w:tc>
          <w:tcPr>
            <w:tcW w:w="2950" w:type="dxa"/>
            <w:noWrap w:val="0"/>
            <w:vAlign w:val="center"/>
          </w:tcPr>
          <w:p w14:paraId="36FADF61">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主机导播系统</w:t>
            </w:r>
            <w:r>
              <w:rPr>
                <w:rFonts w:hint="eastAsia" w:ascii="宋体" w:hAnsi="宋体" w:cs="宋体"/>
                <w:i w:val="0"/>
                <w:iCs w:val="0"/>
                <w:color w:val="auto"/>
                <w:kern w:val="0"/>
                <w:sz w:val="21"/>
                <w:szCs w:val="21"/>
                <w:highlight w:val="none"/>
                <w:u w:val="none"/>
                <w:lang w:val="en-US" w:eastAsia="zh-CN" w:bidi="ar"/>
              </w:rPr>
              <w:t>1</w:t>
            </w:r>
          </w:p>
        </w:tc>
        <w:tc>
          <w:tcPr>
            <w:tcW w:w="1481" w:type="dxa"/>
            <w:noWrap w:val="0"/>
            <w:vAlign w:val="center"/>
          </w:tcPr>
          <w:p w14:paraId="57A75FC8">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1463" w:type="dxa"/>
            <w:noWrap w:val="0"/>
            <w:vAlign w:val="center"/>
          </w:tcPr>
          <w:p w14:paraId="1D33341D">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2087" w:type="dxa"/>
            <w:vMerge w:val="continue"/>
            <w:noWrap w:val="0"/>
            <w:vAlign w:val="center"/>
          </w:tcPr>
          <w:p w14:paraId="3B77286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01A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top"/>
          </w:tcPr>
          <w:p w14:paraId="14AAE7B6">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2C680E6F">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35</w:t>
            </w:r>
          </w:p>
        </w:tc>
        <w:tc>
          <w:tcPr>
            <w:tcW w:w="2950" w:type="dxa"/>
            <w:noWrap w:val="0"/>
            <w:vAlign w:val="center"/>
          </w:tcPr>
          <w:p w14:paraId="1EBD7D51">
            <w:pPr>
              <w:keepNext w:val="0"/>
              <w:keepLines w:val="0"/>
              <w:widowControl/>
              <w:suppressLineNumbers w:val="0"/>
              <w:jc w:val="center"/>
              <w:textAlignment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主机互动系统</w:t>
            </w:r>
            <w:r>
              <w:rPr>
                <w:rFonts w:hint="eastAsia" w:ascii="宋体" w:hAnsi="宋体" w:cs="宋体"/>
                <w:i w:val="0"/>
                <w:iCs w:val="0"/>
                <w:color w:val="auto"/>
                <w:kern w:val="0"/>
                <w:sz w:val="21"/>
                <w:szCs w:val="21"/>
                <w:highlight w:val="none"/>
                <w:u w:val="none"/>
                <w:lang w:val="en-US" w:eastAsia="zh-CN" w:bidi="ar"/>
              </w:rPr>
              <w:t>2</w:t>
            </w:r>
          </w:p>
        </w:tc>
        <w:tc>
          <w:tcPr>
            <w:tcW w:w="1481" w:type="dxa"/>
            <w:noWrap w:val="0"/>
            <w:vAlign w:val="center"/>
          </w:tcPr>
          <w:p w14:paraId="03719CB0">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1463" w:type="dxa"/>
            <w:noWrap w:val="0"/>
            <w:vAlign w:val="center"/>
          </w:tcPr>
          <w:p w14:paraId="7EEAB94D">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2087" w:type="dxa"/>
            <w:vMerge w:val="continue"/>
            <w:noWrap w:val="0"/>
            <w:vAlign w:val="center"/>
          </w:tcPr>
          <w:p w14:paraId="07E3ECF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C2D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top"/>
          </w:tcPr>
          <w:p w14:paraId="400D4EB9">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1698FF49">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36</w:t>
            </w:r>
          </w:p>
        </w:tc>
        <w:tc>
          <w:tcPr>
            <w:tcW w:w="2950" w:type="dxa"/>
            <w:noWrap w:val="0"/>
            <w:vAlign w:val="center"/>
          </w:tcPr>
          <w:p w14:paraId="764ABA40">
            <w:pPr>
              <w:keepNext w:val="0"/>
              <w:keepLines w:val="0"/>
              <w:widowControl/>
              <w:suppressLineNumbers w:val="0"/>
              <w:jc w:val="center"/>
              <w:textAlignment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主机视频处理系统</w:t>
            </w:r>
            <w:r>
              <w:rPr>
                <w:rFonts w:hint="eastAsia" w:ascii="宋体" w:hAnsi="宋体" w:cs="宋体"/>
                <w:i w:val="0"/>
                <w:iCs w:val="0"/>
                <w:color w:val="auto"/>
                <w:kern w:val="0"/>
                <w:sz w:val="21"/>
                <w:szCs w:val="21"/>
                <w:highlight w:val="none"/>
                <w:u w:val="none"/>
                <w:lang w:val="en-US" w:eastAsia="zh-CN" w:bidi="ar"/>
              </w:rPr>
              <w:t>2</w:t>
            </w:r>
          </w:p>
        </w:tc>
        <w:tc>
          <w:tcPr>
            <w:tcW w:w="1481" w:type="dxa"/>
            <w:noWrap w:val="0"/>
            <w:vAlign w:val="center"/>
          </w:tcPr>
          <w:p w14:paraId="54AEB790">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1463" w:type="dxa"/>
            <w:noWrap w:val="0"/>
            <w:vAlign w:val="center"/>
          </w:tcPr>
          <w:p w14:paraId="74405635">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2087" w:type="dxa"/>
            <w:vMerge w:val="continue"/>
            <w:noWrap w:val="0"/>
            <w:vAlign w:val="center"/>
          </w:tcPr>
          <w:p w14:paraId="186CFE4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C65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top"/>
          </w:tcPr>
          <w:p w14:paraId="43738550">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644E3378">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37</w:t>
            </w:r>
          </w:p>
        </w:tc>
        <w:tc>
          <w:tcPr>
            <w:tcW w:w="2950" w:type="dxa"/>
            <w:noWrap w:val="0"/>
            <w:vAlign w:val="center"/>
          </w:tcPr>
          <w:p w14:paraId="0FEBBD46">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无线机械云台摄像机</w:t>
            </w:r>
          </w:p>
        </w:tc>
        <w:tc>
          <w:tcPr>
            <w:tcW w:w="1481" w:type="dxa"/>
            <w:noWrap w:val="0"/>
            <w:vAlign w:val="center"/>
          </w:tcPr>
          <w:p w14:paraId="614AA766">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台</w:t>
            </w:r>
          </w:p>
        </w:tc>
        <w:tc>
          <w:tcPr>
            <w:tcW w:w="1463" w:type="dxa"/>
            <w:noWrap w:val="0"/>
            <w:vAlign w:val="center"/>
          </w:tcPr>
          <w:p w14:paraId="7E769B36">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c>
          <w:tcPr>
            <w:tcW w:w="2087" w:type="dxa"/>
            <w:vMerge w:val="continue"/>
            <w:noWrap w:val="0"/>
            <w:vAlign w:val="center"/>
          </w:tcPr>
          <w:p w14:paraId="045DE96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D9E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top"/>
          </w:tcPr>
          <w:p w14:paraId="49AA29E0">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26B69C81">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38</w:t>
            </w:r>
          </w:p>
        </w:tc>
        <w:tc>
          <w:tcPr>
            <w:tcW w:w="2950" w:type="dxa"/>
            <w:noWrap w:val="0"/>
            <w:vAlign w:val="center"/>
          </w:tcPr>
          <w:p w14:paraId="16D8B7B5">
            <w:pPr>
              <w:keepNext w:val="0"/>
              <w:keepLines w:val="0"/>
              <w:widowControl/>
              <w:suppressLineNumbers w:val="0"/>
              <w:jc w:val="center"/>
              <w:textAlignment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云台摄像机图像处理系统</w:t>
            </w:r>
            <w:r>
              <w:rPr>
                <w:rFonts w:hint="eastAsia" w:ascii="宋体" w:hAnsi="宋体" w:cs="宋体"/>
                <w:i w:val="0"/>
                <w:iCs w:val="0"/>
                <w:color w:val="auto"/>
                <w:kern w:val="0"/>
                <w:sz w:val="21"/>
                <w:szCs w:val="21"/>
                <w:highlight w:val="none"/>
                <w:u w:val="none"/>
                <w:lang w:val="en-US" w:eastAsia="zh-CN" w:bidi="ar"/>
              </w:rPr>
              <w:t>2</w:t>
            </w:r>
          </w:p>
        </w:tc>
        <w:tc>
          <w:tcPr>
            <w:tcW w:w="1481" w:type="dxa"/>
            <w:noWrap w:val="0"/>
            <w:vAlign w:val="center"/>
          </w:tcPr>
          <w:p w14:paraId="066F0E78">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1463" w:type="dxa"/>
            <w:noWrap w:val="0"/>
            <w:vAlign w:val="center"/>
          </w:tcPr>
          <w:p w14:paraId="2CBC3B63">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c>
          <w:tcPr>
            <w:tcW w:w="2087" w:type="dxa"/>
            <w:vMerge w:val="continue"/>
            <w:noWrap w:val="0"/>
            <w:vAlign w:val="center"/>
          </w:tcPr>
          <w:p w14:paraId="7840952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371F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top"/>
          </w:tcPr>
          <w:p w14:paraId="73504C39">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49167640">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39</w:t>
            </w:r>
          </w:p>
        </w:tc>
        <w:tc>
          <w:tcPr>
            <w:tcW w:w="2950" w:type="dxa"/>
            <w:noWrap w:val="0"/>
            <w:vAlign w:val="center"/>
          </w:tcPr>
          <w:p w14:paraId="4D33FC98">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无线麦克风</w:t>
            </w:r>
            <w:r>
              <w:rPr>
                <w:rFonts w:hint="eastAsia" w:ascii="宋体" w:hAnsi="宋体" w:cs="宋体"/>
                <w:i w:val="0"/>
                <w:iCs w:val="0"/>
                <w:color w:val="auto"/>
                <w:kern w:val="0"/>
                <w:sz w:val="21"/>
                <w:szCs w:val="21"/>
                <w:highlight w:val="none"/>
                <w:u w:val="none"/>
                <w:lang w:val="en-US" w:eastAsia="zh-CN" w:bidi="ar"/>
              </w:rPr>
              <w:t>2</w:t>
            </w:r>
          </w:p>
        </w:tc>
        <w:tc>
          <w:tcPr>
            <w:tcW w:w="1481" w:type="dxa"/>
            <w:noWrap w:val="0"/>
            <w:vAlign w:val="center"/>
          </w:tcPr>
          <w:p w14:paraId="32CB3E4E">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1463" w:type="dxa"/>
            <w:noWrap w:val="0"/>
            <w:vAlign w:val="center"/>
          </w:tcPr>
          <w:p w14:paraId="74BF2696">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2087" w:type="dxa"/>
            <w:vMerge w:val="continue"/>
            <w:noWrap w:val="0"/>
            <w:vAlign w:val="center"/>
          </w:tcPr>
          <w:p w14:paraId="5130A68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608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top"/>
          </w:tcPr>
          <w:p w14:paraId="14975467">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5E7E494B">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40</w:t>
            </w:r>
          </w:p>
        </w:tc>
        <w:tc>
          <w:tcPr>
            <w:tcW w:w="2950" w:type="dxa"/>
            <w:noWrap w:val="0"/>
            <w:vAlign w:val="center"/>
          </w:tcPr>
          <w:p w14:paraId="66447C67">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麦克风音频处理系统</w:t>
            </w:r>
          </w:p>
        </w:tc>
        <w:tc>
          <w:tcPr>
            <w:tcW w:w="1481" w:type="dxa"/>
            <w:noWrap w:val="0"/>
            <w:vAlign w:val="center"/>
          </w:tcPr>
          <w:p w14:paraId="19AFF4DB">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1463" w:type="dxa"/>
            <w:noWrap w:val="0"/>
            <w:vAlign w:val="center"/>
          </w:tcPr>
          <w:p w14:paraId="2043F936">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2087" w:type="dxa"/>
            <w:vMerge w:val="continue"/>
            <w:noWrap w:val="0"/>
            <w:vAlign w:val="center"/>
          </w:tcPr>
          <w:p w14:paraId="68381A6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663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top"/>
          </w:tcPr>
          <w:p w14:paraId="1B1367F9">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4F07F9E8">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41</w:t>
            </w:r>
          </w:p>
        </w:tc>
        <w:tc>
          <w:tcPr>
            <w:tcW w:w="2950" w:type="dxa"/>
            <w:noWrap w:val="0"/>
            <w:vAlign w:val="center"/>
          </w:tcPr>
          <w:p w14:paraId="65F143D3">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移动录播箱</w:t>
            </w:r>
          </w:p>
        </w:tc>
        <w:tc>
          <w:tcPr>
            <w:tcW w:w="1481" w:type="dxa"/>
            <w:noWrap w:val="0"/>
            <w:vAlign w:val="center"/>
          </w:tcPr>
          <w:p w14:paraId="466CF2A3">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1463" w:type="dxa"/>
            <w:noWrap w:val="0"/>
            <w:vAlign w:val="center"/>
          </w:tcPr>
          <w:p w14:paraId="59F26286">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2087" w:type="dxa"/>
            <w:vMerge w:val="continue"/>
            <w:noWrap w:val="0"/>
            <w:vAlign w:val="center"/>
          </w:tcPr>
          <w:p w14:paraId="2989C9D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AA2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top"/>
          </w:tcPr>
          <w:p w14:paraId="0D0A6BC1">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69F58E37">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42</w:t>
            </w:r>
          </w:p>
        </w:tc>
        <w:tc>
          <w:tcPr>
            <w:tcW w:w="2950" w:type="dxa"/>
            <w:noWrap w:val="0"/>
            <w:vAlign w:val="center"/>
          </w:tcPr>
          <w:p w14:paraId="72DA8A6A">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摄像机三脚架</w:t>
            </w:r>
          </w:p>
        </w:tc>
        <w:tc>
          <w:tcPr>
            <w:tcW w:w="1481" w:type="dxa"/>
            <w:noWrap w:val="0"/>
            <w:vAlign w:val="center"/>
          </w:tcPr>
          <w:p w14:paraId="205B3D8F">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1463" w:type="dxa"/>
            <w:noWrap w:val="0"/>
            <w:vAlign w:val="center"/>
          </w:tcPr>
          <w:p w14:paraId="3EC44AF1">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c>
          <w:tcPr>
            <w:tcW w:w="2087" w:type="dxa"/>
            <w:vMerge w:val="continue"/>
            <w:noWrap w:val="0"/>
            <w:vAlign w:val="center"/>
          </w:tcPr>
          <w:p w14:paraId="5737B35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680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top"/>
          </w:tcPr>
          <w:p w14:paraId="1FEF411E">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3BE6B843">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43</w:t>
            </w:r>
          </w:p>
        </w:tc>
        <w:tc>
          <w:tcPr>
            <w:tcW w:w="2950" w:type="dxa"/>
            <w:noWrap w:val="0"/>
            <w:vAlign w:val="center"/>
          </w:tcPr>
          <w:p w14:paraId="0F678B12">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录播资源管理平台</w:t>
            </w:r>
          </w:p>
        </w:tc>
        <w:tc>
          <w:tcPr>
            <w:tcW w:w="1481" w:type="dxa"/>
            <w:noWrap w:val="0"/>
            <w:vAlign w:val="center"/>
          </w:tcPr>
          <w:p w14:paraId="596D84C0">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1463" w:type="dxa"/>
            <w:noWrap w:val="0"/>
            <w:vAlign w:val="center"/>
          </w:tcPr>
          <w:p w14:paraId="40C80512">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2087" w:type="dxa"/>
            <w:vMerge w:val="continue"/>
            <w:noWrap w:val="0"/>
            <w:vAlign w:val="center"/>
          </w:tcPr>
          <w:p w14:paraId="1D5E52F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352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top"/>
          </w:tcPr>
          <w:p w14:paraId="60A9800C">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0F26F6F6">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44</w:t>
            </w:r>
          </w:p>
        </w:tc>
        <w:tc>
          <w:tcPr>
            <w:tcW w:w="2950" w:type="dxa"/>
            <w:noWrap w:val="0"/>
            <w:vAlign w:val="center"/>
          </w:tcPr>
          <w:p w14:paraId="5381B837">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降噪麦克风</w:t>
            </w:r>
          </w:p>
        </w:tc>
        <w:tc>
          <w:tcPr>
            <w:tcW w:w="1481" w:type="dxa"/>
            <w:noWrap w:val="0"/>
            <w:vAlign w:val="top"/>
          </w:tcPr>
          <w:p w14:paraId="27E4CEC6">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套</w:t>
            </w:r>
          </w:p>
        </w:tc>
        <w:tc>
          <w:tcPr>
            <w:tcW w:w="1463" w:type="dxa"/>
            <w:noWrap w:val="0"/>
            <w:vAlign w:val="center"/>
          </w:tcPr>
          <w:p w14:paraId="4FDA0EA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087" w:type="dxa"/>
            <w:vMerge w:val="continue"/>
            <w:noWrap w:val="0"/>
            <w:vAlign w:val="center"/>
          </w:tcPr>
          <w:p w14:paraId="097CE53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A38E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top"/>
          </w:tcPr>
          <w:p w14:paraId="242AAD05">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1887CFFC">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45</w:t>
            </w:r>
          </w:p>
        </w:tc>
        <w:tc>
          <w:tcPr>
            <w:tcW w:w="2950" w:type="dxa"/>
            <w:noWrap w:val="0"/>
            <w:vAlign w:val="center"/>
          </w:tcPr>
          <w:p w14:paraId="4EE6386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有线麦克风音频处理系统</w:t>
            </w:r>
          </w:p>
        </w:tc>
        <w:tc>
          <w:tcPr>
            <w:tcW w:w="1481" w:type="dxa"/>
            <w:noWrap w:val="0"/>
            <w:vAlign w:val="top"/>
          </w:tcPr>
          <w:p w14:paraId="01ABA2FB">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套</w:t>
            </w:r>
          </w:p>
        </w:tc>
        <w:tc>
          <w:tcPr>
            <w:tcW w:w="1463" w:type="dxa"/>
            <w:noWrap w:val="0"/>
            <w:vAlign w:val="center"/>
          </w:tcPr>
          <w:p w14:paraId="0CDD520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087" w:type="dxa"/>
            <w:vMerge w:val="continue"/>
            <w:noWrap w:val="0"/>
            <w:vAlign w:val="center"/>
          </w:tcPr>
          <w:p w14:paraId="46B2C9A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49B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Merge w:val="continue"/>
            <w:noWrap w:val="0"/>
            <w:vAlign w:val="top"/>
          </w:tcPr>
          <w:p w14:paraId="6474343B">
            <w:pPr>
              <w:jc w:val="center"/>
              <w:rPr>
                <w:rFonts w:hint="eastAsia" w:ascii="宋体" w:hAnsi="宋体" w:cs="宋体"/>
                <w:b w:val="0"/>
                <w:bCs w:val="0"/>
                <w:color w:val="auto"/>
                <w:kern w:val="0"/>
                <w:sz w:val="21"/>
                <w:szCs w:val="21"/>
                <w:highlight w:val="none"/>
                <w:lang w:val="en-US" w:eastAsia="zh-CN"/>
              </w:rPr>
            </w:pPr>
          </w:p>
        </w:tc>
        <w:tc>
          <w:tcPr>
            <w:tcW w:w="756" w:type="dxa"/>
            <w:noWrap w:val="0"/>
            <w:vAlign w:val="top"/>
          </w:tcPr>
          <w:p w14:paraId="3D7A08E0">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46</w:t>
            </w:r>
          </w:p>
        </w:tc>
        <w:tc>
          <w:tcPr>
            <w:tcW w:w="2950" w:type="dxa"/>
            <w:noWrap w:val="0"/>
            <w:vAlign w:val="center"/>
          </w:tcPr>
          <w:p w14:paraId="3D63205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4G路由器</w:t>
            </w:r>
          </w:p>
        </w:tc>
        <w:tc>
          <w:tcPr>
            <w:tcW w:w="1481" w:type="dxa"/>
            <w:noWrap w:val="0"/>
            <w:vAlign w:val="top"/>
          </w:tcPr>
          <w:p w14:paraId="43000319">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台</w:t>
            </w:r>
          </w:p>
        </w:tc>
        <w:tc>
          <w:tcPr>
            <w:tcW w:w="1463" w:type="dxa"/>
            <w:noWrap w:val="0"/>
            <w:vAlign w:val="center"/>
          </w:tcPr>
          <w:p w14:paraId="64A6A6E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087" w:type="dxa"/>
            <w:vMerge w:val="continue"/>
            <w:noWrap w:val="0"/>
            <w:vAlign w:val="center"/>
          </w:tcPr>
          <w:p w14:paraId="0EEC4A8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5CE2490D">
      <w:pPr>
        <w:pageBreakBefore w:val="0"/>
        <w:widowControl w:val="0"/>
        <w:numPr>
          <w:ilvl w:val="0"/>
          <w:numId w:val="0"/>
        </w:numPr>
        <w:kinsoku/>
        <w:wordWrap/>
        <w:overflowPunct/>
        <w:topLinePunct w:val="0"/>
        <w:autoSpaceDE/>
        <w:bidi w:val="0"/>
        <w:spacing w:line="360" w:lineRule="auto"/>
        <w:ind w:firstLine="422" w:firstLineChars="200"/>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若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w:t>
      </w:r>
      <w:r>
        <w:rPr>
          <w:rFonts w:hint="eastAsia" w:ascii="宋体" w:hAnsi="宋体" w:eastAsia="宋体" w:cs="宋体"/>
          <w:b/>
          <w:bCs/>
          <w:color w:val="auto"/>
          <w:sz w:val="21"/>
          <w:szCs w:val="21"/>
          <w:highlight w:val="none"/>
          <w:lang w:val="zh-CN"/>
        </w:rPr>
        <w:t>评审得分相同的，由评标委员会集体推荐一个投标人作为中标候选人，其他同品牌投标人不作为中标候选人。</w:t>
      </w:r>
    </w:p>
    <w:p w14:paraId="2E6E6FEF">
      <w:pPr>
        <w:pageBreakBefore w:val="0"/>
        <w:widowControl w:val="0"/>
        <w:numPr>
          <w:ilvl w:val="0"/>
          <w:numId w:val="0"/>
        </w:numPr>
        <w:kinsoku/>
        <w:wordWrap/>
        <w:overflowPunct/>
        <w:topLinePunct w:val="0"/>
        <w:autoSpaceDE/>
        <w:bidi w:val="0"/>
        <w:spacing w:line="360" w:lineRule="auto"/>
        <w:ind w:firstLine="422" w:firstLineChars="200"/>
        <w:textAlignment w:val="auto"/>
        <w:outlineLvl w:val="9"/>
        <w:rPr>
          <w:rFonts w:hint="eastAsia" w:ascii="宋体" w:hAnsi="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三、</w:t>
      </w:r>
      <w:r>
        <w:rPr>
          <w:rFonts w:hint="eastAsia" w:ascii="宋体" w:hAnsi="宋体" w:cs="宋体"/>
          <w:b/>
          <w:bCs/>
          <w:color w:val="auto"/>
          <w:sz w:val="21"/>
          <w:szCs w:val="21"/>
          <w:highlight w:val="none"/>
          <w:lang w:val="en-US" w:eastAsia="zh-CN"/>
        </w:rPr>
        <w:t>技术指标参数</w:t>
      </w:r>
    </w:p>
    <w:tbl>
      <w:tblPr>
        <w:tblStyle w:val="20"/>
        <w:tblW w:w="5651" w:type="pct"/>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1197"/>
        <w:gridCol w:w="7570"/>
      </w:tblGrid>
      <w:tr w14:paraId="1F90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tcBorders>
              <w:top w:val="single" w:color="auto" w:sz="4" w:space="0"/>
              <w:left w:val="single" w:color="auto" w:sz="4" w:space="0"/>
              <w:bottom w:val="single" w:color="auto" w:sz="4" w:space="0"/>
              <w:right w:val="single" w:color="auto" w:sz="4" w:space="0"/>
            </w:tcBorders>
            <w:noWrap w:val="0"/>
            <w:vAlign w:val="center"/>
          </w:tcPr>
          <w:p w14:paraId="6CE3EC18">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3C63DB85">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货物名称</w:t>
            </w:r>
          </w:p>
        </w:tc>
        <w:tc>
          <w:tcPr>
            <w:tcW w:w="3929" w:type="pct"/>
            <w:tcBorders>
              <w:top w:val="single" w:color="auto" w:sz="4" w:space="0"/>
              <w:left w:val="single" w:color="auto" w:sz="4" w:space="0"/>
              <w:bottom w:val="single" w:color="auto" w:sz="4" w:space="0"/>
              <w:right w:val="single" w:color="auto" w:sz="4" w:space="0"/>
            </w:tcBorders>
            <w:noWrap w:val="0"/>
            <w:vAlign w:val="center"/>
          </w:tcPr>
          <w:p w14:paraId="34C28B03">
            <w:pPr>
              <w:pStyle w:val="55"/>
              <w:jc w:val="center"/>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技术要求</w:t>
            </w:r>
          </w:p>
        </w:tc>
      </w:tr>
      <w:tr w14:paraId="42D4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14:paraId="57F72C9E">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21919984">
            <w:pPr>
              <w:keepNext w:val="0"/>
              <w:keepLines w:val="0"/>
              <w:widowControl/>
              <w:suppressLineNumbers w:val="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互动录播主机</w:t>
            </w:r>
          </w:p>
        </w:tc>
        <w:tc>
          <w:tcPr>
            <w:tcW w:w="3929" w:type="pct"/>
            <w:tcBorders>
              <w:top w:val="single" w:color="auto" w:sz="4" w:space="0"/>
              <w:left w:val="single" w:color="auto" w:sz="4" w:space="0"/>
              <w:bottom w:val="single" w:color="auto" w:sz="4" w:space="0"/>
              <w:right w:val="single" w:color="auto" w:sz="4" w:space="0"/>
            </w:tcBorders>
            <w:noWrap w:val="0"/>
            <w:vAlign w:val="top"/>
          </w:tcPr>
          <w:p w14:paraId="062A7208">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1.★主机需采用≥3颗ARM架构处理器，主处理器采用≥</w:t>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核架构。（提供国家认可的具备CMA及CNAS认证的检测机构所出具的权威检测报告复印件）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2.主机存储容量不低于1TB。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3.★主机无风扇设计，主机噪声小于20dB（A）。（提供国家认可的具备CMA及CNAS认证的检测机构所出具的权威检测报告复印件）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标准USB音视频信号输出，通过主机Type-C接口可以实现图像和声音同步输出，最大支持4K图像输出，输出音频可通过主机控制软件实现混音，兼容主流视频会议软件。（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5.主机采用高度集成化设计，能够独立完成视频采集、音频采集、音频编码、视频编码、音频处理、视频处理、直播、录制、互动、专业导播、远程运维参数设置功能。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内置音频接收模块。无需外接无线音频接收模块，即可完成无线音频采集，支持同时≥2个无线麦克风接入，且同时支持≥2种对频模式。麦克风链接成功后，主机会显示无线麦克风连接成功图标，可通过麦表动态查看声音采集状态。（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断电扩声，在主机完全断电的情况下，从主机音频通道上输入的音频可以从主机输出通道输出，且≥2个音频通道可以支持该功能。（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8.视频接口：≥1个HDMIin，≥2个网络摄像机POE接口，≥2路HDMIout，≥1路UVC。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9.音频接口：≥2个线路立体声音输入，≥2个线路立体声音频输出。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10.主机采用多功能电源按键，通过一个按键可以实现开机、关机、节能待机。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11.支持H.264视频编码与解码，可扩展支持H.265编码/解码。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12.支持录制清晰度设定，最高支持4K并向下兼容；支持录制帧率设定，可选择25fps/30fps/60fps；录制编码码率≥16Mbps；支持≥32路1080p@30fps编/解码。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13.支持≥2种录制视频自动分段模式：支持按照文件大小分段，可选择500MB，1GB，2GB进行分段录制；支持按照录制时长分段，可选择30分钟、60分钟。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网络监测功能，无需安装第三方软件，在触控屏幕上显示教室网络状态，包括：服务联通性、网络稳定性、上下行速度、网络追踪性、网卡信息。（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15.主机网口支持10/100/1000Mbps自适应，支持IPV4，IPV6。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16.★支持通过互联网，实现对设备的远程配置，支持关机、重启、参数配置操作。支持通过IOT物联平台实现主机的远程升级。（提供国家认可的具备CMA及CNAS认证的检测机构所出具的权威检测报告复印件）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17.支持上电自启动，设备通电后系统可自动启动，可设置开启或关闭上电自启动功能，支持自动开关机，可设置定时开关机时间。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18.音频编码码率支持320Kbps并向下兼容，支持128Kbps、48Kbps可选。采样率支持48kHz。音频信号处理延时≤20ms。频率响应20Hz~20kHz。（提供国家认可的具备CMA及CNAS认证的检测机构所出具的权威检测报告复印件）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19.★主机采用≥15英寸电容触控屏幕，屏幕色域≥72%NTSC，表面硬度≥7H，屏幕分辨率≥1920*1080。（提供国家认可的具备CMA及CNAS认证的检测机构所出具的权威检测报告复印件）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20.为保证设备稳定运行，要求设备平均无故障运行时间（MTBF）≥220000小时。（提供国家认可的具备CMA及CNAS认证的检测机构所出具的权威检测报告复印件）</w:t>
            </w:r>
          </w:p>
        </w:tc>
      </w:tr>
      <w:tr w14:paraId="4EF9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14:paraId="48017727">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374D8722">
            <w:pPr>
              <w:keepNext w:val="0"/>
              <w:keepLines w:val="0"/>
              <w:widowControl/>
              <w:suppressLineNumbers w:val="0"/>
              <w:jc w:val="center"/>
              <w:textAlignment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主机导播系统</w:t>
            </w:r>
            <w:r>
              <w:rPr>
                <w:rFonts w:hint="eastAsia" w:ascii="宋体" w:hAnsi="宋体" w:cs="宋体"/>
                <w:i w:val="0"/>
                <w:iCs w:val="0"/>
                <w:color w:val="auto"/>
                <w:kern w:val="0"/>
                <w:sz w:val="21"/>
                <w:szCs w:val="21"/>
                <w:highlight w:val="none"/>
                <w:u w:val="none"/>
                <w:lang w:val="en-US" w:eastAsia="zh-CN" w:bidi="ar"/>
              </w:rPr>
              <w:t>1</w:t>
            </w:r>
          </w:p>
        </w:tc>
        <w:tc>
          <w:tcPr>
            <w:tcW w:w="3929" w:type="pct"/>
            <w:tcBorders>
              <w:top w:val="single" w:color="auto" w:sz="4" w:space="0"/>
              <w:left w:val="single" w:color="auto" w:sz="4" w:space="0"/>
              <w:bottom w:val="single" w:color="auto" w:sz="4" w:space="0"/>
              <w:right w:val="single" w:color="auto" w:sz="4" w:space="0"/>
            </w:tcBorders>
            <w:noWrap w:val="0"/>
            <w:vAlign w:val="top"/>
          </w:tcPr>
          <w:p w14:paraId="17453E9D">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1.支持选择自动导播画面，可设置自动导播画面的保护时间和保持时间。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2.支持多种画面模式，支持单画面、画中画、左右等分、三画面、四画面多种画面合成模式，支持自动导播、手动导播，可通过互动录播主机一体化触控屏实现模式选择。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3.支持课件画面自动检测，可设置检测灵敏度；支持课件画面检测区域设定，可屏蔽</w:t>
            </w:r>
            <w:r>
              <w:rPr>
                <w:rFonts w:hint="eastAsia" w:ascii="宋体" w:hAnsi="宋体" w:cs="宋体"/>
                <w:i w:val="0"/>
                <w:iCs w:val="0"/>
                <w:color w:val="auto"/>
                <w:kern w:val="0"/>
                <w:sz w:val="21"/>
                <w:szCs w:val="21"/>
                <w:highlight w:val="none"/>
                <w:u w:val="none"/>
                <w:lang w:val="en-US" w:eastAsia="zh-CN" w:bidi="ar"/>
              </w:rPr>
              <w:t>屏幕</w:t>
            </w:r>
            <w:r>
              <w:rPr>
                <w:rFonts w:hint="eastAsia" w:ascii="宋体" w:hAnsi="宋体" w:eastAsia="宋体" w:cs="宋体"/>
                <w:i w:val="0"/>
                <w:iCs w:val="0"/>
                <w:color w:val="auto"/>
                <w:kern w:val="0"/>
                <w:sz w:val="21"/>
                <w:szCs w:val="21"/>
                <w:highlight w:val="none"/>
                <w:u w:val="none"/>
                <w:lang w:val="en-US" w:eastAsia="zh-CN" w:bidi="ar"/>
              </w:rPr>
              <w:t>弹窗区域。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4.支持云台摄像机控制，支持PTZ，多个预置位设置和调用。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5.在导播界面的预览窗口可实时观看教师全景/特写、学生全景/特写、多媒体</w:t>
            </w:r>
            <w:r>
              <w:rPr>
                <w:rFonts w:hint="eastAsia" w:ascii="宋体" w:hAnsi="宋体" w:cs="宋体"/>
                <w:i w:val="0"/>
                <w:iCs w:val="0"/>
                <w:color w:val="auto"/>
                <w:kern w:val="0"/>
                <w:sz w:val="21"/>
                <w:szCs w:val="21"/>
                <w:highlight w:val="none"/>
                <w:u w:val="none"/>
                <w:lang w:val="en-US" w:eastAsia="zh-CN" w:bidi="ar"/>
              </w:rPr>
              <w:t>屏幕</w:t>
            </w:r>
            <w:r>
              <w:rPr>
                <w:rFonts w:hint="eastAsia" w:ascii="宋体" w:hAnsi="宋体" w:eastAsia="宋体" w:cs="宋体"/>
                <w:i w:val="0"/>
                <w:iCs w:val="0"/>
                <w:color w:val="auto"/>
                <w:kern w:val="0"/>
                <w:sz w:val="21"/>
                <w:szCs w:val="21"/>
                <w:highlight w:val="none"/>
                <w:u w:val="none"/>
                <w:lang w:val="en-US" w:eastAsia="zh-CN" w:bidi="ar"/>
              </w:rPr>
              <w:t>、板书画面共6路画面，点击可进行画面切换。预监画面可实时推流给资源平台，实现平台直播。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6.支持电影模式和资源模式同步录制，可根据用户的不同需求选择录制模式。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7.支持外接导播台，可通过导播台实现对录播主机的录制控制、画面切换、云台跟踪、预置位设定与调取、音量调节。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通过U盘导入视频、图片作为片头片尾素材，不少于3种格式；支持单个视频文件≤200MB，单个图片文件≤20MB，可保存≤10个素材；支持设定片头片尾保持时间。（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多种格式的字幕，可输入中文、英文、数字、特殊符号，数量≤200个字符；支持调节文字大小、文字透明度；支持≤5种文字颜色设置；支持滚动字幕。（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10.★支持通过主机一体化屏幕实现云台摄像机控制，无需按照方位，可任意转动云台方向，实现步进控制、连续控制。（提供国家认可的具备CMA及CNAS认证的检测机构所出具的权威检测报告复印件）</w:t>
            </w:r>
          </w:p>
        </w:tc>
      </w:tr>
      <w:tr w14:paraId="1EF8F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14:paraId="21F7FAE2">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3</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2B00716A">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主机互动系统</w:t>
            </w:r>
            <w:r>
              <w:rPr>
                <w:rFonts w:hint="eastAsia" w:ascii="宋体" w:hAnsi="宋体" w:cs="宋体"/>
                <w:i w:val="0"/>
                <w:iCs w:val="0"/>
                <w:color w:val="auto"/>
                <w:kern w:val="0"/>
                <w:sz w:val="21"/>
                <w:szCs w:val="21"/>
                <w:highlight w:val="none"/>
                <w:u w:val="none"/>
                <w:lang w:val="en-US" w:eastAsia="zh-CN" w:bidi="ar"/>
              </w:rPr>
              <w:t>1</w:t>
            </w:r>
          </w:p>
        </w:tc>
        <w:tc>
          <w:tcPr>
            <w:tcW w:w="3929" w:type="pct"/>
            <w:tcBorders>
              <w:top w:val="single" w:color="auto" w:sz="4" w:space="0"/>
              <w:left w:val="single" w:color="auto" w:sz="4" w:space="0"/>
              <w:bottom w:val="single" w:color="auto" w:sz="4" w:space="0"/>
              <w:right w:val="single" w:color="auto" w:sz="4" w:space="0"/>
            </w:tcBorders>
            <w:noWrap w:val="0"/>
            <w:vAlign w:val="top"/>
          </w:tcPr>
          <w:p w14:paraId="1893FB8A">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1.支持标准SIP音视频互动协议，支持1080P@60fps视频互动。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2.支持互动清晰度设置：最高支持1080p@60fps并向下兼容，帧率可选择60fps、30fps、25fps。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3.支持双流自动发送，设置自动发送后，建立呼叫，主讲教室自动发送双流。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4.支持课程预约功能，互动录播主机能接收平台下发的互动课表，并显示于互动</w:t>
            </w:r>
            <w:r>
              <w:rPr>
                <w:rFonts w:hint="eastAsia" w:ascii="宋体" w:hAnsi="宋体" w:cs="宋体"/>
                <w:i w:val="0"/>
                <w:iCs w:val="0"/>
                <w:color w:val="auto"/>
                <w:kern w:val="0"/>
                <w:sz w:val="21"/>
                <w:szCs w:val="21"/>
                <w:highlight w:val="none"/>
                <w:u w:val="none"/>
                <w:lang w:val="en-US" w:eastAsia="zh-CN" w:bidi="ar"/>
              </w:rPr>
              <w:t>录播</w:t>
            </w:r>
            <w:r>
              <w:rPr>
                <w:rFonts w:hint="eastAsia" w:ascii="宋体" w:hAnsi="宋体" w:eastAsia="宋体" w:cs="宋体"/>
                <w:i w:val="0"/>
                <w:iCs w:val="0"/>
                <w:color w:val="auto"/>
                <w:kern w:val="0"/>
                <w:sz w:val="21"/>
                <w:szCs w:val="21"/>
                <w:highlight w:val="none"/>
                <w:u w:val="none"/>
                <w:lang w:val="en-US" w:eastAsia="zh-CN" w:bidi="ar"/>
              </w:rPr>
              <w:t>主机一体化触控屏上，用户点击课表即可立即加入课堂，进行实时互动。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5.支持微信扫码登录，无需单独输入账号，使用微信扫描互动录播主机一体化触控屏上显示的二维码即可登录互动系统。（提供国家认可的具备CMA及CNAS认证的检测机构所出具的权威检测报告复印件）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互动过程中可随时邀请新的听课端加入，支持拨号呼叫，用户可通过互动录播主机一体化触控屏上的拨号键盘实现拨号呼叫；支持互动通讯录功能，通讯录可显示最近呼叫的账号信息，可通过通讯录实现一键呼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7.支持一键结束互动，用户通过互动录播主机一体化触控屏一键结束互动。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8.支持通过互动录播主机一体化触控屏实现导播控制，过程中可选择自动导播/手动导播；支持通过PC客户端软件进行远程导播控制。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9.PC客户端软件支持进行互动听课端列表查看、发言管理功能。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无需通过任何第三方软件即可进行网络监测，并在互动录播主机一体化触控屏上显示教室网络状态；实现对网络联通性、网络稳定性、上行速度、下行速度、网络追踪性、网卡信息实时检测；在一段时间内，支持以折线图方式实时呈现网络稳定性、上行速度和下行速度。（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11.支持课堂互动功能，授课过程中老师可通过在互动录播主机一体化触控屏上单击听课教室画面切换听课教室为主画面，并与该教室实时连麦对讲，实现异地互动。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12.互动过程中，可以在互动录播主机一体化触控屏调出累计视频卡顿次数、累计音频卡顿次数和当前视频参数。（提供国家认可的具备CMA及CNAS认证的检测机构所出具的权威检测报告复印件）</w:t>
            </w:r>
          </w:p>
        </w:tc>
      </w:tr>
      <w:tr w14:paraId="0AE4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14:paraId="3AA2E58E">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4</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736B2BFD">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主机视频处理系统</w:t>
            </w:r>
            <w:r>
              <w:rPr>
                <w:rFonts w:hint="eastAsia" w:ascii="宋体" w:hAnsi="宋体" w:cs="宋体"/>
                <w:i w:val="0"/>
                <w:iCs w:val="0"/>
                <w:color w:val="auto"/>
                <w:kern w:val="0"/>
                <w:sz w:val="21"/>
                <w:szCs w:val="21"/>
                <w:highlight w:val="none"/>
                <w:u w:val="none"/>
                <w:lang w:val="en-US" w:eastAsia="zh-CN" w:bidi="ar"/>
              </w:rPr>
              <w:t>1</w:t>
            </w:r>
          </w:p>
        </w:tc>
        <w:tc>
          <w:tcPr>
            <w:tcW w:w="3929" w:type="pct"/>
            <w:tcBorders>
              <w:top w:val="single" w:color="auto" w:sz="4" w:space="0"/>
              <w:left w:val="single" w:color="auto" w:sz="4" w:space="0"/>
              <w:bottom w:val="single" w:color="auto" w:sz="4" w:space="0"/>
              <w:right w:val="single" w:color="auto" w:sz="4" w:space="0"/>
            </w:tcBorders>
            <w:noWrap w:val="0"/>
            <w:vAlign w:val="top"/>
          </w:tcPr>
          <w:p w14:paraId="77BC03FC">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1.支持合成4K的PGM画面，包含导播画面、教师全景画面、教师特写画面、学生全景画面、学生特写画面、板书画面。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2.支持多种类型视频信号接入，支持标准网络视频信号接入、高速数字信号接入。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3.支持通过rtsp协议接入第三方摄像机视频流。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4.支持不少于3种编码复杂度，支持BaselineProfile、Mainprofile、Highprofile</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5.支持不少于两种码率控制方式，支持CBR、VBR。</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6.主机可通过网络实现对接入摄像机的设备信息检索。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7.支持POE摄像机接入。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8.HDMI采集通道支持画面缩放，可完成4K图像采集。</w:t>
            </w:r>
          </w:p>
        </w:tc>
      </w:tr>
      <w:tr w14:paraId="3F6F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14:paraId="2610B65A">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5</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34A43F77">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远程互动课堂软件</w:t>
            </w:r>
          </w:p>
        </w:tc>
        <w:tc>
          <w:tcPr>
            <w:tcW w:w="3929" w:type="pct"/>
            <w:tcBorders>
              <w:top w:val="single" w:color="auto" w:sz="4" w:space="0"/>
              <w:left w:val="single" w:color="auto" w:sz="4" w:space="0"/>
              <w:bottom w:val="single" w:color="auto" w:sz="4" w:space="0"/>
              <w:right w:val="single" w:color="auto" w:sz="4" w:space="0"/>
            </w:tcBorders>
            <w:noWrap w:val="0"/>
            <w:vAlign w:val="top"/>
          </w:tcPr>
          <w:p w14:paraId="110BC174">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w:t>
            </w:r>
            <w:r>
              <w:rPr>
                <w:rFonts w:hint="eastAsia" w:ascii="宋体" w:hAnsi="宋体" w:cs="宋体"/>
                <w:i w:val="0"/>
                <w:iCs w:val="0"/>
                <w:color w:val="auto"/>
                <w:kern w:val="0"/>
                <w:sz w:val="21"/>
                <w:szCs w:val="21"/>
                <w:highlight w:val="none"/>
                <w:u w:val="none"/>
                <w:lang w:val="en-US" w:eastAsia="zh-CN" w:bidi="ar"/>
              </w:rPr>
              <w:t>主机</w:t>
            </w:r>
            <w:r>
              <w:rPr>
                <w:rFonts w:hint="eastAsia" w:ascii="宋体" w:hAnsi="宋体" w:eastAsia="宋体" w:cs="宋体"/>
                <w:i w:val="0"/>
                <w:iCs w:val="0"/>
                <w:color w:val="auto"/>
                <w:kern w:val="0"/>
                <w:sz w:val="21"/>
                <w:szCs w:val="21"/>
                <w:highlight w:val="none"/>
                <w:u w:val="none"/>
                <w:lang w:val="en-US" w:eastAsia="zh-CN" w:bidi="ar"/>
              </w:rPr>
              <w:t>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1.支持微信扫码登录，无需输入帐号密码即可实现登录，用户可便捷、快速进入课堂。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2.支持显示预约的活动信息，包括直播活动、互动课堂、网络教研的活动类型、活动名称、活动时间、活动状态及对应授课老师。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3.支持搭配录播主机，进入录制视频、直播活动、互动课堂、网络教研活动。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4.支持修改自动导播设置，可设置参与自动导播的画面。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5.支持用户通过直播链接，观看已结束的直播活动视频，视频在云端保存七天，并支持下载MP4格式到本地。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6.支持直接创建网络教研，即时生成教研二维码，扫码可进行查看教研简介、发送点评等。无需通过平台进行提前预约。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7.支持授课过程中老师任意放大某一端的画面，该将该听课端画面进行全屏显示。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可查看参与互动的教室网络连接情况，了解彼此的设备网络环境，房间内所有成员都能查看到每个上台成员的网络情况，支持由低到高至少4档位的信号展示。（需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美颜功能，美化课堂人物效果。对本地摄像头画面进行美颜处理，并显示对应的实时画面，方便教师查看美颜效果；支持对比控制，显示无美颜和美颜后的画面效果；支持一键美颜，通过滚动条快速调节美颜深度；至少支持自定义8个美颜项目（美白、磨皮、瘦脸、大眼、祛眼袋、祛法令纹、清晰、亮度）。（需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无绿幕虚拟抠像功能，方便教师更换画面背景，突出人物；对本地摄像头画面进行虚拟背景处理，并显示对应的实时画面，方便教师查看虚拟背景效果；支持对比控制，显示无虚拟背景和虚拟背景后的画面效果；支持背景虚化和更换背景；提供不少于3个默认背景图；支持添加本地图片设置为背景图。（需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11.★在互动课堂与网络教研时，支持不少于3种角色实时切换。主持人可将课中任一成员设置为授课老师、学生。（需提供国家认可的具备CMA及CNAS认证的检测机构所出具的权威检测报告复印件）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生成拍照上传二维码，使用手机微信扫码后，可直接拍照或选择手机相册的照片，实时上传至授课端，听课端同步显示照片内容。支持授权授课老师与听课成员的对照片进行拖动、放大、批注操作。（需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画板同步：授课过程中支持用户调起画板工具，提供不少于4种书写工具和14种基础颜色；提供调色板功能，可选择任意基础颜色进行混合产生新的颜色；画板工具中所有功能均可在授课老师以及各听课成员端同步操作，且可同时独立调色。（需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14.授课过程中支持用户调起乐器工具，提供虚拟键盘，不少于36个琴键，授课老师弹奏的内容可同步到所有听课成员；听课成员也可弹奏并反向同步给所有授课老师及其他听课成员。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互动课堂中可对本地班级、听课班级中表现好的班级发送点评奖励，每堂课可统计各班点评总分，并在课上一键展示最高得分的班级进行表扬。（需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提供不少于5个通用工具，8个学科工具，支持语文、数学、英语、美术、地理等学科使用，并支持授课老师与听课成员多方交互触控。（需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17.★支持用户在云课件中进行远程同步课堂活动，异地教室的学生可同时在大屏上参与活动，实现2个教室的学生同台参与知识趣味活动，双方可相互看到对方操作。支持至少6种类型、70个模板的课堂活动。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二、【移动端】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1.为保证APP安全性，需通过官方应用商城进行下载并安装。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2.APP支持用户修改个人头像、昵称及学科学段。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3.★APP支持通过手机号或房间号加入互动课堂以及网络教研。（提供对应功能截图并加盖</w:t>
            </w:r>
            <w:r>
              <w:rPr>
                <w:rFonts w:hint="eastAsia" w:ascii="宋体" w:hAnsi="宋体" w:cs="宋体"/>
                <w:i w:val="0"/>
                <w:iCs w:val="0"/>
                <w:color w:val="auto"/>
                <w:kern w:val="0"/>
                <w:sz w:val="21"/>
                <w:szCs w:val="21"/>
                <w:highlight w:val="none"/>
                <w:u w:val="none"/>
                <w:lang w:val="en-US" w:eastAsia="zh-CN" w:bidi="ar"/>
              </w:rPr>
              <w:t>投标人</w:t>
            </w:r>
            <w:r>
              <w:rPr>
                <w:rFonts w:hint="eastAsia" w:ascii="宋体" w:hAnsi="宋体" w:eastAsia="宋体" w:cs="宋体"/>
                <w:i w:val="0"/>
                <w:iCs w:val="0"/>
                <w:color w:val="auto"/>
                <w:kern w:val="0"/>
                <w:sz w:val="21"/>
                <w:szCs w:val="21"/>
                <w:highlight w:val="none"/>
                <w:u w:val="none"/>
                <w:lang w:val="en-US" w:eastAsia="zh-CN" w:bidi="ar"/>
              </w:rPr>
              <w:t>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APP支持创建“互动课堂”活动。创建过程中，可填写活动名称、学科、时间、授课教师、班级等基础信息。同时支持扩展更多设置，选择活动对应教室，设计活动封面，添加图文介绍，设置签到方式以及参与人权限。（提供对应功能截图并加盖</w:t>
            </w:r>
            <w:r>
              <w:rPr>
                <w:rFonts w:hint="eastAsia" w:ascii="宋体" w:hAnsi="宋体" w:cs="宋体"/>
                <w:i w:val="0"/>
                <w:iCs w:val="0"/>
                <w:color w:val="auto"/>
                <w:kern w:val="0"/>
                <w:sz w:val="21"/>
                <w:szCs w:val="21"/>
                <w:highlight w:val="none"/>
                <w:u w:val="none"/>
                <w:lang w:val="en-US" w:eastAsia="zh-CN" w:bidi="ar"/>
              </w:rPr>
              <w:t>投标人</w:t>
            </w:r>
            <w:r>
              <w:rPr>
                <w:rFonts w:hint="eastAsia" w:ascii="宋体" w:hAnsi="宋体" w:eastAsia="宋体" w:cs="宋体"/>
                <w:i w:val="0"/>
                <w:iCs w:val="0"/>
                <w:color w:val="auto"/>
                <w:kern w:val="0"/>
                <w:sz w:val="21"/>
                <w:szCs w:val="21"/>
                <w:highlight w:val="none"/>
                <w:u w:val="none"/>
                <w:lang w:val="en-US" w:eastAsia="zh-CN" w:bidi="ar"/>
              </w:rPr>
              <w:t>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5.APP支持在互动过程中，开启文字对话框，并通过文字进行留言讨论。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6.★APP支持在互动过程中，添加答题器，可选择正确答案，可选答案不少于8个。（提供对应功能截图并加盖</w:t>
            </w:r>
            <w:r>
              <w:rPr>
                <w:rFonts w:hint="eastAsia" w:ascii="宋体" w:hAnsi="宋体" w:cs="宋体"/>
                <w:i w:val="0"/>
                <w:iCs w:val="0"/>
                <w:color w:val="auto"/>
                <w:kern w:val="0"/>
                <w:sz w:val="21"/>
                <w:szCs w:val="21"/>
                <w:highlight w:val="none"/>
                <w:u w:val="none"/>
                <w:lang w:val="en-US" w:eastAsia="zh-CN" w:bidi="ar"/>
              </w:rPr>
              <w:t>投标人</w:t>
            </w:r>
            <w:r>
              <w:rPr>
                <w:rFonts w:hint="eastAsia" w:ascii="宋体" w:hAnsi="宋体" w:eastAsia="宋体" w:cs="宋体"/>
                <w:i w:val="0"/>
                <w:iCs w:val="0"/>
                <w:color w:val="auto"/>
                <w:kern w:val="0"/>
                <w:sz w:val="21"/>
                <w:szCs w:val="21"/>
                <w:highlight w:val="none"/>
                <w:u w:val="none"/>
                <w:lang w:val="en-US" w:eastAsia="zh-CN" w:bidi="ar"/>
              </w:rPr>
              <w:t>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7.★APP支持观看“互动课堂”课后报告，可查看互动数据、直播数据。（提供对应功能截图并加盖</w:t>
            </w:r>
            <w:r>
              <w:rPr>
                <w:rFonts w:hint="eastAsia" w:ascii="宋体" w:hAnsi="宋体" w:cs="宋体"/>
                <w:i w:val="0"/>
                <w:iCs w:val="0"/>
                <w:color w:val="auto"/>
                <w:kern w:val="0"/>
                <w:sz w:val="21"/>
                <w:szCs w:val="21"/>
                <w:highlight w:val="none"/>
                <w:u w:val="none"/>
                <w:lang w:val="en-US" w:eastAsia="zh-CN" w:bidi="ar"/>
              </w:rPr>
              <w:t>投标人</w:t>
            </w:r>
            <w:r>
              <w:rPr>
                <w:rFonts w:hint="eastAsia" w:ascii="宋体" w:hAnsi="宋体" w:eastAsia="宋体" w:cs="宋体"/>
                <w:i w:val="0"/>
                <w:iCs w:val="0"/>
                <w:color w:val="auto"/>
                <w:kern w:val="0"/>
                <w:sz w:val="21"/>
                <w:szCs w:val="21"/>
                <w:highlight w:val="none"/>
                <w:u w:val="none"/>
                <w:lang w:val="en-US" w:eastAsia="zh-CN" w:bidi="ar"/>
              </w:rPr>
              <w:t>公章）</w:t>
            </w:r>
          </w:p>
        </w:tc>
      </w:tr>
      <w:tr w14:paraId="2EFF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14:paraId="5838EDC5">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6</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424CFF79">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教师定位辅助摄像机</w:t>
            </w:r>
          </w:p>
        </w:tc>
        <w:tc>
          <w:tcPr>
            <w:tcW w:w="3929" w:type="pct"/>
            <w:tcBorders>
              <w:top w:val="single" w:color="auto" w:sz="4" w:space="0"/>
              <w:left w:val="single" w:color="auto" w:sz="4" w:space="0"/>
              <w:bottom w:val="single" w:color="auto" w:sz="4" w:space="0"/>
              <w:right w:val="single" w:color="auto" w:sz="4" w:space="0"/>
            </w:tcBorders>
            <w:noWrap w:val="0"/>
            <w:vAlign w:val="top"/>
          </w:tcPr>
          <w:p w14:paraId="3DD81470">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1.镜头水平视场角≥40°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2.一体化集成设计，支持4K超高清，最大可提供4K图像编码输出，同时向下兼容1080p，720p等分辨率。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3.内置图像识别跟踪算法，无需物理转动，即可实现平滑自然的跟踪效果，避免干扰课堂教学。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4.全景画面支持畸变矫正功能。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5.全景画面与特写画面必须采用相同图像传感器和图像处理器，确保两者图像输出亮度、颜色、风格等保持一致。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6.整机接口≥1路RJ45，支持POE有线网络供电，只需要1路网线，即可实现供电及信号传输。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7.传感器尺寸≥CMOS1/2.8英寸，有效像素≥800万。</w:t>
            </w:r>
          </w:p>
        </w:tc>
      </w:tr>
      <w:tr w14:paraId="74230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14:paraId="3DD7EC23">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7</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29022513">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教师摄像机图像处理系统</w:t>
            </w:r>
          </w:p>
        </w:tc>
        <w:tc>
          <w:tcPr>
            <w:tcW w:w="3929" w:type="pct"/>
            <w:tcBorders>
              <w:top w:val="single" w:color="auto" w:sz="4" w:space="0"/>
              <w:left w:val="single" w:color="auto" w:sz="4" w:space="0"/>
              <w:bottom w:val="single" w:color="auto" w:sz="4" w:space="0"/>
              <w:right w:val="single" w:color="auto" w:sz="4" w:space="0"/>
            </w:tcBorders>
            <w:noWrap w:val="0"/>
            <w:vAlign w:val="top"/>
          </w:tcPr>
          <w:p w14:paraId="6BDFDE7A">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1.支持设置摄像机分辨率、帧率、码率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2.支持设置摄像机亮度、饱和度、对比度、锐度、色度、快门速度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3.图像支持左右镜像、上下翻转，默认不开启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4.支持对摄像机网络进行管理，包括设置IP地址/网关/DNS等，支持组播协议搜索IP地址，并修改摄像机IP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5.支持RTMP推流、RTSP拉流、ONVIF协议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6.支持至少1个矩形导播跟踪区划定，至少2个导播屏蔽区划定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7.支持跟踪灵敏度设置，可适配不同的灵敏度要求场景</w:t>
            </w:r>
          </w:p>
        </w:tc>
      </w:tr>
      <w:tr w14:paraId="1F89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14:paraId="15A49A6B">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8</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1A654025">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学生定位辅助摄像机</w:t>
            </w:r>
          </w:p>
        </w:tc>
        <w:tc>
          <w:tcPr>
            <w:tcW w:w="3929" w:type="pct"/>
            <w:tcBorders>
              <w:top w:val="single" w:color="auto" w:sz="4" w:space="0"/>
              <w:left w:val="single" w:color="auto" w:sz="4" w:space="0"/>
              <w:bottom w:val="single" w:color="auto" w:sz="4" w:space="0"/>
              <w:right w:val="single" w:color="auto" w:sz="4" w:space="0"/>
            </w:tcBorders>
            <w:noWrap w:val="0"/>
            <w:vAlign w:val="top"/>
          </w:tcPr>
          <w:p w14:paraId="7534FA01">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1.镜头水平视场角≥90°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2.一体化集成设计，支持4K超高清，最大可提供4K图像编码输出，同时向下兼容1080p，720p等分辨率。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3.内置图像识别跟踪算法，无需物理转动，即可实现平滑自然的跟踪效果，避免干扰课堂教学。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4.全景画面支持畸变矫正功能。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5.全景画面与特写画面必须采用相同图像传感器和图像处理器，确保两者图像输出亮度、颜色、风格等保持一致。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6.整机接口:≥1路RJ45，支持POE有线网络供电，只需要1路网线，即可实现供电及信号传输。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7.传感器尺寸：≥CMOS1/2.8英寸，有效像素≥800万。</w:t>
            </w:r>
          </w:p>
        </w:tc>
      </w:tr>
      <w:tr w14:paraId="2295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14:paraId="01AA3586">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9</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7629DE17">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学生摄像机图像处理系统</w:t>
            </w:r>
          </w:p>
        </w:tc>
        <w:tc>
          <w:tcPr>
            <w:tcW w:w="3929" w:type="pct"/>
            <w:tcBorders>
              <w:top w:val="single" w:color="auto" w:sz="4" w:space="0"/>
              <w:left w:val="single" w:color="auto" w:sz="4" w:space="0"/>
              <w:bottom w:val="single" w:color="auto" w:sz="4" w:space="0"/>
              <w:right w:val="single" w:color="auto" w:sz="4" w:space="0"/>
            </w:tcBorders>
            <w:noWrap w:val="0"/>
            <w:vAlign w:val="top"/>
          </w:tcPr>
          <w:p w14:paraId="7BF98149">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1.4K学生摄像机内嵌智能跟踪算法，无需单独安装定位跟踪主机及其他任何辅助拍摄设备，即可实现跟踪定位控制功能。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2.支持设置摄像机分辨率、帧率、码率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3.支持设置摄像机亮度、饱和度、对比度、锐度、色度、快门速度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4.图像支持左右镜像、上下翻转，默认不开启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5.支持对摄像机网络进行管理，包括设置IP地址/网关/DNS等，支持组播协议搜索IP地址，并修改摄像机IP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6.支持RTMP推流，RTSP拉流，地址可设置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7.支持ONVIF协议，可预览ONVIF画面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8.支持GB28181协议，可使用GB28181协议推流</w:t>
            </w:r>
          </w:p>
        </w:tc>
      </w:tr>
      <w:tr w14:paraId="707C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14:paraId="5321EBB4">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10</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1BB6B60C">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机械云台摄像机</w:t>
            </w:r>
          </w:p>
        </w:tc>
        <w:tc>
          <w:tcPr>
            <w:tcW w:w="3929" w:type="pct"/>
            <w:tcBorders>
              <w:top w:val="single" w:color="auto" w:sz="4" w:space="0"/>
              <w:left w:val="single" w:color="auto" w:sz="4" w:space="0"/>
              <w:bottom w:val="single" w:color="auto" w:sz="4" w:space="0"/>
              <w:right w:val="single" w:color="auto" w:sz="4" w:space="0"/>
            </w:tcBorders>
            <w:noWrap w:val="0"/>
            <w:vAlign w:val="top"/>
          </w:tcPr>
          <w:p w14:paraId="4651EC9B">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1.传感器尺寸：≥CMOS1/1.8英寸，有效像素≥800万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2.支持不少于40倍变焦（提供国家认可的具备CMA及CNAS认证的检测机构所出具的权威检测报告复印件）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3.扫描方式：逐行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4.支持畸变矫正功能，畸变＜1.5%，校正后可实现视觉无畸变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5.最低照度：0.5Lux@(F1.8,AGCON)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6.镜头：F1.58~F3.95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7.快门：1/30s~1/10000s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8.支持自动白平衡功能、背光补偿功能、图像冻结功能、POE供电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9.支持水平翻转、垂直翻转，水平转动范围：±170°，垂直转动范围：-30°~+90°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10.支持最大水平视场角≥60°，最大垂直视场角≥35°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11.支持最大水平转动速度≥100°/s，最大垂直转动速度≥69°/s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12.为确保运行稳定，使用平均无故障运行时间(MTBF)应≥22万小时。（提供国家认可的具备CMA及CNAS认证的检测机构所出具的权威检测报告复印件）</w:t>
            </w:r>
          </w:p>
        </w:tc>
      </w:tr>
      <w:tr w14:paraId="3C37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14:paraId="32CD5AC2">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11</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142C391D">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云台摄像机图像处理系统</w:t>
            </w:r>
            <w:r>
              <w:rPr>
                <w:rFonts w:hint="eastAsia" w:ascii="宋体" w:hAnsi="宋体" w:cs="宋体"/>
                <w:i w:val="0"/>
                <w:iCs w:val="0"/>
                <w:color w:val="auto"/>
                <w:kern w:val="0"/>
                <w:sz w:val="21"/>
                <w:szCs w:val="21"/>
                <w:highlight w:val="none"/>
                <w:u w:val="none"/>
                <w:lang w:val="en-US" w:eastAsia="zh-CN" w:bidi="ar"/>
              </w:rPr>
              <w:t>1</w:t>
            </w:r>
          </w:p>
        </w:tc>
        <w:tc>
          <w:tcPr>
            <w:tcW w:w="3929" w:type="pct"/>
            <w:tcBorders>
              <w:top w:val="single" w:color="auto" w:sz="4" w:space="0"/>
              <w:left w:val="single" w:color="auto" w:sz="4" w:space="0"/>
              <w:bottom w:val="single" w:color="auto" w:sz="4" w:space="0"/>
              <w:right w:val="single" w:color="auto" w:sz="4" w:space="0"/>
            </w:tcBorders>
            <w:noWrap w:val="0"/>
            <w:vAlign w:val="top"/>
          </w:tcPr>
          <w:p w14:paraId="3C4D822F">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1.设备采用ARM硬件架构，linux操作系统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2.支持自动白平衡、背光补偿功能、2D、3D数字降噪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3.支持不少于4种编码等级，包含baseline、mainprofile、highprofile、svc-t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4.支持AAC、G711A两种音频编码格式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5.支持TCP/IP,HTTP,RTSP,RTMP,Onvif,DHCP,组播等网络协议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6.支持设置摄像机分辨率、帧率、码率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7.支持设置摄像机亮度、饱和度、对比度、锐度、色度、快门速度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8.图像支持左右镜像、上下翻转，默认不开启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9.支持对摄像机网络进行管理，包括设置IP地址/网关/DNS等，支持组播协议搜索IP地址，并修改摄像机IP</w:t>
            </w:r>
          </w:p>
        </w:tc>
      </w:tr>
      <w:tr w14:paraId="4A81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14:paraId="37BE2851">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12</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4358989D">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阵列麦克风</w:t>
            </w:r>
          </w:p>
        </w:tc>
        <w:tc>
          <w:tcPr>
            <w:tcW w:w="3929" w:type="pct"/>
            <w:tcBorders>
              <w:top w:val="single" w:color="auto" w:sz="4" w:space="0"/>
              <w:left w:val="single" w:color="auto" w:sz="4" w:space="0"/>
              <w:bottom w:val="single" w:color="auto" w:sz="4" w:space="0"/>
              <w:right w:val="single" w:color="auto" w:sz="4" w:space="0"/>
            </w:tcBorders>
            <w:noWrap w:val="0"/>
            <w:vAlign w:val="top"/>
          </w:tcPr>
          <w:p w14:paraId="27387E22">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1.麦克风采用≥4核的国产音频芯片。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2.麦克风频率响应范围不低于50Hz~16KHz。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3.麦克风拾音半径≥8m，信噪比≥68dB，声压级≥130dBSPL，10%THD@1KHz。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4.麦克风无需额外适配器供电，能够通过网线实现麦克风供电、音频信号传输、参数调整。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5.★麦克风具备≥1个状态指示灯，可显示麦克风工作状态，蓝灯表示工作状态正常，红灯表示无法正常拾音。（提供国家认可的具备CMA及CNAS认证的检测机构所出具的权威检测报告复印件）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6.麦克风采用标准1/4吋螺口，适配各种类型标准吊杆。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7.★麦克风支持≥2个数字音频接口，支持盲插。（提供国家认可的具备CMA及CNAS认证的检测机构所出具的权威检测报告复印件）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8.★麦克风内置≥8个传感器单元。（提供国家认可的具备CMA及CNAS认证的检测机构所出具的权威检测报告复印件）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9.麦克风支持在线OTA，可在线对麦克风进行升级，无需人员现场维护。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10.麦克风支持降噪、回声抵消、混响抑制、自动增益控制、多麦融合多种音频算法。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11.麦克风支持数字音频传输。</w:t>
            </w:r>
          </w:p>
        </w:tc>
      </w:tr>
      <w:tr w14:paraId="2AFD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14:paraId="34F2749B">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13</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783711C4">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有线麦克风音频处理系统</w:t>
            </w:r>
          </w:p>
        </w:tc>
        <w:tc>
          <w:tcPr>
            <w:tcW w:w="3929" w:type="pct"/>
            <w:tcBorders>
              <w:top w:val="single" w:color="auto" w:sz="4" w:space="0"/>
              <w:left w:val="single" w:color="auto" w:sz="4" w:space="0"/>
              <w:bottom w:val="single" w:color="auto" w:sz="4" w:space="0"/>
              <w:right w:val="single" w:color="auto" w:sz="4" w:space="0"/>
            </w:tcBorders>
            <w:noWrap w:val="0"/>
            <w:vAlign w:val="top"/>
          </w:tcPr>
          <w:p w14:paraId="0BCB8471">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1.支持全频带全双工自适应回声消除算法。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2.支持全频自适应AI降噪技术，降噪电平≥24dB。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3.支持自动增益控制。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4.支持啸叫抑制。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5.支持智能混音，可智能选择最佳麦克风采集音频。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6.支持多通道音频矩阵，可根据场景需求进行相应设置。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7.支持音频参数调节。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8.支持波束成形。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9.支持远程OTA升级。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10.支持连接录播主机作为录播音频输入设备使用，也可连接Windows系统，并为其提供音频输入。</w:t>
            </w:r>
          </w:p>
        </w:tc>
      </w:tr>
      <w:tr w14:paraId="1598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14:paraId="3AD0DBB6">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14</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0AD461AD">
            <w:pPr>
              <w:keepNext w:val="0"/>
              <w:keepLines w:val="0"/>
              <w:widowControl/>
              <w:suppressLineNumbers w:val="0"/>
              <w:jc w:val="center"/>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无线麦克风</w:t>
            </w:r>
            <w:r>
              <w:rPr>
                <w:rFonts w:hint="eastAsia" w:ascii="宋体" w:hAnsi="宋体" w:cs="宋体"/>
                <w:i w:val="0"/>
                <w:iCs w:val="0"/>
                <w:color w:val="auto"/>
                <w:kern w:val="0"/>
                <w:sz w:val="21"/>
                <w:szCs w:val="21"/>
                <w:highlight w:val="none"/>
                <w:u w:val="none"/>
                <w:lang w:val="en-US" w:eastAsia="zh-CN" w:bidi="ar"/>
              </w:rPr>
              <w:t>1</w:t>
            </w:r>
          </w:p>
        </w:tc>
        <w:tc>
          <w:tcPr>
            <w:tcW w:w="3929" w:type="pct"/>
            <w:tcBorders>
              <w:top w:val="single" w:color="auto" w:sz="4" w:space="0"/>
              <w:left w:val="single" w:color="auto" w:sz="4" w:space="0"/>
              <w:bottom w:val="single" w:color="auto" w:sz="4" w:space="0"/>
              <w:right w:val="single" w:color="auto" w:sz="4" w:space="0"/>
            </w:tcBorders>
            <w:noWrap w:val="0"/>
            <w:vAlign w:val="top"/>
          </w:tcPr>
          <w:p w14:paraId="61949383">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1.★麦克风支持≥1个Pogopin接口，支持通过Pogopin接口进行充电。（提供国家认可的具备CMA及CNAS认证的检测机构所出具的权威检测报告复印件）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2.麦克风支持≥1个三合一按键，可控制麦克风的开关机、静音和配对。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3.麦克风支持≥2个音量控制按钮，可通过音量“+”“-”按钮控制麦克风输出音量。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4.麦克风充电仓支持电量指示，通过灯珠亮灭数量充电仓剩余电量及充电状态。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5.麦克风支持≥4种佩戴方式。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6.★麦克风领夹角度支持调节，调节角度≥±90°；麦克风与领夹夹角相对0°位置具备限位功能。（提供国家认可的具备CMA及CNAS认证的检测机构所出具的权威检测报告复印件）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7.整机标配两个无线麦克风，且两个麦克风支持同时工作。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8.麦克风支持一键开启静音模式。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9.★麦克风支持通过音量调节按钮调节输出音量；音量调节过程中通过麦克风一体化屏幕动态提示当前音量等级。（提供国家认可的具备CMA及CNAS认证的检测机构所出具的权威检测报告复印件）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10.麦克风采用心型指向，信噪比≥95dB，音频采样率≥48kHz，音频采样精度≥16bit。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11.麦克风工作频段为2.4G。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12.支持抗干扰能力，支持自动跳频技术，避免同频干扰问题，同一空间内有多个无线麦克风不会产生相互干扰。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13.支持红外和无线同时配对。</w:t>
            </w:r>
          </w:p>
        </w:tc>
      </w:tr>
      <w:tr w14:paraId="0E63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14:paraId="489DD6DA">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15</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74A726A4">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无线麦克风音频处理系统</w:t>
            </w:r>
          </w:p>
        </w:tc>
        <w:tc>
          <w:tcPr>
            <w:tcW w:w="3929" w:type="pct"/>
            <w:tcBorders>
              <w:top w:val="single" w:color="auto" w:sz="4" w:space="0"/>
              <w:left w:val="single" w:color="auto" w:sz="4" w:space="0"/>
              <w:bottom w:val="single" w:color="auto" w:sz="4" w:space="0"/>
              <w:right w:val="single" w:color="auto" w:sz="4" w:space="0"/>
            </w:tcBorders>
            <w:noWrap w:val="0"/>
            <w:vAlign w:val="top"/>
          </w:tcPr>
          <w:p w14:paraId="0E7578F8">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1.麦克风音频编码方式采用LC3plus。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2.支持啸叫抑制算法，本地扩声时不产生啸叫现象。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3.支持降噪功能设置。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4.支持多通道输入混音。</w:t>
            </w:r>
          </w:p>
        </w:tc>
      </w:tr>
      <w:tr w14:paraId="7B8F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14:paraId="283A5B33">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16</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2618476E">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专业功放</w:t>
            </w:r>
          </w:p>
        </w:tc>
        <w:tc>
          <w:tcPr>
            <w:tcW w:w="3929" w:type="pct"/>
            <w:tcBorders>
              <w:top w:val="single" w:color="auto" w:sz="4" w:space="0"/>
              <w:left w:val="single" w:color="auto" w:sz="4" w:space="0"/>
              <w:bottom w:val="single" w:color="auto" w:sz="4" w:space="0"/>
              <w:right w:val="single" w:color="auto" w:sz="4" w:space="0"/>
            </w:tcBorders>
            <w:noWrap w:val="0"/>
            <w:vAlign w:val="top"/>
          </w:tcPr>
          <w:p w14:paraId="0E9207F7">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1.支持LINEIN接口≥2个，类型为3.5mm线性输入接口。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2.支持麦克风输入接口≥4个，类型为6.5mm麦克风音频输入接口。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3.支持音频输出接口≥4个，类型为香蕉端子类型。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4.支持RS232接口≥1个，具备输出音量调节，远程控制开关机功能。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5.输出功率8Ω300W*2。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6.MIC输入灵敏度50mV。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7.音频信号输入灵敏度775mV。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8.信噪比≥90dBA。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9.声音分离度50dBA。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10.谐波互调失真&lt;0.17%@1KHz150mV。</w:t>
            </w:r>
          </w:p>
        </w:tc>
      </w:tr>
      <w:tr w14:paraId="4F09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14:paraId="5A2131BF">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17</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04934391">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专业音响</w:t>
            </w:r>
          </w:p>
        </w:tc>
        <w:tc>
          <w:tcPr>
            <w:tcW w:w="3929" w:type="pct"/>
            <w:tcBorders>
              <w:top w:val="single" w:color="auto" w:sz="4" w:space="0"/>
              <w:left w:val="single" w:color="auto" w:sz="4" w:space="0"/>
              <w:bottom w:val="single" w:color="auto" w:sz="4" w:space="0"/>
              <w:right w:val="single" w:color="auto" w:sz="4" w:space="0"/>
            </w:tcBorders>
            <w:noWrap w:val="0"/>
            <w:vAlign w:val="top"/>
          </w:tcPr>
          <w:p w14:paraId="15DD99AA">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1.音柱型设计，使用专业功放搭配音柱实现音量扩声。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2.单音柱具备≥4个3”喇叭单元。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3.标准阻抗：8Ω。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4.频率响应：20Hz～20KHz。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5.单音柱额定功率(RWS)≥120W。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6.单音柱最大功率(PEAK)≥240W。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7.灵敏度：95dB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8.最大声压级：120dB。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9.单音柱覆盖角度：水平120°、垂直120°。</w:t>
            </w:r>
          </w:p>
        </w:tc>
      </w:tr>
      <w:tr w14:paraId="7B7E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14:paraId="7530705C">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18</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31728824">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交换机</w:t>
            </w:r>
          </w:p>
        </w:tc>
        <w:tc>
          <w:tcPr>
            <w:tcW w:w="3929" w:type="pct"/>
            <w:tcBorders>
              <w:top w:val="single" w:color="auto" w:sz="4" w:space="0"/>
              <w:left w:val="single" w:color="auto" w:sz="4" w:space="0"/>
              <w:bottom w:val="single" w:color="auto" w:sz="4" w:space="0"/>
              <w:right w:val="single" w:color="auto" w:sz="4" w:space="0"/>
            </w:tcBorders>
            <w:noWrap w:val="0"/>
            <w:vAlign w:val="top"/>
          </w:tcPr>
          <w:p w14:paraId="1A965AF2">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十六口POE交换机</w:t>
            </w:r>
          </w:p>
        </w:tc>
      </w:tr>
      <w:tr w14:paraId="7ADB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14:paraId="6BCCF657">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19</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25971E46">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有源音箱</w:t>
            </w:r>
          </w:p>
        </w:tc>
        <w:tc>
          <w:tcPr>
            <w:tcW w:w="3929" w:type="pct"/>
            <w:tcBorders>
              <w:top w:val="single" w:color="auto" w:sz="4" w:space="0"/>
              <w:left w:val="single" w:color="auto" w:sz="4" w:space="0"/>
              <w:bottom w:val="single" w:color="auto" w:sz="4" w:space="0"/>
              <w:right w:val="single" w:color="auto" w:sz="4" w:space="0"/>
            </w:tcBorders>
            <w:noWrap w:val="0"/>
            <w:vAlign w:val="top"/>
          </w:tcPr>
          <w:p w14:paraId="4A8F76A8">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1.采用功放与有源音箱一体化设计，内置麦克风无线接收模块，帮助教师实现多媒体扩音以及本地扩声功能。</w:t>
            </w:r>
          </w:p>
          <w:p w14:paraId="0087D05B">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2.输出额定功率≥ 2x40W。</w:t>
            </w:r>
          </w:p>
          <w:p w14:paraId="533411E4">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3.音箱灵敏度≥85dB，1W/1M。</w:t>
            </w:r>
          </w:p>
          <w:p w14:paraId="2FB51982">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4.信噪比≥83dB@额定功率、A计权。</w:t>
            </w:r>
          </w:p>
          <w:p w14:paraId="7B7BDD62">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5.全频喇叭单元尺寸≥6.5英寸；高音喇叭单元尺寸≥3英寸。</w:t>
            </w:r>
          </w:p>
          <w:p w14:paraId="654CB85E">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6.声频响70Hz-18kHz。</w:t>
            </w:r>
          </w:p>
          <w:p w14:paraId="76271C80">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7.距离音箱10米处声压级≥75dB。</w:t>
            </w:r>
          </w:p>
        </w:tc>
      </w:tr>
      <w:tr w14:paraId="2AF4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14:paraId="1D0588C7">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20</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71C28D6A">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专业导播台</w:t>
            </w:r>
          </w:p>
        </w:tc>
        <w:tc>
          <w:tcPr>
            <w:tcW w:w="3929" w:type="pct"/>
            <w:tcBorders>
              <w:top w:val="single" w:color="auto" w:sz="4" w:space="0"/>
              <w:left w:val="single" w:color="auto" w:sz="4" w:space="0"/>
              <w:bottom w:val="single" w:color="auto" w:sz="4" w:space="0"/>
              <w:right w:val="single" w:color="auto" w:sz="4" w:space="0"/>
            </w:tcBorders>
            <w:noWrap w:val="0"/>
            <w:vAlign w:val="top"/>
          </w:tcPr>
          <w:p w14:paraId="19CE96D5">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1.整机采用纯金属材质，全铝机身，CNC工艺，坚固耐用，质感十足，底部配备≥4个硅胶垫，桌面使用更加稳固。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用彩色背光按键，按键数量≥29个，背光颜色≥3种，可通过不同颜色表征不同的工作状态，简化老师理解，支持背光亮度调节，可以根据教室光线环境和用户喜好自行调节背光亮度，满足不同场景和用户使用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3.整机配备云台操纵杆，通过整机摇杆操作，支持不少于8个方向的云台控制，可通过操纵杆的倾斜程度实现对云台摄像机的转动速度控制，同时可通过操纵杆实现ZOOM拉进拉远控制，满足精准的拍摄取景。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4.支持一键复位功能，可通过云台操纵杆，快速将摄像机复位到开机预置位画面。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为满足用户在导播过程中对声音控制的诉求，整机支持≥3个音量控制旋钮，可实现对录播主机的实时音量、教师麦克风音量、学生麦克风音量的控制，控制旋钮采用无极编码器，转动顺滑无限位，旋钮表面采用条纹设计，操控触感一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6.整机支持≥2种通信方式，可使用USB或RS422进行通信，为保证控制实时性，不接受使用TCP/UDP通信方式；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7.整机通信接口≥2个，支持至少一个USB2.0接口，至少一个RS422接口；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整机内置蜂鸣器，用户在进行导播控制时，可通过蜂鸣器实现操控状态提醒，结合软件内部设计的检验机制，可以确保用户操控通过蜂鸣器得到精准反馈，用户也按照自身喜好和场景要求通过快捷键设定蜂鸣器打开和关闭，无需借助外部设备；</w:t>
            </w:r>
          </w:p>
        </w:tc>
      </w:tr>
      <w:tr w14:paraId="2286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14:paraId="2261A36D">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21</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6E742121">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导播控制台应用系统</w:t>
            </w:r>
          </w:p>
        </w:tc>
        <w:tc>
          <w:tcPr>
            <w:tcW w:w="3929" w:type="pct"/>
            <w:tcBorders>
              <w:top w:val="single" w:color="auto" w:sz="4" w:space="0"/>
              <w:left w:val="single" w:color="auto" w:sz="4" w:space="0"/>
              <w:bottom w:val="single" w:color="auto" w:sz="4" w:space="0"/>
              <w:right w:val="single" w:color="auto" w:sz="4" w:space="0"/>
            </w:tcBorders>
            <w:noWrap w:val="0"/>
            <w:vAlign w:val="top"/>
          </w:tcPr>
          <w:p w14:paraId="51FBE3DE">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整机支持不少于5个预置位，支持云台预置位设定，预置位设定无需打开其他设置软件，可直接通过键盘完成预置位设定，设定后预置位即刻生效，用户设定预置位过程有灯光提示，减少用户误操作的概率，预置位调用过程中导播键盘提供灯光颜色变化提示+蜂鸣器提示，给用户最准确的操控反馈，用户可直接通过预置位调用控制录制画面切换当前选中的某个预置位，实现对拍摄角度的精准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2.支持云台摄像机控制选择，用户可以通过整机按键操作，支持≥5个摄像机通道选择，通道选择完成后，键盘操控命令仅对选中摄像机生效，不会产生串码。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整机与录播主机操作同步，用户通过导播键盘，可以实现开始、暂停、停止、三种录制状态控制，控制实时性良好，能够做到即点即录，无需等待，控制过程导播键盘提供灯光颜色变化提示+蜂鸣器提示，给用户最准确的操控反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4.支持导播模式控制，用户可根据使用场景需要，设置当前的导播模式，整机可设置录播主机为自动导播模式和手动导播模式，满足不同场景需求。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5.支持≥6种画面布局，包含单画面、双画面、画中画、三画面、四画面、自定义布局；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6.支持导播控制，用户可通过整机按键操作实现导播画面选择，选中通道能够高亮显示，支持≥6个导播通道控制；</w:t>
            </w:r>
          </w:p>
        </w:tc>
      </w:tr>
      <w:tr w14:paraId="70DE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14:paraId="6BCBD513">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22</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16B18D7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电视机</w:t>
            </w:r>
          </w:p>
        </w:tc>
        <w:tc>
          <w:tcPr>
            <w:tcW w:w="3929" w:type="pct"/>
            <w:tcBorders>
              <w:top w:val="single" w:color="auto" w:sz="4" w:space="0"/>
              <w:left w:val="single" w:color="auto" w:sz="4" w:space="0"/>
              <w:bottom w:val="single" w:color="auto" w:sz="4" w:space="0"/>
              <w:right w:val="single" w:color="auto" w:sz="4" w:space="0"/>
            </w:tcBorders>
            <w:noWrap w:val="0"/>
            <w:vAlign w:val="top"/>
          </w:tcPr>
          <w:p w14:paraId="7E322E64">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1.屏幕物理尺寸≥55吋，屏幕分辨率≥3840*2160，屏幕刷新率≥60Hz，屏幕可视角度≥±176度。</w:t>
            </w:r>
          </w:p>
          <w:p w14:paraId="0F04DF78">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2.整机功耗≤120W，待机功耗≤0.5W。</w:t>
            </w:r>
          </w:p>
          <w:p w14:paraId="3EFDCFA7">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3.内置喇叭个数≥2，喇叭总功率≥16W。</w:t>
            </w:r>
          </w:p>
          <w:p w14:paraId="693C7077">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4.USB通道支持播放不少于10种文件格式，USB接口数量≥2，HDMI输入通道数量≥3，模拟RF接口≥1，AV接口≥1。</w:t>
            </w:r>
          </w:p>
          <w:p w14:paraId="1C416E10">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5.标配遥控器和配套电池。</w:t>
            </w:r>
          </w:p>
          <w:p w14:paraId="73D87DB3">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6.支持HDMI接入检测开机，HDMI有输入信号后，可自动开机，至少有3个HDMI接口支持该功能，支持HDMI接入检测关机，HDMI输入信号消失后2分钟，可自动进入关机状态，至少有3个HDMI接口支持该功能。</w:t>
            </w:r>
          </w:p>
        </w:tc>
      </w:tr>
      <w:tr w14:paraId="23E4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14:paraId="09E7D31E">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23</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400E803A">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课堂智能反馈系统</w:t>
            </w:r>
          </w:p>
        </w:tc>
        <w:tc>
          <w:tcPr>
            <w:tcW w:w="3929" w:type="pct"/>
            <w:tcBorders>
              <w:top w:val="single" w:color="auto" w:sz="4" w:space="0"/>
              <w:left w:val="single" w:color="auto" w:sz="4" w:space="0"/>
              <w:bottom w:val="single" w:color="auto" w:sz="4" w:space="0"/>
              <w:right w:val="single" w:color="auto" w:sz="4" w:space="0"/>
            </w:tcBorders>
            <w:noWrap w:val="0"/>
            <w:vAlign w:val="center"/>
          </w:tcPr>
          <w:p w14:paraId="3AE173B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系统支持对教室环境的3D还原重建，形成桌椅、讲台、一体机的真实环境建模，采集到的师生互动行为自动对应到具体课桌位置；支持≥5种视角转换，正前方、左前方、右前方、左后方、右后方。（需提供国家认可的具备CMA及CNAS认证的检测机构所出具的权威检测报告复印件）</w:t>
            </w:r>
          </w:p>
          <w:p w14:paraId="4914E0B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在3D课堂孪生界面中，通过课桌的颜色深浅表示学生参与互动的活跃程度，基于学生上台次数、举手次数、问答次数计算学生活跃程度，颜色越深则代表越活跃。（需提供国家认可的具备CMA及CNAS认证的检测机构所出具的权威检测报告复印件）</w:t>
            </w:r>
          </w:p>
          <w:p w14:paraId="1FFE99D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在3D课堂孪生界面中，支持点击课堂活跃热力图中的学生头像，查看该学生的师生互动视频片段，统计该学生在本节课的上台互动、举手次数、问答次数。（需提供国家认可的具备CMA及CNAS认证的检测机构所出具的权威检测报告复印件）</w:t>
            </w:r>
          </w:p>
          <w:p w14:paraId="527D8BB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4.★在3D课堂孪生界面中，支持在地面上显示教师的巡堂轨迹，颜色越深代表停留时间越长。（需提供国家认可的具备CMA及CNAS认证的检测机构所出具的权威检测报告复印件）</w:t>
            </w:r>
          </w:p>
          <w:p w14:paraId="4CC8033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系统根据教学内容自动生成师生问答、课堂互动、新课标落实三个维度的课堂反馈建议，可查看全部提问、符合知识性目标的提问、不合适的提问、提问优化建议、课堂互动建议、基于新课标的亮点和改进建议。（需提供国家认可的具备CMA及CNAS认证的检测机构所出具的权威检测报告复印件）</w:t>
            </w:r>
          </w:p>
          <w:p w14:paraId="1078554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6.系统支持统计课程时长、课堂中教师讲授时长、教师讲授字数、教师授课平均语速。</w:t>
            </w:r>
          </w:p>
          <w:p w14:paraId="01253AF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7.系统自动统计教师授课、师生互动、小组讨论、课堂练习的时间分布情况，支持图形可视化展示不同课堂行为的整体时间占比。</w:t>
            </w:r>
          </w:p>
          <w:p w14:paraId="2769754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8.系统自动统计教师授课、师生互动、小组讨论、课堂练习的时间分布情况，支持按照时序图样式展示，展示不同课堂行为发生的顺序、时长。</w:t>
            </w:r>
          </w:p>
          <w:p w14:paraId="585A6CF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9.系统将课堂中老师和学生的声音转写为文字，按照前后文逻辑关系自动切割为不同的片段；片段支持展开查看详细文字，支持跳转到文字段落对应的视频片段。</w:t>
            </w:r>
          </w:p>
          <w:p w14:paraId="51E50A0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10.系统支持对语音转写中的师生问答进行自动识别，将提问内容自动高亮显示，支持将识别出的问答实录一键导出为云文档。</w:t>
            </w:r>
          </w:p>
        </w:tc>
      </w:tr>
      <w:tr w14:paraId="3B19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14:paraId="483D6E42">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24</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297A8308">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智能抠像系统</w:t>
            </w:r>
          </w:p>
        </w:tc>
        <w:tc>
          <w:tcPr>
            <w:tcW w:w="3929" w:type="pct"/>
            <w:tcBorders>
              <w:top w:val="single" w:color="auto" w:sz="4" w:space="0"/>
              <w:left w:val="single" w:color="auto" w:sz="4" w:space="0"/>
              <w:bottom w:val="single" w:color="auto" w:sz="4" w:space="0"/>
              <w:right w:val="single" w:color="auto" w:sz="4" w:space="0"/>
            </w:tcBorders>
            <w:noWrap w:val="0"/>
            <w:vAlign w:val="top"/>
          </w:tcPr>
          <w:p w14:paraId="4F576A1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1.支持任选两路通道作为前景和背景，实现对前景画面的实时抠像并叠加到背景画面，叠加后的画面通过合成通道输出并可实时预览。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2.支持≥2种抠像背景颜色，可自由切换。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3.支持通过嵌入式录播主机实现独立抠像，通过主机自带屏幕调节抠像参数。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4.支持通过嵌入式录播主机一键进入智能抠像模式，交互式智能平板可开启绿幕，无需通过录播主机环出虚拟幕布，即可实现交互式智能平板蒙绿，不影响交互式智能平板所有正常触控操作。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5.支持通过嵌入式录播主机自带屏幕或翻页笔切换人像显示或隐藏。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6.支持通过嵌入式录播主机自带屏幕调整切换效果，可选淡入淡出和无特效。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7.支持通过嵌入式录播主机自带屏幕调节抠像强度。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8.支持通过嵌入式录播主机自带屏幕控制抠像边缘羽化功能，使抠像边缘平滑、无毛刺。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9.支持设置抠像预置位，开启抠像功能时自动调用。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10.支持通过嵌入式录播主机的HDMI、UVC输出抠像后的合成画面，可以将抠像处理后的画面实时推流直播。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11.支持抠像拍摄和实景拍摄同步进行，并可实时进行虚拟场景画面和实景拍摄画面的切换录制。</w:t>
            </w:r>
          </w:p>
        </w:tc>
      </w:tr>
      <w:tr w14:paraId="5F84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14:paraId="3E966A87">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25</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3430A14D">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LED柔光灯</w:t>
            </w:r>
          </w:p>
        </w:tc>
        <w:tc>
          <w:tcPr>
            <w:tcW w:w="3929" w:type="pct"/>
            <w:tcBorders>
              <w:top w:val="single" w:color="auto" w:sz="4" w:space="0"/>
              <w:left w:val="single" w:color="auto" w:sz="4" w:space="0"/>
              <w:bottom w:val="single" w:color="auto" w:sz="4" w:space="0"/>
              <w:right w:val="single" w:color="auto" w:sz="4" w:space="0"/>
            </w:tcBorders>
            <w:noWrap w:val="0"/>
            <w:vAlign w:val="top"/>
          </w:tcPr>
          <w:p w14:paraId="796FF0FF">
            <w:pPr>
              <w:numPr>
                <w:ilvl w:val="0"/>
                <w:numId w:val="0"/>
              </w:numPr>
              <w:ind w:left="425" w:leftChars="0" w:hanging="425" w:firstLineChars="0"/>
              <w:rPr>
                <w:rFonts w:hint="eastAsia" w:ascii="宋体" w:hAnsi="宋体" w:eastAsia="宋体" w:cs="宋体"/>
                <w:color w:val="auto"/>
                <w:sz w:val="21"/>
                <w:szCs w:val="21"/>
                <w:highlight w:val="none"/>
                <w:lang w:eastAsia="zh-CN"/>
              </w:rPr>
            </w:pPr>
            <w:r>
              <w:rPr>
                <w:rFonts w:hint="default"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输入电压：AC220V。</w:t>
            </w:r>
          </w:p>
          <w:p w14:paraId="08AA0BEB">
            <w:pPr>
              <w:numPr>
                <w:ilvl w:val="0"/>
                <w:numId w:val="0"/>
              </w:numPr>
              <w:ind w:left="425" w:leftChars="0" w:hanging="425" w:firstLineChars="0"/>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额定功率：≤100w。</w:t>
            </w:r>
          </w:p>
          <w:p w14:paraId="4254DFD1">
            <w:pPr>
              <w:numPr>
                <w:ilvl w:val="0"/>
                <w:numId w:val="0"/>
              </w:numPr>
              <w:ind w:left="425" w:leftChars="0" w:hanging="425" w:firstLineChars="0"/>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色温：5600K/3200K可调。</w:t>
            </w:r>
          </w:p>
          <w:p w14:paraId="1209F243">
            <w:pPr>
              <w:numPr>
                <w:ilvl w:val="0"/>
                <w:numId w:val="0"/>
              </w:numPr>
              <w:ind w:left="425" w:leftChars="0" w:hanging="425" w:firstLineChars="0"/>
              <w:rPr>
                <w:rFonts w:hint="eastAsia" w:ascii="宋体" w:hAnsi="宋体" w:eastAsia="宋体" w:cs="宋体"/>
                <w:color w:val="auto"/>
                <w:sz w:val="21"/>
                <w:szCs w:val="21"/>
                <w:highlight w:val="none"/>
                <w:lang w:eastAsia="zh-CN"/>
              </w:rPr>
            </w:pPr>
            <w:r>
              <w:rPr>
                <w:rFonts w:hint="default"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显色指数：Ra≥95％。</w:t>
            </w:r>
          </w:p>
          <w:p w14:paraId="40505733">
            <w:pPr>
              <w:numPr>
                <w:ilvl w:val="0"/>
                <w:numId w:val="0"/>
              </w:numPr>
              <w:ind w:left="425" w:leftChars="0" w:hanging="425" w:firstLineChars="0"/>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TLCI(Qa)：＞95。</w:t>
            </w:r>
          </w:p>
          <w:p w14:paraId="26224A35">
            <w:pPr>
              <w:numPr>
                <w:ilvl w:val="0"/>
                <w:numId w:val="0"/>
              </w:numPr>
              <w:ind w:left="425" w:leftChars="0" w:hanging="425" w:firstLineChars="0"/>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工作温度：-10°~40°。</w:t>
            </w:r>
          </w:p>
          <w:p w14:paraId="15EE9A54">
            <w:pPr>
              <w:numPr>
                <w:ilvl w:val="0"/>
                <w:numId w:val="0"/>
              </w:numPr>
              <w:ind w:left="425" w:leftChars="0" w:hanging="425" w:firstLineChars="0"/>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rPr>
              <w:t>安装方式：支持不少于3种安装方式。</w:t>
            </w:r>
          </w:p>
          <w:p w14:paraId="44B923ED">
            <w:pPr>
              <w:numPr>
                <w:ilvl w:val="0"/>
                <w:numId w:val="0"/>
              </w:numPr>
              <w:ind w:left="425" w:leftChars="0" w:hanging="425" w:firstLineChars="0"/>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8.</w:t>
            </w:r>
            <w:r>
              <w:rPr>
                <w:rFonts w:hint="eastAsia" w:ascii="宋体" w:hAnsi="宋体" w:eastAsia="宋体" w:cs="宋体"/>
                <w:color w:val="auto"/>
                <w:sz w:val="21"/>
                <w:szCs w:val="21"/>
                <w:highlight w:val="none"/>
              </w:rPr>
              <w:t>开孔尺寸：要求标准59cm×59cm开孔尺寸。</w:t>
            </w:r>
          </w:p>
          <w:p w14:paraId="0C6F7EA6">
            <w:pPr>
              <w:numPr>
                <w:ilvl w:val="0"/>
                <w:numId w:val="0"/>
              </w:numPr>
              <w:ind w:left="425" w:leftChars="0" w:hanging="425" w:firstLineChars="0"/>
              <w:rPr>
                <w:rFonts w:hint="eastAsia"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rPr>
              <w:t>灯具尺寸：要求标准60cm×60cm灯具尺寸。</w:t>
            </w:r>
          </w:p>
        </w:tc>
      </w:tr>
      <w:tr w14:paraId="4A96C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14:paraId="2B4DAFBB">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26</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3FAB122B">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LED柔光灯遥控器</w:t>
            </w:r>
          </w:p>
        </w:tc>
        <w:tc>
          <w:tcPr>
            <w:tcW w:w="3929" w:type="pct"/>
            <w:tcBorders>
              <w:top w:val="single" w:color="auto" w:sz="4" w:space="0"/>
              <w:left w:val="single" w:color="auto" w:sz="4" w:space="0"/>
              <w:bottom w:val="single" w:color="auto" w:sz="4" w:space="0"/>
              <w:right w:val="single" w:color="auto" w:sz="4" w:space="0"/>
            </w:tcBorders>
            <w:noWrap w:val="0"/>
            <w:vAlign w:val="top"/>
          </w:tcPr>
          <w:p w14:paraId="176B9E40">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机身支持中英文两种语言。</w:t>
            </w:r>
          </w:p>
          <w:p w14:paraId="25EE7051">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支持对每只灯具进行独立调校。</w:t>
            </w:r>
          </w:p>
          <w:p w14:paraId="37EF64A0">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支持控制≥99组灯光，每组灯光可添加≥99个灯具。合计可控制灯具总数≥9801台。</w:t>
            </w:r>
          </w:p>
          <w:p w14:paraId="13939FEE">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支持节能/保护模式。</w:t>
            </w:r>
          </w:p>
          <w:p w14:paraId="53FD17A6">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支持自动进入省电模式。</w:t>
            </w:r>
          </w:p>
          <w:p w14:paraId="044A4550">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lang w:val="en-US" w:eastAsia="zh-CN" w:bidi="ar"/>
              </w:rPr>
              <w:t>6.</w:t>
            </w:r>
            <w:r>
              <w:rPr>
                <w:rFonts w:hint="eastAsia" w:ascii="宋体" w:hAnsi="宋体" w:eastAsia="宋体" w:cs="宋体"/>
                <w:color w:val="auto"/>
                <w:sz w:val="21"/>
                <w:szCs w:val="21"/>
                <w:highlight w:val="none"/>
              </w:rPr>
              <w:t>支持有效传输距离≥150m，灯与灯之间无需连接信号线。</w:t>
            </w:r>
          </w:p>
        </w:tc>
      </w:tr>
      <w:tr w14:paraId="1621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14:paraId="2023BE9E">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27</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4EC732EB">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显示器</w:t>
            </w:r>
          </w:p>
        </w:tc>
        <w:tc>
          <w:tcPr>
            <w:tcW w:w="3929" w:type="pct"/>
            <w:tcBorders>
              <w:top w:val="single" w:color="auto" w:sz="4" w:space="0"/>
              <w:left w:val="single" w:color="auto" w:sz="4" w:space="0"/>
              <w:bottom w:val="single" w:color="auto" w:sz="4" w:space="0"/>
              <w:right w:val="single" w:color="auto" w:sz="4" w:space="0"/>
            </w:tcBorders>
            <w:noWrap w:val="0"/>
            <w:vAlign w:val="center"/>
          </w:tcPr>
          <w:p w14:paraId="5B25615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1.尺寸≥23英寸，液晶面板为IPS屏。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2.亮度值≥250cd/㎡。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3.对比度≥1000:1，屏幕刷新率≥75Hz，响应时间≤7ms，可视角度≥178°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4.支持高色域显示，色域值≥DCI-P390%；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5.支持硬件低蓝光，获得TUV硬件低蓝光认证。</w:t>
            </w:r>
          </w:p>
        </w:tc>
      </w:tr>
      <w:tr w14:paraId="2AE1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14:paraId="28A5438D">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28</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74980C6C">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提词器</w:t>
            </w:r>
          </w:p>
        </w:tc>
        <w:tc>
          <w:tcPr>
            <w:tcW w:w="3929" w:type="pct"/>
            <w:tcBorders>
              <w:top w:val="single" w:color="auto" w:sz="4" w:space="0"/>
              <w:left w:val="single" w:color="auto" w:sz="4" w:space="0"/>
              <w:bottom w:val="single" w:color="auto" w:sz="4" w:space="0"/>
              <w:right w:val="single" w:color="auto" w:sz="4" w:space="0"/>
            </w:tcBorders>
            <w:noWrap w:val="0"/>
            <w:vAlign w:val="center"/>
          </w:tcPr>
          <w:p w14:paraId="02B0EBE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内嵌主机双镜像智能提词器，采用企业级高效内嵌微型主机，采用ATX系列主板，Intel专业CPU，2GB内存，32GB高速msata企业版硬盘，自带集成镜像模式，广泛支持图片、视频、网页、ppt、word等格式，实现所见即所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2.搭配提词器专用无线遥控器，可轻松控制文稿的暂停与播放。操作简单，整体模块化设计，使用方便。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3.支持文稿录入、编辑方便，操作简单，自动完成排版。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4.具有一个高速网口，支持通过有线联网安装软件，从而实现钉钉直播、微信互动等交互功能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5.拥有不少于四个usb口，支持从U盘导入演讲文档，支持利用高拍仪直接导入扫描文档，并支持鼠标键盘控制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6.无需导播间专人配合，所有操作主持人通过无线遥控即可轻松完成，并且需支持暂停、播放、加速等功能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7.支持usb一键升级提词器系统，体验最新功能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8.提词器文稿屏亮度为250cd/m²，拥有一个hdmi接口，可以输出提词器文稿屏画面至导播间监看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9.提词器软件支持汉、藏、蒙、傣、维、朝鲜等少数民族语言。而且还支持国外的一些语言英、日、韩、德、俄、法、阿拉伯文等国家语言。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10.自带镜像功能，视觉清晰，字迹平稳：图象鲜艳，分辨率高，字符大、亮度高、画面平滑、无抖动，操作简便,功能齐全，视距大于2.5m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提词器软件自带镜像功能、男女播音员可分别选择不同的背景色和字色方便男女播音员选择自己的播音词，字体和字的大小任意选择，可选多种角色，以区分男角女角或更多播音角色。支持滚动速度任意调整；字号、字体任意设置，字色、背景色任意搭配等功能。软件控制方式多样化，键盘、鼠标、遥控器、脚踏板、遥控手柄均可</w:t>
            </w:r>
          </w:p>
        </w:tc>
      </w:tr>
      <w:tr w14:paraId="03727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14:paraId="0A7B70F4">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29</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6DBD1CB4">
            <w:pPr>
              <w:keepNext w:val="0"/>
              <w:keepLines w:val="0"/>
              <w:widowControl/>
              <w:suppressLineNumbers w:val="0"/>
              <w:jc w:val="both"/>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智能授课终端</w:t>
            </w:r>
          </w:p>
        </w:tc>
        <w:tc>
          <w:tcPr>
            <w:tcW w:w="3929" w:type="pct"/>
            <w:tcBorders>
              <w:top w:val="single" w:color="auto" w:sz="4" w:space="0"/>
              <w:left w:val="single" w:color="auto" w:sz="4" w:space="0"/>
              <w:bottom w:val="single" w:color="auto" w:sz="4" w:space="0"/>
              <w:right w:val="single" w:color="auto" w:sz="4" w:space="0"/>
            </w:tcBorders>
            <w:noWrap w:val="0"/>
            <w:vAlign w:val="center"/>
          </w:tcPr>
          <w:p w14:paraId="19CFF8C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整机要求（</w:t>
            </w:r>
            <w:r>
              <w:rPr>
                <w:rFonts w:hint="eastAsia" w:ascii="宋体" w:hAnsi="宋体" w:cs="宋体"/>
                <w:i w:val="0"/>
                <w:iCs w:val="0"/>
                <w:color w:val="auto"/>
                <w:kern w:val="0"/>
                <w:sz w:val="21"/>
                <w:szCs w:val="21"/>
                <w:highlight w:val="none"/>
                <w:u w:val="none"/>
                <w:lang w:val="en-US" w:eastAsia="zh-CN" w:bidi="ar"/>
              </w:rPr>
              <w:t>1套</w:t>
            </w:r>
            <w:r>
              <w:rPr>
                <w:rFonts w:hint="eastAsia" w:ascii="宋体" w:hAnsi="宋体" w:eastAsia="宋体" w:cs="宋体"/>
                <w:i w:val="0"/>
                <w:iCs w:val="0"/>
                <w:color w:val="auto"/>
                <w:kern w:val="0"/>
                <w:sz w:val="21"/>
                <w:szCs w:val="21"/>
                <w:highlight w:val="none"/>
                <w:u w:val="none"/>
                <w:lang w:val="en-US" w:eastAsia="zh-CN" w:bidi="ar"/>
              </w:rPr>
              <w:t>2台，双屏拼接形式）</w:t>
            </w:r>
          </w:p>
          <w:p w14:paraId="353C3DC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1.整机采用一体设计，部无任何可见内部功能模块连接线，整机采用86英寸超高清LED液晶屏，采用全物理钢化玻璃，钢化玻璃表面硬度≥9H。</w:t>
            </w:r>
          </w:p>
          <w:p w14:paraId="67EC866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2.整机显示屏幕采用全贴合方式,在结构上通过光学胶完全贴合在一起，减少显示面板与玻璃间的偏光、散射，画面显示更加清晰通透、可视角度更广。</w:t>
            </w:r>
          </w:p>
          <w:p w14:paraId="0724D40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3.★适应学校不同教室需求，设备支持双屏幕（32:9）及三屏幕（48:9）拼接展示，拼接缝隙≤0.5mm。（提供权威检测机构出具的检测报告复印件并加盖公章）</w:t>
            </w:r>
          </w:p>
          <w:p w14:paraId="54F7BFF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4.整机采用DC调光方式提升显示对比度，采用硬件低蓝光技术达到蓝光占比＜50%。（提供权威检测机构出具的检测报告复印件并加盖公章）</w:t>
            </w:r>
          </w:p>
          <w:p w14:paraId="087A708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5.★为防止声音传播收到障碍物阻挡，整机扬声器采用顶置发声设计，位于设备上边框，总功率≥60W，声道≥2.2，支持低延迟本地扩音，扩音延迟≤40ms。（提供权威检测机构出具的检测报告复印件并加盖公章）</w:t>
            </w:r>
          </w:p>
          <w:p w14:paraId="044524A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6.整机内置扬声器采用缝隙发声技术，喇叭采用槽式开口设计，不大于6mm。</w:t>
            </w:r>
          </w:p>
          <w:p w14:paraId="5B40626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7.整机内置8阵列麦克风，拾音角度≥160°，可用于对教室环境音频进行采集，拾音距离≥12m。（提供权威检测机构出具的检测报告复印件并加盖公章）</w:t>
            </w:r>
          </w:p>
          <w:p w14:paraId="6A0AED8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8.避免环境噪音影响采集效果，整机内置独立音频CPU处理器，支持麦克风3A算法（自动增益控制（AGC）、自动抑制噪声（ANC）、自动回声消除（AEC）），提升麦克风拾音效果。</w:t>
            </w:r>
          </w:p>
          <w:p w14:paraId="1D375A6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9.★整机内置≥4个摄像头，采用一体化集成设计，均支持3D降噪算法和数字宽动态范围成像WDR技术。（提供权威检测机构出具的检测报告复印件并加盖公章）</w:t>
            </w:r>
          </w:p>
          <w:p w14:paraId="777AB6E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其中智能拼接摄像头部分包含≥3个智能拼接摄像头，可拍摄≥1600万像素的照片，视场角≥140度，其中广角摄像头部分支持输出2592x1944分辨率30帧的视频，视场角≥140度。（提供权威检测机构出具的检测报告复印件并加盖公章）</w:t>
            </w:r>
          </w:p>
          <w:p w14:paraId="117DDD3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11.★为不影响各方使用设备，整机内置的摄像头模组支持同时输出至少3路视频流，同时支持巡课、数据采集、本地视频录制。（提供权威检测机构出具的检测报告复印件并加盖公章）</w:t>
            </w:r>
          </w:p>
          <w:p w14:paraId="377FDB9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12.★为确保日常无线使用稳定，整机内置双WiFi6无线网卡（不接受外接），Wi-Fi制式支持IEEE802.11a/b/g/n/ac/ax；支持版本Wi-Fi6或以上。（提供权威检测机构出具的检测报告复印件并加盖公章）</w:t>
            </w:r>
          </w:p>
          <w:p w14:paraId="7BCF1BF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13.整机支持蓝牙Bluetooth5.4或以上标准。（提供权威检测机构出具的检测报告复印件并加盖公章）</w:t>
            </w:r>
          </w:p>
          <w:p w14:paraId="39EFA99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14.嵌入式系统版本不低于Android13，内存≥4GB，存储空间≥32GB。（提供权威检测机构出具的检测报告复印件并加盖公章）</w:t>
            </w:r>
          </w:p>
          <w:p w14:paraId="1F54B43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15.★采用电容触控方式，Windows系统支持进行50点或以上触控，Android系统支持进行40点或以上触控，书写延迟≤16ms。（提供权威检测机构出具的检测报告复印件并加盖公章）</w:t>
            </w:r>
          </w:p>
          <w:p w14:paraId="755CCB6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16.整机支持双路可插拔模块，一个槽位支持</w:t>
            </w:r>
            <w:r>
              <w:rPr>
                <w:rFonts w:hint="eastAsia" w:ascii="宋体" w:hAnsi="宋体" w:cs="宋体"/>
                <w:i w:val="0"/>
                <w:iCs w:val="0"/>
                <w:color w:val="auto"/>
                <w:kern w:val="0"/>
                <w:sz w:val="21"/>
                <w:szCs w:val="21"/>
                <w:highlight w:val="none"/>
                <w:u w:val="none"/>
                <w:lang w:val="en-US" w:eastAsia="zh-CN" w:bidi="ar"/>
              </w:rPr>
              <w:t>主机</w:t>
            </w:r>
            <w:r>
              <w:rPr>
                <w:rFonts w:hint="eastAsia" w:ascii="宋体" w:hAnsi="宋体" w:eastAsia="宋体" w:cs="宋体"/>
                <w:i w:val="0"/>
                <w:iCs w:val="0"/>
                <w:color w:val="auto"/>
                <w:kern w:val="0"/>
                <w:sz w:val="21"/>
                <w:szCs w:val="21"/>
                <w:highlight w:val="none"/>
                <w:u w:val="none"/>
                <w:lang w:val="en-US" w:eastAsia="zh-CN" w:bidi="ar"/>
              </w:rPr>
              <w:t>模块插拔，另一个槽位支持AI模块插拔。</w:t>
            </w:r>
          </w:p>
          <w:p w14:paraId="46AF0E2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r>
              <w:rPr>
                <w:rFonts w:hint="eastAsia" w:ascii="宋体" w:hAnsi="宋体" w:cs="宋体"/>
                <w:i w:val="0"/>
                <w:iCs w:val="0"/>
                <w:color w:val="auto"/>
                <w:kern w:val="0"/>
                <w:sz w:val="21"/>
                <w:szCs w:val="21"/>
                <w:highlight w:val="none"/>
                <w:u w:val="none"/>
                <w:lang w:val="en-US" w:eastAsia="zh-CN" w:bidi="ar"/>
              </w:rPr>
              <w:t>主机</w:t>
            </w:r>
            <w:r>
              <w:rPr>
                <w:rFonts w:hint="eastAsia" w:ascii="宋体" w:hAnsi="宋体" w:eastAsia="宋体" w:cs="宋体"/>
                <w:i w:val="0"/>
                <w:iCs w:val="0"/>
                <w:color w:val="auto"/>
                <w:kern w:val="0"/>
                <w:sz w:val="21"/>
                <w:szCs w:val="21"/>
                <w:highlight w:val="none"/>
                <w:u w:val="none"/>
                <w:lang w:val="en-US" w:eastAsia="zh-CN" w:bidi="ar"/>
              </w:rPr>
              <w:t>模块搭载Intel酷睿系列i5或以上CPU，配置8GBDDR4或以上内存，配置256GB或以上SSD固态硬盘。和整机的连接采用万兆级接口，传输速率≥10Gbps。</w:t>
            </w:r>
          </w:p>
          <w:p w14:paraId="1A79845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18.整机具备至少6个前置按键，可实现开关机、调出中控菜单、音量+/-、护眼、录屏操作。</w:t>
            </w:r>
          </w:p>
          <w:p w14:paraId="64A4F52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符合学校个性化需求，设备多个前置按键支持自定义设置，可设置启用批注、截屏、计时、降半屏、放大镜、倒数日、纸质护眼模式、课堂智能反馈等功能。（提供权威检测机构出具的检测报告复印件并加盖公章）</w:t>
            </w:r>
          </w:p>
          <w:p w14:paraId="6C7092F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20.整机内置中控菜单及侧边栏菜单，方便教师进行应用切换、信号源通道切换、教学工具调用、整机调节等操作。</w:t>
            </w:r>
          </w:p>
          <w:p w14:paraId="472D1FC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21.整机支持sRGB模式，在sRGB模式下可做到高色准△E≤1.0。（提供权威检测机构出具的检测报告复印件并加盖公章）</w:t>
            </w:r>
          </w:p>
          <w:p w14:paraId="30829E1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整机系统支持人工智能画质调节模式，启用后当屏幕出现人物、建筑、夜景等元素时，自动调整画质参数；支持人工智能空间感知音效模式，通过内置麦克风采集环境声音自动生成符合当前环境的音量、音效。（提供权威检测机构出具的检测报告复印件并加盖公章）</w:t>
            </w:r>
          </w:p>
          <w:p w14:paraId="68F7AFF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23.整机支持纸质护眼模式，可实现画面纹理的实时调整；支持纸质纹理：水彩纸、水纹纸、素描纸、宣纸、牛皮纸等。（提供权威检测机构出具的检测报告复印件并加盖公章）</w:t>
            </w:r>
          </w:p>
          <w:p w14:paraId="77AF4B6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24.整机支持通过人脸识别进行登录账号。（提供权威检测机构出具的检测报告复印件并加盖公章）</w:t>
            </w:r>
          </w:p>
          <w:p w14:paraId="31CC193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整机具备智能手势识别功能，可识别五指上、下、左、右、画O、画~、左右晃动、缩/放等手势滑动并调用相应功能，支持将各手势滑动方向自定义设置为无操作、熄屏、批注、桌面、半屏模式。（提供权威检测机构出具的检测报告复印件并加盖公章）</w:t>
            </w:r>
          </w:p>
          <w:p w14:paraId="4793608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26.★整机触控书写功能集成预测算法，在书写速度≥40cm/s时笔迹距离笔的距离小于20mm。（提供权威检测机构出具的检测报告复印件并加盖公章）</w:t>
            </w:r>
          </w:p>
          <w:p w14:paraId="0F662EB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27.优化书写体验，整机支持提笔书写及手笔分离功能，例如当检测到触控笔笔尖接触屏幕时，自动进入书写模式，使用笔可正常书写，而使用手指可以点击操作。</w:t>
            </w:r>
          </w:p>
          <w:p w14:paraId="31A601B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28.整机触摸支持动态压力感应，支持普通书写笔（无任何电子功能）在整机上书写或点压时，笔迹呈现不同粗细。（提供权威检测机构出具的检测报告复印件并加盖公章）</w:t>
            </w:r>
          </w:p>
          <w:p w14:paraId="16C523C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29.整机内置传屏接收模块，整机不需要连接任何附加设备，可实现外部</w:t>
            </w:r>
            <w:r>
              <w:rPr>
                <w:rFonts w:hint="eastAsia" w:ascii="宋体" w:hAnsi="宋体" w:cs="宋体"/>
                <w:i w:val="0"/>
                <w:iCs w:val="0"/>
                <w:color w:val="auto"/>
                <w:kern w:val="0"/>
                <w:sz w:val="21"/>
                <w:szCs w:val="21"/>
                <w:highlight w:val="none"/>
                <w:u w:val="none"/>
                <w:lang w:val="en-US" w:eastAsia="zh-CN" w:bidi="ar"/>
              </w:rPr>
              <w:t>终端</w:t>
            </w:r>
            <w:r>
              <w:rPr>
                <w:rFonts w:hint="eastAsia" w:ascii="宋体" w:hAnsi="宋体" w:eastAsia="宋体" w:cs="宋体"/>
                <w:i w:val="0"/>
                <w:iCs w:val="0"/>
                <w:color w:val="auto"/>
                <w:kern w:val="0"/>
                <w:sz w:val="21"/>
                <w:szCs w:val="21"/>
                <w:highlight w:val="none"/>
                <w:u w:val="none"/>
                <w:lang w:val="en-US" w:eastAsia="zh-CN" w:bidi="ar"/>
              </w:rPr>
              <w:t>、手机等设备的音视频信号实时传输到整机上。</w:t>
            </w:r>
          </w:p>
          <w:p w14:paraId="1D4F4B5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30.★为了简化教师操作流程，整机支持发出超声波信号，智能手机通过麦克风接收后实现配对，一键投屏，用户无需手动输入或扫码等繁琐操作。（提供权威检测机构出具的检测报告复印件并加盖公章）</w:t>
            </w:r>
          </w:p>
          <w:p w14:paraId="652B73A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31.★整机Windows通道支持文件传输功能，连接方式支持超声及WiFi直连方式，传输方式支持公网传输及WiFi直连传输。（提供权威检测机构出具的检测报告复印件并加盖公章）</w:t>
            </w:r>
          </w:p>
        </w:tc>
      </w:tr>
      <w:tr w14:paraId="75EE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49" w:type="pct"/>
            <w:noWrap w:val="0"/>
            <w:vAlign w:val="center"/>
          </w:tcPr>
          <w:p w14:paraId="13546C41">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30</w:t>
            </w:r>
          </w:p>
        </w:tc>
        <w:tc>
          <w:tcPr>
            <w:tcW w:w="621" w:type="pct"/>
            <w:noWrap w:val="0"/>
            <w:vAlign w:val="center"/>
          </w:tcPr>
          <w:p w14:paraId="00B91622">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集控pro版</w:t>
            </w:r>
          </w:p>
        </w:tc>
        <w:tc>
          <w:tcPr>
            <w:tcW w:w="3929" w:type="pct"/>
            <w:noWrap w:val="0"/>
            <w:vAlign w:val="center"/>
          </w:tcPr>
          <w:p w14:paraId="680A94CB">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rPr>
              <w:t>★工作台配置：针对不同的客户诉求，提供个性化工作台自定义功能，在工作台配置页面，可通过拖拉拽可视化配置组件的方式，完成个性化工作台的配置；同时工作台支持启用和停用管理。（提供</w:t>
            </w:r>
            <w:r>
              <w:rPr>
                <w:rFonts w:hint="eastAsia" w:ascii="宋体" w:hAnsi="宋体" w:eastAsia="宋体" w:cs="宋体"/>
                <w:color w:val="auto"/>
                <w:sz w:val="21"/>
                <w:szCs w:val="21"/>
                <w:highlight w:val="none"/>
                <w:lang w:eastAsia="zh-CN"/>
              </w:rPr>
              <w:t>国家认可的检验检测机构</w:t>
            </w:r>
            <w:r>
              <w:rPr>
                <w:rFonts w:hint="eastAsia" w:ascii="宋体" w:hAnsi="宋体" w:eastAsia="宋体" w:cs="宋体"/>
                <w:color w:val="auto"/>
                <w:sz w:val="21"/>
                <w:szCs w:val="21"/>
                <w:highlight w:val="none"/>
              </w:rPr>
              <w:t>提供的检测报告并加盖公章）</w:t>
            </w:r>
          </w:p>
          <w:p w14:paraId="57321949">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rPr>
              <w:t>系统管理员：提供组织管理员管理功能，包括：管理员添加、移除和转移，同时支持设置管理员的管理权限，包括：组织管理，系统管理员管理，角色权限，工作台配置，应用管理，区域语言和操作日志。</w:t>
            </w:r>
          </w:p>
          <w:p w14:paraId="266956C3">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rPr>
              <w:t>操作日志；提供统一的日志查询功能，支持通过对日志进行筛选，筛选条件包括：日志模块，操作人，操作时间；支持查询最近6个月内的操作记录；支持针对每条日志查看日志详情。</w:t>
            </w:r>
          </w:p>
          <w:p w14:paraId="1564103E">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rPr>
              <w:t>自定义数据看板：支持定制功能，通过拖拽数据组件的方式，完成自定义数据中心；支持配置数据中心可见角色，支持设置多个可见角色；支持嵌入第三方数据看板，通过自定义网页组件填写第三方数据看板链接，即可融合各类数据看板在一个数据中心。（提供</w:t>
            </w:r>
            <w:r>
              <w:rPr>
                <w:rFonts w:hint="eastAsia" w:ascii="宋体" w:hAnsi="宋体" w:eastAsia="宋体" w:cs="宋体"/>
                <w:color w:val="auto"/>
                <w:sz w:val="21"/>
                <w:szCs w:val="21"/>
                <w:highlight w:val="none"/>
                <w:lang w:eastAsia="zh-CN"/>
              </w:rPr>
              <w:t>国家认可的检验检测机构</w:t>
            </w:r>
            <w:r>
              <w:rPr>
                <w:rFonts w:hint="eastAsia" w:ascii="宋体" w:hAnsi="宋体" w:eastAsia="宋体" w:cs="宋体"/>
                <w:color w:val="auto"/>
                <w:sz w:val="21"/>
                <w:szCs w:val="21"/>
                <w:highlight w:val="none"/>
              </w:rPr>
              <w:t>提供的检测报告并加盖公章）</w:t>
            </w:r>
          </w:p>
          <w:p w14:paraId="1A2639EE">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rPr>
              <w:t>教职工管理：支持管理员手动添加教职工，教职工信息包括：教工号，姓名，手机号码，角色，管理范围；添加方式包括：Excel批量导入，批量复制，手动添加；支持导出，查询，删除教职工；教职工支持设置部门组织架构，支持多级组织架构，支持在组织架构节点上导入用户。</w:t>
            </w:r>
          </w:p>
          <w:p w14:paraId="42B1F584">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rPr>
              <w:t>角色权限：支持学校自定义角色组，针对角色可设置功能权限；支持自定义角色下对应成员的管理范围。</w:t>
            </w:r>
          </w:p>
          <w:p w14:paraId="56BBE6B3">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rPr>
              <w:t>设备巡视：支持同时查看不少于20个教室的实时摄像头画面、设备屏幕画面；支持在一个显示界面同时查看单个教室内所有屏幕、所有摄像头的实时画面，以及所有麦克风的声音，其中摄像头画面可直接使用班班通自带摄像头；支持批量将学校已有网络摄像头导入系统内，同场地下的班班通设备会主动和网络摄像头建立连接，巡视时可调用网络摄像头查看教室实时画面；单台设备巡视时，支持远程发送文本消息、语音消息，支持记录备注、听课评价；支持巡视日志功能，可以回溯管理员的巡视历史。（提供</w:t>
            </w:r>
            <w:r>
              <w:rPr>
                <w:rFonts w:hint="eastAsia" w:ascii="宋体" w:hAnsi="宋体" w:eastAsia="宋体" w:cs="宋体"/>
                <w:color w:val="auto"/>
                <w:sz w:val="21"/>
                <w:szCs w:val="21"/>
                <w:highlight w:val="none"/>
                <w:lang w:eastAsia="zh-CN"/>
              </w:rPr>
              <w:t>国家认可的检验检测机构</w:t>
            </w:r>
            <w:r>
              <w:rPr>
                <w:rFonts w:hint="eastAsia" w:ascii="宋体" w:hAnsi="宋体" w:eastAsia="宋体" w:cs="宋体"/>
                <w:color w:val="auto"/>
                <w:sz w:val="21"/>
                <w:szCs w:val="21"/>
                <w:highlight w:val="none"/>
              </w:rPr>
              <w:t>提供的检测报告并加盖公章）</w:t>
            </w:r>
          </w:p>
          <w:p w14:paraId="0A387279">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rPr>
              <w:t>个性化巡视：支持自定义巡视水印类型、水印内容及水印颜色等设置，设置水印后，巡视过程中的摄像头画面和设备屏幕画面都会增加水印信息；支持自定义过滤摄像头、麦克风。</w:t>
            </w:r>
          </w:p>
          <w:p w14:paraId="2FF9A9E7">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rPr>
              <w:t>掌上看班：支持管理者开启掌上看班服务，开启/关闭掌上看班的管控功能；支持管理者为普通老师直接分配、普通老师自行申请后由管理者在平台审核开通的2种方式管理掌上看班的班级权限，所有权限调整均配备操作日志；支持通过教师、设备维度查看拥有掌上看班的权限明细，并支持快速调整权限。（提供</w:t>
            </w:r>
            <w:r>
              <w:rPr>
                <w:rFonts w:hint="eastAsia" w:ascii="宋体" w:hAnsi="宋体" w:eastAsia="宋体" w:cs="宋体"/>
                <w:color w:val="auto"/>
                <w:sz w:val="21"/>
                <w:szCs w:val="21"/>
                <w:highlight w:val="none"/>
                <w:lang w:eastAsia="zh-CN"/>
              </w:rPr>
              <w:t>国家认可的检验检测机构</w:t>
            </w:r>
            <w:r>
              <w:rPr>
                <w:rFonts w:hint="eastAsia" w:ascii="宋体" w:hAnsi="宋体" w:eastAsia="宋体" w:cs="宋体"/>
                <w:color w:val="auto"/>
                <w:sz w:val="21"/>
                <w:szCs w:val="21"/>
                <w:highlight w:val="none"/>
              </w:rPr>
              <w:t>提供的检测报告并加盖公章）</w:t>
            </w:r>
          </w:p>
          <w:p w14:paraId="6DB3D5B3">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rPr>
              <w:t>★点播巡视：支持根据班级课程表，自动获取正在上课或者即将上课的科目、老师列表，快速定位老师所在教室，实时远程听课；支持听课过程中针对本节课的教学过程进行评价，支持创建和使用多个评课表，并将评价记录于巡视记录。（提供</w:t>
            </w:r>
            <w:r>
              <w:rPr>
                <w:rFonts w:hint="eastAsia" w:ascii="宋体" w:hAnsi="宋体" w:eastAsia="宋体" w:cs="宋体"/>
                <w:color w:val="auto"/>
                <w:sz w:val="21"/>
                <w:szCs w:val="21"/>
                <w:highlight w:val="none"/>
                <w:lang w:eastAsia="zh-CN"/>
              </w:rPr>
              <w:t>国家认可的检验检测机构</w:t>
            </w:r>
            <w:r>
              <w:rPr>
                <w:rFonts w:hint="eastAsia" w:ascii="宋体" w:hAnsi="宋体" w:eastAsia="宋体" w:cs="宋体"/>
                <w:color w:val="auto"/>
                <w:sz w:val="21"/>
                <w:szCs w:val="21"/>
                <w:highlight w:val="none"/>
              </w:rPr>
              <w:t>提供的检测报告并加盖公章）</w:t>
            </w:r>
          </w:p>
          <w:p w14:paraId="7190BD1F">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11</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rPr>
              <w:t>★批量磁盘清理：支持远程批量清理设备磁盘；支持清理指定磁盘的指定文件夹；支持清理系统盘备份、缓存、日志等文件；支持迁移系统盘视频、图片、音乐、文档文件；支持格式化非系统盘磁盘。（提供</w:t>
            </w:r>
            <w:r>
              <w:rPr>
                <w:rFonts w:hint="eastAsia" w:ascii="宋体" w:hAnsi="宋体" w:eastAsia="宋体" w:cs="宋体"/>
                <w:color w:val="auto"/>
                <w:sz w:val="21"/>
                <w:szCs w:val="21"/>
                <w:highlight w:val="none"/>
                <w:lang w:eastAsia="zh-CN"/>
              </w:rPr>
              <w:t>国家认可的检验检测机构</w:t>
            </w:r>
            <w:r>
              <w:rPr>
                <w:rFonts w:hint="eastAsia" w:ascii="宋体" w:hAnsi="宋体" w:eastAsia="宋体" w:cs="宋体"/>
                <w:color w:val="auto"/>
                <w:sz w:val="21"/>
                <w:szCs w:val="21"/>
                <w:highlight w:val="none"/>
              </w:rPr>
              <w:t>提供的检测报告并加盖公章）</w:t>
            </w:r>
          </w:p>
          <w:p w14:paraId="66473C51">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12</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rPr>
              <w:t>★流量监管：支持查看校内当日班班通设备流量使用的具体情况、带宽利用率；支持对设备进行限速设置。（提供</w:t>
            </w:r>
            <w:r>
              <w:rPr>
                <w:rFonts w:hint="eastAsia" w:ascii="宋体" w:hAnsi="宋体" w:eastAsia="宋体" w:cs="宋体"/>
                <w:color w:val="auto"/>
                <w:sz w:val="21"/>
                <w:szCs w:val="21"/>
                <w:highlight w:val="none"/>
                <w:lang w:eastAsia="zh-CN"/>
              </w:rPr>
              <w:t>国家认可的检验检测机构</w:t>
            </w:r>
            <w:r>
              <w:rPr>
                <w:rFonts w:hint="eastAsia" w:ascii="宋体" w:hAnsi="宋体" w:eastAsia="宋体" w:cs="宋体"/>
                <w:color w:val="auto"/>
                <w:sz w:val="21"/>
                <w:szCs w:val="21"/>
                <w:highlight w:val="none"/>
              </w:rPr>
              <w:t>提供的检测报告并加盖公章）</w:t>
            </w:r>
          </w:p>
          <w:p w14:paraId="763A897F">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13</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rPr>
              <w:t>★网址过滤：支持设置网址访问黑名单、白名单，限制所有设备的网址访问。（提供</w:t>
            </w:r>
            <w:r>
              <w:rPr>
                <w:rFonts w:hint="eastAsia" w:ascii="宋体" w:hAnsi="宋体" w:eastAsia="宋体" w:cs="宋体"/>
                <w:color w:val="auto"/>
                <w:sz w:val="21"/>
                <w:szCs w:val="21"/>
                <w:highlight w:val="none"/>
                <w:lang w:eastAsia="zh-CN"/>
              </w:rPr>
              <w:t>国家认可的检验检测机构</w:t>
            </w:r>
            <w:r>
              <w:rPr>
                <w:rFonts w:hint="eastAsia" w:ascii="宋体" w:hAnsi="宋体" w:eastAsia="宋体" w:cs="宋体"/>
                <w:color w:val="auto"/>
                <w:sz w:val="21"/>
                <w:szCs w:val="21"/>
                <w:highlight w:val="none"/>
              </w:rPr>
              <w:t>提供的检测报告并加盖公章）</w:t>
            </w:r>
          </w:p>
          <w:p w14:paraId="26743856">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14</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rPr>
              <w:t>★AI画面监测：支持AI自动监测设备画面色情、恐怖、暴力、游戏等风险内容或元素；支持设置警告内容，当监测到不良画面后自动提醒；支持将每天监测到的风险结果自动推送至公众号提醒管理；支持按设备、按画面维度回溯历史监测到的不良画面信息。（提供</w:t>
            </w:r>
            <w:r>
              <w:rPr>
                <w:rFonts w:hint="eastAsia" w:ascii="宋体" w:hAnsi="宋体" w:eastAsia="宋体" w:cs="宋体"/>
                <w:color w:val="auto"/>
                <w:sz w:val="21"/>
                <w:szCs w:val="21"/>
                <w:highlight w:val="none"/>
                <w:lang w:eastAsia="zh-CN"/>
              </w:rPr>
              <w:t>国家认可的检验检测机构</w:t>
            </w:r>
            <w:r>
              <w:rPr>
                <w:rFonts w:hint="eastAsia" w:ascii="宋体" w:hAnsi="宋体" w:eastAsia="宋体" w:cs="宋体"/>
                <w:color w:val="auto"/>
                <w:sz w:val="21"/>
                <w:szCs w:val="21"/>
                <w:highlight w:val="none"/>
              </w:rPr>
              <w:t>提供的检测报告并加盖公章）</w:t>
            </w:r>
          </w:p>
          <w:p w14:paraId="66231DD0">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15</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rPr>
              <w:t>★设备概览：支持通过不少于五大维度，科学合理监测评估基建设备的稳定性；支持通过网络达标情况了解设备是否常态化联网；支持通过硬件达标情况了解设备使用年限、CPU/内存/磁盘等硬件的配置，通过流畅度情况了解设备CPU占用/温度、内存占用、系统盘容量占用的情况；支持通过安全达标情况了解设备启用安全防护服务的情况；支持通过设备应用情况来了解设备、教师在教学中的使用情况，包含：使用率、软件使用情况、网址访问情况。（提供</w:t>
            </w:r>
            <w:r>
              <w:rPr>
                <w:rFonts w:hint="eastAsia" w:ascii="宋体" w:hAnsi="宋体" w:eastAsia="宋体" w:cs="宋体"/>
                <w:color w:val="auto"/>
                <w:sz w:val="21"/>
                <w:szCs w:val="21"/>
                <w:highlight w:val="none"/>
                <w:lang w:eastAsia="zh-CN"/>
              </w:rPr>
              <w:t>国家认可的检验检测机构</w:t>
            </w:r>
            <w:r>
              <w:rPr>
                <w:rFonts w:hint="eastAsia" w:ascii="宋体" w:hAnsi="宋体" w:eastAsia="宋体" w:cs="宋体"/>
                <w:color w:val="auto"/>
                <w:sz w:val="21"/>
                <w:szCs w:val="21"/>
                <w:highlight w:val="none"/>
              </w:rPr>
              <w:t>提供的检测报告并加盖公章）</w:t>
            </w:r>
          </w:p>
          <w:p w14:paraId="7004DB83">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16</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rPr>
              <w:t>★设备盘点：支持快速筛选全校所有设备各项指标的达标率，快速定位和识别问题设备；支持单设备查看详情，掌握设备的基础参数，以及各项指标的明细数据；支持快速导出全校所有设备的网络状态、硬件参数、流畅度、安全防护服务开启情况。（提供</w:t>
            </w:r>
            <w:r>
              <w:rPr>
                <w:rFonts w:hint="eastAsia" w:ascii="宋体" w:hAnsi="宋体" w:eastAsia="宋体" w:cs="宋体"/>
                <w:color w:val="auto"/>
                <w:sz w:val="21"/>
                <w:szCs w:val="21"/>
                <w:highlight w:val="none"/>
                <w:lang w:eastAsia="zh-CN"/>
              </w:rPr>
              <w:t>国家认可的检验检测机构</w:t>
            </w:r>
            <w:r>
              <w:rPr>
                <w:rFonts w:hint="eastAsia" w:ascii="宋体" w:hAnsi="宋体" w:eastAsia="宋体" w:cs="宋体"/>
                <w:color w:val="auto"/>
                <w:sz w:val="21"/>
                <w:szCs w:val="21"/>
                <w:highlight w:val="none"/>
              </w:rPr>
              <w:t>提供的检测报告并加盖公章）</w:t>
            </w:r>
          </w:p>
          <w:p w14:paraId="77364309">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17、</w:t>
            </w:r>
            <w:r>
              <w:rPr>
                <w:rFonts w:hint="eastAsia" w:ascii="宋体" w:hAnsi="宋体" w:eastAsia="宋体" w:cs="宋体"/>
                <w:color w:val="auto"/>
                <w:sz w:val="21"/>
                <w:szCs w:val="21"/>
                <w:highlight w:val="none"/>
              </w:rPr>
              <w:t>个性化配置：支持管理者配置学校设备总览页需展示的组件内容、顺序；支持学校设置符合本校管理需要的设备使用率、网络/硬件/流畅度/安全达标率。</w:t>
            </w:r>
          </w:p>
          <w:p w14:paraId="350ED8D1">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18</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rPr>
              <w:t>★基建优化建议：支持解读设备运行数据，提供基建优化建议；支持根据网络带宽利用率分析网络稳定性并提供优化方案；支持根据硬件参数及流畅度达标情况分析设备运行稳定性并提供优化方案；支持根据安全服务开启情况分析设备运行风险并提供优化方案。（提供</w:t>
            </w:r>
            <w:r>
              <w:rPr>
                <w:rFonts w:hint="eastAsia" w:ascii="宋体" w:hAnsi="宋体" w:eastAsia="宋体" w:cs="宋体"/>
                <w:color w:val="auto"/>
                <w:sz w:val="21"/>
                <w:szCs w:val="21"/>
                <w:highlight w:val="none"/>
                <w:lang w:eastAsia="zh-CN"/>
              </w:rPr>
              <w:t>国家认可的检验检测机构</w:t>
            </w:r>
            <w:r>
              <w:rPr>
                <w:rFonts w:hint="eastAsia" w:ascii="宋体" w:hAnsi="宋体" w:eastAsia="宋体" w:cs="宋体"/>
                <w:color w:val="auto"/>
                <w:sz w:val="21"/>
                <w:szCs w:val="21"/>
                <w:highlight w:val="none"/>
              </w:rPr>
              <w:t>提供的检测报告并加盖公章）</w:t>
            </w:r>
          </w:p>
          <w:p w14:paraId="1E3CFB63">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19</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rPr>
              <w:t>★素养提升建议：支持分析解读教师使用数据，提供信息化素养提升建议；支持根据各学科/设备/老师使用数据分析经验丰富的老师，并提供信息化素养提升建议；支持根据不同类型软件的使用明细分析本校常用软件，并提供软件普及、替换或拦截建议。（提供</w:t>
            </w:r>
            <w:r>
              <w:rPr>
                <w:rFonts w:hint="eastAsia" w:ascii="宋体" w:hAnsi="宋体" w:eastAsia="宋体" w:cs="宋体"/>
                <w:color w:val="auto"/>
                <w:sz w:val="21"/>
                <w:szCs w:val="21"/>
                <w:highlight w:val="none"/>
                <w:lang w:eastAsia="zh-CN"/>
              </w:rPr>
              <w:t>国家认可的检验检测机构</w:t>
            </w:r>
            <w:r>
              <w:rPr>
                <w:rFonts w:hint="eastAsia" w:ascii="宋体" w:hAnsi="宋体" w:eastAsia="宋体" w:cs="宋体"/>
                <w:color w:val="auto"/>
                <w:sz w:val="21"/>
                <w:szCs w:val="21"/>
                <w:highlight w:val="none"/>
              </w:rPr>
              <w:t>提供的检测报告并加盖公章）</w:t>
            </w:r>
          </w:p>
          <w:p w14:paraId="2E5A7696">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bidi="ar-SA"/>
              </w:rPr>
              <w:t>20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rPr>
              <w:t>★时事转播：支持实时强制转播时事新闻，设备执行播放任务过程中可由学校老师扫码验证身份后退出本次转播服务执行；支持新闻网页地址、纯视频文件2种转播方式；支持立即、定时、周循环3种循环模式；支持指定设备定向发布内容；支持查看执行结果和计划列表。（提供</w:t>
            </w:r>
            <w:r>
              <w:rPr>
                <w:rFonts w:hint="eastAsia" w:ascii="宋体" w:hAnsi="宋体" w:eastAsia="宋体" w:cs="宋体"/>
                <w:color w:val="auto"/>
                <w:sz w:val="21"/>
                <w:szCs w:val="21"/>
                <w:highlight w:val="none"/>
                <w:lang w:eastAsia="zh-CN"/>
              </w:rPr>
              <w:t>国家认可的检验检测机构</w:t>
            </w:r>
            <w:r>
              <w:rPr>
                <w:rFonts w:hint="eastAsia" w:ascii="宋体" w:hAnsi="宋体" w:eastAsia="宋体" w:cs="宋体"/>
                <w:color w:val="auto"/>
                <w:sz w:val="21"/>
                <w:szCs w:val="21"/>
                <w:highlight w:val="none"/>
              </w:rPr>
              <w:t>提供的检测报告并加盖公章）</w:t>
            </w:r>
          </w:p>
        </w:tc>
      </w:tr>
      <w:tr w14:paraId="37BA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noWrap w:val="0"/>
            <w:vAlign w:val="center"/>
          </w:tcPr>
          <w:p w14:paraId="4347ED30">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31</w:t>
            </w:r>
          </w:p>
        </w:tc>
        <w:tc>
          <w:tcPr>
            <w:tcW w:w="621" w:type="pct"/>
            <w:noWrap w:val="0"/>
            <w:vAlign w:val="center"/>
          </w:tcPr>
          <w:p w14:paraId="0399CD2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AI授课助手</w:t>
            </w:r>
          </w:p>
        </w:tc>
        <w:tc>
          <w:tcPr>
            <w:tcW w:w="3929" w:type="pct"/>
            <w:noWrap w:val="0"/>
            <w:vAlign w:val="center"/>
          </w:tcPr>
          <w:p w14:paraId="11D4087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智能试题讲评</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对输入的图片内容，智能识别试题，实现智能预判并提供对应的工具和资源</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支持智能切割题目，可对单题进行讲解和批注，也可翻页查看其他试题;识别存在的手写笔迹，支持一键抠除笔迹</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识别存在的几何图形(如长方体、立方体、圆柱体、圆锥、组合图形等)，支持获取具体的几何图形的三维尺寸比例(如长、宽、高)，并可对 2D 图片进行3D 重建:支持自由调整几何体的尺寸，包括按比例缩放、单独修改长宽高(对于圆柱体和圆锥体则是半径和高)</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支持为几何体的各个面和棱涂不同的颜色，并可360°旋转视角观察涂色面与未涂色面，支持通过平面展开图展示。</w:t>
            </w:r>
          </w:p>
          <w:p w14:paraId="1A20328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智能课文朗读</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对输入的图片内容，智能识别小学语文教材内容，并提取教材中的文本生成课文的朗读音频:支持定位到课文中的生词表，提取生词卡并可展示其部首、读音、笔画顺序和数量，还可分步展示和连续展示笔画书写。</w:t>
            </w:r>
          </w:p>
          <w:p w14:paraId="0AEB646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智能笔迹美化</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智能识别输入的书写笔迹，进行笔锋智能美化，模拟纸上书写的起笔、行笔和收笔等效果。</w:t>
            </w:r>
          </w:p>
          <w:p w14:paraId="23B1239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智能手写识别</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智能识别批注输入的内容类型:提取中文字符、英文词语、数学公式等结构化元素，并映射为相应的学科工具，如几何图形、汉字卡、单词卡和函数等。</w:t>
            </w:r>
          </w:p>
        </w:tc>
      </w:tr>
      <w:tr w14:paraId="4D3D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noWrap w:val="0"/>
            <w:vAlign w:val="center"/>
          </w:tcPr>
          <w:p w14:paraId="24D65E9A">
            <w:pPr>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32</w:t>
            </w:r>
          </w:p>
        </w:tc>
        <w:tc>
          <w:tcPr>
            <w:tcW w:w="621" w:type="pct"/>
            <w:noWrap w:val="0"/>
            <w:vAlign w:val="center"/>
          </w:tcPr>
          <w:p w14:paraId="74956BD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安装附件及线材</w:t>
            </w:r>
          </w:p>
        </w:tc>
        <w:tc>
          <w:tcPr>
            <w:tcW w:w="3929" w:type="pct"/>
            <w:noWrap w:val="0"/>
            <w:vAlign w:val="center"/>
          </w:tcPr>
          <w:p w14:paraId="6AAF770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HDMI高清音视频信号线、超五类网络传输线、RVVP线缆、网络综合布线、翻页笔等。</w:t>
            </w:r>
          </w:p>
        </w:tc>
      </w:tr>
      <w:tr w14:paraId="02AB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noWrap w:val="0"/>
            <w:vAlign w:val="center"/>
          </w:tcPr>
          <w:p w14:paraId="40B815B3">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33</w:t>
            </w:r>
          </w:p>
        </w:tc>
        <w:tc>
          <w:tcPr>
            <w:tcW w:w="621" w:type="pct"/>
            <w:noWrap w:val="0"/>
            <w:vAlign w:val="center"/>
          </w:tcPr>
          <w:p w14:paraId="0114FDEA">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移动录播主机</w:t>
            </w:r>
          </w:p>
        </w:tc>
        <w:tc>
          <w:tcPr>
            <w:tcW w:w="3929" w:type="pct"/>
            <w:noWrap w:val="0"/>
            <w:vAlign w:val="center"/>
          </w:tcPr>
          <w:p w14:paraId="691E4BE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1.★主机需采用≥3颗ARM架构处理器，主处理器采用≥6核架构。（需提供具有CNAS或CMA标识的国家权威检测机构出具的检测报告复印件并加盖投标人公章）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2.主机采用SSD硬盘，存储容量≥500GB。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3.主机内置电池模组，电池容量≥16000mAH，可支持≥6小时续航，可通过主机一体化屏幕对电池电量进行可视化监测，以百分比方式显示电量，充电状态、低电量状态、充满完成均有对应的状态提示。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4.主机内置WIFI6模组，可连接WIFI网络实现直播。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5.支持多网互备，有线网络和WIFI网络可以相互备份使用，两个网络链路可以实现动态切换，无需人工操控干预，保障直播稳定性。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6.主机内置无线视频接入模块，支持≥4路无线视频信号输入，支持≥100m无线图像传输。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主机接入的无线摄像机的电量可通过主机一体化屏幕对电池电量进行可视化监测，能够以百分比方式显示电量，充电状态、低电量状态、充满完成均有对应的状态提示，接入摄像机无线信号强度可以通过信号图标进行直观展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内置音频接收模块。无需外接无线音频接收模块，即可完成无线音频采集，支持同时≥2个无线麦克风接入，且同时支持≥2种对频模式。麦克风链接成功后，主机会显示无线麦克风连接成功图标，可通过麦表动态查看声音采集状态。（需提供具有CNAS或CMA标识的国家权威检测机构出具的检测报告复印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9.支持≥2个HDMI高清采集接口，支持分辨率包含：3840×2160p@30Hz、1920×1080p@60Hz等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10.★支持≥4路高清视频输出，视频输出可同一时间输出分辨率不小于4K的不同视频源。（需提供具有CNAS或CMA标识的国家权威检测机构出具的检测报告复印件并加盖投标人公章）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11.支持≥2个线路信号立体声输入，≥2个线路立体声音频输出。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12.主机采用多功能电源按键，通过一个按键可以实现开机、关机、节能待机。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 H.264(BP/MP/HP)视频编码与解码，可扩展支持H.265 编码/解码。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网络监测功能，无需安装第三方软件，在触控屏幕上显示教室网络状态，包括：服务联通性、网络稳定性、上下行速度、网络追踪性、网卡信息。（需提供具有CNAS或CMA标识的国家权威检测机构出具的检测报告复印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主机内置扬声器，支持音频检测，通过主机内置扬声器可以播放测试音频，通过主机一体化屏幕进行视频预览时能够同步播放音频，且可控制播放音频音量大小。（需提供具有CNAS或CMA标识的国家权威检测机构出具的检测报告复印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16.支持单个文件、文件夹拷贝；多个文件、多个文件夹批量拷贝；支持动态显示拷贝进度，完成时自动提醒；当有多个 U 盘插入时，可在互动录播主机一体化触控屏进行 U 盘选择。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17.支持 FTP 远程自动上传录像，录制停止后自动上传视频文件到 FTP 服务器，支持断点续传。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18.设备支持本地升级、可通过 U 盘实现设备升级，同时支持 OTA 远程在线升级，升级过程支持版本号校验，支持在线下载升级包自动完成升级。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19.★主机采用≥15英寸电容触控屏幕，屏幕色域≥72% NTSC，表面硬度≥7H，屏幕分辨率≥1920*1080。（需提供具有CNAS及CMA标识的国家权威检测机构出具的检测报告复印件并加盖投标人公章）</w:t>
            </w:r>
          </w:p>
        </w:tc>
      </w:tr>
      <w:tr w14:paraId="5136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noWrap w:val="0"/>
            <w:vAlign w:val="center"/>
          </w:tcPr>
          <w:p w14:paraId="60FDEAE4">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34</w:t>
            </w:r>
          </w:p>
        </w:tc>
        <w:tc>
          <w:tcPr>
            <w:tcW w:w="621" w:type="pct"/>
            <w:noWrap w:val="0"/>
            <w:vAlign w:val="center"/>
          </w:tcPr>
          <w:p w14:paraId="3A41F50D">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主机导播系统</w:t>
            </w:r>
            <w:r>
              <w:rPr>
                <w:rFonts w:hint="eastAsia" w:ascii="宋体" w:hAnsi="宋体" w:cs="宋体"/>
                <w:i w:val="0"/>
                <w:iCs w:val="0"/>
                <w:color w:val="auto"/>
                <w:kern w:val="0"/>
                <w:sz w:val="21"/>
                <w:szCs w:val="21"/>
                <w:highlight w:val="none"/>
                <w:u w:val="none"/>
                <w:lang w:val="en-US" w:eastAsia="zh-CN" w:bidi="ar"/>
              </w:rPr>
              <w:t>2</w:t>
            </w:r>
          </w:p>
        </w:tc>
        <w:tc>
          <w:tcPr>
            <w:tcW w:w="3929" w:type="pct"/>
            <w:noWrap w:val="0"/>
            <w:vAlign w:val="center"/>
          </w:tcPr>
          <w:p w14:paraId="676980C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 自动导播默认画面支持自定义设定，支持选择自动导播画面，可根据需要选择自动导播的画面，可设置自动导播画面的保护时间和保持时间。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支持多种画面模式，支持单画面、画中画、左右等分、三画面、四画面多种画面合成模式，支持自动导播、手动导播，可通过互动录播主机一体化触控屏实现模式选择。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导播优先级可自定义设定，支持定时切换设置，可自由选择切换时间和切换画面，支持根据学生、老师行为状态实现画面智能切换。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支持本地导播、远程导播，本地导播可通过互动录播主机一体化触控屏实现本地导播控制；也可通过触控回传实现画面导播，无需外接键鼠设备，通过交互智能平板实现对互动录播主机的导播控制，远程导播可通过网络实现远程导播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 支持课件画面自动检测，可设置检测灵敏度；支持课件画面检测区域设定，可屏蔽</w:t>
            </w:r>
            <w:r>
              <w:rPr>
                <w:rFonts w:hint="eastAsia" w:ascii="宋体" w:hAnsi="宋体" w:cs="宋体"/>
                <w:i w:val="0"/>
                <w:iCs w:val="0"/>
                <w:color w:val="auto"/>
                <w:kern w:val="0"/>
                <w:sz w:val="21"/>
                <w:szCs w:val="21"/>
                <w:highlight w:val="none"/>
                <w:u w:val="none"/>
                <w:lang w:val="en-US" w:eastAsia="zh-CN" w:bidi="ar"/>
              </w:rPr>
              <w:t>屏幕</w:t>
            </w:r>
            <w:r>
              <w:rPr>
                <w:rFonts w:hint="eastAsia" w:ascii="宋体" w:hAnsi="宋体" w:eastAsia="宋体" w:cs="宋体"/>
                <w:i w:val="0"/>
                <w:iCs w:val="0"/>
                <w:color w:val="auto"/>
                <w:kern w:val="0"/>
                <w:sz w:val="21"/>
                <w:szCs w:val="21"/>
                <w:highlight w:val="none"/>
                <w:u w:val="none"/>
                <w:lang w:val="en-US" w:eastAsia="zh-CN" w:bidi="ar"/>
              </w:rPr>
              <w:t>弹窗区域。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 支持导入与导出互动录播主机配置文件，进行升级和调试。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 支持云台摄像机控制，支持 PTZ（云台全方位移动及镜头变倍、变焦），多个预置位设置和调用；同时支持通过鼠标点击画面，实现云台摄像机跟踪，可通过鼠标滑轮实现镜头画面放大缩小。</w:t>
            </w:r>
          </w:p>
        </w:tc>
      </w:tr>
      <w:tr w14:paraId="4B8F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noWrap w:val="0"/>
            <w:vAlign w:val="center"/>
          </w:tcPr>
          <w:p w14:paraId="25E5C3C3">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35</w:t>
            </w:r>
          </w:p>
        </w:tc>
        <w:tc>
          <w:tcPr>
            <w:tcW w:w="621" w:type="pct"/>
            <w:noWrap w:val="0"/>
            <w:vAlign w:val="center"/>
          </w:tcPr>
          <w:p w14:paraId="014519FF">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主机互动系统</w:t>
            </w:r>
            <w:r>
              <w:rPr>
                <w:rFonts w:hint="eastAsia" w:ascii="宋体" w:hAnsi="宋体" w:cs="宋体"/>
                <w:i w:val="0"/>
                <w:iCs w:val="0"/>
                <w:color w:val="auto"/>
                <w:kern w:val="0"/>
                <w:sz w:val="21"/>
                <w:szCs w:val="21"/>
                <w:highlight w:val="none"/>
                <w:u w:val="none"/>
                <w:lang w:val="en-US" w:eastAsia="zh-CN" w:bidi="ar"/>
              </w:rPr>
              <w:t>2</w:t>
            </w:r>
          </w:p>
        </w:tc>
        <w:tc>
          <w:tcPr>
            <w:tcW w:w="3929" w:type="pct"/>
            <w:noWrap w:val="0"/>
            <w:vAlign w:val="center"/>
          </w:tcPr>
          <w:p w14:paraId="00F57E4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 支持标准SIP音视频互动协议，支持1080P60fps全高清视频互动。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2.支持互动清晰度设置：支持 1080p@60fps，分辨率可选择 1080p、720p、VGA、QVGA，帧率可选择 60fps、30fps、25fps。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支持双流自动发送，设置自动发送后，建立呼叫，主讲教室自动发送双流。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支持课程预约功能，互动录播主机能接收平台下发的互动课表，并显示于互动</w:t>
            </w:r>
            <w:r>
              <w:rPr>
                <w:rFonts w:hint="eastAsia" w:ascii="宋体" w:hAnsi="宋体" w:cs="宋体"/>
                <w:i w:val="0"/>
                <w:iCs w:val="0"/>
                <w:color w:val="auto"/>
                <w:kern w:val="0"/>
                <w:sz w:val="21"/>
                <w:szCs w:val="21"/>
                <w:highlight w:val="none"/>
                <w:u w:val="none"/>
                <w:lang w:val="en-US" w:eastAsia="zh-CN" w:bidi="ar"/>
              </w:rPr>
              <w:t>录播</w:t>
            </w:r>
            <w:r>
              <w:rPr>
                <w:rFonts w:hint="eastAsia" w:ascii="宋体" w:hAnsi="宋体" w:eastAsia="宋体" w:cs="宋体"/>
                <w:i w:val="0"/>
                <w:iCs w:val="0"/>
                <w:color w:val="auto"/>
                <w:kern w:val="0"/>
                <w:sz w:val="21"/>
                <w:szCs w:val="21"/>
                <w:highlight w:val="none"/>
                <w:u w:val="none"/>
                <w:lang w:val="en-US" w:eastAsia="zh-CN" w:bidi="ar"/>
              </w:rPr>
              <w:t>主机一体化触控屏上，用户点击课表即可立即加入课堂，进行实时互动。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 支持微信扫码登录，无需单独输入账号，使用微信扫描互动录播主机一体化触控屏上显示的二维码即可登录互动系统，登陆后显示用户头像和用户名。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 支持 3Mbps 网络带宽环境下实现 1080P@60fps 视频双向互动。</w:t>
            </w:r>
          </w:p>
        </w:tc>
      </w:tr>
      <w:tr w14:paraId="5680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noWrap w:val="0"/>
            <w:vAlign w:val="center"/>
          </w:tcPr>
          <w:p w14:paraId="00399C39">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36</w:t>
            </w:r>
          </w:p>
        </w:tc>
        <w:tc>
          <w:tcPr>
            <w:tcW w:w="621" w:type="pct"/>
            <w:noWrap w:val="0"/>
            <w:vAlign w:val="center"/>
          </w:tcPr>
          <w:p w14:paraId="32F38303">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主机视频处理系统</w:t>
            </w:r>
            <w:r>
              <w:rPr>
                <w:rFonts w:hint="eastAsia" w:ascii="宋体" w:hAnsi="宋体" w:cs="宋体"/>
                <w:i w:val="0"/>
                <w:iCs w:val="0"/>
                <w:color w:val="auto"/>
                <w:kern w:val="0"/>
                <w:sz w:val="21"/>
                <w:szCs w:val="21"/>
                <w:highlight w:val="none"/>
                <w:u w:val="none"/>
                <w:lang w:val="en-US" w:eastAsia="zh-CN" w:bidi="ar"/>
              </w:rPr>
              <w:t>2</w:t>
            </w:r>
          </w:p>
        </w:tc>
        <w:tc>
          <w:tcPr>
            <w:tcW w:w="3929" w:type="pct"/>
            <w:noWrap w:val="0"/>
            <w:vAlign w:val="center"/>
          </w:tcPr>
          <w:p w14:paraId="2A37B9D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 支持合成4K的PGM画面，包含导播画面、教师全景画面、教师特写画面、学生全景画面、学生特写画面。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支持多种类型视频信号接入，支持标准网络视频信号接入、高速数字信号接入。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支持通过rtsp协议接入第三方摄像机视频流。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支持不少于3种编码复杂度，支持Baseline Profile、Main profile、High profile</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 支持不少于两种码率控制方式，支持CBR（Constant Bit Rate）、VBR（Variable Bit Rate）。</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 支持通过网络实现对接入摄像机的设备信息检索。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 POE视频接入单元支持802.3af标准协议，可实现POE摄像机接入。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 HDMI采集通道支持画面缩放，可完成4K图像采集。</w:t>
            </w:r>
          </w:p>
        </w:tc>
      </w:tr>
      <w:tr w14:paraId="4F0C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noWrap w:val="0"/>
            <w:vAlign w:val="center"/>
          </w:tcPr>
          <w:p w14:paraId="2229C638">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37</w:t>
            </w:r>
          </w:p>
        </w:tc>
        <w:tc>
          <w:tcPr>
            <w:tcW w:w="621" w:type="pct"/>
            <w:noWrap w:val="0"/>
            <w:vAlign w:val="center"/>
          </w:tcPr>
          <w:p w14:paraId="22AB4DB3">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无线机械云台摄像机</w:t>
            </w:r>
          </w:p>
        </w:tc>
        <w:tc>
          <w:tcPr>
            <w:tcW w:w="3929" w:type="pct"/>
            <w:noWrap w:val="0"/>
            <w:vAlign w:val="center"/>
          </w:tcPr>
          <w:p w14:paraId="7A37741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 支持≥1路RJ45网络接口，10M/100M/自适应以太网。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支持≥1路HDMI OUT接口,≥1路3.5mm Line in接口,≥1路USB Type-C接口。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传感器尺寸≥CMOS 1/1.8英寸,有效像素≥800万。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镜头光圈：F1.58 ~ F3.95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 快门速度：1/30s ~ 1/10000s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 低照度支持&lt;0.1Lux @ (F1.8, AGC ON)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 支持不少于40倍变焦。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 支持水平翻转、垂直翻转，水平转动范围：±170°，垂直转动范围：-30°~+90°。</w:t>
            </w:r>
          </w:p>
        </w:tc>
      </w:tr>
      <w:tr w14:paraId="6B0E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noWrap w:val="0"/>
            <w:vAlign w:val="center"/>
          </w:tcPr>
          <w:p w14:paraId="56DA79AE">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38</w:t>
            </w:r>
          </w:p>
        </w:tc>
        <w:tc>
          <w:tcPr>
            <w:tcW w:w="621" w:type="pct"/>
            <w:noWrap w:val="0"/>
            <w:vAlign w:val="center"/>
          </w:tcPr>
          <w:p w14:paraId="766C2419">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云台摄像机图像处理系统</w:t>
            </w:r>
            <w:r>
              <w:rPr>
                <w:rFonts w:hint="eastAsia" w:ascii="宋体" w:hAnsi="宋体" w:cs="宋体"/>
                <w:i w:val="0"/>
                <w:iCs w:val="0"/>
                <w:color w:val="auto"/>
                <w:kern w:val="0"/>
                <w:sz w:val="21"/>
                <w:szCs w:val="21"/>
                <w:highlight w:val="none"/>
                <w:u w:val="none"/>
                <w:lang w:val="en-US" w:eastAsia="zh-CN" w:bidi="ar"/>
              </w:rPr>
              <w:t>2</w:t>
            </w:r>
          </w:p>
        </w:tc>
        <w:tc>
          <w:tcPr>
            <w:tcW w:w="3929" w:type="pct"/>
            <w:noWrap w:val="0"/>
            <w:vAlign w:val="center"/>
          </w:tcPr>
          <w:p w14:paraId="40D0E58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 支持畸变矫正功能。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支持H.264(BP、MP、HP)、H.265(MP)、MJPG编码协议。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网络视频编码输出格式：3840*2160@30fps、2560*1440@30fps、1920*1080@60fps、1920*1080@30fps、1920*1080@25fps等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HDMI视频编码输出格式：3840*2160@30fps 、2560*1440@30fps 、1920*1080@60fps 、1920*1080@30fps 、1920*1080@25fps等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 支持CBR、VBR码率控制。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 支持自动白平衡，背光补偿，强光抑制，图像冻结，2D/3D降噪。</w:t>
            </w:r>
          </w:p>
        </w:tc>
      </w:tr>
      <w:tr w14:paraId="3E71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noWrap w:val="0"/>
            <w:vAlign w:val="center"/>
          </w:tcPr>
          <w:p w14:paraId="1BA9A51C">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39</w:t>
            </w:r>
          </w:p>
        </w:tc>
        <w:tc>
          <w:tcPr>
            <w:tcW w:w="621" w:type="pct"/>
            <w:noWrap w:val="0"/>
            <w:vAlign w:val="center"/>
          </w:tcPr>
          <w:p w14:paraId="1DAEFFA1">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无线麦克风</w:t>
            </w:r>
            <w:r>
              <w:rPr>
                <w:rFonts w:hint="eastAsia" w:ascii="宋体" w:hAnsi="宋体" w:cs="宋体"/>
                <w:i w:val="0"/>
                <w:iCs w:val="0"/>
                <w:color w:val="auto"/>
                <w:kern w:val="0"/>
                <w:sz w:val="21"/>
                <w:szCs w:val="21"/>
                <w:highlight w:val="none"/>
                <w:u w:val="none"/>
                <w:lang w:val="en-US" w:eastAsia="zh-CN" w:bidi="ar"/>
              </w:rPr>
              <w:t>2</w:t>
            </w:r>
          </w:p>
        </w:tc>
        <w:tc>
          <w:tcPr>
            <w:tcW w:w="3929" w:type="pct"/>
            <w:noWrap w:val="0"/>
            <w:vAlign w:val="center"/>
          </w:tcPr>
          <w:p w14:paraId="2BCBCB7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1.★麦克风支持≥1个Pogo pin接口，支持通过Pogo pin接口进行充电。（需提供具有CNAS或CMA标识的国家权威检测机构出具的检测报告复印件并加盖投标人公章）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2.麦克风支持≥1个三合一按键，可控制麦克风的开关机、静音和配对。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3.麦克风支持≥2个音量控制按钮，可通过音量“+”“-”按钮控制麦克风输出音量。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4.麦克风充电仓支持电量指示，通过灯珠亮灭数量充电仓剩余电量及充电状态。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5.麦克风支持≥4种佩戴方式。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6.★麦克风领夹角度支持调节，调节角度≥±90°；麦克风与领夹夹角相对0°位置具备限位功能。（需提供具有CNAS或CMA标识的国家权威检测机构出具的检测报告复印件并加盖投标人公章）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7整机标配两个无线麦克风，且两个麦克风支持同时工作。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8.麦克风支持一键开启静音模式。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9.★麦克风支持通过音量调节按钮调节输出音量；音量调节过程中通过麦克风一体化屏幕动态提示当前音量等级。（需提供具有CNAS或CMA标识的国家权威检测机构出具的检测报告复印件并加盖投标人公章）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10.麦克风采用心型指向，信噪比≥95dB，音频采样率≥48kHz，音频采样精度≥16bit。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11.麦克风工作频段为2.4G。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12.支持抗干扰能力，支持自动跳频技术，避免同频干扰问题，同一空间内有多个无线麦克风不会产生相互干扰。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13.支持红外和无线同时配对。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麦克风具备彩色显示屏，支持显示麦克风电池电量、麦克风配对状态、麦克风所连接的设备、显示当前麦克风接收声音强度、无线连接信号强度。（需提供具有CNAS或CMA标识的国家权威检测机构出具的检测报告复印件并加盖投标人公章）</w:t>
            </w:r>
          </w:p>
        </w:tc>
      </w:tr>
      <w:tr w14:paraId="5D91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noWrap w:val="0"/>
            <w:vAlign w:val="center"/>
          </w:tcPr>
          <w:p w14:paraId="26D10CB3">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40</w:t>
            </w:r>
          </w:p>
        </w:tc>
        <w:tc>
          <w:tcPr>
            <w:tcW w:w="621" w:type="pct"/>
            <w:noWrap w:val="0"/>
            <w:vAlign w:val="center"/>
          </w:tcPr>
          <w:p w14:paraId="0813D2B1">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麦克风音频处理系统</w:t>
            </w:r>
          </w:p>
        </w:tc>
        <w:tc>
          <w:tcPr>
            <w:tcW w:w="3929" w:type="pct"/>
            <w:noWrap w:val="0"/>
            <w:vAlign w:val="center"/>
          </w:tcPr>
          <w:p w14:paraId="5F5041F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 麦克风音频编码方式采用LC3 plus。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支持啸叫抑制算法，本地扩声时不产生啸叫现象。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支持降噪功能设置。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支持多通道输入混音。</w:t>
            </w:r>
          </w:p>
        </w:tc>
      </w:tr>
      <w:tr w14:paraId="32C46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noWrap w:val="0"/>
            <w:vAlign w:val="center"/>
          </w:tcPr>
          <w:p w14:paraId="136DB44D">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41</w:t>
            </w:r>
          </w:p>
        </w:tc>
        <w:tc>
          <w:tcPr>
            <w:tcW w:w="621" w:type="pct"/>
            <w:noWrap w:val="0"/>
            <w:vAlign w:val="center"/>
          </w:tcPr>
          <w:p w14:paraId="53FFBCBE">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移动录播箱</w:t>
            </w:r>
          </w:p>
        </w:tc>
        <w:tc>
          <w:tcPr>
            <w:tcW w:w="3929" w:type="pct"/>
            <w:noWrap w:val="0"/>
            <w:vAlign w:val="center"/>
          </w:tcPr>
          <w:p w14:paraId="5D77744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 采用高强度聚丙烯复合材料，箱体承重≥50KG。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箱体可抗紫外线辐射，耐强力冲击。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支持IP67防护等级。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采用PU加尼龙双排静音轮。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 具备可伸缩拉杆，人体工学把手，采用包胶设计。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 配备金属防割锁孔，防剪防盗。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 内衬采用XPE材质，环保无刺激性气味。</w:t>
            </w:r>
          </w:p>
        </w:tc>
      </w:tr>
      <w:tr w14:paraId="6159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noWrap w:val="0"/>
            <w:vAlign w:val="center"/>
          </w:tcPr>
          <w:p w14:paraId="74F4E7A8">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42</w:t>
            </w:r>
          </w:p>
        </w:tc>
        <w:tc>
          <w:tcPr>
            <w:tcW w:w="621" w:type="pct"/>
            <w:noWrap w:val="0"/>
            <w:vAlign w:val="center"/>
          </w:tcPr>
          <w:p w14:paraId="36D6CC1D">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摄像机三脚架</w:t>
            </w:r>
          </w:p>
        </w:tc>
        <w:tc>
          <w:tcPr>
            <w:tcW w:w="3929" w:type="pct"/>
            <w:noWrap w:val="0"/>
            <w:vAlign w:val="center"/>
          </w:tcPr>
          <w:p w14:paraId="6436C4D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1.高强度全金属材质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2.支持伸缩，最大高度不低于1.8m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3.采用标准1/4英寸螺口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4.支持万千球头，便于调节角度</w:t>
            </w:r>
          </w:p>
        </w:tc>
      </w:tr>
      <w:tr w14:paraId="214A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noWrap w:val="0"/>
            <w:vAlign w:val="center"/>
          </w:tcPr>
          <w:p w14:paraId="0E882DE8">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43</w:t>
            </w:r>
          </w:p>
        </w:tc>
        <w:tc>
          <w:tcPr>
            <w:tcW w:w="621" w:type="pct"/>
            <w:noWrap w:val="0"/>
            <w:vAlign w:val="center"/>
          </w:tcPr>
          <w:p w14:paraId="355EF678">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录播资源管理平台</w:t>
            </w:r>
          </w:p>
        </w:tc>
        <w:tc>
          <w:tcPr>
            <w:tcW w:w="3929" w:type="pct"/>
            <w:noWrap w:val="0"/>
            <w:vAlign w:val="top"/>
          </w:tcPr>
          <w:p w14:paraId="09F05DD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1.系统采用模块化的架构设计B/S架构，支持管理员根据不同教师的工作需求创建角色，自定义该角色的名称和可使用的功能权限；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2.教师可以通过自主账号登录平台，根据教师个人学习需求对全校的视频课程进行筛选、点播观看、在线学习。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课程评论：支持用户对已发布视频进行视频打点并插入课堂评价，所评论内容需关联视频对应时间点。平台支持用户在线对课堂视频进行评论，所评论内容支持以新消息提示方式自动提醒授课教师。支持管理员对用户评论进行信息管理，可选择性删除评论内容，管控评论秩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4.公网直播：学校管理员可设置录播设备的直播模式为公网直播，自由发起公网直播活动，方便举办公开课、校园培训等活动。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①全局调度系统：实时收集节点负载、网络质量，并根据终端用户的 IP，将用户请求引导至最优的节点，以降低时延，提升流畅率。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②冗余带宽：云服务器具备T级的带宽储备和百万级并发承载能力，可应对突发增量的用户访问。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直播工作台：创建直播时支持添加直播助教；助教进入工作台可进行直播间秩序维护，具体功能包括：删除留言、禁言观众、发起签到、管理公告。（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6.直播分享：用户可一键生成链接并进行分享，其他用户通过打开链接的方式，可登录观看直播视频。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活动预告：支持PC端、移动端通过分享链接地址，查看直播活动的相关信息，包括封面、活动名称、学校名称、活动开始时间、简介、预览课件等；在预览课件时，用户可在课件上进行书写、擦除、移动图片素材等操作，且操作不影响原课件内容，方便评课老师在直播开始前，预览主讲老师的课件。（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活动课件：教师可选择云课件与直播关联，无需耗时上传本地文件；课件与直播关联后，支持用户在活动开始时间前查看云课件；活动开始后，用户可在观看直播视频的同时，在线查看已关联的云课件。（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9.★直播数据：直播开始后，支持查看直播的人气峰值、观看人次、累计点赞、观众发言次数、签到人数等数据，随时掌握直播情况。（提供国家认可的具备CMA及CNAS认证的检测机构所出具的权威检测报告复印件）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分组管理：教师可将多场已创建的直播、互动课堂、互动教研、课例评课等活动，添加至同一直播分组；每个分组自动生成分享二维码和链接，方便观众在一个分组链接中选择不同活动进行观看。（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11.课程搜索：支持用户通过课程、教师、学校名称等关键词快速搜索已发布的课程资源，支持用户查看最近搜索关键词记录，方便用户再次快速查找相关课程。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12.用户可在教师空间中，查看该教师上传的全部课程、个人简介、所属学校以及个人成就，个人成就包含上传课程的总数、课程播放总次数等。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13.教研评课：支持教师创建教研活动，并通过链接或海报分享给其他用户看课评课；支持教师在教研活动中查看活动简介、查看资料、发表点评、评课表打分。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教研数据：自动统计教研的点评次数、评课表平均分、观看人数等数据，支持查看文字点评的详情记录、评课表题目的客观题评分、主观题回答情况、教师评课记录。（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15.评课表管理：支持管理员创建多张评课表，并自定义评课表的标题、引导语、评分标准、题目分数、主观评价。至少提供一份评课表模板，方便用户快捷创建评课表。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用户访问平台网页观看线上课程时，可直接在平台网页中参与知识配对、选词填空、趣味分类等在线互动答题，加深对知识点的理解；完成后，可直接查看答题用时与答题排行榜，并可选择继续观看视频或再玩一次。（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17.★视频在线剪辑（提供国家认可的具备CMA及CNAS认证的检测机构所出具的权威检测报告复印件）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①支持用户对本地上传或录播机录制的视频，通过浏览器完成在线剪辑，将视频的无效内容删除，保留课堂中的重难点和精彩部分。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②效果预览：进行剪辑操作后，支持用户通过在线预览窗口，实时查看剪辑后的内容，确保视频效果。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③插入课堂活动：支持用户在平台上查看已上传的云课件，并选择课件中的课堂活动插入视频中，设置为课程的互动答题环节；课程发布后，用户观看到所对应的课程时间点时，系统将自动弹出课堂活动，需要完成互动答题才可进入下一阶段的知识点学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④视频截取：支持用户通过拖拽视频起点与终点，快速去除头部或尾部的无效内容，截取保留视频中的重点部分。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⑤视频分割与删除：支持基于时间刻度，将视频分割成若干个片段，并把无效片段删除。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18.产品应用教程：同一品牌提供有关产品应用的教程视频，方便老师自主学习观摩，熟悉掌握相关的信息化工具应用技术。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19.直播暖场素材：平台支持用户自主选择上传图片或视频，作为暖场素材在直播间隙循环播放。（需提供国家认可的具备CMA及CNAS认证的检测机构所出具的权威检测报告复印件）</w:t>
            </w:r>
          </w:p>
        </w:tc>
      </w:tr>
      <w:tr w14:paraId="4949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noWrap w:val="0"/>
            <w:vAlign w:val="center"/>
          </w:tcPr>
          <w:p w14:paraId="655C05DB">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44</w:t>
            </w:r>
          </w:p>
        </w:tc>
        <w:tc>
          <w:tcPr>
            <w:tcW w:w="621" w:type="pct"/>
            <w:noWrap w:val="0"/>
            <w:vAlign w:val="center"/>
          </w:tcPr>
          <w:p w14:paraId="21415DE4">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降噪麦克风</w:t>
            </w:r>
          </w:p>
        </w:tc>
        <w:tc>
          <w:tcPr>
            <w:tcW w:w="3929" w:type="pct"/>
            <w:noWrap w:val="0"/>
            <w:vAlign w:val="top"/>
          </w:tcPr>
          <w:p w14:paraId="4650737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1.麦克风采用≥4核的国产音频芯片。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2.麦克风频率响应范围不低于50Hz~16KHz。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3.麦克风拾音半径≥8m，信噪比≥68dB，声压级≥130dBSPL，10%THD@1 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4.麦克风无需额外适配器供电，能够通过网线实现麦克风供电、音频信号传输、参数调整。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5.★麦克风具备≥1个状态指示灯，可显示麦克风工作状态，蓝灯表示工作状态正常，红灯表示无法正常拾音。（提供国家认可的具备CMA及CNAS认证的检测机构所出具的权威检测报告复印件）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6.麦克风采用标准1/4吋螺口，适配各种类型标准吊杆。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7.★麦克风支持≥2个数字音频接口，支持盲插。（提供国家认可的具备CMA及CNAS认证的检测机构所出具的权威检测报告复印件）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8.★麦克风内置≥8个传感器单元。（提供国家认可的具备CMA及CNAS认证的检测机构所出具的权威检测报告复印件）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9.麦克风支持在线OTA，可在线对麦克风进行升级，无需人员现场维护。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10.麦克风支持降噪、回声抵消、混响抑制、自动增益控制、多麦融合多种音频算法。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11.麦克风支持数字音频传输。</w:t>
            </w:r>
          </w:p>
        </w:tc>
      </w:tr>
      <w:tr w14:paraId="52BC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noWrap w:val="0"/>
            <w:vAlign w:val="center"/>
          </w:tcPr>
          <w:p w14:paraId="428CB554">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45</w:t>
            </w:r>
          </w:p>
        </w:tc>
        <w:tc>
          <w:tcPr>
            <w:tcW w:w="621" w:type="pct"/>
            <w:noWrap w:val="0"/>
            <w:vAlign w:val="center"/>
          </w:tcPr>
          <w:p w14:paraId="7CFEF016">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有线麦克风音频处理系统</w:t>
            </w:r>
          </w:p>
        </w:tc>
        <w:tc>
          <w:tcPr>
            <w:tcW w:w="3929" w:type="pct"/>
            <w:noWrap w:val="0"/>
            <w:vAlign w:val="top"/>
          </w:tcPr>
          <w:p w14:paraId="1EB2F7F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1.支持全频带全双工自适应回声消除算法。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2.支持全频自适应AI降噪技术，降噪电平≥24dB。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3.支持自动增益控制。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4.支持啸叫抑制。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5.支持智能混音，可智能选择最佳麦克风采集音频。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6.支持多通道音频矩阵，可根据场景需求进行相应设置。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7.支持音频参数调节。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8.支持波束成形。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9.支持远程OTA升级。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10.支持连接录播主机作为录播音频输入设备使用，也可连接Windows系统，并为其提供音频输入。</w:t>
            </w:r>
          </w:p>
        </w:tc>
      </w:tr>
      <w:tr w14:paraId="18B4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9" w:type="pct"/>
            <w:noWrap w:val="0"/>
            <w:vAlign w:val="center"/>
          </w:tcPr>
          <w:p w14:paraId="3BC5873D">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46</w:t>
            </w:r>
          </w:p>
        </w:tc>
        <w:tc>
          <w:tcPr>
            <w:tcW w:w="621" w:type="pct"/>
            <w:noWrap w:val="0"/>
            <w:vAlign w:val="center"/>
          </w:tcPr>
          <w:p w14:paraId="15BA66D5">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4G路由器</w:t>
            </w:r>
          </w:p>
        </w:tc>
        <w:tc>
          <w:tcPr>
            <w:tcW w:w="3929" w:type="pct"/>
            <w:noWrap w:val="0"/>
            <w:vAlign w:val="center"/>
          </w:tcPr>
          <w:p w14:paraId="2BA911B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移动路由、WIFI</w:t>
            </w:r>
          </w:p>
        </w:tc>
      </w:tr>
    </w:tbl>
    <w:p w14:paraId="028FAB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bCs/>
          <w:color w:val="auto"/>
          <w:kern w:val="0"/>
          <w:sz w:val="21"/>
          <w:szCs w:val="21"/>
          <w:highlight w:val="none"/>
          <w:lang w:val="en-US" w:eastAsia="zh-CN" w:bidi="ar-SA"/>
        </w:rPr>
      </w:pPr>
    </w:p>
    <w:p w14:paraId="0CA4AB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bCs/>
          <w:color w:val="auto"/>
          <w:kern w:val="0"/>
          <w:sz w:val="21"/>
          <w:szCs w:val="21"/>
          <w:highlight w:val="none"/>
          <w:lang w:val="en-US" w:eastAsia="zh-CN" w:bidi="ar-SA"/>
        </w:rPr>
      </w:pPr>
    </w:p>
    <w:p w14:paraId="4DF7BA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四、演示要求</w:t>
      </w:r>
    </w:p>
    <w:tbl>
      <w:tblPr>
        <w:tblStyle w:val="20"/>
        <w:tblW w:w="4999" w:type="pct"/>
        <w:jc w:val="center"/>
        <w:tblLayout w:type="autofit"/>
        <w:tblCellMar>
          <w:top w:w="15" w:type="dxa"/>
          <w:left w:w="15" w:type="dxa"/>
          <w:bottom w:w="15" w:type="dxa"/>
          <w:right w:w="15" w:type="dxa"/>
        </w:tblCellMar>
      </w:tblPr>
      <w:tblGrid>
        <w:gridCol w:w="1432"/>
        <w:gridCol w:w="6902"/>
      </w:tblGrid>
      <w:tr w14:paraId="682260B7">
        <w:tblPrEx>
          <w:tblCellMar>
            <w:top w:w="15" w:type="dxa"/>
            <w:left w:w="15" w:type="dxa"/>
            <w:bottom w:w="15" w:type="dxa"/>
            <w:right w:w="15" w:type="dxa"/>
          </w:tblCellMar>
        </w:tblPrEx>
        <w:trPr>
          <w:trHeight w:val="3068" w:hRule="atLeast"/>
          <w:jc w:val="center"/>
        </w:trPr>
        <w:tc>
          <w:tcPr>
            <w:tcW w:w="859" w:type="pct"/>
            <w:tcBorders>
              <w:top w:val="single" w:color="auto" w:sz="4" w:space="0"/>
              <w:left w:val="single" w:color="auto" w:sz="4" w:space="0"/>
              <w:bottom w:val="single" w:color="auto" w:sz="4" w:space="0"/>
              <w:right w:val="single" w:color="auto" w:sz="4" w:space="0"/>
            </w:tcBorders>
            <w:vAlign w:val="center"/>
          </w:tcPr>
          <w:p w14:paraId="6568EA20">
            <w:pPr>
              <w:keepNext w:val="0"/>
              <w:keepLines/>
              <w:pageBreakBefore w:val="0"/>
              <w:widowControl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演示</w:t>
            </w:r>
          </w:p>
        </w:tc>
        <w:tc>
          <w:tcPr>
            <w:tcW w:w="4140" w:type="pct"/>
            <w:tcBorders>
              <w:top w:val="single" w:color="auto" w:sz="4" w:space="0"/>
              <w:left w:val="single" w:color="auto" w:sz="4" w:space="0"/>
              <w:bottom w:val="single" w:color="auto" w:sz="4" w:space="0"/>
              <w:right w:val="single" w:color="auto" w:sz="4" w:space="0"/>
            </w:tcBorders>
            <w:vAlign w:val="center"/>
          </w:tcPr>
          <w:p w14:paraId="7D460312">
            <w:pP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演示项</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kern w:val="0"/>
                <w:sz w:val="21"/>
                <w:szCs w:val="21"/>
                <w:highlight w:val="none"/>
              </w:rPr>
              <w:t>演示测试所使用的</w:t>
            </w:r>
            <w:r>
              <w:rPr>
                <w:rFonts w:hint="eastAsia" w:ascii="宋体" w:hAnsi="宋体" w:eastAsia="宋体" w:cs="宋体"/>
                <w:b/>
                <w:bCs/>
                <w:color w:val="auto"/>
                <w:kern w:val="0"/>
                <w:sz w:val="21"/>
                <w:szCs w:val="21"/>
                <w:highlight w:val="none"/>
                <w:lang w:val="en-US" w:eastAsia="zh-CN"/>
              </w:rPr>
              <w:t>系统</w:t>
            </w:r>
            <w:r>
              <w:rPr>
                <w:rFonts w:hint="eastAsia" w:ascii="宋体" w:hAnsi="宋体" w:eastAsia="宋体" w:cs="宋体"/>
                <w:b/>
                <w:bCs/>
                <w:color w:val="auto"/>
                <w:kern w:val="0"/>
                <w:sz w:val="21"/>
                <w:szCs w:val="21"/>
                <w:highlight w:val="none"/>
              </w:rPr>
              <w:t>设备，必须为投标的</w:t>
            </w:r>
            <w:r>
              <w:rPr>
                <w:rFonts w:hint="eastAsia" w:ascii="宋体" w:hAnsi="宋体" w:eastAsia="宋体" w:cs="宋体"/>
                <w:b/>
                <w:bCs/>
                <w:color w:val="auto"/>
                <w:kern w:val="0"/>
                <w:sz w:val="21"/>
                <w:szCs w:val="21"/>
                <w:highlight w:val="none"/>
                <w:lang w:val="en-US" w:eastAsia="zh-CN"/>
              </w:rPr>
              <w:t>系统</w:t>
            </w:r>
            <w:r>
              <w:rPr>
                <w:rFonts w:hint="eastAsia" w:ascii="宋体" w:hAnsi="宋体" w:eastAsia="宋体" w:cs="宋体"/>
                <w:b/>
                <w:bCs/>
                <w:color w:val="auto"/>
                <w:kern w:val="0"/>
                <w:sz w:val="21"/>
                <w:szCs w:val="21"/>
                <w:highlight w:val="none"/>
              </w:rPr>
              <w:t>设备，不允许使用其他不同型号的设备演示测试</w:t>
            </w:r>
            <w:r>
              <w:rPr>
                <w:rFonts w:hint="eastAsia" w:ascii="宋体" w:hAnsi="宋体" w:cs="宋体"/>
                <w:b/>
                <w:bCs/>
                <w:color w:val="auto"/>
                <w:sz w:val="21"/>
                <w:szCs w:val="21"/>
                <w:highlight w:val="none"/>
                <w:lang w:val="en-US" w:eastAsia="zh-CN"/>
              </w:rPr>
              <w:t>）</w:t>
            </w:r>
          </w:p>
          <w:p w14:paraId="6C1753EE">
            <w:pPr>
              <w:widowControl w:val="0"/>
              <w:numPr>
                <w:ilvl w:val="0"/>
                <w:numId w:val="0"/>
              </w:numPr>
              <w:ind w:left="0" w:leftChars="0"/>
              <w:jc w:val="both"/>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演示互动录播主机采用高清液晶触控屏，非外接触控屏，通过触控屏可直接预监到导播画面；录播主机上具有三合一按键，短按息屏，长按系统可弹出10秒关机确认对话框，点击确认后系统执行关机命令，避免用户误操作；若倒计时内未确认或取消，系统自动关机；同时支持用户自设置息屏时间，可支持 至少4种多种时间选择；录制支持至少3种录播倒计时，点击录制，倒计时结束后自动开启录制。</w:t>
            </w:r>
          </w:p>
          <w:p w14:paraId="33D83531">
            <w:pPr>
              <w:widowControl w:val="0"/>
              <w:numPr>
                <w:ilvl w:val="0"/>
                <w:numId w:val="0"/>
              </w:numPr>
              <w:ind w:left="0" w:leftChars="0"/>
              <w:jc w:val="both"/>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highlight w:val="none"/>
              </w:rPr>
              <w:t>演示一键网络测速功能，直接在录播主机触控屏幕上，无需安装第三方软件，针对服务联通性、网关稳定性、直播稳定性、互动稳定性、文件上传速度、文件下行速度、网络追踪性、网卡信息实时检测，检测结果以折线图方式实时呈现网络稳定性、上传速度和下行速度。</w:t>
            </w:r>
          </w:p>
          <w:p w14:paraId="5D9D61A6">
            <w:pPr>
              <w:widowControl w:val="0"/>
              <w:numPr>
                <w:ilvl w:val="0"/>
                <w:numId w:val="0"/>
              </w:numPr>
              <w:ind w:left="0" w:left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highlight w:val="none"/>
              </w:rPr>
              <w:t>演示无线麦克风采用领夹式双麦克风充电仓设计，方便收纳、使用；录播主机内置无线麦克风接收模块，无线麦克风从充电仓取出后，可实现自动与主机匹配连接；无线麦克风机身自带彩色显示屏，支持显示音量、电量、一键静音状态，录播主机屏幕可同步显示麦克风的信号强度与电量。</w:t>
            </w:r>
          </w:p>
          <w:p w14:paraId="27AA1DE0">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highlight w:val="none"/>
              </w:rPr>
              <w:t>演示无线麦克风</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采用领夹式双麦克风充电仓设计，方便收纳、使用；录播主机内置无线麦克风接收模块，无线麦克风从充电仓取出后，可实现自动与主机匹配连接；无线麦克风机身自带彩色显示屏，支持显示音量、电量、一键静音状态，录播主机屏幕可同步显示麦克风的信号强度与电量。</w:t>
            </w:r>
          </w:p>
          <w:p w14:paraId="664863CC">
            <w:pPr>
              <w:widowControl w:val="0"/>
              <w:numPr>
                <w:ilvl w:val="0"/>
                <w:numId w:val="0"/>
              </w:numPr>
              <w:jc w:val="both"/>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highlight w:val="none"/>
              </w:rPr>
              <w:t>演示</w:t>
            </w:r>
            <w:r>
              <w:rPr>
                <w:rFonts w:hint="eastAsia" w:ascii="宋体" w:hAnsi="宋体" w:eastAsia="宋体" w:cs="宋体"/>
                <w:color w:val="auto"/>
                <w:highlight w:val="none"/>
                <w:lang w:val="en-US" w:eastAsia="zh-CN"/>
              </w:rPr>
              <w:t>阵列麦克风，考察</w:t>
            </w:r>
            <w:r>
              <w:rPr>
                <w:rFonts w:hint="eastAsia" w:ascii="宋体" w:hAnsi="宋体" w:eastAsia="宋体" w:cs="宋体"/>
                <w:color w:val="auto"/>
                <w:highlight w:val="none"/>
              </w:rPr>
              <w:t>麦克风的降噪</w:t>
            </w:r>
            <w:r>
              <w:rPr>
                <w:rFonts w:hint="eastAsia" w:ascii="宋体" w:hAnsi="宋体" w:eastAsia="宋体" w:cs="宋体"/>
                <w:color w:val="auto"/>
                <w:highlight w:val="none"/>
                <w:lang w:val="en-US" w:eastAsia="zh-CN"/>
              </w:rPr>
              <w:t>算法</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要求</w:t>
            </w:r>
            <w:r>
              <w:rPr>
                <w:rFonts w:hint="eastAsia" w:ascii="宋体" w:hAnsi="宋体" w:eastAsia="宋体" w:cs="宋体"/>
                <w:color w:val="auto"/>
                <w:highlight w:val="none"/>
              </w:rPr>
              <w:t>在录制师生对话情景中模拟噪音环境（演示：敲击桌子、拖动椅子、翻书、电风扇）。对比现场录像和录制出来的视频声音，录播主机录制的视频对声音进行AI降噪消除过滤各类噪音，仅保留清晰的师生对话。</w:t>
            </w:r>
          </w:p>
          <w:p w14:paraId="6BCB45F1">
            <w:pPr>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6、</w:t>
            </w:r>
            <w:r>
              <w:rPr>
                <w:rFonts w:hint="eastAsia" w:ascii="宋体" w:hAnsi="宋体" w:eastAsia="宋体" w:cs="宋体"/>
                <w:color w:val="auto"/>
                <w:highlight w:val="none"/>
              </w:rPr>
              <w:t>演示课堂智能反馈系统可自动根据授课情况，针对课堂总览、师生对话，课堂互动、新课标落实等维度，生成AI分析文字解读。支持老师查看AI建议，从上述四个维度，通过既定问题，以对话的方式，生成AI建议，为老师提供课堂改进思路。对于AI建议，可进行“点赞”或“待改进”的评价。</w:t>
            </w:r>
          </w:p>
          <w:p w14:paraId="4BAE07F8">
            <w:pPr>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b w:val="0"/>
                <w:bCs w:val="0"/>
                <w:color w:val="auto"/>
                <w:spacing w:val="0"/>
                <w:kern w:val="2"/>
                <w:sz w:val="21"/>
                <w:szCs w:val="21"/>
                <w:highlight w:val="none"/>
                <w:lang w:val="en-US" w:eastAsia="zh-CN" w:bidi="ar-SA"/>
              </w:rPr>
              <w:t>7、</w:t>
            </w:r>
            <w:r>
              <w:rPr>
                <w:rFonts w:hint="eastAsia" w:ascii="宋体" w:hAnsi="宋体" w:eastAsia="宋体" w:cs="宋体"/>
                <w:color w:val="auto"/>
                <w:highlight w:val="none"/>
              </w:rPr>
              <w:t>演示课堂智能反馈系统将通过师生课堂活动的轨迹，生成课堂热力图。热力图可反映老师在课堂中的巡堂轨迹，快速了解自己在上课时的关注倾向。支持在热力图中观看活跃学生的情况，并查看对应视频片段，同时对该学生的举手次数、上台互动次数、回答问题次数进行统计。支持视频打点并快速跳转。</w:t>
            </w:r>
          </w:p>
        </w:tc>
      </w:tr>
    </w:tbl>
    <w:p w14:paraId="1D4CE2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eastAsia="zh-CN"/>
        </w:rPr>
        <w:t>注：</w:t>
      </w:r>
      <w:r>
        <w:rPr>
          <w:rFonts w:hint="eastAsia" w:ascii="宋体" w:hAnsi="宋体" w:eastAsia="宋体" w:cs="宋体"/>
          <w:b/>
          <w:bCs/>
          <w:color w:val="auto"/>
          <w:sz w:val="21"/>
          <w:szCs w:val="21"/>
          <w:highlight w:val="none"/>
          <w:lang w:val="zh-CN" w:eastAsia="zh-CN"/>
        </w:rPr>
        <w:t>提供视频演示的各投标人将需演示的部分自行演示并录制成视频制作在 U 盘中，录制视频</w:t>
      </w:r>
      <w:r>
        <w:rPr>
          <w:rFonts w:hint="eastAsia" w:ascii="宋体" w:hAnsi="宋体" w:eastAsia="宋体" w:cs="宋体"/>
          <w:b/>
          <w:bCs/>
          <w:color w:val="auto"/>
          <w:sz w:val="21"/>
          <w:szCs w:val="21"/>
          <w:highlight w:val="none"/>
          <w:lang w:val="en-US" w:eastAsia="zh-CN"/>
        </w:rPr>
        <w:t>总</w:t>
      </w:r>
      <w:r>
        <w:rPr>
          <w:rFonts w:hint="eastAsia" w:ascii="宋体" w:hAnsi="宋体" w:eastAsia="宋体" w:cs="宋体"/>
          <w:b/>
          <w:bCs/>
          <w:color w:val="auto"/>
          <w:sz w:val="21"/>
          <w:szCs w:val="21"/>
          <w:highlight w:val="none"/>
          <w:lang w:val="zh-CN" w:eastAsia="zh-CN"/>
        </w:rPr>
        <w:t>时长</w:t>
      </w: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zh-CN" w:eastAsia="zh-CN"/>
        </w:rPr>
        <w:t xml:space="preserve"> 分钟以内，录制的视频必须为MP4格式（若视频为其他格式导致评审中不能正常播放的，责任自负），U盘须加设密码并装入密封袋，在投标截止时间前（</w:t>
      </w:r>
      <w:r>
        <w:rPr>
          <w:rFonts w:hint="eastAsia" w:ascii="宋体" w:hAnsi="宋体" w:eastAsia="宋体" w:cs="宋体"/>
          <w:b/>
          <w:bCs/>
          <w:color w:val="auto"/>
          <w:sz w:val="21"/>
          <w:szCs w:val="21"/>
          <w:highlight w:val="none"/>
          <w:lang w:val="en-US" w:eastAsia="zh-CN"/>
        </w:rPr>
        <w:t>建议提前半天送达</w:t>
      </w:r>
      <w:r>
        <w:rPr>
          <w:rFonts w:hint="eastAsia" w:ascii="宋体" w:hAnsi="宋体" w:eastAsia="宋体" w:cs="宋体"/>
          <w:b/>
          <w:bCs/>
          <w:color w:val="auto"/>
          <w:sz w:val="21"/>
          <w:szCs w:val="21"/>
          <w:highlight w:val="none"/>
          <w:lang w:val="zh-CN" w:eastAsia="zh-CN"/>
        </w:rPr>
        <w:t>）用密封袋包装好注明项目名称和投标人名称快递到招标代理机构处，招标代理在投标截止时间后联系投标人获取密码进行播放，未提供演示或使用其他方式（如软件Demo、PPT 演示、图片原型或方案等）演示，此项不得分。评委观看演示视频按招标文件评分项进行评分。</w:t>
      </w:r>
    </w:p>
    <w:p w14:paraId="076A50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五、服务要求</w:t>
      </w:r>
    </w:p>
    <w:p w14:paraId="7117D2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1、交货时间及交货地点</w:t>
      </w:r>
    </w:p>
    <w:p w14:paraId="080F28F1">
      <w:pPr>
        <w:pageBreakBefore w:val="0"/>
        <w:widowControl w:val="0"/>
        <w:kinsoku/>
        <w:wordWrap/>
        <w:overflowPunct/>
        <w:topLinePunct w:val="0"/>
        <w:autoSpaceDE/>
        <w:bidi w:val="0"/>
        <w:spacing w:line="360" w:lineRule="auto"/>
        <w:ind w:firstLine="420" w:firstLineChars="200"/>
        <w:textAlignment w:val="auto"/>
        <w:outlineLvl w:val="9"/>
        <w:rPr>
          <w:rFonts w:hint="eastAsia" w:ascii="宋体" w:hAnsi="宋体" w:eastAsia="宋体" w:cs="宋体"/>
          <w:color w:val="auto"/>
          <w:szCs w:val="28"/>
          <w:highlight w:val="none"/>
        </w:rPr>
      </w:pPr>
      <w:r>
        <w:rPr>
          <w:rFonts w:hint="eastAsia" w:ascii="宋体" w:hAnsi="宋体" w:eastAsia="宋体" w:cs="宋体"/>
          <w:b w:val="0"/>
          <w:bCs w:val="0"/>
          <w:color w:val="auto"/>
          <w:kern w:val="0"/>
          <w:sz w:val="21"/>
          <w:szCs w:val="21"/>
          <w:highlight w:val="none"/>
          <w:lang w:val="en-US" w:eastAsia="zh-CN" w:bidi="ar-SA"/>
        </w:rPr>
        <w:t>（1）交货时间：</w:t>
      </w:r>
      <w:r>
        <w:rPr>
          <w:rFonts w:hint="eastAsia" w:ascii="宋体" w:hAnsi="宋体" w:eastAsia="宋体" w:cs="宋体"/>
          <w:color w:val="auto"/>
          <w:szCs w:val="28"/>
          <w:highlight w:val="none"/>
        </w:rPr>
        <w:t>接到采购人通知</w:t>
      </w:r>
      <w:r>
        <w:rPr>
          <w:rFonts w:hint="eastAsia" w:ascii="宋体" w:hAnsi="宋体" w:eastAsia="宋体" w:cs="宋体"/>
          <w:color w:val="auto"/>
          <w:szCs w:val="28"/>
          <w:highlight w:val="none"/>
          <w:lang w:val="en-US" w:eastAsia="zh-CN"/>
        </w:rPr>
        <w:t>进场</w:t>
      </w:r>
      <w:r>
        <w:rPr>
          <w:rFonts w:hint="eastAsia" w:ascii="宋体" w:hAnsi="宋体" w:eastAsia="宋体" w:cs="宋体"/>
          <w:color w:val="auto"/>
          <w:szCs w:val="28"/>
          <w:highlight w:val="none"/>
        </w:rPr>
        <w:t>施工后</w:t>
      </w:r>
      <w:r>
        <w:rPr>
          <w:rFonts w:hint="eastAsia" w:ascii="宋体" w:hAnsi="宋体" w:eastAsia="宋体" w:cs="宋体"/>
          <w:color w:val="auto"/>
          <w:szCs w:val="28"/>
          <w:highlight w:val="none"/>
          <w:lang w:val="en-US" w:eastAsia="zh-CN"/>
        </w:rPr>
        <w:t>30</w:t>
      </w:r>
      <w:r>
        <w:rPr>
          <w:rFonts w:hint="eastAsia" w:ascii="宋体" w:hAnsi="宋体" w:eastAsia="宋体" w:cs="宋体"/>
          <w:color w:val="auto"/>
          <w:szCs w:val="28"/>
          <w:highlight w:val="none"/>
        </w:rPr>
        <w:t>天内完成供货及安装调试。</w:t>
      </w:r>
    </w:p>
    <w:p w14:paraId="28376C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（2）交货地点：台州市金清中学。</w:t>
      </w:r>
    </w:p>
    <w:p w14:paraId="673C93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2、质量保证和售后服务内容</w:t>
      </w:r>
    </w:p>
    <w:p w14:paraId="366CD7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（1）质保期：软件系统：须提供至少</w:t>
      </w:r>
      <w:r>
        <w:rPr>
          <w:rFonts w:hint="eastAsia" w:ascii="宋体" w:hAnsi="宋体" w:eastAsia="宋体" w:cs="宋体"/>
          <w:b w:val="0"/>
          <w:bCs w:val="0"/>
          <w:color w:val="auto"/>
          <w:kern w:val="0"/>
          <w:sz w:val="21"/>
          <w:szCs w:val="21"/>
          <w:highlight w:val="none"/>
          <w:u w:val="single"/>
          <w:lang w:val="en-US" w:eastAsia="zh-CN" w:bidi="ar-SA"/>
        </w:rPr>
        <w:t xml:space="preserve"> 3 </w:t>
      </w:r>
      <w:r>
        <w:rPr>
          <w:rFonts w:hint="eastAsia" w:ascii="宋体" w:hAnsi="宋体" w:eastAsia="宋体" w:cs="宋体"/>
          <w:b w:val="0"/>
          <w:bCs w:val="0"/>
          <w:color w:val="auto"/>
          <w:kern w:val="0"/>
          <w:sz w:val="21"/>
          <w:szCs w:val="21"/>
          <w:highlight w:val="none"/>
          <w:lang w:val="en-US" w:eastAsia="zh-CN" w:bidi="ar-SA"/>
        </w:rPr>
        <w:t>年质保期；其他硬件设备：须提供至少</w:t>
      </w:r>
      <w:r>
        <w:rPr>
          <w:rFonts w:hint="eastAsia" w:ascii="宋体" w:hAnsi="宋体" w:eastAsia="宋体" w:cs="宋体"/>
          <w:b w:val="0"/>
          <w:bCs w:val="0"/>
          <w:color w:val="auto"/>
          <w:kern w:val="0"/>
          <w:sz w:val="21"/>
          <w:szCs w:val="21"/>
          <w:highlight w:val="none"/>
          <w:u w:val="single"/>
          <w:lang w:val="en-US" w:eastAsia="zh-CN" w:bidi="ar-SA"/>
        </w:rPr>
        <w:t xml:space="preserve"> 1 </w:t>
      </w:r>
      <w:r>
        <w:rPr>
          <w:rFonts w:hint="eastAsia" w:ascii="宋体" w:hAnsi="宋体" w:eastAsia="宋体" w:cs="宋体"/>
          <w:b w:val="0"/>
          <w:bCs w:val="0"/>
          <w:color w:val="auto"/>
          <w:kern w:val="0"/>
          <w:sz w:val="21"/>
          <w:szCs w:val="21"/>
          <w:highlight w:val="none"/>
          <w:lang w:val="en-US" w:eastAsia="zh-CN" w:bidi="ar-SA"/>
        </w:rPr>
        <w:t>年质保期。（自项目整体验收合格之日起计算）</w:t>
      </w:r>
    </w:p>
    <w:p w14:paraId="73B970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（2）如在质保期内出现质量安全等问题，中标方应无条件进行调换成合格货品，情节严重的应承担相应责任并赔偿相应损失。</w:t>
      </w:r>
    </w:p>
    <w:p w14:paraId="7E13EE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（3）中标方应对质保期内由于产品本身的缺陷（非人为因素）而引发的任何不足负责，所涉费用均由中标方承担。</w:t>
      </w:r>
    </w:p>
    <w:p w14:paraId="1111FD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（4）质保期内，如产品出现质量问题，中标方应在接到采购方通知后，</w:t>
      </w:r>
      <w:r>
        <w:rPr>
          <w:rFonts w:hint="eastAsia" w:ascii="宋体" w:hAnsi="宋体" w:eastAsia="宋体" w:cs="宋体"/>
          <w:color w:val="auto"/>
          <w:szCs w:val="24"/>
          <w:highlight w:val="none"/>
          <w:lang w:val="en-US" w:eastAsia="zh-CN"/>
        </w:rPr>
        <w:t>24</w:t>
      </w:r>
      <w:r>
        <w:rPr>
          <w:rFonts w:hint="eastAsia" w:ascii="宋体" w:hAnsi="宋体" w:eastAsia="宋体" w:cs="宋体"/>
          <w:color w:val="auto"/>
          <w:szCs w:val="24"/>
          <w:highlight w:val="none"/>
        </w:rPr>
        <w:t>小时内</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含</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上门</w:t>
      </w:r>
      <w:r>
        <w:rPr>
          <w:rFonts w:hint="eastAsia" w:ascii="宋体" w:hAnsi="宋体" w:eastAsia="宋体" w:cs="宋体"/>
          <w:color w:val="auto"/>
          <w:szCs w:val="24"/>
          <w:highlight w:val="none"/>
          <w:lang w:val="en-US" w:eastAsia="zh-CN"/>
        </w:rPr>
        <w:t>处理解决问题。</w:t>
      </w:r>
    </w:p>
    <w:p w14:paraId="23C62CC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六、付款方式</w:t>
      </w:r>
    </w:p>
    <w:p w14:paraId="0F6E4BF8">
      <w:pPr>
        <w:keepNext w:val="0"/>
        <w:keepLines w:val="0"/>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合同签订后支付合同金额的40%作为预付款，全部货物供货安装调试完毕并经采购人验收通过后，支付剩余款项。</w:t>
      </w:r>
    </w:p>
    <w:p w14:paraId="30100048">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44300133">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第五章 合同主要条款</w:t>
      </w:r>
    </w:p>
    <w:p w14:paraId="24281EF1">
      <w:pPr>
        <w:pStyle w:val="46"/>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color w:val="auto"/>
          <w:kern w:val="2"/>
          <w:sz w:val="21"/>
          <w:szCs w:val="21"/>
          <w:highlight w:val="none"/>
        </w:rPr>
        <w:t>（此稿为合同样本，最终定稿待双方协商后定，但不得背离实质性内容）</w:t>
      </w:r>
    </w:p>
    <w:p w14:paraId="7BB5D95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合同将由</w:t>
      </w:r>
      <w:r>
        <w:rPr>
          <w:rFonts w:hint="eastAsia" w:hAnsi="宋体" w:cs="宋体"/>
          <w:color w:val="auto"/>
          <w:szCs w:val="21"/>
          <w:highlight w:val="none"/>
          <w:lang w:eastAsia="zh-CN"/>
        </w:rPr>
        <w:t>台州市金清中学</w:t>
      </w:r>
      <w:r>
        <w:rPr>
          <w:rFonts w:hint="eastAsia" w:ascii="宋体" w:hAnsi="宋体" w:eastAsia="宋体" w:cs="宋体"/>
          <w:color w:val="auto"/>
          <w:sz w:val="21"/>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05ECA0E7">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both"/>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项目名称：</w:t>
      </w:r>
      <w:r>
        <w:rPr>
          <w:rFonts w:hint="eastAsia" w:ascii="宋体" w:hAnsi="宋体" w:cs="宋体"/>
          <w:b/>
          <w:color w:val="auto"/>
          <w:sz w:val="21"/>
          <w:szCs w:val="21"/>
          <w:highlight w:val="none"/>
          <w:lang w:eastAsia="zh-CN"/>
        </w:rPr>
        <w:t>录播教室采购项目</w:t>
      </w:r>
    </w:p>
    <w:p w14:paraId="484AFCF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outlineLvl w:val="9"/>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kern w:val="0"/>
          <w:sz w:val="21"/>
          <w:szCs w:val="21"/>
          <w:highlight w:val="none"/>
          <w:lang w:eastAsia="zh-CN"/>
        </w:rPr>
        <w:t xml:space="preserve"> </w:t>
      </w:r>
    </w:p>
    <w:p w14:paraId="13C72B32">
      <w:pPr>
        <w:pStyle w:val="11"/>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甲方（采购方）：</w:t>
      </w:r>
      <w:r>
        <w:rPr>
          <w:rFonts w:hint="eastAsia" w:hAnsi="宋体" w:cs="宋体"/>
          <w:color w:val="auto"/>
          <w:kern w:val="2"/>
          <w:sz w:val="21"/>
          <w:szCs w:val="21"/>
          <w:highlight w:val="none"/>
          <w:lang w:val="en-US" w:eastAsia="zh-CN" w:bidi="ar-SA"/>
        </w:rPr>
        <w:t>台州市金清中学</w:t>
      </w:r>
    </w:p>
    <w:p w14:paraId="5CCC471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乙方（中标方）：</w:t>
      </w:r>
    </w:p>
    <w:p w14:paraId="45DC4D61">
      <w:pPr>
        <w:pStyle w:val="11"/>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both"/>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根据</w:t>
      </w:r>
      <w:r>
        <w:rPr>
          <w:rFonts w:hint="eastAsia" w:hAnsi="宋体" w:cs="宋体"/>
          <w:b/>
          <w:color w:val="auto"/>
          <w:sz w:val="21"/>
          <w:szCs w:val="21"/>
          <w:highlight w:val="none"/>
          <w:lang w:eastAsia="zh-CN"/>
        </w:rPr>
        <w:t>录播教室采购项目</w:t>
      </w:r>
      <w:r>
        <w:rPr>
          <w:rFonts w:hint="eastAsia" w:ascii="宋体" w:hAnsi="宋体" w:eastAsia="宋体" w:cs="宋体"/>
          <w:b/>
          <w:color w:val="auto"/>
          <w:sz w:val="21"/>
          <w:szCs w:val="21"/>
          <w:highlight w:val="none"/>
        </w:rPr>
        <w:t>的招标结果，经双方协商一致，达成以下条款：</w:t>
      </w:r>
    </w:p>
    <w:p w14:paraId="4246D798">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both"/>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第一条：承包内容</w:t>
      </w:r>
    </w:p>
    <w:p w14:paraId="16A33E1D">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both"/>
        <w:outlineLvl w:val="9"/>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eastAsia="zh-CN"/>
        </w:rPr>
        <w:t>录播教室采购项目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包括上述项目的供货、运输、装卸、</w:t>
      </w:r>
      <w:r>
        <w:rPr>
          <w:rFonts w:hint="eastAsia" w:ascii="宋体" w:hAnsi="宋体" w:cs="宋体"/>
          <w:color w:val="auto"/>
          <w:sz w:val="21"/>
          <w:szCs w:val="21"/>
          <w:highlight w:val="none"/>
          <w:lang w:val="en-US" w:eastAsia="zh-CN"/>
        </w:rPr>
        <w:t>安装调试、</w:t>
      </w:r>
      <w:r>
        <w:rPr>
          <w:rFonts w:hint="eastAsia" w:ascii="宋体" w:hAnsi="宋体" w:eastAsia="宋体" w:cs="宋体"/>
          <w:color w:val="auto"/>
          <w:sz w:val="21"/>
          <w:szCs w:val="21"/>
          <w:highlight w:val="none"/>
          <w:lang w:eastAsia="zh-CN"/>
        </w:rPr>
        <w:t>技术培训、直至验收合格及售后服务等</w:t>
      </w:r>
      <w:r>
        <w:rPr>
          <w:rFonts w:hint="eastAsia" w:ascii="宋体" w:hAnsi="宋体" w:eastAsia="宋体" w:cs="宋体"/>
          <w:color w:val="auto"/>
          <w:sz w:val="21"/>
          <w:szCs w:val="21"/>
          <w:highlight w:val="none"/>
        </w:rPr>
        <w:t>。</w:t>
      </w:r>
    </w:p>
    <w:p w14:paraId="4CCE221F">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both"/>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第二条：合同金额</w:t>
      </w:r>
    </w:p>
    <w:p w14:paraId="03C0A44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本合同金额为(大写)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 人民币。</w:t>
      </w:r>
    </w:p>
    <w:p w14:paraId="7267ED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sz w:val="21"/>
          <w:szCs w:val="21"/>
          <w:highlight w:val="none"/>
          <w:u w:val="none"/>
        </w:rPr>
        <w:t>包含货物到达</w:t>
      </w:r>
      <w:r>
        <w:rPr>
          <w:rFonts w:hint="eastAsia" w:asciiTheme="minorEastAsia" w:hAnsiTheme="minorEastAsia" w:eastAsiaTheme="minorEastAsia" w:cstheme="minorEastAsia"/>
          <w:color w:val="auto"/>
          <w:sz w:val="21"/>
          <w:szCs w:val="21"/>
          <w:highlight w:val="none"/>
          <w:u w:val="none"/>
          <w:lang w:val="en-US" w:eastAsia="zh-CN"/>
        </w:rPr>
        <w:t>甲方</w:t>
      </w:r>
      <w:r>
        <w:rPr>
          <w:rFonts w:hint="eastAsia" w:asciiTheme="minorEastAsia" w:hAnsiTheme="minorEastAsia" w:eastAsiaTheme="minorEastAsia" w:cstheme="minorEastAsia"/>
          <w:color w:val="auto"/>
          <w:sz w:val="21"/>
          <w:szCs w:val="21"/>
          <w:highlight w:val="none"/>
          <w:u w:val="none"/>
        </w:rPr>
        <w:t>所需的一切费用，包括但不限于包装费、运输费、装卸费、保险费、安装调试费、技术服务费、</w:t>
      </w:r>
      <w:r>
        <w:rPr>
          <w:rFonts w:hint="eastAsia" w:asciiTheme="minorEastAsia" w:hAnsiTheme="minorEastAsia" w:eastAsiaTheme="minorEastAsia" w:cstheme="minorEastAsia"/>
          <w:color w:val="auto"/>
          <w:sz w:val="21"/>
          <w:szCs w:val="21"/>
          <w:highlight w:val="none"/>
          <w:u w:val="none"/>
          <w:lang w:val="en-US" w:eastAsia="zh-CN"/>
        </w:rPr>
        <w:t>验收费、</w:t>
      </w:r>
      <w:r>
        <w:rPr>
          <w:rFonts w:hint="eastAsia" w:asciiTheme="minorEastAsia" w:hAnsiTheme="minorEastAsia" w:eastAsiaTheme="minorEastAsia" w:cstheme="minorEastAsia"/>
          <w:color w:val="auto"/>
          <w:sz w:val="21"/>
          <w:szCs w:val="21"/>
          <w:highlight w:val="none"/>
          <w:u w:val="none"/>
        </w:rPr>
        <w:t>培训费以及保修费、税费等。</w:t>
      </w:r>
    </w:p>
    <w:p w14:paraId="2952E39A">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rPr>
        <w:t>第三条：</w:t>
      </w:r>
      <w:r>
        <w:rPr>
          <w:rFonts w:hint="eastAsia" w:ascii="宋体" w:hAnsi="宋体" w:eastAsia="宋体" w:cs="宋体"/>
          <w:b/>
          <w:color w:val="auto"/>
          <w:szCs w:val="21"/>
          <w:highlight w:val="none"/>
          <w:shd w:val="clear" w:color="auto" w:fill="auto"/>
        </w:rPr>
        <w:t>付款方式</w:t>
      </w:r>
    </w:p>
    <w:p w14:paraId="0037623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合同签订后支付合同金额的40%作为预付款，全部货物供货安装调试完毕并经甲方验收通过后，支付剩余款项。</w:t>
      </w:r>
    </w:p>
    <w:p w14:paraId="7C13202B">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宋体" w:hAnsi="宋体" w:eastAsia="宋体" w:cs="宋体"/>
          <w:b/>
          <w:color w:val="auto"/>
          <w:szCs w:val="21"/>
          <w:highlight w:val="none"/>
          <w:shd w:val="clear" w:color="auto" w:fill="auto"/>
          <w:lang w:val="en-US" w:eastAsia="zh-CN"/>
        </w:rPr>
      </w:pPr>
      <w:r>
        <w:rPr>
          <w:rFonts w:hint="eastAsia" w:ascii="宋体" w:hAnsi="宋体" w:eastAsia="宋体" w:cs="宋体"/>
          <w:b/>
          <w:color w:val="auto"/>
          <w:szCs w:val="21"/>
          <w:highlight w:val="none"/>
        </w:rPr>
        <w:t>第四条：</w:t>
      </w:r>
      <w:r>
        <w:rPr>
          <w:rFonts w:hint="eastAsia" w:ascii="宋体" w:hAnsi="宋体" w:eastAsia="宋体" w:cs="宋体"/>
          <w:b/>
          <w:color w:val="auto"/>
          <w:szCs w:val="21"/>
          <w:highlight w:val="none"/>
          <w:shd w:val="clear" w:color="auto" w:fill="auto"/>
          <w:lang w:val="en-US" w:eastAsia="zh-CN"/>
        </w:rPr>
        <w:t>交货要求和地点</w:t>
      </w:r>
    </w:p>
    <w:p w14:paraId="184CCAD0">
      <w:pPr>
        <w:pageBreakBefore w:val="0"/>
        <w:widowControl w:val="0"/>
        <w:kinsoku/>
        <w:wordWrap/>
        <w:overflowPunct/>
        <w:topLinePunct w:val="0"/>
        <w:autoSpaceDE/>
        <w:bidi w:val="0"/>
        <w:spacing w:line="360" w:lineRule="auto"/>
        <w:ind w:firstLine="420" w:firstLineChars="200"/>
        <w:textAlignment w:val="auto"/>
        <w:outlineLvl w:val="9"/>
        <w:rPr>
          <w:rFonts w:hint="default" w:ascii="宋体" w:hAnsi="宋体" w:cs="Times New Roman"/>
          <w:color w:val="auto"/>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bidi="ar-SA"/>
        </w:rPr>
        <w:t>1、交货时间：</w:t>
      </w:r>
      <w:r>
        <w:rPr>
          <w:rFonts w:hint="eastAsia" w:ascii="宋体" w:hAnsi="宋体" w:eastAsia="宋体" w:cs="宋体"/>
          <w:color w:val="auto"/>
          <w:szCs w:val="28"/>
          <w:highlight w:val="none"/>
        </w:rPr>
        <w:t>接到</w:t>
      </w:r>
      <w:r>
        <w:rPr>
          <w:rFonts w:hint="eastAsia" w:ascii="宋体" w:hAnsi="宋体" w:eastAsia="宋体" w:cs="宋体"/>
          <w:color w:val="auto"/>
          <w:szCs w:val="28"/>
          <w:highlight w:val="none"/>
          <w:lang w:val="en-US" w:eastAsia="zh-CN"/>
        </w:rPr>
        <w:t>甲方</w:t>
      </w:r>
      <w:r>
        <w:rPr>
          <w:rFonts w:hint="eastAsia" w:ascii="宋体" w:hAnsi="宋体" w:eastAsia="宋体" w:cs="宋体"/>
          <w:color w:val="auto"/>
          <w:szCs w:val="28"/>
          <w:highlight w:val="none"/>
        </w:rPr>
        <w:t>通知</w:t>
      </w:r>
      <w:r>
        <w:rPr>
          <w:rFonts w:hint="eastAsia" w:ascii="宋体" w:hAnsi="宋体" w:eastAsia="宋体" w:cs="宋体"/>
          <w:color w:val="auto"/>
          <w:szCs w:val="28"/>
          <w:highlight w:val="none"/>
          <w:lang w:val="en-US" w:eastAsia="zh-CN"/>
        </w:rPr>
        <w:t>进场</w:t>
      </w:r>
      <w:r>
        <w:rPr>
          <w:rFonts w:hint="eastAsia" w:ascii="宋体" w:hAnsi="宋体" w:eastAsia="宋体" w:cs="宋体"/>
          <w:color w:val="auto"/>
          <w:szCs w:val="28"/>
          <w:highlight w:val="none"/>
        </w:rPr>
        <w:t>施工后</w:t>
      </w:r>
      <w:r>
        <w:rPr>
          <w:rFonts w:hint="eastAsia" w:ascii="宋体" w:hAnsi="宋体" w:eastAsia="宋体" w:cs="宋体"/>
          <w:color w:val="auto"/>
          <w:szCs w:val="28"/>
          <w:highlight w:val="none"/>
          <w:lang w:val="en-US" w:eastAsia="zh-CN"/>
        </w:rPr>
        <w:t>30</w:t>
      </w:r>
      <w:r>
        <w:rPr>
          <w:rFonts w:hint="eastAsia" w:ascii="宋体" w:hAnsi="宋体" w:eastAsia="宋体" w:cs="宋体"/>
          <w:color w:val="auto"/>
          <w:szCs w:val="28"/>
          <w:highlight w:val="none"/>
        </w:rPr>
        <w:t>天内完成供货及安装调试</w:t>
      </w:r>
      <w:r>
        <w:rPr>
          <w:rFonts w:hint="eastAsia" w:ascii="宋体" w:hAnsi="宋体" w:cs="宋体"/>
          <w:color w:val="auto"/>
          <w:szCs w:val="28"/>
          <w:highlight w:val="none"/>
        </w:rPr>
        <w:t>。</w:t>
      </w:r>
    </w:p>
    <w:p w14:paraId="581641D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1"/>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2、交货地点：台州市金清中学。</w:t>
      </w:r>
    </w:p>
    <w:p w14:paraId="0EDBA80D">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left"/>
        <w:textAlignment w:val="auto"/>
        <w:outlineLvl w:val="9"/>
        <w:rPr>
          <w:rFonts w:hint="eastAsia" w:ascii="宋体" w:hAnsi="宋体" w:eastAsia="宋体" w:cs="宋体"/>
          <w:b/>
          <w:color w:val="auto"/>
          <w:szCs w:val="21"/>
          <w:highlight w:val="none"/>
        </w:rPr>
      </w:pPr>
      <w:r>
        <w:rPr>
          <w:rFonts w:hint="eastAsia" w:ascii="宋体" w:hAnsi="宋体"/>
          <w:b/>
          <w:color w:val="auto"/>
          <w:szCs w:val="21"/>
          <w:highlight w:val="none"/>
        </w:rPr>
        <w:t>第</w:t>
      </w:r>
      <w:r>
        <w:rPr>
          <w:rFonts w:hint="eastAsia" w:ascii="宋体" w:hAnsi="宋体"/>
          <w:b/>
          <w:color w:val="auto"/>
          <w:szCs w:val="21"/>
          <w:highlight w:val="none"/>
          <w:lang w:val="en-US" w:eastAsia="zh-CN"/>
        </w:rPr>
        <w:t>五</w:t>
      </w:r>
      <w:r>
        <w:rPr>
          <w:rFonts w:hint="eastAsia" w:ascii="宋体" w:hAnsi="宋体"/>
          <w:b/>
          <w:color w:val="auto"/>
          <w:szCs w:val="21"/>
          <w:highlight w:val="none"/>
        </w:rPr>
        <w:t>条：</w:t>
      </w:r>
      <w:r>
        <w:rPr>
          <w:rFonts w:hint="eastAsia" w:ascii="宋体" w:hAnsi="宋体" w:eastAsia="宋体" w:cs="宋体"/>
          <w:b/>
          <w:color w:val="auto"/>
          <w:szCs w:val="21"/>
          <w:highlight w:val="none"/>
        </w:rPr>
        <w:t>质量保证和售后服务内容：</w:t>
      </w:r>
    </w:p>
    <w:p w14:paraId="01BB1D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outlineLvl w:val="1"/>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1、软件系统：提供</w:t>
      </w:r>
      <w:r>
        <w:rPr>
          <w:rFonts w:hint="eastAsia" w:asciiTheme="minorEastAsia" w:hAnsiTheme="minorEastAsia" w:eastAsiaTheme="minorEastAsia" w:cstheme="minorEastAsia"/>
          <w:b w:val="0"/>
          <w:bCs w:val="0"/>
          <w:color w:val="auto"/>
          <w:kern w:val="0"/>
          <w:sz w:val="21"/>
          <w:szCs w:val="21"/>
          <w:highlight w:val="none"/>
          <w:u w:val="single"/>
          <w:lang w:val="en-US" w:eastAsia="zh-CN" w:bidi="ar-SA"/>
        </w:rPr>
        <w:t xml:space="preserve">   </w:t>
      </w:r>
      <w:r>
        <w:rPr>
          <w:rFonts w:hint="eastAsia" w:asciiTheme="minorEastAsia" w:hAnsiTheme="minorEastAsia" w:eastAsiaTheme="minorEastAsia" w:cstheme="minorEastAsia"/>
          <w:b w:val="0"/>
          <w:bCs w:val="0"/>
          <w:color w:val="auto"/>
          <w:kern w:val="0"/>
          <w:sz w:val="21"/>
          <w:szCs w:val="21"/>
          <w:highlight w:val="none"/>
          <w:lang w:val="en-US" w:eastAsia="zh-CN" w:bidi="ar-SA"/>
        </w:rPr>
        <w:t>年质保期；其他硬件设备：提供</w:t>
      </w:r>
      <w:r>
        <w:rPr>
          <w:rFonts w:hint="eastAsia" w:asciiTheme="minorEastAsia" w:hAnsiTheme="minorEastAsia" w:eastAsiaTheme="minorEastAsia" w:cstheme="minorEastAsia"/>
          <w:b w:val="0"/>
          <w:bCs w:val="0"/>
          <w:color w:val="auto"/>
          <w:kern w:val="0"/>
          <w:sz w:val="21"/>
          <w:szCs w:val="21"/>
          <w:highlight w:val="none"/>
          <w:u w:val="single"/>
          <w:lang w:val="en-US" w:eastAsia="zh-CN" w:bidi="ar-SA"/>
        </w:rPr>
        <w:t xml:space="preserve">  </w:t>
      </w:r>
      <w:r>
        <w:rPr>
          <w:rFonts w:hint="eastAsia" w:asciiTheme="minorEastAsia" w:hAnsiTheme="minorEastAsia" w:eastAsiaTheme="minorEastAsia" w:cstheme="minorEastAsia"/>
          <w:b w:val="0"/>
          <w:bCs w:val="0"/>
          <w:color w:val="auto"/>
          <w:kern w:val="0"/>
          <w:sz w:val="21"/>
          <w:szCs w:val="21"/>
          <w:highlight w:val="none"/>
          <w:lang w:val="en-US" w:eastAsia="zh-CN" w:bidi="ar-SA"/>
        </w:rPr>
        <w:t>年质保期。（自项目整体验收合格之日起计算）</w:t>
      </w:r>
    </w:p>
    <w:p w14:paraId="4A846E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outlineLvl w:val="1"/>
        <w:rPr>
          <w:rFonts w:hint="default" w:ascii="宋体" w:hAnsi="宋体"/>
          <w:color w:val="auto"/>
          <w:szCs w:val="21"/>
          <w:highlight w:val="none"/>
          <w:lang w:val="en-US"/>
        </w:rPr>
      </w:pPr>
      <w:r>
        <w:rPr>
          <w:rFonts w:hint="eastAsia" w:asciiTheme="minorEastAsia" w:hAnsiTheme="minorEastAsia" w:eastAsiaTheme="minorEastAsia" w:cstheme="minorEastAsia"/>
          <w:b w:val="0"/>
          <w:bCs w:val="0"/>
          <w:color w:val="auto"/>
          <w:kern w:val="0"/>
          <w:sz w:val="21"/>
          <w:szCs w:val="21"/>
          <w:highlight w:val="none"/>
          <w:lang w:val="en-US" w:eastAsia="zh-CN" w:bidi="ar-SA"/>
        </w:rPr>
        <w:t>2、如在质保期内出现质量安全等问题，乙方应无条件进行调换成合格货品，情节严重的应承担相应责任并赔偿相应损失。乙方应对质保期内由于产品本身的缺陷（非人为因素）而引发的任何不足负责，所涉费用均由乙方承担。质保期内，如产品出现质量问题，乙方应在接到甲方通知后，___</w:t>
      </w:r>
      <w:r>
        <w:rPr>
          <w:rFonts w:hint="eastAsia" w:ascii="宋体" w:hAnsi="宋体" w:eastAsia="宋体" w:cs="宋体"/>
          <w:color w:val="auto"/>
          <w:szCs w:val="24"/>
          <w:highlight w:val="none"/>
        </w:rPr>
        <w:t>小时内上门</w:t>
      </w:r>
      <w:r>
        <w:rPr>
          <w:rFonts w:hint="eastAsia" w:ascii="宋体" w:hAnsi="宋体" w:eastAsia="宋体" w:cs="宋体"/>
          <w:color w:val="auto"/>
          <w:szCs w:val="24"/>
          <w:highlight w:val="none"/>
          <w:lang w:val="en-US" w:eastAsia="zh-CN"/>
        </w:rPr>
        <w:t>处理解决问题。</w:t>
      </w:r>
    </w:p>
    <w:p w14:paraId="0D4DA9B5">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宋体" w:hAnsi="宋体" w:eastAsia="宋体" w:cs="宋体"/>
          <w:b/>
          <w:color w:val="auto"/>
          <w:szCs w:val="21"/>
          <w:highlight w:val="none"/>
          <w:shd w:val="clear" w:color="auto" w:fill="auto"/>
        </w:rPr>
      </w:pPr>
      <w:r>
        <w:rPr>
          <w:rFonts w:hint="eastAsia" w:ascii="宋体" w:hAnsi="宋体"/>
          <w:b/>
          <w:color w:val="auto"/>
          <w:szCs w:val="21"/>
          <w:highlight w:val="none"/>
        </w:rPr>
        <w:t>第</w:t>
      </w:r>
      <w:r>
        <w:rPr>
          <w:rFonts w:hint="eastAsia" w:ascii="宋体" w:hAnsi="宋体"/>
          <w:b/>
          <w:color w:val="auto"/>
          <w:szCs w:val="21"/>
          <w:highlight w:val="none"/>
          <w:lang w:val="en-US" w:eastAsia="zh-CN"/>
        </w:rPr>
        <w:t>六</w:t>
      </w:r>
      <w:r>
        <w:rPr>
          <w:rFonts w:hint="eastAsia" w:ascii="宋体" w:hAnsi="宋体"/>
          <w:b/>
          <w:color w:val="auto"/>
          <w:szCs w:val="21"/>
          <w:highlight w:val="none"/>
        </w:rPr>
        <w:t>条：</w:t>
      </w:r>
      <w:r>
        <w:rPr>
          <w:rFonts w:hint="eastAsia" w:ascii="宋体" w:hAnsi="宋体" w:eastAsia="宋体" w:cs="宋体"/>
          <w:b/>
          <w:color w:val="auto"/>
          <w:szCs w:val="21"/>
          <w:highlight w:val="none"/>
          <w:shd w:val="clear" w:color="auto" w:fill="auto"/>
        </w:rPr>
        <w:t>货物包装、发运及运输</w:t>
      </w:r>
    </w:p>
    <w:p w14:paraId="63D24FC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1、乙方在货物发运前对其进行满足运输距离、防潮、防震、防锈和防破损装卸等要求包装，以保证货物安全运达甲方指定地点。</w:t>
      </w:r>
    </w:p>
    <w:p w14:paraId="7884686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2、使用说明书、质量检验证明书、随配附件和工具以及清单一并附于货物内。</w:t>
      </w:r>
    </w:p>
    <w:p w14:paraId="491C855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Cs/>
          <w:snapToGrid w:val="0"/>
          <w:color w:val="auto"/>
          <w:kern w:val="0"/>
          <w:szCs w:val="21"/>
          <w:highlight w:val="none"/>
          <w:lang w:val="en-US" w:eastAsia="zh-CN"/>
        </w:rPr>
      </w:pPr>
      <w:r>
        <w:rPr>
          <w:rFonts w:hint="eastAsia" w:ascii="宋体" w:hAnsi="宋体" w:eastAsia="宋体" w:cs="宋体"/>
          <w:color w:val="auto"/>
          <w:szCs w:val="21"/>
          <w:highlight w:val="none"/>
          <w:shd w:val="clear" w:color="auto" w:fill="auto"/>
        </w:rPr>
        <w:t>3、货物在交付</w:t>
      </w:r>
      <w:r>
        <w:rPr>
          <w:rFonts w:hint="eastAsia" w:ascii="宋体" w:hAnsi="宋体" w:cs="宋体"/>
          <w:color w:val="auto"/>
          <w:szCs w:val="21"/>
          <w:highlight w:val="none"/>
          <w:shd w:val="clear" w:color="auto" w:fill="auto"/>
          <w:lang w:val="en-US" w:eastAsia="zh-CN"/>
        </w:rPr>
        <w:t>甲方</w:t>
      </w:r>
      <w:r>
        <w:rPr>
          <w:rFonts w:hint="eastAsia" w:ascii="宋体" w:hAnsi="宋体" w:eastAsia="宋体" w:cs="宋体"/>
          <w:color w:val="auto"/>
          <w:szCs w:val="21"/>
          <w:highlight w:val="none"/>
          <w:shd w:val="clear" w:color="auto" w:fill="auto"/>
        </w:rPr>
        <w:t>前发生的风险、运输费用均由乙方负责。</w:t>
      </w:r>
    </w:p>
    <w:p w14:paraId="0499A591">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七条</w:t>
      </w:r>
      <w:r>
        <w:rPr>
          <w:rFonts w:hint="eastAsia" w:ascii="宋体" w:hAnsi="宋体" w:eastAsia="宋体" w:cs="宋体"/>
          <w:b/>
          <w:color w:val="auto"/>
          <w:szCs w:val="21"/>
          <w:highlight w:val="none"/>
        </w:rPr>
        <w:t>：调试和验收</w:t>
      </w:r>
    </w:p>
    <w:p w14:paraId="64A2B99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1、甲方认为有必要在设备制造过程中派人到生产厂家进行监制，并在设备发货前赴生产厂进行预验收，乙方应予以积极配合并对监制或预验收工作提供方便。</w:t>
      </w:r>
    </w:p>
    <w:p w14:paraId="5C839FC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2、设备到达现场后，乙方应派人参与甲方组织的开箱检验工作。</w:t>
      </w:r>
    </w:p>
    <w:p w14:paraId="18744EE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交货前应按国家（行业）标准及合同规定的检验方法，做出全面检测。其记录附在质量证明书内。但有关质量、规格、性能、数量或重量的检验不应视为最终检验。乙方检验的结果和详细要求应在质量证明书中加以说明。进口元器件应提供报关及商检证明。</w:t>
      </w:r>
    </w:p>
    <w:p w14:paraId="21F71DB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4、设备安装、调试结束后，经过一个月的试运转考核无故障，并经有关部门的检验合格后，买卖双方共同签署验收合格证书。</w:t>
      </w:r>
    </w:p>
    <w:p w14:paraId="448EA7F0">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highlight w:val="none"/>
          <w:lang w:val="en-US" w:eastAsia="zh-CN"/>
        </w:rPr>
        <w:t>第八条：</w:t>
      </w:r>
      <w:r>
        <w:rPr>
          <w:rFonts w:hint="eastAsia" w:ascii="宋体" w:hAnsi="宋体" w:eastAsia="宋体" w:cs="宋体"/>
          <w:b/>
          <w:color w:val="auto"/>
          <w:szCs w:val="21"/>
          <w:highlight w:val="none"/>
          <w:shd w:val="clear" w:color="auto" w:fill="auto"/>
        </w:rPr>
        <w:t>合同转让和分包</w:t>
      </w:r>
    </w:p>
    <w:p w14:paraId="1AD7C8D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未经甲方书面同意，乙方不得将合同产品的制造及其它工作转包给第三方，否则视为违约，甲方有权立即终止合同并扣除合同金额的20%作为违约金。</w:t>
      </w:r>
    </w:p>
    <w:p w14:paraId="3C6469E3">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highlight w:val="none"/>
        </w:rPr>
        <w:t>第</w:t>
      </w:r>
      <w:r>
        <w:rPr>
          <w:rFonts w:hint="eastAsia" w:ascii="宋体" w:hAnsi="宋体" w:cs="宋体"/>
          <w:b/>
          <w:color w:val="auto"/>
          <w:highlight w:val="none"/>
          <w:lang w:val="en-US" w:eastAsia="zh-CN"/>
        </w:rPr>
        <w:t>九</w:t>
      </w:r>
      <w:r>
        <w:rPr>
          <w:rFonts w:hint="eastAsia" w:ascii="宋体" w:hAnsi="宋体" w:eastAsia="宋体" w:cs="宋体"/>
          <w:b/>
          <w:color w:val="auto"/>
          <w:highlight w:val="none"/>
        </w:rPr>
        <w:t>条</w:t>
      </w:r>
      <w:r>
        <w:rPr>
          <w:rFonts w:hint="eastAsia" w:ascii="宋体" w:hAnsi="宋体" w:eastAsia="宋体" w:cs="宋体"/>
          <w:b/>
          <w:bCs w:val="0"/>
          <w:color w:val="auto"/>
          <w:highlight w:val="none"/>
        </w:rPr>
        <w:t>：</w:t>
      </w:r>
      <w:r>
        <w:rPr>
          <w:rFonts w:hint="eastAsia" w:ascii="宋体" w:hAnsi="宋体" w:eastAsia="宋体" w:cs="宋体"/>
          <w:b/>
          <w:color w:val="auto"/>
          <w:szCs w:val="21"/>
          <w:highlight w:val="none"/>
          <w:shd w:val="clear" w:color="auto" w:fill="auto"/>
        </w:rPr>
        <w:t>违约责任</w:t>
      </w:r>
    </w:p>
    <w:p w14:paraId="316FE5E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1、乙方应按合同约定时间和地点准时供货、完成安装等，逾期履约的，每迟延一日乙方应向甲方支付违约金 5000元。逾期超过30日的，甲方有权单方面解除合同，乙方应赔偿损失至全额覆盖。甲方有权从未付款中扣除违约金或要求乙方另行支付该违约金。</w:t>
      </w:r>
    </w:p>
    <w:p w14:paraId="1AD6C2F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因乙方提供的货物不符合检验要求而逾期供货的属于乙方责任，按上述约定支付违约金。</w:t>
      </w:r>
    </w:p>
    <w:p w14:paraId="742F6D6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color w:val="auto"/>
          <w:szCs w:val="21"/>
          <w:highlight w:val="none"/>
          <w:shd w:val="clear" w:color="auto" w:fill="auto"/>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shd w:val="clear" w:color="auto" w:fill="auto"/>
          <w:lang w:val="en-US" w:eastAsia="zh-CN"/>
        </w:rPr>
        <w:t>、</w:t>
      </w:r>
      <w:r>
        <w:rPr>
          <w:rFonts w:hint="eastAsia" w:ascii="宋体" w:hAnsi="宋体" w:eastAsia="宋体" w:cs="宋体"/>
          <w:color w:val="auto"/>
          <w:szCs w:val="21"/>
          <w:highlight w:val="none"/>
          <w:shd w:val="clear" w:color="auto" w:fill="auto"/>
        </w:rPr>
        <w:t>甲方有权根据甲方按检验标准自己检验的结果或当地质检部门出具的质检证书向乙方提出索赔。</w:t>
      </w:r>
    </w:p>
    <w:p w14:paraId="6F03DDE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color w:val="auto"/>
          <w:szCs w:val="21"/>
          <w:highlight w:val="none"/>
          <w:shd w:val="clear" w:color="auto" w:fill="auto"/>
        </w:rPr>
      </w:pP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、在根据合同中规定的检验期和质保期内，如果乙方对甲方提出的索赔和差异负有责任，乙方应按照甲方同意的下列一种或多种方式解决索赔事宜：</w:t>
      </w:r>
    </w:p>
    <w:p w14:paraId="00C46FD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1）、退货：乙方按合同规定的同种货币将货款退还给甲方，并承担由此发生的一切损失和费用，包括利息、银行手续费、运费、保险费、检验费、仓储费、装卸费以及为保护退回货物所需的其它必要费用。</w:t>
      </w:r>
    </w:p>
    <w:p w14:paraId="144BDC3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2）、根据货物低劣程度、损坏程度以及甲方所遭受损失的数额，经买卖双方商定降低货物的价格。</w:t>
      </w:r>
    </w:p>
    <w:p w14:paraId="1B7A906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rPr>
        <w:t>3）、用符合规格、质量和性能要求的新零件、部件或货物来更换有缺陷的部分或修补缺陷部分，乙方应承担一切费用和风险，并负担甲方所发生的一切直接费用</w:t>
      </w:r>
      <w:r>
        <w:rPr>
          <w:rFonts w:hint="eastAsia" w:ascii="宋体" w:hAnsi="宋体" w:eastAsia="宋体" w:cs="宋体"/>
          <w:color w:val="auto"/>
          <w:szCs w:val="21"/>
          <w:highlight w:val="none"/>
          <w:shd w:val="clear" w:color="auto" w:fill="auto"/>
          <w:lang w:eastAsia="zh-CN"/>
        </w:rPr>
        <w:t>。</w:t>
      </w:r>
    </w:p>
    <w:p w14:paraId="7C3FB5D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shd w:val="clear" w:color="auto" w:fill="auto"/>
        </w:rPr>
      </w:pPr>
      <w:r>
        <w:rPr>
          <w:rFonts w:hint="eastAsia" w:ascii="宋体" w:hAnsi="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rPr>
        <w:t>、如果在甲方发出索赔通知后30天内，乙方未作答复，上述索赔应视已被乙方接受。乙方未能在甲方提出索赔通知后30天内或甲方同意的更长时间内，按照本合同第</w:t>
      </w:r>
      <w:r>
        <w:rPr>
          <w:rFonts w:hint="eastAsia" w:ascii="宋体" w:hAnsi="宋体" w:cs="宋体"/>
          <w:color w:val="auto"/>
          <w:szCs w:val="21"/>
          <w:highlight w:val="none"/>
          <w:shd w:val="clear" w:color="auto" w:fill="auto"/>
          <w:lang w:val="en-US" w:eastAsia="zh-CN"/>
        </w:rPr>
        <w:t>九</w:t>
      </w:r>
      <w:r>
        <w:rPr>
          <w:rFonts w:hint="eastAsia" w:ascii="宋体" w:hAnsi="宋体" w:eastAsia="宋体" w:cs="宋体"/>
          <w:color w:val="auto"/>
          <w:szCs w:val="21"/>
          <w:highlight w:val="none"/>
          <w:shd w:val="clear" w:color="auto" w:fill="auto"/>
        </w:rPr>
        <w:t>条</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规定的方法解决索赔事宜，甲方将从未付款中扣回索赔金额。如果这些金额不足以补偿索赔金额，甲方有权向乙方提出不足部分的补偿。</w:t>
      </w:r>
    </w:p>
    <w:p w14:paraId="435B660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4、因乙方不履行约定导致甲方需通过诉讼方式追偿的，甲方因此发生的所有费用，包括但不限于诉讼费、律师费、保全费、公证费、鉴定费、执行费、相关人员差旅费等，均应由乙方承担。</w:t>
      </w:r>
    </w:p>
    <w:p w14:paraId="7D23B52D">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bCs/>
          <w:snapToGrid w:val="0"/>
          <w:color w:val="auto"/>
          <w:szCs w:val="21"/>
          <w:highlight w:val="none"/>
        </w:rPr>
        <w:t>第</w:t>
      </w:r>
      <w:r>
        <w:rPr>
          <w:rFonts w:hint="eastAsia" w:hAnsi="宋体" w:cs="宋体"/>
          <w:b/>
          <w:bCs/>
          <w:snapToGrid w:val="0"/>
          <w:color w:val="auto"/>
          <w:szCs w:val="21"/>
          <w:highlight w:val="none"/>
          <w:lang w:val="en-US" w:eastAsia="zh-CN"/>
        </w:rPr>
        <w:t>十</w:t>
      </w:r>
      <w:r>
        <w:rPr>
          <w:rFonts w:hint="eastAsia" w:ascii="宋体" w:hAnsi="宋体" w:eastAsia="宋体" w:cs="宋体"/>
          <w:b/>
          <w:bCs/>
          <w:snapToGrid w:val="0"/>
          <w:color w:val="auto"/>
          <w:szCs w:val="21"/>
          <w:highlight w:val="none"/>
        </w:rPr>
        <w:t>条：</w:t>
      </w:r>
      <w:r>
        <w:rPr>
          <w:rFonts w:hint="eastAsia" w:ascii="宋体" w:hAnsi="宋体" w:eastAsia="宋体" w:cs="宋体"/>
          <w:b/>
          <w:color w:val="auto"/>
          <w:szCs w:val="21"/>
          <w:highlight w:val="none"/>
          <w:lang w:val="en-US" w:eastAsia="zh-CN"/>
        </w:rPr>
        <w:t>其他</w:t>
      </w:r>
    </w:p>
    <w:p w14:paraId="2FA28B3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诉讼管辖及诉讼费用承担</w:t>
      </w:r>
    </w:p>
    <w:p w14:paraId="06B3414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1）、凡有关本合同或执行本合同中发生的争端，应通过友好协商，妥善解决。如通过协商仍不能解决时，应向甲方所在地有权管辖的人民法院提起诉讼；</w:t>
      </w:r>
    </w:p>
    <w:p w14:paraId="031400E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2）、诉讼期间，除正在进行诉讼的部分外，本合同其它部分应继续执行。</w:t>
      </w:r>
    </w:p>
    <w:p w14:paraId="0562D5E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2、适用法律</w:t>
      </w:r>
    </w:p>
    <w:p w14:paraId="5B1F81F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本合同按照中华人民共和国的法律进行解释。</w:t>
      </w:r>
    </w:p>
    <w:p w14:paraId="0DF8C6D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、组成本合同文件及优先解释顺序如下：</w:t>
      </w:r>
    </w:p>
    <w:p w14:paraId="2E59066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1）、本合同协议书；</w:t>
      </w:r>
    </w:p>
    <w:p w14:paraId="30410BA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2）、中标通知书；</w:t>
      </w:r>
    </w:p>
    <w:p w14:paraId="6258A4E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3）、招标文件以及更正通知；</w:t>
      </w:r>
    </w:p>
    <w:p w14:paraId="7CC897E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4）、投标文件及评标过程中有关澄清文件；</w:t>
      </w:r>
    </w:p>
    <w:p w14:paraId="5B05DD1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5）、国家有关标准、规范及有关技术文件；</w:t>
      </w:r>
    </w:p>
    <w:p w14:paraId="4D1683E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4、本合同生效及其他</w:t>
      </w:r>
    </w:p>
    <w:p w14:paraId="56148A7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1）、合同在双方签字盖章后生效；</w:t>
      </w:r>
    </w:p>
    <w:p w14:paraId="4DCAA5A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2）、本合同正本一式陆份（</w:t>
      </w:r>
      <w:r>
        <w:rPr>
          <w:rFonts w:hint="eastAsia" w:ascii="宋体" w:hAnsi="宋体" w:eastAsia="宋体" w:cs="宋体"/>
          <w:color w:val="auto"/>
          <w:highlight w:val="none"/>
        </w:rPr>
        <w:t>采购人执贰份、供应商执贰份、采购代理机构及备案机构各执一份</w:t>
      </w:r>
      <w:r>
        <w:rPr>
          <w:rFonts w:hint="eastAsia" w:ascii="宋体" w:hAnsi="宋体" w:eastAsia="宋体" w:cs="宋体"/>
          <w:color w:val="auto"/>
          <w:szCs w:val="21"/>
          <w:highlight w:val="none"/>
        </w:rPr>
        <w:t>），具有同等法律效力；</w:t>
      </w:r>
    </w:p>
    <w:p w14:paraId="73D7C04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3）、如需修改或补充合同内容，经协商，双方应签署书面修改或补充协议，作为本合同的一个组成部分；</w:t>
      </w:r>
    </w:p>
    <w:p w14:paraId="7849EA0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4）、本合同中如有未尽事宜，由双方协商另行解决</w:t>
      </w:r>
      <w:r>
        <w:rPr>
          <w:rFonts w:hint="eastAsia" w:ascii="宋体" w:hAnsi="宋体" w:eastAsia="宋体" w:cs="宋体"/>
          <w:color w:val="auto"/>
          <w:szCs w:val="21"/>
          <w:highlight w:val="none"/>
          <w:lang w:eastAsia="zh-CN"/>
        </w:rPr>
        <w:t>；</w:t>
      </w:r>
    </w:p>
    <w:p w14:paraId="1AF83B5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szCs w:val="21"/>
          <w:highlight w:val="none"/>
        </w:rPr>
        <w:t>5）、合同附件</w:t>
      </w:r>
      <w:r>
        <w:rPr>
          <w:rFonts w:hint="eastAsia" w:ascii="宋体" w:hAnsi="宋体" w:eastAsia="宋体" w:cs="宋体"/>
          <w:color w:val="auto"/>
          <w:szCs w:val="21"/>
          <w:highlight w:val="none"/>
          <w:lang w:eastAsia="zh-CN"/>
        </w:rPr>
        <w:t>。</w:t>
      </w:r>
    </w:p>
    <w:p w14:paraId="1587BDD4">
      <w:pPr>
        <w:keepNext w:val="0"/>
        <w:keepLines w:val="0"/>
        <w:pageBreakBefore w:val="0"/>
        <w:tabs>
          <w:tab w:val="left" w:pos="4140"/>
        </w:tabs>
        <w:kinsoku/>
        <w:wordWrap/>
        <w:overflowPunct/>
        <w:topLinePunct w:val="0"/>
        <w:bidi w:val="0"/>
        <w:spacing w:line="360" w:lineRule="auto"/>
        <w:ind w:left="0"/>
        <w:jc w:val="both"/>
        <w:outlineLvl w:val="9"/>
        <w:rPr>
          <w:rFonts w:hint="eastAsia" w:ascii="宋体" w:hAnsi="宋体" w:eastAsia="宋体" w:cs="宋体"/>
          <w:color w:val="auto"/>
          <w:sz w:val="21"/>
          <w:szCs w:val="21"/>
          <w:highlight w:val="none"/>
        </w:rPr>
      </w:pPr>
    </w:p>
    <w:p w14:paraId="6C789C71">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 xml:space="preserve">甲方（公章）：                             乙方（公章）：          </w:t>
      </w:r>
    </w:p>
    <w:p w14:paraId="3B9CA7B1">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lang w:eastAsia="zh-CN"/>
        </w:rPr>
        <w:t>法定代表人或授权委托代理人签字</w:t>
      </w:r>
      <w:r>
        <w:rPr>
          <w:rFonts w:hint="eastAsia" w:ascii="宋体" w:hAnsi="宋体"/>
          <w:color w:val="auto"/>
          <w:kern w:val="0"/>
          <w:szCs w:val="21"/>
          <w:highlight w:val="none"/>
        </w:rPr>
        <w:t xml:space="preserve">：          </w:t>
      </w:r>
      <w:r>
        <w:rPr>
          <w:rFonts w:hint="eastAsia" w:ascii="宋体" w:hAnsi="宋体"/>
          <w:color w:val="auto"/>
          <w:kern w:val="0"/>
          <w:szCs w:val="21"/>
          <w:highlight w:val="none"/>
          <w:lang w:eastAsia="zh-CN"/>
        </w:rPr>
        <w:t>法定代表人或授权委托代理人签字</w:t>
      </w:r>
      <w:r>
        <w:rPr>
          <w:rFonts w:hint="eastAsia" w:ascii="宋体" w:hAnsi="宋体"/>
          <w:color w:val="auto"/>
          <w:kern w:val="0"/>
          <w:szCs w:val="21"/>
          <w:highlight w:val="none"/>
        </w:rPr>
        <w:t xml:space="preserve">：         </w:t>
      </w:r>
    </w:p>
    <w:p w14:paraId="05E48751">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联系电话：                                联系电话：</w:t>
      </w:r>
    </w:p>
    <w:p w14:paraId="2BB285B3">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 xml:space="preserve">开户银行：                                开户银行：    </w:t>
      </w:r>
    </w:p>
    <w:p w14:paraId="0C52EA1B">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账    号：                                账    号：</w:t>
      </w:r>
    </w:p>
    <w:p w14:paraId="31695419">
      <w:pPr>
        <w:keepNext w:val="0"/>
        <w:keepLines w:val="0"/>
        <w:pageBreakBefore w:val="0"/>
        <w:kinsoku/>
        <w:wordWrap/>
        <w:overflowPunct/>
        <w:topLinePunct w:val="0"/>
        <w:autoSpaceDE/>
        <w:autoSpaceDN/>
        <w:bidi w:val="0"/>
        <w:spacing w:line="360" w:lineRule="auto"/>
        <w:textAlignment w:val="baseline"/>
        <w:outlineLvl w:val="9"/>
        <w:rPr>
          <w:rFonts w:hint="eastAsia" w:ascii="宋体" w:hAnsi="宋体"/>
          <w:snapToGrid w:val="0"/>
          <w:color w:val="auto"/>
          <w:szCs w:val="21"/>
          <w:highlight w:val="none"/>
        </w:rPr>
      </w:pPr>
    </w:p>
    <w:p w14:paraId="2C030151">
      <w:pPr>
        <w:keepNext w:val="0"/>
        <w:keepLines w:val="0"/>
        <w:pageBreakBefore w:val="0"/>
        <w:kinsoku/>
        <w:wordWrap/>
        <w:overflowPunct/>
        <w:topLinePunct w:val="0"/>
        <w:autoSpaceDE/>
        <w:autoSpaceDN/>
        <w:bidi w:val="0"/>
        <w:spacing w:line="360" w:lineRule="auto"/>
        <w:textAlignment w:val="baseline"/>
        <w:outlineLvl w:val="9"/>
        <w:rPr>
          <w:rFonts w:hint="eastAsia" w:ascii="宋体" w:hAnsi="宋体"/>
          <w:snapToGrid w:val="0"/>
          <w:color w:val="auto"/>
          <w:szCs w:val="21"/>
          <w:highlight w:val="none"/>
        </w:rPr>
      </w:pPr>
    </w:p>
    <w:p w14:paraId="6DEFBA43">
      <w:pPr>
        <w:keepNext w:val="0"/>
        <w:keepLines w:val="0"/>
        <w:pageBreakBefore w:val="0"/>
        <w:kinsoku/>
        <w:wordWrap/>
        <w:overflowPunct/>
        <w:topLinePunct w:val="0"/>
        <w:autoSpaceDE/>
        <w:autoSpaceDN/>
        <w:bidi w:val="0"/>
        <w:spacing w:line="360" w:lineRule="auto"/>
        <w:textAlignment w:val="baseline"/>
        <w:outlineLvl w:val="9"/>
        <w:rPr>
          <w:rFonts w:ascii="宋体" w:hAnsi="宋体"/>
          <w:snapToGrid w:val="0"/>
          <w:color w:val="auto"/>
          <w:szCs w:val="21"/>
          <w:highlight w:val="none"/>
        </w:rPr>
      </w:pPr>
      <w:r>
        <w:rPr>
          <w:rFonts w:hint="eastAsia" w:ascii="宋体" w:hAnsi="宋体"/>
          <w:snapToGrid w:val="0"/>
          <w:color w:val="auto"/>
          <w:szCs w:val="21"/>
          <w:highlight w:val="none"/>
        </w:rPr>
        <w:t>合同</w:t>
      </w:r>
      <w:r>
        <w:rPr>
          <w:rFonts w:hint="eastAsia" w:ascii="宋体" w:hAnsi="宋体"/>
          <w:snapToGrid w:val="0"/>
          <w:color w:val="auto"/>
          <w:szCs w:val="21"/>
          <w:highlight w:val="none"/>
          <w:lang w:val="en-US" w:eastAsia="zh-CN"/>
        </w:rPr>
        <w:t>见证方</w:t>
      </w:r>
      <w:r>
        <w:rPr>
          <w:rFonts w:hint="eastAsia" w:ascii="宋体" w:hAnsi="宋体"/>
          <w:snapToGrid w:val="0"/>
          <w:color w:val="auto"/>
          <w:szCs w:val="21"/>
          <w:highlight w:val="none"/>
        </w:rPr>
        <w:t>：</w:t>
      </w:r>
    </w:p>
    <w:p w14:paraId="6050B3E0">
      <w:pPr>
        <w:pStyle w:val="6"/>
        <w:keepNext w:val="0"/>
        <w:keepLines w:val="0"/>
        <w:pageBreakBefore w:val="0"/>
        <w:kinsoku/>
        <w:wordWrap/>
        <w:overflowPunct/>
        <w:topLinePunct w:val="0"/>
        <w:bidi w:val="0"/>
        <w:spacing w:after="0" w:line="360" w:lineRule="auto"/>
        <w:jc w:val="both"/>
        <w:outlineLvl w:val="9"/>
        <w:rPr>
          <w:rFonts w:hint="eastAsia" w:ascii="宋体" w:hAnsi="宋体" w:eastAsia="宋体" w:cs="宋体"/>
          <w:snapToGrid w:val="0"/>
          <w:color w:val="auto"/>
          <w:szCs w:val="21"/>
          <w:highlight w:val="none"/>
        </w:rPr>
      </w:pPr>
      <w:r>
        <w:rPr>
          <w:rFonts w:hint="eastAsia" w:ascii="宋体" w:hAnsi="宋体"/>
          <w:snapToGrid w:val="0"/>
          <w:color w:val="auto"/>
          <w:szCs w:val="21"/>
          <w:highlight w:val="none"/>
        </w:rPr>
        <w:t xml:space="preserve">                                         </w:t>
      </w:r>
      <w:r>
        <w:rPr>
          <w:rFonts w:hint="eastAsia" w:ascii="宋体" w:hAnsi="宋体"/>
          <w:color w:val="auto"/>
          <w:kern w:val="0"/>
          <w:szCs w:val="21"/>
          <w:highlight w:val="none"/>
        </w:rPr>
        <w:t>签订日期：       年     月     日</w:t>
      </w:r>
    </w:p>
    <w:p w14:paraId="6ABFFE2D">
      <w:pPr>
        <w:pStyle w:val="6"/>
        <w:rPr>
          <w:rFonts w:hint="eastAsia" w:ascii="宋体" w:hAnsi="宋体" w:eastAsia="宋体" w:cs="宋体"/>
          <w:snapToGrid w:val="0"/>
          <w:color w:val="auto"/>
          <w:szCs w:val="21"/>
          <w:highlight w:val="none"/>
        </w:rPr>
      </w:pPr>
    </w:p>
    <w:p w14:paraId="5BA74836">
      <w:pPr>
        <w:spacing w:line="360" w:lineRule="auto"/>
        <w:jc w:val="both"/>
        <w:rPr>
          <w:rFonts w:hint="eastAsia" w:ascii="宋体" w:hAnsi="宋体" w:eastAsia="宋体" w:cs="宋体"/>
          <w:b/>
          <w:color w:val="auto"/>
          <w:sz w:val="36"/>
          <w:szCs w:val="36"/>
          <w:highlight w:val="none"/>
        </w:rPr>
      </w:pPr>
    </w:p>
    <w:p w14:paraId="2A7EBF55">
      <w:pPr>
        <w:spacing w:line="360" w:lineRule="auto"/>
        <w:jc w:val="both"/>
        <w:rPr>
          <w:rFonts w:hint="eastAsia" w:ascii="宋体" w:hAnsi="宋体" w:eastAsia="宋体" w:cs="宋体"/>
          <w:b/>
          <w:color w:val="auto"/>
          <w:sz w:val="36"/>
          <w:szCs w:val="36"/>
          <w:highlight w:val="none"/>
        </w:rPr>
      </w:pPr>
    </w:p>
    <w:p w14:paraId="65DF24CE">
      <w:pPr>
        <w:spacing w:line="360" w:lineRule="auto"/>
        <w:jc w:val="center"/>
        <w:outlineLvl w:val="0"/>
        <w:rPr>
          <w:rFonts w:hint="eastAsia" w:ascii="宋体" w:hAnsi="宋体" w:eastAsia="宋体" w:cs="宋体"/>
          <w:b/>
          <w:color w:val="auto"/>
          <w:sz w:val="36"/>
          <w:szCs w:val="36"/>
          <w:highlight w:val="none"/>
        </w:rPr>
        <w:sectPr>
          <w:pgSz w:w="11906" w:h="16838"/>
          <w:pgMar w:top="1440" w:right="1800" w:bottom="1440" w:left="1800" w:header="851" w:footer="992" w:gutter="0"/>
          <w:pgNumType w:fmt="numberInDash"/>
          <w:cols w:space="425" w:num="1"/>
          <w:docGrid w:type="lines" w:linePitch="312" w:charSpace="0"/>
        </w:sectPr>
      </w:pPr>
    </w:p>
    <w:p w14:paraId="50E78C72">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投标文件格式附件</w:t>
      </w:r>
    </w:p>
    <w:p w14:paraId="4D7FB62A">
      <w:pPr>
        <w:keepNext w:val="0"/>
        <w:keepLines w:val="0"/>
        <w:pageBreakBefore w:val="0"/>
        <w:kinsoku/>
        <w:wordWrap/>
        <w:overflowPunct/>
        <w:topLinePunct w:val="0"/>
        <w:bidi w:val="0"/>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w:t>
      </w:r>
    </w:p>
    <w:p w14:paraId="23171B91">
      <w:pPr>
        <w:keepNext w:val="0"/>
        <w:keepLines w:val="0"/>
        <w:pageBreakBefore w:val="0"/>
        <w:numPr>
          <w:ilvl w:val="0"/>
          <w:numId w:val="0"/>
        </w:numPr>
        <w:kinsoku/>
        <w:wordWrap/>
        <w:overflowPunct/>
        <w:topLinePunct w:val="0"/>
        <w:bidi w:val="0"/>
        <w:spacing w:line="360" w:lineRule="auto"/>
        <w:jc w:val="both"/>
        <w:outlineLvl w:val="9"/>
        <w:rPr>
          <w:rFonts w:hint="eastAsia" w:ascii="宋体" w:hAnsi="宋体" w:eastAsia="宋体" w:cs="宋体"/>
          <w:b/>
          <w:color w:val="auto"/>
          <w:sz w:val="30"/>
          <w:szCs w:val="30"/>
          <w:highlight w:val="none"/>
        </w:rPr>
      </w:pPr>
    </w:p>
    <w:p w14:paraId="78086DE1">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05E32E76">
      <w:pPr>
        <w:keepNext w:val="0"/>
        <w:keepLines w:val="0"/>
        <w:pageBreakBefore w:val="0"/>
        <w:kinsoku/>
        <w:wordWrap/>
        <w:overflowPunct/>
        <w:topLinePunct w:val="0"/>
        <w:bidi w:val="0"/>
        <w:spacing w:beforeLines="100" w:line="360" w:lineRule="auto"/>
        <w:ind w:right="-108"/>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47EE35BE">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p>
    <w:p w14:paraId="203CD1C5">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48255E21">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78F17110">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0B41416A">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7155F10E">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444F7C46">
      <w:pPr>
        <w:pStyle w:val="46"/>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05193F61">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4F8A7898">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1F74AEC8">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时间：</w:t>
      </w:r>
    </w:p>
    <w:p w14:paraId="3894932A">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7BC5A7CE">
      <w:pPr>
        <w:keepNext w:val="0"/>
        <w:keepLines w:val="0"/>
        <w:pageBreakBefore w:val="0"/>
        <w:kinsoku/>
        <w:wordWrap/>
        <w:overflowPunct/>
        <w:topLinePunct w:val="0"/>
        <w:bidi w:val="0"/>
        <w:snapToGrid w:val="0"/>
        <w:spacing w:before="50" w:after="50" w:line="360" w:lineRule="auto"/>
        <w:jc w:val="center"/>
        <w:outlineLvl w:val="9"/>
        <w:rPr>
          <w:rFonts w:hint="eastAsia" w:ascii="宋体" w:hAnsi="宋体" w:eastAsia="宋体" w:cs="宋体"/>
          <w:b/>
          <w:bCs/>
          <w:color w:val="auto"/>
          <w:sz w:val="32"/>
          <w:szCs w:val="32"/>
          <w:highlight w:val="none"/>
        </w:rPr>
      </w:pPr>
    </w:p>
    <w:p w14:paraId="0EC3DC0C">
      <w:pPr>
        <w:keepNext w:val="0"/>
        <w:keepLines w:val="0"/>
        <w:pageBreakBefore w:val="0"/>
        <w:numPr>
          <w:ilvl w:val="0"/>
          <w:numId w:val="0"/>
        </w:num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投标声明书</w:t>
      </w:r>
      <w:r>
        <w:rPr>
          <w:rFonts w:hint="eastAsia" w:ascii="宋体" w:hAnsi="宋体" w:eastAsia="宋体" w:cs="宋体"/>
          <w:color w:val="auto"/>
          <w:sz w:val="24"/>
          <w:szCs w:val="24"/>
          <w:highlight w:val="none"/>
        </w:rPr>
        <w:t>（附件2）</w:t>
      </w:r>
    </w:p>
    <w:p w14:paraId="7128DF2E">
      <w:pPr>
        <w:keepNext w:val="0"/>
        <w:keepLines w:val="0"/>
        <w:pageBreakBefore w:val="0"/>
        <w:numPr>
          <w:ilvl w:val="0"/>
          <w:numId w:val="0"/>
        </w:numPr>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授权委托书（附件3）</w:t>
      </w:r>
    </w:p>
    <w:p w14:paraId="524F996F">
      <w:pPr>
        <w:keepNext w:val="0"/>
        <w:keepLines w:val="0"/>
        <w:pageBreakBefore w:val="0"/>
        <w:numPr>
          <w:ilvl w:val="0"/>
          <w:numId w:val="0"/>
        </w:numPr>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法人或者其他组织的营业执照等证明文件，自然人的身份证明</w:t>
      </w:r>
    </w:p>
    <w:p w14:paraId="1F97A5E3">
      <w:pPr>
        <w:keepNext w:val="0"/>
        <w:keepLines w:val="0"/>
        <w:pageBreakBefore w:val="0"/>
        <w:numPr>
          <w:ilvl w:val="0"/>
          <w:numId w:val="0"/>
        </w:numPr>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lang w:val="en-US" w:eastAsia="zh-CN"/>
        </w:rPr>
        <w:t>投标人认为需要说明的其他材料。</w:t>
      </w:r>
    </w:p>
    <w:p w14:paraId="74836F91">
      <w:pPr>
        <w:keepNext w:val="0"/>
        <w:keepLines w:val="0"/>
        <w:pageBreakBefore w:val="0"/>
        <w:numPr>
          <w:ilvl w:val="0"/>
          <w:numId w:val="0"/>
        </w:numPr>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szCs w:val="24"/>
          <w:highlight w:val="none"/>
        </w:rPr>
      </w:pPr>
    </w:p>
    <w:p w14:paraId="35BF62B8">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0E850510">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1C91C976">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249E6411">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1A82DFA2">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16B88F3A">
      <w:pPr>
        <w:pageBreakBefore w:val="0"/>
        <w:widowControl w:val="0"/>
        <w:kinsoku/>
        <w:wordWrap/>
        <w:overflowPunct/>
        <w:topLinePunct w:val="0"/>
        <w:autoSpaceDE/>
        <w:autoSpaceDN/>
        <w:bidi w:val="0"/>
        <w:snapToGrid/>
        <w:outlineLvl w:val="9"/>
        <w:rPr>
          <w:rFonts w:hint="eastAsia" w:ascii="宋体" w:hAnsi="宋体" w:eastAsia="宋体" w:cs="宋体"/>
          <w:color w:val="auto"/>
          <w:highlight w:val="none"/>
        </w:rPr>
      </w:pPr>
    </w:p>
    <w:p w14:paraId="6314E313">
      <w:pPr>
        <w:keepNext w:val="0"/>
        <w:keepLines w:val="0"/>
        <w:pageBreakBefore w:val="0"/>
        <w:widowControl w:val="0"/>
        <w:kinsoku/>
        <w:wordWrap/>
        <w:overflowPunct/>
        <w:topLinePunct w:val="0"/>
        <w:autoSpaceDE/>
        <w:autoSpaceDN/>
        <w:bidi w:val="0"/>
        <w:snapToGrid/>
        <w:spacing w:line="360" w:lineRule="auto"/>
        <w:ind w:left="420"/>
        <w:outlineLvl w:val="9"/>
        <w:rPr>
          <w:rFonts w:hint="eastAsia" w:ascii="宋体" w:hAnsi="宋体" w:eastAsia="宋体" w:cs="宋体"/>
          <w:b/>
          <w:color w:val="auto"/>
          <w:sz w:val="28"/>
          <w:highlight w:val="none"/>
        </w:rPr>
      </w:pPr>
    </w:p>
    <w:p w14:paraId="5D0C4928">
      <w:pPr>
        <w:keepNext w:val="0"/>
        <w:keepLines w:val="0"/>
        <w:pageBreakBefore w:val="0"/>
        <w:widowControl w:val="0"/>
        <w:kinsoku/>
        <w:wordWrap/>
        <w:overflowPunct/>
        <w:topLinePunct w:val="0"/>
        <w:autoSpaceDE/>
        <w:autoSpaceDN/>
        <w:bidi w:val="0"/>
        <w:snapToGrid/>
        <w:spacing w:line="360" w:lineRule="auto"/>
        <w:ind w:left="420"/>
        <w:outlineLvl w:val="9"/>
        <w:rPr>
          <w:rFonts w:hint="eastAsia" w:ascii="宋体" w:hAnsi="宋体" w:eastAsia="宋体" w:cs="宋体"/>
          <w:b/>
          <w:color w:val="auto"/>
          <w:sz w:val="28"/>
          <w:highlight w:val="none"/>
        </w:rPr>
      </w:pPr>
    </w:p>
    <w:p w14:paraId="44559D6F">
      <w:pPr>
        <w:pStyle w:val="25"/>
        <w:keepNext w:val="0"/>
        <w:keepLines w:val="0"/>
        <w:pageBreakBefore w:val="0"/>
        <w:widowControl w:val="0"/>
        <w:kinsoku/>
        <w:wordWrap/>
        <w:overflowPunct/>
        <w:topLinePunct w:val="0"/>
        <w:autoSpaceDE/>
        <w:autoSpaceDN/>
        <w:bidi w:val="0"/>
        <w:snapToGrid/>
        <w:outlineLvl w:val="9"/>
        <w:rPr>
          <w:rFonts w:hint="eastAsia" w:ascii="宋体" w:hAnsi="宋体" w:eastAsia="宋体" w:cs="宋体"/>
          <w:color w:val="auto"/>
          <w:highlight w:val="none"/>
        </w:rPr>
      </w:pPr>
    </w:p>
    <w:p w14:paraId="685A544A">
      <w:pPr>
        <w:keepNext w:val="0"/>
        <w:keepLines w:val="0"/>
        <w:pageBreakBefore w:val="0"/>
        <w:widowControl w:val="0"/>
        <w:kinsoku/>
        <w:wordWrap/>
        <w:overflowPunct/>
        <w:topLinePunct w:val="0"/>
        <w:autoSpaceDE/>
        <w:autoSpaceDN/>
        <w:bidi w:val="0"/>
        <w:snapToGrid/>
        <w:spacing w:line="360" w:lineRule="auto"/>
        <w:ind w:left="420"/>
        <w:outlineLvl w:val="9"/>
        <w:rPr>
          <w:rFonts w:hint="eastAsia" w:ascii="宋体" w:hAnsi="宋体" w:eastAsia="宋体" w:cs="宋体"/>
          <w:b/>
          <w:color w:val="auto"/>
          <w:sz w:val="28"/>
          <w:highlight w:val="none"/>
        </w:rPr>
      </w:pPr>
    </w:p>
    <w:p w14:paraId="14263C80">
      <w:pPr>
        <w:keepNext w:val="0"/>
        <w:keepLines w:val="0"/>
        <w:pageBreakBefore w:val="0"/>
        <w:widowControl w:val="0"/>
        <w:kinsoku/>
        <w:wordWrap/>
        <w:overflowPunct/>
        <w:topLinePunct w:val="0"/>
        <w:autoSpaceDE/>
        <w:autoSpaceDN/>
        <w:bidi w:val="0"/>
        <w:snapToGrid/>
        <w:spacing w:line="360" w:lineRule="auto"/>
        <w:ind w:left="420"/>
        <w:outlineLvl w:val="9"/>
        <w:rPr>
          <w:rFonts w:hint="eastAsia" w:ascii="宋体" w:hAnsi="宋体" w:eastAsia="宋体" w:cs="宋体"/>
          <w:b/>
          <w:color w:val="auto"/>
          <w:sz w:val="28"/>
          <w:highlight w:val="none"/>
        </w:rPr>
      </w:pPr>
    </w:p>
    <w:p w14:paraId="38B5ED4A">
      <w:pPr>
        <w:keepNext w:val="0"/>
        <w:keepLines w:val="0"/>
        <w:pageBreakBefore w:val="0"/>
        <w:widowControl w:val="0"/>
        <w:kinsoku/>
        <w:wordWrap/>
        <w:overflowPunct/>
        <w:topLinePunct w:val="0"/>
        <w:autoSpaceDE/>
        <w:autoSpaceDN/>
        <w:bidi w:val="0"/>
        <w:snapToGrid/>
        <w:spacing w:line="360" w:lineRule="auto"/>
        <w:ind w:left="420"/>
        <w:outlineLvl w:val="9"/>
        <w:rPr>
          <w:rFonts w:hint="eastAsia" w:ascii="宋体" w:hAnsi="宋体" w:eastAsia="宋体" w:cs="宋体"/>
          <w:b/>
          <w:color w:val="auto"/>
          <w:sz w:val="28"/>
          <w:highlight w:val="none"/>
        </w:rPr>
      </w:pPr>
    </w:p>
    <w:p w14:paraId="6D54CF84">
      <w:pPr>
        <w:pStyle w:val="6"/>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40F87244">
      <w:pPr>
        <w:pStyle w:val="6"/>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032D013C">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numberInDash"/>
          <w:cols w:space="425" w:num="1"/>
          <w:docGrid w:type="lines" w:linePitch="312" w:charSpace="0"/>
        </w:sectPr>
      </w:pPr>
    </w:p>
    <w:p w14:paraId="4E1B36A2">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333BDBA2">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投标声明书</w:t>
      </w:r>
    </w:p>
    <w:p w14:paraId="37A0454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台州市金清中学</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浙江汇永工程咨询有限公司</w:t>
      </w:r>
      <w:r>
        <w:rPr>
          <w:rFonts w:hint="eastAsia" w:ascii="宋体" w:hAnsi="宋体" w:eastAsia="宋体" w:cs="宋体"/>
          <w:color w:val="auto"/>
          <w:sz w:val="21"/>
          <w:szCs w:val="21"/>
          <w:highlight w:val="none"/>
          <w:u w:val="single"/>
        </w:rPr>
        <w:t>：</w:t>
      </w:r>
    </w:p>
    <w:p w14:paraId="4A41CFE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）系中华人民共和国合法企业，经营地址。</w:t>
      </w:r>
    </w:p>
    <w:p w14:paraId="6750080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）的法定代表人，我公司自愿参加贵方组织的</w:t>
      </w:r>
      <w:r>
        <w:rPr>
          <w:rFonts w:hint="eastAsia" w:ascii="宋体" w:hAnsi="宋体" w:cs="宋体"/>
          <w:color w:val="auto"/>
          <w:sz w:val="21"/>
          <w:szCs w:val="21"/>
          <w:highlight w:val="none"/>
          <w:u w:val="single"/>
          <w:lang w:eastAsia="zh-CN"/>
        </w:rPr>
        <w:t>录播教室采购项目</w:t>
      </w:r>
      <w:r>
        <w:rPr>
          <w:rFonts w:hint="eastAsia" w:ascii="宋体" w:hAnsi="宋体" w:eastAsia="宋体" w:cs="宋体"/>
          <w:color w:val="auto"/>
          <w:sz w:val="21"/>
          <w:szCs w:val="21"/>
          <w:highlight w:val="none"/>
        </w:rPr>
        <w:t>（编号为</w:t>
      </w:r>
      <w:r>
        <w:rPr>
          <w:rFonts w:hint="eastAsia" w:ascii="宋体" w:hAnsi="宋体" w:cs="宋体"/>
          <w:color w:val="auto"/>
          <w:sz w:val="21"/>
          <w:szCs w:val="21"/>
          <w:highlight w:val="none"/>
          <w:u w:val="single"/>
          <w:lang w:val="en-US" w:eastAsia="zh-CN"/>
        </w:rPr>
        <w:t>zjhy2025-tz10</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）的投标，为此，我公司就本次投标有关事项郑重声明如下：</w:t>
      </w:r>
    </w:p>
    <w:p w14:paraId="4B50A22F">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我公司声明截止投标时间前三年内：在经营活动中没有重大违法记录（重大违法记录是指供应商因违法经营受到刑事处罚或者责令停产停业、吊销许可证或者执照、较大数额罚款等行政处罚）。</w:t>
      </w:r>
    </w:p>
    <w:p w14:paraId="5634EFC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77769A30">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我公司不是采购人的附属机构；在获知本项目采购信息后，与采购人聘请的为此项目提供咨询服务的公司及其附属机构没有任何联系。</w:t>
      </w:r>
    </w:p>
    <w:p w14:paraId="560BC45F">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6CE7477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 我公司严格履行采购合同，不降低合同约定的产品质量和服务，不擅自变更、中止、终止合同，或拒绝履行合同义务；</w:t>
      </w:r>
    </w:p>
    <w:p w14:paraId="1CF981D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 我公司承诺（若代理服务费由中标单位支付）：如在本项目中标，我公司在中标公告发布之日起5个工作日内按采购文件约定支付代理服务费。</w:t>
      </w:r>
    </w:p>
    <w:p w14:paraId="65CD892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 以上事项如有虚假或隐瞒，我公司愿意承担一切后果，并不再寻求任何旨在减轻或免除法律责任的辩解</w:t>
      </w:r>
      <w:r>
        <w:rPr>
          <w:rFonts w:hint="eastAsia" w:ascii="宋体" w:hAnsi="宋体" w:eastAsia="宋体" w:cs="宋体"/>
          <w:color w:val="auto"/>
          <w:sz w:val="21"/>
          <w:szCs w:val="21"/>
          <w:highlight w:val="none"/>
        </w:rPr>
        <w:t>。</w:t>
      </w:r>
    </w:p>
    <w:p w14:paraId="31BC0221">
      <w:pPr>
        <w:keepNext w:val="0"/>
        <w:keepLines w:val="0"/>
        <w:pageBreakBefore w:val="0"/>
        <w:kinsoku/>
        <w:wordWrap/>
        <w:overflowPunct/>
        <w:topLinePunct w:val="0"/>
        <w:bidi w:val="0"/>
        <w:spacing w:line="360" w:lineRule="auto"/>
        <w:ind w:firstLine="3360" w:firstLineChars="16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投标人名称(公章)：</w:t>
      </w:r>
    </w:p>
    <w:p w14:paraId="388C09D9">
      <w:pPr>
        <w:keepNext w:val="0"/>
        <w:keepLines w:val="0"/>
        <w:pageBreakBefore w:val="0"/>
        <w:kinsoku/>
        <w:wordWrap/>
        <w:overflowPunct/>
        <w:topLinePunct w:val="0"/>
        <w:bidi w:val="0"/>
        <w:spacing w:line="360" w:lineRule="auto"/>
        <w:ind w:firstLine="1050" w:firstLineChars="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法定代表人或授权委托</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lang w:val="zh-CN"/>
        </w:rPr>
        <w:t>人(签字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lang w:val="zh-CN"/>
        </w:rPr>
        <w:t>)：</w:t>
      </w:r>
    </w:p>
    <w:p w14:paraId="2FB57223">
      <w:pPr>
        <w:keepNext w:val="0"/>
        <w:keepLines w:val="0"/>
        <w:pageBreakBefore w:val="0"/>
        <w:kinsoku/>
        <w:wordWrap/>
        <w:overflowPunct/>
        <w:topLinePunct w:val="0"/>
        <w:bidi w:val="0"/>
        <w:spacing w:line="360" w:lineRule="auto"/>
        <w:ind w:firstLine="3360" w:firstLineChars="1600"/>
        <w:jc w:val="both"/>
        <w:outlineLvl w:val="9"/>
        <w:rPr>
          <w:rFonts w:hint="eastAsia" w:ascii="宋体" w:hAnsi="宋体" w:eastAsia="宋体" w:cs="宋体"/>
          <w:color w:val="auto"/>
          <w:sz w:val="24"/>
          <w:szCs w:val="32"/>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79748C3A">
      <w:pPr>
        <w:keepNext w:val="0"/>
        <w:keepLines w:val="0"/>
        <w:pageBreakBefore w:val="0"/>
        <w:kinsoku/>
        <w:wordWrap/>
        <w:overflowPunct/>
        <w:topLinePunct w:val="0"/>
        <w:bidi w:val="0"/>
        <w:adjustRightInd w:val="0"/>
        <w:snapToGrid w:val="0"/>
        <w:spacing w:line="360" w:lineRule="auto"/>
        <w:ind w:right="480"/>
        <w:outlineLvl w:val="9"/>
        <w:rPr>
          <w:rFonts w:hint="eastAsia" w:ascii="宋体" w:hAnsi="宋体" w:eastAsia="宋体" w:cs="宋体"/>
          <w:b/>
          <w:color w:val="auto"/>
          <w:sz w:val="28"/>
          <w:highlight w:val="none"/>
        </w:rPr>
      </w:pPr>
    </w:p>
    <w:p w14:paraId="1E7253F0">
      <w:pPr>
        <w:keepNext w:val="0"/>
        <w:keepLines w:val="0"/>
        <w:pageBreakBefore w:val="0"/>
        <w:kinsoku/>
        <w:wordWrap/>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283FEAE8">
      <w:pPr>
        <w:keepNext w:val="0"/>
        <w:keepLines w:val="0"/>
        <w:pageBreakBefore w:val="0"/>
        <w:kinsoku/>
        <w:wordWrap/>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103AA0C5">
      <w:pPr>
        <w:pStyle w:val="11"/>
        <w:keepNext w:val="0"/>
        <w:keepLines w:val="0"/>
        <w:pageBreakBefore w:val="0"/>
        <w:kinsoku/>
        <w:wordWrap/>
        <w:overflowPunct/>
        <w:topLinePunct w:val="0"/>
        <w:bidi w:val="0"/>
        <w:spacing w:line="360" w:lineRule="auto"/>
        <w:ind w:left="240" w:hanging="210" w:hangingChars="100"/>
        <w:outlineLvl w:val="9"/>
        <w:rPr>
          <w:rFonts w:hint="eastAsia" w:ascii="宋体" w:hAnsi="宋体" w:eastAsia="宋体" w:cs="宋体"/>
          <w:color w:val="auto"/>
          <w:kern w:val="0"/>
          <w:sz w:val="21"/>
          <w:szCs w:val="21"/>
          <w:highlight w:val="none"/>
        </w:rPr>
      </w:pPr>
      <w:r>
        <w:rPr>
          <w:rFonts w:hint="eastAsia" w:hAnsi="宋体" w:cs="宋体"/>
          <w:color w:val="auto"/>
          <w:sz w:val="21"/>
          <w:szCs w:val="21"/>
          <w:highlight w:val="none"/>
          <w:u w:val="single"/>
          <w:lang w:eastAsia="zh-CN"/>
        </w:rPr>
        <w:t>台州市金清中学</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浙江汇永工程咨询有限公司</w:t>
      </w:r>
      <w:r>
        <w:rPr>
          <w:rFonts w:hint="eastAsia" w:ascii="宋体" w:hAnsi="宋体" w:eastAsia="宋体" w:cs="宋体"/>
          <w:color w:val="auto"/>
          <w:kern w:val="0"/>
          <w:sz w:val="21"/>
          <w:szCs w:val="21"/>
          <w:highlight w:val="none"/>
        </w:rPr>
        <w:t>：</w:t>
      </w:r>
    </w:p>
    <w:p w14:paraId="675D450D">
      <w:pPr>
        <w:pStyle w:val="11"/>
        <w:keepNext w:val="0"/>
        <w:keepLines w:val="0"/>
        <w:pageBreakBefore w:val="0"/>
        <w:kinsoku/>
        <w:wordWrap/>
        <w:overflowPunct/>
        <w:topLinePunct w:val="0"/>
        <w:bidi w:val="0"/>
        <w:spacing w:line="360" w:lineRule="auto"/>
        <w:ind w:left="24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（投标人全称）</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（法定代表人或营业执照中单位负责人姓名）</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授权委托代理人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kern w:val="0"/>
          <w:sz w:val="21"/>
          <w:szCs w:val="21"/>
          <w:highlight w:val="none"/>
          <w:u w:val="single"/>
          <w:lang w:eastAsia="zh-CN"/>
        </w:rPr>
        <w:t>录播教室采购项目</w:t>
      </w:r>
      <w:r>
        <w:rPr>
          <w:rFonts w:hint="eastAsia" w:ascii="宋体" w:hAnsi="宋体" w:eastAsia="宋体" w:cs="宋体"/>
          <w:color w:val="auto"/>
          <w:sz w:val="21"/>
          <w:szCs w:val="21"/>
          <w:highlight w:val="none"/>
        </w:rPr>
        <w:t>的采购活动，并代表我方全权办理针对上述项目的投标、开标、评标、签约等具体事务和签署相关文件。我方对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的签字事项负全部责任。</w:t>
      </w:r>
    </w:p>
    <w:p w14:paraId="37D5D7FD">
      <w:pPr>
        <w:pStyle w:val="11"/>
        <w:keepNext w:val="0"/>
        <w:keepLines w:val="0"/>
        <w:pageBreakBefore w:val="0"/>
        <w:kinsoku/>
        <w:wordWrap/>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780442F5">
      <w:pPr>
        <w:pStyle w:val="11"/>
        <w:keepNext w:val="0"/>
        <w:keepLines w:val="0"/>
        <w:pageBreakBefore w:val="0"/>
        <w:kinsoku/>
        <w:wordWrap/>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55DF5A89">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126569E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14:paraId="076A55D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投标人全称（公章）：</w:t>
      </w:r>
    </w:p>
    <w:p w14:paraId="38E7651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3A12D32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p w14:paraId="06B70EB3">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BE9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F985DC1">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p>
          <w:p w14:paraId="751879E5">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w:t>
            </w:r>
            <w:r>
              <w:rPr>
                <w:rFonts w:hint="eastAsia" w:ascii="宋体" w:hAnsi="宋体" w:eastAsia="宋体" w:cs="宋体"/>
                <w:b/>
                <w:color w:val="auto"/>
                <w:sz w:val="24"/>
                <w:highlight w:val="none"/>
                <w:lang w:val="en-US" w:eastAsia="zh-CN"/>
              </w:rPr>
              <w:t>正、反面</w:t>
            </w:r>
            <w:r>
              <w:rPr>
                <w:rFonts w:hint="eastAsia" w:ascii="宋体" w:hAnsi="宋体" w:eastAsia="宋体" w:cs="宋体"/>
                <w:b/>
                <w:color w:val="auto"/>
                <w:sz w:val="24"/>
                <w:highlight w:val="none"/>
              </w:rPr>
              <w:t>复印件</w:t>
            </w:r>
            <w:r>
              <w:rPr>
                <w:rFonts w:hint="eastAsia" w:ascii="宋体" w:hAnsi="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1716118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p>
    <w:p w14:paraId="7BC57FA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5E833E2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38A4FCE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3A46741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1C7F4E36">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523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5C03FAA">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p>
          <w:p w14:paraId="55A4701E">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4"/>
                <w:highlight w:val="none"/>
                <w:lang w:eastAsia="zh-CN"/>
              </w:rPr>
              <w:t>授权委托代理人</w:t>
            </w:r>
            <w:r>
              <w:rPr>
                <w:rFonts w:hint="eastAsia" w:ascii="宋体" w:hAnsi="宋体" w:eastAsia="宋体" w:cs="宋体"/>
                <w:b/>
                <w:color w:val="auto"/>
                <w:sz w:val="24"/>
                <w:highlight w:val="none"/>
              </w:rPr>
              <w:t>身份证</w:t>
            </w:r>
            <w:r>
              <w:rPr>
                <w:rFonts w:hint="eastAsia" w:ascii="宋体" w:hAnsi="宋体" w:eastAsia="宋体" w:cs="宋体"/>
                <w:b/>
                <w:color w:val="auto"/>
                <w:sz w:val="24"/>
                <w:highlight w:val="none"/>
                <w:lang w:val="en-US" w:eastAsia="zh-CN"/>
              </w:rPr>
              <w:t>正、反面</w:t>
            </w:r>
            <w:r>
              <w:rPr>
                <w:rFonts w:hint="eastAsia" w:ascii="宋体" w:hAnsi="宋体" w:eastAsia="宋体" w:cs="宋体"/>
                <w:b/>
                <w:color w:val="auto"/>
                <w:sz w:val="24"/>
                <w:highlight w:val="none"/>
              </w:rPr>
              <w:t>复印件</w:t>
            </w:r>
            <w:r>
              <w:rPr>
                <w:rFonts w:hint="eastAsia" w:ascii="宋体" w:hAnsi="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3B371E15">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姓名：</w:t>
      </w:r>
    </w:p>
    <w:p w14:paraId="52C1A9A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p w14:paraId="3BD6669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57C3978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2D97D28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66AF9A7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39090078">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73514EA5">
      <w:pPr>
        <w:keepNext w:val="0"/>
        <w:keepLines w:val="0"/>
        <w:pageBreakBefore w:val="0"/>
        <w:kinsoku/>
        <w:wordWrap/>
        <w:overflowPunct/>
        <w:topLinePunct w:val="0"/>
        <w:bidi w:val="0"/>
        <w:spacing w:line="360" w:lineRule="auto"/>
        <w:ind w:right="-110"/>
        <w:jc w:val="both"/>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4</w:t>
      </w:r>
    </w:p>
    <w:p w14:paraId="36C5163C">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1D31A4CF">
      <w:pPr>
        <w:keepNext w:val="0"/>
        <w:keepLines w:val="0"/>
        <w:pageBreakBefore w:val="0"/>
        <w:kinsoku/>
        <w:wordWrap/>
        <w:overflowPunct/>
        <w:topLinePunct w:val="0"/>
        <w:bidi w:val="0"/>
        <w:spacing w:beforeLines="100" w:line="360" w:lineRule="auto"/>
        <w:ind w:right="-108"/>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51B24A70">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p>
    <w:p w14:paraId="2CF98ABC">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658A0862">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47C20FEE">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5F8B21EB">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0BCC3E88">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4AE20349">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7FC98C66">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14:paraId="2A551E5B">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5F28CB35">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p>
    <w:p w14:paraId="33A570F3">
      <w:pPr>
        <w:keepNext w:val="0"/>
        <w:keepLines w:val="0"/>
        <w:pageBreakBefore w:val="0"/>
        <w:kinsoku/>
        <w:wordWrap/>
        <w:overflowPunct/>
        <w:topLinePunct w:val="0"/>
        <w:bidi w:val="0"/>
        <w:snapToGrid w:val="0"/>
        <w:spacing w:before="50" w:after="50" w:line="360" w:lineRule="auto"/>
        <w:jc w:val="center"/>
        <w:outlineLvl w:val="9"/>
        <w:rPr>
          <w:rFonts w:hint="eastAsia" w:ascii="宋体" w:hAnsi="宋体" w:eastAsia="宋体" w:cs="宋体"/>
          <w:b/>
          <w:bCs/>
          <w:color w:val="auto"/>
          <w:sz w:val="32"/>
          <w:szCs w:val="32"/>
          <w:highlight w:val="none"/>
          <w:lang w:val="zh-CN"/>
        </w:rPr>
      </w:pPr>
    </w:p>
    <w:p w14:paraId="0C61F0E2">
      <w:pPr>
        <w:keepNext w:val="0"/>
        <w:keepLines w:val="0"/>
        <w:pageBreakBefore w:val="0"/>
        <w:kinsoku/>
        <w:wordWrap/>
        <w:overflowPunct/>
        <w:topLinePunct w:val="0"/>
        <w:bidi w:val="0"/>
        <w:snapToGrid w:val="0"/>
        <w:spacing w:before="50" w:after="50" w:line="360" w:lineRule="auto"/>
        <w:jc w:val="center"/>
        <w:outlineLvl w:val="9"/>
        <w:rPr>
          <w:rFonts w:hint="eastAsia" w:ascii="宋体" w:hAnsi="宋体" w:eastAsia="宋体" w:cs="宋体"/>
          <w:b/>
          <w:bCs/>
          <w:color w:val="auto"/>
          <w:sz w:val="32"/>
          <w:szCs w:val="32"/>
          <w:highlight w:val="none"/>
          <w:lang w:val="zh-CN"/>
        </w:rPr>
        <w:sectPr>
          <w:pgSz w:w="11906" w:h="16838"/>
          <w:pgMar w:top="1440" w:right="1800" w:bottom="1440" w:left="1800" w:header="851" w:footer="992" w:gutter="0"/>
          <w:pgNumType w:fmt="numberInDash"/>
          <w:cols w:space="425" w:num="1"/>
          <w:docGrid w:type="lines" w:linePitch="312" w:charSpace="0"/>
        </w:sectPr>
      </w:pPr>
    </w:p>
    <w:p w14:paraId="73FC6449">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22384519">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color w:val="auto"/>
          <w:sz w:val="24"/>
          <w:highlight w:val="none"/>
        </w:rPr>
      </w:pPr>
    </w:p>
    <w:p w14:paraId="522A25F7">
      <w:pPr>
        <w:keepNext w:val="0"/>
        <w:keepLines w:val="0"/>
        <w:pageBreakBefore w:val="0"/>
        <w:numPr>
          <w:ilvl w:val="0"/>
          <w:numId w:val="0"/>
        </w:numPr>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2"/>
          <w:sz w:val="21"/>
          <w:szCs w:val="21"/>
          <w:lang w:val="en-US" w:eastAsia="zh-CN" w:bidi="ar-SA"/>
        </w:rPr>
        <w:t>一、</w:t>
      </w:r>
      <w:r>
        <w:rPr>
          <w:rFonts w:hint="eastAsia" w:ascii="宋体" w:hAnsi="宋体" w:eastAsia="宋体" w:cs="宋体"/>
          <w:b/>
          <w:bCs/>
          <w:color w:val="auto"/>
          <w:szCs w:val="21"/>
          <w:highlight w:val="none"/>
        </w:rPr>
        <w:t>评标索引</w:t>
      </w:r>
    </w:p>
    <w:p w14:paraId="22FD28BE">
      <w:pPr>
        <w:pStyle w:val="6"/>
        <w:keepNext w:val="0"/>
        <w:keepLines w:val="0"/>
        <w:pageBreakBefore w:val="0"/>
        <w:kinsoku/>
        <w:wordWrap/>
        <w:overflowPunct/>
        <w:topLinePunct w:val="0"/>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评标索引：自评表（附件</w:t>
      </w:r>
      <w:r>
        <w:rPr>
          <w:rFonts w:hint="eastAsia" w:ascii="宋体" w:hAnsi="宋体" w:cs="宋体"/>
          <w:color w:val="auto"/>
          <w:highlight w:val="none"/>
          <w:lang w:val="en-US" w:eastAsia="zh-CN"/>
        </w:rPr>
        <w:t>5</w:t>
      </w:r>
      <w:r>
        <w:rPr>
          <w:rFonts w:hint="eastAsia" w:ascii="宋体" w:hAnsi="宋体" w:eastAsia="宋体" w:cs="宋体"/>
          <w:color w:val="auto"/>
          <w:highlight w:val="none"/>
        </w:rPr>
        <w:t>）</w:t>
      </w:r>
    </w:p>
    <w:p w14:paraId="05005053">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 技术方案描述部分</w:t>
      </w:r>
    </w:p>
    <w:p w14:paraId="4EFC529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1、投标人情况介绍（附件</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p>
    <w:p w14:paraId="2CAABA7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2、项目需求的理解与分析；</w:t>
      </w:r>
    </w:p>
    <w:p w14:paraId="4CB8B4F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3、项目组织实施方案； </w:t>
      </w:r>
    </w:p>
    <w:p w14:paraId="43CA0A1F">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4、项目实施人员一览表（附件</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p>
    <w:p w14:paraId="5F9145D2">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所投产品的规格、品牌、详细性能介绍及主要配置清单（不含报价）；</w:t>
      </w:r>
    </w:p>
    <w:p w14:paraId="3941BA90">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6、投标人提供的产品供货清单及原产地（附件</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w:t>
      </w:r>
    </w:p>
    <w:p w14:paraId="4F9D619F">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7、产品制造、安装、验收标准；</w:t>
      </w:r>
    </w:p>
    <w:p w14:paraId="2C88415C">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、投标描述部分</w:t>
      </w:r>
    </w:p>
    <w:p w14:paraId="30625B9E">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1、投标描述及相关资料；</w:t>
      </w:r>
    </w:p>
    <w:p w14:paraId="4512DE2F">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2、技术需求响应表（附件</w:t>
      </w:r>
      <w:r>
        <w:rPr>
          <w:rFonts w:hint="eastAsia" w:ascii="宋体" w:hAnsi="宋体" w:cs="宋体"/>
          <w:color w:val="auto"/>
          <w:szCs w:val="21"/>
          <w:highlight w:val="none"/>
          <w:lang w:val="en-US" w:eastAsia="zh-CN"/>
        </w:rPr>
        <w:t>90</w:t>
      </w:r>
      <w:r>
        <w:rPr>
          <w:rFonts w:hint="eastAsia" w:ascii="宋体" w:hAnsi="宋体" w:eastAsia="宋体" w:cs="宋体"/>
          <w:color w:val="auto"/>
          <w:szCs w:val="21"/>
          <w:highlight w:val="none"/>
        </w:rPr>
        <w:t>）；</w:t>
      </w:r>
    </w:p>
    <w:p w14:paraId="5B2D53D5">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3、投标人需要说明的其他内容；（包括可能影响投标人技术性能评分项的各类证明材料）</w:t>
      </w:r>
    </w:p>
    <w:p w14:paraId="01AFE82C">
      <w:pPr>
        <w:keepNext w:val="0"/>
        <w:keepLines w:val="0"/>
        <w:pageBreakBefore w:val="0"/>
        <w:kinsoku/>
        <w:wordWrap/>
        <w:overflowPunct/>
        <w:topLinePunct w:val="0"/>
        <w:bidi w:val="0"/>
        <w:snapToGrid w:val="0"/>
        <w:spacing w:line="360" w:lineRule="auto"/>
        <w:ind w:firstLine="413" w:firstLineChars="196"/>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、商务响应部分</w:t>
      </w:r>
    </w:p>
    <w:p w14:paraId="7C6ED9DC">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1、投标人的企业证书一览表（附件1</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w:t>
      </w:r>
    </w:p>
    <w:p w14:paraId="5BCD585E">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2、类似项目的成功案例（附件</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w:t>
      </w:r>
    </w:p>
    <w:p w14:paraId="37C2B140">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3、资信及商务需求响应表（附件</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w:t>
      </w:r>
    </w:p>
    <w:p w14:paraId="22522966">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4、售后服务情况表（附件1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可视情况选填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rPr>
        <w:t>；</w:t>
      </w:r>
    </w:p>
    <w:p w14:paraId="5F87BCA8">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5、投标人需要说明的其他内容。（包括可能影响投标人企业实力及信誉评分项以及售后服务评分项的各类证明材料）</w:t>
      </w:r>
    </w:p>
    <w:p w14:paraId="720CF501">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 w:val="36"/>
          <w:szCs w:val="36"/>
          <w:highlight w:val="none"/>
        </w:rPr>
      </w:pPr>
    </w:p>
    <w:p w14:paraId="421CE111">
      <w:pPr>
        <w:pStyle w:val="34"/>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p>
    <w:p w14:paraId="25E5DEB5">
      <w:pPr>
        <w:pStyle w:val="34"/>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p>
    <w:p w14:paraId="1B8133C2">
      <w:pPr>
        <w:pStyle w:val="34"/>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p>
    <w:p w14:paraId="3AB4FA66">
      <w:pPr>
        <w:pStyle w:val="34"/>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p>
    <w:p w14:paraId="5E1C65E8">
      <w:pPr>
        <w:pStyle w:val="34"/>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p>
    <w:p w14:paraId="36A3506F">
      <w:pPr>
        <w:pStyle w:val="34"/>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p>
    <w:p w14:paraId="22D85A3C">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lang w:val="en-US" w:eastAsia="zh-CN"/>
        </w:rPr>
        <w:t>评标索引：自评表</w:t>
      </w:r>
    </w:p>
    <w:tbl>
      <w:tblPr>
        <w:tblStyle w:val="20"/>
        <w:tblW w:w="11285" w:type="dxa"/>
        <w:jc w:val="center"/>
        <w:tblLayout w:type="fixed"/>
        <w:tblCellMar>
          <w:top w:w="15" w:type="dxa"/>
          <w:left w:w="15" w:type="dxa"/>
          <w:bottom w:w="15" w:type="dxa"/>
          <w:right w:w="15" w:type="dxa"/>
        </w:tblCellMar>
      </w:tblPr>
      <w:tblGrid>
        <w:gridCol w:w="843"/>
        <w:gridCol w:w="925"/>
        <w:gridCol w:w="6985"/>
        <w:gridCol w:w="844"/>
        <w:gridCol w:w="844"/>
        <w:gridCol w:w="844"/>
      </w:tblGrid>
      <w:tr w14:paraId="538E8E40">
        <w:tblPrEx>
          <w:tblCellMar>
            <w:top w:w="15" w:type="dxa"/>
            <w:left w:w="15" w:type="dxa"/>
            <w:bottom w:w="15" w:type="dxa"/>
            <w:right w:w="15" w:type="dxa"/>
          </w:tblCellMar>
        </w:tblPrEx>
        <w:trPr>
          <w:trHeight w:val="285" w:hRule="atLeast"/>
          <w:jc w:val="center"/>
        </w:trPr>
        <w:tc>
          <w:tcPr>
            <w:tcW w:w="1768" w:type="dxa"/>
            <w:gridSpan w:val="2"/>
            <w:tcBorders>
              <w:top w:val="single" w:color="auto" w:sz="4" w:space="0"/>
              <w:left w:val="single" w:color="auto" w:sz="4" w:space="0"/>
              <w:bottom w:val="single" w:color="auto" w:sz="4" w:space="0"/>
              <w:right w:val="single" w:color="auto" w:sz="4" w:space="0"/>
            </w:tcBorders>
            <w:vAlign w:val="center"/>
          </w:tcPr>
          <w:p w14:paraId="492FCD5E">
            <w:pPr>
              <w:keepNext w:val="0"/>
              <w:keepLines/>
              <w:pageBreakBefore w:val="0"/>
              <w:widowControl/>
              <w:kinsoku/>
              <w:wordWrap w:val="0"/>
              <w:overflowPunct/>
              <w:topLinePunct w:val="0"/>
              <w:autoSpaceDE/>
              <w:autoSpaceDN/>
              <w:bidi w:val="0"/>
              <w:adjustRightInd/>
              <w:snapToGrid/>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评分内容</w:t>
            </w:r>
          </w:p>
        </w:tc>
        <w:tc>
          <w:tcPr>
            <w:tcW w:w="6985" w:type="dxa"/>
            <w:tcBorders>
              <w:top w:val="single" w:color="auto" w:sz="4" w:space="0"/>
              <w:left w:val="single" w:color="auto" w:sz="4" w:space="0"/>
              <w:bottom w:val="single" w:color="auto" w:sz="4" w:space="0"/>
              <w:right w:val="single" w:color="auto" w:sz="4" w:space="0"/>
            </w:tcBorders>
            <w:vAlign w:val="center"/>
          </w:tcPr>
          <w:p w14:paraId="7DFD65CB">
            <w:pPr>
              <w:keepNext w:val="0"/>
              <w:keepLines/>
              <w:pageBreakBefore w:val="0"/>
              <w:widowControl/>
              <w:kinsoku/>
              <w:wordWrap w:val="0"/>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评分标准</w:t>
            </w:r>
          </w:p>
        </w:tc>
        <w:tc>
          <w:tcPr>
            <w:tcW w:w="844" w:type="dxa"/>
            <w:tcBorders>
              <w:top w:val="single" w:color="auto" w:sz="4" w:space="0"/>
              <w:left w:val="single" w:color="auto" w:sz="4" w:space="0"/>
              <w:bottom w:val="single" w:color="auto" w:sz="4" w:space="0"/>
              <w:right w:val="single" w:color="auto" w:sz="4" w:space="0"/>
            </w:tcBorders>
            <w:vAlign w:val="center"/>
          </w:tcPr>
          <w:p w14:paraId="7A2A77CB">
            <w:pPr>
              <w:keepNext w:val="0"/>
              <w:keepLines/>
              <w:pageBreakBefore w:val="0"/>
              <w:widowControl/>
              <w:kinsoku/>
              <w:wordWrap w:val="0"/>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c>
          <w:tcPr>
            <w:tcW w:w="844" w:type="dxa"/>
            <w:tcBorders>
              <w:top w:val="single" w:color="auto" w:sz="4" w:space="0"/>
              <w:left w:val="single" w:color="auto" w:sz="4" w:space="0"/>
              <w:bottom w:val="single" w:color="auto" w:sz="4" w:space="0"/>
              <w:right w:val="single" w:color="auto" w:sz="4" w:space="0"/>
            </w:tcBorders>
            <w:vAlign w:val="center"/>
          </w:tcPr>
          <w:p w14:paraId="3E133694">
            <w:pPr>
              <w:keepNext w:val="0"/>
              <w:keepLines/>
              <w:pageBreakBefore w:val="0"/>
              <w:widowControl/>
              <w:kinsoku/>
              <w:wordWrap w:val="0"/>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对应页码</w:t>
            </w:r>
          </w:p>
        </w:tc>
        <w:tc>
          <w:tcPr>
            <w:tcW w:w="844" w:type="dxa"/>
            <w:tcBorders>
              <w:top w:val="single" w:color="auto" w:sz="4" w:space="0"/>
              <w:left w:val="single" w:color="auto" w:sz="4" w:space="0"/>
              <w:bottom w:val="single" w:color="auto" w:sz="4" w:space="0"/>
              <w:right w:val="single" w:color="auto" w:sz="4" w:space="0"/>
            </w:tcBorders>
            <w:vAlign w:val="center"/>
          </w:tcPr>
          <w:p w14:paraId="04375A0F">
            <w:pPr>
              <w:keepNext w:val="0"/>
              <w:keepLines/>
              <w:pageBreakBefore w:val="0"/>
              <w:widowControl/>
              <w:kinsoku/>
              <w:wordWrap w:val="0"/>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自评分</w:t>
            </w:r>
          </w:p>
        </w:tc>
      </w:tr>
      <w:tr w14:paraId="55300A06">
        <w:tblPrEx>
          <w:tblCellMar>
            <w:top w:w="15" w:type="dxa"/>
            <w:left w:w="15" w:type="dxa"/>
            <w:bottom w:w="15" w:type="dxa"/>
            <w:right w:w="15" w:type="dxa"/>
          </w:tblCellMar>
        </w:tblPrEx>
        <w:trPr>
          <w:trHeight w:val="90" w:hRule="atLeast"/>
          <w:jc w:val="center"/>
        </w:trPr>
        <w:tc>
          <w:tcPr>
            <w:tcW w:w="843" w:type="dxa"/>
            <w:vMerge w:val="restart"/>
            <w:tcBorders>
              <w:top w:val="single" w:color="auto" w:sz="4" w:space="0"/>
              <w:left w:val="single" w:color="auto" w:sz="4" w:space="0"/>
              <w:right w:val="single" w:color="auto" w:sz="4" w:space="0"/>
            </w:tcBorders>
            <w:vAlign w:val="center"/>
          </w:tcPr>
          <w:p w14:paraId="59ED426F">
            <w:pPr>
              <w:keepNext w:val="0"/>
              <w:keepLines/>
              <w:pageBreakBefore w:val="0"/>
              <w:widowControl/>
              <w:kinsoku/>
              <w:wordWrap w:val="0"/>
              <w:overflowPunct/>
              <w:topLinePunct w:val="0"/>
              <w:autoSpaceDE/>
              <w:autoSpaceDN/>
              <w:bidi w:val="0"/>
              <w:adjustRightInd/>
              <w:snapToGrid/>
              <w:spacing w:line="240" w:lineRule="auto"/>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商务分</w:t>
            </w:r>
          </w:p>
          <w:p w14:paraId="2155DB1C">
            <w:pPr>
              <w:keepNext w:val="0"/>
              <w:keepLines/>
              <w:pageBreakBefore w:val="0"/>
              <w:widowControl/>
              <w:kinsoku/>
              <w:wordWrap w:val="0"/>
              <w:overflowPunct/>
              <w:topLinePunct w:val="0"/>
              <w:autoSpaceDE/>
              <w:autoSpaceDN/>
              <w:bidi w:val="0"/>
              <w:adjustRightInd/>
              <w:snapToGrid/>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10</w:t>
            </w:r>
            <w:r>
              <w:rPr>
                <w:rFonts w:hint="eastAsia" w:ascii="宋体" w:hAnsi="宋体" w:eastAsia="宋体" w:cs="宋体"/>
                <w:color w:val="auto"/>
                <w:highlight w:val="none"/>
              </w:rPr>
              <w:t>分）</w:t>
            </w:r>
          </w:p>
        </w:tc>
        <w:tc>
          <w:tcPr>
            <w:tcW w:w="925" w:type="dxa"/>
            <w:vMerge w:val="restart"/>
            <w:tcBorders>
              <w:top w:val="single" w:color="auto" w:sz="4" w:space="0"/>
              <w:left w:val="single" w:color="auto" w:sz="4" w:space="0"/>
              <w:right w:val="single" w:color="auto" w:sz="4" w:space="0"/>
            </w:tcBorders>
            <w:vAlign w:val="center"/>
          </w:tcPr>
          <w:p w14:paraId="25D82A39">
            <w:pPr>
              <w:keepNext w:val="0"/>
              <w:keepLines/>
              <w:pageBreakBefore w:val="0"/>
              <w:widowControl/>
              <w:kinsoku/>
              <w:wordWrap w:val="0"/>
              <w:overflowPunct/>
              <w:topLinePunct w:val="0"/>
              <w:autoSpaceDE/>
              <w:autoSpaceDN/>
              <w:bidi w:val="0"/>
              <w:adjustRightInd/>
              <w:snapToGrid/>
              <w:spacing w:line="24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企业实力</w:t>
            </w:r>
          </w:p>
        </w:tc>
        <w:tc>
          <w:tcPr>
            <w:tcW w:w="6985" w:type="dxa"/>
            <w:tcBorders>
              <w:top w:val="single" w:color="auto" w:sz="4" w:space="0"/>
              <w:left w:val="single" w:color="auto" w:sz="4" w:space="0"/>
              <w:bottom w:val="single" w:color="auto" w:sz="4" w:space="0"/>
              <w:right w:val="single" w:color="auto" w:sz="4" w:space="0"/>
            </w:tcBorders>
            <w:vAlign w:val="top"/>
          </w:tcPr>
          <w:p w14:paraId="6034AC49">
            <w:pP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投标人具有</w:t>
            </w:r>
            <w:r>
              <w:rPr>
                <w:rFonts w:hint="eastAsia" w:ascii="宋体" w:hAnsi="宋体" w:eastAsia="宋体" w:cs="宋体"/>
                <w:color w:val="auto"/>
                <w:kern w:val="0"/>
                <w:sz w:val="21"/>
                <w:szCs w:val="21"/>
                <w:highlight w:val="none"/>
              </w:rPr>
              <w:t>有效期内的信息安全管理体系认证</w:t>
            </w:r>
            <w:r>
              <w:rPr>
                <w:rFonts w:hint="eastAsia" w:ascii="宋体" w:hAnsi="宋体" w:eastAsia="宋体" w:cs="宋体"/>
                <w:color w:val="auto"/>
                <w:kern w:val="0"/>
                <w:sz w:val="21"/>
                <w:szCs w:val="21"/>
                <w:highlight w:val="none"/>
                <w:lang w:val="en-US" w:eastAsia="zh-CN"/>
              </w:rPr>
              <w:t>证书</w:t>
            </w:r>
            <w:r>
              <w:rPr>
                <w:rFonts w:hint="eastAsia" w:ascii="宋体" w:hAnsi="宋体" w:eastAsia="宋体" w:cs="宋体"/>
                <w:color w:val="auto"/>
                <w:kern w:val="0"/>
                <w:sz w:val="21"/>
                <w:szCs w:val="21"/>
                <w:highlight w:val="none"/>
              </w:rPr>
              <w:t>的得</w:t>
            </w: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p>
          <w:p w14:paraId="67F66326">
            <w:pP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投标人具有</w:t>
            </w:r>
            <w:r>
              <w:rPr>
                <w:rFonts w:hint="eastAsia" w:ascii="宋体" w:hAnsi="宋体" w:eastAsia="宋体" w:cs="宋体"/>
                <w:color w:val="auto"/>
                <w:kern w:val="0"/>
                <w:sz w:val="21"/>
                <w:szCs w:val="21"/>
                <w:highlight w:val="none"/>
              </w:rPr>
              <w:t>有效期内的信息技术服务管理体系认证</w:t>
            </w:r>
            <w:r>
              <w:rPr>
                <w:rFonts w:hint="eastAsia" w:ascii="宋体" w:hAnsi="宋体" w:eastAsia="宋体" w:cs="宋体"/>
                <w:color w:val="auto"/>
                <w:kern w:val="0"/>
                <w:sz w:val="21"/>
                <w:szCs w:val="21"/>
                <w:highlight w:val="none"/>
                <w:lang w:val="en-US" w:eastAsia="zh-CN"/>
              </w:rPr>
              <w:t>证书</w:t>
            </w:r>
            <w:r>
              <w:rPr>
                <w:rFonts w:hint="eastAsia" w:ascii="宋体" w:hAnsi="宋体" w:eastAsia="宋体" w:cs="宋体"/>
                <w:color w:val="auto"/>
                <w:kern w:val="0"/>
                <w:sz w:val="21"/>
                <w:szCs w:val="21"/>
                <w:highlight w:val="none"/>
              </w:rPr>
              <w:t>的得1</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p>
          <w:p w14:paraId="7449DFE2">
            <w:pP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本项最高得3分。</w:t>
            </w:r>
          </w:p>
          <w:p w14:paraId="535EC853">
            <w:pPr>
              <w:keepNext w:val="0"/>
              <w:keepLines/>
              <w:pageBreakBefore w:val="0"/>
              <w:widowControl/>
              <w:kinsoku/>
              <w:wordWrap w:val="0"/>
              <w:overflowPunct/>
              <w:topLinePunct w:val="0"/>
              <w:autoSpaceDE/>
              <w:autoSpaceDN/>
              <w:bidi w:val="0"/>
              <w:adjustRightInd/>
              <w:snapToGrid/>
              <w:spacing w:line="240" w:lineRule="auto"/>
              <w:jc w:val="left"/>
              <w:rPr>
                <w:rFonts w:hint="eastAsia"/>
                <w:b/>
                <w:bCs/>
                <w:color w:val="auto"/>
                <w:highlight w:val="none"/>
                <w:lang w:val="zh-CN"/>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提供相关证书复印件及</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全国认证认可信息公共服务平台</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t>网站截图并加盖投标人公章编入投标文件中，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844" w:type="dxa"/>
            <w:tcBorders>
              <w:top w:val="single" w:color="auto" w:sz="4" w:space="0"/>
              <w:left w:val="single" w:color="auto" w:sz="4" w:space="0"/>
              <w:bottom w:val="single" w:color="auto" w:sz="4" w:space="0"/>
              <w:right w:val="single" w:color="auto" w:sz="4" w:space="0"/>
            </w:tcBorders>
            <w:vAlign w:val="center"/>
          </w:tcPr>
          <w:p w14:paraId="3361E3B7">
            <w:pPr>
              <w:keepNext w:val="0"/>
              <w:keepLines/>
              <w:pageBreakBefore w:val="0"/>
              <w:widowControl/>
              <w:kinsoku/>
              <w:wordWrap w:val="0"/>
              <w:overflowPunct/>
              <w:topLinePunct w:val="0"/>
              <w:autoSpaceDE/>
              <w:autoSpaceDN/>
              <w:bidi w:val="0"/>
              <w:adjustRightInd/>
              <w:snapToGrid/>
              <w:spacing w:line="240" w:lineRule="auto"/>
              <w:jc w:val="center"/>
              <w:rPr>
                <w:rFonts w:hint="default" w:ascii="宋体" w:hAnsi="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3</w:t>
            </w:r>
          </w:p>
        </w:tc>
        <w:tc>
          <w:tcPr>
            <w:tcW w:w="844" w:type="dxa"/>
            <w:tcBorders>
              <w:top w:val="single" w:color="auto" w:sz="4" w:space="0"/>
              <w:left w:val="single" w:color="auto" w:sz="4" w:space="0"/>
              <w:bottom w:val="single" w:color="auto" w:sz="4" w:space="0"/>
              <w:right w:val="single" w:color="auto" w:sz="4" w:space="0"/>
            </w:tcBorders>
            <w:vAlign w:val="center"/>
          </w:tcPr>
          <w:p w14:paraId="7A62989A">
            <w:pPr>
              <w:keepNext w:val="0"/>
              <w:keepLines/>
              <w:pageBreakBefore w:val="0"/>
              <w:widowControl/>
              <w:kinsoku/>
              <w:wordWrap w:val="0"/>
              <w:overflowPunct/>
              <w:topLinePunct w:val="0"/>
              <w:autoSpaceDE/>
              <w:autoSpaceDN/>
              <w:bidi w:val="0"/>
              <w:adjustRightInd/>
              <w:snapToGrid/>
              <w:spacing w:line="240" w:lineRule="auto"/>
              <w:jc w:val="center"/>
              <w:rPr>
                <w:rFonts w:hint="eastAsia" w:ascii="宋体" w:hAnsi="宋体" w:cs="宋体"/>
                <w:snapToGrid w:val="0"/>
                <w:color w:val="auto"/>
                <w:szCs w:val="21"/>
                <w:highlight w:val="none"/>
                <w:lang w:val="en-US" w:eastAsia="zh-CN"/>
              </w:rPr>
            </w:pPr>
          </w:p>
        </w:tc>
        <w:tc>
          <w:tcPr>
            <w:tcW w:w="844" w:type="dxa"/>
            <w:tcBorders>
              <w:top w:val="single" w:color="auto" w:sz="4" w:space="0"/>
              <w:left w:val="single" w:color="auto" w:sz="4" w:space="0"/>
              <w:bottom w:val="single" w:color="auto" w:sz="4" w:space="0"/>
              <w:right w:val="single" w:color="auto" w:sz="4" w:space="0"/>
            </w:tcBorders>
            <w:vAlign w:val="center"/>
          </w:tcPr>
          <w:p w14:paraId="1407C390">
            <w:pPr>
              <w:keepNext w:val="0"/>
              <w:keepLines/>
              <w:pageBreakBefore w:val="0"/>
              <w:widowControl/>
              <w:kinsoku/>
              <w:wordWrap w:val="0"/>
              <w:overflowPunct/>
              <w:topLinePunct w:val="0"/>
              <w:autoSpaceDE/>
              <w:autoSpaceDN/>
              <w:bidi w:val="0"/>
              <w:adjustRightInd/>
              <w:snapToGrid/>
              <w:spacing w:line="240" w:lineRule="auto"/>
              <w:jc w:val="center"/>
              <w:rPr>
                <w:rFonts w:hint="eastAsia" w:ascii="宋体" w:hAnsi="宋体" w:cs="宋体"/>
                <w:snapToGrid w:val="0"/>
                <w:color w:val="auto"/>
                <w:szCs w:val="21"/>
                <w:highlight w:val="none"/>
                <w:lang w:val="en-US" w:eastAsia="zh-CN"/>
              </w:rPr>
            </w:pPr>
          </w:p>
        </w:tc>
      </w:tr>
      <w:tr w14:paraId="13F60D55">
        <w:tblPrEx>
          <w:tblCellMar>
            <w:top w:w="15" w:type="dxa"/>
            <w:left w:w="15" w:type="dxa"/>
            <w:bottom w:w="15" w:type="dxa"/>
            <w:right w:w="15" w:type="dxa"/>
          </w:tblCellMar>
        </w:tblPrEx>
        <w:trPr>
          <w:trHeight w:val="90" w:hRule="atLeast"/>
          <w:jc w:val="center"/>
        </w:trPr>
        <w:tc>
          <w:tcPr>
            <w:tcW w:w="843" w:type="dxa"/>
            <w:vMerge w:val="continue"/>
            <w:tcBorders>
              <w:left w:val="single" w:color="auto" w:sz="4" w:space="0"/>
              <w:right w:val="single" w:color="auto" w:sz="4" w:space="0"/>
            </w:tcBorders>
            <w:vAlign w:val="center"/>
          </w:tcPr>
          <w:p w14:paraId="6F6CB058">
            <w:pPr>
              <w:keepNext w:val="0"/>
              <w:keepLines/>
              <w:pageBreakBefore w:val="0"/>
              <w:widowControl/>
              <w:kinsoku/>
              <w:wordWrap w:val="0"/>
              <w:overflowPunct/>
              <w:topLinePunct w:val="0"/>
              <w:autoSpaceDE/>
              <w:autoSpaceDN/>
              <w:bidi w:val="0"/>
              <w:adjustRightInd/>
              <w:snapToGrid/>
              <w:spacing w:line="240" w:lineRule="auto"/>
              <w:rPr>
                <w:rFonts w:hint="eastAsia" w:ascii="宋体" w:hAnsi="宋体" w:eastAsia="宋体" w:cs="宋体"/>
                <w:color w:val="auto"/>
                <w:highlight w:val="none"/>
              </w:rPr>
            </w:pPr>
          </w:p>
        </w:tc>
        <w:tc>
          <w:tcPr>
            <w:tcW w:w="925" w:type="dxa"/>
            <w:vMerge w:val="continue"/>
            <w:tcBorders>
              <w:left w:val="single" w:color="auto" w:sz="4" w:space="0"/>
              <w:bottom w:val="single" w:color="auto" w:sz="4" w:space="0"/>
              <w:right w:val="single" w:color="auto" w:sz="4" w:space="0"/>
            </w:tcBorders>
            <w:vAlign w:val="center"/>
          </w:tcPr>
          <w:p w14:paraId="27D3E72C">
            <w:pPr>
              <w:keepNext w:val="0"/>
              <w:keepLines/>
              <w:pageBreakBefore w:val="0"/>
              <w:widowControl/>
              <w:kinsoku/>
              <w:wordWrap w:val="0"/>
              <w:overflowPunct/>
              <w:topLinePunct w:val="0"/>
              <w:autoSpaceDE/>
              <w:autoSpaceDN/>
              <w:bidi w:val="0"/>
              <w:adjustRightInd/>
              <w:snapToGrid/>
              <w:spacing w:line="240" w:lineRule="auto"/>
              <w:jc w:val="center"/>
              <w:rPr>
                <w:rFonts w:hint="eastAsia" w:ascii="宋体" w:hAnsi="宋体" w:cs="宋体"/>
                <w:color w:val="auto"/>
                <w:szCs w:val="21"/>
                <w:highlight w:val="none"/>
                <w:lang w:val="en-US" w:eastAsia="zh-CN"/>
              </w:rPr>
            </w:pPr>
          </w:p>
        </w:tc>
        <w:tc>
          <w:tcPr>
            <w:tcW w:w="6985" w:type="dxa"/>
            <w:tcBorders>
              <w:top w:val="single" w:color="auto" w:sz="4" w:space="0"/>
              <w:left w:val="single" w:color="auto" w:sz="4" w:space="0"/>
              <w:bottom w:val="single" w:color="auto" w:sz="4" w:space="0"/>
              <w:right w:val="single" w:color="auto" w:sz="4" w:space="0"/>
            </w:tcBorders>
            <w:vAlign w:val="top"/>
          </w:tcPr>
          <w:p w14:paraId="393275F4">
            <w:pP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1、投标产品制造商具有</w:t>
            </w:r>
            <w:r>
              <w:rPr>
                <w:rFonts w:hint="eastAsia" w:ascii="宋体" w:hAnsi="宋体" w:eastAsia="宋体" w:cs="宋体"/>
                <w:color w:val="auto"/>
                <w:kern w:val="0"/>
                <w:sz w:val="21"/>
                <w:szCs w:val="21"/>
                <w:highlight w:val="none"/>
              </w:rPr>
              <w:t>有效期内的</w:t>
            </w:r>
            <w:r>
              <w:rPr>
                <w:rFonts w:hint="eastAsia" w:ascii="宋体" w:hAnsi="宋体" w:eastAsia="宋体" w:cs="宋体"/>
                <w:color w:val="auto"/>
                <w:kern w:val="0"/>
                <w:sz w:val="21"/>
                <w:szCs w:val="21"/>
                <w:highlight w:val="none"/>
                <w:lang w:val="en-US" w:eastAsia="zh-CN"/>
              </w:rPr>
              <w:t>知识产权管理体系认证证书的得1分。</w:t>
            </w:r>
          </w:p>
          <w:p w14:paraId="3580B2A0">
            <w:pP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2、投标产品制造商具有</w:t>
            </w:r>
            <w:r>
              <w:rPr>
                <w:rFonts w:hint="eastAsia" w:ascii="宋体" w:hAnsi="宋体" w:eastAsia="宋体" w:cs="宋体"/>
                <w:color w:val="auto"/>
                <w:kern w:val="0"/>
                <w:sz w:val="21"/>
                <w:szCs w:val="21"/>
                <w:highlight w:val="none"/>
              </w:rPr>
              <w:t>有效期内的</w:t>
            </w:r>
            <w:r>
              <w:rPr>
                <w:rFonts w:hint="eastAsia" w:ascii="宋体" w:hAnsi="宋体" w:eastAsia="宋体" w:cs="宋体"/>
                <w:color w:val="auto"/>
                <w:kern w:val="0"/>
                <w:sz w:val="21"/>
                <w:szCs w:val="21"/>
                <w:highlight w:val="none"/>
                <w:lang w:val="en-US" w:eastAsia="zh-CN"/>
              </w:rPr>
              <w:t>质量管理体系认证证书的得1分。</w:t>
            </w:r>
          </w:p>
          <w:p w14:paraId="7566C0FA">
            <w:pP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3、投标产品制造商具有</w:t>
            </w:r>
            <w:r>
              <w:rPr>
                <w:rFonts w:hint="eastAsia" w:ascii="宋体" w:hAnsi="宋体" w:eastAsia="宋体" w:cs="宋体"/>
                <w:color w:val="auto"/>
                <w:kern w:val="0"/>
                <w:sz w:val="21"/>
                <w:szCs w:val="21"/>
                <w:highlight w:val="none"/>
              </w:rPr>
              <w:t>有效期内的</w:t>
            </w:r>
            <w:r>
              <w:rPr>
                <w:rFonts w:hint="eastAsia" w:ascii="宋体" w:hAnsi="宋体" w:eastAsia="宋体" w:cs="宋体"/>
                <w:color w:val="auto"/>
                <w:kern w:val="0"/>
                <w:sz w:val="21"/>
                <w:szCs w:val="21"/>
                <w:highlight w:val="none"/>
                <w:lang w:val="en-US" w:eastAsia="zh-CN"/>
              </w:rPr>
              <w:t>有害物质过程管理认证证书的得1分。</w:t>
            </w:r>
          </w:p>
          <w:p w14:paraId="026835B3">
            <w:pP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4、投标产品制造商具有</w:t>
            </w:r>
            <w:r>
              <w:rPr>
                <w:rFonts w:hint="eastAsia" w:ascii="宋体" w:hAnsi="宋体" w:eastAsia="宋体" w:cs="宋体"/>
                <w:color w:val="auto"/>
                <w:kern w:val="0"/>
                <w:sz w:val="21"/>
                <w:szCs w:val="21"/>
                <w:highlight w:val="none"/>
              </w:rPr>
              <w:t>有效期内的</w:t>
            </w:r>
            <w:r>
              <w:rPr>
                <w:rFonts w:hint="eastAsia" w:ascii="宋体" w:hAnsi="宋体" w:eastAsia="宋体" w:cs="宋体"/>
                <w:color w:val="auto"/>
                <w:kern w:val="0"/>
                <w:sz w:val="21"/>
                <w:szCs w:val="21"/>
                <w:highlight w:val="none"/>
                <w:lang w:val="en-US" w:eastAsia="zh-CN"/>
              </w:rPr>
              <w:t>经公安部门备案的等级三级及以上的信息系统安全等级保护备案证明的得1分。</w:t>
            </w:r>
          </w:p>
          <w:p w14:paraId="6BB84ECD">
            <w:pP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提供相关证书</w:t>
            </w:r>
            <w:r>
              <w:rPr>
                <w:rFonts w:hint="eastAsia" w:ascii="宋体" w:hAnsi="宋体" w:eastAsia="宋体" w:cs="宋体"/>
                <w:b/>
                <w:bCs/>
                <w:color w:val="auto"/>
                <w:sz w:val="21"/>
                <w:szCs w:val="21"/>
                <w:highlight w:val="none"/>
                <w:lang w:val="en-US" w:eastAsia="zh-CN"/>
              </w:rPr>
              <w:t>或证明材料</w:t>
            </w:r>
            <w:r>
              <w:rPr>
                <w:rFonts w:hint="eastAsia" w:ascii="宋体" w:hAnsi="宋体" w:eastAsia="宋体" w:cs="宋体"/>
                <w:b/>
                <w:bCs/>
                <w:color w:val="auto"/>
                <w:sz w:val="21"/>
                <w:szCs w:val="21"/>
                <w:highlight w:val="none"/>
              </w:rPr>
              <w:t>复印件</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1-3项还须提供</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全国认证认可信息公共服务平台</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t>网站截图并加盖投标人公章编入投标文件中，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844" w:type="dxa"/>
            <w:tcBorders>
              <w:top w:val="single" w:color="auto" w:sz="4" w:space="0"/>
              <w:left w:val="single" w:color="auto" w:sz="4" w:space="0"/>
              <w:bottom w:val="single" w:color="auto" w:sz="4" w:space="0"/>
              <w:right w:val="single" w:color="auto" w:sz="4" w:space="0"/>
            </w:tcBorders>
            <w:vAlign w:val="center"/>
          </w:tcPr>
          <w:p w14:paraId="63D515C9">
            <w:pPr>
              <w:keepNext w:val="0"/>
              <w:keepLines/>
              <w:pageBreakBefore w:val="0"/>
              <w:widowControl/>
              <w:kinsoku/>
              <w:wordWrap w:val="0"/>
              <w:overflowPunct/>
              <w:topLinePunct w:val="0"/>
              <w:autoSpaceDE/>
              <w:autoSpaceDN/>
              <w:bidi w:val="0"/>
              <w:adjustRightInd/>
              <w:snapToGrid/>
              <w:spacing w:line="240" w:lineRule="auto"/>
              <w:jc w:val="center"/>
              <w:rPr>
                <w:rFonts w:hint="default" w:ascii="宋体" w:hAnsi="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4</w:t>
            </w:r>
          </w:p>
        </w:tc>
        <w:tc>
          <w:tcPr>
            <w:tcW w:w="844" w:type="dxa"/>
            <w:tcBorders>
              <w:top w:val="single" w:color="auto" w:sz="4" w:space="0"/>
              <w:left w:val="single" w:color="auto" w:sz="4" w:space="0"/>
              <w:bottom w:val="single" w:color="auto" w:sz="4" w:space="0"/>
              <w:right w:val="single" w:color="auto" w:sz="4" w:space="0"/>
            </w:tcBorders>
            <w:vAlign w:val="center"/>
          </w:tcPr>
          <w:p w14:paraId="32EC7D90">
            <w:pPr>
              <w:keepNext w:val="0"/>
              <w:keepLines/>
              <w:pageBreakBefore w:val="0"/>
              <w:widowControl/>
              <w:kinsoku/>
              <w:wordWrap w:val="0"/>
              <w:overflowPunct/>
              <w:topLinePunct w:val="0"/>
              <w:autoSpaceDE/>
              <w:autoSpaceDN/>
              <w:bidi w:val="0"/>
              <w:adjustRightInd/>
              <w:snapToGrid/>
              <w:spacing w:line="240" w:lineRule="auto"/>
              <w:jc w:val="center"/>
              <w:rPr>
                <w:rFonts w:hint="eastAsia" w:ascii="宋体" w:hAnsi="宋体" w:cs="宋体"/>
                <w:snapToGrid w:val="0"/>
                <w:color w:val="auto"/>
                <w:szCs w:val="21"/>
                <w:highlight w:val="none"/>
                <w:lang w:val="en-US" w:eastAsia="zh-CN"/>
              </w:rPr>
            </w:pPr>
          </w:p>
        </w:tc>
        <w:tc>
          <w:tcPr>
            <w:tcW w:w="844" w:type="dxa"/>
            <w:tcBorders>
              <w:top w:val="single" w:color="auto" w:sz="4" w:space="0"/>
              <w:left w:val="single" w:color="auto" w:sz="4" w:space="0"/>
              <w:bottom w:val="single" w:color="auto" w:sz="4" w:space="0"/>
              <w:right w:val="single" w:color="auto" w:sz="4" w:space="0"/>
            </w:tcBorders>
            <w:vAlign w:val="center"/>
          </w:tcPr>
          <w:p w14:paraId="2FC8959A">
            <w:pPr>
              <w:keepNext w:val="0"/>
              <w:keepLines/>
              <w:pageBreakBefore w:val="0"/>
              <w:widowControl/>
              <w:kinsoku/>
              <w:wordWrap w:val="0"/>
              <w:overflowPunct/>
              <w:topLinePunct w:val="0"/>
              <w:autoSpaceDE/>
              <w:autoSpaceDN/>
              <w:bidi w:val="0"/>
              <w:adjustRightInd/>
              <w:snapToGrid/>
              <w:spacing w:line="240" w:lineRule="auto"/>
              <w:jc w:val="center"/>
              <w:rPr>
                <w:rFonts w:hint="eastAsia" w:ascii="宋体" w:hAnsi="宋体" w:cs="宋体"/>
                <w:snapToGrid w:val="0"/>
                <w:color w:val="auto"/>
                <w:szCs w:val="21"/>
                <w:highlight w:val="none"/>
                <w:lang w:val="en-US" w:eastAsia="zh-CN"/>
              </w:rPr>
            </w:pPr>
          </w:p>
        </w:tc>
      </w:tr>
      <w:tr w14:paraId="4A9DFBA1">
        <w:tblPrEx>
          <w:tblCellMar>
            <w:top w:w="15" w:type="dxa"/>
            <w:left w:w="15" w:type="dxa"/>
            <w:bottom w:w="15" w:type="dxa"/>
            <w:right w:w="15" w:type="dxa"/>
          </w:tblCellMar>
        </w:tblPrEx>
        <w:trPr>
          <w:trHeight w:val="875" w:hRule="atLeast"/>
          <w:jc w:val="center"/>
        </w:trPr>
        <w:tc>
          <w:tcPr>
            <w:tcW w:w="843" w:type="dxa"/>
            <w:vMerge w:val="continue"/>
            <w:tcBorders>
              <w:left w:val="single" w:color="auto" w:sz="4" w:space="0"/>
              <w:right w:val="single" w:color="auto" w:sz="4" w:space="0"/>
            </w:tcBorders>
            <w:vAlign w:val="center"/>
          </w:tcPr>
          <w:p w14:paraId="13166FC1">
            <w:pPr>
              <w:keepNext w:val="0"/>
              <w:keepLines/>
              <w:pageBreakBefore w:val="0"/>
              <w:widowControl/>
              <w:kinsoku/>
              <w:wordWrap w:val="0"/>
              <w:overflowPunct/>
              <w:topLinePunct w:val="0"/>
              <w:autoSpaceDE/>
              <w:autoSpaceDN/>
              <w:bidi w:val="0"/>
              <w:adjustRightInd/>
              <w:snapToGrid/>
              <w:spacing w:line="240" w:lineRule="auto"/>
              <w:rPr>
                <w:rFonts w:hint="eastAsia" w:ascii="宋体" w:hAnsi="宋体" w:eastAsia="宋体" w:cs="宋体"/>
                <w:color w:val="auto"/>
                <w:highlight w:val="none"/>
              </w:rPr>
            </w:pPr>
          </w:p>
        </w:tc>
        <w:tc>
          <w:tcPr>
            <w:tcW w:w="925" w:type="dxa"/>
            <w:tcBorders>
              <w:top w:val="single" w:color="auto" w:sz="4" w:space="0"/>
              <w:left w:val="single" w:color="auto" w:sz="4" w:space="0"/>
              <w:right w:val="single" w:color="auto" w:sz="4" w:space="0"/>
            </w:tcBorders>
            <w:vAlign w:val="center"/>
          </w:tcPr>
          <w:p w14:paraId="082FEF73">
            <w:pPr>
              <w:keepNext w:val="0"/>
              <w:keepLines/>
              <w:pageBreakBefore w:val="0"/>
              <w:widowControl/>
              <w:kinsoku/>
              <w:wordWrap w:val="0"/>
              <w:overflowPunct/>
              <w:topLinePunct w:val="0"/>
              <w:autoSpaceDE/>
              <w:autoSpaceDN/>
              <w:bidi w:val="0"/>
              <w:adjustRightInd/>
              <w:snapToGrid/>
              <w:spacing w:line="24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承接经验</w:t>
            </w:r>
          </w:p>
        </w:tc>
        <w:tc>
          <w:tcPr>
            <w:tcW w:w="6985" w:type="dxa"/>
            <w:tcBorders>
              <w:top w:val="single" w:color="auto" w:sz="4" w:space="0"/>
              <w:left w:val="single" w:color="auto" w:sz="4" w:space="0"/>
              <w:right w:val="single" w:color="auto" w:sz="4" w:space="0"/>
            </w:tcBorders>
            <w:vAlign w:val="top"/>
          </w:tcPr>
          <w:p w14:paraId="43D860EB">
            <w:pPr>
              <w:keepNext w:val="0"/>
              <w:keepLines/>
              <w:pageBreakBefore w:val="0"/>
              <w:widowControl/>
              <w:kinsoku/>
              <w:wordWrap w:val="0"/>
              <w:overflowPunct/>
              <w:topLinePunct w:val="0"/>
              <w:autoSpaceDE/>
              <w:autoSpaceDN/>
              <w:bidi w:val="0"/>
              <w:adjustRightInd/>
              <w:snapToGrid/>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投标人自202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月1日</w:t>
            </w:r>
            <w:r>
              <w:rPr>
                <w:rFonts w:hint="eastAsia" w:ascii="宋体" w:hAnsi="宋体" w:cs="宋体"/>
                <w:color w:val="auto"/>
                <w:szCs w:val="21"/>
                <w:highlight w:val="none"/>
                <w:lang w:val="zh-CN"/>
              </w:rPr>
              <w:t>（以合同签订时间为准）</w:t>
            </w:r>
            <w:r>
              <w:rPr>
                <w:rFonts w:hint="eastAsia" w:ascii="宋体" w:hAnsi="宋体" w:cs="宋体"/>
                <w:color w:val="auto"/>
                <w:szCs w:val="21"/>
                <w:highlight w:val="none"/>
              </w:rPr>
              <w:t>以来</w:t>
            </w:r>
            <w:r>
              <w:rPr>
                <w:rFonts w:hint="eastAsia" w:ascii="宋体" w:hAnsi="宋体" w:cs="宋体"/>
                <w:color w:val="auto"/>
                <w:szCs w:val="21"/>
                <w:highlight w:val="none"/>
                <w:lang w:val="zh-CN"/>
              </w:rPr>
              <w:t>，</w:t>
            </w:r>
            <w:r>
              <w:rPr>
                <w:rFonts w:hint="eastAsia" w:ascii="宋体" w:hAnsi="宋体" w:cs="宋体"/>
                <w:color w:val="auto"/>
                <w:szCs w:val="21"/>
                <w:highlight w:val="none"/>
              </w:rPr>
              <w:t>承接过类似项目业绩</w:t>
            </w:r>
            <w:r>
              <w:rPr>
                <w:rFonts w:hint="eastAsia" w:ascii="宋体" w:hAnsi="宋体" w:cs="宋体"/>
                <w:color w:val="auto"/>
                <w:szCs w:val="21"/>
                <w:highlight w:val="none"/>
                <w:lang w:eastAsia="zh-CN"/>
              </w:rPr>
              <w:t>的</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每提供</w:t>
            </w:r>
            <w:r>
              <w:rPr>
                <w:rFonts w:hint="eastAsia" w:ascii="宋体" w:hAnsi="宋体" w:cs="宋体"/>
                <w:color w:val="auto"/>
                <w:szCs w:val="21"/>
                <w:highlight w:val="none"/>
              </w:rPr>
              <w:t>一个合同得1分，</w:t>
            </w:r>
            <w:r>
              <w:rPr>
                <w:rFonts w:hint="eastAsia" w:ascii="宋体" w:hAnsi="宋体" w:cs="宋体"/>
                <w:color w:val="auto"/>
                <w:szCs w:val="21"/>
                <w:highlight w:val="none"/>
                <w:lang w:val="en-US" w:eastAsia="zh-CN"/>
              </w:rPr>
              <w:t>本项</w:t>
            </w:r>
            <w:r>
              <w:rPr>
                <w:rFonts w:hint="eastAsia" w:ascii="宋体" w:hAnsi="宋体" w:cs="宋体"/>
                <w:color w:val="auto"/>
                <w:szCs w:val="21"/>
                <w:highlight w:val="none"/>
              </w:rPr>
              <w:t>最高</w:t>
            </w:r>
            <w:r>
              <w:rPr>
                <w:rFonts w:hint="eastAsia" w:ascii="宋体" w:hAnsi="宋体" w:cs="宋体"/>
                <w:color w:val="auto"/>
                <w:szCs w:val="21"/>
                <w:highlight w:val="none"/>
                <w:lang w:val="en-US" w:eastAsia="zh-CN"/>
              </w:rPr>
              <w:t>得</w:t>
            </w:r>
            <w:r>
              <w:rPr>
                <w:rFonts w:hint="eastAsia" w:ascii="宋体" w:hAnsi="宋体" w:cs="宋体"/>
                <w:color w:val="auto"/>
                <w:szCs w:val="21"/>
                <w:highlight w:val="none"/>
              </w:rPr>
              <w:t>3分。</w:t>
            </w:r>
          </w:p>
          <w:p w14:paraId="146546D1">
            <w:pPr>
              <w:keepNext w:val="0"/>
              <w:keepLines/>
              <w:pageBreakBefore w:val="0"/>
              <w:widowControl/>
              <w:kinsoku/>
              <w:wordWrap w:val="0"/>
              <w:overflowPunct/>
              <w:topLinePunct w:val="0"/>
              <w:autoSpaceDE/>
              <w:autoSpaceDN/>
              <w:bidi w:val="0"/>
              <w:adjustRightInd/>
              <w:snapToGrid/>
              <w:spacing w:line="240" w:lineRule="auto"/>
              <w:jc w:val="left"/>
              <w:rPr>
                <w:rFonts w:hint="eastAsia" w:ascii="宋体" w:hAnsi="宋体" w:eastAsia="宋体" w:cs="宋体"/>
                <w:bCs/>
                <w:color w:val="auto"/>
                <w:szCs w:val="21"/>
                <w:highlight w:val="none"/>
              </w:rPr>
            </w:pPr>
            <w:r>
              <w:rPr>
                <w:rFonts w:hint="eastAsia"/>
                <w:b/>
                <w:bCs/>
                <w:color w:val="auto"/>
                <w:highlight w:val="none"/>
                <w:lang w:val="zh-CN"/>
              </w:rPr>
              <w:t>（</w:t>
            </w:r>
            <w:r>
              <w:rPr>
                <w:rFonts w:hint="eastAsia"/>
                <w:b/>
                <w:bCs/>
                <w:color w:val="auto"/>
                <w:highlight w:val="none"/>
              </w:rPr>
              <w:t>须</w:t>
            </w:r>
            <w:r>
              <w:rPr>
                <w:rFonts w:hint="eastAsia"/>
                <w:b/>
                <w:bCs/>
                <w:color w:val="auto"/>
                <w:highlight w:val="none"/>
                <w:lang w:val="zh-CN"/>
              </w:rPr>
              <w:t>提供</w:t>
            </w:r>
            <w:r>
              <w:rPr>
                <w:rFonts w:hint="eastAsia"/>
                <w:b/>
                <w:bCs/>
                <w:color w:val="auto"/>
                <w:highlight w:val="none"/>
                <w:lang w:val="en-US" w:eastAsia="zh-CN"/>
              </w:rPr>
              <w:t>有效的</w:t>
            </w:r>
            <w:r>
              <w:rPr>
                <w:rFonts w:hint="eastAsia"/>
                <w:b/>
                <w:bCs/>
                <w:color w:val="auto"/>
                <w:highlight w:val="none"/>
                <w:lang w:val="zh-CN"/>
              </w:rPr>
              <w:t>合同</w:t>
            </w:r>
            <w:r>
              <w:rPr>
                <w:rFonts w:hint="eastAsia"/>
                <w:b/>
                <w:bCs/>
                <w:color w:val="auto"/>
                <w:highlight w:val="none"/>
                <w:lang w:val="en-US" w:eastAsia="zh-CN"/>
              </w:rPr>
              <w:t>复印件并加盖投标人公章编入投标文件中</w:t>
            </w:r>
            <w:r>
              <w:rPr>
                <w:rFonts w:hint="eastAsia"/>
                <w:b/>
                <w:bCs/>
                <w:color w:val="auto"/>
                <w:highlight w:val="none"/>
              </w:rPr>
              <w:t>，未提供的不得分）</w:t>
            </w:r>
          </w:p>
        </w:tc>
        <w:tc>
          <w:tcPr>
            <w:tcW w:w="844" w:type="dxa"/>
            <w:tcBorders>
              <w:top w:val="single" w:color="auto" w:sz="4" w:space="0"/>
              <w:left w:val="single" w:color="auto" w:sz="4" w:space="0"/>
              <w:bottom w:val="single" w:color="auto" w:sz="4" w:space="0"/>
              <w:right w:val="single" w:color="auto" w:sz="4" w:space="0"/>
            </w:tcBorders>
            <w:vAlign w:val="center"/>
          </w:tcPr>
          <w:p w14:paraId="7B91F3D9">
            <w:pPr>
              <w:keepNext w:val="0"/>
              <w:keepLines/>
              <w:pageBreakBefore w:val="0"/>
              <w:widowControl/>
              <w:kinsoku/>
              <w:wordWrap w:val="0"/>
              <w:overflowPunct/>
              <w:topLinePunct w:val="0"/>
              <w:autoSpaceDE/>
              <w:autoSpaceDN/>
              <w:bidi w:val="0"/>
              <w:adjustRightInd/>
              <w:snapToGrid/>
              <w:spacing w:line="240" w:lineRule="auto"/>
              <w:jc w:val="center"/>
              <w:rPr>
                <w:rFonts w:hint="eastAsia" w:ascii="宋体" w:hAnsi="宋体" w:eastAsia="宋体" w:cs="宋体"/>
                <w:color w:val="auto"/>
                <w:szCs w:val="21"/>
                <w:highlight w:val="none"/>
              </w:rPr>
            </w:pPr>
            <w:r>
              <w:rPr>
                <w:rFonts w:hint="eastAsia" w:ascii="宋体" w:hAnsi="宋体" w:cs="宋体"/>
                <w:snapToGrid w:val="0"/>
                <w:color w:val="auto"/>
                <w:szCs w:val="21"/>
                <w:highlight w:val="none"/>
                <w:lang w:val="en-US" w:eastAsia="zh-CN"/>
              </w:rPr>
              <w:t>3</w:t>
            </w:r>
          </w:p>
        </w:tc>
        <w:tc>
          <w:tcPr>
            <w:tcW w:w="844" w:type="dxa"/>
            <w:tcBorders>
              <w:top w:val="single" w:color="auto" w:sz="4" w:space="0"/>
              <w:left w:val="single" w:color="auto" w:sz="4" w:space="0"/>
              <w:bottom w:val="single" w:color="auto" w:sz="4" w:space="0"/>
              <w:right w:val="single" w:color="auto" w:sz="4" w:space="0"/>
            </w:tcBorders>
            <w:vAlign w:val="center"/>
          </w:tcPr>
          <w:p w14:paraId="3D60735C">
            <w:pPr>
              <w:keepNext w:val="0"/>
              <w:keepLines/>
              <w:pageBreakBefore w:val="0"/>
              <w:widowControl/>
              <w:kinsoku/>
              <w:wordWrap w:val="0"/>
              <w:overflowPunct/>
              <w:topLinePunct w:val="0"/>
              <w:autoSpaceDE/>
              <w:autoSpaceDN/>
              <w:bidi w:val="0"/>
              <w:adjustRightInd/>
              <w:snapToGrid/>
              <w:spacing w:line="240" w:lineRule="auto"/>
              <w:jc w:val="center"/>
              <w:rPr>
                <w:rFonts w:hint="eastAsia" w:ascii="宋体" w:hAnsi="宋体" w:cs="宋体"/>
                <w:snapToGrid w:val="0"/>
                <w:color w:val="auto"/>
                <w:szCs w:val="21"/>
                <w:highlight w:val="none"/>
                <w:lang w:val="en-US" w:eastAsia="zh-CN"/>
              </w:rPr>
            </w:pPr>
          </w:p>
        </w:tc>
        <w:tc>
          <w:tcPr>
            <w:tcW w:w="844" w:type="dxa"/>
            <w:tcBorders>
              <w:top w:val="single" w:color="auto" w:sz="4" w:space="0"/>
              <w:left w:val="single" w:color="auto" w:sz="4" w:space="0"/>
              <w:bottom w:val="single" w:color="auto" w:sz="4" w:space="0"/>
              <w:right w:val="single" w:color="auto" w:sz="4" w:space="0"/>
            </w:tcBorders>
            <w:vAlign w:val="center"/>
          </w:tcPr>
          <w:p w14:paraId="4EEA3DF0">
            <w:pPr>
              <w:keepNext w:val="0"/>
              <w:keepLines/>
              <w:pageBreakBefore w:val="0"/>
              <w:widowControl/>
              <w:kinsoku/>
              <w:wordWrap w:val="0"/>
              <w:overflowPunct/>
              <w:topLinePunct w:val="0"/>
              <w:autoSpaceDE/>
              <w:autoSpaceDN/>
              <w:bidi w:val="0"/>
              <w:adjustRightInd/>
              <w:snapToGrid/>
              <w:spacing w:line="240" w:lineRule="auto"/>
              <w:jc w:val="center"/>
              <w:rPr>
                <w:rFonts w:hint="eastAsia" w:ascii="宋体" w:hAnsi="宋体" w:cs="宋体"/>
                <w:snapToGrid w:val="0"/>
                <w:color w:val="auto"/>
                <w:szCs w:val="21"/>
                <w:highlight w:val="none"/>
                <w:lang w:val="en-US" w:eastAsia="zh-CN"/>
              </w:rPr>
            </w:pPr>
          </w:p>
        </w:tc>
      </w:tr>
      <w:tr w14:paraId="7CA4B28A">
        <w:tblPrEx>
          <w:tblCellMar>
            <w:top w:w="15" w:type="dxa"/>
            <w:left w:w="15" w:type="dxa"/>
            <w:bottom w:w="15" w:type="dxa"/>
            <w:right w:w="15" w:type="dxa"/>
          </w:tblCellMar>
        </w:tblPrEx>
        <w:trPr>
          <w:trHeight w:val="1050" w:hRule="atLeast"/>
          <w:jc w:val="center"/>
        </w:trPr>
        <w:tc>
          <w:tcPr>
            <w:tcW w:w="843" w:type="dxa"/>
            <w:vMerge w:val="restart"/>
            <w:tcBorders>
              <w:top w:val="single" w:color="auto" w:sz="4" w:space="0"/>
              <w:left w:val="single" w:color="auto" w:sz="4" w:space="0"/>
              <w:bottom w:val="single" w:color="auto" w:sz="4" w:space="0"/>
              <w:right w:val="single" w:color="auto" w:sz="4" w:space="0"/>
            </w:tcBorders>
            <w:vAlign w:val="center"/>
          </w:tcPr>
          <w:p w14:paraId="118E2521">
            <w:pPr>
              <w:keepNext w:val="0"/>
              <w:keepLines/>
              <w:pageBreakBefore w:val="0"/>
              <w:widowControl/>
              <w:kinsoku/>
              <w:wordWrap w:val="0"/>
              <w:overflowPunct/>
              <w:topLinePunct w:val="0"/>
              <w:autoSpaceDE/>
              <w:autoSpaceDN/>
              <w:bidi w:val="0"/>
              <w:adjustRightInd/>
              <w:snapToGrid/>
              <w:spacing w:line="240" w:lineRule="auto"/>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技术分</w:t>
            </w:r>
          </w:p>
          <w:p w14:paraId="2BBF20B8">
            <w:pPr>
              <w:keepNext w:val="0"/>
              <w:keepLines/>
              <w:pageBreakBefore w:val="0"/>
              <w:widowControl/>
              <w:kinsoku/>
              <w:wordWrap w:val="0"/>
              <w:overflowPunct/>
              <w:topLinePunct w:val="0"/>
              <w:autoSpaceDE/>
              <w:autoSpaceDN/>
              <w:bidi w:val="0"/>
              <w:adjustRightInd/>
              <w:snapToGrid/>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60</w:t>
            </w:r>
            <w:r>
              <w:rPr>
                <w:rFonts w:hint="eastAsia" w:ascii="宋体" w:hAnsi="宋体" w:eastAsia="宋体" w:cs="宋体"/>
                <w:color w:val="auto"/>
                <w:highlight w:val="none"/>
              </w:rPr>
              <w:t>分）</w:t>
            </w:r>
          </w:p>
        </w:tc>
        <w:tc>
          <w:tcPr>
            <w:tcW w:w="925" w:type="dxa"/>
            <w:tcBorders>
              <w:top w:val="single" w:color="auto" w:sz="4" w:space="0"/>
              <w:left w:val="single" w:color="auto" w:sz="4" w:space="0"/>
              <w:bottom w:val="single" w:color="auto" w:sz="4" w:space="0"/>
              <w:right w:val="single" w:color="auto" w:sz="4" w:space="0"/>
            </w:tcBorders>
            <w:vAlign w:val="center"/>
          </w:tcPr>
          <w:p w14:paraId="01BE6E46">
            <w:pPr>
              <w:keepNext w:val="0"/>
              <w:keepLines/>
              <w:pageBreakBefore w:val="0"/>
              <w:widowControl/>
              <w:kinsoku/>
              <w:wordWrap w:val="0"/>
              <w:overflowPunct/>
              <w:topLinePunct w:val="0"/>
              <w:autoSpaceDE/>
              <w:autoSpaceDN/>
              <w:bidi w:val="0"/>
              <w:adjustRightInd/>
              <w:snapToGrid/>
              <w:spacing w:line="240" w:lineRule="auto"/>
              <w:jc w:val="center"/>
              <w:rPr>
                <w:rFonts w:hint="eastAsia" w:ascii="宋体" w:hAnsi="宋体" w:eastAsia="宋体" w:cs="宋体"/>
                <w:color w:val="auto"/>
                <w:szCs w:val="21"/>
                <w:highlight w:val="none"/>
                <w:lang w:val="en-US" w:eastAsia="zh-CN"/>
              </w:rPr>
            </w:pPr>
            <w:r>
              <w:rPr>
                <w:rStyle w:val="53"/>
                <w:rFonts w:hint="eastAsia" w:ascii="宋体" w:hAnsi="宋体" w:cs="宋体"/>
                <w:color w:val="auto"/>
                <w:szCs w:val="21"/>
                <w:highlight w:val="none"/>
              </w:rPr>
              <w:t>设备性能指标</w:t>
            </w:r>
            <w:r>
              <w:rPr>
                <w:rStyle w:val="53"/>
                <w:rFonts w:hint="eastAsia" w:ascii="宋体" w:hAnsi="宋体" w:cs="宋体"/>
                <w:color w:val="auto"/>
                <w:szCs w:val="21"/>
                <w:highlight w:val="none"/>
                <w:lang w:val="en-US" w:eastAsia="zh-CN"/>
              </w:rPr>
              <w:t>响应</w:t>
            </w:r>
          </w:p>
        </w:tc>
        <w:tc>
          <w:tcPr>
            <w:tcW w:w="6985" w:type="dxa"/>
            <w:tcBorders>
              <w:top w:val="single" w:color="auto" w:sz="4" w:space="0"/>
              <w:left w:val="single" w:color="auto" w:sz="4" w:space="0"/>
              <w:bottom w:val="single" w:color="auto" w:sz="4" w:space="0"/>
              <w:right w:val="single" w:color="auto" w:sz="4" w:space="0"/>
            </w:tcBorders>
            <w:vAlign w:val="center"/>
          </w:tcPr>
          <w:p w14:paraId="3A511EC9">
            <w:pPr>
              <w:keepNext w:val="0"/>
              <w:keepLines/>
              <w:pageBreakBefore w:val="0"/>
              <w:widowControl/>
              <w:kinsoku/>
              <w:wordWrap w:val="0"/>
              <w:overflowPunct/>
              <w:topLinePunct w:val="0"/>
              <w:autoSpaceDE/>
              <w:autoSpaceDN/>
              <w:bidi w:val="0"/>
              <w:adjustRightInd/>
              <w:snapToGrid/>
              <w:ind w:left="0"/>
              <w:jc w:val="left"/>
              <w:textAlignment w:val="auto"/>
              <w:rPr>
                <w:rFonts w:hint="eastAsia" w:ascii="宋体" w:hAnsi="宋体" w:cs="宋体"/>
                <w:color w:val="auto"/>
                <w:spacing w:val="-4"/>
                <w:kern w:val="2"/>
                <w:sz w:val="21"/>
                <w:szCs w:val="21"/>
                <w:highlight w:val="none"/>
                <w:lang w:val="en-US" w:eastAsia="zh-CN" w:bidi="ar-SA"/>
              </w:rPr>
            </w:pPr>
            <w:r>
              <w:rPr>
                <w:rFonts w:hint="eastAsia" w:ascii="宋体" w:hAnsi="宋体" w:cs="宋体"/>
                <w:color w:val="auto"/>
                <w:spacing w:val="-4"/>
                <w:kern w:val="2"/>
                <w:sz w:val="21"/>
                <w:szCs w:val="21"/>
                <w:highlight w:val="none"/>
                <w:lang w:val="en-US" w:eastAsia="zh-CN" w:bidi="ar-SA"/>
              </w:rPr>
              <w:t>根据</w:t>
            </w:r>
            <w:r>
              <w:rPr>
                <w:rFonts w:hint="eastAsia" w:ascii="宋体" w:hAnsi="宋体" w:eastAsia="宋体" w:cs="宋体"/>
                <w:color w:val="auto"/>
                <w:spacing w:val="-4"/>
                <w:kern w:val="2"/>
                <w:sz w:val="21"/>
                <w:szCs w:val="21"/>
                <w:highlight w:val="none"/>
                <w:lang w:val="en-US" w:eastAsia="zh-CN" w:bidi="ar-SA"/>
              </w:rPr>
              <w:t>所投产品所有技术指标均</w:t>
            </w:r>
            <w:r>
              <w:rPr>
                <w:rFonts w:hint="eastAsia" w:ascii="宋体" w:hAnsi="宋体" w:cs="宋体"/>
                <w:color w:val="auto"/>
                <w:spacing w:val="-4"/>
                <w:kern w:val="2"/>
                <w:sz w:val="21"/>
                <w:szCs w:val="21"/>
                <w:highlight w:val="none"/>
                <w:lang w:val="en-US" w:eastAsia="zh-CN" w:bidi="ar-SA"/>
              </w:rPr>
              <w:t>优于或满足</w:t>
            </w:r>
            <w:r>
              <w:rPr>
                <w:rFonts w:hint="eastAsia" w:ascii="宋体" w:hAnsi="宋体" w:eastAsia="宋体" w:cs="宋体"/>
                <w:color w:val="auto"/>
                <w:spacing w:val="-4"/>
                <w:kern w:val="2"/>
                <w:sz w:val="21"/>
                <w:szCs w:val="21"/>
                <w:highlight w:val="none"/>
                <w:lang w:val="en-US" w:eastAsia="zh-CN" w:bidi="ar-SA"/>
              </w:rPr>
              <w:t>招标文件</w:t>
            </w:r>
            <w:r>
              <w:rPr>
                <w:rFonts w:hint="eastAsia" w:ascii="宋体" w:hAnsi="宋体" w:cs="宋体"/>
                <w:b/>
                <w:bCs/>
                <w:color w:val="auto"/>
                <w:spacing w:val="-4"/>
                <w:kern w:val="2"/>
                <w:sz w:val="21"/>
                <w:szCs w:val="21"/>
                <w:highlight w:val="none"/>
                <w:lang w:val="en-US" w:eastAsia="zh-CN" w:bidi="ar-SA"/>
              </w:rPr>
              <w:t>“第四章 公开招标需求- 三、技术指标参数”</w:t>
            </w:r>
            <w:r>
              <w:rPr>
                <w:rFonts w:hint="eastAsia" w:ascii="宋体" w:hAnsi="宋体" w:eastAsia="宋体" w:cs="宋体"/>
                <w:color w:val="auto"/>
                <w:spacing w:val="-4"/>
                <w:kern w:val="2"/>
                <w:sz w:val="21"/>
                <w:szCs w:val="21"/>
                <w:highlight w:val="none"/>
                <w:lang w:val="en-US" w:eastAsia="zh-CN" w:bidi="ar-SA"/>
              </w:rPr>
              <w:t>要求的得</w:t>
            </w:r>
            <w:r>
              <w:rPr>
                <w:rFonts w:hint="eastAsia" w:ascii="宋体" w:hAnsi="宋体" w:cs="宋体"/>
                <w:color w:val="auto"/>
                <w:spacing w:val="-4"/>
                <w:kern w:val="2"/>
                <w:sz w:val="21"/>
                <w:szCs w:val="21"/>
                <w:highlight w:val="none"/>
                <w:lang w:val="en-US" w:eastAsia="zh-CN" w:bidi="ar-SA"/>
              </w:rPr>
              <w:t>36</w:t>
            </w:r>
            <w:r>
              <w:rPr>
                <w:rFonts w:hint="eastAsia" w:ascii="宋体" w:hAnsi="宋体" w:eastAsia="宋体" w:cs="宋体"/>
                <w:color w:val="auto"/>
                <w:spacing w:val="-4"/>
                <w:kern w:val="2"/>
                <w:sz w:val="21"/>
                <w:szCs w:val="21"/>
                <w:highlight w:val="none"/>
                <w:lang w:val="en-US" w:eastAsia="zh-CN" w:bidi="ar-SA"/>
              </w:rPr>
              <w:t>分</w:t>
            </w:r>
            <w:r>
              <w:rPr>
                <w:rFonts w:hint="eastAsia" w:ascii="宋体" w:hAnsi="宋体" w:cs="宋体"/>
                <w:color w:val="auto"/>
                <w:spacing w:val="-4"/>
                <w:kern w:val="2"/>
                <w:sz w:val="21"/>
                <w:szCs w:val="21"/>
                <w:highlight w:val="none"/>
                <w:lang w:val="en-US" w:eastAsia="zh-CN" w:bidi="ar-SA"/>
              </w:rPr>
              <w:t>。</w:t>
            </w:r>
          </w:p>
          <w:p w14:paraId="337899F9">
            <w:pPr>
              <w:keepNext w:val="0"/>
              <w:keepLines/>
              <w:pageBreakBefore w:val="0"/>
              <w:widowControl/>
              <w:kinsoku/>
              <w:wordWrap w:val="0"/>
              <w:overflowPunct/>
              <w:topLinePunct w:val="0"/>
              <w:autoSpaceDE/>
              <w:autoSpaceDN/>
              <w:bidi w:val="0"/>
              <w:adjustRightInd/>
              <w:snapToGrid/>
              <w:ind w:left="0"/>
              <w:jc w:val="left"/>
              <w:textAlignment w:val="auto"/>
              <w:rPr>
                <w:rFonts w:hint="eastAsia" w:ascii="宋体" w:hAnsi="宋体" w:cs="宋体"/>
                <w:color w:val="auto"/>
                <w:spacing w:val="-4"/>
                <w:kern w:val="2"/>
                <w:sz w:val="21"/>
                <w:szCs w:val="21"/>
                <w:highlight w:val="none"/>
                <w:lang w:val="en-US" w:eastAsia="zh-CN" w:bidi="ar-SA"/>
              </w:rPr>
            </w:pPr>
            <w:r>
              <w:rPr>
                <w:rFonts w:hint="eastAsia" w:ascii="宋体" w:hAnsi="宋体" w:cs="宋体"/>
                <w:color w:val="auto"/>
                <w:spacing w:val="-4"/>
                <w:kern w:val="2"/>
                <w:sz w:val="21"/>
                <w:szCs w:val="21"/>
                <w:highlight w:val="none"/>
                <w:lang w:val="en-US" w:eastAsia="zh-CN" w:bidi="ar-SA"/>
              </w:rPr>
              <w:t>1、打“</w:t>
            </w:r>
            <w:r>
              <w:rPr>
                <w:rFonts w:hint="eastAsia" w:ascii="宋体" w:hAnsi="宋体" w:eastAsia="宋体" w:cs="宋体"/>
                <w:color w:val="auto"/>
                <w:spacing w:val="-4"/>
                <w:kern w:val="2"/>
                <w:sz w:val="21"/>
                <w:szCs w:val="21"/>
                <w:highlight w:val="none"/>
                <w:lang w:val="en-US" w:eastAsia="zh-CN" w:bidi="ar-SA"/>
              </w:rPr>
              <w:t>★</w:t>
            </w:r>
            <w:r>
              <w:rPr>
                <w:rFonts w:hint="eastAsia" w:ascii="宋体" w:hAnsi="宋体" w:cs="宋体"/>
                <w:color w:val="auto"/>
                <w:spacing w:val="-4"/>
                <w:kern w:val="2"/>
                <w:sz w:val="21"/>
                <w:szCs w:val="21"/>
                <w:highlight w:val="none"/>
                <w:lang w:val="en-US" w:eastAsia="zh-CN" w:bidi="ar-SA"/>
              </w:rPr>
              <w:t>”</w:t>
            </w:r>
            <w:r>
              <w:rPr>
                <w:rFonts w:hint="eastAsia" w:ascii="宋体" w:hAnsi="宋体" w:eastAsia="宋体" w:cs="宋体"/>
                <w:color w:val="auto"/>
                <w:spacing w:val="-4"/>
                <w:kern w:val="2"/>
                <w:sz w:val="21"/>
                <w:szCs w:val="21"/>
                <w:highlight w:val="none"/>
                <w:lang w:val="en-US" w:eastAsia="zh-CN" w:bidi="ar-SA"/>
              </w:rPr>
              <w:t>项为重要技术参数指标项，</w:t>
            </w:r>
            <w:r>
              <w:rPr>
                <w:rFonts w:hint="eastAsia" w:ascii="宋体" w:hAnsi="宋体" w:cs="宋体"/>
                <w:color w:val="auto"/>
                <w:spacing w:val="-4"/>
                <w:kern w:val="2"/>
                <w:sz w:val="21"/>
                <w:szCs w:val="21"/>
                <w:highlight w:val="none"/>
                <w:lang w:val="en-US" w:eastAsia="zh-CN" w:bidi="ar-SA"/>
              </w:rPr>
              <w:t>负偏离或</w:t>
            </w:r>
            <w:r>
              <w:rPr>
                <w:rFonts w:hint="eastAsia" w:ascii="宋体" w:hAnsi="宋体" w:eastAsia="宋体" w:cs="宋体"/>
                <w:color w:val="auto"/>
                <w:spacing w:val="-4"/>
                <w:kern w:val="2"/>
                <w:sz w:val="21"/>
                <w:szCs w:val="21"/>
                <w:highlight w:val="none"/>
                <w:lang w:val="en-US" w:eastAsia="zh-CN" w:bidi="ar-SA"/>
              </w:rPr>
              <w:t>不满足</w:t>
            </w:r>
            <w:r>
              <w:rPr>
                <w:rFonts w:hint="eastAsia" w:ascii="宋体" w:hAnsi="宋体" w:cs="宋体"/>
                <w:color w:val="auto"/>
                <w:spacing w:val="-4"/>
                <w:kern w:val="2"/>
                <w:sz w:val="21"/>
                <w:szCs w:val="21"/>
                <w:highlight w:val="none"/>
                <w:lang w:val="en-US" w:eastAsia="zh-CN" w:bidi="ar-SA"/>
              </w:rPr>
              <w:t>的，每项</w:t>
            </w:r>
            <w:r>
              <w:rPr>
                <w:rFonts w:hint="eastAsia" w:ascii="宋体" w:hAnsi="宋体" w:eastAsia="宋体" w:cs="宋体"/>
                <w:color w:val="auto"/>
                <w:spacing w:val="-4"/>
                <w:kern w:val="2"/>
                <w:sz w:val="21"/>
                <w:szCs w:val="21"/>
                <w:highlight w:val="none"/>
                <w:lang w:val="en-US" w:eastAsia="zh-CN" w:bidi="ar-SA"/>
              </w:rPr>
              <w:t>扣</w:t>
            </w:r>
            <w:r>
              <w:rPr>
                <w:rFonts w:hint="eastAsia" w:ascii="宋体" w:hAnsi="宋体" w:cs="宋体"/>
                <w:color w:val="auto"/>
                <w:spacing w:val="-4"/>
                <w:kern w:val="2"/>
                <w:sz w:val="21"/>
                <w:szCs w:val="21"/>
                <w:highlight w:val="none"/>
                <w:lang w:val="en-US" w:eastAsia="zh-CN" w:bidi="ar-SA"/>
              </w:rPr>
              <w:t>0.2</w:t>
            </w:r>
            <w:r>
              <w:rPr>
                <w:rFonts w:hint="eastAsia" w:ascii="宋体" w:hAnsi="宋体" w:eastAsia="宋体" w:cs="宋体"/>
                <w:color w:val="auto"/>
                <w:spacing w:val="-4"/>
                <w:kern w:val="2"/>
                <w:sz w:val="21"/>
                <w:szCs w:val="21"/>
                <w:highlight w:val="none"/>
                <w:lang w:val="en-US" w:eastAsia="zh-CN" w:bidi="ar-SA"/>
              </w:rPr>
              <w:t>分</w:t>
            </w:r>
            <w:r>
              <w:rPr>
                <w:rFonts w:hint="eastAsia" w:ascii="宋体" w:hAnsi="宋体" w:cs="宋体"/>
                <w:color w:val="auto"/>
                <w:spacing w:val="-4"/>
                <w:kern w:val="2"/>
                <w:sz w:val="21"/>
                <w:szCs w:val="21"/>
                <w:highlight w:val="none"/>
                <w:lang w:val="en-US" w:eastAsia="zh-CN" w:bidi="ar-SA"/>
              </w:rPr>
              <w:t>；</w:t>
            </w:r>
          </w:p>
          <w:p w14:paraId="7838890E">
            <w:pPr>
              <w:keepNext w:val="0"/>
              <w:keepLines/>
              <w:pageBreakBefore w:val="0"/>
              <w:widowControl/>
              <w:kinsoku/>
              <w:wordWrap w:val="0"/>
              <w:overflowPunct/>
              <w:topLinePunct w:val="0"/>
              <w:autoSpaceDE/>
              <w:autoSpaceDN/>
              <w:bidi w:val="0"/>
              <w:adjustRightInd/>
              <w:snapToGrid/>
              <w:ind w:left="0"/>
              <w:jc w:val="left"/>
              <w:textAlignment w:val="auto"/>
              <w:rPr>
                <w:rFonts w:hint="eastAsia" w:ascii="宋体" w:hAnsi="宋体" w:cs="宋体"/>
                <w:color w:val="auto"/>
                <w:spacing w:val="-4"/>
                <w:kern w:val="2"/>
                <w:sz w:val="21"/>
                <w:szCs w:val="21"/>
                <w:highlight w:val="none"/>
                <w:lang w:val="en-US" w:eastAsia="zh-CN" w:bidi="ar-SA"/>
              </w:rPr>
            </w:pPr>
            <w:r>
              <w:rPr>
                <w:rFonts w:hint="eastAsia" w:ascii="宋体" w:hAnsi="宋体" w:cs="宋体"/>
                <w:color w:val="auto"/>
                <w:spacing w:val="-4"/>
                <w:kern w:val="2"/>
                <w:sz w:val="21"/>
                <w:szCs w:val="21"/>
                <w:highlight w:val="none"/>
                <w:lang w:val="en-US" w:eastAsia="zh-CN" w:bidi="ar-SA"/>
              </w:rPr>
              <w:t>2、</w:t>
            </w:r>
            <w:r>
              <w:rPr>
                <w:rFonts w:hint="eastAsia" w:ascii="宋体" w:hAnsi="宋体" w:eastAsia="宋体" w:cs="宋体"/>
                <w:color w:val="auto"/>
                <w:spacing w:val="-4"/>
                <w:kern w:val="2"/>
                <w:sz w:val="21"/>
                <w:szCs w:val="21"/>
                <w:highlight w:val="none"/>
                <w:lang w:val="en-US" w:eastAsia="zh-CN" w:bidi="ar-SA"/>
              </w:rPr>
              <w:t>其他技术指标</w:t>
            </w:r>
            <w:r>
              <w:rPr>
                <w:rFonts w:hint="eastAsia" w:ascii="宋体" w:hAnsi="宋体" w:cs="宋体"/>
                <w:color w:val="auto"/>
                <w:spacing w:val="-4"/>
                <w:kern w:val="2"/>
                <w:sz w:val="21"/>
                <w:szCs w:val="21"/>
                <w:highlight w:val="none"/>
                <w:lang w:val="en-US" w:eastAsia="zh-CN" w:bidi="ar-SA"/>
              </w:rPr>
              <w:t>，负偏离或</w:t>
            </w:r>
            <w:r>
              <w:rPr>
                <w:rFonts w:hint="eastAsia" w:ascii="宋体" w:hAnsi="宋体" w:eastAsia="宋体" w:cs="宋体"/>
                <w:color w:val="auto"/>
                <w:spacing w:val="-4"/>
                <w:kern w:val="2"/>
                <w:sz w:val="21"/>
                <w:szCs w:val="21"/>
                <w:highlight w:val="none"/>
                <w:lang w:val="en-US" w:eastAsia="zh-CN" w:bidi="ar-SA"/>
              </w:rPr>
              <w:t>不满足</w:t>
            </w:r>
            <w:r>
              <w:rPr>
                <w:rFonts w:hint="eastAsia" w:ascii="宋体" w:hAnsi="宋体" w:cs="宋体"/>
                <w:color w:val="auto"/>
                <w:spacing w:val="-4"/>
                <w:kern w:val="2"/>
                <w:sz w:val="21"/>
                <w:szCs w:val="21"/>
                <w:highlight w:val="none"/>
                <w:lang w:val="en-US" w:eastAsia="zh-CN" w:bidi="ar-SA"/>
              </w:rPr>
              <w:t>的，每项</w:t>
            </w:r>
            <w:r>
              <w:rPr>
                <w:rFonts w:hint="eastAsia" w:ascii="宋体" w:hAnsi="宋体" w:eastAsia="宋体" w:cs="宋体"/>
                <w:color w:val="auto"/>
                <w:spacing w:val="-4"/>
                <w:kern w:val="2"/>
                <w:sz w:val="21"/>
                <w:szCs w:val="21"/>
                <w:highlight w:val="none"/>
                <w:lang w:val="en-US" w:eastAsia="zh-CN" w:bidi="ar-SA"/>
              </w:rPr>
              <w:t>扣</w:t>
            </w:r>
            <w:r>
              <w:rPr>
                <w:rFonts w:hint="eastAsia" w:ascii="宋体" w:hAnsi="宋体" w:cs="宋体"/>
                <w:color w:val="auto"/>
                <w:spacing w:val="-4"/>
                <w:kern w:val="2"/>
                <w:sz w:val="21"/>
                <w:szCs w:val="21"/>
                <w:highlight w:val="none"/>
                <w:lang w:val="en-US" w:eastAsia="zh-CN" w:bidi="ar-SA"/>
              </w:rPr>
              <w:t>0.06</w:t>
            </w:r>
            <w:r>
              <w:rPr>
                <w:rFonts w:hint="eastAsia" w:ascii="宋体" w:hAnsi="宋体" w:eastAsia="宋体" w:cs="宋体"/>
                <w:color w:val="auto"/>
                <w:spacing w:val="-4"/>
                <w:kern w:val="2"/>
                <w:sz w:val="21"/>
                <w:szCs w:val="21"/>
                <w:highlight w:val="none"/>
                <w:lang w:val="en-US" w:eastAsia="zh-CN" w:bidi="ar-SA"/>
              </w:rPr>
              <w:t>分</w:t>
            </w:r>
            <w:r>
              <w:rPr>
                <w:rFonts w:hint="eastAsia" w:ascii="宋体" w:hAnsi="宋体" w:cs="宋体"/>
                <w:color w:val="auto"/>
                <w:spacing w:val="-4"/>
                <w:kern w:val="2"/>
                <w:sz w:val="21"/>
                <w:szCs w:val="21"/>
                <w:highlight w:val="none"/>
                <w:lang w:val="en-US" w:eastAsia="zh-CN" w:bidi="ar-SA"/>
              </w:rPr>
              <w:t>。</w:t>
            </w:r>
          </w:p>
          <w:p w14:paraId="71C12F11">
            <w:pPr>
              <w:keepNext w:val="0"/>
              <w:keepLines/>
              <w:pageBreakBefore w:val="0"/>
              <w:widowControl/>
              <w:kinsoku/>
              <w:wordWrap w:val="0"/>
              <w:overflowPunct/>
              <w:topLinePunct w:val="0"/>
              <w:autoSpaceDE/>
              <w:autoSpaceDN/>
              <w:bidi w:val="0"/>
              <w:adjustRightInd/>
              <w:snapToGrid/>
              <w:ind w:left="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扣完为止。</w:t>
            </w:r>
          </w:p>
          <w:p w14:paraId="1452A7AA">
            <w:pPr>
              <w:keepNext w:val="0"/>
              <w:keepLines/>
              <w:pageBreakBefore w:val="0"/>
              <w:widowControl/>
              <w:tabs>
                <w:tab w:val="left" w:pos="2061"/>
              </w:tabs>
              <w:kinsoku/>
              <w:wordWrap w:val="0"/>
              <w:overflowPunct/>
              <w:topLinePunct w:val="0"/>
              <w:autoSpaceDE/>
              <w:autoSpaceDN/>
              <w:bidi w:val="0"/>
              <w:adjustRightInd/>
              <w:snapToGrid/>
              <w:spacing w:line="240" w:lineRule="auto"/>
              <w:rPr>
                <w:rFonts w:hint="eastAsia" w:ascii="宋体" w:hAnsi="宋体" w:eastAsia="宋体" w:cs="宋体"/>
                <w:color w:val="auto"/>
                <w:szCs w:val="21"/>
                <w:highlight w:val="none"/>
              </w:rPr>
            </w:pPr>
            <w:r>
              <w:rPr>
                <w:rFonts w:hint="eastAsia" w:ascii="宋体" w:hAnsi="宋体" w:eastAsia="宋体" w:cs="宋体"/>
                <w:b/>
                <w:bCs/>
                <w:color w:val="auto"/>
                <w:spacing w:val="-4"/>
                <w:kern w:val="2"/>
                <w:sz w:val="21"/>
                <w:szCs w:val="21"/>
                <w:highlight w:val="none"/>
                <w:lang w:val="en-US" w:eastAsia="zh-CN" w:bidi="ar-SA"/>
              </w:rPr>
              <w:t>（注：</w:t>
            </w:r>
            <w:r>
              <w:rPr>
                <w:rFonts w:hint="eastAsia" w:ascii="宋体" w:hAnsi="宋体" w:cs="宋体"/>
                <w:b/>
                <w:bCs/>
                <w:color w:val="auto"/>
                <w:spacing w:val="-4"/>
                <w:kern w:val="2"/>
                <w:sz w:val="21"/>
                <w:szCs w:val="21"/>
                <w:highlight w:val="none"/>
                <w:lang w:val="en-US" w:eastAsia="zh-CN" w:bidi="ar-SA"/>
              </w:rPr>
              <w:t>响应招标参数要求，但未提供招标文件要求的证明材料或提供的材料不满足要求的，视为负偏离。</w:t>
            </w:r>
            <w:r>
              <w:rPr>
                <w:rFonts w:hint="eastAsia" w:ascii="宋体" w:hAnsi="宋体" w:eastAsia="宋体" w:cs="宋体"/>
                <w:b/>
                <w:bCs/>
                <w:color w:val="auto"/>
                <w:spacing w:val="-4"/>
                <w:kern w:val="2"/>
                <w:sz w:val="21"/>
                <w:szCs w:val="21"/>
                <w:highlight w:val="none"/>
                <w:lang w:val="en-US" w:eastAsia="zh-CN" w:bidi="ar-SA"/>
              </w:rPr>
              <w:t>）</w:t>
            </w:r>
          </w:p>
        </w:tc>
        <w:tc>
          <w:tcPr>
            <w:tcW w:w="844" w:type="dxa"/>
            <w:tcBorders>
              <w:top w:val="single" w:color="auto" w:sz="4" w:space="0"/>
              <w:left w:val="single" w:color="auto" w:sz="4" w:space="0"/>
              <w:bottom w:val="single" w:color="auto" w:sz="4" w:space="0"/>
              <w:right w:val="single" w:color="auto" w:sz="4" w:space="0"/>
            </w:tcBorders>
            <w:vAlign w:val="center"/>
          </w:tcPr>
          <w:p w14:paraId="4F7916A9">
            <w:pPr>
              <w:keepNext w:val="0"/>
              <w:keepLines/>
              <w:pageBreakBefore w:val="0"/>
              <w:widowControl/>
              <w:kinsoku/>
              <w:wordWrap w:val="0"/>
              <w:overflowPunct/>
              <w:topLinePunct w:val="0"/>
              <w:autoSpaceDE/>
              <w:autoSpaceDN/>
              <w:bidi w:val="0"/>
              <w:adjustRightInd/>
              <w:snapToGrid/>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36</w:t>
            </w:r>
          </w:p>
        </w:tc>
        <w:tc>
          <w:tcPr>
            <w:tcW w:w="844" w:type="dxa"/>
            <w:tcBorders>
              <w:top w:val="single" w:color="auto" w:sz="4" w:space="0"/>
              <w:left w:val="single" w:color="auto" w:sz="4" w:space="0"/>
              <w:bottom w:val="single" w:color="auto" w:sz="4" w:space="0"/>
              <w:right w:val="single" w:color="auto" w:sz="4" w:space="0"/>
            </w:tcBorders>
            <w:vAlign w:val="center"/>
          </w:tcPr>
          <w:p w14:paraId="6B1E2609">
            <w:pPr>
              <w:keepNext w:val="0"/>
              <w:keepLines/>
              <w:pageBreakBefore w:val="0"/>
              <w:widowControl/>
              <w:kinsoku/>
              <w:wordWrap w:val="0"/>
              <w:overflowPunct/>
              <w:topLinePunct w:val="0"/>
              <w:autoSpaceDE/>
              <w:autoSpaceDN/>
              <w:bidi w:val="0"/>
              <w:adjustRightInd/>
              <w:snapToGrid/>
              <w:spacing w:line="240" w:lineRule="auto"/>
              <w:jc w:val="center"/>
              <w:rPr>
                <w:rFonts w:hint="eastAsia" w:ascii="宋体" w:hAnsi="宋体" w:cs="宋体"/>
                <w:color w:val="auto"/>
                <w:szCs w:val="21"/>
                <w:highlight w:val="none"/>
                <w:lang w:val="en-US" w:eastAsia="zh-CN"/>
              </w:rPr>
            </w:pPr>
          </w:p>
        </w:tc>
        <w:tc>
          <w:tcPr>
            <w:tcW w:w="844" w:type="dxa"/>
            <w:tcBorders>
              <w:top w:val="single" w:color="auto" w:sz="4" w:space="0"/>
              <w:left w:val="single" w:color="auto" w:sz="4" w:space="0"/>
              <w:bottom w:val="single" w:color="auto" w:sz="4" w:space="0"/>
              <w:right w:val="single" w:color="auto" w:sz="4" w:space="0"/>
            </w:tcBorders>
            <w:vAlign w:val="center"/>
          </w:tcPr>
          <w:p w14:paraId="08AA7EBA">
            <w:pPr>
              <w:keepNext w:val="0"/>
              <w:keepLines/>
              <w:pageBreakBefore w:val="0"/>
              <w:widowControl/>
              <w:kinsoku/>
              <w:wordWrap w:val="0"/>
              <w:overflowPunct/>
              <w:topLinePunct w:val="0"/>
              <w:autoSpaceDE/>
              <w:autoSpaceDN/>
              <w:bidi w:val="0"/>
              <w:adjustRightInd/>
              <w:snapToGrid/>
              <w:spacing w:line="240" w:lineRule="auto"/>
              <w:jc w:val="center"/>
              <w:rPr>
                <w:rFonts w:hint="eastAsia" w:ascii="宋体" w:hAnsi="宋体" w:cs="宋体"/>
                <w:color w:val="auto"/>
                <w:szCs w:val="21"/>
                <w:highlight w:val="none"/>
                <w:lang w:val="en-US" w:eastAsia="zh-CN"/>
              </w:rPr>
            </w:pPr>
          </w:p>
        </w:tc>
      </w:tr>
      <w:tr w14:paraId="31A36334">
        <w:tblPrEx>
          <w:tblCellMar>
            <w:top w:w="15" w:type="dxa"/>
            <w:left w:w="15" w:type="dxa"/>
            <w:bottom w:w="15" w:type="dxa"/>
            <w:right w:w="15" w:type="dxa"/>
          </w:tblCellMar>
        </w:tblPrEx>
        <w:trPr>
          <w:trHeight w:val="1674"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14:paraId="1C92FDAA">
            <w:pPr>
              <w:keepNext w:val="0"/>
              <w:keepLines/>
              <w:pageBreakBefore w:val="0"/>
              <w:widowControl/>
              <w:kinsoku/>
              <w:wordWrap w:val="0"/>
              <w:overflowPunct/>
              <w:topLinePunct w:val="0"/>
              <w:autoSpaceDE/>
              <w:autoSpaceDN/>
              <w:bidi w:val="0"/>
              <w:adjustRightInd/>
              <w:snapToGrid/>
              <w:spacing w:line="240" w:lineRule="auto"/>
              <w:rPr>
                <w:rFonts w:hint="eastAsia" w:ascii="宋体" w:hAnsi="宋体" w:eastAsia="宋体" w:cs="宋体"/>
                <w:color w:val="auto"/>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07D19D32">
            <w:pPr>
              <w:keepNext w:val="0"/>
              <w:keepLines/>
              <w:pageBreakBefore w:val="0"/>
              <w:widowControl/>
              <w:kinsoku/>
              <w:wordWrap w:val="0"/>
              <w:overflowPunct/>
              <w:topLinePunct w:val="0"/>
              <w:autoSpaceDE/>
              <w:autoSpaceDN/>
              <w:bidi w:val="0"/>
              <w:adjustRightInd/>
              <w:snapToGrid/>
              <w:spacing w:line="240" w:lineRule="auto"/>
              <w:jc w:val="center"/>
              <w:rPr>
                <w:rFonts w:hint="eastAsia" w:ascii="宋体" w:hAnsi="宋体" w:eastAsia="宋体" w:cs="宋体"/>
                <w:color w:val="auto"/>
                <w:szCs w:val="21"/>
                <w:highlight w:val="none"/>
              </w:rPr>
            </w:pPr>
            <w:r>
              <w:rPr>
                <w:rFonts w:hint="eastAsia" w:ascii="宋体" w:hAnsi="宋体" w:cs="宋体"/>
                <w:color w:val="auto"/>
                <w:kern w:val="0"/>
                <w:szCs w:val="21"/>
                <w:highlight w:val="none"/>
                <w:lang w:val="en-US" w:eastAsia="zh-CN"/>
              </w:rPr>
              <w:t>技术、</w:t>
            </w:r>
            <w:r>
              <w:rPr>
                <w:rFonts w:hint="eastAsia" w:ascii="宋体" w:hAnsi="宋体" w:cs="宋体"/>
                <w:color w:val="auto"/>
                <w:kern w:val="0"/>
                <w:szCs w:val="21"/>
                <w:highlight w:val="none"/>
              </w:rPr>
              <w:t>实施方案</w:t>
            </w:r>
          </w:p>
        </w:tc>
        <w:tc>
          <w:tcPr>
            <w:tcW w:w="6985" w:type="dxa"/>
            <w:tcBorders>
              <w:top w:val="single" w:color="auto" w:sz="4" w:space="0"/>
              <w:left w:val="single" w:color="auto" w:sz="4" w:space="0"/>
              <w:bottom w:val="single" w:color="auto" w:sz="4" w:space="0"/>
              <w:right w:val="single" w:color="auto" w:sz="4" w:space="0"/>
            </w:tcBorders>
            <w:vAlign w:val="center"/>
          </w:tcPr>
          <w:p w14:paraId="0A7B95DE">
            <w:pPr>
              <w:pStyle w:val="50"/>
              <w:keepNext w:val="0"/>
              <w:keepLines/>
              <w:pageBreakBefore w:val="0"/>
              <w:widowControl/>
              <w:kinsoku/>
              <w:wordWrap w:val="0"/>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rPr>
              <w:t>根据</w:t>
            </w:r>
            <w:r>
              <w:rPr>
                <w:rFonts w:hint="eastAsia" w:ascii="宋体" w:hAnsi="宋体" w:eastAsia="宋体" w:cs="宋体"/>
                <w:color w:val="auto"/>
                <w:szCs w:val="24"/>
                <w:highlight w:val="none"/>
                <w:lang w:val="en-US" w:eastAsia="zh-CN"/>
              </w:rPr>
              <w:t>投标人</w:t>
            </w:r>
            <w:r>
              <w:rPr>
                <w:rFonts w:hint="eastAsia" w:ascii="宋体" w:hAnsi="宋体" w:eastAsia="宋体" w:cs="宋体"/>
                <w:color w:val="auto"/>
                <w:sz w:val="21"/>
                <w:szCs w:val="21"/>
                <w:highlight w:val="none"/>
                <w:lang w:val="en-US" w:eastAsia="zh-CN"/>
              </w:rPr>
              <w:t>针对本项目</w:t>
            </w:r>
            <w:r>
              <w:rPr>
                <w:rFonts w:hint="eastAsia" w:ascii="宋体" w:hAnsi="宋体" w:cs="宋体"/>
                <w:color w:val="auto"/>
                <w:sz w:val="21"/>
                <w:szCs w:val="21"/>
                <w:highlight w:val="none"/>
                <w:lang w:val="en-US" w:eastAsia="zh-CN"/>
              </w:rPr>
              <w:t>提供的组织实施方案（包括产品供货、验货、安装调试、试运行、测试、调优等内容）进行综合打分。</w:t>
            </w:r>
          </w:p>
          <w:p w14:paraId="3A3D927A">
            <w:pPr>
              <w:pStyle w:val="50"/>
              <w:keepNext w:val="0"/>
              <w:keepLines/>
              <w:pageBreakBefore w:val="0"/>
              <w:widowControl/>
              <w:kinsoku/>
              <w:wordWrap w:val="0"/>
              <w:overflowPunct/>
              <w:topLinePunct w:val="0"/>
              <w:autoSpaceDE/>
              <w:autoSpaceDN/>
              <w:bidi w:val="0"/>
              <w:adjustRightInd/>
              <w:snapToGrid/>
              <w:spacing w:before="0" w:after="0" w:line="240" w:lineRule="auto"/>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方案适用本项目，</w:t>
            </w:r>
            <w:r>
              <w:rPr>
                <w:rFonts w:hint="eastAsia" w:hAnsi="宋体"/>
                <w:color w:val="auto"/>
                <w:kern w:val="0"/>
                <w:szCs w:val="21"/>
                <w:highlight w:val="none"/>
              </w:rPr>
              <w:t>内容详细，有针对性，可行性高</w:t>
            </w:r>
            <w:r>
              <w:rPr>
                <w:rFonts w:hint="eastAsia" w:asciiTheme="minorEastAsia" w:hAnsiTheme="minorEastAsia" w:eastAsiaTheme="minorEastAsia" w:cstheme="minorEastAsia"/>
                <w:color w:val="auto"/>
                <w:highlight w:val="none"/>
                <w:lang w:val="en-US" w:eastAsia="zh-CN"/>
              </w:rPr>
              <w:t>的得4分；</w:t>
            </w:r>
          </w:p>
          <w:p w14:paraId="41C559BB">
            <w:pPr>
              <w:pStyle w:val="50"/>
              <w:keepNext w:val="0"/>
              <w:keepLines/>
              <w:pageBreakBefore w:val="0"/>
              <w:widowControl/>
              <w:kinsoku/>
              <w:wordWrap w:val="0"/>
              <w:overflowPunct/>
              <w:topLinePunct w:val="0"/>
              <w:autoSpaceDE/>
              <w:autoSpaceDN/>
              <w:bidi w:val="0"/>
              <w:adjustRightInd/>
              <w:snapToGrid/>
              <w:spacing w:before="0" w:after="0" w:line="240" w:lineRule="auto"/>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方案基本满足本项目，</w:t>
            </w:r>
            <w:r>
              <w:rPr>
                <w:rFonts w:hint="eastAsia" w:hAnsi="宋体"/>
                <w:color w:val="auto"/>
                <w:kern w:val="0"/>
                <w:szCs w:val="21"/>
                <w:highlight w:val="none"/>
              </w:rPr>
              <w:t>内容较为详细，可行性较高</w:t>
            </w:r>
            <w:r>
              <w:rPr>
                <w:rFonts w:hint="eastAsia" w:asciiTheme="minorEastAsia" w:hAnsiTheme="minorEastAsia" w:eastAsiaTheme="minorEastAsia" w:cstheme="minorEastAsia"/>
                <w:color w:val="auto"/>
                <w:highlight w:val="none"/>
                <w:lang w:val="en-US" w:eastAsia="zh-CN"/>
              </w:rPr>
              <w:t>的得3分；</w:t>
            </w:r>
          </w:p>
          <w:p w14:paraId="50C90423">
            <w:pPr>
              <w:pStyle w:val="50"/>
              <w:keepNext w:val="0"/>
              <w:keepLines/>
              <w:pageBreakBefore w:val="0"/>
              <w:widowControl/>
              <w:kinsoku/>
              <w:wordWrap w:val="0"/>
              <w:overflowPunct/>
              <w:topLinePunct w:val="0"/>
              <w:autoSpaceDE/>
              <w:autoSpaceDN/>
              <w:bidi w:val="0"/>
              <w:adjustRightInd/>
              <w:snapToGrid/>
              <w:spacing w:before="0" w:after="0" w:line="240" w:lineRule="auto"/>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方案一般，有所欠缺，可行性一般的得2分；</w:t>
            </w:r>
          </w:p>
          <w:p w14:paraId="0B647FC8">
            <w:pPr>
              <w:pStyle w:val="50"/>
              <w:keepNext w:val="0"/>
              <w:keepLines/>
              <w:pageBreakBefore w:val="0"/>
              <w:widowControl/>
              <w:kinsoku/>
              <w:wordWrap w:val="0"/>
              <w:overflowPunct/>
              <w:topLinePunct w:val="0"/>
              <w:autoSpaceDE/>
              <w:autoSpaceDN/>
              <w:bidi w:val="0"/>
              <w:adjustRightInd/>
              <w:snapToGrid/>
              <w:spacing w:before="0" w:after="0" w:line="240" w:lineRule="auto"/>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方案与本项目需求相差较大且内容不够全面的得1分；</w:t>
            </w:r>
          </w:p>
          <w:p w14:paraId="5DCD1F33">
            <w:pPr>
              <w:keepNext w:val="0"/>
              <w:keepLines/>
              <w:pageBreakBefore w:val="0"/>
              <w:widowControl/>
              <w:kinsoku/>
              <w:wordWrap w:val="0"/>
              <w:overflowPunct/>
              <w:topLinePunct w:val="0"/>
              <w:autoSpaceDE/>
              <w:autoSpaceDN/>
              <w:bidi w:val="0"/>
              <w:adjustRightInd/>
              <w:snapToGrid/>
              <w:spacing w:line="240" w:lineRule="auto"/>
              <w:jc w:val="left"/>
              <w:rPr>
                <w:rFonts w:hint="eastAsia" w:ascii="宋体" w:hAnsi="宋体" w:eastAsia="宋体" w:cs="宋体"/>
                <w:color w:val="auto"/>
                <w:szCs w:val="21"/>
                <w:highlight w:val="none"/>
              </w:rPr>
            </w:pPr>
            <w:r>
              <w:rPr>
                <w:rFonts w:hint="eastAsia" w:asciiTheme="minorEastAsia" w:hAnsiTheme="minorEastAsia" w:eastAsiaTheme="minorEastAsia" w:cstheme="minorEastAsia"/>
                <w:color w:val="auto"/>
                <w:highlight w:val="none"/>
                <w:lang w:val="en-US" w:eastAsia="zh-CN"/>
              </w:rPr>
              <w:t>未提及此项不得分。</w:t>
            </w:r>
          </w:p>
        </w:tc>
        <w:tc>
          <w:tcPr>
            <w:tcW w:w="844" w:type="dxa"/>
            <w:tcBorders>
              <w:top w:val="single" w:color="auto" w:sz="4" w:space="0"/>
              <w:left w:val="single" w:color="auto" w:sz="4" w:space="0"/>
              <w:bottom w:val="single" w:color="auto" w:sz="4" w:space="0"/>
              <w:right w:val="single" w:color="auto" w:sz="4" w:space="0"/>
            </w:tcBorders>
            <w:vAlign w:val="center"/>
          </w:tcPr>
          <w:p w14:paraId="38CF2E52">
            <w:pPr>
              <w:keepNext w:val="0"/>
              <w:keepLines/>
              <w:pageBreakBefore w:val="0"/>
              <w:widowControl/>
              <w:kinsoku/>
              <w:wordWrap w:val="0"/>
              <w:overflowPunct/>
              <w:topLinePunct w:val="0"/>
              <w:autoSpaceDE/>
              <w:autoSpaceDN/>
              <w:bidi w:val="0"/>
              <w:adjustRightInd/>
              <w:snapToGrid/>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pacing w:val="-4"/>
                <w:szCs w:val="21"/>
                <w:highlight w:val="none"/>
                <w:lang w:val="en-US" w:eastAsia="zh-CN"/>
              </w:rPr>
              <w:t>4</w:t>
            </w:r>
          </w:p>
        </w:tc>
        <w:tc>
          <w:tcPr>
            <w:tcW w:w="844" w:type="dxa"/>
            <w:tcBorders>
              <w:top w:val="single" w:color="auto" w:sz="4" w:space="0"/>
              <w:left w:val="single" w:color="auto" w:sz="4" w:space="0"/>
              <w:bottom w:val="single" w:color="auto" w:sz="4" w:space="0"/>
              <w:right w:val="single" w:color="auto" w:sz="4" w:space="0"/>
            </w:tcBorders>
            <w:vAlign w:val="center"/>
          </w:tcPr>
          <w:p w14:paraId="4C78CF25">
            <w:pPr>
              <w:keepNext w:val="0"/>
              <w:keepLines/>
              <w:pageBreakBefore w:val="0"/>
              <w:widowControl/>
              <w:kinsoku/>
              <w:wordWrap w:val="0"/>
              <w:overflowPunct/>
              <w:topLinePunct w:val="0"/>
              <w:autoSpaceDE/>
              <w:autoSpaceDN/>
              <w:bidi w:val="0"/>
              <w:adjustRightInd/>
              <w:snapToGrid/>
              <w:spacing w:line="240" w:lineRule="auto"/>
              <w:jc w:val="center"/>
              <w:rPr>
                <w:rFonts w:hint="eastAsia" w:ascii="宋体" w:hAnsi="宋体" w:cs="宋体"/>
                <w:color w:val="auto"/>
                <w:spacing w:val="-4"/>
                <w:szCs w:val="21"/>
                <w:highlight w:val="none"/>
                <w:lang w:val="en-US" w:eastAsia="zh-CN"/>
              </w:rPr>
            </w:pPr>
          </w:p>
        </w:tc>
        <w:tc>
          <w:tcPr>
            <w:tcW w:w="844" w:type="dxa"/>
            <w:tcBorders>
              <w:top w:val="single" w:color="auto" w:sz="4" w:space="0"/>
              <w:left w:val="single" w:color="auto" w:sz="4" w:space="0"/>
              <w:bottom w:val="single" w:color="auto" w:sz="4" w:space="0"/>
              <w:right w:val="single" w:color="auto" w:sz="4" w:space="0"/>
            </w:tcBorders>
            <w:vAlign w:val="center"/>
          </w:tcPr>
          <w:p w14:paraId="5A24EBD1">
            <w:pPr>
              <w:keepNext w:val="0"/>
              <w:keepLines/>
              <w:pageBreakBefore w:val="0"/>
              <w:widowControl/>
              <w:kinsoku/>
              <w:wordWrap w:val="0"/>
              <w:overflowPunct/>
              <w:topLinePunct w:val="0"/>
              <w:autoSpaceDE/>
              <w:autoSpaceDN/>
              <w:bidi w:val="0"/>
              <w:adjustRightInd/>
              <w:snapToGrid/>
              <w:spacing w:line="240" w:lineRule="auto"/>
              <w:jc w:val="center"/>
              <w:rPr>
                <w:rFonts w:hint="eastAsia" w:ascii="宋体" w:hAnsi="宋体" w:cs="宋体"/>
                <w:color w:val="auto"/>
                <w:spacing w:val="-4"/>
                <w:szCs w:val="21"/>
                <w:highlight w:val="none"/>
                <w:lang w:val="en-US" w:eastAsia="zh-CN"/>
              </w:rPr>
            </w:pPr>
          </w:p>
        </w:tc>
      </w:tr>
      <w:tr w14:paraId="23F37076">
        <w:tblPrEx>
          <w:tblCellMar>
            <w:top w:w="15" w:type="dxa"/>
            <w:left w:w="15" w:type="dxa"/>
            <w:bottom w:w="15" w:type="dxa"/>
            <w:right w:w="15" w:type="dxa"/>
          </w:tblCellMar>
        </w:tblPrEx>
        <w:trPr>
          <w:trHeight w:val="598"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14:paraId="1ECC0BA5">
            <w:pPr>
              <w:keepNext w:val="0"/>
              <w:keepLines/>
              <w:pageBreakBefore w:val="0"/>
              <w:widowControl/>
              <w:kinsoku/>
              <w:wordWrap w:val="0"/>
              <w:overflowPunct/>
              <w:topLinePunct w:val="0"/>
              <w:autoSpaceDE/>
              <w:autoSpaceDN/>
              <w:bidi w:val="0"/>
              <w:adjustRightInd/>
              <w:snapToGrid/>
              <w:spacing w:line="240" w:lineRule="auto"/>
              <w:jc w:val="center"/>
              <w:textAlignment w:val="center"/>
              <w:rPr>
                <w:rFonts w:hint="eastAsia" w:ascii="宋体" w:hAnsi="宋体" w:eastAsia="宋体" w:cs="宋体"/>
                <w:color w:val="auto"/>
                <w:szCs w:val="21"/>
                <w:highlight w:val="none"/>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71461410">
            <w:pPr>
              <w:keepNext w:val="0"/>
              <w:keepLines/>
              <w:pageBreakBefore w:val="0"/>
              <w:widowControl/>
              <w:kinsoku/>
              <w:wordWrap w:val="0"/>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交付培训方案</w:t>
            </w:r>
          </w:p>
        </w:tc>
        <w:tc>
          <w:tcPr>
            <w:tcW w:w="6985" w:type="dxa"/>
            <w:tcBorders>
              <w:top w:val="single" w:color="auto" w:sz="4" w:space="0"/>
              <w:left w:val="single" w:color="auto" w:sz="4" w:space="0"/>
              <w:bottom w:val="single" w:color="auto" w:sz="4" w:space="0"/>
              <w:right w:val="single" w:color="auto" w:sz="4" w:space="0"/>
            </w:tcBorders>
            <w:shd w:val="clear" w:color="auto" w:fill="auto"/>
            <w:vAlign w:val="center"/>
          </w:tcPr>
          <w:p w14:paraId="1BA93DCC">
            <w:pPr>
              <w:keepNext w:val="0"/>
              <w:keepLines/>
              <w:pageBreakBefore w:val="0"/>
              <w:widowControl/>
              <w:tabs>
                <w:tab w:val="left" w:pos="2061"/>
              </w:tabs>
              <w:kinsoku/>
              <w:wordWrap w:val="0"/>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cs="宋体"/>
                <w:color w:val="auto"/>
                <w:kern w:val="0"/>
                <w:highlight w:val="none"/>
                <w:lang w:val="en-US" w:eastAsia="zh-CN"/>
              </w:rPr>
            </w:pPr>
            <w:r>
              <w:rPr>
                <w:rFonts w:hint="eastAsia" w:ascii="宋体" w:hAnsi="宋体" w:cs="宋体"/>
                <w:color w:val="auto"/>
                <w:kern w:val="0"/>
                <w:highlight w:val="none"/>
              </w:rPr>
              <w:t>根据投标人的</w:t>
            </w:r>
            <w:r>
              <w:rPr>
                <w:rFonts w:hint="eastAsia" w:ascii="宋体" w:hAnsi="宋体" w:cs="宋体"/>
                <w:color w:val="auto"/>
                <w:kern w:val="0"/>
                <w:highlight w:val="none"/>
                <w:lang w:val="en-US" w:eastAsia="zh-CN"/>
              </w:rPr>
              <w:t>培训方案（</w:t>
            </w:r>
            <w:r>
              <w:rPr>
                <w:rFonts w:hint="eastAsia" w:ascii="宋体" w:hAnsi="宋体" w:eastAsia="宋体" w:cs="宋体"/>
                <w:color w:val="auto"/>
                <w:kern w:val="0"/>
                <w:sz w:val="21"/>
                <w:szCs w:val="21"/>
                <w:highlight w:val="none"/>
              </w:rPr>
              <w:t>包含</w:t>
            </w:r>
            <w:r>
              <w:rPr>
                <w:rFonts w:hint="eastAsia" w:ascii="宋体" w:hAnsi="宋体" w:cs="宋体"/>
                <w:color w:val="auto"/>
                <w:sz w:val="21"/>
                <w:szCs w:val="21"/>
                <w:highlight w:val="none"/>
                <w:lang w:val="en-US" w:eastAsia="zh-CN"/>
              </w:rPr>
              <w:t>操作管理培训、项目运行维护培训、其他</w:t>
            </w:r>
            <w:r>
              <w:rPr>
                <w:rFonts w:hint="eastAsia" w:ascii="宋体" w:hAnsi="宋体" w:eastAsia="宋体" w:cs="宋体"/>
                <w:color w:val="auto"/>
                <w:kern w:val="0"/>
                <w:sz w:val="21"/>
                <w:szCs w:val="21"/>
                <w:highlight w:val="none"/>
              </w:rPr>
              <w:t>培训内容、培训</w:t>
            </w:r>
            <w:r>
              <w:rPr>
                <w:rFonts w:hint="eastAsia" w:ascii="宋体" w:hAnsi="宋体" w:eastAsia="宋体" w:cs="宋体"/>
                <w:color w:val="auto"/>
                <w:kern w:val="0"/>
                <w:sz w:val="21"/>
                <w:szCs w:val="21"/>
                <w:highlight w:val="none"/>
                <w:lang w:val="en-GB"/>
              </w:rPr>
              <w:t>目标</w:t>
            </w:r>
            <w:r>
              <w:rPr>
                <w:rFonts w:hint="eastAsia" w:ascii="宋体" w:hAnsi="宋体" w:eastAsia="宋体" w:cs="宋体"/>
                <w:color w:val="auto"/>
                <w:kern w:val="0"/>
                <w:sz w:val="21"/>
                <w:szCs w:val="21"/>
                <w:highlight w:val="none"/>
              </w:rPr>
              <w:t>、培训时间和地点安排、师资力量等内容</w:t>
            </w:r>
            <w:r>
              <w:rPr>
                <w:rFonts w:hint="eastAsia" w:ascii="宋体" w:hAnsi="宋体" w:cs="宋体"/>
                <w:color w:val="auto"/>
                <w:kern w:val="0"/>
                <w:highlight w:val="none"/>
                <w:lang w:val="en-US" w:eastAsia="zh-CN"/>
              </w:rPr>
              <w:t>）的合理性和可行性进行</w:t>
            </w:r>
            <w:r>
              <w:rPr>
                <w:rFonts w:hint="eastAsia" w:ascii="宋体" w:hAnsi="宋体" w:cs="宋体"/>
                <w:color w:val="auto"/>
                <w:sz w:val="21"/>
                <w:szCs w:val="21"/>
                <w:highlight w:val="none"/>
                <w:lang w:val="en-US" w:eastAsia="zh-CN"/>
              </w:rPr>
              <w:t>综合</w:t>
            </w:r>
            <w:r>
              <w:rPr>
                <w:rFonts w:hint="eastAsia" w:ascii="宋体" w:hAnsi="宋体" w:cs="宋体"/>
                <w:color w:val="auto"/>
                <w:kern w:val="0"/>
                <w:highlight w:val="none"/>
                <w:lang w:val="en-US" w:eastAsia="zh-CN"/>
              </w:rPr>
              <w:t>打分。</w:t>
            </w:r>
          </w:p>
          <w:p w14:paraId="0E297097">
            <w:pPr>
              <w:keepNext w:val="0"/>
              <w:keepLines/>
              <w:pageBreakBefore w:val="0"/>
              <w:widowControl/>
              <w:tabs>
                <w:tab w:val="left" w:pos="2061"/>
              </w:tabs>
              <w:kinsoku/>
              <w:wordWrap w:val="0"/>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kern w:val="0"/>
                <w:highlight w:val="none"/>
                <w:lang w:val="en-US" w:eastAsia="zh-CN"/>
              </w:rPr>
              <w:t>培训方案</w:t>
            </w:r>
            <w:r>
              <w:rPr>
                <w:rFonts w:hint="eastAsia" w:ascii="宋体" w:hAnsi="宋体" w:eastAsia="宋体" w:cs="宋体"/>
                <w:b w:val="0"/>
                <w:bCs w:val="0"/>
                <w:color w:val="auto"/>
                <w:sz w:val="21"/>
                <w:szCs w:val="21"/>
                <w:highlight w:val="none"/>
                <w:lang w:val="en-US" w:eastAsia="zh-CN"/>
              </w:rPr>
              <w:t>全面、合理有效的得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w:t>
            </w:r>
          </w:p>
          <w:p w14:paraId="3EF028EC">
            <w:pPr>
              <w:keepNext w:val="0"/>
              <w:keepLines/>
              <w:pageBreakBefore w:val="0"/>
              <w:widowControl/>
              <w:tabs>
                <w:tab w:val="left" w:pos="2061"/>
              </w:tabs>
              <w:kinsoku/>
              <w:wordWrap w:val="0"/>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kern w:val="0"/>
                <w:highlight w:val="none"/>
                <w:lang w:val="en-US" w:eastAsia="zh-CN"/>
              </w:rPr>
              <w:t>培训方案</w:t>
            </w:r>
            <w:r>
              <w:rPr>
                <w:rFonts w:hint="eastAsia" w:ascii="宋体" w:hAnsi="宋体" w:eastAsia="宋体" w:cs="宋体"/>
                <w:b w:val="0"/>
                <w:bCs w:val="0"/>
                <w:color w:val="auto"/>
                <w:sz w:val="21"/>
                <w:szCs w:val="21"/>
                <w:highlight w:val="none"/>
                <w:lang w:val="en-US" w:eastAsia="zh-CN"/>
              </w:rPr>
              <w:t>阐述较详尽，有欠缺的得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73B41E4C">
            <w:pPr>
              <w:keepNext w:val="0"/>
              <w:keepLines/>
              <w:pageBreakBefore w:val="0"/>
              <w:widowControl/>
              <w:kinsoku/>
              <w:wordWrap w:val="0"/>
              <w:overflowPunct/>
              <w:topLinePunct w:val="0"/>
              <w:autoSpaceDE/>
              <w:autoSpaceDN/>
              <w:bidi w:val="0"/>
              <w:adjustRightInd/>
              <w:snapToGrid/>
              <w:spacing w:line="240" w:lineRule="auto"/>
              <w:ind w:left="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kern w:val="0"/>
                <w:highlight w:val="none"/>
                <w:lang w:val="en-US" w:eastAsia="zh-CN"/>
              </w:rPr>
              <w:t>培训方案</w:t>
            </w:r>
            <w:r>
              <w:rPr>
                <w:rFonts w:hint="eastAsia" w:ascii="宋体" w:hAnsi="宋体" w:eastAsia="宋体" w:cs="宋体"/>
                <w:b w:val="0"/>
                <w:bCs w:val="0"/>
                <w:color w:val="auto"/>
                <w:sz w:val="21"/>
                <w:szCs w:val="21"/>
                <w:highlight w:val="none"/>
                <w:lang w:val="en-US" w:eastAsia="zh-CN"/>
              </w:rPr>
              <w:t>一般的得1分；</w:t>
            </w:r>
          </w:p>
          <w:p w14:paraId="40BC0AE8">
            <w:pPr>
              <w:keepNext w:val="0"/>
              <w:keepLines/>
              <w:pageBreakBefore w:val="0"/>
              <w:widowControl/>
              <w:kinsoku/>
              <w:wordWrap w:val="0"/>
              <w:overflowPunct/>
              <w:topLinePunct w:val="0"/>
              <w:autoSpaceDE/>
              <w:autoSpaceDN/>
              <w:bidi w:val="0"/>
              <w:adjustRightInd/>
              <w:snapToGrid/>
              <w:spacing w:line="240" w:lineRule="auto"/>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未提及此项不得分。</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635FC0DC">
            <w:pPr>
              <w:keepNext w:val="0"/>
              <w:keepLines/>
              <w:pageBreakBefore w:val="0"/>
              <w:widowControl/>
              <w:tabs>
                <w:tab w:val="left" w:pos="780"/>
              </w:tabs>
              <w:kinsoku/>
              <w:wordWrap w:val="0"/>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764FDBBA">
            <w:pPr>
              <w:keepNext w:val="0"/>
              <w:keepLines/>
              <w:pageBreakBefore w:val="0"/>
              <w:widowControl/>
              <w:tabs>
                <w:tab w:val="left" w:pos="780"/>
              </w:tabs>
              <w:kinsoku/>
              <w:wordWrap w:val="0"/>
              <w:overflowPunct/>
              <w:topLinePunct w:val="0"/>
              <w:autoSpaceDE/>
              <w:autoSpaceDN/>
              <w:bidi w:val="0"/>
              <w:adjustRightInd/>
              <w:snapToGrid/>
              <w:spacing w:line="240" w:lineRule="auto"/>
              <w:ind w:left="0" w:leftChars="0"/>
              <w:jc w:val="center"/>
              <w:textAlignment w:val="auto"/>
              <w:rPr>
                <w:rFonts w:hint="eastAsia" w:ascii="宋体" w:hAnsi="宋体" w:cs="宋体"/>
                <w:color w:val="auto"/>
                <w:sz w:val="21"/>
                <w:szCs w:val="21"/>
                <w:highlight w:val="none"/>
                <w:lang w:val="en-US" w:eastAsia="zh-CN"/>
              </w:rPr>
            </w:pP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1F93BBA8">
            <w:pPr>
              <w:keepNext w:val="0"/>
              <w:keepLines/>
              <w:pageBreakBefore w:val="0"/>
              <w:widowControl/>
              <w:tabs>
                <w:tab w:val="left" w:pos="780"/>
              </w:tabs>
              <w:kinsoku/>
              <w:wordWrap w:val="0"/>
              <w:overflowPunct/>
              <w:topLinePunct w:val="0"/>
              <w:autoSpaceDE/>
              <w:autoSpaceDN/>
              <w:bidi w:val="0"/>
              <w:adjustRightInd/>
              <w:snapToGrid/>
              <w:spacing w:line="240" w:lineRule="auto"/>
              <w:ind w:left="0" w:leftChars="0"/>
              <w:jc w:val="center"/>
              <w:textAlignment w:val="auto"/>
              <w:rPr>
                <w:rFonts w:hint="eastAsia" w:ascii="宋体" w:hAnsi="宋体" w:cs="宋体"/>
                <w:color w:val="auto"/>
                <w:sz w:val="21"/>
                <w:szCs w:val="21"/>
                <w:highlight w:val="none"/>
                <w:lang w:val="en-US" w:eastAsia="zh-CN"/>
              </w:rPr>
            </w:pPr>
          </w:p>
        </w:tc>
      </w:tr>
      <w:tr w14:paraId="4AAA5534">
        <w:tblPrEx>
          <w:tblCellMar>
            <w:top w:w="15" w:type="dxa"/>
            <w:left w:w="15" w:type="dxa"/>
            <w:bottom w:w="15" w:type="dxa"/>
            <w:right w:w="15" w:type="dxa"/>
          </w:tblCellMar>
        </w:tblPrEx>
        <w:trPr>
          <w:trHeight w:val="148"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14:paraId="518CB7E4">
            <w:pPr>
              <w:keepNext w:val="0"/>
              <w:keepLines/>
              <w:pageBreakBefore w:val="0"/>
              <w:widowControl/>
              <w:kinsoku/>
              <w:wordWrap w:val="0"/>
              <w:overflowPunct/>
              <w:topLinePunct w:val="0"/>
              <w:autoSpaceDE/>
              <w:autoSpaceDN/>
              <w:bidi w:val="0"/>
              <w:adjustRightInd/>
              <w:snapToGrid/>
              <w:spacing w:line="240"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 xml:space="preserve"> </w:t>
            </w:r>
          </w:p>
        </w:tc>
        <w:tc>
          <w:tcPr>
            <w:tcW w:w="925" w:type="dxa"/>
            <w:tcBorders>
              <w:top w:val="single" w:color="auto" w:sz="4" w:space="0"/>
              <w:left w:val="single" w:color="auto" w:sz="4" w:space="0"/>
              <w:bottom w:val="single" w:color="auto" w:sz="4" w:space="0"/>
              <w:right w:val="single" w:color="auto" w:sz="4" w:space="0"/>
            </w:tcBorders>
            <w:vAlign w:val="center"/>
          </w:tcPr>
          <w:p w14:paraId="79EA5EF8">
            <w:pPr>
              <w:keepNext w:val="0"/>
              <w:keepLines/>
              <w:pageBreakBefore w:val="0"/>
              <w:widowControl/>
              <w:kinsoku/>
              <w:wordWrap w:val="0"/>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售后服务</w:t>
            </w:r>
            <w:r>
              <w:rPr>
                <w:rFonts w:hint="eastAsia" w:ascii="宋体" w:hAnsi="宋体" w:eastAsia="宋体" w:cs="宋体"/>
                <w:color w:val="auto"/>
                <w:sz w:val="21"/>
                <w:szCs w:val="21"/>
                <w:highlight w:val="none"/>
                <w:lang w:val="en-US" w:eastAsia="zh-CN"/>
              </w:rPr>
              <w:t>方案</w:t>
            </w:r>
          </w:p>
        </w:tc>
        <w:tc>
          <w:tcPr>
            <w:tcW w:w="6985" w:type="dxa"/>
            <w:tcBorders>
              <w:top w:val="single" w:color="auto" w:sz="4" w:space="0"/>
              <w:left w:val="single" w:color="auto" w:sz="4" w:space="0"/>
              <w:bottom w:val="single" w:color="auto" w:sz="4" w:space="0"/>
              <w:right w:val="single" w:color="auto" w:sz="4" w:space="0"/>
            </w:tcBorders>
            <w:vAlign w:val="center"/>
          </w:tcPr>
          <w:p w14:paraId="4C22500A">
            <w:pPr>
              <w:keepNext w:val="0"/>
              <w:keepLines/>
              <w:pageBreakBefore w:val="0"/>
              <w:widowControl/>
              <w:tabs>
                <w:tab w:val="left" w:pos="2061"/>
              </w:tabs>
              <w:kinsoku/>
              <w:wordWrap w:val="0"/>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cs="宋体"/>
                <w:color w:val="auto"/>
                <w:kern w:val="0"/>
                <w:highlight w:val="none"/>
                <w:lang w:val="en-US" w:eastAsia="zh-CN"/>
              </w:rPr>
            </w:pPr>
            <w:r>
              <w:rPr>
                <w:rFonts w:hint="eastAsia" w:ascii="宋体" w:hAnsi="宋体" w:cs="宋体"/>
                <w:color w:val="auto"/>
                <w:kern w:val="0"/>
                <w:highlight w:val="none"/>
              </w:rPr>
              <w:t>根据投标人的</w:t>
            </w:r>
            <w:r>
              <w:rPr>
                <w:rFonts w:hint="eastAsia" w:ascii="宋体" w:hAnsi="宋体" w:cs="宋体"/>
                <w:color w:val="auto"/>
                <w:kern w:val="0"/>
                <w:highlight w:val="none"/>
                <w:lang w:val="en-US" w:eastAsia="zh-CN"/>
              </w:rPr>
              <w:t>售后服务方案（</w:t>
            </w:r>
            <w:r>
              <w:rPr>
                <w:rFonts w:hint="eastAsia" w:ascii="宋体" w:hAnsi="宋体" w:cs="宋体"/>
                <w:color w:val="auto"/>
                <w:sz w:val="21"/>
                <w:szCs w:val="21"/>
                <w:highlight w:val="none"/>
                <w:lang w:val="en-US" w:eastAsia="zh-CN"/>
              </w:rPr>
              <w:t>包括</w:t>
            </w:r>
            <w:r>
              <w:rPr>
                <w:rFonts w:hint="eastAsia" w:ascii="宋体" w:hAnsi="宋体" w:eastAsia="宋体" w:cs="宋体"/>
                <w:color w:val="auto"/>
                <w:kern w:val="0"/>
                <w:sz w:val="21"/>
                <w:szCs w:val="21"/>
                <w:highlight w:val="none"/>
              </w:rPr>
              <w:t>远程视频免费咨询服务</w:t>
            </w:r>
            <w:r>
              <w:rPr>
                <w:rFonts w:hint="eastAsia" w:ascii="宋体" w:hAnsi="宋体" w:eastAsia="宋体" w:cs="宋体"/>
                <w:color w:val="auto"/>
                <w:kern w:val="0"/>
                <w:sz w:val="21"/>
                <w:szCs w:val="21"/>
                <w:highlight w:val="none"/>
                <w:lang w:eastAsia="zh-CN"/>
              </w:rPr>
              <w:t>、</w:t>
            </w:r>
            <w:r>
              <w:rPr>
                <w:rFonts w:hint="eastAsia"/>
                <w:color w:val="auto"/>
                <w:highlight w:val="none"/>
              </w:rPr>
              <w:t>售后服务响应时间、响应程度、紧急故障处理预案等内容</w:t>
            </w:r>
            <w:r>
              <w:rPr>
                <w:rFonts w:hint="eastAsia" w:ascii="宋体" w:hAnsi="宋体" w:cs="宋体"/>
                <w:color w:val="auto"/>
                <w:kern w:val="0"/>
                <w:highlight w:val="none"/>
                <w:lang w:val="en-US" w:eastAsia="zh-CN"/>
              </w:rPr>
              <w:t>等情况）的合理性和可行性进行</w:t>
            </w:r>
            <w:r>
              <w:rPr>
                <w:rFonts w:hint="eastAsia" w:ascii="宋体" w:hAnsi="宋体" w:cs="宋体"/>
                <w:color w:val="auto"/>
                <w:sz w:val="21"/>
                <w:szCs w:val="21"/>
                <w:highlight w:val="none"/>
                <w:lang w:val="en-US" w:eastAsia="zh-CN"/>
              </w:rPr>
              <w:t>综合</w:t>
            </w:r>
            <w:r>
              <w:rPr>
                <w:rFonts w:hint="eastAsia" w:ascii="宋体" w:hAnsi="宋体" w:cs="宋体"/>
                <w:color w:val="auto"/>
                <w:kern w:val="0"/>
                <w:highlight w:val="none"/>
                <w:lang w:val="en-US" w:eastAsia="zh-CN"/>
              </w:rPr>
              <w:t>打分。</w:t>
            </w:r>
          </w:p>
          <w:p w14:paraId="0A58B2D1">
            <w:pPr>
              <w:keepNext w:val="0"/>
              <w:keepLines/>
              <w:pageBreakBefore w:val="0"/>
              <w:widowControl/>
              <w:tabs>
                <w:tab w:val="left" w:pos="2061"/>
              </w:tabs>
              <w:kinsoku/>
              <w:wordWrap w:val="0"/>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kern w:val="0"/>
                <w:highlight w:val="none"/>
                <w:lang w:val="en-US" w:eastAsia="zh-CN"/>
              </w:rPr>
              <w:t>售后</w:t>
            </w:r>
            <w:r>
              <w:rPr>
                <w:rFonts w:hint="eastAsia" w:ascii="宋体" w:hAnsi="宋体" w:eastAsia="宋体" w:cs="宋体"/>
                <w:b w:val="0"/>
                <w:bCs w:val="0"/>
                <w:color w:val="auto"/>
                <w:sz w:val="21"/>
                <w:szCs w:val="21"/>
                <w:highlight w:val="none"/>
                <w:lang w:val="en-US" w:eastAsia="zh-CN"/>
              </w:rPr>
              <w:t>服务方案全面、后续实施保障措施合理有效的得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2ADBF925">
            <w:pPr>
              <w:keepNext w:val="0"/>
              <w:keepLines/>
              <w:pageBreakBefore w:val="0"/>
              <w:widowControl/>
              <w:tabs>
                <w:tab w:val="left" w:pos="2061"/>
              </w:tabs>
              <w:kinsoku/>
              <w:wordWrap w:val="0"/>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kern w:val="0"/>
                <w:highlight w:val="none"/>
                <w:lang w:val="en-US" w:eastAsia="zh-CN"/>
              </w:rPr>
              <w:t>售后</w:t>
            </w:r>
            <w:r>
              <w:rPr>
                <w:rFonts w:hint="eastAsia" w:ascii="宋体" w:hAnsi="宋体" w:eastAsia="宋体" w:cs="宋体"/>
                <w:b w:val="0"/>
                <w:bCs w:val="0"/>
                <w:color w:val="auto"/>
                <w:sz w:val="21"/>
                <w:szCs w:val="21"/>
                <w:highlight w:val="none"/>
                <w:lang w:val="en-US" w:eastAsia="zh-CN"/>
              </w:rPr>
              <w:t>服务方案阐述较详尽，后续实施保障措施有欠缺的得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w:t>
            </w:r>
          </w:p>
          <w:p w14:paraId="236A435E">
            <w:pPr>
              <w:keepNext w:val="0"/>
              <w:keepLines/>
              <w:pageBreakBefore w:val="0"/>
              <w:widowControl/>
              <w:kinsoku/>
              <w:wordWrap w:val="0"/>
              <w:overflowPunct/>
              <w:topLinePunct w:val="0"/>
              <w:autoSpaceDE/>
              <w:autoSpaceDN/>
              <w:bidi w:val="0"/>
              <w:adjustRightInd/>
              <w:snapToGrid/>
              <w:spacing w:line="240" w:lineRule="auto"/>
              <w:ind w:left="0" w:left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售后服务方案简单的得0.5分；</w:t>
            </w:r>
          </w:p>
          <w:p w14:paraId="598303C0">
            <w:pPr>
              <w:keepNext w:val="0"/>
              <w:keepLines/>
              <w:pageBreakBefore w:val="0"/>
              <w:widowControl/>
              <w:kinsoku/>
              <w:wordWrap w:val="0"/>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lang w:val="en-US" w:eastAsia="zh-CN"/>
              </w:rPr>
              <w:t>未提及此项不得分。</w:t>
            </w:r>
          </w:p>
        </w:tc>
        <w:tc>
          <w:tcPr>
            <w:tcW w:w="844" w:type="dxa"/>
            <w:tcBorders>
              <w:top w:val="single" w:color="auto" w:sz="4" w:space="0"/>
              <w:left w:val="single" w:color="auto" w:sz="4" w:space="0"/>
              <w:bottom w:val="single" w:color="auto" w:sz="4" w:space="0"/>
              <w:right w:val="single" w:color="auto" w:sz="4" w:space="0"/>
            </w:tcBorders>
            <w:vAlign w:val="center"/>
          </w:tcPr>
          <w:p w14:paraId="000ADBA9">
            <w:pPr>
              <w:keepNext w:val="0"/>
              <w:keepLines/>
              <w:pageBreakBefore w:val="0"/>
              <w:widowControl/>
              <w:tabs>
                <w:tab w:val="left" w:pos="780"/>
              </w:tabs>
              <w:kinsoku/>
              <w:wordWrap w:val="0"/>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 w:val="21"/>
                <w:szCs w:val="21"/>
                <w:highlight w:val="none"/>
                <w:lang w:val="en-US" w:eastAsia="zh-CN"/>
              </w:rPr>
              <w:t>2</w:t>
            </w:r>
          </w:p>
        </w:tc>
        <w:tc>
          <w:tcPr>
            <w:tcW w:w="844" w:type="dxa"/>
            <w:tcBorders>
              <w:top w:val="single" w:color="auto" w:sz="4" w:space="0"/>
              <w:left w:val="single" w:color="auto" w:sz="4" w:space="0"/>
              <w:bottom w:val="single" w:color="auto" w:sz="4" w:space="0"/>
              <w:right w:val="single" w:color="auto" w:sz="4" w:space="0"/>
            </w:tcBorders>
            <w:vAlign w:val="center"/>
          </w:tcPr>
          <w:p w14:paraId="43799DD7">
            <w:pPr>
              <w:keepNext w:val="0"/>
              <w:keepLines/>
              <w:pageBreakBefore w:val="0"/>
              <w:widowControl/>
              <w:tabs>
                <w:tab w:val="left" w:pos="780"/>
              </w:tabs>
              <w:kinsoku/>
              <w:wordWrap w:val="0"/>
              <w:overflowPunct/>
              <w:topLinePunct w:val="0"/>
              <w:autoSpaceDE/>
              <w:autoSpaceDN/>
              <w:bidi w:val="0"/>
              <w:adjustRightInd/>
              <w:snapToGrid/>
              <w:spacing w:line="240" w:lineRule="auto"/>
              <w:ind w:left="0" w:leftChars="0"/>
              <w:jc w:val="center"/>
              <w:textAlignment w:val="auto"/>
              <w:rPr>
                <w:rFonts w:hint="eastAsia" w:ascii="宋体" w:hAnsi="宋体" w:cs="宋体"/>
                <w:color w:val="auto"/>
                <w:sz w:val="21"/>
                <w:szCs w:val="21"/>
                <w:highlight w:val="none"/>
                <w:lang w:val="en-US" w:eastAsia="zh-CN"/>
              </w:rPr>
            </w:pPr>
          </w:p>
        </w:tc>
        <w:tc>
          <w:tcPr>
            <w:tcW w:w="844" w:type="dxa"/>
            <w:tcBorders>
              <w:top w:val="single" w:color="auto" w:sz="4" w:space="0"/>
              <w:left w:val="single" w:color="auto" w:sz="4" w:space="0"/>
              <w:bottom w:val="single" w:color="auto" w:sz="4" w:space="0"/>
              <w:right w:val="single" w:color="auto" w:sz="4" w:space="0"/>
            </w:tcBorders>
            <w:vAlign w:val="center"/>
          </w:tcPr>
          <w:p w14:paraId="0341B6C0">
            <w:pPr>
              <w:keepNext w:val="0"/>
              <w:keepLines/>
              <w:pageBreakBefore w:val="0"/>
              <w:widowControl/>
              <w:tabs>
                <w:tab w:val="left" w:pos="780"/>
              </w:tabs>
              <w:kinsoku/>
              <w:wordWrap w:val="0"/>
              <w:overflowPunct/>
              <w:topLinePunct w:val="0"/>
              <w:autoSpaceDE/>
              <w:autoSpaceDN/>
              <w:bidi w:val="0"/>
              <w:adjustRightInd/>
              <w:snapToGrid/>
              <w:spacing w:line="240" w:lineRule="auto"/>
              <w:ind w:left="0" w:leftChars="0"/>
              <w:jc w:val="center"/>
              <w:textAlignment w:val="auto"/>
              <w:rPr>
                <w:rFonts w:hint="eastAsia" w:ascii="宋体" w:hAnsi="宋体" w:cs="宋体"/>
                <w:color w:val="auto"/>
                <w:sz w:val="21"/>
                <w:szCs w:val="21"/>
                <w:highlight w:val="none"/>
                <w:lang w:val="en-US" w:eastAsia="zh-CN"/>
              </w:rPr>
            </w:pPr>
          </w:p>
        </w:tc>
      </w:tr>
      <w:tr w14:paraId="00032228">
        <w:tblPrEx>
          <w:tblCellMar>
            <w:top w:w="15" w:type="dxa"/>
            <w:left w:w="15" w:type="dxa"/>
            <w:bottom w:w="15" w:type="dxa"/>
            <w:right w:w="15" w:type="dxa"/>
          </w:tblCellMar>
        </w:tblPrEx>
        <w:trPr>
          <w:trHeight w:val="90"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14:paraId="4907CD5E">
            <w:pPr>
              <w:keepNext w:val="0"/>
              <w:keepLines/>
              <w:pageBreakBefore w:val="0"/>
              <w:widowControl/>
              <w:kinsoku/>
              <w:wordWrap w:val="0"/>
              <w:overflowPunct/>
              <w:topLinePunct w:val="0"/>
              <w:autoSpaceDE/>
              <w:autoSpaceDN/>
              <w:bidi w:val="0"/>
              <w:adjustRightInd/>
              <w:snapToGrid/>
              <w:spacing w:line="240" w:lineRule="auto"/>
              <w:jc w:val="center"/>
              <w:textAlignment w:val="center"/>
              <w:rPr>
                <w:rFonts w:hint="eastAsia" w:ascii="宋体" w:hAnsi="宋体" w:eastAsia="宋体" w:cs="宋体"/>
                <w:color w:val="auto"/>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6954A38D">
            <w:pPr>
              <w:keepNext w:val="0"/>
              <w:keepLines/>
              <w:pageBreakBefore w:val="0"/>
              <w:widowControl/>
              <w:kinsoku/>
              <w:wordWrap w:val="0"/>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color w:val="auto"/>
                <w:spacing w:val="-4"/>
                <w:szCs w:val="21"/>
                <w:highlight w:val="none"/>
              </w:rPr>
              <w:t>产品功能演示</w:t>
            </w:r>
          </w:p>
        </w:tc>
        <w:tc>
          <w:tcPr>
            <w:tcW w:w="6985" w:type="dxa"/>
            <w:tcBorders>
              <w:top w:val="single" w:color="auto" w:sz="4" w:space="0"/>
              <w:left w:val="single" w:color="auto" w:sz="4" w:space="0"/>
              <w:bottom w:val="single" w:color="auto" w:sz="4" w:space="0"/>
              <w:right w:val="single" w:color="auto" w:sz="4" w:space="0"/>
            </w:tcBorders>
            <w:vAlign w:val="center"/>
          </w:tcPr>
          <w:p w14:paraId="02F624E9">
            <w:pP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演示项</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kern w:val="0"/>
                <w:sz w:val="21"/>
                <w:szCs w:val="21"/>
                <w:highlight w:val="none"/>
              </w:rPr>
              <w:t>演示测试所使用的</w:t>
            </w:r>
            <w:r>
              <w:rPr>
                <w:rFonts w:hint="eastAsia" w:ascii="宋体" w:hAnsi="宋体" w:eastAsia="宋体" w:cs="宋体"/>
                <w:b/>
                <w:bCs/>
                <w:color w:val="auto"/>
                <w:kern w:val="0"/>
                <w:sz w:val="21"/>
                <w:szCs w:val="21"/>
                <w:highlight w:val="none"/>
                <w:lang w:val="en-US" w:eastAsia="zh-CN"/>
              </w:rPr>
              <w:t>系统</w:t>
            </w:r>
            <w:r>
              <w:rPr>
                <w:rFonts w:hint="eastAsia" w:ascii="宋体" w:hAnsi="宋体" w:eastAsia="宋体" w:cs="宋体"/>
                <w:b/>
                <w:bCs/>
                <w:color w:val="auto"/>
                <w:kern w:val="0"/>
                <w:sz w:val="21"/>
                <w:szCs w:val="21"/>
                <w:highlight w:val="none"/>
              </w:rPr>
              <w:t>设备，必须为投标的</w:t>
            </w:r>
            <w:r>
              <w:rPr>
                <w:rFonts w:hint="eastAsia" w:ascii="宋体" w:hAnsi="宋体" w:eastAsia="宋体" w:cs="宋体"/>
                <w:b/>
                <w:bCs/>
                <w:color w:val="auto"/>
                <w:kern w:val="0"/>
                <w:sz w:val="21"/>
                <w:szCs w:val="21"/>
                <w:highlight w:val="none"/>
                <w:lang w:val="en-US" w:eastAsia="zh-CN"/>
              </w:rPr>
              <w:t>系统</w:t>
            </w:r>
            <w:r>
              <w:rPr>
                <w:rFonts w:hint="eastAsia" w:ascii="宋体" w:hAnsi="宋体" w:eastAsia="宋体" w:cs="宋体"/>
                <w:b/>
                <w:bCs/>
                <w:color w:val="auto"/>
                <w:kern w:val="0"/>
                <w:sz w:val="21"/>
                <w:szCs w:val="21"/>
                <w:highlight w:val="none"/>
              </w:rPr>
              <w:t>设备，不允许使用其他不同型号的设备演示测试</w:t>
            </w:r>
            <w:r>
              <w:rPr>
                <w:rFonts w:hint="eastAsia" w:ascii="宋体" w:hAnsi="宋体" w:cs="宋体"/>
                <w:b/>
                <w:bCs/>
                <w:color w:val="auto"/>
                <w:sz w:val="21"/>
                <w:szCs w:val="21"/>
                <w:highlight w:val="none"/>
                <w:lang w:val="en-US" w:eastAsia="zh-CN"/>
              </w:rPr>
              <w:t>）</w:t>
            </w:r>
          </w:p>
          <w:p w14:paraId="0EA984C7">
            <w:pPr>
              <w:widowControl w:val="0"/>
              <w:numPr>
                <w:ilvl w:val="0"/>
                <w:numId w:val="0"/>
              </w:numPr>
              <w:ind w:left="0" w:leftChars="0"/>
              <w:jc w:val="both"/>
              <w:rPr>
                <w:rFonts w:hint="eastAsia" w:ascii="宋体" w:hAnsi="宋体" w:eastAsia="宋体" w:cs="宋体"/>
                <w:b/>
                <w:bCs/>
                <w:color w:val="auto"/>
                <w:szCs w:val="21"/>
                <w:highlight w:val="none"/>
                <w:lang w:eastAsia="zh-CN"/>
              </w:rPr>
            </w:pPr>
            <w:r>
              <w:rPr>
                <w:rFonts w:hint="eastAsia" w:ascii="宋体" w:hAnsi="宋体" w:eastAsia="宋体" w:cs="宋体"/>
                <w:b w:val="0"/>
                <w:bCs w:val="0"/>
                <w:color w:val="auto"/>
                <w:spacing w:val="0"/>
                <w:kern w:val="2"/>
                <w:sz w:val="21"/>
                <w:szCs w:val="21"/>
                <w:highlight w:val="none"/>
                <w:lang w:val="en-US" w:eastAsia="zh-CN" w:bidi="ar-SA"/>
              </w:rPr>
              <w:t>1、</w:t>
            </w:r>
            <w:r>
              <w:rPr>
                <w:rFonts w:hint="eastAsia" w:ascii="宋体" w:hAnsi="宋体" w:eastAsia="宋体" w:cs="宋体"/>
                <w:color w:val="auto"/>
                <w:highlight w:val="none"/>
              </w:rPr>
              <w:t>演示互动录播主机采用高清液晶触控屏，非外接触控屏，通过触控屏可直接预监到导播画面；录播主机上具有三合一按键，短按息屏，长按系统可弹出10秒关机确认对话框，点击确认后系统执行关机命令，避免用户误操作；若倒计时内未确认或取消，系统自动关机；同时支持用户自设置息屏时间，可支持 至少4种多种时间选择；录制支持至少3种录播倒计时，点击录制，倒计时结束后自动开启录制。</w:t>
            </w:r>
            <w:r>
              <w:rPr>
                <w:rFonts w:hint="eastAsia" w:ascii="宋体" w:hAnsi="宋体" w:eastAsia="宋体" w:cs="宋体"/>
                <w:b/>
                <w:bCs/>
                <w:color w:val="auto"/>
                <w:szCs w:val="21"/>
                <w:highlight w:val="none"/>
                <w:lang w:val="zh-CN"/>
              </w:rPr>
              <w:t>（演示内容完全符合采购需求的得</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lang w:val="zh-CN"/>
              </w:rPr>
              <w:t>分，演示内容有欠缺</w:t>
            </w:r>
            <w:r>
              <w:rPr>
                <w:rFonts w:hint="eastAsia" w:ascii="宋体" w:hAnsi="宋体" w:eastAsia="宋体" w:cs="宋体"/>
                <w:b/>
                <w:bCs/>
                <w:color w:val="auto"/>
                <w:szCs w:val="21"/>
                <w:highlight w:val="none"/>
              </w:rPr>
              <w:t>或</w:t>
            </w:r>
            <w:r>
              <w:rPr>
                <w:rFonts w:hint="eastAsia" w:ascii="宋体" w:hAnsi="宋体" w:eastAsia="宋体" w:cs="宋体"/>
                <w:b/>
                <w:bCs/>
                <w:color w:val="auto"/>
                <w:szCs w:val="21"/>
                <w:highlight w:val="none"/>
                <w:lang w:val="zh-CN"/>
              </w:rPr>
              <w:t>未提供演示的</w:t>
            </w:r>
            <w:r>
              <w:rPr>
                <w:rFonts w:hint="eastAsia" w:ascii="宋体" w:hAnsi="宋体" w:eastAsia="宋体" w:cs="宋体"/>
                <w:b/>
                <w:bCs/>
                <w:color w:val="auto"/>
                <w:szCs w:val="21"/>
                <w:highlight w:val="none"/>
              </w:rPr>
              <w:t>不得分。</w:t>
            </w:r>
            <w:r>
              <w:rPr>
                <w:rFonts w:hint="eastAsia" w:ascii="宋体" w:hAnsi="宋体" w:eastAsia="宋体" w:cs="宋体"/>
                <w:b/>
                <w:bCs/>
                <w:color w:val="auto"/>
                <w:szCs w:val="21"/>
                <w:highlight w:val="none"/>
                <w:lang w:eastAsia="zh-CN"/>
              </w:rPr>
              <w:t>）</w:t>
            </w:r>
          </w:p>
          <w:p w14:paraId="3A8E91A3">
            <w:pPr>
              <w:widowControl w:val="0"/>
              <w:numPr>
                <w:ilvl w:val="0"/>
                <w:numId w:val="0"/>
              </w:numPr>
              <w:ind w:left="0" w:left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highlight w:val="none"/>
              </w:rPr>
              <w:t>演示一键网络测速功能，直接在录播主机触控屏幕上，无需安装第三方软件，针对服务联通性、网关稳定性、直播稳定性、互动稳定性、文件上传速度、文件下行速度、网络追踪性、网卡信息实时检测，检测结果以折线图方式实时呈现网络稳定性、上传速度和下行速度。</w:t>
            </w:r>
            <w:r>
              <w:rPr>
                <w:rFonts w:hint="eastAsia" w:ascii="宋体" w:hAnsi="宋体" w:eastAsia="宋体" w:cs="宋体"/>
                <w:color w:val="auto"/>
                <w:highlight w:val="none"/>
                <w:lang w:eastAsia="zh-CN"/>
              </w:rPr>
              <w:t>（</w:t>
            </w:r>
            <w:r>
              <w:rPr>
                <w:rFonts w:hint="eastAsia" w:ascii="宋体" w:hAnsi="宋体" w:eastAsia="宋体" w:cs="宋体"/>
                <w:b/>
                <w:bCs/>
                <w:color w:val="auto"/>
                <w:szCs w:val="21"/>
                <w:highlight w:val="none"/>
                <w:lang w:val="zh-CN"/>
              </w:rPr>
              <w:t>演示内容完全符合采购需求的得</w:t>
            </w: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zh-CN"/>
              </w:rPr>
              <w:t>分，演示内容有欠缺</w:t>
            </w:r>
            <w:r>
              <w:rPr>
                <w:rFonts w:hint="eastAsia" w:ascii="宋体" w:hAnsi="宋体" w:eastAsia="宋体" w:cs="宋体"/>
                <w:b/>
                <w:bCs/>
                <w:color w:val="auto"/>
                <w:szCs w:val="21"/>
                <w:highlight w:val="none"/>
              </w:rPr>
              <w:t>或</w:t>
            </w:r>
            <w:r>
              <w:rPr>
                <w:rFonts w:hint="eastAsia" w:ascii="宋体" w:hAnsi="宋体" w:eastAsia="宋体" w:cs="宋体"/>
                <w:b/>
                <w:bCs/>
                <w:color w:val="auto"/>
                <w:szCs w:val="21"/>
                <w:highlight w:val="none"/>
                <w:lang w:val="zh-CN"/>
              </w:rPr>
              <w:t>未提供演示的</w:t>
            </w:r>
            <w:r>
              <w:rPr>
                <w:rFonts w:hint="eastAsia" w:ascii="宋体" w:hAnsi="宋体" w:eastAsia="宋体" w:cs="宋体"/>
                <w:b/>
                <w:bCs/>
                <w:color w:val="auto"/>
                <w:szCs w:val="21"/>
                <w:highlight w:val="none"/>
              </w:rPr>
              <w:t>不得分。</w:t>
            </w:r>
            <w:r>
              <w:rPr>
                <w:rFonts w:hint="eastAsia" w:ascii="宋体" w:hAnsi="宋体" w:eastAsia="宋体" w:cs="宋体"/>
                <w:b/>
                <w:bCs/>
                <w:color w:val="auto"/>
                <w:szCs w:val="21"/>
                <w:highlight w:val="none"/>
                <w:lang w:eastAsia="zh-CN"/>
              </w:rPr>
              <w:t>）</w:t>
            </w:r>
          </w:p>
          <w:p w14:paraId="1C5299E5">
            <w:pPr>
              <w:widowControl w:val="0"/>
              <w:numPr>
                <w:ilvl w:val="0"/>
                <w:numId w:val="0"/>
              </w:numPr>
              <w:ind w:left="0" w:left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highlight w:val="none"/>
              </w:rPr>
              <w:t>演示无线麦克风采用领夹式双麦克风充电仓设计，方便收纳、使用；录播主机内置无线麦克风接收模块，无线麦克风从充电仓取出后，可实现自动与主机匹配连接；无线麦克风机身自带彩色显示屏，支持显示音量、电量、一键静音状态，录播主机屏幕可同步显示麦克风的信号强度与电量。</w:t>
            </w:r>
          </w:p>
          <w:p w14:paraId="3BE70D15">
            <w:pPr>
              <w:widowControl w:val="0"/>
              <w:numPr>
                <w:ilvl w:val="0"/>
                <w:numId w:val="0"/>
              </w:numPr>
              <w:ind w:left="0" w:left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Cs w:val="21"/>
                <w:highlight w:val="none"/>
                <w:lang w:val="zh-CN"/>
              </w:rPr>
              <w:t>（演示内容完全符合采购需求的得</w:t>
            </w: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zh-CN"/>
              </w:rPr>
              <w:t>分，演示内容有欠缺</w:t>
            </w:r>
            <w:r>
              <w:rPr>
                <w:rFonts w:hint="eastAsia" w:ascii="宋体" w:hAnsi="宋体" w:eastAsia="宋体" w:cs="宋体"/>
                <w:b/>
                <w:bCs/>
                <w:color w:val="auto"/>
                <w:szCs w:val="21"/>
                <w:highlight w:val="none"/>
              </w:rPr>
              <w:t>或</w:t>
            </w:r>
            <w:r>
              <w:rPr>
                <w:rFonts w:hint="eastAsia" w:ascii="宋体" w:hAnsi="宋体" w:eastAsia="宋体" w:cs="宋体"/>
                <w:b/>
                <w:bCs/>
                <w:color w:val="auto"/>
                <w:szCs w:val="21"/>
                <w:highlight w:val="none"/>
                <w:lang w:val="zh-CN"/>
              </w:rPr>
              <w:t>未提供演示的</w:t>
            </w:r>
            <w:r>
              <w:rPr>
                <w:rFonts w:hint="eastAsia" w:ascii="宋体" w:hAnsi="宋体" w:eastAsia="宋体" w:cs="宋体"/>
                <w:b/>
                <w:bCs/>
                <w:color w:val="auto"/>
                <w:szCs w:val="21"/>
                <w:highlight w:val="none"/>
              </w:rPr>
              <w:t>不得分。</w:t>
            </w:r>
            <w:r>
              <w:rPr>
                <w:rFonts w:hint="eastAsia" w:ascii="宋体" w:hAnsi="宋体" w:eastAsia="宋体" w:cs="宋体"/>
                <w:b/>
                <w:bCs/>
                <w:color w:val="auto"/>
                <w:szCs w:val="21"/>
                <w:highlight w:val="none"/>
                <w:lang w:eastAsia="zh-CN"/>
              </w:rPr>
              <w:t>）</w:t>
            </w:r>
          </w:p>
          <w:p w14:paraId="05A385DF">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highlight w:val="none"/>
              </w:rPr>
              <w:t>演示无线麦克风</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采用领夹式双麦克风充电仓设计，方便收纳、使用；录播主机内置无线麦克风接收模块，无线麦克风从充电仓取出后，可实现自动与主机匹配连接；无线麦克风机身自带彩色显示屏，支持显示音量、电量、一键静音状态，录播主机屏幕可同步显示麦克风的信号强度与电量。</w:t>
            </w:r>
          </w:p>
          <w:p w14:paraId="57333ECE">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Cs w:val="21"/>
                <w:highlight w:val="none"/>
                <w:lang w:val="zh-CN"/>
              </w:rPr>
              <w:t>（演示内容完全符合采购需求的得</w:t>
            </w: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zh-CN"/>
              </w:rPr>
              <w:t>分，演示内容有欠缺</w:t>
            </w:r>
            <w:r>
              <w:rPr>
                <w:rFonts w:hint="eastAsia" w:ascii="宋体" w:hAnsi="宋体" w:eastAsia="宋体" w:cs="宋体"/>
                <w:b/>
                <w:bCs/>
                <w:color w:val="auto"/>
                <w:szCs w:val="21"/>
                <w:highlight w:val="none"/>
              </w:rPr>
              <w:t>或</w:t>
            </w:r>
            <w:r>
              <w:rPr>
                <w:rFonts w:hint="eastAsia" w:ascii="宋体" w:hAnsi="宋体" w:eastAsia="宋体" w:cs="宋体"/>
                <w:b/>
                <w:bCs/>
                <w:color w:val="auto"/>
                <w:szCs w:val="21"/>
                <w:highlight w:val="none"/>
                <w:lang w:val="zh-CN"/>
              </w:rPr>
              <w:t>未提供演示的</w:t>
            </w:r>
            <w:r>
              <w:rPr>
                <w:rFonts w:hint="eastAsia" w:ascii="宋体" w:hAnsi="宋体" w:eastAsia="宋体" w:cs="宋体"/>
                <w:b/>
                <w:bCs/>
                <w:color w:val="auto"/>
                <w:szCs w:val="21"/>
                <w:highlight w:val="none"/>
              </w:rPr>
              <w:t>不得分。</w:t>
            </w:r>
            <w:r>
              <w:rPr>
                <w:rFonts w:hint="eastAsia" w:ascii="宋体" w:hAnsi="宋体" w:eastAsia="宋体" w:cs="宋体"/>
                <w:b/>
                <w:bCs/>
                <w:color w:val="auto"/>
                <w:szCs w:val="21"/>
                <w:highlight w:val="none"/>
                <w:lang w:eastAsia="zh-CN"/>
              </w:rPr>
              <w:t>）</w:t>
            </w:r>
          </w:p>
          <w:p w14:paraId="132C6236">
            <w:pPr>
              <w:widowControl w:val="0"/>
              <w:numPr>
                <w:ilvl w:val="0"/>
                <w:numId w:val="0"/>
              </w:numPr>
              <w:jc w:val="both"/>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highlight w:val="none"/>
              </w:rPr>
              <w:t>演示</w:t>
            </w:r>
            <w:r>
              <w:rPr>
                <w:rFonts w:hint="eastAsia" w:ascii="宋体" w:hAnsi="宋体" w:eastAsia="宋体" w:cs="宋体"/>
                <w:color w:val="auto"/>
                <w:highlight w:val="none"/>
                <w:lang w:val="en-US" w:eastAsia="zh-CN"/>
              </w:rPr>
              <w:t>阵列麦克风，考察</w:t>
            </w:r>
            <w:r>
              <w:rPr>
                <w:rFonts w:hint="eastAsia" w:ascii="宋体" w:hAnsi="宋体" w:eastAsia="宋体" w:cs="宋体"/>
                <w:color w:val="auto"/>
                <w:highlight w:val="none"/>
              </w:rPr>
              <w:t>麦克风的降噪</w:t>
            </w:r>
            <w:r>
              <w:rPr>
                <w:rFonts w:hint="eastAsia" w:ascii="宋体" w:hAnsi="宋体" w:eastAsia="宋体" w:cs="宋体"/>
                <w:color w:val="auto"/>
                <w:highlight w:val="none"/>
                <w:lang w:val="en-US" w:eastAsia="zh-CN"/>
              </w:rPr>
              <w:t>算法</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要求</w:t>
            </w:r>
            <w:r>
              <w:rPr>
                <w:rFonts w:hint="eastAsia" w:ascii="宋体" w:hAnsi="宋体" w:eastAsia="宋体" w:cs="宋体"/>
                <w:color w:val="auto"/>
                <w:highlight w:val="none"/>
              </w:rPr>
              <w:t>在录制师生对话情景中模拟噪音环境（演示：敲击桌子、拖动椅子、翻书、电风扇）。对比现场录像和录制出来的视频声音，录播主机录制的视频对声音进行AI降噪消除过滤各类噪音，仅保留清晰的师生对话。</w:t>
            </w:r>
            <w:r>
              <w:rPr>
                <w:rFonts w:hint="eastAsia" w:ascii="宋体" w:hAnsi="宋体" w:eastAsia="宋体" w:cs="宋体"/>
                <w:b/>
                <w:bCs/>
                <w:color w:val="auto"/>
                <w:szCs w:val="21"/>
                <w:highlight w:val="none"/>
                <w:lang w:val="zh-CN"/>
              </w:rPr>
              <w:t>（演示内容完全符合采购需求的得</w:t>
            </w: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zh-CN"/>
              </w:rPr>
              <w:t>分，演示内容有欠缺</w:t>
            </w:r>
            <w:r>
              <w:rPr>
                <w:rFonts w:hint="eastAsia" w:ascii="宋体" w:hAnsi="宋体" w:eastAsia="宋体" w:cs="宋体"/>
                <w:b/>
                <w:bCs/>
                <w:color w:val="auto"/>
                <w:szCs w:val="21"/>
                <w:highlight w:val="none"/>
              </w:rPr>
              <w:t>或</w:t>
            </w:r>
            <w:r>
              <w:rPr>
                <w:rFonts w:hint="eastAsia" w:ascii="宋体" w:hAnsi="宋体" w:eastAsia="宋体" w:cs="宋体"/>
                <w:b/>
                <w:bCs/>
                <w:color w:val="auto"/>
                <w:szCs w:val="21"/>
                <w:highlight w:val="none"/>
                <w:lang w:val="zh-CN"/>
              </w:rPr>
              <w:t>未提供演示的</w:t>
            </w:r>
            <w:r>
              <w:rPr>
                <w:rFonts w:hint="eastAsia" w:ascii="宋体" w:hAnsi="宋体" w:eastAsia="宋体" w:cs="宋体"/>
                <w:b/>
                <w:bCs/>
                <w:color w:val="auto"/>
                <w:szCs w:val="21"/>
                <w:highlight w:val="none"/>
              </w:rPr>
              <w:t>不得分。</w:t>
            </w:r>
            <w:r>
              <w:rPr>
                <w:rFonts w:hint="eastAsia" w:ascii="宋体" w:hAnsi="宋体" w:eastAsia="宋体" w:cs="宋体"/>
                <w:b/>
                <w:bCs/>
                <w:color w:val="auto"/>
                <w:szCs w:val="21"/>
                <w:highlight w:val="none"/>
                <w:lang w:eastAsia="zh-CN"/>
              </w:rPr>
              <w:t>）</w:t>
            </w:r>
          </w:p>
          <w:p w14:paraId="05C0E729">
            <w:pPr>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6、</w:t>
            </w:r>
            <w:r>
              <w:rPr>
                <w:rFonts w:hint="eastAsia" w:ascii="宋体" w:hAnsi="宋体" w:eastAsia="宋体" w:cs="宋体"/>
                <w:color w:val="auto"/>
                <w:highlight w:val="none"/>
              </w:rPr>
              <w:t>演示课堂智能反馈系统可自动根据授课情况，针对课堂总览、师生对话，课堂互动、新课标落实等维度，生成AI分析文字解读。支持老师查看AI建议，从上述四个维度，通过既定问题，以对话的方式，生成AI建议，为老师提供课堂改进思路。对于AI建议，可进行“点赞”或“待改进”的评价。</w:t>
            </w:r>
          </w:p>
          <w:p w14:paraId="53DA87A2">
            <w:pPr>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bCs/>
                <w:color w:val="auto"/>
                <w:szCs w:val="21"/>
                <w:highlight w:val="none"/>
                <w:lang w:val="zh-CN"/>
              </w:rPr>
              <w:t>（演示内容完全符合采购需求的得</w:t>
            </w: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zh-CN"/>
              </w:rPr>
              <w:t>分，演示内容有欠缺</w:t>
            </w:r>
            <w:r>
              <w:rPr>
                <w:rFonts w:hint="eastAsia" w:ascii="宋体" w:hAnsi="宋体" w:eastAsia="宋体" w:cs="宋体"/>
                <w:b/>
                <w:bCs/>
                <w:color w:val="auto"/>
                <w:szCs w:val="21"/>
                <w:highlight w:val="none"/>
              </w:rPr>
              <w:t>或</w:t>
            </w:r>
            <w:r>
              <w:rPr>
                <w:rFonts w:hint="eastAsia" w:ascii="宋体" w:hAnsi="宋体" w:eastAsia="宋体" w:cs="宋体"/>
                <w:b/>
                <w:bCs/>
                <w:color w:val="auto"/>
                <w:szCs w:val="21"/>
                <w:highlight w:val="none"/>
                <w:lang w:val="zh-CN"/>
              </w:rPr>
              <w:t>未提供演示的</w:t>
            </w:r>
            <w:r>
              <w:rPr>
                <w:rFonts w:hint="eastAsia" w:ascii="宋体" w:hAnsi="宋体" w:eastAsia="宋体" w:cs="宋体"/>
                <w:b/>
                <w:bCs/>
                <w:color w:val="auto"/>
                <w:szCs w:val="21"/>
                <w:highlight w:val="none"/>
              </w:rPr>
              <w:t>不得分。</w:t>
            </w:r>
            <w:r>
              <w:rPr>
                <w:rFonts w:hint="eastAsia" w:ascii="宋体" w:hAnsi="宋体" w:eastAsia="宋体" w:cs="宋体"/>
                <w:b/>
                <w:bCs/>
                <w:color w:val="auto"/>
                <w:szCs w:val="21"/>
                <w:highlight w:val="none"/>
                <w:lang w:eastAsia="zh-CN"/>
              </w:rPr>
              <w:t>）</w:t>
            </w:r>
          </w:p>
          <w:p w14:paraId="1275C84B">
            <w:pPr>
              <w:pStyle w:val="6"/>
              <w:keepNext w:val="0"/>
              <w:keepLines/>
              <w:pageBreakBefore w:val="0"/>
              <w:widowControl/>
              <w:kinsoku/>
              <w:wordWrap w:val="0"/>
              <w:overflowPunct/>
              <w:topLinePunct w:val="0"/>
              <w:autoSpaceDE/>
              <w:autoSpaceDN/>
              <w:bidi w:val="0"/>
              <w:adjustRightInd/>
              <w:snapToGrid/>
              <w:spacing w:after="0"/>
              <w:jc w:val="left"/>
              <w:textAlignment w:val="auto"/>
              <w:rPr>
                <w:rFonts w:hint="eastAsia" w:ascii="宋体" w:hAnsi="宋体" w:cs="宋体" w:eastAsiaTheme="minorEastAsia"/>
                <w:color w:val="auto"/>
                <w:szCs w:val="21"/>
                <w:highlight w:val="none"/>
                <w:lang w:eastAsia="zh-CN"/>
              </w:rPr>
            </w:pPr>
            <w:r>
              <w:rPr>
                <w:rFonts w:hint="eastAsia" w:ascii="宋体" w:hAnsi="宋体" w:eastAsia="宋体" w:cs="宋体"/>
                <w:b w:val="0"/>
                <w:bCs w:val="0"/>
                <w:color w:val="auto"/>
                <w:spacing w:val="0"/>
                <w:kern w:val="2"/>
                <w:sz w:val="21"/>
                <w:szCs w:val="21"/>
                <w:highlight w:val="none"/>
                <w:lang w:val="en-US" w:eastAsia="zh-CN" w:bidi="ar-SA"/>
              </w:rPr>
              <w:t>7、</w:t>
            </w:r>
            <w:r>
              <w:rPr>
                <w:rFonts w:hint="eastAsia" w:ascii="宋体" w:hAnsi="宋体" w:eastAsia="宋体" w:cs="宋体"/>
                <w:color w:val="auto"/>
                <w:highlight w:val="none"/>
              </w:rPr>
              <w:t>演示课堂智能反馈系统将通过师生课堂活动的轨迹，生成课堂热力图。热力图可反映老师在课堂中的巡堂轨迹，快速了解自己在上课时的关注倾向。支持在热力图中观看活跃学生的情况，并查看对应视频片段，同时对该学生的举手次数、上台互动次数、回答问题次数进行统计。支持视频打点并快速跳转。</w:t>
            </w:r>
            <w:r>
              <w:rPr>
                <w:rFonts w:hint="eastAsia" w:ascii="宋体" w:hAnsi="宋体" w:eastAsia="宋体" w:cs="宋体"/>
                <w:color w:val="auto"/>
                <w:highlight w:val="none"/>
                <w:lang w:eastAsia="zh-CN"/>
              </w:rPr>
              <w:t>（</w:t>
            </w:r>
            <w:r>
              <w:rPr>
                <w:rFonts w:hint="eastAsia" w:ascii="宋体" w:hAnsi="宋体" w:eastAsia="宋体" w:cs="宋体"/>
                <w:b/>
                <w:bCs/>
                <w:color w:val="auto"/>
                <w:szCs w:val="21"/>
                <w:highlight w:val="none"/>
                <w:lang w:val="zh-CN"/>
              </w:rPr>
              <w:t>演示内容完全符合采购需求的得</w:t>
            </w: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zh-CN"/>
              </w:rPr>
              <w:t>分，演示内容有欠缺</w:t>
            </w:r>
            <w:r>
              <w:rPr>
                <w:rFonts w:hint="eastAsia" w:ascii="宋体" w:hAnsi="宋体" w:eastAsia="宋体" w:cs="宋体"/>
                <w:b/>
                <w:bCs/>
                <w:color w:val="auto"/>
                <w:szCs w:val="21"/>
                <w:highlight w:val="none"/>
              </w:rPr>
              <w:t>或</w:t>
            </w:r>
            <w:r>
              <w:rPr>
                <w:rFonts w:hint="eastAsia" w:ascii="宋体" w:hAnsi="宋体" w:eastAsia="宋体" w:cs="宋体"/>
                <w:b/>
                <w:bCs/>
                <w:color w:val="auto"/>
                <w:szCs w:val="21"/>
                <w:highlight w:val="none"/>
                <w:lang w:val="zh-CN"/>
              </w:rPr>
              <w:t>未提供演示的</w:t>
            </w:r>
            <w:r>
              <w:rPr>
                <w:rFonts w:hint="eastAsia" w:ascii="宋体" w:hAnsi="宋体" w:eastAsia="宋体" w:cs="宋体"/>
                <w:b/>
                <w:bCs/>
                <w:color w:val="auto"/>
                <w:szCs w:val="21"/>
                <w:highlight w:val="none"/>
              </w:rPr>
              <w:t>不得分。</w:t>
            </w:r>
            <w:r>
              <w:rPr>
                <w:rFonts w:hint="eastAsia" w:ascii="宋体" w:hAnsi="宋体" w:eastAsia="宋体" w:cs="宋体"/>
                <w:b/>
                <w:bCs/>
                <w:color w:val="auto"/>
                <w:szCs w:val="21"/>
                <w:highlight w:val="none"/>
                <w:lang w:eastAsia="zh-CN"/>
              </w:rPr>
              <w:t>）</w:t>
            </w:r>
          </w:p>
        </w:tc>
        <w:tc>
          <w:tcPr>
            <w:tcW w:w="844" w:type="dxa"/>
            <w:tcBorders>
              <w:top w:val="single" w:color="auto" w:sz="4" w:space="0"/>
              <w:left w:val="single" w:color="auto" w:sz="4" w:space="0"/>
              <w:bottom w:val="single" w:color="auto" w:sz="4" w:space="0"/>
              <w:right w:val="single" w:color="auto" w:sz="4" w:space="0"/>
            </w:tcBorders>
            <w:vAlign w:val="center"/>
          </w:tcPr>
          <w:p w14:paraId="2E6128D0">
            <w:pPr>
              <w:keepNext w:val="0"/>
              <w:keepLines/>
              <w:pageBreakBefore w:val="0"/>
              <w:widowControl/>
              <w:kinsoku/>
              <w:wordWrap w:val="0"/>
              <w:overflowPunct/>
              <w:topLinePunct w:val="0"/>
              <w:autoSpaceDE/>
              <w:autoSpaceDN/>
              <w:bidi w:val="0"/>
              <w:adjustRightInd/>
              <w:snapToGrid/>
              <w:spacing w:line="240" w:lineRule="auto"/>
              <w:jc w:val="center"/>
              <w:rPr>
                <w:rFonts w:hint="default" w:ascii="宋体" w:hAnsi="宋体" w:eastAsia="宋体" w:cs="宋体"/>
                <w:color w:val="auto"/>
                <w:szCs w:val="21"/>
                <w:highlight w:val="none"/>
                <w:lang w:val="en-US"/>
              </w:rPr>
            </w:pPr>
            <w:r>
              <w:rPr>
                <w:rFonts w:hint="eastAsia" w:ascii="宋体"/>
                <w:color w:val="auto"/>
                <w:szCs w:val="21"/>
                <w:highlight w:val="none"/>
                <w:lang w:val="en-US" w:eastAsia="zh-CN"/>
              </w:rPr>
              <w:t>15</w:t>
            </w:r>
          </w:p>
        </w:tc>
        <w:tc>
          <w:tcPr>
            <w:tcW w:w="844" w:type="dxa"/>
            <w:tcBorders>
              <w:top w:val="single" w:color="auto" w:sz="4" w:space="0"/>
              <w:left w:val="single" w:color="auto" w:sz="4" w:space="0"/>
              <w:bottom w:val="single" w:color="auto" w:sz="4" w:space="0"/>
              <w:right w:val="single" w:color="auto" w:sz="4" w:space="0"/>
            </w:tcBorders>
            <w:vAlign w:val="center"/>
          </w:tcPr>
          <w:p w14:paraId="5C300278">
            <w:pPr>
              <w:keepNext w:val="0"/>
              <w:keepLines/>
              <w:pageBreakBefore w:val="0"/>
              <w:widowControl/>
              <w:kinsoku/>
              <w:wordWrap w:val="0"/>
              <w:overflowPunct/>
              <w:topLinePunct w:val="0"/>
              <w:autoSpaceDE/>
              <w:autoSpaceDN/>
              <w:bidi w:val="0"/>
              <w:adjustRightInd/>
              <w:snapToGrid/>
              <w:spacing w:line="240" w:lineRule="auto"/>
              <w:jc w:val="center"/>
              <w:rPr>
                <w:rFonts w:hint="eastAsia" w:ascii="宋体"/>
                <w:color w:val="auto"/>
                <w:szCs w:val="21"/>
                <w:highlight w:val="none"/>
                <w:lang w:val="en-US" w:eastAsia="zh-CN"/>
              </w:rPr>
            </w:pPr>
          </w:p>
        </w:tc>
        <w:tc>
          <w:tcPr>
            <w:tcW w:w="844" w:type="dxa"/>
            <w:tcBorders>
              <w:top w:val="single" w:color="auto" w:sz="4" w:space="0"/>
              <w:left w:val="single" w:color="auto" w:sz="4" w:space="0"/>
              <w:bottom w:val="single" w:color="auto" w:sz="4" w:space="0"/>
              <w:right w:val="single" w:color="auto" w:sz="4" w:space="0"/>
            </w:tcBorders>
            <w:vAlign w:val="center"/>
          </w:tcPr>
          <w:p w14:paraId="56466BA1">
            <w:pPr>
              <w:keepNext w:val="0"/>
              <w:keepLines/>
              <w:pageBreakBefore w:val="0"/>
              <w:widowControl/>
              <w:kinsoku/>
              <w:wordWrap w:val="0"/>
              <w:overflowPunct/>
              <w:topLinePunct w:val="0"/>
              <w:autoSpaceDE/>
              <w:autoSpaceDN/>
              <w:bidi w:val="0"/>
              <w:adjustRightInd/>
              <w:snapToGrid/>
              <w:spacing w:line="240" w:lineRule="auto"/>
              <w:jc w:val="center"/>
              <w:rPr>
                <w:rFonts w:hint="eastAsia" w:ascii="宋体"/>
                <w:color w:val="auto"/>
                <w:szCs w:val="21"/>
                <w:highlight w:val="none"/>
                <w:lang w:val="en-US" w:eastAsia="zh-CN"/>
              </w:rPr>
            </w:pPr>
          </w:p>
        </w:tc>
      </w:tr>
    </w:tbl>
    <w:p w14:paraId="2BA8D6B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val="zh-CN"/>
        </w:rPr>
      </w:pPr>
    </w:p>
    <w:p w14:paraId="027CC854">
      <w:pPr>
        <w:pStyle w:val="34"/>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numberInDash"/>
          <w:cols w:space="425" w:num="1"/>
          <w:docGrid w:type="lines" w:linePitch="312" w:charSpace="0"/>
        </w:sectPr>
      </w:pPr>
    </w:p>
    <w:p w14:paraId="1B4542D0">
      <w:pPr>
        <w:pStyle w:val="34"/>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6</w:t>
      </w:r>
    </w:p>
    <w:p w14:paraId="1362F2F7">
      <w:pPr>
        <w:pStyle w:val="34"/>
        <w:keepNext w:val="0"/>
        <w:keepLines w:val="0"/>
        <w:pageBreakBefore w:val="0"/>
        <w:shd w:val="clear" w:color="auto" w:fill="FFFFFF"/>
        <w:kinsoku/>
        <w:wordWrap/>
        <w:overflowPunct/>
        <w:topLinePunct w:val="0"/>
        <w:bidi w:val="0"/>
        <w:spacing w:before="0" w:beforeAutospacing="0" w:after="0" w:afterAutospacing="0" w:line="240" w:lineRule="auto"/>
        <w:jc w:val="center"/>
        <w:outlineLvl w:val="9"/>
        <w:rPr>
          <w:rFonts w:hint="eastAsia" w:ascii="宋体" w:hAnsi="宋体" w:eastAsia="宋体" w:cs="宋体"/>
          <w:color w:val="auto"/>
          <w:sz w:val="36"/>
          <w:szCs w:val="36"/>
          <w:highlight w:val="none"/>
        </w:rPr>
      </w:pPr>
      <w:r>
        <w:rPr>
          <w:rFonts w:hint="eastAsia" w:ascii="宋体" w:hAnsi="宋体" w:eastAsia="宋体" w:cs="宋体"/>
          <w:b/>
          <w:color w:val="auto"/>
          <w:sz w:val="32"/>
          <w:szCs w:val="32"/>
          <w:highlight w:val="none"/>
        </w:rPr>
        <w:t>投标</w:t>
      </w:r>
      <w:r>
        <w:rPr>
          <w:rFonts w:hint="eastAsia" w:ascii="宋体" w:hAnsi="宋体" w:eastAsia="宋体" w:cs="宋体"/>
          <w:b/>
          <w:bCs/>
          <w:color w:val="auto"/>
          <w:spacing w:val="21"/>
          <w:sz w:val="32"/>
          <w:szCs w:val="32"/>
          <w:highlight w:val="none"/>
        </w:rPr>
        <w:t>人基本情况表</w:t>
      </w:r>
    </w:p>
    <w:tbl>
      <w:tblPr>
        <w:tblStyle w:val="20"/>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14:paraId="3665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14:paraId="5D97D23C">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911" w:type="dxa"/>
            <w:gridSpan w:val="6"/>
          </w:tcPr>
          <w:p w14:paraId="246901D8">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p>
        </w:tc>
        <w:tc>
          <w:tcPr>
            <w:tcW w:w="2001" w:type="dxa"/>
            <w:gridSpan w:val="3"/>
          </w:tcPr>
          <w:p w14:paraId="3E0A3898">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pacing w:val="16"/>
                <w:sz w:val="21"/>
                <w:szCs w:val="21"/>
                <w:highlight w:val="none"/>
                <w:lang w:eastAsia="zh-CN"/>
              </w:rPr>
              <w:t>法定代表人</w:t>
            </w:r>
          </w:p>
        </w:tc>
        <w:tc>
          <w:tcPr>
            <w:tcW w:w="2151" w:type="dxa"/>
            <w:gridSpan w:val="2"/>
          </w:tcPr>
          <w:p w14:paraId="01367EAD">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p>
        </w:tc>
      </w:tr>
      <w:tr w14:paraId="40F6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14:paraId="65725528">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911" w:type="dxa"/>
            <w:gridSpan w:val="6"/>
          </w:tcPr>
          <w:p w14:paraId="36073A5B">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2001" w:type="dxa"/>
            <w:gridSpan w:val="3"/>
          </w:tcPr>
          <w:p w14:paraId="577839EB">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52F7C6C6">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r>
      <w:tr w14:paraId="51CD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14:paraId="170D72F6">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33" w:type="dxa"/>
          </w:tcPr>
          <w:p w14:paraId="07010863">
            <w:pPr>
              <w:pStyle w:val="34"/>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ascii="宋体" w:hAnsi="宋体" w:eastAsia="宋体" w:cs="宋体"/>
                <w:bCs/>
                <w:color w:val="auto"/>
                <w:spacing w:val="16"/>
                <w:sz w:val="21"/>
                <w:szCs w:val="21"/>
                <w:highlight w:val="none"/>
              </w:rPr>
            </w:pPr>
          </w:p>
        </w:tc>
        <w:tc>
          <w:tcPr>
            <w:tcW w:w="910" w:type="dxa"/>
          </w:tcPr>
          <w:p w14:paraId="32A6E103">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368" w:type="dxa"/>
            <w:gridSpan w:val="4"/>
          </w:tcPr>
          <w:p w14:paraId="694B2FD4">
            <w:pPr>
              <w:keepNext w:val="0"/>
              <w:keepLines w:val="0"/>
              <w:pageBreakBefore w:val="0"/>
              <w:widowControl/>
              <w:kinsoku/>
              <w:wordWrap/>
              <w:overflowPunct/>
              <w:topLinePunct w:val="0"/>
              <w:bidi w:val="0"/>
              <w:spacing w:line="240" w:lineRule="auto"/>
              <w:jc w:val="left"/>
              <w:outlineLvl w:val="9"/>
              <w:rPr>
                <w:rFonts w:hint="eastAsia" w:ascii="宋体" w:hAnsi="宋体" w:eastAsia="宋体" w:cs="宋体"/>
                <w:bCs/>
                <w:color w:val="auto"/>
                <w:spacing w:val="16"/>
                <w:kern w:val="0"/>
                <w:sz w:val="21"/>
                <w:szCs w:val="21"/>
                <w:highlight w:val="none"/>
              </w:rPr>
            </w:pPr>
          </w:p>
          <w:p w14:paraId="10AB579C">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2001" w:type="dxa"/>
            <w:gridSpan w:val="3"/>
          </w:tcPr>
          <w:p w14:paraId="7B20EA08">
            <w:pPr>
              <w:pStyle w:val="34"/>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153E31E0">
            <w:pPr>
              <w:pStyle w:val="34"/>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pacing w:val="16"/>
                <w:sz w:val="21"/>
                <w:szCs w:val="21"/>
                <w:highlight w:val="none"/>
              </w:rPr>
            </w:pPr>
          </w:p>
        </w:tc>
      </w:tr>
      <w:tr w14:paraId="0191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14:paraId="78DD7529">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33" w:type="dxa"/>
            <w:vMerge w:val="restart"/>
            <w:tcBorders>
              <w:top w:val="nil"/>
            </w:tcBorders>
          </w:tcPr>
          <w:p w14:paraId="585F5582">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910" w:type="dxa"/>
            <w:tcBorders>
              <w:top w:val="nil"/>
            </w:tcBorders>
          </w:tcPr>
          <w:p w14:paraId="1371F883">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368" w:type="dxa"/>
            <w:gridSpan w:val="4"/>
            <w:tcBorders>
              <w:top w:val="nil"/>
            </w:tcBorders>
          </w:tcPr>
          <w:p w14:paraId="34AD40EE">
            <w:pPr>
              <w:keepNext w:val="0"/>
              <w:keepLines w:val="0"/>
              <w:pageBreakBefore w:val="0"/>
              <w:widowControl/>
              <w:kinsoku/>
              <w:wordWrap/>
              <w:overflowPunct/>
              <w:topLinePunct w:val="0"/>
              <w:bidi w:val="0"/>
              <w:spacing w:line="240" w:lineRule="auto"/>
              <w:jc w:val="left"/>
              <w:outlineLvl w:val="9"/>
              <w:rPr>
                <w:rFonts w:hint="eastAsia" w:ascii="宋体" w:hAnsi="宋体" w:eastAsia="宋体" w:cs="宋体"/>
                <w:bCs/>
                <w:color w:val="auto"/>
                <w:spacing w:val="16"/>
                <w:kern w:val="0"/>
                <w:sz w:val="21"/>
                <w:szCs w:val="21"/>
                <w:highlight w:val="none"/>
              </w:rPr>
            </w:pPr>
          </w:p>
          <w:p w14:paraId="555B9129">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2001" w:type="dxa"/>
            <w:gridSpan w:val="3"/>
            <w:vMerge w:val="restart"/>
          </w:tcPr>
          <w:p w14:paraId="2F802F3F">
            <w:pPr>
              <w:pStyle w:val="34"/>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5558DD1C">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r>
      <w:tr w14:paraId="3414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14:paraId="2FBC494E">
            <w:pPr>
              <w:pStyle w:val="34"/>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c>
          <w:tcPr>
            <w:tcW w:w="633" w:type="dxa"/>
            <w:vMerge w:val="continue"/>
          </w:tcPr>
          <w:p w14:paraId="0A5A9912">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910" w:type="dxa"/>
          </w:tcPr>
          <w:p w14:paraId="2B110D13">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368" w:type="dxa"/>
            <w:gridSpan w:val="4"/>
          </w:tcPr>
          <w:p w14:paraId="508080C6">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Pr>
          <w:p w14:paraId="6D6D6C33">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Pr>
          <w:p w14:paraId="3B6C081A">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r>
      <w:tr w14:paraId="7C9F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14:paraId="4553B425">
            <w:pPr>
              <w:pStyle w:val="34"/>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11EF27F6">
            <w:pPr>
              <w:pStyle w:val="34"/>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5344F7BB">
            <w:pPr>
              <w:pStyle w:val="34"/>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1FEFCCD1">
            <w:pPr>
              <w:pStyle w:val="34"/>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13386F2F">
            <w:pPr>
              <w:pStyle w:val="34"/>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33" w:type="dxa"/>
            <w:tcBorders>
              <w:top w:val="nil"/>
            </w:tcBorders>
          </w:tcPr>
          <w:p w14:paraId="340C9B4A">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10" w:type="dxa"/>
            <w:tcBorders>
              <w:top w:val="nil"/>
            </w:tcBorders>
          </w:tcPr>
          <w:p w14:paraId="51E9CEA1">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1163" w:type="dxa"/>
            <w:gridSpan w:val="2"/>
            <w:tcBorders>
              <w:top w:val="nil"/>
            </w:tcBorders>
          </w:tcPr>
          <w:p w14:paraId="4983C157">
            <w:pPr>
              <w:pStyle w:val="34"/>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nil"/>
            </w:tcBorders>
          </w:tcPr>
          <w:p w14:paraId="65CE4A5C">
            <w:pPr>
              <w:keepNext w:val="0"/>
              <w:keepLines w:val="0"/>
              <w:pageBreakBefore w:val="0"/>
              <w:widowControl/>
              <w:kinsoku/>
              <w:wordWrap/>
              <w:overflowPunct/>
              <w:topLinePunct w:val="0"/>
              <w:bidi w:val="0"/>
              <w:spacing w:line="240" w:lineRule="auto"/>
              <w:jc w:val="left"/>
              <w:outlineLvl w:val="9"/>
              <w:rPr>
                <w:rFonts w:hint="eastAsia" w:ascii="宋体" w:hAnsi="宋体" w:eastAsia="宋体" w:cs="宋体"/>
                <w:bCs/>
                <w:color w:val="auto"/>
                <w:spacing w:val="16"/>
                <w:kern w:val="0"/>
                <w:sz w:val="21"/>
                <w:szCs w:val="21"/>
                <w:highlight w:val="none"/>
              </w:rPr>
            </w:pPr>
          </w:p>
          <w:p w14:paraId="2E565F4C">
            <w:pPr>
              <w:keepNext w:val="0"/>
              <w:keepLines w:val="0"/>
              <w:pageBreakBefore w:val="0"/>
              <w:widowControl/>
              <w:kinsoku/>
              <w:wordWrap/>
              <w:overflowPunct/>
              <w:topLinePunct w:val="0"/>
              <w:bidi w:val="0"/>
              <w:spacing w:line="240" w:lineRule="auto"/>
              <w:jc w:val="left"/>
              <w:outlineLvl w:val="9"/>
              <w:rPr>
                <w:rFonts w:hint="eastAsia" w:ascii="宋体" w:hAnsi="宋体" w:eastAsia="宋体" w:cs="宋体"/>
                <w:bCs/>
                <w:color w:val="auto"/>
                <w:spacing w:val="16"/>
                <w:kern w:val="0"/>
                <w:sz w:val="21"/>
                <w:szCs w:val="21"/>
                <w:highlight w:val="none"/>
              </w:rPr>
            </w:pPr>
          </w:p>
          <w:p w14:paraId="359E27BD">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2001" w:type="dxa"/>
            <w:gridSpan w:val="3"/>
          </w:tcPr>
          <w:p w14:paraId="7FE3E0C9">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Pr>
          <w:p w14:paraId="6E5B1F7F">
            <w:pPr>
              <w:keepNext w:val="0"/>
              <w:keepLines w:val="0"/>
              <w:pageBreakBefore w:val="0"/>
              <w:widowControl/>
              <w:kinsoku/>
              <w:wordWrap/>
              <w:overflowPunct/>
              <w:topLinePunct w:val="0"/>
              <w:bidi w:val="0"/>
              <w:spacing w:line="240" w:lineRule="auto"/>
              <w:jc w:val="left"/>
              <w:outlineLvl w:val="9"/>
              <w:rPr>
                <w:rFonts w:hint="eastAsia" w:ascii="宋体" w:hAnsi="宋体" w:eastAsia="宋体" w:cs="宋体"/>
                <w:bCs/>
                <w:color w:val="auto"/>
                <w:spacing w:val="16"/>
                <w:kern w:val="0"/>
                <w:sz w:val="21"/>
                <w:szCs w:val="21"/>
                <w:highlight w:val="none"/>
              </w:rPr>
            </w:pPr>
          </w:p>
          <w:p w14:paraId="36381FC3">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r>
      <w:tr w14:paraId="3569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14:paraId="562DF210">
            <w:pPr>
              <w:pStyle w:val="34"/>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c>
          <w:tcPr>
            <w:tcW w:w="633" w:type="dxa"/>
          </w:tcPr>
          <w:p w14:paraId="3A237364">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10" w:type="dxa"/>
          </w:tcPr>
          <w:p w14:paraId="0052A690">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p>
        </w:tc>
        <w:tc>
          <w:tcPr>
            <w:tcW w:w="1163" w:type="dxa"/>
            <w:gridSpan w:val="2"/>
          </w:tcPr>
          <w:p w14:paraId="55B631A5">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66E93736">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平方米</w:t>
            </w:r>
          </w:p>
          <w:p w14:paraId="4BDDCCCF">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324E9841">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09E4D679">
            <w:pPr>
              <w:pStyle w:val="34"/>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ascii="宋体" w:hAnsi="宋体" w:eastAsia="宋体" w:cs="宋体"/>
                <w:bCs/>
                <w:color w:val="auto"/>
                <w:spacing w:val="16"/>
                <w:sz w:val="21"/>
                <w:szCs w:val="21"/>
                <w:highlight w:val="none"/>
              </w:rPr>
            </w:pPr>
          </w:p>
        </w:tc>
      </w:tr>
      <w:tr w14:paraId="5EEC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14:paraId="5E02B250">
            <w:pPr>
              <w:pStyle w:val="34"/>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c>
          <w:tcPr>
            <w:tcW w:w="633" w:type="dxa"/>
          </w:tcPr>
          <w:p w14:paraId="7AEBC3E7">
            <w:pPr>
              <w:pStyle w:val="34"/>
              <w:keepNext w:val="0"/>
              <w:keepLines w:val="0"/>
              <w:pageBreakBefore w:val="0"/>
              <w:shd w:val="clear" w:color="auto" w:fill="FFFFFF"/>
              <w:kinsoku/>
              <w:wordWrap/>
              <w:overflowPunct/>
              <w:topLinePunct w:val="0"/>
              <w:bidi w:val="0"/>
              <w:spacing w:line="24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10" w:type="dxa"/>
          </w:tcPr>
          <w:p w14:paraId="26AFCD39">
            <w:pPr>
              <w:pStyle w:val="34"/>
              <w:keepNext w:val="0"/>
              <w:keepLines w:val="0"/>
              <w:pageBreakBefore w:val="0"/>
              <w:shd w:val="clear" w:color="auto" w:fill="FFFFFF"/>
              <w:kinsoku/>
              <w:wordWrap/>
              <w:overflowPunct/>
              <w:topLinePunct w:val="0"/>
              <w:bidi w:val="0"/>
              <w:spacing w:line="240" w:lineRule="auto"/>
              <w:ind w:left="2"/>
              <w:outlineLvl w:val="9"/>
              <w:rPr>
                <w:rFonts w:hint="eastAsia" w:ascii="宋体" w:hAnsi="宋体" w:eastAsia="宋体" w:cs="宋体"/>
                <w:bCs/>
                <w:color w:val="auto"/>
                <w:sz w:val="21"/>
                <w:szCs w:val="21"/>
                <w:highlight w:val="none"/>
              </w:rPr>
            </w:pPr>
          </w:p>
        </w:tc>
        <w:tc>
          <w:tcPr>
            <w:tcW w:w="1163" w:type="dxa"/>
            <w:gridSpan w:val="2"/>
          </w:tcPr>
          <w:p w14:paraId="459EED06">
            <w:pPr>
              <w:pStyle w:val="34"/>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154A1016">
            <w:pPr>
              <w:keepNext w:val="0"/>
              <w:keepLines w:val="0"/>
              <w:pageBreakBefore w:val="0"/>
              <w:widowControl/>
              <w:kinsoku/>
              <w:wordWrap/>
              <w:overflowPunct/>
              <w:topLinePunct w:val="0"/>
              <w:bidi w:val="0"/>
              <w:spacing w:line="240" w:lineRule="auto"/>
              <w:jc w:val="left"/>
              <w:outlineLvl w:val="9"/>
              <w:rPr>
                <w:rFonts w:hint="eastAsia" w:ascii="宋体" w:hAnsi="宋体" w:eastAsia="宋体" w:cs="宋体"/>
                <w:bCs/>
                <w:color w:val="auto"/>
                <w:kern w:val="0"/>
                <w:sz w:val="21"/>
                <w:szCs w:val="21"/>
                <w:highlight w:val="none"/>
              </w:rPr>
            </w:pPr>
          </w:p>
          <w:p w14:paraId="1FDB0BAC">
            <w:pPr>
              <w:pStyle w:val="34"/>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c>
          <w:tcPr>
            <w:tcW w:w="1218" w:type="dxa"/>
          </w:tcPr>
          <w:p w14:paraId="42E7F895">
            <w:pPr>
              <w:pStyle w:val="34"/>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5B1E371E">
            <w:pPr>
              <w:pStyle w:val="34"/>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r>
      <w:tr w14:paraId="55FF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14:paraId="2C8C528F">
            <w:pPr>
              <w:pStyle w:val="34"/>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c>
          <w:tcPr>
            <w:tcW w:w="633" w:type="dxa"/>
          </w:tcPr>
          <w:p w14:paraId="1D24BF33">
            <w:pPr>
              <w:pStyle w:val="34"/>
              <w:keepNext w:val="0"/>
              <w:keepLines w:val="0"/>
              <w:pageBreakBefore w:val="0"/>
              <w:shd w:val="clear" w:color="auto" w:fill="FFFFFF"/>
              <w:kinsoku/>
              <w:wordWrap/>
              <w:overflowPunct/>
              <w:topLinePunct w:val="0"/>
              <w:bidi w:val="0"/>
              <w:spacing w:line="24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430" w:type="dxa"/>
            <w:gridSpan w:val="10"/>
          </w:tcPr>
          <w:p w14:paraId="6EA6132A">
            <w:pPr>
              <w:pStyle w:val="34"/>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r>
      <w:tr w14:paraId="3DDA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14:paraId="26EC9A5A">
            <w:pPr>
              <w:pStyle w:val="34"/>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c>
          <w:tcPr>
            <w:tcW w:w="8063" w:type="dxa"/>
            <w:gridSpan w:val="11"/>
          </w:tcPr>
          <w:p w14:paraId="7758A513">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2B32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14:paraId="277C0DDB">
            <w:pPr>
              <w:pStyle w:val="34"/>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459BEB4B">
            <w:pPr>
              <w:pStyle w:val="34"/>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854" w:type="dxa"/>
            <w:gridSpan w:val="3"/>
            <w:vMerge w:val="restart"/>
          </w:tcPr>
          <w:p w14:paraId="16AFAEBD">
            <w:pPr>
              <w:pStyle w:val="34"/>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964" w:type="dxa"/>
            <w:gridSpan w:val="2"/>
          </w:tcPr>
          <w:p w14:paraId="6DF39CD9">
            <w:pPr>
              <w:pStyle w:val="34"/>
              <w:keepNext w:val="0"/>
              <w:keepLines w:val="0"/>
              <w:pageBreakBefore w:val="0"/>
              <w:shd w:val="clear" w:color="auto" w:fill="FFFFFF"/>
              <w:kinsoku/>
              <w:wordWrap/>
              <w:overflowPunct/>
              <w:topLinePunct w:val="0"/>
              <w:bidi w:val="0"/>
              <w:spacing w:line="24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2628D149">
            <w:pPr>
              <w:pStyle w:val="34"/>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51220B75">
            <w:pPr>
              <w:pStyle w:val="34"/>
              <w:keepNext w:val="0"/>
              <w:keepLines w:val="0"/>
              <w:pageBreakBefore w:val="0"/>
              <w:shd w:val="clear" w:color="auto" w:fill="FFFFFF"/>
              <w:kinsoku/>
              <w:wordWrap/>
              <w:overflowPunct/>
              <w:topLinePunct w:val="0"/>
              <w:bidi w:val="0"/>
              <w:spacing w:line="24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5CF29CB2">
            <w:pPr>
              <w:pStyle w:val="34"/>
              <w:keepNext w:val="0"/>
              <w:keepLines w:val="0"/>
              <w:pageBreakBefore w:val="0"/>
              <w:shd w:val="clear" w:color="auto" w:fill="FFFFFF"/>
              <w:kinsoku/>
              <w:wordWrap/>
              <w:overflowPunct/>
              <w:topLinePunct w:val="0"/>
              <w:bidi w:val="0"/>
              <w:spacing w:line="24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6E6E5893">
            <w:pPr>
              <w:pStyle w:val="34"/>
              <w:keepNext w:val="0"/>
              <w:keepLines w:val="0"/>
              <w:pageBreakBefore w:val="0"/>
              <w:shd w:val="clear" w:color="auto" w:fill="FFFFFF"/>
              <w:kinsoku/>
              <w:wordWrap/>
              <w:overflowPunct/>
              <w:topLinePunct w:val="0"/>
              <w:bidi w:val="0"/>
              <w:spacing w:before="0" w:beforeAutospacing="0" w:after="0" w:afterAutospacing="0" w:line="24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42D4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14:paraId="2AEB1E31">
            <w:pPr>
              <w:pStyle w:val="34"/>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c>
          <w:tcPr>
            <w:tcW w:w="1854" w:type="dxa"/>
            <w:gridSpan w:val="3"/>
            <w:vMerge w:val="continue"/>
          </w:tcPr>
          <w:p w14:paraId="744F75C0">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p>
        </w:tc>
        <w:tc>
          <w:tcPr>
            <w:tcW w:w="964" w:type="dxa"/>
            <w:gridSpan w:val="2"/>
          </w:tcPr>
          <w:p w14:paraId="15B238CA">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p>
        </w:tc>
        <w:tc>
          <w:tcPr>
            <w:tcW w:w="1418" w:type="dxa"/>
            <w:gridSpan w:val="2"/>
          </w:tcPr>
          <w:p w14:paraId="4851A1DD">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p>
        </w:tc>
        <w:tc>
          <w:tcPr>
            <w:tcW w:w="1276" w:type="dxa"/>
          </w:tcPr>
          <w:p w14:paraId="73C7F543">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p>
        </w:tc>
        <w:tc>
          <w:tcPr>
            <w:tcW w:w="2551" w:type="dxa"/>
            <w:gridSpan w:val="3"/>
          </w:tcPr>
          <w:p w14:paraId="3FFCB3FC">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p>
        </w:tc>
      </w:tr>
      <w:tr w14:paraId="5202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14:paraId="0B3AE51A">
            <w:pPr>
              <w:pStyle w:val="34"/>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pacing w:val="16"/>
                <w:sz w:val="21"/>
                <w:szCs w:val="21"/>
                <w:highlight w:val="none"/>
              </w:rPr>
            </w:pPr>
          </w:p>
        </w:tc>
        <w:tc>
          <w:tcPr>
            <w:tcW w:w="1854" w:type="dxa"/>
            <w:gridSpan w:val="3"/>
          </w:tcPr>
          <w:p w14:paraId="5ECBF110">
            <w:pPr>
              <w:pStyle w:val="34"/>
              <w:keepNext w:val="0"/>
              <w:keepLines w:val="0"/>
              <w:pageBreakBefore w:val="0"/>
              <w:shd w:val="clear" w:color="auto" w:fill="FFFFFF"/>
              <w:kinsoku/>
              <w:wordWrap/>
              <w:overflowPunct/>
              <w:topLinePunct w:val="0"/>
              <w:bidi w:val="0"/>
              <w:spacing w:before="0" w:beforeAutospacing="0" w:after="0" w:afterAutospacing="0" w:line="24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209" w:type="dxa"/>
            <w:gridSpan w:val="8"/>
          </w:tcPr>
          <w:p w14:paraId="3D9305FD">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r>
      <w:tr w14:paraId="729F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14:paraId="4D65695B">
            <w:pPr>
              <w:pStyle w:val="34"/>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pacing w:val="27"/>
                <w:sz w:val="21"/>
                <w:szCs w:val="21"/>
                <w:highlight w:val="none"/>
              </w:rPr>
            </w:pPr>
          </w:p>
        </w:tc>
        <w:tc>
          <w:tcPr>
            <w:tcW w:w="1854" w:type="dxa"/>
            <w:gridSpan w:val="3"/>
          </w:tcPr>
          <w:p w14:paraId="099A6C98">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209" w:type="dxa"/>
            <w:gridSpan w:val="8"/>
          </w:tcPr>
          <w:p w14:paraId="4B68BA0C">
            <w:pPr>
              <w:pStyle w:val="34"/>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r>
    </w:tbl>
    <w:p w14:paraId="13A34150">
      <w:pPr>
        <w:pStyle w:val="34"/>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color w:val="auto"/>
          <w:highlight w:val="none"/>
        </w:rPr>
      </w:pPr>
    </w:p>
    <w:p w14:paraId="57A22C65">
      <w:pPr>
        <w:pStyle w:val="34"/>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7979F44E">
      <w:pPr>
        <w:pStyle w:val="34"/>
        <w:keepNext w:val="0"/>
        <w:keepLines w:val="0"/>
        <w:pageBreakBefore w:val="0"/>
        <w:shd w:val="clear" w:color="auto" w:fill="FFFFFF"/>
        <w:kinsoku/>
        <w:wordWrap/>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7355425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77B7899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2C966B5E">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3C91B0D6">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527D7DEB">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427D861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70081610">
      <w:pPr>
        <w:pStyle w:val="34"/>
        <w:keepNext w:val="0"/>
        <w:keepLines w:val="0"/>
        <w:pageBreakBefore w:val="0"/>
        <w:shd w:val="clear" w:color="auto" w:fill="FFFFFF"/>
        <w:kinsoku/>
        <w:wordWrap/>
        <w:overflowPunct/>
        <w:topLinePunct w:val="0"/>
        <w:bidi w:val="0"/>
        <w:spacing w:before="0" w:beforeAutospacing="0" w:after="0" w:afterAutospacing="0"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6BE45D33">
      <w:pPr>
        <w:pStyle w:val="34"/>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33811CF2">
      <w:pPr>
        <w:pStyle w:val="34"/>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0A14BAB5">
      <w:pPr>
        <w:pStyle w:val="34"/>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247D5FB7">
      <w:pPr>
        <w:pStyle w:val="34"/>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2A46D3D2">
      <w:pPr>
        <w:pStyle w:val="34"/>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318CA0D0">
      <w:pPr>
        <w:pStyle w:val="34"/>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67211502">
      <w:pPr>
        <w:pStyle w:val="34"/>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74D25E00">
      <w:pPr>
        <w:pStyle w:val="34"/>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3CE6DEA2">
      <w:pPr>
        <w:pStyle w:val="34"/>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7A64159F">
      <w:pPr>
        <w:pStyle w:val="34"/>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1D21B853">
      <w:pPr>
        <w:pStyle w:val="34"/>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4542210C">
      <w:pPr>
        <w:pStyle w:val="34"/>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p>
    <w:p w14:paraId="739BF3A4">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1D471F7B">
      <w:pPr>
        <w:keepNext w:val="0"/>
        <w:keepLines w:val="0"/>
        <w:pageBreakBefore w:val="0"/>
        <w:kinsoku/>
        <w:wordWrap/>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0"/>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2EDDA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vAlign w:val="center"/>
          </w:tcPr>
          <w:p w14:paraId="40E2228C">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168B1057">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263B313">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68A515FB">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5A9382D1">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781CC5DD">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000A83F2">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2126" w:type="dxa"/>
            <w:tcBorders>
              <w:top w:val="single" w:color="auto" w:sz="4" w:space="0"/>
              <w:left w:val="single" w:color="auto" w:sz="4" w:space="0"/>
              <w:bottom w:val="single" w:color="auto" w:sz="4" w:space="0"/>
            </w:tcBorders>
            <w:vAlign w:val="center"/>
          </w:tcPr>
          <w:p w14:paraId="690B0DD8">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2A778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11737183">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71CFFE39">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262F47EC">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442A2FF5">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44CCC0F">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07D62199">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2969D023">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7D66D81D">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863D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1DBA5FFB">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15872AD4">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09C0B344">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3D65DE07">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74C806A8">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08F1B6BB">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0C109BB0">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658AF75B">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1C8F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2581B4EA">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76EAD4AA">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260A5298">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29F70F54">
            <w:pPr>
              <w:pStyle w:val="12"/>
              <w:keepNext w:val="0"/>
              <w:keepLines w:val="0"/>
              <w:pageBreakBefore w:val="0"/>
              <w:kinsoku/>
              <w:wordWrap/>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F4F8496">
            <w:pPr>
              <w:pStyle w:val="12"/>
              <w:keepNext w:val="0"/>
              <w:keepLines w:val="0"/>
              <w:pageBreakBefore w:val="0"/>
              <w:kinsoku/>
              <w:wordWrap/>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6B91AA20">
            <w:pPr>
              <w:pStyle w:val="12"/>
              <w:keepNext w:val="0"/>
              <w:keepLines w:val="0"/>
              <w:pageBreakBefore w:val="0"/>
              <w:kinsoku/>
              <w:wordWrap/>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6E55F45F">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2126" w:type="dxa"/>
            <w:tcBorders>
              <w:top w:val="single" w:color="auto" w:sz="4" w:space="0"/>
              <w:left w:val="single" w:color="auto" w:sz="4" w:space="0"/>
              <w:bottom w:val="single" w:color="auto" w:sz="4" w:space="0"/>
            </w:tcBorders>
          </w:tcPr>
          <w:p w14:paraId="7271F6BC">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7F10A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7A43DEC3">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1240F5A8">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265CD799">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56A0E077">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363C7F9A">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74A1B7C0">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07F1F203">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41FFE423">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05B8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012E8158">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615CE514">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1F7329AD">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3516062A">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342CFFF5">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1A1650A4">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75151A8A">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013C61A5">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38AF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6723705B">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71EECC15">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4997291B">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4D653E67">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12E506EC">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2AF19C62">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6B02DA5A">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74F6CD2E">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EDEF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4BA38831">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718F5A3E">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3ACECFF0">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6BC21C40">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9FA4126">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33639A21">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2AB29F5C">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64778B6A">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669C2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39F09E85">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553E6BC3">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6741882D">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31451521">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306C49B4">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163AD131">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6D79E3AA">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7913A328">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495B532E">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0B32465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656563DA">
      <w:pPr>
        <w:pStyle w:val="35"/>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657CD55B">
      <w:pPr>
        <w:pStyle w:val="35"/>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出具上述人员在本单位服务的外部证明，如：投标截止日之前的代缴个税税单、参加社会保险的《投保单》或《社会保险参保人员证明》等。</w:t>
      </w:r>
    </w:p>
    <w:p w14:paraId="06859381">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2C224B9F">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5C1F3AEA">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57A355A9">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684A4C75">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619C6C34">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6C144042">
      <w:pPr>
        <w:spacing w:line="360" w:lineRule="auto"/>
        <w:rPr>
          <w:rFonts w:hint="eastAsia" w:ascii="宋体" w:hAnsi="宋体" w:eastAsia="宋体" w:cs="宋体"/>
          <w:color w:val="auto"/>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8</w:t>
      </w:r>
    </w:p>
    <w:p w14:paraId="7872A3BA">
      <w:pPr>
        <w:spacing w:before="156" w:beforeLines="50" w:after="156" w:afterLines="50" w:line="360" w:lineRule="auto"/>
        <w:ind w:right="-1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投标人提供的产品供货清单及原产地</w:t>
      </w:r>
    </w:p>
    <w:p w14:paraId="4866BFE5">
      <w:pPr>
        <w:spacing w:line="360" w:lineRule="auto"/>
        <w:rPr>
          <w:rFonts w:hint="eastAsia" w:ascii="宋体" w:hAnsi="宋体" w:eastAsia="宋体" w:cs="宋体"/>
          <w:b/>
          <w:color w:val="auto"/>
          <w:sz w:val="21"/>
          <w:szCs w:val="21"/>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16"/>
        <w:gridCol w:w="1138"/>
        <w:gridCol w:w="1139"/>
        <w:gridCol w:w="1139"/>
        <w:gridCol w:w="1139"/>
        <w:gridCol w:w="1139"/>
        <w:gridCol w:w="1139"/>
      </w:tblGrid>
      <w:tr w14:paraId="1DEE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59" w:type="dxa"/>
            <w:noWrap w:val="0"/>
            <w:vAlign w:val="center"/>
          </w:tcPr>
          <w:p w14:paraId="68E07844">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 号</w:t>
            </w:r>
          </w:p>
        </w:tc>
        <w:tc>
          <w:tcPr>
            <w:tcW w:w="1316" w:type="dxa"/>
            <w:noWrap w:val="0"/>
            <w:vAlign w:val="center"/>
          </w:tcPr>
          <w:p w14:paraId="13F8B60A">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  称</w:t>
            </w:r>
          </w:p>
        </w:tc>
        <w:tc>
          <w:tcPr>
            <w:tcW w:w="1138" w:type="dxa"/>
            <w:noWrap w:val="0"/>
            <w:vAlign w:val="center"/>
          </w:tcPr>
          <w:p w14:paraId="794BBD86">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w:t>
            </w:r>
          </w:p>
        </w:tc>
        <w:tc>
          <w:tcPr>
            <w:tcW w:w="1139" w:type="dxa"/>
            <w:noWrap w:val="0"/>
            <w:vAlign w:val="center"/>
          </w:tcPr>
          <w:p w14:paraId="23FCBCC2">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制造商/原产地</w:t>
            </w:r>
          </w:p>
        </w:tc>
        <w:tc>
          <w:tcPr>
            <w:tcW w:w="1139" w:type="dxa"/>
            <w:noWrap w:val="0"/>
            <w:vAlign w:val="center"/>
          </w:tcPr>
          <w:p w14:paraId="7F82D649">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c>
          <w:tcPr>
            <w:tcW w:w="1139" w:type="dxa"/>
            <w:noWrap w:val="0"/>
            <w:vAlign w:val="center"/>
          </w:tcPr>
          <w:p w14:paraId="64BB7791">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 位</w:t>
            </w:r>
          </w:p>
        </w:tc>
        <w:tc>
          <w:tcPr>
            <w:tcW w:w="1139" w:type="dxa"/>
            <w:noWrap w:val="0"/>
            <w:vAlign w:val="center"/>
          </w:tcPr>
          <w:p w14:paraId="7841B7EB">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 量</w:t>
            </w:r>
          </w:p>
        </w:tc>
        <w:tc>
          <w:tcPr>
            <w:tcW w:w="1139" w:type="dxa"/>
            <w:noWrap w:val="0"/>
            <w:vAlign w:val="center"/>
          </w:tcPr>
          <w:p w14:paraId="58D0E4CC">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 注</w:t>
            </w:r>
          </w:p>
          <w:p w14:paraId="4CB2F605">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r>
      <w:tr w14:paraId="632B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noWrap w:val="0"/>
            <w:vAlign w:val="center"/>
          </w:tcPr>
          <w:p w14:paraId="2B72FFE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6" w:type="dxa"/>
            <w:noWrap w:val="0"/>
            <w:vAlign w:val="center"/>
          </w:tcPr>
          <w:p w14:paraId="266BC94B">
            <w:pPr>
              <w:spacing w:line="360" w:lineRule="auto"/>
              <w:jc w:val="center"/>
              <w:rPr>
                <w:rFonts w:hint="eastAsia" w:ascii="宋体" w:hAnsi="宋体" w:eastAsia="宋体" w:cs="宋体"/>
                <w:color w:val="auto"/>
                <w:sz w:val="21"/>
                <w:szCs w:val="21"/>
                <w:highlight w:val="none"/>
              </w:rPr>
            </w:pPr>
          </w:p>
        </w:tc>
        <w:tc>
          <w:tcPr>
            <w:tcW w:w="1138" w:type="dxa"/>
            <w:noWrap w:val="0"/>
            <w:vAlign w:val="center"/>
          </w:tcPr>
          <w:p w14:paraId="4C9B46EB">
            <w:pPr>
              <w:spacing w:line="360" w:lineRule="auto"/>
              <w:jc w:val="center"/>
              <w:rPr>
                <w:rFonts w:hint="eastAsia" w:ascii="宋体" w:hAnsi="宋体" w:eastAsia="宋体" w:cs="宋体"/>
                <w:color w:val="auto"/>
                <w:sz w:val="21"/>
                <w:szCs w:val="21"/>
                <w:highlight w:val="none"/>
              </w:rPr>
            </w:pPr>
          </w:p>
        </w:tc>
        <w:tc>
          <w:tcPr>
            <w:tcW w:w="1139" w:type="dxa"/>
            <w:noWrap w:val="0"/>
            <w:vAlign w:val="center"/>
          </w:tcPr>
          <w:p w14:paraId="34664EC1">
            <w:pPr>
              <w:spacing w:line="360" w:lineRule="auto"/>
              <w:jc w:val="center"/>
              <w:rPr>
                <w:rFonts w:hint="eastAsia" w:ascii="宋体" w:hAnsi="宋体" w:eastAsia="宋体" w:cs="宋体"/>
                <w:color w:val="auto"/>
                <w:sz w:val="21"/>
                <w:szCs w:val="21"/>
                <w:highlight w:val="none"/>
              </w:rPr>
            </w:pPr>
          </w:p>
        </w:tc>
        <w:tc>
          <w:tcPr>
            <w:tcW w:w="1139" w:type="dxa"/>
            <w:noWrap w:val="0"/>
            <w:vAlign w:val="center"/>
          </w:tcPr>
          <w:p w14:paraId="01A83670">
            <w:pPr>
              <w:spacing w:line="360" w:lineRule="auto"/>
              <w:jc w:val="center"/>
              <w:rPr>
                <w:rFonts w:hint="eastAsia" w:ascii="宋体" w:hAnsi="宋体" w:eastAsia="宋体" w:cs="宋体"/>
                <w:color w:val="auto"/>
                <w:sz w:val="21"/>
                <w:szCs w:val="21"/>
                <w:highlight w:val="none"/>
              </w:rPr>
            </w:pPr>
          </w:p>
        </w:tc>
        <w:tc>
          <w:tcPr>
            <w:tcW w:w="1139" w:type="dxa"/>
            <w:noWrap w:val="0"/>
            <w:vAlign w:val="center"/>
          </w:tcPr>
          <w:p w14:paraId="07E25DEB">
            <w:pPr>
              <w:spacing w:line="360" w:lineRule="auto"/>
              <w:jc w:val="center"/>
              <w:rPr>
                <w:rFonts w:hint="eastAsia" w:ascii="宋体" w:hAnsi="宋体" w:eastAsia="宋体" w:cs="宋体"/>
                <w:color w:val="auto"/>
                <w:sz w:val="21"/>
                <w:szCs w:val="21"/>
                <w:highlight w:val="none"/>
              </w:rPr>
            </w:pPr>
          </w:p>
        </w:tc>
        <w:tc>
          <w:tcPr>
            <w:tcW w:w="1139" w:type="dxa"/>
            <w:noWrap w:val="0"/>
            <w:vAlign w:val="center"/>
          </w:tcPr>
          <w:p w14:paraId="3CCF2409">
            <w:pPr>
              <w:spacing w:line="360" w:lineRule="auto"/>
              <w:jc w:val="center"/>
              <w:rPr>
                <w:rFonts w:hint="eastAsia" w:ascii="宋体" w:hAnsi="宋体" w:eastAsia="宋体" w:cs="宋体"/>
                <w:color w:val="auto"/>
                <w:sz w:val="21"/>
                <w:szCs w:val="21"/>
                <w:highlight w:val="none"/>
              </w:rPr>
            </w:pPr>
          </w:p>
        </w:tc>
        <w:tc>
          <w:tcPr>
            <w:tcW w:w="1139" w:type="dxa"/>
            <w:noWrap w:val="0"/>
            <w:vAlign w:val="center"/>
          </w:tcPr>
          <w:p w14:paraId="37ECF903">
            <w:pPr>
              <w:spacing w:line="360" w:lineRule="auto"/>
              <w:jc w:val="center"/>
              <w:rPr>
                <w:rFonts w:hint="eastAsia" w:ascii="宋体" w:hAnsi="宋体" w:eastAsia="宋体" w:cs="宋体"/>
                <w:color w:val="auto"/>
                <w:sz w:val="21"/>
                <w:szCs w:val="21"/>
                <w:highlight w:val="none"/>
              </w:rPr>
            </w:pPr>
          </w:p>
        </w:tc>
      </w:tr>
      <w:tr w14:paraId="3DB4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noWrap w:val="0"/>
            <w:vAlign w:val="top"/>
          </w:tcPr>
          <w:p w14:paraId="24D0AFB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6" w:type="dxa"/>
            <w:noWrap w:val="0"/>
            <w:vAlign w:val="top"/>
          </w:tcPr>
          <w:p w14:paraId="5C50AAEB">
            <w:pPr>
              <w:spacing w:line="360" w:lineRule="auto"/>
              <w:jc w:val="center"/>
              <w:rPr>
                <w:rFonts w:hint="eastAsia" w:ascii="宋体" w:hAnsi="宋体" w:eastAsia="宋体" w:cs="宋体"/>
                <w:color w:val="auto"/>
                <w:sz w:val="21"/>
                <w:szCs w:val="21"/>
                <w:highlight w:val="none"/>
              </w:rPr>
            </w:pPr>
          </w:p>
        </w:tc>
        <w:tc>
          <w:tcPr>
            <w:tcW w:w="1138" w:type="dxa"/>
            <w:noWrap w:val="0"/>
            <w:vAlign w:val="top"/>
          </w:tcPr>
          <w:p w14:paraId="646E88A6">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74D60EB2">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0575C915">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3AC0A357">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10687529">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1F19FE50">
            <w:pPr>
              <w:spacing w:line="360" w:lineRule="auto"/>
              <w:jc w:val="center"/>
              <w:rPr>
                <w:rFonts w:hint="eastAsia" w:ascii="宋体" w:hAnsi="宋体" w:eastAsia="宋体" w:cs="宋体"/>
                <w:color w:val="auto"/>
                <w:sz w:val="21"/>
                <w:szCs w:val="21"/>
                <w:highlight w:val="none"/>
              </w:rPr>
            </w:pPr>
          </w:p>
        </w:tc>
      </w:tr>
      <w:tr w14:paraId="3C8B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59" w:type="dxa"/>
            <w:noWrap w:val="0"/>
            <w:vAlign w:val="top"/>
          </w:tcPr>
          <w:p w14:paraId="3381768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16" w:type="dxa"/>
            <w:noWrap w:val="0"/>
            <w:vAlign w:val="top"/>
          </w:tcPr>
          <w:p w14:paraId="24969A63">
            <w:pPr>
              <w:spacing w:line="360" w:lineRule="auto"/>
              <w:jc w:val="center"/>
              <w:rPr>
                <w:rFonts w:hint="eastAsia" w:ascii="宋体" w:hAnsi="宋体" w:eastAsia="宋体" w:cs="宋体"/>
                <w:color w:val="auto"/>
                <w:sz w:val="21"/>
                <w:szCs w:val="21"/>
                <w:highlight w:val="none"/>
              </w:rPr>
            </w:pPr>
          </w:p>
        </w:tc>
        <w:tc>
          <w:tcPr>
            <w:tcW w:w="1138" w:type="dxa"/>
            <w:noWrap w:val="0"/>
            <w:vAlign w:val="top"/>
          </w:tcPr>
          <w:p w14:paraId="1541C24C">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61CAF24D">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5B55D301">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2F743327">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757F9172">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06C1105D">
            <w:pPr>
              <w:spacing w:line="360" w:lineRule="auto"/>
              <w:jc w:val="center"/>
              <w:rPr>
                <w:rFonts w:hint="eastAsia" w:ascii="宋体" w:hAnsi="宋体" w:eastAsia="宋体" w:cs="宋体"/>
                <w:color w:val="auto"/>
                <w:sz w:val="21"/>
                <w:szCs w:val="21"/>
                <w:highlight w:val="none"/>
              </w:rPr>
            </w:pPr>
          </w:p>
        </w:tc>
      </w:tr>
      <w:tr w14:paraId="00A1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noWrap w:val="0"/>
            <w:vAlign w:val="top"/>
          </w:tcPr>
          <w:p w14:paraId="4155BF1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16" w:type="dxa"/>
            <w:noWrap w:val="0"/>
            <w:vAlign w:val="top"/>
          </w:tcPr>
          <w:p w14:paraId="19C13F6B">
            <w:pPr>
              <w:spacing w:line="360" w:lineRule="auto"/>
              <w:jc w:val="center"/>
              <w:rPr>
                <w:rFonts w:hint="eastAsia" w:ascii="宋体" w:hAnsi="宋体" w:eastAsia="宋体" w:cs="宋体"/>
                <w:color w:val="auto"/>
                <w:sz w:val="21"/>
                <w:szCs w:val="21"/>
                <w:highlight w:val="none"/>
              </w:rPr>
            </w:pPr>
          </w:p>
        </w:tc>
        <w:tc>
          <w:tcPr>
            <w:tcW w:w="1138" w:type="dxa"/>
            <w:noWrap w:val="0"/>
            <w:vAlign w:val="top"/>
          </w:tcPr>
          <w:p w14:paraId="50AC96D6">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358BE94B">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12F7B067">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6DA9F78E">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0F3EB5B1">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6D9329C8">
            <w:pPr>
              <w:spacing w:line="360" w:lineRule="auto"/>
              <w:jc w:val="center"/>
              <w:rPr>
                <w:rFonts w:hint="eastAsia" w:ascii="宋体" w:hAnsi="宋体" w:eastAsia="宋体" w:cs="宋体"/>
                <w:color w:val="auto"/>
                <w:sz w:val="21"/>
                <w:szCs w:val="21"/>
                <w:highlight w:val="none"/>
              </w:rPr>
            </w:pPr>
          </w:p>
        </w:tc>
      </w:tr>
      <w:tr w14:paraId="6C41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59" w:type="dxa"/>
            <w:noWrap w:val="0"/>
            <w:vAlign w:val="top"/>
          </w:tcPr>
          <w:p w14:paraId="01AE9D7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16" w:type="dxa"/>
            <w:noWrap w:val="0"/>
            <w:vAlign w:val="top"/>
          </w:tcPr>
          <w:p w14:paraId="337F32BC">
            <w:pPr>
              <w:spacing w:line="360" w:lineRule="auto"/>
              <w:jc w:val="center"/>
              <w:rPr>
                <w:rFonts w:hint="eastAsia" w:ascii="宋体" w:hAnsi="宋体" w:eastAsia="宋体" w:cs="宋体"/>
                <w:color w:val="auto"/>
                <w:sz w:val="21"/>
                <w:szCs w:val="21"/>
                <w:highlight w:val="none"/>
              </w:rPr>
            </w:pPr>
          </w:p>
        </w:tc>
        <w:tc>
          <w:tcPr>
            <w:tcW w:w="1138" w:type="dxa"/>
            <w:noWrap w:val="0"/>
            <w:vAlign w:val="top"/>
          </w:tcPr>
          <w:p w14:paraId="2B8C6379">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03B889D7">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170FA17B">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7FCB2593">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5CAEDEB5">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58F0283C">
            <w:pPr>
              <w:spacing w:line="360" w:lineRule="auto"/>
              <w:jc w:val="center"/>
              <w:rPr>
                <w:rFonts w:hint="eastAsia" w:ascii="宋体" w:hAnsi="宋体" w:eastAsia="宋体" w:cs="宋体"/>
                <w:color w:val="auto"/>
                <w:sz w:val="21"/>
                <w:szCs w:val="21"/>
                <w:highlight w:val="none"/>
              </w:rPr>
            </w:pPr>
          </w:p>
        </w:tc>
      </w:tr>
      <w:tr w14:paraId="6FF6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7B29000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16" w:type="dxa"/>
            <w:noWrap w:val="0"/>
            <w:vAlign w:val="top"/>
          </w:tcPr>
          <w:p w14:paraId="62DCB069">
            <w:pPr>
              <w:spacing w:line="360" w:lineRule="auto"/>
              <w:jc w:val="center"/>
              <w:rPr>
                <w:rFonts w:hint="eastAsia" w:ascii="宋体" w:hAnsi="宋体" w:eastAsia="宋体" w:cs="宋体"/>
                <w:color w:val="auto"/>
                <w:sz w:val="21"/>
                <w:szCs w:val="21"/>
                <w:highlight w:val="none"/>
              </w:rPr>
            </w:pPr>
          </w:p>
        </w:tc>
        <w:tc>
          <w:tcPr>
            <w:tcW w:w="1138" w:type="dxa"/>
            <w:noWrap w:val="0"/>
            <w:vAlign w:val="top"/>
          </w:tcPr>
          <w:p w14:paraId="66D4DE65">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60BD8A30">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215CC89F">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0968AEF7">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6EC020A3">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42AAD361">
            <w:pPr>
              <w:spacing w:line="360" w:lineRule="auto"/>
              <w:jc w:val="center"/>
              <w:rPr>
                <w:rFonts w:hint="eastAsia" w:ascii="宋体" w:hAnsi="宋体" w:eastAsia="宋体" w:cs="宋体"/>
                <w:color w:val="auto"/>
                <w:sz w:val="21"/>
                <w:szCs w:val="21"/>
                <w:highlight w:val="none"/>
              </w:rPr>
            </w:pPr>
          </w:p>
        </w:tc>
      </w:tr>
      <w:tr w14:paraId="5E564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0B752E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16" w:type="dxa"/>
            <w:noWrap w:val="0"/>
            <w:vAlign w:val="top"/>
          </w:tcPr>
          <w:p w14:paraId="66616FF0">
            <w:pPr>
              <w:spacing w:line="360" w:lineRule="auto"/>
              <w:jc w:val="center"/>
              <w:rPr>
                <w:rFonts w:hint="eastAsia" w:ascii="宋体" w:hAnsi="宋体" w:eastAsia="宋体" w:cs="宋体"/>
                <w:color w:val="auto"/>
                <w:sz w:val="21"/>
                <w:szCs w:val="21"/>
                <w:highlight w:val="none"/>
              </w:rPr>
            </w:pPr>
          </w:p>
        </w:tc>
        <w:tc>
          <w:tcPr>
            <w:tcW w:w="1138" w:type="dxa"/>
            <w:noWrap w:val="0"/>
            <w:vAlign w:val="top"/>
          </w:tcPr>
          <w:p w14:paraId="1D017778">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240B5C82">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5967F675">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1BFD5F36">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7E1E5A60">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7BF3C1FD">
            <w:pPr>
              <w:spacing w:line="360" w:lineRule="auto"/>
              <w:jc w:val="center"/>
              <w:rPr>
                <w:rFonts w:hint="eastAsia" w:ascii="宋体" w:hAnsi="宋体" w:eastAsia="宋体" w:cs="宋体"/>
                <w:color w:val="auto"/>
                <w:sz w:val="21"/>
                <w:szCs w:val="21"/>
                <w:highlight w:val="none"/>
              </w:rPr>
            </w:pPr>
          </w:p>
        </w:tc>
      </w:tr>
      <w:tr w14:paraId="15F1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F5AF743">
            <w:pPr>
              <w:spacing w:line="360" w:lineRule="auto"/>
              <w:jc w:val="center"/>
              <w:rPr>
                <w:rFonts w:hint="eastAsia" w:ascii="宋体" w:hAnsi="宋体" w:eastAsia="宋体" w:cs="宋体"/>
                <w:color w:val="auto"/>
                <w:sz w:val="21"/>
                <w:szCs w:val="21"/>
                <w:highlight w:val="none"/>
              </w:rPr>
            </w:pPr>
          </w:p>
        </w:tc>
        <w:tc>
          <w:tcPr>
            <w:tcW w:w="1316" w:type="dxa"/>
            <w:noWrap w:val="0"/>
            <w:vAlign w:val="top"/>
          </w:tcPr>
          <w:p w14:paraId="3E19C1D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随产品备品备件</w:t>
            </w:r>
          </w:p>
        </w:tc>
        <w:tc>
          <w:tcPr>
            <w:tcW w:w="1138" w:type="dxa"/>
            <w:noWrap w:val="0"/>
            <w:vAlign w:val="top"/>
          </w:tcPr>
          <w:p w14:paraId="29274B98">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2134AE7D">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54CDACCD">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103266E7">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6C733005">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317664D7">
            <w:pPr>
              <w:spacing w:line="360" w:lineRule="auto"/>
              <w:jc w:val="center"/>
              <w:rPr>
                <w:rFonts w:hint="eastAsia" w:ascii="宋体" w:hAnsi="宋体" w:eastAsia="宋体" w:cs="宋体"/>
                <w:color w:val="auto"/>
                <w:sz w:val="21"/>
                <w:szCs w:val="21"/>
                <w:highlight w:val="none"/>
              </w:rPr>
            </w:pPr>
          </w:p>
        </w:tc>
      </w:tr>
      <w:tr w14:paraId="5B3F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CAACCD6">
            <w:pPr>
              <w:spacing w:line="360" w:lineRule="auto"/>
              <w:jc w:val="center"/>
              <w:rPr>
                <w:rFonts w:hint="eastAsia" w:ascii="宋体" w:hAnsi="宋体" w:eastAsia="宋体" w:cs="宋体"/>
                <w:color w:val="auto"/>
                <w:sz w:val="21"/>
                <w:szCs w:val="21"/>
                <w:highlight w:val="none"/>
              </w:rPr>
            </w:pPr>
          </w:p>
        </w:tc>
        <w:tc>
          <w:tcPr>
            <w:tcW w:w="1316" w:type="dxa"/>
            <w:noWrap w:val="0"/>
            <w:vAlign w:val="top"/>
          </w:tcPr>
          <w:p w14:paraId="14916FAA">
            <w:pPr>
              <w:spacing w:line="360" w:lineRule="auto"/>
              <w:jc w:val="center"/>
              <w:rPr>
                <w:rFonts w:hint="eastAsia" w:ascii="宋体" w:hAnsi="宋体" w:eastAsia="宋体" w:cs="宋体"/>
                <w:color w:val="auto"/>
                <w:sz w:val="21"/>
                <w:szCs w:val="21"/>
                <w:highlight w:val="none"/>
              </w:rPr>
            </w:pPr>
          </w:p>
        </w:tc>
        <w:tc>
          <w:tcPr>
            <w:tcW w:w="1138" w:type="dxa"/>
            <w:noWrap w:val="0"/>
            <w:vAlign w:val="top"/>
          </w:tcPr>
          <w:p w14:paraId="6DF78688">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66188AC5">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55BC89DC">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4B8F542D">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75BAC9E2">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0EFF2BE8">
            <w:pPr>
              <w:spacing w:line="360" w:lineRule="auto"/>
              <w:jc w:val="center"/>
              <w:rPr>
                <w:rFonts w:hint="eastAsia" w:ascii="宋体" w:hAnsi="宋体" w:eastAsia="宋体" w:cs="宋体"/>
                <w:color w:val="auto"/>
                <w:sz w:val="21"/>
                <w:szCs w:val="21"/>
                <w:highlight w:val="none"/>
              </w:rPr>
            </w:pPr>
          </w:p>
        </w:tc>
      </w:tr>
    </w:tbl>
    <w:p w14:paraId="522AF075">
      <w:pPr>
        <w:spacing w:line="360" w:lineRule="auto"/>
        <w:rPr>
          <w:rFonts w:hint="eastAsia" w:ascii="宋体" w:hAnsi="宋体" w:eastAsia="宋体" w:cs="宋体"/>
          <w:color w:val="auto"/>
          <w:sz w:val="21"/>
          <w:szCs w:val="21"/>
          <w:highlight w:val="none"/>
        </w:rPr>
      </w:pPr>
    </w:p>
    <w:p w14:paraId="58B6A46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本表所列项目应全部计入投标总价。</w:t>
      </w:r>
    </w:p>
    <w:p w14:paraId="394A3F0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投标人在投标时，应对所供产品的包装方式给于具体说明。</w:t>
      </w:r>
    </w:p>
    <w:p w14:paraId="6670365D">
      <w:pPr>
        <w:pStyle w:val="11"/>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此表仅提供了表格形式，投标人应根据需要准备足够数量的表格来填写本表。</w:t>
      </w:r>
    </w:p>
    <w:p w14:paraId="6D69222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p>
    <w:p w14:paraId="353213A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73FFFD6F">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343D516C">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40C70E38">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761D5712">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2527C39D">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 w:val="21"/>
          <w:szCs w:val="21"/>
          <w:highlight w:val="none"/>
        </w:rPr>
      </w:pPr>
    </w:p>
    <w:p w14:paraId="0E806443">
      <w:pPr>
        <w:pStyle w:val="6"/>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587ADFDC">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numberInDash"/>
          <w:cols w:space="425" w:num="1"/>
          <w:docGrid w:type="lines" w:linePitch="312" w:charSpace="0"/>
        </w:sectPr>
      </w:pPr>
    </w:p>
    <w:p w14:paraId="50EB19C4">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9</w:t>
      </w:r>
    </w:p>
    <w:p w14:paraId="67319547">
      <w:pPr>
        <w:keepNext w:val="0"/>
        <w:keepLines w:val="0"/>
        <w:pageBreakBefore w:val="0"/>
        <w:kinsoku/>
        <w:wordWrap/>
        <w:overflowPunct/>
        <w:topLinePunct w:val="0"/>
        <w:bidi w:val="0"/>
        <w:spacing w:line="360" w:lineRule="auto"/>
        <w:ind w:left="480"/>
        <w:jc w:val="center"/>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kern w:val="0"/>
          <w:sz w:val="32"/>
          <w:szCs w:val="32"/>
          <w:highlight w:val="none"/>
        </w:rPr>
        <w:t>技术需求响应表</w:t>
      </w:r>
    </w:p>
    <w:p w14:paraId="25BE086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bl>
      <w:tblPr>
        <w:tblStyle w:val="2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747D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01311E8D">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85" w:type="dxa"/>
            <w:vAlign w:val="center"/>
          </w:tcPr>
          <w:p w14:paraId="5400E8E8">
            <w:pPr>
              <w:keepNext w:val="0"/>
              <w:keepLines w:val="0"/>
              <w:pageBreakBefore w:val="0"/>
              <w:kinsoku/>
              <w:wordWrap/>
              <w:overflowPunct/>
              <w:topLinePunct w:val="0"/>
              <w:bidi w:val="0"/>
              <w:spacing w:line="360" w:lineRule="auto"/>
              <w:ind w:left="13" w:leftChars="6"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449" w:type="dxa"/>
            <w:vAlign w:val="center"/>
          </w:tcPr>
          <w:p w14:paraId="1D7AD9CE">
            <w:pPr>
              <w:keepNext w:val="0"/>
              <w:keepLines w:val="0"/>
              <w:pageBreakBefore w:val="0"/>
              <w:kinsoku/>
              <w:wordWrap/>
              <w:overflowPunct/>
              <w:topLinePunct w:val="0"/>
              <w:bidi w:val="0"/>
              <w:spacing w:line="360" w:lineRule="auto"/>
              <w:ind w:left="52"/>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1560" w:type="dxa"/>
            <w:vAlign w:val="center"/>
          </w:tcPr>
          <w:p w14:paraId="338FA668">
            <w:pPr>
              <w:keepNext w:val="0"/>
              <w:keepLines w:val="0"/>
              <w:pageBreakBefore w:val="0"/>
              <w:kinsoku/>
              <w:wordWrap/>
              <w:overflowPunct/>
              <w:topLinePunct w:val="0"/>
              <w:bidi w:val="0"/>
              <w:spacing w:line="360" w:lineRule="auto"/>
              <w:ind w:left="152"/>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招标参数</w:t>
            </w:r>
          </w:p>
        </w:tc>
        <w:tc>
          <w:tcPr>
            <w:tcW w:w="1401" w:type="dxa"/>
            <w:vAlign w:val="center"/>
          </w:tcPr>
          <w:p w14:paraId="0B0DFCC2">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投标参数</w:t>
            </w:r>
          </w:p>
        </w:tc>
        <w:tc>
          <w:tcPr>
            <w:tcW w:w="1365" w:type="dxa"/>
            <w:vAlign w:val="center"/>
          </w:tcPr>
          <w:p w14:paraId="44E306AB">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偏离说明</w:t>
            </w:r>
          </w:p>
        </w:tc>
      </w:tr>
      <w:tr w14:paraId="0F34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26F5F89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785" w:type="dxa"/>
            <w:vAlign w:val="center"/>
          </w:tcPr>
          <w:p w14:paraId="751E33F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49" w:type="dxa"/>
            <w:vAlign w:val="center"/>
          </w:tcPr>
          <w:p w14:paraId="4E9B317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60" w:type="dxa"/>
            <w:vAlign w:val="center"/>
          </w:tcPr>
          <w:p w14:paraId="6F516A0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01" w:type="dxa"/>
            <w:vAlign w:val="center"/>
          </w:tcPr>
          <w:p w14:paraId="5C24A78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5CA2D40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7F4E3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3C1B82E5">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785" w:type="dxa"/>
            <w:vAlign w:val="center"/>
          </w:tcPr>
          <w:p w14:paraId="7BC88D69">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49" w:type="dxa"/>
            <w:vAlign w:val="center"/>
          </w:tcPr>
          <w:p w14:paraId="6A3E1A49">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60" w:type="dxa"/>
            <w:vAlign w:val="center"/>
          </w:tcPr>
          <w:p w14:paraId="6A4932F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01" w:type="dxa"/>
            <w:vAlign w:val="center"/>
          </w:tcPr>
          <w:p w14:paraId="36EBDB95">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3AB5B6D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6EFB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CEB091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785" w:type="dxa"/>
            <w:vAlign w:val="center"/>
          </w:tcPr>
          <w:p w14:paraId="4B1374C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49" w:type="dxa"/>
            <w:vAlign w:val="center"/>
          </w:tcPr>
          <w:p w14:paraId="0EFCDD2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60" w:type="dxa"/>
            <w:vAlign w:val="center"/>
          </w:tcPr>
          <w:p w14:paraId="57ADB289">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01" w:type="dxa"/>
            <w:vAlign w:val="center"/>
          </w:tcPr>
          <w:p w14:paraId="50B63E8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18631C5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7A74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8C86EE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785" w:type="dxa"/>
            <w:vAlign w:val="center"/>
          </w:tcPr>
          <w:p w14:paraId="4A0D486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49" w:type="dxa"/>
            <w:vAlign w:val="center"/>
          </w:tcPr>
          <w:p w14:paraId="5031265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60" w:type="dxa"/>
            <w:vAlign w:val="center"/>
          </w:tcPr>
          <w:p w14:paraId="2B5356A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01" w:type="dxa"/>
            <w:vAlign w:val="center"/>
          </w:tcPr>
          <w:p w14:paraId="0C80F339">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35240E2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6B47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66BD0028">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785" w:type="dxa"/>
            <w:vAlign w:val="center"/>
          </w:tcPr>
          <w:p w14:paraId="115B1D48">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49" w:type="dxa"/>
            <w:vAlign w:val="center"/>
          </w:tcPr>
          <w:p w14:paraId="5BD1139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60" w:type="dxa"/>
            <w:vAlign w:val="center"/>
          </w:tcPr>
          <w:p w14:paraId="270050C8">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01" w:type="dxa"/>
            <w:vAlign w:val="center"/>
          </w:tcPr>
          <w:p w14:paraId="2887FE6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398EF8F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2DE5E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77065D4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785" w:type="dxa"/>
            <w:vAlign w:val="center"/>
          </w:tcPr>
          <w:p w14:paraId="23309AF9">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49" w:type="dxa"/>
            <w:vAlign w:val="center"/>
          </w:tcPr>
          <w:p w14:paraId="23C86F3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60" w:type="dxa"/>
            <w:vAlign w:val="center"/>
          </w:tcPr>
          <w:p w14:paraId="3140978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01" w:type="dxa"/>
            <w:vAlign w:val="center"/>
          </w:tcPr>
          <w:p w14:paraId="21A5276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4E4595E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229A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301F028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785" w:type="dxa"/>
            <w:vAlign w:val="center"/>
          </w:tcPr>
          <w:p w14:paraId="75AFE2B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49" w:type="dxa"/>
            <w:vAlign w:val="center"/>
          </w:tcPr>
          <w:p w14:paraId="3C9D944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60" w:type="dxa"/>
            <w:vAlign w:val="center"/>
          </w:tcPr>
          <w:p w14:paraId="567681C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01" w:type="dxa"/>
            <w:vAlign w:val="center"/>
          </w:tcPr>
          <w:p w14:paraId="1AD5ECF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0B83FD0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bl>
    <w:p w14:paraId="18BCFBE4">
      <w:pPr>
        <w:pStyle w:val="36"/>
        <w:keepNext w:val="0"/>
        <w:keepLines w:val="0"/>
        <w:pageBreakBefore w:val="0"/>
        <w:tabs>
          <w:tab w:val="left" w:pos="360"/>
        </w:tabs>
        <w:kinsoku/>
        <w:wordWrap/>
        <w:overflowPunct/>
        <w:topLinePunct w:val="0"/>
        <w:bidi w:val="0"/>
        <w:spacing w:line="360" w:lineRule="auto"/>
        <w:ind w:right="84" w:rightChars="4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22E91EF2">
      <w:pPr>
        <w:pStyle w:val="36"/>
        <w:keepNext w:val="0"/>
        <w:keepLines w:val="0"/>
        <w:pageBreakBefore w:val="0"/>
        <w:tabs>
          <w:tab w:val="left" w:pos="360"/>
        </w:tabs>
        <w:kinsoku/>
        <w:wordWrap/>
        <w:overflowPunct/>
        <w:topLinePunct w:val="0"/>
        <w:bidi w:val="0"/>
        <w:spacing w:line="360" w:lineRule="auto"/>
        <w:ind w:right="84" w:rightChars="4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本表的名称须与《报价明细表》一致。</w:t>
      </w:r>
    </w:p>
    <w:p w14:paraId="63C5AEB2">
      <w:pPr>
        <w:pStyle w:val="36"/>
        <w:keepNext w:val="0"/>
        <w:keepLines w:val="0"/>
        <w:pageBreakBefore w:val="0"/>
        <w:kinsoku/>
        <w:wordWrap/>
        <w:overflowPunct/>
        <w:topLinePunct w:val="0"/>
        <w:bidi w:val="0"/>
        <w:spacing w:line="360" w:lineRule="auto"/>
        <w:ind w:right="84" w:rightChars="4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本表参照本招标文件第</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rPr>
        <w:t>部分“</w:t>
      </w:r>
      <w:r>
        <w:rPr>
          <w:rFonts w:hint="eastAsia" w:ascii="宋体" w:hAnsi="宋体" w:cs="宋体"/>
          <w:color w:val="auto"/>
          <w:sz w:val="21"/>
          <w:szCs w:val="21"/>
          <w:highlight w:val="none"/>
          <w:lang w:val="en-US" w:eastAsia="zh-CN"/>
        </w:rPr>
        <w:t>公开</w:t>
      </w:r>
      <w:r>
        <w:rPr>
          <w:rFonts w:hint="eastAsia" w:ascii="宋体" w:hAnsi="宋体" w:eastAsia="宋体" w:cs="宋体"/>
          <w:color w:val="auto"/>
          <w:sz w:val="21"/>
          <w:szCs w:val="21"/>
          <w:highlight w:val="none"/>
        </w:rPr>
        <w:t>招标需求”内具体技术需求填制，投标人应根据投标设备的性能指标、服务指标，对照招标文件要求在“偏离情况”栏注明“正偏离”、“负偏离”或“无偏离”。</w:t>
      </w:r>
    </w:p>
    <w:p w14:paraId="19E6382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0D978A33">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2B683399">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0AAA014B">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0A8EBB1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47974FE2">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590EAD4">
      <w:pPr>
        <w:pStyle w:val="37"/>
        <w:keepNext w:val="0"/>
        <w:keepLines w:val="0"/>
        <w:pageBreakBefore w:val="0"/>
        <w:kinsoku/>
        <w:wordWrap/>
        <w:overflowPunct/>
        <w:topLinePunct w:val="0"/>
        <w:bidi w:val="0"/>
        <w:spacing w:line="360" w:lineRule="auto"/>
        <w:jc w:val="left"/>
        <w:outlineLvl w:val="9"/>
        <w:rPr>
          <w:rFonts w:hint="eastAsia" w:ascii="宋体" w:hAnsi="宋体" w:eastAsia="宋体" w:cs="宋体"/>
          <w:b/>
          <w:color w:val="auto"/>
          <w:sz w:val="28"/>
          <w:highlight w:val="none"/>
        </w:rPr>
      </w:pPr>
    </w:p>
    <w:p w14:paraId="2F624C64">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625B78A6">
      <w:pPr>
        <w:pStyle w:val="37"/>
        <w:keepNext w:val="0"/>
        <w:keepLines w:val="0"/>
        <w:pageBreakBefore w:val="0"/>
        <w:kinsoku/>
        <w:wordWrap/>
        <w:overflowPunct/>
        <w:topLinePunct w:val="0"/>
        <w:bidi w:val="0"/>
        <w:spacing w:line="360" w:lineRule="auto"/>
        <w:jc w:val="lef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10</w:t>
      </w:r>
    </w:p>
    <w:p w14:paraId="5A08CFE4">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67D7D3CF">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4"/>
          <w:highlight w:val="none"/>
        </w:rPr>
      </w:pPr>
    </w:p>
    <w:tbl>
      <w:tblPr>
        <w:tblStyle w:val="20"/>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12FB90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6B1AE906">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double" w:color="auto" w:sz="4" w:space="0"/>
            </w:tcBorders>
          </w:tcPr>
          <w:p w14:paraId="242A7C8D">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double" w:color="auto" w:sz="4" w:space="0"/>
            </w:tcBorders>
          </w:tcPr>
          <w:p w14:paraId="0DB9813A">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double" w:color="auto" w:sz="4" w:space="0"/>
              <w:right w:val="single" w:color="auto" w:sz="4" w:space="0"/>
            </w:tcBorders>
          </w:tcPr>
          <w:p w14:paraId="4479DEC4">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092BF3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F645871">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Pr>
          <w:p w14:paraId="17D3DC1D">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Pr>
          <w:p w14:paraId="23ECA2EC">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tcPr>
          <w:p w14:paraId="3677104D">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26557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7C65F59">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Pr>
          <w:p w14:paraId="41F84160">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Pr>
          <w:p w14:paraId="02A5AFAF">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tcPr>
          <w:p w14:paraId="1DB96307">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FB7EC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81C4AE0">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Pr>
          <w:p w14:paraId="2933A18F">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Pr>
          <w:p w14:paraId="1DA5CAA7">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tcPr>
          <w:p w14:paraId="15155F1E">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C84AB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B7FF11F">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Pr>
          <w:p w14:paraId="2FB083C0">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Pr>
          <w:p w14:paraId="5CA246C3">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tcPr>
          <w:p w14:paraId="2F0C2A25">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21D05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DC4BFF8">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Pr>
          <w:p w14:paraId="02F59788">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Pr>
          <w:p w14:paraId="78602E28">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tcPr>
          <w:p w14:paraId="37745966">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6499D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F18405D">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Pr>
          <w:p w14:paraId="2478DB44">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Pr>
          <w:p w14:paraId="68CC739F">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tcPr>
          <w:p w14:paraId="580ABF2C">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61FFC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4DF5CBBA">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double" w:color="auto" w:sz="4" w:space="0"/>
            </w:tcBorders>
          </w:tcPr>
          <w:p w14:paraId="3A28A9E6">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double" w:color="auto" w:sz="4" w:space="0"/>
            </w:tcBorders>
          </w:tcPr>
          <w:p w14:paraId="7D301979">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double" w:color="auto" w:sz="4" w:space="0"/>
              <w:right w:val="single" w:color="auto" w:sz="4" w:space="0"/>
            </w:tcBorders>
          </w:tcPr>
          <w:p w14:paraId="12DDBC7A">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12B35279">
      <w:pPr>
        <w:pStyle w:val="38"/>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color w:val="auto"/>
          <w:sz w:val="24"/>
          <w:highlight w:val="none"/>
        </w:rPr>
      </w:pPr>
    </w:p>
    <w:p w14:paraId="17F9A2E5">
      <w:pPr>
        <w:pStyle w:val="38"/>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0CB7685D">
      <w:pPr>
        <w:pStyle w:val="38"/>
        <w:keepNext w:val="0"/>
        <w:keepLines w:val="0"/>
        <w:pageBreakBefore w:val="0"/>
        <w:tabs>
          <w:tab w:val="left" w:pos="1050"/>
        </w:tabs>
        <w:kinsoku/>
        <w:wordWrap/>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填写投标人获得资质、认证或企业信誉证书；</w:t>
      </w:r>
    </w:p>
    <w:p w14:paraId="594535F4">
      <w:pPr>
        <w:pStyle w:val="38"/>
        <w:keepNext w:val="0"/>
        <w:keepLines w:val="0"/>
        <w:pageBreakBefore w:val="0"/>
        <w:tabs>
          <w:tab w:val="left" w:pos="1050"/>
        </w:tabs>
        <w:kinsoku/>
        <w:wordWrap/>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3245F6BE">
      <w:pPr>
        <w:pStyle w:val="38"/>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3D52BA7E">
      <w:pPr>
        <w:pStyle w:val="38"/>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659F2F90">
      <w:pPr>
        <w:pStyle w:val="38"/>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1CD32084">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3FCE4287">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033F472E">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74B018A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156A9FC5">
      <w:pPr>
        <w:pStyle w:val="34"/>
        <w:keepNext w:val="0"/>
        <w:keepLines w:val="0"/>
        <w:pageBreakBefore w:val="0"/>
        <w:shd w:val="clear" w:color="auto" w:fill="FFFFFF"/>
        <w:kinsoku/>
        <w:wordWrap/>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sz w:val="21"/>
          <w:szCs w:val="21"/>
          <w:highlight w:val="none"/>
        </w:rPr>
      </w:pPr>
      <w:r>
        <w:rPr>
          <w:rFonts w:hint="eastAsia" w:ascii="宋体" w:hAnsi="宋体" w:eastAsia="宋体" w:cs="宋体"/>
          <w:color w:val="auto"/>
          <w:sz w:val="21"/>
          <w:szCs w:val="21"/>
          <w:highlight w:val="none"/>
        </w:rPr>
        <w:t>日期：：</w:t>
      </w:r>
    </w:p>
    <w:p w14:paraId="5700603E">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p>
    <w:p w14:paraId="4AD4790D">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4733DEAF">
      <w:pPr>
        <w:pStyle w:val="6"/>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73F56D71">
      <w:pPr>
        <w:pStyle w:val="6"/>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1E424C82">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1</w:t>
      </w:r>
    </w:p>
    <w:p w14:paraId="2C83310F">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投标人类似项目实施情况一览表</w:t>
      </w:r>
    </w:p>
    <w:p w14:paraId="66F6FF3A">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p>
    <w:tbl>
      <w:tblPr>
        <w:tblStyle w:val="20"/>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22E3D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494B762A">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32968FED">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196AF13C">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7EA5A80F">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1F41AC0C">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61E3EBA6">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41B0C8CB">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5EF21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043319C8">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14:paraId="00B03DDC">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2C282D37">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790C9FD">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77CE6703">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09049348">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7EB8528">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43F84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408A6F18">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14:paraId="06EFD511">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48CD471F">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1ABC396">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5976C52B">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6409FA6">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9E69343">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5460C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664AC938">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14:paraId="0F985E68">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5CFAADC8">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5DCF0B3">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16A46BBF">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003282E3">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49AC5AEC">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2A471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4B7FC3A">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14:paraId="7F4A5A66">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0B939F43">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7A043CD">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635D0A10">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CD39100">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C7CAC6A">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1457C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30043DE6">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30214121">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FA63EA7">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599F906E">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57CA3427">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7CD438A6">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090507AF">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1E950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893DEF6">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27CD5B2E">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79543EBB">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6C4E62B">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7674BC25">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A87B00D">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27C072F2">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110FF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B877B33">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197EEE6C">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7F85F931">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761AE41E">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1F56C4B">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32A7518">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3EC655EE">
            <w:pPr>
              <w:pStyle w:val="37"/>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bl>
    <w:p w14:paraId="58496599">
      <w:pPr>
        <w:keepNext w:val="0"/>
        <w:keepLines w:val="0"/>
        <w:pageBreakBefore w:val="0"/>
        <w:kinsoku/>
        <w:wordWrap/>
        <w:overflowPunct/>
        <w:topLinePunct w:val="0"/>
        <w:autoSpaceDE w:val="0"/>
        <w:autoSpaceDN w:val="0"/>
        <w:bidi w:val="0"/>
        <w:adjustRightInd w:val="0"/>
        <w:spacing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963DC31">
      <w:pPr>
        <w:keepNext w:val="0"/>
        <w:keepLines w:val="0"/>
        <w:pageBreakBefore w:val="0"/>
        <w:kinsoku/>
        <w:wordWrap/>
        <w:overflowPunct/>
        <w:topLinePunct w:val="0"/>
        <w:autoSpaceDE w:val="0"/>
        <w:autoSpaceDN w:val="0"/>
        <w:bidi w:val="0"/>
        <w:adjustRightInd w:val="0"/>
        <w:spacing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业绩证明应提供证明材料（合同复印件可只提供首页、含金额页、盖章页并加盖投标人公章）；</w:t>
      </w:r>
    </w:p>
    <w:p w14:paraId="1786D085">
      <w:pPr>
        <w:keepNext w:val="0"/>
        <w:keepLines w:val="0"/>
        <w:pageBreakBefore w:val="0"/>
        <w:kinsoku/>
        <w:wordWrap/>
        <w:overflowPunct/>
        <w:topLinePunct w:val="0"/>
        <w:bidi w:val="0"/>
        <w:spacing w:line="360" w:lineRule="auto"/>
        <w:ind w:firstLine="424" w:firstLineChars="202"/>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报价供应商可按此表格式复制。</w:t>
      </w:r>
    </w:p>
    <w:p w14:paraId="4DED7C5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30EC752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3C267A0B">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E1676E3">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7579210F">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7EC9842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0B6CCCB2">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ED4231D">
      <w:pPr>
        <w:keepNext w:val="0"/>
        <w:keepLines w:val="0"/>
        <w:pageBreakBefore w:val="0"/>
        <w:kinsoku/>
        <w:wordWrap/>
        <w:overflowPunct/>
        <w:topLinePunct w:val="0"/>
        <w:bidi w:val="0"/>
        <w:spacing w:line="360" w:lineRule="auto"/>
        <w:jc w:val="center"/>
        <w:outlineLvl w:val="9"/>
        <w:rPr>
          <w:rFonts w:hint="eastAsia" w:ascii="宋体" w:hAnsi="宋体" w:eastAsia="宋体" w:cs="宋体"/>
          <w:snapToGrid w:val="0"/>
          <w:color w:val="auto"/>
          <w:kern w:val="0"/>
          <w:sz w:val="21"/>
          <w:szCs w:val="21"/>
          <w:highlight w:val="none"/>
        </w:rPr>
      </w:pPr>
    </w:p>
    <w:p w14:paraId="6538753C">
      <w:pPr>
        <w:pStyle w:val="38"/>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b/>
          <w:color w:val="auto"/>
          <w:sz w:val="28"/>
          <w:highlight w:val="none"/>
        </w:rPr>
      </w:pPr>
    </w:p>
    <w:p w14:paraId="3985F587">
      <w:pPr>
        <w:pStyle w:val="38"/>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b/>
          <w:color w:val="auto"/>
          <w:sz w:val="28"/>
          <w:highlight w:val="none"/>
        </w:rPr>
      </w:pPr>
    </w:p>
    <w:p w14:paraId="6782069E">
      <w:pPr>
        <w:pStyle w:val="38"/>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2</w:t>
      </w:r>
    </w:p>
    <w:p w14:paraId="5B148C95">
      <w:pPr>
        <w:pStyle w:val="38"/>
        <w:keepNext w:val="0"/>
        <w:keepLines w:val="0"/>
        <w:pageBreakBefore w:val="0"/>
        <w:tabs>
          <w:tab w:val="left" w:pos="1050"/>
        </w:tabs>
        <w:kinsoku/>
        <w:wordWrap/>
        <w:overflowPunct/>
        <w:topLinePunct w:val="0"/>
        <w:bidi w:val="0"/>
        <w:spacing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资信及商务需求响应表</w:t>
      </w:r>
    </w:p>
    <w:p w14:paraId="60DE1B33">
      <w:pPr>
        <w:keepNext w:val="0"/>
        <w:keepLines w:val="0"/>
        <w:pageBreakBefore w:val="0"/>
        <w:kinsoku/>
        <w:wordWrap/>
        <w:overflowPunct/>
        <w:topLinePunct w:val="0"/>
        <w:bidi w:val="0"/>
        <w:spacing w:line="360" w:lineRule="auto"/>
        <w:ind w:left="481" w:leftChars="229" w:firstLine="949" w:firstLineChars="450"/>
        <w:outlineLvl w:val="9"/>
        <w:rPr>
          <w:rFonts w:hint="eastAsia" w:ascii="宋体" w:hAnsi="宋体" w:eastAsia="宋体" w:cs="宋体"/>
          <w:b/>
          <w:color w:val="auto"/>
          <w:sz w:val="21"/>
          <w:szCs w:val="21"/>
          <w:highlight w:val="none"/>
        </w:rPr>
      </w:pPr>
    </w:p>
    <w:tbl>
      <w:tblPr>
        <w:tblStyle w:val="2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14:paraId="47AA1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50E07E70">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29" w:type="dxa"/>
            <w:vAlign w:val="center"/>
          </w:tcPr>
          <w:p w14:paraId="3C0B9A4C">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1541" w:type="dxa"/>
            <w:vAlign w:val="center"/>
          </w:tcPr>
          <w:p w14:paraId="204050B2">
            <w:pPr>
              <w:keepNext w:val="0"/>
              <w:keepLines w:val="0"/>
              <w:pageBreakBefore w:val="0"/>
              <w:kinsoku/>
              <w:wordWrap/>
              <w:overflowPunct/>
              <w:topLinePunct w:val="0"/>
              <w:bidi w:val="0"/>
              <w:spacing w:line="360" w:lineRule="auto"/>
              <w:ind w:left="53" w:leftChars="25" w:firstLine="211" w:firstLineChars="1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招标需求</w:t>
            </w:r>
          </w:p>
        </w:tc>
        <w:tc>
          <w:tcPr>
            <w:tcW w:w="1365" w:type="dxa"/>
            <w:vAlign w:val="center"/>
          </w:tcPr>
          <w:p w14:paraId="4FF12566">
            <w:pPr>
              <w:keepNext w:val="0"/>
              <w:keepLines w:val="0"/>
              <w:pageBreakBefore w:val="0"/>
              <w:kinsoku/>
              <w:wordWrap/>
              <w:overflowPunct/>
              <w:topLinePunct w:val="0"/>
              <w:bidi w:val="0"/>
              <w:spacing w:line="360" w:lineRule="auto"/>
              <w:ind w:left="152"/>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是否响应</w:t>
            </w:r>
          </w:p>
        </w:tc>
        <w:tc>
          <w:tcPr>
            <w:tcW w:w="2625" w:type="dxa"/>
            <w:vAlign w:val="center"/>
          </w:tcPr>
          <w:p w14:paraId="50EEC123">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投标人的承诺或说明</w:t>
            </w:r>
          </w:p>
        </w:tc>
      </w:tr>
      <w:tr w14:paraId="6396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1F623F05">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29" w:type="dxa"/>
            <w:vAlign w:val="center"/>
          </w:tcPr>
          <w:p w14:paraId="7F9B03DF">
            <w:pPr>
              <w:autoSpaceDE w:val="0"/>
              <w:autoSpaceDN w:val="0"/>
              <w:adjustRightIn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zh-CN"/>
              </w:rPr>
              <w:t>质保期</w:t>
            </w:r>
          </w:p>
        </w:tc>
        <w:tc>
          <w:tcPr>
            <w:tcW w:w="1541" w:type="dxa"/>
            <w:vAlign w:val="center"/>
          </w:tcPr>
          <w:p w14:paraId="3CC52F5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78B0093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625" w:type="dxa"/>
            <w:vAlign w:val="center"/>
          </w:tcPr>
          <w:p w14:paraId="0119967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2072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26E204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29" w:type="dxa"/>
            <w:vAlign w:val="center"/>
          </w:tcPr>
          <w:p w14:paraId="6F980815">
            <w:pPr>
              <w:autoSpaceDE w:val="0"/>
              <w:autoSpaceDN w:val="0"/>
              <w:adjustRightIn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zh-CN"/>
              </w:rPr>
              <w:t>供货期</w:t>
            </w:r>
          </w:p>
        </w:tc>
        <w:tc>
          <w:tcPr>
            <w:tcW w:w="1541" w:type="dxa"/>
            <w:vAlign w:val="center"/>
          </w:tcPr>
          <w:p w14:paraId="53C391A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69910299">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625" w:type="dxa"/>
            <w:vAlign w:val="center"/>
          </w:tcPr>
          <w:p w14:paraId="1E3AB7D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024A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1714B3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29" w:type="dxa"/>
            <w:vAlign w:val="center"/>
          </w:tcPr>
          <w:p w14:paraId="52629241">
            <w:pPr>
              <w:autoSpaceDE w:val="0"/>
              <w:autoSpaceDN w:val="0"/>
              <w:adjustRightIn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zh-CN"/>
              </w:rPr>
              <w:t>付款方式</w:t>
            </w:r>
          </w:p>
        </w:tc>
        <w:tc>
          <w:tcPr>
            <w:tcW w:w="1541" w:type="dxa"/>
            <w:vAlign w:val="center"/>
          </w:tcPr>
          <w:p w14:paraId="692BFEF9">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5A2A965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625" w:type="dxa"/>
            <w:vAlign w:val="center"/>
          </w:tcPr>
          <w:p w14:paraId="2D22C7A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6400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AEA025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29" w:type="dxa"/>
            <w:vAlign w:val="center"/>
          </w:tcPr>
          <w:p w14:paraId="472F3C10">
            <w:pPr>
              <w:pStyle w:val="1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w:t>
            </w:r>
          </w:p>
        </w:tc>
        <w:tc>
          <w:tcPr>
            <w:tcW w:w="1541" w:type="dxa"/>
            <w:vAlign w:val="center"/>
          </w:tcPr>
          <w:p w14:paraId="51E8CA6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1037340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625" w:type="dxa"/>
            <w:vAlign w:val="center"/>
          </w:tcPr>
          <w:p w14:paraId="0DAF139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716A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06FE4CE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29" w:type="dxa"/>
            <w:vAlign w:val="top"/>
          </w:tcPr>
          <w:p w14:paraId="1C3E7BC6">
            <w:pPr>
              <w:snapToGrid w:val="0"/>
              <w:rPr>
                <w:rFonts w:hint="eastAsia" w:ascii="宋体" w:hAnsi="宋体" w:eastAsia="宋体" w:cs="宋体"/>
                <w:color w:val="auto"/>
                <w:sz w:val="21"/>
                <w:szCs w:val="21"/>
                <w:highlight w:val="none"/>
              </w:rPr>
            </w:pPr>
          </w:p>
        </w:tc>
        <w:tc>
          <w:tcPr>
            <w:tcW w:w="1541" w:type="dxa"/>
            <w:vAlign w:val="center"/>
          </w:tcPr>
          <w:p w14:paraId="5849261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72D406F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625" w:type="dxa"/>
            <w:vAlign w:val="center"/>
          </w:tcPr>
          <w:p w14:paraId="238B26F8">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5EBED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1238D40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29" w:type="dxa"/>
          </w:tcPr>
          <w:p w14:paraId="3530911E">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p>
        </w:tc>
        <w:tc>
          <w:tcPr>
            <w:tcW w:w="1541" w:type="dxa"/>
            <w:vAlign w:val="center"/>
          </w:tcPr>
          <w:p w14:paraId="3AB3301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5CA29E2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625" w:type="dxa"/>
            <w:vAlign w:val="center"/>
          </w:tcPr>
          <w:p w14:paraId="2F35BC8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bl>
    <w:p w14:paraId="79FFD5C5">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5997F36E">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7BC15025">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3CAA70F8">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005016A">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DA6FB62">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p>
    <w:p w14:paraId="13D6759F">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auto"/>
          <w:sz w:val="28"/>
          <w:highlight w:val="none"/>
        </w:rPr>
      </w:pPr>
    </w:p>
    <w:p w14:paraId="225F8307">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auto"/>
          <w:sz w:val="28"/>
          <w:highlight w:val="none"/>
        </w:rPr>
      </w:pPr>
    </w:p>
    <w:p w14:paraId="7A4D5E5E">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auto"/>
          <w:sz w:val="28"/>
          <w:highlight w:val="none"/>
        </w:rPr>
      </w:pPr>
    </w:p>
    <w:p w14:paraId="7A3E5B7B">
      <w:pPr>
        <w:pStyle w:val="6"/>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059BEED4">
      <w:pPr>
        <w:pStyle w:val="6"/>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2781A6B8">
      <w:pPr>
        <w:keepNext w:val="0"/>
        <w:keepLines w:val="0"/>
        <w:pageBreakBefore w:val="0"/>
        <w:tabs>
          <w:tab w:val="left" w:pos="2460"/>
        </w:tabs>
        <w:kinsoku/>
        <w:wordWrap/>
        <w:overflowPunct/>
        <w:topLinePunct w:val="0"/>
        <w:bidi w:val="0"/>
        <w:spacing w:line="360" w:lineRule="auto"/>
        <w:outlineLvl w:val="9"/>
        <w:rPr>
          <w:rFonts w:hint="eastAsia" w:ascii="宋体" w:hAnsi="宋体" w:eastAsia="宋体" w:cs="宋体"/>
          <w:b/>
          <w:color w:val="auto"/>
          <w:sz w:val="28"/>
          <w:highlight w:val="none"/>
        </w:rPr>
      </w:pPr>
    </w:p>
    <w:p w14:paraId="6EA18571">
      <w:pPr>
        <w:pStyle w:val="46"/>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0A7F7FBF">
      <w:pPr>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389E9F10">
      <w:pPr>
        <w:keepNext w:val="0"/>
        <w:keepLines w:val="0"/>
        <w:pageBreakBefore w:val="0"/>
        <w:tabs>
          <w:tab w:val="left" w:pos="2460"/>
        </w:tabs>
        <w:kinsoku/>
        <w:wordWrap/>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3</w:t>
      </w:r>
      <w:r>
        <w:rPr>
          <w:rFonts w:hint="eastAsia" w:ascii="宋体" w:hAnsi="宋体" w:eastAsia="宋体" w:cs="宋体"/>
          <w:b/>
          <w:color w:val="auto"/>
          <w:sz w:val="28"/>
          <w:highlight w:val="none"/>
        </w:rPr>
        <w:tab/>
      </w:r>
    </w:p>
    <w:p w14:paraId="7B8A553C">
      <w:pPr>
        <w:keepNext w:val="0"/>
        <w:keepLines w:val="0"/>
        <w:pageBreakBefore w:val="0"/>
        <w:kinsoku/>
        <w:wordWrap/>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7D3C850F">
      <w:pPr>
        <w:keepNext w:val="0"/>
        <w:keepLines w:val="0"/>
        <w:pageBreakBefore w:val="0"/>
        <w:kinsoku/>
        <w:wordWrap/>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0"/>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472BAA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532013F3">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tcBorders>
              <w:top w:val="single" w:color="auto" w:sz="4" w:space="0"/>
            </w:tcBorders>
            <w:vAlign w:val="center"/>
          </w:tcPr>
          <w:p w14:paraId="569F5B5D">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tcBorders>
              <w:top w:val="single" w:color="auto" w:sz="4" w:space="0"/>
            </w:tcBorders>
            <w:vAlign w:val="center"/>
          </w:tcPr>
          <w:p w14:paraId="1C75E313">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投标人情况</w:t>
            </w:r>
          </w:p>
        </w:tc>
        <w:tc>
          <w:tcPr>
            <w:tcW w:w="1373" w:type="dxa"/>
            <w:tcBorders>
              <w:top w:val="single" w:color="auto" w:sz="4" w:space="0"/>
            </w:tcBorders>
            <w:vAlign w:val="center"/>
          </w:tcPr>
          <w:p w14:paraId="594EB543">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526E1A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14:paraId="4ED201B2">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vAlign w:val="center"/>
          </w:tcPr>
          <w:p w14:paraId="452B1C82">
            <w:pPr>
              <w:pStyle w:val="39"/>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质保期内售后服务情况(服务方式、服务网点、售后服务的内容和措施等等，可用附页和宣传材料)</w:t>
            </w:r>
          </w:p>
        </w:tc>
        <w:tc>
          <w:tcPr>
            <w:tcW w:w="4061" w:type="dxa"/>
          </w:tcPr>
          <w:p w14:paraId="20988403">
            <w:pPr>
              <w:pStyle w:val="39"/>
              <w:keepNext w:val="0"/>
              <w:keepLines w:val="0"/>
              <w:pageBreakBefore w:val="0"/>
              <w:kinsoku/>
              <w:wordWrap/>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tcPr>
          <w:p w14:paraId="1EB32C41">
            <w:pPr>
              <w:pStyle w:val="39"/>
              <w:keepNext w:val="0"/>
              <w:keepLines w:val="0"/>
              <w:pageBreakBefore w:val="0"/>
              <w:kinsoku/>
              <w:wordWrap/>
              <w:overflowPunct/>
              <w:topLinePunct w:val="0"/>
              <w:bidi w:val="0"/>
              <w:spacing w:line="360" w:lineRule="auto"/>
              <w:outlineLvl w:val="9"/>
              <w:rPr>
                <w:rFonts w:hint="eastAsia" w:ascii="宋体" w:hAnsi="宋体" w:eastAsia="宋体" w:cs="宋体"/>
                <w:bCs/>
                <w:color w:val="auto"/>
                <w:sz w:val="21"/>
                <w:szCs w:val="21"/>
                <w:highlight w:val="none"/>
              </w:rPr>
            </w:pPr>
          </w:p>
        </w:tc>
      </w:tr>
      <w:tr w14:paraId="14AEB1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3F0E123B">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vAlign w:val="center"/>
          </w:tcPr>
          <w:p w14:paraId="302EAF1E">
            <w:pPr>
              <w:pStyle w:val="39"/>
              <w:keepNext w:val="0"/>
              <w:keepLines w:val="0"/>
              <w:pageBreakBefore w:val="0"/>
              <w:kinsoku/>
              <w:wordWrap/>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质保期</w:t>
            </w:r>
            <w:r>
              <w:rPr>
                <w:rFonts w:hint="eastAsia" w:ascii="宋体" w:hAnsi="宋体" w:eastAsia="宋体" w:cs="宋体"/>
                <w:bCs/>
                <w:color w:val="auto"/>
                <w:sz w:val="21"/>
                <w:szCs w:val="21"/>
                <w:highlight w:val="none"/>
              </w:rPr>
              <w:t>后售后服务</w:t>
            </w:r>
          </w:p>
        </w:tc>
        <w:tc>
          <w:tcPr>
            <w:tcW w:w="4061" w:type="dxa"/>
          </w:tcPr>
          <w:p w14:paraId="30528A94">
            <w:pPr>
              <w:pStyle w:val="39"/>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751DF825">
            <w:pPr>
              <w:pStyle w:val="39"/>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921F962">
            <w:pPr>
              <w:pStyle w:val="39"/>
              <w:keepNext w:val="0"/>
              <w:keepLines w:val="0"/>
              <w:pageBreakBefore w:val="0"/>
              <w:kinsoku/>
              <w:wordWrap/>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tcPr>
          <w:p w14:paraId="3B9F42EB">
            <w:pPr>
              <w:pStyle w:val="39"/>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902A6BF">
            <w:pPr>
              <w:pStyle w:val="39"/>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23187D6E">
            <w:pPr>
              <w:pStyle w:val="39"/>
              <w:keepNext w:val="0"/>
              <w:keepLines w:val="0"/>
              <w:pageBreakBefore w:val="0"/>
              <w:kinsoku/>
              <w:wordWrap/>
              <w:overflowPunct/>
              <w:topLinePunct w:val="0"/>
              <w:bidi w:val="0"/>
              <w:spacing w:line="360" w:lineRule="auto"/>
              <w:outlineLvl w:val="9"/>
              <w:rPr>
                <w:rFonts w:hint="eastAsia" w:ascii="宋体" w:hAnsi="宋体" w:eastAsia="宋体" w:cs="宋体"/>
                <w:bCs/>
                <w:color w:val="auto"/>
                <w:sz w:val="21"/>
                <w:szCs w:val="21"/>
                <w:highlight w:val="none"/>
              </w:rPr>
            </w:pPr>
          </w:p>
        </w:tc>
      </w:tr>
      <w:tr w14:paraId="16D88C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456A0995">
            <w:pPr>
              <w:pStyle w:val="39"/>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3</w:t>
            </w:r>
          </w:p>
        </w:tc>
        <w:tc>
          <w:tcPr>
            <w:tcW w:w="2355" w:type="dxa"/>
            <w:vAlign w:val="center"/>
          </w:tcPr>
          <w:p w14:paraId="429FFC29">
            <w:pPr>
              <w:pStyle w:val="39"/>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tcPr>
          <w:p w14:paraId="68911973">
            <w:pPr>
              <w:pStyle w:val="39"/>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1DB6044B">
            <w:pPr>
              <w:pStyle w:val="39"/>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tcPr>
          <w:p w14:paraId="395E65C5">
            <w:pPr>
              <w:pStyle w:val="39"/>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2381BEC5">
            <w:pPr>
              <w:pStyle w:val="39"/>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15FF0023">
            <w:pPr>
              <w:pStyle w:val="39"/>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4CFC22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4DD80302">
            <w:pPr>
              <w:pStyle w:val="39"/>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tcBorders>
              <w:bottom w:val="single" w:color="auto" w:sz="4" w:space="0"/>
            </w:tcBorders>
            <w:vAlign w:val="center"/>
          </w:tcPr>
          <w:p w14:paraId="1909564F">
            <w:pPr>
              <w:pStyle w:val="39"/>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tcBorders>
              <w:bottom w:val="single" w:color="auto" w:sz="4" w:space="0"/>
            </w:tcBorders>
          </w:tcPr>
          <w:p w14:paraId="6D7F09C5">
            <w:pPr>
              <w:pStyle w:val="39"/>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tcBorders>
              <w:bottom w:val="single" w:color="auto" w:sz="4" w:space="0"/>
            </w:tcBorders>
          </w:tcPr>
          <w:p w14:paraId="75002DE1">
            <w:pPr>
              <w:pStyle w:val="39"/>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6247F2D0">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710BA03A">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7951C468">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6F55201D">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47E5216F">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4B3F30CB">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3FDBDDED">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5C6F4B6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69AEDAF3">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4"/>
          <w:highlight w:val="none"/>
          <w:u w:val="single"/>
        </w:rPr>
      </w:pPr>
      <w:r>
        <w:rPr>
          <w:rFonts w:hint="eastAsia" w:ascii="宋体" w:hAnsi="宋体" w:eastAsia="宋体" w:cs="宋体"/>
          <w:color w:val="auto"/>
          <w:sz w:val="21"/>
          <w:szCs w:val="21"/>
          <w:highlight w:val="none"/>
        </w:rPr>
        <w:t>日期：</w:t>
      </w:r>
    </w:p>
    <w:p w14:paraId="29ED8C0F">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4"/>
          <w:highlight w:val="none"/>
          <w:u w:val="single"/>
        </w:rPr>
      </w:pPr>
    </w:p>
    <w:p w14:paraId="444F00DA">
      <w:pPr>
        <w:pStyle w:val="40"/>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652EF3CA">
      <w:pPr>
        <w:keepNext w:val="0"/>
        <w:keepLines w:val="0"/>
        <w:pageBreakBefore w:val="0"/>
        <w:kinsoku/>
        <w:wordWrap/>
        <w:overflowPunct/>
        <w:topLinePunct w:val="0"/>
        <w:bidi w:val="0"/>
        <w:spacing w:line="360" w:lineRule="auto"/>
        <w:ind w:right="-110"/>
        <w:jc w:val="left"/>
        <w:outlineLvl w:val="9"/>
        <w:rPr>
          <w:rFonts w:hint="eastAsia" w:ascii="宋体" w:hAnsi="宋体" w:eastAsia="宋体" w:cs="宋体"/>
          <w:b/>
          <w:color w:val="auto"/>
          <w:sz w:val="28"/>
          <w:highlight w:val="none"/>
        </w:rPr>
      </w:pPr>
    </w:p>
    <w:p w14:paraId="54C5EEAC">
      <w:pPr>
        <w:keepNext w:val="0"/>
        <w:keepLines w:val="0"/>
        <w:pageBreakBefore w:val="0"/>
        <w:kinsoku/>
        <w:wordWrap/>
        <w:overflowPunct/>
        <w:topLinePunct w:val="0"/>
        <w:bidi w:val="0"/>
        <w:spacing w:line="360" w:lineRule="auto"/>
        <w:ind w:right="-110"/>
        <w:jc w:val="left"/>
        <w:outlineLvl w:val="9"/>
        <w:rPr>
          <w:rFonts w:hint="eastAsia" w:ascii="宋体" w:hAnsi="宋体" w:eastAsia="宋体" w:cs="宋体"/>
          <w:color w:val="auto"/>
          <w:spacing w:val="40"/>
          <w:sz w:val="52"/>
          <w:szCs w:val="52"/>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4</w:t>
      </w:r>
    </w:p>
    <w:p w14:paraId="680ECB05">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16781CB6">
      <w:pPr>
        <w:keepNext w:val="0"/>
        <w:keepLines w:val="0"/>
        <w:pageBreakBefore w:val="0"/>
        <w:kinsoku/>
        <w:wordWrap/>
        <w:overflowPunct/>
        <w:topLinePunct w:val="0"/>
        <w:bidi w:val="0"/>
        <w:spacing w:beforeLines="100" w:line="360" w:lineRule="auto"/>
        <w:ind w:right="-108"/>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39712183">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p>
    <w:p w14:paraId="7FB650A8">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642439C1">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79955D9A">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16FF3D76">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46A63970">
      <w:pPr>
        <w:keepNext w:val="0"/>
        <w:keepLines w:val="0"/>
        <w:pageBreakBefore w:val="0"/>
        <w:kinsoku/>
        <w:wordWrap/>
        <w:overflowPunct/>
        <w:topLinePunct w:val="0"/>
        <w:bidi w:val="0"/>
        <w:spacing w:line="360" w:lineRule="auto"/>
        <w:ind w:right="532"/>
        <w:jc w:val="center"/>
        <w:outlineLvl w:val="9"/>
        <w:rPr>
          <w:rFonts w:hint="eastAsia" w:ascii="宋体" w:hAnsi="宋体" w:eastAsia="宋体" w:cs="宋体"/>
          <w:color w:val="auto"/>
          <w:sz w:val="36"/>
          <w:szCs w:val="36"/>
          <w:highlight w:val="none"/>
        </w:rPr>
      </w:pPr>
    </w:p>
    <w:p w14:paraId="66C2AB5C">
      <w:pPr>
        <w:keepNext w:val="0"/>
        <w:keepLines w:val="0"/>
        <w:pageBreakBefore w:val="0"/>
        <w:kinsoku/>
        <w:wordWrap/>
        <w:overflowPunct/>
        <w:topLinePunct w:val="0"/>
        <w:bidi w:val="0"/>
        <w:spacing w:line="360" w:lineRule="auto"/>
        <w:ind w:right="532"/>
        <w:outlineLvl w:val="9"/>
        <w:rPr>
          <w:rFonts w:hint="eastAsia" w:ascii="宋体" w:hAnsi="宋体" w:eastAsia="宋体" w:cs="宋体"/>
          <w:color w:val="auto"/>
          <w:sz w:val="36"/>
          <w:szCs w:val="36"/>
          <w:highlight w:val="none"/>
        </w:rPr>
      </w:pPr>
    </w:p>
    <w:p w14:paraId="7A2F2CFE">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29D5B5D5">
      <w:pPr>
        <w:keepNext w:val="0"/>
        <w:keepLines w:val="0"/>
        <w:pageBreakBefore w:val="0"/>
        <w:kinsoku/>
        <w:wordWrap/>
        <w:overflowPunct/>
        <w:topLinePunct w:val="0"/>
        <w:bidi w:val="0"/>
        <w:spacing w:line="360" w:lineRule="auto"/>
        <w:ind w:right="-108"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7D6AAB7B">
      <w:pPr>
        <w:keepNext w:val="0"/>
        <w:keepLines w:val="0"/>
        <w:pageBreakBefore w:val="0"/>
        <w:kinsoku/>
        <w:wordWrap/>
        <w:overflowPunct/>
        <w:topLinePunct w:val="0"/>
        <w:bidi w:val="0"/>
        <w:spacing w:line="360" w:lineRule="auto"/>
        <w:ind w:right="-108"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697A288D">
      <w:pPr>
        <w:keepNext w:val="0"/>
        <w:keepLines w:val="0"/>
        <w:pageBreakBefore w:val="0"/>
        <w:kinsoku/>
        <w:wordWrap/>
        <w:overflowPunct/>
        <w:topLinePunct w:val="0"/>
        <w:bidi w:val="0"/>
        <w:spacing w:line="360" w:lineRule="auto"/>
        <w:ind w:right="-108"/>
        <w:jc w:val="center"/>
        <w:outlineLvl w:val="9"/>
        <w:rPr>
          <w:rFonts w:hint="eastAsia" w:ascii="宋体" w:hAnsi="宋体" w:eastAsia="宋体" w:cs="宋体"/>
          <w:b/>
          <w:color w:val="auto"/>
          <w:sz w:val="36"/>
          <w:szCs w:val="32"/>
          <w:highlight w:val="none"/>
        </w:rPr>
      </w:pPr>
    </w:p>
    <w:p w14:paraId="6D9AC95F">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2A2EBBC2">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4"/>
          <w:highlight w:val="none"/>
        </w:rPr>
      </w:pPr>
    </w:p>
    <w:p w14:paraId="26FCF9BC">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1、开标一览表（附件1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p>
    <w:p w14:paraId="6918656F">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报价明细表</w:t>
      </w:r>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p>
    <w:p w14:paraId="760A7E0D">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针对报价投标人认为其他需要说明的；</w:t>
      </w:r>
    </w:p>
    <w:p w14:paraId="02360F85">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1"/>
          <w:szCs w:val="21"/>
          <w:highlight w:val="none"/>
        </w:rPr>
      </w:pPr>
    </w:p>
    <w:p w14:paraId="140F3A00">
      <w:pPr>
        <w:pStyle w:val="25"/>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0E7BE0DA">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2EA97089">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650201E1">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771D0212">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35DD4F14">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0C94FC27">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6378D911">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11D6B8D9">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487A13DC">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34381EAC">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4564B638">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51A6427D">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145EB1B1">
      <w:pPr>
        <w:pStyle w:val="6"/>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7D3E347D">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5A744007">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2A9D4BA5">
      <w:pPr>
        <w:pStyle w:val="6"/>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0011BE75">
      <w:pPr>
        <w:pStyle w:val="6"/>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5BF30644">
      <w:pPr>
        <w:pStyle w:val="6"/>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7612A296">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5</w:t>
      </w:r>
    </w:p>
    <w:p w14:paraId="0AB35DC8">
      <w:pPr>
        <w:keepNext w:val="0"/>
        <w:keepLines w:val="0"/>
        <w:pageBreakBefore w:val="0"/>
        <w:kinsoku/>
        <w:wordWrap/>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14:paraId="7DD164F8">
      <w:pPr>
        <w:keepNext w:val="0"/>
        <w:keepLines w:val="0"/>
        <w:pageBreakBefore w:val="0"/>
        <w:kinsoku/>
        <w:wordWrap/>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p>
    <w:p w14:paraId="1D41B043">
      <w:pPr>
        <w:pStyle w:val="1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35FF53CB">
      <w:pPr>
        <w:pStyle w:val="43"/>
        <w:keepNext w:val="0"/>
        <w:keepLines w:val="0"/>
        <w:pageBreakBefore w:val="0"/>
        <w:kinsoku/>
        <w:wordWrap/>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p>
    <w:tbl>
      <w:tblPr>
        <w:tblStyle w:val="20"/>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007EFD4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14:paraId="0EF94E15">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629DA564">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tcBorders>
            <w:vAlign w:val="center"/>
          </w:tcPr>
          <w:p w14:paraId="5BAB8A95">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 w:val="21"/>
                <w:szCs w:val="21"/>
                <w:highlight w:val="none"/>
              </w:rPr>
            </w:pPr>
          </w:p>
        </w:tc>
      </w:tr>
      <w:tr w14:paraId="6DD9CDF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14:paraId="2273D06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6F61DB6C">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tcBorders>
            <w:vAlign w:val="center"/>
          </w:tcPr>
          <w:p w14:paraId="58C545BB">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 w:val="21"/>
                <w:szCs w:val="21"/>
                <w:highlight w:val="none"/>
              </w:rPr>
            </w:pPr>
          </w:p>
        </w:tc>
      </w:tr>
    </w:tbl>
    <w:p w14:paraId="7EC1187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r>
        <w:rPr>
          <w:rFonts w:hint="eastAsia" w:ascii="宋体" w:hAnsi="宋体" w:eastAsia="宋体" w:cs="宋体"/>
          <w:b/>
          <w:color w:val="auto"/>
          <w:szCs w:val="21"/>
          <w:highlight w:val="none"/>
        </w:rPr>
        <w:t>填报要求：</w:t>
      </w:r>
    </w:p>
    <w:p w14:paraId="3AFD6986">
      <w:pPr>
        <w:pStyle w:val="4"/>
        <w:keepNext w:val="0"/>
        <w:keepLines w:val="0"/>
        <w:pageBreakBefore w:val="0"/>
        <w:kinsoku/>
        <w:wordWrap/>
        <w:overflowPunct/>
        <w:topLinePunct w:val="0"/>
        <w:bidi w:val="0"/>
        <w:spacing w:line="360" w:lineRule="auto"/>
        <w:ind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Theme="minorEastAsia" w:hAnsiTheme="minorEastAsia" w:eastAsiaTheme="minorEastAsia" w:cstheme="minorEastAsia"/>
          <w:color w:val="auto"/>
          <w:sz w:val="21"/>
          <w:szCs w:val="21"/>
          <w:highlight w:val="none"/>
        </w:rPr>
        <w:t>投标总报价</w:t>
      </w:r>
      <w:r>
        <w:rPr>
          <w:rFonts w:hint="eastAsia" w:asciiTheme="minorEastAsia" w:hAnsiTheme="minorEastAsia" w:eastAsiaTheme="minorEastAsia" w:cstheme="minorEastAsia"/>
          <w:color w:val="auto"/>
          <w:sz w:val="21"/>
          <w:szCs w:val="21"/>
          <w:highlight w:val="none"/>
          <w:u w:val="none"/>
        </w:rPr>
        <w:t>包含货物到达</w:t>
      </w:r>
      <w:r>
        <w:rPr>
          <w:rFonts w:hint="eastAsia" w:asciiTheme="minorEastAsia" w:hAnsiTheme="minorEastAsia" w:eastAsiaTheme="minorEastAsia" w:cstheme="minorEastAsia"/>
          <w:color w:val="auto"/>
          <w:sz w:val="21"/>
          <w:szCs w:val="21"/>
          <w:highlight w:val="none"/>
          <w:u w:val="none"/>
          <w:lang w:val="en-US" w:eastAsia="zh-CN"/>
        </w:rPr>
        <w:t>采购人</w:t>
      </w:r>
      <w:r>
        <w:rPr>
          <w:rFonts w:hint="eastAsia" w:asciiTheme="minorEastAsia" w:hAnsiTheme="minorEastAsia" w:eastAsiaTheme="minorEastAsia" w:cstheme="minorEastAsia"/>
          <w:color w:val="auto"/>
          <w:sz w:val="21"/>
          <w:szCs w:val="21"/>
          <w:highlight w:val="none"/>
          <w:u w:val="none"/>
        </w:rPr>
        <w:t>所需的一切费用，包括但不限于包装费、运输费、装卸费、保险费、安装调试费、技术服务费、</w:t>
      </w:r>
      <w:r>
        <w:rPr>
          <w:rFonts w:hint="eastAsia" w:asciiTheme="minorEastAsia" w:hAnsiTheme="minorEastAsia" w:eastAsiaTheme="minorEastAsia" w:cstheme="minorEastAsia"/>
          <w:color w:val="auto"/>
          <w:sz w:val="21"/>
          <w:szCs w:val="21"/>
          <w:highlight w:val="none"/>
          <w:u w:val="none"/>
          <w:lang w:val="en-US" w:eastAsia="zh-CN"/>
        </w:rPr>
        <w:t>验收费、</w:t>
      </w:r>
      <w:r>
        <w:rPr>
          <w:rFonts w:hint="eastAsia" w:asciiTheme="minorEastAsia" w:hAnsiTheme="minorEastAsia" w:eastAsiaTheme="minorEastAsia" w:cstheme="minorEastAsia"/>
          <w:color w:val="auto"/>
          <w:sz w:val="21"/>
          <w:szCs w:val="21"/>
          <w:highlight w:val="none"/>
          <w:u w:val="none"/>
        </w:rPr>
        <w:t>培训费以及保修费、税费等。</w:t>
      </w:r>
    </w:p>
    <w:p w14:paraId="5B5831D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i/>
          <w:color w:val="auto"/>
          <w:szCs w:val="21"/>
          <w:highlight w:val="none"/>
          <w:u w:val="singl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报价一经涂改，应在涂改处加盖单位公章，或者由法定代表人或全权代表</w:t>
      </w:r>
      <w:r>
        <w:rPr>
          <w:rFonts w:hint="eastAsia" w:ascii="宋体" w:hAnsi="宋体" w:eastAsia="宋体" w:cs="宋体"/>
          <w:color w:val="auto"/>
          <w:kern w:val="0"/>
          <w:szCs w:val="21"/>
          <w:highlight w:val="none"/>
          <w:lang w:eastAsia="zh-CN"/>
        </w:rPr>
        <w:t>签字</w:t>
      </w:r>
      <w:r>
        <w:rPr>
          <w:rFonts w:hint="eastAsia" w:ascii="宋体" w:hAnsi="宋体" w:eastAsia="宋体" w:cs="宋体"/>
          <w:color w:val="auto"/>
          <w:kern w:val="0"/>
          <w:szCs w:val="21"/>
          <w:highlight w:val="none"/>
        </w:rPr>
        <w:t>或盖章，否则其投标作无效标处理。</w:t>
      </w:r>
    </w:p>
    <w:p w14:paraId="28F8BA6A">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6F54C8EA">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903DDFE">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1CFF1531">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w:t>
      </w:r>
    </w:p>
    <w:p w14:paraId="126E5B2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035E49E3">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79E90D22">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37D23417">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4F0EA165">
      <w:pPr>
        <w:pStyle w:val="6"/>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17F77D94">
      <w:pPr>
        <w:pStyle w:val="46"/>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4153E3B6">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4BFE63F8">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lang w:val="en-US" w:eastAsia="zh-CN"/>
        </w:rPr>
      </w:pPr>
      <w:bookmarkStart w:id="0" w:name="_GoBack"/>
      <w:bookmarkEnd w:id="0"/>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6</w:t>
      </w:r>
    </w:p>
    <w:p w14:paraId="7FB472D2">
      <w:pPr>
        <w:keepNext w:val="0"/>
        <w:keepLines w:val="0"/>
        <w:pageBreakBefore w:val="0"/>
        <w:kinsoku/>
        <w:wordWrap/>
        <w:overflowPunct/>
        <w:topLinePunct w:val="0"/>
        <w:bidi w:val="0"/>
        <w:spacing w:line="360" w:lineRule="auto"/>
        <w:ind w:left="480"/>
        <w:jc w:val="center"/>
        <w:outlineLvl w:val="9"/>
        <w:rPr>
          <w:rFonts w:hint="eastAsia" w:ascii="宋体" w:hAnsi="宋体" w:eastAsia="宋体" w:cs="宋体"/>
          <w:color w:val="auto"/>
          <w:highlight w:val="none"/>
          <w:lang w:eastAsia="zh-CN"/>
        </w:rPr>
      </w:pPr>
      <w:r>
        <w:rPr>
          <w:rFonts w:hint="eastAsia" w:ascii="宋体" w:hAnsi="宋体" w:eastAsia="宋体" w:cs="宋体"/>
          <w:b/>
          <w:color w:val="auto"/>
          <w:sz w:val="32"/>
          <w:szCs w:val="32"/>
          <w:highlight w:val="none"/>
        </w:rPr>
        <w:t>报价明细表</w:t>
      </w:r>
    </w:p>
    <w:p w14:paraId="2A475D5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p w14:paraId="39F4F599">
      <w:pPr>
        <w:pStyle w:val="1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2FF4DBE3">
      <w:pPr>
        <w:pStyle w:val="43"/>
        <w:keepNext w:val="0"/>
        <w:keepLines w:val="0"/>
        <w:pageBreakBefore w:val="0"/>
        <w:kinsoku/>
        <w:wordWrap/>
        <w:overflowPunct/>
        <w:topLinePunct w:val="0"/>
        <w:bidi w:val="0"/>
        <w:spacing w:line="360" w:lineRule="auto"/>
        <w:ind w:right="480"/>
        <w:jc w:val="left"/>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r>
        <w:rPr>
          <w:rFonts w:hint="eastAsia" w:ascii="宋体" w:hAnsi="宋体" w:eastAsia="宋体" w:cs="宋体"/>
          <w:color w:val="auto"/>
          <w:sz w:val="24"/>
          <w:highlight w:val="none"/>
        </w:rPr>
        <w:t xml:space="preserve">                             </w:t>
      </w:r>
    </w:p>
    <w:tbl>
      <w:tblPr>
        <w:tblStyle w:val="20"/>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14:paraId="5559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14:paraId="66DF473C">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60" w:type="dxa"/>
            <w:vAlign w:val="center"/>
          </w:tcPr>
          <w:p w14:paraId="6D5CB512">
            <w:pPr>
              <w:keepNext w:val="0"/>
              <w:keepLines w:val="0"/>
              <w:pageBreakBefore w:val="0"/>
              <w:tabs>
                <w:tab w:val="left" w:pos="8280"/>
              </w:tabs>
              <w:kinsoku/>
              <w:wordWrap/>
              <w:overflowPunct/>
              <w:topLinePunct w:val="0"/>
              <w:autoSpaceDE w:val="0"/>
              <w:autoSpaceDN w:val="0"/>
              <w:bidi w:val="0"/>
              <w:adjustRightInd w:val="0"/>
              <w:spacing w:line="360" w:lineRule="auto"/>
              <w:ind w:right="25"/>
              <w:outlineLvl w:val="9"/>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产品名称</w:t>
            </w:r>
          </w:p>
        </w:tc>
        <w:tc>
          <w:tcPr>
            <w:tcW w:w="1559" w:type="dxa"/>
            <w:vAlign w:val="center"/>
          </w:tcPr>
          <w:p w14:paraId="77A86159">
            <w:pPr>
              <w:keepNext w:val="0"/>
              <w:keepLines w:val="0"/>
              <w:pageBreakBefore w:val="0"/>
              <w:tabs>
                <w:tab w:val="left" w:pos="8280"/>
              </w:tabs>
              <w:kinsoku/>
              <w:wordWrap/>
              <w:overflowPunct/>
              <w:topLinePunct w:val="0"/>
              <w:autoSpaceDE w:val="0"/>
              <w:autoSpaceDN w:val="0"/>
              <w:bidi w:val="0"/>
              <w:adjustRightInd w:val="0"/>
              <w:spacing w:line="360" w:lineRule="auto"/>
              <w:ind w:right="25"/>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品牌、产地</w:t>
            </w:r>
          </w:p>
        </w:tc>
        <w:tc>
          <w:tcPr>
            <w:tcW w:w="1559" w:type="dxa"/>
            <w:vAlign w:val="center"/>
          </w:tcPr>
          <w:p w14:paraId="64D2CB78">
            <w:pPr>
              <w:keepNext w:val="0"/>
              <w:keepLines w:val="0"/>
              <w:pageBreakBefore w:val="0"/>
              <w:kinsoku/>
              <w:wordWrap/>
              <w:overflowPunct/>
              <w:topLinePunct w:val="0"/>
              <w:bidi w:val="0"/>
              <w:spacing w:line="360" w:lineRule="auto"/>
              <w:ind w:left="52"/>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型号规格</w:t>
            </w:r>
          </w:p>
        </w:tc>
        <w:tc>
          <w:tcPr>
            <w:tcW w:w="851" w:type="dxa"/>
            <w:vAlign w:val="center"/>
          </w:tcPr>
          <w:p w14:paraId="297B740C">
            <w:pPr>
              <w:keepNext w:val="0"/>
              <w:keepLines w:val="0"/>
              <w:pageBreakBefore w:val="0"/>
              <w:kinsoku/>
              <w:wordWrap/>
              <w:overflowPunct/>
              <w:topLinePunct w:val="0"/>
              <w:bidi w:val="0"/>
              <w:spacing w:line="360" w:lineRule="auto"/>
              <w:ind w:left="152"/>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992" w:type="dxa"/>
            <w:vAlign w:val="center"/>
          </w:tcPr>
          <w:p w14:paraId="0D09C2A5">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992" w:type="dxa"/>
            <w:vAlign w:val="center"/>
          </w:tcPr>
          <w:p w14:paraId="1A502524">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小计</w:t>
            </w:r>
          </w:p>
        </w:tc>
        <w:tc>
          <w:tcPr>
            <w:tcW w:w="709" w:type="dxa"/>
            <w:vAlign w:val="center"/>
          </w:tcPr>
          <w:p w14:paraId="76EEFF0C">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0894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14:paraId="5C6BC69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460" w:type="dxa"/>
            <w:vAlign w:val="center"/>
          </w:tcPr>
          <w:p w14:paraId="01F23D68">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59" w:type="dxa"/>
            <w:vAlign w:val="center"/>
          </w:tcPr>
          <w:p w14:paraId="7D1E03B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59" w:type="dxa"/>
            <w:vAlign w:val="center"/>
          </w:tcPr>
          <w:p w14:paraId="1D22ABC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851" w:type="dxa"/>
            <w:vAlign w:val="center"/>
          </w:tcPr>
          <w:p w14:paraId="39CD9C05">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6CC068D5">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71DEF93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709" w:type="dxa"/>
            <w:vAlign w:val="center"/>
          </w:tcPr>
          <w:p w14:paraId="4300CF89">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r>
      <w:tr w14:paraId="2093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14:paraId="4395024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460" w:type="dxa"/>
            <w:vAlign w:val="center"/>
          </w:tcPr>
          <w:p w14:paraId="5CA2B5D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59" w:type="dxa"/>
            <w:vAlign w:val="center"/>
          </w:tcPr>
          <w:p w14:paraId="5AECF49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59" w:type="dxa"/>
            <w:vAlign w:val="center"/>
          </w:tcPr>
          <w:p w14:paraId="12DDAB68">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851" w:type="dxa"/>
            <w:vAlign w:val="center"/>
          </w:tcPr>
          <w:p w14:paraId="542C56E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50F85DC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1CE529B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709" w:type="dxa"/>
            <w:vAlign w:val="center"/>
          </w:tcPr>
          <w:p w14:paraId="7FE2908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r>
      <w:tr w14:paraId="5B34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14:paraId="3B16AA7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460" w:type="dxa"/>
            <w:vAlign w:val="center"/>
          </w:tcPr>
          <w:p w14:paraId="1E3A2AA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59" w:type="dxa"/>
            <w:vAlign w:val="center"/>
          </w:tcPr>
          <w:p w14:paraId="4598C8D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59" w:type="dxa"/>
            <w:vAlign w:val="center"/>
          </w:tcPr>
          <w:p w14:paraId="168D49B5">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851" w:type="dxa"/>
            <w:vAlign w:val="center"/>
          </w:tcPr>
          <w:p w14:paraId="075CAAF8">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62F41CF5">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1D97B179">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709" w:type="dxa"/>
            <w:vAlign w:val="center"/>
          </w:tcPr>
          <w:p w14:paraId="56F8A0B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r>
      <w:tr w14:paraId="4F92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14:paraId="2D268BB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460" w:type="dxa"/>
            <w:vAlign w:val="center"/>
          </w:tcPr>
          <w:p w14:paraId="7C469FB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59" w:type="dxa"/>
            <w:vAlign w:val="center"/>
          </w:tcPr>
          <w:p w14:paraId="3B7413D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59" w:type="dxa"/>
            <w:vAlign w:val="center"/>
          </w:tcPr>
          <w:p w14:paraId="557DDC1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851" w:type="dxa"/>
            <w:vAlign w:val="center"/>
          </w:tcPr>
          <w:p w14:paraId="02FDD958">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794193F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40E1D649">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709" w:type="dxa"/>
            <w:vAlign w:val="center"/>
          </w:tcPr>
          <w:p w14:paraId="036969B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r>
      <w:tr w14:paraId="40F1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14:paraId="4BC76FE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460" w:type="dxa"/>
            <w:vAlign w:val="center"/>
          </w:tcPr>
          <w:p w14:paraId="5B74934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59" w:type="dxa"/>
            <w:vAlign w:val="center"/>
          </w:tcPr>
          <w:p w14:paraId="4AFDEDF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59" w:type="dxa"/>
            <w:vAlign w:val="center"/>
          </w:tcPr>
          <w:p w14:paraId="426DC4B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851" w:type="dxa"/>
            <w:vAlign w:val="center"/>
          </w:tcPr>
          <w:p w14:paraId="4E9FC98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302A35D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07A7407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709" w:type="dxa"/>
            <w:vAlign w:val="center"/>
          </w:tcPr>
          <w:p w14:paraId="10CDEA0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r>
      <w:tr w14:paraId="6313B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14:paraId="4E48F838">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合计人民币：大写                               小写</w:t>
            </w:r>
          </w:p>
        </w:tc>
      </w:tr>
    </w:tbl>
    <w:p w14:paraId="037F6742">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3B362675">
      <w:pPr>
        <w:keepNext w:val="0"/>
        <w:keepLines w:val="0"/>
        <w:pageBreakBefore w:val="0"/>
        <w:kinsoku/>
        <w:wordWrap/>
        <w:overflowPunct/>
        <w:topLinePunct w:val="0"/>
        <w:bidi w:val="0"/>
        <w:spacing w:line="360" w:lineRule="auto"/>
        <w:ind w:left="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本表为《开标一览表》的报价明细表，如有缺项、漏项，视为投标报价中已包含相关费用，采购人无需另外支付任何费用。</w:t>
      </w:r>
    </w:p>
    <w:p w14:paraId="0E4EFE32">
      <w:pPr>
        <w:keepNext w:val="0"/>
        <w:keepLines w:val="0"/>
        <w:pageBreakBefore w:val="0"/>
        <w:kinsoku/>
        <w:wordWrap/>
        <w:overflowPunct/>
        <w:topLinePunct w:val="0"/>
        <w:bidi w:val="0"/>
        <w:spacing w:line="360" w:lineRule="auto"/>
        <w:ind w:left="4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“报价明细表”中的报价合计应与“开标一览表”中的投标总报价相一致，不一致时，以开标一览表为准。</w:t>
      </w:r>
    </w:p>
    <w:p w14:paraId="7CD661D3">
      <w:pPr>
        <w:keepNext w:val="0"/>
        <w:keepLines w:val="0"/>
        <w:pageBreakBefore w:val="0"/>
        <w:kinsoku/>
        <w:wordWrap/>
        <w:overflowPunct/>
        <w:topLinePunct w:val="0"/>
        <w:bidi w:val="0"/>
        <w:spacing w:line="360" w:lineRule="auto"/>
        <w:ind w:left="4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投标报价明细表所填内容按招标文件采购设备清单要求为准。如有漏报的，视同已包含在投标总价内或已作优惠处理。有重大缺项的将作无效标处理。</w:t>
      </w:r>
    </w:p>
    <w:p w14:paraId="301D6CD7">
      <w:pPr>
        <w:pStyle w:val="12"/>
        <w:keepNext w:val="0"/>
        <w:keepLines w:val="0"/>
        <w:pageBreakBefore w:val="0"/>
        <w:kinsoku/>
        <w:wordWrap/>
        <w:overflowPunct/>
        <w:topLinePunct w:val="0"/>
        <w:bidi w:val="0"/>
        <w:ind w:left="0" w:leftChars="0" w:firstLine="0" w:firstLineChars="0"/>
        <w:outlineLvl w:val="9"/>
        <w:rPr>
          <w:rFonts w:hint="eastAsia" w:ascii="宋体" w:hAnsi="宋体" w:eastAsia="宋体" w:cs="宋体"/>
          <w:color w:val="auto"/>
          <w:highlight w:val="none"/>
        </w:rPr>
      </w:pPr>
    </w:p>
    <w:p w14:paraId="2F5F993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09EBAAEB">
      <w:pPr>
        <w:spacing w:line="360" w:lineRule="auto"/>
        <w:ind w:firstLine="435"/>
        <w:rPr>
          <w:rFonts w:hint="eastAsia" w:ascii="宋体" w:hAnsi="宋体" w:eastAsia="宋体" w:cs="宋体"/>
          <w:color w:val="auto"/>
          <w:sz w:val="21"/>
          <w:szCs w:val="21"/>
          <w:highlight w:val="none"/>
          <w:lang w:eastAsia="zh-CN"/>
        </w:rPr>
      </w:pPr>
    </w:p>
    <w:p w14:paraId="41669A76">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41F87DBA">
      <w:pPr>
        <w:spacing w:line="360" w:lineRule="auto"/>
        <w:ind w:firstLine="435"/>
        <w:rPr>
          <w:rFonts w:hint="eastAsia" w:ascii="宋体" w:hAnsi="宋体" w:eastAsia="宋体" w:cs="宋体"/>
          <w:color w:val="auto"/>
          <w:sz w:val="21"/>
          <w:szCs w:val="21"/>
          <w:highlight w:val="none"/>
        </w:rPr>
      </w:pPr>
    </w:p>
    <w:p w14:paraId="7358F6F1">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6461D8B8">
      <w:pPr>
        <w:pStyle w:val="6"/>
        <w:keepNext w:val="0"/>
        <w:keepLines w:val="0"/>
        <w:pageBreakBefore w:val="0"/>
        <w:kinsoku/>
        <w:wordWrap/>
        <w:overflowPunct/>
        <w:topLinePunct w:val="0"/>
        <w:bidi w:val="0"/>
        <w:jc w:val="both"/>
        <w:outlineLvl w:val="9"/>
        <w:rPr>
          <w:rFonts w:hint="eastAsia" w:ascii="宋体" w:hAnsi="宋体" w:eastAsia="宋体" w:cs="宋体"/>
          <w:color w:val="auto"/>
          <w:highlight w:val="none"/>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EB24B">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44425">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4644425">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88611">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4788A9">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34788A9">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6A29C">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7218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E493FE">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1312;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mMenDDgCAABvBAAADgAAAGRycy9lMm9Eb2MueG1srVTNjtMwEL4j&#10;8Q6W7zRpWVZV1XRVtipCqtiVFsTZdZwmkv9ku03KA8AbcOLCnefqc/DZabpo4bAHLunYM/5mvm9m&#10;Or/plCQH4XxjdEHHo5wSobkpG70r6KeP61dTSnxgumTSaFHQo/D0ZvHyxby1MzExtZGlcAQg2s9a&#10;W9A6BDvLMs9roZgfGSs0nJVxigUc3S4rHWuBrmQ2yfPrrDWutM5w4T1uV72TnhHdcwBNVTVcrAzf&#10;K6FDj+qEZAGUfN1YTxep2qoSPNxVlReByIKCaUhfJIG9jd9sMWeznWO2bvi5BPacEp5wUqzRSHqB&#10;WrHAyN41f0GphjvjTRVG3KisJ5IUAYtx/kSbh5pZkbhAam8vovv/B8s/HO4dacqCXlGimULDT9+/&#10;nX78Ov38Sq6iPK31M0Q9WMSF7q3pMDTDvcdlZN1VTsVf8CHwQ9zjRVzRBcLjo+lkOs3h4vANB+Bn&#10;j8+t8+GdMIpEo6AO3UuissPGhz50CInZtFk3UqYOSk3agl6/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Yx6cMOAIAAG8EAAAOAAAAAAAAAAEAIAAAACEBAABkcnMvZTJvRG9j&#10;LnhtbFBLBQYAAAAABgAGAFkBAADLBQAAAAA=&#10;">
              <v:fill on="f" focussize="0,0"/>
              <v:stroke on="f" weight="0.5pt"/>
              <v:imagedata o:title=""/>
              <o:lock v:ext="edit" aspectratio="f"/>
              <v:textbox inset="0mm,0mm,0mm,0mm" style="mso-fit-shape-to-text:t;">
                <w:txbxContent>
                  <w:p w14:paraId="52E493FE">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9DA38">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21C0C">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7F21C0C">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641F2">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DD27F">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5E381">
    <w:pPr>
      <w:rPr>
        <w:rFonts w:hint="eastAsia"/>
        <w:b/>
        <w:i/>
        <w:color w:val="000000"/>
        <w:kern w:val="0"/>
        <w:sz w:val="18"/>
        <w:u w:val="single"/>
        <w:lang w:val="en-US" w:eastAsia="zh-CN"/>
      </w:rPr>
    </w:pPr>
    <w:r>
      <w:rPr>
        <w:rFonts w:hint="eastAsia"/>
        <w:b/>
        <w:i/>
        <w:color w:val="000000"/>
        <w:kern w:val="0"/>
        <w:sz w:val="18"/>
        <w:u w:val="single"/>
      </w:rPr>
      <w:t>招标文件</w:t>
    </w:r>
    <w:r>
      <w:rPr>
        <w:b/>
        <w:i/>
        <w:color w:val="000000"/>
        <w:kern w:val="0"/>
        <w:sz w:val="18"/>
        <w:u w:val="single"/>
      </w:rPr>
      <w:t>--</w:t>
    </w:r>
    <w:r>
      <w:rPr>
        <w:rFonts w:hint="eastAsia"/>
        <w:b/>
        <w:i/>
        <w:color w:val="000000"/>
        <w:kern w:val="0"/>
        <w:sz w:val="18"/>
        <w:u w:val="single"/>
        <w:lang w:val="en-US" w:eastAsia="zh-CN"/>
      </w:rPr>
      <w:t>录播教室采购项目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81B8E">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C7458">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0A4B3">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233075"/>
    <w:rsid w:val="003C6577"/>
    <w:rsid w:val="00532108"/>
    <w:rsid w:val="007D1C17"/>
    <w:rsid w:val="009C6908"/>
    <w:rsid w:val="009E7B9B"/>
    <w:rsid w:val="00BE3149"/>
    <w:rsid w:val="00D27694"/>
    <w:rsid w:val="00E04ED8"/>
    <w:rsid w:val="00FF74E6"/>
    <w:rsid w:val="011912C7"/>
    <w:rsid w:val="01711CC9"/>
    <w:rsid w:val="018351BC"/>
    <w:rsid w:val="01CF6F44"/>
    <w:rsid w:val="02C726A7"/>
    <w:rsid w:val="03427733"/>
    <w:rsid w:val="03774435"/>
    <w:rsid w:val="03783DF9"/>
    <w:rsid w:val="04127F24"/>
    <w:rsid w:val="043F7FC4"/>
    <w:rsid w:val="055E4077"/>
    <w:rsid w:val="068D2540"/>
    <w:rsid w:val="07E22D62"/>
    <w:rsid w:val="07E46324"/>
    <w:rsid w:val="08390248"/>
    <w:rsid w:val="08CE00D2"/>
    <w:rsid w:val="08DC10E8"/>
    <w:rsid w:val="092A7C70"/>
    <w:rsid w:val="09E03F7D"/>
    <w:rsid w:val="0A2F0124"/>
    <w:rsid w:val="0AE56754"/>
    <w:rsid w:val="0AF13356"/>
    <w:rsid w:val="0AF64F0D"/>
    <w:rsid w:val="0B793A50"/>
    <w:rsid w:val="0C9C1EE8"/>
    <w:rsid w:val="0D1F4CD0"/>
    <w:rsid w:val="0D8B34FD"/>
    <w:rsid w:val="0E1B3A54"/>
    <w:rsid w:val="0ED24CA8"/>
    <w:rsid w:val="0F666824"/>
    <w:rsid w:val="0FDE3BD5"/>
    <w:rsid w:val="104B2971"/>
    <w:rsid w:val="121665CB"/>
    <w:rsid w:val="1271384F"/>
    <w:rsid w:val="12EC03CE"/>
    <w:rsid w:val="14F30402"/>
    <w:rsid w:val="157F3E1A"/>
    <w:rsid w:val="15941958"/>
    <w:rsid w:val="163E01CD"/>
    <w:rsid w:val="17D9652F"/>
    <w:rsid w:val="19D05D2D"/>
    <w:rsid w:val="1A1A3D61"/>
    <w:rsid w:val="1A5971E6"/>
    <w:rsid w:val="1A6C1BE4"/>
    <w:rsid w:val="1A9C0D69"/>
    <w:rsid w:val="1B0B45A2"/>
    <w:rsid w:val="1B48190D"/>
    <w:rsid w:val="1B657549"/>
    <w:rsid w:val="1C4A3C27"/>
    <w:rsid w:val="1CCC0A3F"/>
    <w:rsid w:val="1E1447F7"/>
    <w:rsid w:val="1F9336B9"/>
    <w:rsid w:val="20BB0882"/>
    <w:rsid w:val="20DE4395"/>
    <w:rsid w:val="214446A7"/>
    <w:rsid w:val="22106B0E"/>
    <w:rsid w:val="24D66261"/>
    <w:rsid w:val="25EE5695"/>
    <w:rsid w:val="26DC1BC7"/>
    <w:rsid w:val="26F70EA2"/>
    <w:rsid w:val="272B2D5B"/>
    <w:rsid w:val="290F02E0"/>
    <w:rsid w:val="2A0A6205"/>
    <w:rsid w:val="2A8D283C"/>
    <w:rsid w:val="2C1467FC"/>
    <w:rsid w:val="2C1D2D6A"/>
    <w:rsid w:val="2D97745C"/>
    <w:rsid w:val="2D9B57C6"/>
    <w:rsid w:val="2DE26FF4"/>
    <w:rsid w:val="2E60513A"/>
    <w:rsid w:val="2EE27171"/>
    <w:rsid w:val="2EED2E72"/>
    <w:rsid w:val="2EF41664"/>
    <w:rsid w:val="2EF46E3D"/>
    <w:rsid w:val="2F877B1C"/>
    <w:rsid w:val="30346277"/>
    <w:rsid w:val="303B19C4"/>
    <w:rsid w:val="304C2EF9"/>
    <w:rsid w:val="30BF3ADC"/>
    <w:rsid w:val="310046C4"/>
    <w:rsid w:val="31B84D11"/>
    <w:rsid w:val="31CA60F3"/>
    <w:rsid w:val="31FB63E4"/>
    <w:rsid w:val="332E4D9F"/>
    <w:rsid w:val="33872BCA"/>
    <w:rsid w:val="3389238A"/>
    <w:rsid w:val="35050484"/>
    <w:rsid w:val="36D05C29"/>
    <w:rsid w:val="37D77124"/>
    <w:rsid w:val="389E58B5"/>
    <w:rsid w:val="3A7A6F1E"/>
    <w:rsid w:val="3AE10DD4"/>
    <w:rsid w:val="3B301429"/>
    <w:rsid w:val="3B404B41"/>
    <w:rsid w:val="3B5B0562"/>
    <w:rsid w:val="3BCB1572"/>
    <w:rsid w:val="3BD83B31"/>
    <w:rsid w:val="3BFB34AA"/>
    <w:rsid w:val="3C9E13D2"/>
    <w:rsid w:val="3EC66767"/>
    <w:rsid w:val="3EEE5F16"/>
    <w:rsid w:val="41216D50"/>
    <w:rsid w:val="42E31B7D"/>
    <w:rsid w:val="43D64EFE"/>
    <w:rsid w:val="441E4F0B"/>
    <w:rsid w:val="44C4255C"/>
    <w:rsid w:val="46A13154"/>
    <w:rsid w:val="47C11F07"/>
    <w:rsid w:val="48771E5C"/>
    <w:rsid w:val="48DD5981"/>
    <w:rsid w:val="496F1741"/>
    <w:rsid w:val="4B891934"/>
    <w:rsid w:val="4C303A07"/>
    <w:rsid w:val="4CC80DEF"/>
    <w:rsid w:val="4DA909BA"/>
    <w:rsid w:val="4DAD3AA0"/>
    <w:rsid w:val="4E052A18"/>
    <w:rsid w:val="4EF7463C"/>
    <w:rsid w:val="4F1D682E"/>
    <w:rsid w:val="4F2D7EF4"/>
    <w:rsid w:val="50116A53"/>
    <w:rsid w:val="508E1972"/>
    <w:rsid w:val="50A26FD9"/>
    <w:rsid w:val="50A829AB"/>
    <w:rsid w:val="516731BD"/>
    <w:rsid w:val="52091939"/>
    <w:rsid w:val="53041116"/>
    <w:rsid w:val="53E65916"/>
    <w:rsid w:val="54AA11BC"/>
    <w:rsid w:val="54C57758"/>
    <w:rsid w:val="551C2373"/>
    <w:rsid w:val="552A7E3D"/>
    <w:rsid w:val="5557660E"/>
    <w:rsid w:val="58E7215A"/>
    <w:rsid w:val="590F3861"/>
    <w:rsid w:val="596C2241"/>
    <w:rsid w:val="59F52BAB"/>
    <w:rsid w:val="5A827487"/>
    <w:rsid w:val="5BE95BFB"/>
    <w:rsid w:val="5C5A1CB4"/>
    <w:rsid w:val="5D1C4ACD"/>
    <w:rsid w:val="5D2268C3"/>
    <w:rsid w:val="5DCB09A7"/>
    <w:rsid w:val="5E1F1821"/>
    <w:rsid w:val="5F797C86"/>
    <w:rsid w:val="5FC86CCC"/>
    <w:rsid w:val="610856EB"/>
    <w:rsid w:val="61100F76"/>
    <w:rsid w:val="618D3618"/>
    <w:rsid w:val="61FB57CA"/>
    <w:rsid w:val="6277234F"/>
    <w:rsid w:val="62962BC8"/>
    <w:rsid w:val="62E75079"/>
    <w:rsid w:val="63210646"/>
    <w:rsid w:val="634F4D8F"/>
    <w:rsid w:val="636733E2"/>
    <w:rsid w:val="64026DE0"/>
    <w:rsid w:val="64FE4D3B"/>
    <w:rsid w:val="65DD5EC1"/>
    <w:rsid w:val="663C37BC"/>
    <w:rsid w:val="66A44E08"/>
    <w:rsid w:val="66A50792"/>
    <w:rsid w:val="670C1258"/>
    <w:rsid w:val="68052909"/>
    <w:rsid w:val="68F0466E"/>
    <w:rsid w:val="698963B4"/>
    <w:rsid w:val="699D4FAA"/>
    <w:rsid w:val="6AB70450"/>
    <w:rsid w:val="6AC122CA"/>
    <w:rsid w:val="6AD50C05"/>
    <w:rsid w:val="6B1C716C"/>
    <w:rsid w:val="6B99463B"/>
    <w:rsid w:val="6C8A6BF6"/>
    <w:rsid w:val="6D955625"/>
    <w:rsid w:val="6EC241C4"/>
    <w:rsid w:val="6F5D74CB"/>
    <w:rsid w:val="70A22878"/>
    <w:rsid w:val="70FC0717"/>
    <w:rsid w:val="710A4BF0"/>
    <w:rsid w:val="713826BC"/>
    <w:rsid w:val="716371CC"/>
    <w:rsid w:val="71E60CDD"/>
    <w:rsid w:val="729E1CEF"/>
    <w:rsid w:val="73DD380B"/>
    <w:rsid w:val="740917FB"/>
    <w:rsid w:val="743979EA"/>
    <w:rsid w:val="74570DA8"/>
    <w:rsid w:val="75A529A2"/>
    <w:rsid w:val="770A7D21"/>
    <w:rsid w:val="770B44C5"/>
    <w:rsid w:val="77DD1EE1"/>
    <w:rsid w:val="78057997"/>
    <w:rsid w:val="785C4F97"/>
    <w:rsid w:val="797715F8"/>
    <w:rsid w:val="79B3725C"/>
    <w:rsid w:val="7A472BA5"/>
    <w:rsid w:val="7AF42C11"/>
    <w:rsid w:val="7B376CA9"/>
    <w:rsid w:val="7D482624"/>
    <w:rsid w:val="7DA3059F"/>
    <w:rsid w:val="7E8F66FC"/>
    <w:rsid w:val="7F0B681C"/>
    <w:rsid w:val="7F9D3213"/>
    <w:rsid w:val="7FAE3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next w:val="7"/>
    <w:link w:val="28"/>
    <w:autoRedefine/>
    <w:semiHidden/>
    <w:unhideWhenUsed/>
    <w:qFormat/>
    <w:uiPriority w:val="99"/>
    <w:pPr>
      <w:spacing w:after="120"/>
    </w:pPr>
  </w:style>
  <w:style w:type="paragraph" w:styleId="7">
    <w:name w:val="Body Text First Indent"/>
    <w:basedOn w:val="6"/>
    <w:next w:val="8"/>
    <w:autoRedefine/>
    <w:qFormat/>
    <w:uiPriority w:val="0"/>
    <w:pPr>
      <w:ind w:firstLine="420" w:firstLineChars="100"/>
    </w:pPr>
  </w:style>
  <w:style w:type="paragraph" w:styleId="8">
    <w:name w:val="toc 6"/>
    <w:basedOn w:val="1"/>
    <w:next w:val="1"/>
    <w:qFormat/>
    <w:uiPriority w:val="0"/>
    <w:pPr>
      <w:ind w:left="1050"/>
      <w:jc w:val="left"/>
    </w:pPr>
    <w:rPr>
      <w:sz w:val="18"/>
      <w:szCs w:val="18"/>
    </w:rPr>
  </w:style>
  <w:style w:type="paragraph" w:styleId="9">
    <w:name w:val="Body Text Indent"/>
    <w:basedOn w:val="1"/>
    <w:next w:val="1"/>
    <w:link w:val="29"/>
    <w:autoRedefine/>
    <w:qFormat/>
    <w:uiPriority w:val="99"/>
    <w:pPr>
      <w:spacing w:after="120"/>
      <w:ind w:left="420" w:leftChars="200"/>
    </w:pPr>
  </w:style>
  <w:style w:type="paragraph" w:styleId="10">
    <w:name w:val="Block Text"/>
    <w:basedOn w:val="1"/>
    <w:autoRedefine/>
    <w:qFormat/>
    <w:uiPriority w:val="0"/>
    <w:pPr>
      <w:adjustRightInd w:val="0"/>
      <w:snapToGrid w:val="0"/>
      <w:spacing w:line="360" w:lineRule="auto"/>
      <w:ind w:left="567" w:leftChars="270" w:rightChars="-150" w:firstLine="480" w:firstLineChars="200"/>
    </w:pPr>
    <w:rPr>
      <w:rFonts w:ascii="宋体"/>
      <w:sz w:val="24"/>
    </w:rPr>
  </w:style>
  <w:style w:type="paragraph" w:styleId="11">
    <w:name w:val="Plain Text"/>
    <w:basedOn w:val="1"/>
    <w:next w:val="12"/>
    <w:autoRedefine/>
    <w:qFormat/>
    <w:uiPriority w:val="0"/>
    <w:rPr>
      <w:rFonts w:ascii="宋体" w:hAnsi="Courier New" w:cstheme="minorBidi"/>
    </w:rPr>
  </w:style>
  <w:style w:type="paragraph" w:styleId="12">
    <w:name w:val="Date"/>
    <w:basedOn w:val="1"/>
    <w:next w:val="1"/>
    <w:autoRedefine/>
    <w:qFormat/>
    <w:uiPriority w:val="99"/>
    <w:pPr>
      <w:ind w:left="2500" w:leftChars="2500"/>
    </w:pPr>
    <w:rPr>
      <w:rFonts w:ascii="Calibri" w:hAnsi="Calibri" w:eastAsia="楷体_GB2312"/>
      <w:sz w:val="32"/>
      <w:szCs w:val="22"/>
    </w:rPr>
  </w:style>
  <w:style w:type="paragraph" w:styleId="13">
    <w:name w:val="Balloon Text"/>
    <w:basedOn w:val="1"/>
    <w:link w:val="30"/>
    <w:autoRedefine/>
    <w:semiHidden/>
    <w:unhideWhenUsed/>
    <w:qFormat/>
    <w:uiPriority w:val="99"/>
    <w:rPr>
      <w:sz w:val="18"/>
      <w:szCs w:val="18"/>
    </w:rPr>
  </w:style>
  <w:style w:type="paragraph" w:styleId="14">
    <w:name w:val="footer"/>
    <w:basedOn w:val="1"/>
    <w:link w:val="27"/>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26"/>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2"/>
    <w:basedOn w:val="1"/>
    <w:next w:val="1"/>
    <w:autoRedefine/>
    <w:qFormat/>
    <w:uiPriority w:val="0"/>
    <w:pPr>
      <w:spacing w:line="480" w:lineRule="auto"/>
      <w:ind w:left="200" w:leftChars="200"/>
    </w:pPr>
  </w:style>
  <w:style w:type="paragraph" w:styleId="1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8">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19">
    <w:name w:val="Body Text First Indent 2"/>
    <w:basedOn w:val="9"/>
    <w:autoRedefine/>
    <w:qFormat/>
    <w:uiPriority w:val="0"/>
    <w:pPr>
      <w:ind w:firstLine="42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autoRedefine/>
    <w:unhideWhenUsed/>
    <w:qFormat/>
    <w:uiPriority w:val="0"/>
    <w:rPr>
      <w:color w:val="0000FF"/>
      <w:u w:val="single"/>
    </w:rPr>
  </w:style>
  <w:style w:type="paragraph" w:customStyle="1" w:styleId="24">
    <w:name w:val="[Normal]"/>
    <w:autoRedefine/>
    <w:qFormat/>
    <w:uiPriority w:val="0"/>
    <w:rPr>
      <w:rFonts w:ascii="宋体" w:hAnsi="宋体" w:eastAsia="宋体" w:cs="Times New Roman"/>
      <w:sz w:val="24"/>
      <w:szCs w:val="22"/>
      <w:lang w:val="zh-CN" w:eastAsia="zh-CN" w:bidi="ar-SA"/>
    </w:rPr>
  </w:style>
  <w:style w:type="paragraph" w:customStyle="1" w:styleId="25">
    <w:name w:val="表格文字"/>
    <w:basedOn w:val="1"/>
    <w:next w:val="6"/>
    <w:autoRedefine/>
    <w:qFormat/>
    <w:uiPriority w:val="99"/>
    <w:pPr>
      <w:adjustRightInd w:val="0"/>
      <w:spacing w:line="420" w:lineRule="atLeast"/>
      <w:jc w:val="left"/>
      <w:textAlignment w:val="baseline"/>
    </w:pPr>
    <w:rPr>
      <w:kern w:val="0"/>
    </w:rPr>
  </w:style>
  <w:style w:type="character" w:customStyle="1" w:styleId="26">
    <w:name w:val="页眉 Char"/>
    <w:basedOn w:val="22"/>
    <w:link w:val="15"/>
    <w:autoRedefine/>
    <w:semiHidden/>
    <w:qFormat/>
    <w:uiPriority w:val="99"/>
    <w:rPr>
      <w:sz w:val="18"/>
      <w:szCs w:val="18"/>
    </w:rPr>
  </w:style>
  <w:style w:type="character" w:customStyle="1" w:styleId="27">
    <w:name w:val="页脚 Char"/>
    <w:basedOn w:val="22"/>
    <w:link w:val="14"/>
    <w:autoRedefine/>
    <w:semiHidden/>
    <w:qFormat/>
    <w:uiPriority w:val="99"/>
    <w:rPr>
      <w:sz w:val="18"/>
      <w:szCs w:val="18"/>
    </w:rPr>
  </w:style>
  <w:style w:type="character" w:customStyle="1" w:styleId="28">
    <w:name w:val="正文文本 Char"/>
    <w:basedOn w:val="22"/>
    <w:link w:val="6"/>
    <w:autoRedefine/>
    <w:semiHidden/>
    <w:qFormat/>
    <w:uiPriority w:val="99"/>
    <w:rPr>
      <w:rFonts w:ascii="Times New Roman" w:hAnsi="Times New Roman" w:eastAsia="宋体" w:cs="Times New Roman"/>
      <w:szCs w:val="24"/>
    </w:rPr>
  </w:style>
  <w:style w:type="character" w:customStyle="1" w:styleId="29">
    <w:name w:val="正文文本缩进 Char"/>
    <w:basedOn w:val="22"/>
    <w:link w:val="9"/>
    <w:autoRedefine/>
    <w:qFormat/>
    <w:uiPriority w:val="99"/>
    <w:rPr>
      <w:rFonts w:ascii="Times New Roman" w:hAnsi="Times New Roman" w:eastAsia="宋体" w:cs="Times New Roman"/>
      <w:szCs w:val="24"/>
    </w:rPr>
  </w:style>
  <w:style w:type="character" w:customStyle="1" w:styleId="30">
    <w:name w:val="批注框文本 Char"/>
    <w:basedOn w:val="22"/>
    <w:link w:val="13"/>
    <w:autoRedefine/>
    <w:semiHidden/>
    <w:qFormat/>
    <w:uiPriority w:val="99"/>
    <w:rPr>
      <w:rFonts w:ascii="Times New Roman" w:hAnsi="Times New Roman" w:eastAsia="宋体" w:cs="Times New Roman"/>
      <w:sz w:val="18"/>
      <w:szCs w:val="18"/>
    </w:rPr>
  </w:style>
  <w:style w:type="character" w:customStyle="1" w:styleId="31">
    <w:name w:val="无"/>
    <w:autoRedefine/>
    <w:qFormat/>
    <w:uiPriority w:val="99"/>
  </w:style>
  <w:style w:type="paragraph" w:customStyle="1" w:styleId="32">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4">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5">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4"/>
    <w:autoRedefine/>
    <w:qFormat/>
    <w:uiPriority w:val="99"/>
    <w:rPr>
      <w:rFonts w:ascii="Times New Roman" w:hAnsi="Times New Roman" w:eastAsia="宋体" w:cs="Times New Roman"/>
      <w:sz w:val="21"/>
      <w:szCs w:val="22"/>
      <w:lang w:val="en-US" w:eastAsia="zh-CN" w:bidi="ar-SA"/>
    </w:rPr>
  </w:style>
  <w:style w:type="paragraph" w:customStyle="1" w:styleId="37">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3"/>
    <w:basedOn w:val="39"/>
    <w:autoRedefine/>
    <w:qFormat/>
    <w:uiPriority w:val="99"/>
    <w:pPr>
      <w:widowControl/>
      <w:jc w:val="left"/>
    </w:pPr>
    <w:rPr>
      <w:rFonts w:ascii="宋体" w:hAnsi="Courier New"/>
      <w:szCs w:val="21"/>
    </w:rPr>
  </w:style>
  <w:style w:type="paragraph" w:customStyle="1" w:styleId="41">
    <w:name w:val="纯文本_0_1"/>
    <w:basedOn w:val="1"/>
    <w:autoRedefine/>
    <w:qFormat/>
    <w:uiPriority w:val="99"/>
    <w:pPr>
      <w:widowControl/>
      <w:jc w:val="left"/>
    </w:pPr>
    <w:rPr>
      <w:rFonts w:ascii="宋体" w:hAnsi="Courier New"/>
      <w:szCs w:val="21"/>
    </w:rPr>
  </w:style>
  <w:style w:type="paragraph" w:customStyle="1" w:styleId="42">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6">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styleId="47">
    <w:name w:val="List Paragraph"/>
    <w:basedOn w:val="1"/>
    <w:autoRedefine/>
    <w:qFormat/>
    <w:uiPriority w:val="0"/>
    <w:pPr>
      <w:ind w:firstLine="420" w:firstLineChars="200"/>
    </w:pPr>
    <w:rPr>
      <w:rFonts w:ascii="Calibri" w:hAnsi="Calibri"/>
      <w:szCs w:val="22"/>
    </w:rPr>
  </w:style>
  <w:style w:type="character" w:customStyle="1" w:styleId="48">
    <w:name w:val="标题 2 Char1"/>
    <w:autoRedefine/>
    <w:qFormat/>
    <w:uiPriority w:val="0"/>
    <w:rPr>
      <w:rFonts w:ascii="Arial" w:hAnsi="Arial" w:eastAsia="黑体"/>
      <w:b/>
      <w:bCs/>
      <w:kern w:val="2"/>
      <w:sz w:val="30"/>
      <w:szCs w:val="32"/>
      <w:lang w:val="en-US" w:eastAsia="zh-CN" w:bidi="ar-SA"/>
    </w:rPr>
  </w:style>
  <w:style w:type="character" w:customStyle="1" w:styleId="49">
    <w:name w:val="标题 2 Char"/>
    <w:autoRedefine/>
    <w:qFormat/>
    <w:uiPriority w:val="0"/>
    <w:rPr>
      <w:rFonts w:ascii="Arial" w:hAnsi="Arial" w:eastAsia="黑体"/>
      <w:b/>
      <w:bCs/>
      <w:kern w:val="2"/>
      <w:sz w:val="30"/>
      <w:szCs w:val="32"/>
      <w:lang w:val="en-US" w:eastAsia="zh-CN" w:bidi="ar-SA"/>
    </w:rPr>
  </w:style>
  <w:style w:type="paragraph" w:customStyle="1" w:styleId="50">
    <w:name w:val="表格文本"/>
    <w:basedOn w:val="1"/>
    <w:autoRedefine/>
    <w:qFormat/>
    <w:uiPriority w:val="0"/>
    <w:pPr>
      <w:spacing w:before="120" w:after="120"/>
    </w:pPr>
    <w:rPr>
      <w:rFonts w:cs="黑体"/>
      <w:sz w:val="21"/>
      <w:szCs w:val="21"/>
    </w:rPr>
  </w:style>
  <w:style w:type="paragraph" w:customStyle="1" w:styleId="51">
    <w:name w:val="纯文本1"/>
    <w:basedOn w:val="46"/>
    <w:autoRedefine/>
    <w:qFormat/>
    <w:uiPriority w:val="0"/>
    <w:pPr>
      <w:widowControl/>
      <w:jc w:val="left"/>
    </w:pPr>
    <w:rPr>
      <w:rFonts w:ascii="宋体" w:hAnsi="Courier New"/>
      <w:szCs w:val="20"/>
    </w:rPr>
  </w:style>
  <w:style w:type="paragraph" w:customStyle="1" w:styleId="52">
    <w:name w:val="正文（首行缩进2字符）"/>
    <w:basedOn w:val="1"/>
    <w:autoRedefine/>
    <w:qFormat/>
    <w:uiPriority w:val="0"/>
    <w:pPr>
      <w:ind w:firstLine="480" w:firstLineChars="200"/>
    </w:pPr>
    <w:rPr>
      <w:sz w:val="24"/>
      <w:szCs w:val="20"/>
    </w:rPr>
  </w:style>
  <w:style w:type="character" w:customStyle="1" w:styleId="53">
    <w:name w:val="NormalCharacter"/>
    <w:autoRedefine/>
    <w:semiHidden/>
    <w:qFormat/>
    <w:uiPriority w:val="0"/>
  </w:style>
  <w:style w:type="paragraph" w:customStyle="1" w:styleId="54">
    <w:name w:val="Body Text First Indent 21"/>
    <w:basedOn w:val="1"/>
    <w:unhideWhenUsed/>
    <w:qFormat/>
    <w:uiPriority w:val="0"/>
    <w:pPr>
      <w:autoSpaceDE w:val="0"/>
      <w:autoSpaceDN w:val="0"/>
      <w:adjustRightInd w:val="0"/>
      <w:spacing w:after="120"/>
      <w:ind w:left="200" w:leftChars="200" w:firstLine="420"/>
    </w:pPr>
    <w:rPr>
      <w:rFonts w:hint="eastAsia" w:ascii="宋体" w:cs="宋体"/>
      <w:color w:val="auto"/>
      <w:sz w:val="24"/>
      <w:szCs w:val="21"/>
    </w:rPr>
  </w:style>
  <w:style w:type="paragraph" w:customStyle="1" w:styleId="55">
    <w:name w:val="正文 New New New New"/>
    <w:qFormat/>
    <w:uiPriority w:val="0"/>
    <w:pPr>
      <w:widowControl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14336</Words>
  <Characters>14877</Characters>
  <Lines>1</Lines>
  <Paragraphs>1</Paragraphs>
  <TotalTime>0</TotalTime>
  <ScaleCrop>false</ScaleCrop>
  <LinksUpToDate>false</LinksUpToDate>
  <CharactersWithSpaces>14958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dcterms:modified xsi:type="dcterms:W3CDTF">2025-06-13T07:55:08Z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D1BB6C7B511C44F5B55DD641B0EB0D67_13</vt:lpwstr>
  </property>
  <property fmtid="{D5CDD505-2E9C-101B-9397-08002B2CF9AE}" pid="4" name="commondata">
    <vt:lpwstr>eyJoZGlkIjoiNmNiNWQzMTIyZDkyNWQ5MzYxMmQ5MTE1ZmU3YjE0M2QifQ==</vt:lpwstr>
  </property>
  <property fmtid="{D5CDD505-2E9C-101B-9397-08002B2CF9AE}" pid="5" name="KSOTemplateDocerSaveRecord">
    <vt:lpwstr>eyJoZGlkIjoiOWJlZDQ2NmIwYjgzZjdjYWM1MjQ5OTk3YTcyYzMxMzIiLCJ1c2VySWQiOiIzMjE5MDY1OTEifQ==</vt:lpwstr>
  </property>
</Properties>
</file>