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BCC08">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b/>
          <w:bCs/>
          <w:color w:val="auto"/>
          <w:spacing w:val="20"/>
          <w:kern w:val="0"/>
          <w:sz w:val="32"/>
          <w:szCs w:val="32"/>
          <w:highlight w:val="none"/>
          <w:lang w:val="en-US" w:eastAsia="zh-CN" w:bidi="ar"/>
        </w:rPr>
      </w:pPr>
      <w:bookmarkStart w:id="0" w:name="_Toc26098"/>
      <w:bookmarkStart w:id="1" w:name="_Toc29140"/>
      <w:r>
        <w:rPr>
          <w:rFonts w:hint="eastAsia" w:ascii="宋体" w:hAnsi="宋体" w:eastAsia="宋体" w:cs="宋体"/>
          <w:b/>
          <w:bCs/>
          <w:color w:val="auto"/>
          <w:spacing w:val="20"/>
          <w:kern w:val="0"/>
          <w:sz w:val="32"/>
          <w:szCs w:val="32"/>
          <w:highlight w:val="none"/>
          <w:lang w:val="en-US" w:eastAsia="zh-CN" w:bidi="ar"/>
        </w:rPr>
        <w:t>青田县入河排污口规范化建设及水环境通量在线监测项目日常运维服务项目</w:t>
      </w:r>
    </w:p>
    <w:p w14:paraId="171D3C6F">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b/>
          <w:bCs/>
          <w:color w:val="auto"/>
          <w:spacing w:val="20"/>
          <w:kern w:val="0"/>
          <w:sz w:val="32"/>
          <w:szCs w:val="32"/>
          <w:highlight w:val="none"/>
          <w:lang w:val="en-US" w:eastAsia="zh-CN" w:bidi="ar"/>
        </w:rPr>
      </w:pPr>
      <w:r>
        <w:rPr>
          <w:rFonts w:hint="eastAsia" w:ascii="宋体" w:hAnsi="宋体" w:eastAsia="宋体" w:cs="宋体"/>
          <w:b/>
          <w:bCs/>
          <w:color w:val="auto"/>
          <w:spacing w:val="20"/>
          <w:kern w:val="0"/>
          <w:sz w:val="32"/>
          <w:szCs w:val="32"/>
          <w:highlight w:val="none"/>
          <w:lang w:val="en-US" w:eastAsia="zh-CN" w:bidi="ar"/>
        </w:rPr>
        <w:t>参数</w:t>
      </w:r>
      <w:r>
        <w:rPr>
          <w:rFonts w:hint="eastAsia" w:ascii="宋体" w:hAnsi="宋体" w:cs="宋体"/>
          <w:b/>
          <w:bCs/>
          <w:color w:val="auto"/>
          <w:spacing w:val="20"/>
          <w:kern w:val="0"/>
          <w:sz w:val="32"/>
          <w:szCs w:val="32"/>
          <w:highlight w:val="none"/>
          <w:lang w:val="en-US" w:eastAsia="zh-CN" w:bidi="ar"/>
        </w:rPr>
        <w:t>及预算</w:t>
      </w:r>
      <w:r>
        <w:rPr>
          <w:rFonts w:hint="eastAsia" w:ascii="宋体" w:hAnsi="宋体" w:eastAsia="宋体" w:cs="宋体"/>
          <w:b/>
          <w:bCs/>
          <w:color w:val="auto"/>
          <w:spacing w:val="20"/>
          <w:kern w:val="0"/>
          <w:sz w:val="32"/>
          <w:szCs w:val="32"/>
          <w:highlight w:val="none"/>
          <w:lang w:val="en-US" w:eastAsia="zh-CN" w:bidi="ar"/>
        </w:rPr>
        <w:t>调查</w:t>
      </w:r>
      <w:r>
        <w:rPr>
          <w:rFonts w:hint="eastAsia" w:ascii="宋体" w:hAnsi="宋体" w:cs="宋体"/>
          <w:b/>
          <w:bCs/>
          <w:color w:val="auto"/>
          <w:spacing w:val="20"/>
          <w:kern w:val="0"/>
          <w:sz w:val="32"/>
          <w:szCs w:val="32"/>
          <w:highlight w:val="none"/>
          <w:lang w:val="en-US" w:eastAsia="zh-CN" w:bidi="ar"/>
        </w:rPr>
        <w:t>询价函</w:t>
      </w:r>
    </w:p>
    <w:p w14:paraId="4FBC0BD5">
      <w:pPr>
        <w:keepNext w:val="0"/>
        <w:keepLines w:val="0"/>
        <w:pageBreakBefore w:val="0"/>
        <w:widowControl/>
        <w:suppressLineNumbers w:val="0"/>
        <w:kinsoku/>
        <w:wordWrap/>
        <w:overflowPunct/>
        <w:topLinePunct w:val="0"/>
        <w:autoSpaceDE/>
        <w:autoSpaceDN/>
        <w:bidi w:val="0"/>
        <w:adjustRightInd/>
        <w:snapToGrid w:val="0"/>
        <w:spacing w:line="312" w:lineRule="auto"/>
        <w:ind w:firstLine="422" w:firstLineChars="200"/>
        <w:jc w:val="left"/>
        <w:textAlignment w:val="auto"/>
        <w:rPr>
          <w:rFonts w:hint="eastAsia" w:ascii="宋体" w:hAnsi="宋体" w:eastAsia="宋体" w:cs="宋体"/>
          <w:b/>
          <w:bCs/>
          <w:color w:val="auto"/>
          <w:kern w:val="0"/>
          <w:sz w:val="21"/>
          <w:szCs w:val="21"/>
          <w:highlight w:val="none"/>
          <w:u w:val="single"/>
          <w:lang w:val="en-US" w:eastAsia="zh-CN" w:bidi="ar"/>
        </w:rPr>
      </w:pPr>
    </w:p>
    <w:p w14:paraId="56688641">
      <w:pPr>
        <w:widowControl/>
        <w:ind w:firstLine="422" w:firstLineChars="200"/>
        <w:jc w:val="left"/>
        <w:rPr>
          <w:rFonts w:hint="eastAsia" w:ascii="宋体" w:hAnsi="宋体" w:eastAsia="宋体" w:cs="宋体"/>
          <w:color w:val="auto"/>
          <w:sz w:val="21"/>
          <w:szCs w:val="21"/>
          <w:highlight w:val="none"/>
        </w:rPr>
      </w:pPr>
      <w:r>
        <w:rPr>
          <w:rFonts w:hint="eastAsia" w:ascii="宋体" w:hAnsi="宋体" w:cs="宋体"/>
          <w:b/>
          <w:bCs/>
          <w:color w:val="auto"/>
          <w:kern w:val="0"/>
          <w:sz w:val="21"/>
          <w:szCs w:val="21"/>
          <w:highlight w:val="none"/>
          <w:u w:val="single"/>
          <w:lang w:val="en-US" w:eastAsia="zh-CN" w:bidi="ar"/>
        </w:rPr>
        <w:t>浙江建兴项目管理有限公司</w:t>
      </w:r>
      <w:r>
        <w:rPr>
          <w:rFonts w:hint="eastAsia" w:ascii="宋体" w:hAnsi="宋体" w:eastAsia="宋体" w:cs="宋体"/>
          <w:color w:val="auto"/>
          <w:kern w:val="0"/>
          <w:sz w:val="21"/>
          <w:szCs w:val="21"/>
          <w:highlight w:val="none"/>
          <w:lang w:val="en-US" w:eastAsia="zh-CN" w:bidi="ar"/>
        </w:rPr>
        <w:t>受</w:t>
      </w:r>
      <w:r>
        <w:rPr>
          <w:rFonts w:hint="eastAsia" w:ascii="宋体" w:hAnsi="宋体" w:eastAsia="宋体" w:cs="宋体"/>
          <w:b/>
          <w:bCs/>
          <w:color w:val="auto"/>
          <w:kern w:val="0"/>
          <w:sz w:val="21"/>
          <w:szCs w:val="21"/>
          <w:highlight w:val="none"/>
          <w:u w:val="single"/>
          <w:lang w:val="en-US" w:eastAsia="zh-CN" w:bidi="ar"/>
        </w:rPr>
        <w:t>丽水市生态环境局青田分局的</w:t>
      </w:r>
      <w:r>
        <w:rPr>
          <w:rFonts w:hint="eastAsia" w:ascii="宋体" w:hAnsi="宋体" w:eastAsia="宋体" w:cs="宋体"/>
          <w:color w:val="auto"/>
          <w:kern w:val="0"/>
          <w:sz w:val="21"/>
          <w:szCs w:val="21"/>
          <w:highlight w:val="none"/>
          <w:lang w:val="en-US" w:eastAsia="zh-CN" w:bidi="ar"/>
        </w:rPr>
        <w:t>委托，就</w:t>
      </w:r>
      <w:r>
        <w:rPr>
          <w:rFonts w:hint="eastAsia" w:ascii="宋体" w:hAnsi="宋体" w:eastAsia="宋体" w:cs="宋体"/>
          <w:b/>
          <w:bCs/>
          <w:color w:val="auto"/>
          <w:kern w:val="0"/>
          <w:sz w:val="21"/>
          <w:szCs w:val="21"/>
          <w:highlight w:val="none"/>
          <w:u w:val="single"/>
          <w:lang w:val="en-US" w:eastAsia="zh-CN" w:bidi="ar"/>
        </w:rPr>
        <w:t>青田县入河排污口规范化建设及水环境通量在线监测项目日常运维服务项目</w:t>
      </w:r>
      <w:r>
        <w:rPr>
          <w:rFonts w:hint="eastAsia" w:ascii="宋体" w:hAnsi="宋体" w:eastAsia="宋体" w:cs="宋体"/>
          <w:color w:val="auto"/>
          <w:kern w:val="0"/>
          <w:sz w:val="21"/>
          <w:szCs w:val="21"/>
          <w:highlight w:val="none"/>
          <w:u w:val="none"/>
          <w:lang w:val="en-US" w:eastAsia="zh-CN" w:bidi="ar"/>
        </w:rPr>
        <w:t>进行参数及预算调查</w:t>
      </w:r>
      <w:r>
        <w:rPr>
          <w:rFonts w:hint="eastAsia" w:ascii="宋体" w:hAnsi="宋体" w:eastAsia="宋体" w:cs="宋体"/>
          <w:color w:val="auto"/>
          <w:kern w:val="0"/>
          <w:sz w:val="21"/>
          <w:szCs w:val="21"/>
          <w:highlight w:val="none"/>
          <w:lang w:val="en-US" w:eastAsia="zh-CN" w:bidi="ar"/>
        </w:rPr>
        <w:t>。</w:t>
      </w:r>
    </w:p>
    <w:p w14:paraId="1EAC6DAA">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2" w:firstLineChars="200"/>
        <w:jc w:val="both"/>
        <w:textAlignment w:val="auto"/>
        <w:rPr>
          <w:rFonts w:hint="eastAsia"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rPr>
        <w:t>一、</w:t>
      </w:r>
      <w:r>
        <w:rPr>
          <w:rStyle w:val="12"/>
          <w:rFonts w:hint="eastAsia" w:ascii="宋体" w:hAnsi="宋体" w:eastAsia="宋体" w:cs="宋体"/>
          <w:color w:val="auto"/>
          <w:sz w:val="21"/>
          <w:szCs w:val="21"/>
          <w:highlight w:val="none"/>
          <w:lang w:val="en-US" w:eastAsia="zh-CN"/>
        </w:rPr>
        <w:t>各潜在供应商提供的技术参数</w:t>
      </w:r>
      <w:r>
        <w:rPr>
          <w:rStyle w:val="12"/>
          <w:rFonts w:hint="eastAsia" w:ascii="宋体" w:hAnsi="宋体" w:eastAsia="宋体" w:cs="宋体"/>
          <w:color w:val="auto"/>
          <w:sz w:val="21"/>
          <w:szCs w:val="21"/>
          <w:highlight w:val="none"/>
        </w:rPr>
        <w:t>征求意见范围：</w:t>
      </w:r>
    </w:p>
    <w:p w14:paraId="2F060C2A">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.不得</w:t>
      </w:r>
      <w:r>
        <w:rPr>
          <w:rFonts w:hint="default" w:ascii="宋体" w:hAnsi="宋体" w:eastAsia="宋体" w:cs="宋体"/>
          <w:color w:val="auto"/>
          <w:sz w:val="21"/>
          <w:szCs w:val="21"/>
          <w:highlight w:val="none"/>
        </w:rPr>
        <w:t>存在影响公平竞争和公平交易条款</w:t>
      </w:r>
      <w:r>
        <w:rPr>
          <w:rFonts w:hint="eastAsia" w:ascii="宋体" w:hAnsi="宋体" w:eastAsia="宋体" w:cs="宋体"/>
          <w:color w:val="auto"/>
          <w:sz w:val="21"/>
          <w:szCs w:val="21"/>
          <w:highlight w:val="none"/>
        </w:rPr>
        <w:t>；</w:t>
      </w:r>
    </w:p>
    <w:p w14:paraId="0BD0E8B0">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.不得</w:t>
      </w:r>
      <w:r>
        <w:rPr>
          <w:rFonts w:hint="eastAsia" w:ascii="宋体" w:hAnsi="宋体" w:eastAsia="宋体" w:cs="宋体"/>
          <w:color w:val="auto"/>
          <w:sz w:val="21"/>
          <w:szCs w:val="21"/>
          <w:highlight w:val="none"/>
        </w:rPr>
        <w:t>存在明显的倾向性意见和特定的性能指标</w:t>
      </w:r>
      <w:r>
        <w:rPr>
          <w:rFonts w:hint="default" w:ascii="宋体" w:hAnsi="宋体" w:eastAsia="宋体" w:cs="宋体"/>
          <w:color w:val="auto"/>
          <w:sz w:val="21"/>
          <w:szCs w:val="21"/>
          <w:highlight w:val="none"/>
        </w:rPr>
        <w:t>（如限制性品牌、型号）</w:t>
      </w:r>
      <w:r>
        <w:rPr>
          <w:rFonts w:hint="eastAsia" w:ascii="宋体" w:hAnsi="宋体" w:eastAsia="宋体" w:cs="宋体"/>
          <w:color w:val="auto"/>
          <w:sz w:val="21"/>
          <w:szCs w:val="21"/>
          <w:highlight w:val="none"/>
        </w:rPr>
        <w:t>；</w:t>
      </w:r>
    </w:p>
    <w:p w14:paraId="680A4B67">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.不得</w:t>
      </w:r>
      <w:r>
        <w:rPr>
          <w:rFonts w:hint="eastAsia" w:ascii="宋体" w:hAnsi="宋体" w:eastAsia="宋体" w:cs="宋体"/>
          <w:color w:val="auto"/>
          <w:sz w:val="21"/>
          <w:szCs w:val="21"/>
          <w:highlight w:val="none"/>
        </w:rPr>
        <w:t>影响采购“公开、公平、公正”原则的其他情况；</w:t>
      </w:r>
    </w:p>
    <w:p w14:paraId="38AFE10C">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Style w:val="12"/>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其他好的意见和建议。</w:t>
      </w:r>
    </w:p>
    <w:p w14:paraId="700A6653">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2" w:firstLineChars="200"/>
        <w:jc w:val="both"/>
        <w:textAlignment w:val="auto"/>
        <w:rPr>
          <w:rFonts w:hint="eastAsia"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lang w:eastAsia="zh-CN"/>
        </w:rPr>
        <w:t>二</w:t>
      </w:r>
      <w:r>
        <w:rPr>
          <w:rStyle w:val="12"/>
          <w:rFonts w:hint="eastAsia" w:ascii="宋体" w:hAnsi="宋体" w:eastAsia="宋体" w:cs="宋体"/>
          <w:color w:val="auto"/>
          <w:sz w:val="21"/>
          <w:szCs w:val="21"/>
          <w:highlight w:val="none"/>
        </w:rPr>
        <w:t>、</w:t>
      </w:r>
      <w:r>
        <w:rPr>
          <w:rStyle w:val="12"/>
          <w:rFonts w:hint="eastAsia" w:ascii="宋体" w:hAnsi="宋体" w:eastAsia="宋体" w:cs="宋体"/>
          <w:color w:val="auto"/>
          <w:sz w:val="21"/>
          <w:szCs w:val="21"/>
          <w:highlight w:val="none"/>
          <w:lang w:eastAsia="zh-CN"/>
        </w:rPr>
        <w:t>调查</w:t>
      </w:r>
      <w:r>
        <w:rPr>
          <w:rStyle w:val="12"/>
          <w:rFonts w:hint="eastAsia" w:ascii="宋体" w:hAnsi="宋体" w:eastAsia="宋体" w:cs="宋体"/>
          <w:color w:val="auto"/>
          <w:sz w:val="21"/>
          <w:szCs w:val="21"/>
          <w:highlight w:val="none"/>
        </w:rPr>
        <w:t>征求意见回复</w:t>
      </w:r>
    </w:p>
    <w:p w14:paraId="68FFD71C">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递交时间：</w:t>
      </w:r>
      <w:r>
        <w:rPr>
          <w:rFonts w:hint="eastAsia" w:ascii="宋体" w:hAnsi="宋体" w:cs="宋体"/>
          <w:color w:val="auto"/>
          <w:sz w:val="21"/>
          <w:szCs w:val="21"/>
          <w:highlight w:val="none"/>
          <w:lang w:eastAsia="zh-CN"/>
        </w:rPr>
        <w:t>2025年06月</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rPr>
        <w:t>下午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：00前</w:t>
      </w:r>
      <w:r>
        <w:rPr>
          <w:rFonts w:hint="eastAsia" w:ascii="宋体" w:hAnsi="宋体" w:eastAsia="宋体" w:cs="宋体"/>
          <w:color w:val="auto"/>
          <w:sz w:val="21"/>
          <w:szCs w:val="21"/>
          <w:highlight w:val="none"/>
          <w:lang w:eastAsia="zh-CN"/>
        </w:rPr>
        <w:t>；</w:t>
      </w:r>
    </w:p>
    <w:p w14:paraId="3469B7CD">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递交方式：各供应商提出的修改意见和建议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eastAsia="zh-CN"/>
        </w:rPr>
        <w:t>发送电子邮箱</w:t>
      </w:r>
      <w:r>
        <w:rPr>
          <w:rFonts w:hint="eastAsia" w:ascii="宋体" w:hAnsi="宋体" w:eastAsia="宋体" w:cs="宋体"/>
          <w:color w:val="auto"/>
          <w:sz w:val="21"/>
          <w:szCs w:val="21"/>
          <w:highlight w:val="none"/>
          <w:lang w:val="en-US" w:eastAsia="zh-CN"/>
        </w:rPr>
        <w:t>形式</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"mailto:576646218@qq.com" </w:instrText>
      </w:r>
      <w:r>
        <w:rPr>
          <w:rFonts w:hint="eastAsia" w:ascii="宋体" w:hAnsi="宋体" w:eastAsia="宋体" w:cs="宋体"/>
          <w:color w:val="auto"/>
          <w:sz w:val="21"/>
          <w:szCs w:val="21"/>
          <w:highlight w:val="none"/>
        </w:rPr>
        <w:fldChar w:fldCharType="separate"/>
      </w:r>
      <w:r>
        <w:rPr>
          <w:rStyle w:val="13"/>
          <w:rFonts w:hint="eastAsia" w:ascii="宋体" w:hAnsi="宋体" w:cs="宋体"/>
          <w:color w:val="auto"/>
          <w:sz w:val="21"/>
          <w:szCs w:val="21"/>
          <w:highlight w:val="none"/>
          <w:u w:val="single"/>
          <w:lang w:val="en-US" w:eastAsia="zh-CN"/>
        </w:rPr>
        <w:t>1091844807@qq.com</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w:t>
      </w:r>
    </w:p>
    <w:p w14:paraId="40C8E3BE">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接收代理</w:t>
      </w:r>
      <w:r>
        <w:rPr>
          <w:rFonts w:hint="eastAsia" w:ascii="宋体" w:hAnsi="宋体" w:eastAsia="宋体" w:cs="宋体"/>
          <w:color w:val="auto"/>
          <w:sz w:val="21"/>
          <w:szCs w:val="21"/>
          <w:highlight w:val="none"/>
        </w:rPr>
        <w:t>机构：</w:t>
      </w:r>
      <w:r>
        <w:rPr>
          <w:rFonts w:hint="eastAsia" w:ascii="宋体" w:hAnsi="宋体" w:cs="宋体"/>
          <w:color w:val="auto"/>
          <w:sz w:val="21"/>
          <w:szCs w:val="21"/>
          <w:highlight w:val="none"/>
          <w:lang w:val="en-US" w:eastAsia="zh-CN"/>
        </w:rPr>
        <w:t>浙江建兴项目管理有限公司</w:t>
      </w:r>
      <w:r>
        <w:rPr>
          <w:rFonts w:hint="eastAsia" w:ascii="宋体" w:hAnsi="宋体" w:eastAsia="宋体" w:cs="宋体"/>
          <w:color w:val="auto"/>
          <w:sz w:val="21"/>
          <w:szCs w:val="21"/>
          <w:highlight w:val="none"/>
          <w:lang w:val="en-US" w:eastAsia="zh-CN"/>
        </w:rPr>
        <w:t>；</w:t>
      </w:r>
    </w:p>
    <w:p w14:paraId="6026F914">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章顺慧</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val="en-US" w:eastAsia="zh-CN"/>
        </w:rPr>
        <w:t>15869208865</w:t>
      </w:r>
      <w:r>
        <w:rPr>
          <w:rFonts w:hint="eastAsia" w:ascii="宋体" w:hAnsi="宋体" w:eastAsia="宋体" w:cs="宋体"/>
          <w:color w:val="auto"/>
          <w:sz w:val="21"/>
          <w:szCs w:val="21"/>
          <w:highlight w:val="none"/>
          <w:lang w:val="en-US" w:eastAsia="zh-CN"/>
        </w:rPr>
        <w:t>。</w:t>
      </w:r>
    </w:p>
    <w:p w14:paraId="27AF5701">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2" w:firstLineChars="200"/>
        <w:jc w:val="both"/>
        <w:textAlignment w:val="auto"/>
        <w:rPr>
          <w:rFonts w:hint="eastAsia" w:ascii="宋体" w:hAnsi="宋体" w:eastAsia="宋体" w:cs="宋体"/>
          <w:color w:val="auto"/>
          <w:sz w:val="21"/>
          <w:szCs w:val="21"/>
          <w:highlight w:val="none"/>
          <w:lang w:eastAsia="zh-CN"/>
        </w:rPr>
      </w:pPr>
      <w:r>
        <w:rPr>
          <w:rStyle w:val="12"/>
          <w:rFonts w:hint="eastAsia" w:ascii="宋体" w:hAnsi="宋体" w:eastAsia="宋体" w:cs="宋体"/>
          <w:color w:val="auto"/>
          <w:sz w:val="21"/>
          <w:szCs w:val="21"/>
          <w:highlight w:val="none"/>
        </w:rPr>
        <w:t>逾期送达的或个人提供的</w:t>
      </w:r>
      <w:r>
        <w:rPr>
          <w:rStyle w:val="12"/>
          <w:rFonts w:hint="eastAsia" w:ascii="宋体" w:hAnsi="宋体" w:eastAsia="宋体" w:cs="宋体"/>
          <w:color w:val="auto"/>
          <w:sz w:val="21"/>
          <w:szCs w:val="21"/>
          <w:highlight w:val="none"/>
          <w:lang w:val="en-US" w:eastAsia="zh-CN"/>
        </w:rPr>
        <w:t>预算调查</w:t>
      </w:r>
      <w:r>
        <w:rPr>
          <w:rStyle w:val="12"/>
          <w:rFonts w:hint="eastAsia" w:ascii="宋体" w:hAnsi="宋体" w:eastAsia="宋体" w:cs="宋体"/>
          <w:color w:val="auto"/>
          <w:sz w:val="21"/>
          <w:szCs w:val="21"/>
          <w:highlight w:val="none"/>
        </w:rPr>
        <w:t>一般不予受理</w:t>
      </w:r>
      <w:r>
        <w:rPr>
          <w:rFonts w:hint="eastAsia" w:ascii="宋体" w:hAnsi="宋体" w:eastAsia="宋体" w:cs="宋体"/>
          <w:color w:val="auto"/>
          <w:sz w:val="21"/>
          <w:szCs w:val="21"/>
          <w:highlight w:val="none"/>
        </w:rPr>
        <w:t>。</w:t>
      </w:r>
    </w:p>
    <w:p w14:paraId="55D638FD">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2" w:firstLineChars="200"/>
        <w:jc w:val="both"/>
        <w:textAlignment w:val="auto"/>
        <w:rPr>
          <w:rFonts w:hint="eastAsia"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lang w:eastAsia="zh-CN"/>
        </w:rPr>
        <w:t>三</w:t>
      </w:r>
      <w:r>
        <w:rPr>
          <w:rStyle w:val="12"/>
          <w:rFonts w:hint="eastAsia" w:ascii="宋体" w:hAnsi="宋体" w:eastAsia="宋体" w:cs="宋体"/>
          <w:color w:val="auto"/>
          <w:sz w:val="21"/>
          <w:szCs w:val="21"/>
          <w:highlight w:val="none"/>
        </w:rPr>
        <w:t>、合格的修改意见和建议书要求</w:t>
      </w:r>
    </w:p>
    <w:p w14:paraId="478FF00D">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项目采购预算调查表需</w:t>
      </w:r>
      <w:r>
        <w:rPr>
          <w:rFonts w:hint="eastAsia" w:ascii="宋体" w:hAnsi="宋体" w:eastAsia="宋体" w:cs="宋体"/>
          <w:color w:val="auto"/>
          <w:sz w:val="21"/>
          <w:szCs w:val="21"/>
          <w:highlight w:val="none"/>
        </w:rPr>
        <w:t>加盖单位公章和法人代表签字</w:t>
      </w:r>
      <w:r>
        <w:rPr>
          <w:rFonts w:hint="eastAsia" w:ascii="宋体" w:hAnsi="宋体" w:eastAsia="宋体" w:cs="宋体"/>
          <w:color w:val="auto"/>
          <w:sz w:val="21"/>
          <w:szCs w:val="21"/>
          <w:highlight w:val="none"/>
          <w:lang w:eastAsia="zh-CN"/>
        </w:rPr>
        <w:t>，还需</w:t>
      </w:r>
      <w:r>
        <w:rPr>
          <w:rFonts w:hint="eastAsia" w:ascii="宋体" w:hAnsi="宋体" w:eastAsia="宋体" w:cs="宋体"/>
          <w:color w:val="auto"/>
          <w:sz w:val="21"/>
          <w:szCs w:val="21"/>
          <w:highlight w:val="none"/>
        </w:rPr>
        <w:t>提供</w:t>
      </w:r>
      <w:r>
        <w:rPr>
          <w:rFonts w:hint="eastAsia" w:ascii="宋体" w:hAnsi="宋体" w:cs="宋体"/>
          <w:color w:val="000000"/>
          <w:sz w:val="21"/>
          <w:szCs w:val="21"/>
          <w:highlight w:val="none"/>
          <w:lang w:val="en-US" w:eastAsia="zh-CN"/>
        </w:rPr>
        <w:t>PDF盖章版、</w:t>
      </w:r>
      <w:r>
        <w:rPr>
          <w:rFonts w:hint="eastAsia" w:ascii="宋体" w:hAnsi="宋体" w:eastAsia="宋体" w:cs="宋体"/>
          <w:color w:val="auto"/>
          <w:sz w:val="21"/>
          <w:szCs w:val="21"/>
          <w:highlight w:val="none"/>
        </w:rPr>
        <w:t>WORD版电子稿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是授权代理人</w:t>
      </w:r>
      <w:bookmarkStart w:id="26" w:name="_GoBack"/>
      <w:bookmarkEnd w:id="26"/>
      <w:r>
        <w:rPr>
          <w:rFonts w:hint="eastAsia" w:ascii="宋体" w:hAnsi="宋体" w:eastAsia="宋体" w:cs="宋体"/>
          <w:color w:val="auto"/>
          <w:sz w:val="21"/>
          <w:szCs w:val="21"/>
          <w:highlight w:val="none"/>
        </w:rPr>
        <w:t>签字的，必须</w:t>
      </w:r>
      <w:r>
        <w:rPr>
          <w:rFonts w:hint="eastAsia" w:ascii="宋体" w:hAnsi="宋体" w:eastAsia="宋体" w:cs="宋体"/>
          <w:color w:val="auto"/>
          <w:sz w:val="21"/>
          <w:szCs w:val="21"/>
          <w:highlight w:val="none"/>
          <w:lang w:eastAsia="zh-CN"/>
        </w:rPr>
        <w:t>出具</w:t>
      </w:r>
      <w:r>
        <w:rPr>
          <w:rFonts w:hint="eastAsia" w:ascii="宋体" w:hAnsi="宋体" w:eastAsia="宋体" w:cs="宋体"/>
          <w:color w:val="auto"/>
          <w:sz w:val="21"/>
          <w:szCs w:val="21"/>
          <w:highlight w:val="none"/>
        </w:rPr>
        <w:t>争对该项目的法人代表授权书及联系电话。</w:t>
      </w:r>
    </w:p>
    <w:p w14:paraId="75BB5C28">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各供应商提出修改意见和建议内容必须是真实的，</w:t>
      </w:r>
      <w:r>
        <w:rPr>
          <w:rFonts w:hint="eastAsia" w:ascii="宋体" w:hAnsi="宋体" w:eastAsia="宋体" w:cs="宋体"/>
          <w:color w:val="auto"/>
          <w:sz w:val="21"/>
          <w:szCs w:val="21"/>
          <w:highlight w:val="none"/>
          <w:lang w:eastAsia="zh-CN"/>
        </w:rPr>
        <w:t>可</w:t>
      </w:r>
      <w:r>
        <w:rPr>
          <w:rFonts w:hint="eastAsia" w:ascii="宋体" w:hAnsi="宋体" w:eastAsia="宋体" w:cs="宋体"/>
          <w:color w:val="auto"/>
          <w:sz w:val="21"/>
          <w:szCs w:val="21"/>
          <w:highlight w:val="none"/>
        </w:rPr>
        <w:t>附相关依据，如发现存在提供虚假材料或恶意扰乱采购正常秩序的，一经查实将提请有关采购管理机构，列入不良行为记录。</w:t>
      </w:r>
    </w:p>
    <w:p w14:paraId="498D16A8">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2" w:firstLineChars="200"/>
        <w:jc w:val="both"/>
        <w:textAlignment w:val="auto"/>
        <w:rPr>
          <w:rFonts w:hint="eastAsia"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lang w:eastAsia="zh-CN"/>
        </w:rPr>
        <w:t>四</w:t>
      </w:r>
      <w:r>
        <w:rPr>
          <w:rStyle w:val="12"/>
          <w:rFonts w:hint="eastAsia" w:ascii="宋体" w:hAnsi="宋体" w:eastAsia="宋体" w:cs="宋体"/>
          <w:color w:val="auto"/>
          <w:sz w:val="21"/>
          <w:szCs w:val="21"/>
          <w:highlight w:val="none"/>
        </w:rPr>
        <w:t>、注意事项</w:t>
      </w:r>
    </w:p>
    <w:p w14:paraId="3F3F8AD6">
      <w:pPr>
        <w:pStyle w:val="9"/>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针对本项目的意见建议仅供采购人完善采购需求参考所用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代理机构不对</w:t>
      </w:r>
      <w:r>
        <w:rPr>
          <w:rFonts w:hint="eastAsia" w:ascii="宋体" w:hAnsi="宋体" w:eastAsia="宋体" w:cs="宋体"/>
          <w:color w:val="auto"/>
          <w:sz w:val="21"/>
          <w:szCs w:val="21"/>
          <w:highlight w:val="none"/>
          <w:lang w:eastAsia="zh-CN"/>
        </w:rPr>
        <w:t>供应商提出的</w:t>
      </w:r>
      <w:r>
        <w:rPr>
          <w:rFonts w:hint="eastAsia" w:ascii="宋体" w:hAnsi="宋体" w:eastAsia="宋体" w:cs="宋体"/>
          <w:color w:val="auto"/>
          <w:sz w:val="21"/>
          <w:szCs w:val="21"/>
          <w:highlight w:val="none"/>
        </w:rPr>
        <w:t>意见</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建议</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rPr>
        <w:t>书面回复，采购需求以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正式</w:t>
      </w:r>
      <w:r>
        <w:rPr>
          <w:rFonts w:hint="eastAsia" w:ascii="宋体" w:hAnsi="宋体" w:eastAsia="宋体" w:cs="宋体"/>
          <w:color w:val="auto"/>
          <w:sz w:val="21"/>
          <w:szCs w:val="21"/>
          <w:highlight w:val="none"/>
          <w:lang w:eastAsia="zh-CN"/>
        </w:rPr>
        <w:t>发布</w:t>
      </w:r>
      <w:r>
        <w:rPr>
          <w:rFonts w:hint="eastAsia" w:ascii="宋体" w:hAnsi="宋体" w:eastAsia="宋体" w:cs="宋体"/>
          <w:color w:val="auto"/>
          <w:sz w:val="21"/>
          <w:szCs w:val="21"/>
          <w:highlight w:val="none"/>
        </w:rPr>
        <w:t>的采购文件为准。</w:t>
      </w:r>
    </w:p>
    <w:p w14:paraId="7094E5E4">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697C6756">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7F2727BD">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4068B392">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217FB42E">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27581612">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46F3F7B9">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26C80F96">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附件一：</w:t>
      </w:r>
    </w:p>
    <w:p w14:paraId="19900FF5">
      <w:pPr>
        <w:jc w:val="center"/>
        <w:rPr>
          <w:rFonts w:hint="eastAsia" w:ascii="宋体" w:hAnsi="宋体" w:eastAsia="宋体" w:cs="宋体"/>
          <w:b/>
          <w:bCs/>
          <w:color w:val="auto"/>
          <w:sz w:val="32"/>
          <w:highlight w:val="none"/>
        </w:rPr>
      </w:pPr>
      <w:r>
        <w:rPr>
          <w:rFonts w:hint="eastAsia" w:ascii="宋体" w:hAnsi="宋体" w:eastAsia="宋体" w:cs="宋体"/>
          <w:b/>
          <w:color w:val="auto"/>
          <w:sz w:val="36"/>
          <w:szCs w:val="36"/>
          <w:highlight w:val="none"/>
          <w:lang w:val="en-US" w:eastAsia="zh-CN"/>
        </w:rPr>
        <w:t>项目</w:t>
      </w:r>
      <w:r>
        <w:rPr>
          <w:rFonts w:hint="eastAsia" w:ascii="宋体" w:hAnsi="宋体" w:eastAsia="宋体" w:cs="宋体"/>
          <w:b/>
          <w:color w:val="auto"/>
          <w:sz w:val="36"/>
          <w:szCs w:val="36"/>
          <w:highlight w:val="none"/>
        </w:rPr>
        <w:t>采购需求调查</w:t>
      </w:r>
      <w:r>
        <w:rPr>
          <w:rFonts w:hint="eastAsia" w:ascii="宋体" w:hAnsi="宋体" w:eastAsia="宋体" w:cs="宋体"/>
          <w:b/>
          <w:bCs/>
          <w:color w:val="auto"/>
          <w:sz w:val="36"/>
          <w:szCs w:val="36"/>
          <w:highlight w:val="none"/>
        </w:rPr>
        <w:t>表</w:t>
      </w:r>
    </w:p>
    <w:tbl>
      <w:tblPr>
        <w:tblStyle w:val="10"/>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985"/>
        <w:gridCol w:w="1916"/>
        <w:gridCol w:w="3045"/>
      </w:tblGrid>
      <w:tr w14:paraId="425B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2" w:type="dxa"/>
            <w:noWrap w:val="0"/>
            <w:vAlign w:val="center"/>
          </w:tcPr>
          <w:p w14:paraId="3FCF1221">
            <w:pPr>
              <w:jc w:val="center"/>
              <w:rPr>
                <w:rFonts w:hint="eastAsia" w:ascii="宋体" w:hAnsi="宋体" w:eastAsia="宋体" w:cs="宋体"/>
                <w:b/>
                <w:color w:val="auto"/>
                <w:spacing w:val="58"/>
                <w:kern w:val="0"/>
                <w:sz w:val="24"/>
                <w:highlight w:val="none"/>
              </w:rPr>
            </w:pPr>
            <w:r>
              <w:rPr>
                <w:rFonts w:hint="eastAsia" w:ascii="宋体" w:hAnsi="宋体" w:eastAsia="宋体" w:cs="宋体"/>
                <w:b/>
                <w:color w:val="auto"/>
                <w:spacing w:val="30"/>
                <w:w w:val="99"/>
                <w:kern w:val="0"/>
                <w:sz w:val="24"/>
                <w:highlight w:val="none"/>
              </w:rPr>
              <w:t>采购项目名称</w:t>
            </w:r>
          </w:p>
        </w:tc>
        <w:tc>
          <w:tcPr>
            <w:tcW w:w="6946" w:type="dxa"/>
            <w:gridSpan w:val="3"/>
            <w:noWrap w:val="0"/>
            <w:vAlign w:val="center"/>
          </w:tcPr>
          <w:p w14:paraId="413BF40D">
            <w:pPr>
              <w:jc w:val="center"/>
              <w:rPr>
                <w:rFonts w:hint="eastAsia" w:ascii="宋体" w:hAnsi="宋体" w:eastAsia="宋体" w:cs="宋体"/>
                <w:b/>
                <w:color w:val="auto"/>
                <w:sz w:val="24"/>
                <w:highlight w:val="none"/>
              </w:rPr>
            </w:pPr>
            <w:r>
              <w:rPr>
                <w:rFonts w:hint="eastAsia" w:ascii="宋体" w:hAnsi="宋体" w:cs="宋体"/>
                <w:b/>
                <w:bCs/>
                <w:color w:val="auto"/>
                <w:kern w:val="0"/>
                <w:sz w:val="21"/>
                <w:szCs w:val="21"/>
                <w:highlight w:val="none"/>
                <w:u w:val="none"/>
                <w:lang w:val="en-US" w:eastAsia="zh-CN" w:bidi="ar"/>
              </w:rPr>
              <w:t>青田县入河排污口规范化建设及水环境通量在线监测项目日常运维服务项目</w:t>
            </w:r>
          </w:p>
        </w:tc>
      </w:tr>
      <w:tr w14:paraId="5718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2" w:type="dxa"/>
            <w:tcBorders>
              <w:bottom w:val="single" w:color="auto" w:sz="4" w:space="0"/>
            </w:tcBorders>
            <w:noWrap w:val="0"/>
            <w:vAlign w:val="center"/>
          </w:tcPr>
          <w:p w14:paraId="6FC15335">
            <w:pPr>
              <w:jc w:val="center"/>
              <w:rPr>
                <w:rFonts w:hint="eastAsia" w:ascii="宋体" w:hAnsi="宋体" w:eastAsia="宋体" w:cs="宋体"/>
                <w:b/>
                <w:color w:val="auto"/>
                <w:sz w:val="24"/>
                <w:highlight w:val="none"/>
              </w:rPr>
            </w:pPr>
            <w:r>
              <w:rPr>
                <w:rFonts w:hint="eastAsia" w:ascii="宋体" w:hAnsi="宋体" w:eastAsia="宋体" w:cs="宋体"/>
                <w:b/>
                <w:color w:val="auto"/>
                <w:spacing w:val="30"/>
                <w:w w:val="99"/>
                <w:kern w:val="0"/>
                <w:sz w:val="24"/>
                <w:highlight w:val="none"/>
              </w:rPr>
              <w:t>预算</w:t>
            </w:r>
            <w:r>
              <w:rPr>
                <w:rFonts w:hint="eastAsia" w:ascii="宋体" w:hAnsi="宋体" w:cs="宋体"/>
                <w:b/>
                <w:color w:val="auto"/>
                <w:spacing w:val="30"/>
                <w:w w:val="99"/>
                <w:kern w:val="0"/>
                <w:sz w:val="24"/>
                <w:highlight w:val="none"/>
                <w:lang w:eastAsia="zh-CN"/>
              </w:rPr>
              <w:t>询价</w:t>
            </w:r>
            <w:r>
              <w:rPr>
                <w:rFonts w:hint="eastAsia" w:ascii="宋体" w:hAnsi="宋体" w:eastAsia="宋体" w:cs="宋体"/>
                <w:b/>
                <w:color w:val="auto"/>
                <w:spacing w:val="30"/>
                <w:w w:val="99"/>
                <w:kern w:val="0"/>
                <w:sz w:val="24"/>
                <w:highlight w:val="none"/>
              </w:rPr>
              <w:t>金额</w:t>
            </w:r>
          </w:p>
        </w:tc>
        <w:tc>
          <w:tcPr>
            <w:tcW w:w="6946" w:type="dxa"/>
            <w:gridSpan w:val="3"/>
            <w:tcBorders>
              <w:bottom w:val="single" w:color="auto" w:sz="4" w:space="0"/>
            </w:tcBorders>
            <w:noWrap w:val="0"/>
            <w:vAlign w:val="center"/>
          </w:tcPr>
          <w:p w14:paraId="6EA994F6">
            <w:pPr>
              <w:jc w:val="center"/>
              <w:rPr>
                <w:rFonts w:hint="eastAsia" w:ascii="宋体" w:hAnsi="宋体" w:eastAsia="宋体" w:cs="宋体"/>
                <w:b/>
                <w:color w:val="auto"/>
                <w:sz w:val="24"/>
                <w:highlight w:val="none"/>
              </w:rPr>
            </w:pPr>
          </w:p>
        </w:tc>
      </w:tr>
      <w:tr w14:paraId="4F7B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2" w:type="dxa"/>
            <w:tcBorders>
              <w:bottom w:val="single" w:color="auto" w:sz="4" w:space="0"/>
            </w:tcBorders>
            <w:noWrap w:val="0"/>
            <w:vAlign w:val="center"/>
          </w:tcPr>
          <w:p w14:paraId="6C30AF6B">
            <w:pPr>
              <w:jc w:val="center"/>
              <w:rPr>
                <w:rFonts w:hint="eastAsia" w:ascii="宋体" w:hAnsi="宋体" w:eastAsia="宋体" w:cs="宋体"/>
                <w:b/>
                <w:color w:val="auto"/>
                <w:spacing w:val="30"/>
                <w:w w:val="99"/>
                <w:kern w:val="0"/>
                <w:sz w:val="24"/>
                <w:highlight w:val="none"/>
              </w:rPr>
            </w:pPr>
            <w:r>
              <w:rPr>
                <w:rFonts w:hint="eastAsia" w:ascii="宋体" w:hAnsi="宋体" w:eastAsia="宋体" w:cs="宋体"/>
                <w:b/>
                <w:color w:val="auto"/>
                <w:spacing w:val="30"/>
                <w:w w:val="99"/>
                <w:kern w:val="0"/>
                <w:sz w:val="24"/>
                <w:highlight w:val="none"/>
              </w:rPr>
              <w:t>需求调查时间</w:t>
            </w:r>
          </w:p>
        </w:tc>
        <w:tc>
          <w:tcPr>
            <w:tcW w:w="6946" w:type="dxa"/>
            <w:gridSpan w:val="3"/>
            <w:tcBorders>
              <w:bottom w:val="single" w:color="auto" w:sz="4" w:space="0"/>
            </w:tcBorders>
            <w:noWrap w:val="0"/>
            <w:vAlign w:val="center"/>
          </w:tcPr>
          <w:p w14:paraId="3C67DA76">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年   月    日 </w:t>
            </w:r>
            <w:r>
              <w:rPr>
                <w:rFonts w:hint="eastAsia" w:ascii="宋体" w:hAnsi="宋体" w:cs="宋体"/>
                <w:b/>
                <w:color w:val="auto"/>
                <w:sz w:val="24"/>
                <w:highlight w:val="none"/>
                <w:lang w:val="en-US" w:eastAsia="zh-CN"/>
              </w:rPr>
              <w:t xml:space="preserve"> </w:t>
            </w:r>
          </w:p>
        </w:tc>
      </w:tr>
      <w:tr w14:paraId="74D3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2" w:type="dxa"/>
            <w:tcBorders>
              <w:bottom w:val="single" w:color="auto" w:sz="4" w:space="0"/>
            </w:tcBorders>
            <w:noWrap w:val="0"/>
            <w:vAlign w:val="center"/>
          </w:tcPr>
          <w:p w14:paraId="77C7BC42">
            <w:pPr>
              <w:jc w:val="center"/>
              <w:rPr>
                <w:rFonts w:hint="eastAsia" w:ascii="宋体" w:hAnsi="宋体" w:eastAsia="宋体" w:cs="宋体"/>
                <w:b/>
                <w:color w:val="auto"/>
                <w:spacing w:val="30"/>
                <w:w w:val="99"/>
                <w:kern w:val="0"/>
                <w:sz w:val="24"/>
                <w:highlight w:val="none"/>
              </w:rPr>
            </w:pPr>
            <w:r>
              <w:rPr>
                <w:rFonts w:hint="eastAsia" w:ascii="宋体" w:hAnsi="宋体" w:eastAsia="宋体" w:cs="宋体"/>
                <w:b/>
                <w:color w:val="auto"/>
                <w:spacing w:val="30"/>
                <w:w w:val="99"/>
                <w:kern w:val="0"/>
                <w:sz w:val="24"/>
                <w:highlight w:val="none"/>
              </w:rPr>
              <w:t>调查对象名称</w:t>
            </w:r>
          </w:p>
        </w:tc>
        <w:tc>
          <w:tcPr>
            <w:tcW w:w="6946" w:type="dxa"/>
            <w:gridSpan w:val="3"/>
            <w:tcBorders>
              <w:bottom w:val="single" w:color="auto" w:sz="4" w:space="0"/>
            </w:tcBorders>
            <w:noWrap w:val="0"/>
            <w:vAlign w:val="center"/>
          </w:tcPr>
          <w:p w14:paraId="418F8884">
            <w:pPr>
              <w:jc w:val="center"/>
              <w:rPr>
                <w:rFonts w:hint="eastAsia" w:ascii="宋体" w:hAnsi="宋体" w:eastAsia="宋体" w:cs="宋体"/>
                <w:b/>
                <w:color w:val="auto"/>
                <w:sz w:val="24"/>
                <w:highlight w:val="none"/>
              </w:rPr>
            </w:pPr>
          </w:p>
        </w:tc>
      </w:tr>
      <w:tr w14:paraId="6DBF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2" w:type="dxa"/>
            <w:tcBorders>
              <w:bottom w:val="single" w:color="auto" w:sz="4" w:space="0"/>
            </w:tcBorders>
            <w:noWrap w:val="0"/>
            <w:vAlign w:val="center"/>
          </w:tcPr>
          <w:p w14:paraId="3410B98C">
            <w:pPr>
              <w:jc w:val="center"/>
              <w:rPr>
                <w:rFonts w:hint="eastAsia" w:ascii="宋体" w:hAnsi="宋体" w:eastAsia="宋体" w:cs="宋体"/>
                <w:b/>
                <w:color w:val="auto"/>
                <w:spacing w:val="30"/>
                <w:w w:val="99"/>
                <w:kern w:val="0"/>
                <w:sz w:val="24"/>
                <w:highlight w:val="none"/>
              </w:rPr>
            </w:pPr>
            <w:r>
              <w:rPr>
                <w:rFonts w:hint="eastAsia" w:ascii="宋体" w:hAnsi="宋体" w:eastAsia="宋体" w:cs="宋体"/>
                <w:b/>
                <w:color w:val="auto"/>
                <w:spacing w:val="30"/>
                <w:w w:val="99"/>
                <w:kern w:val="0"/>
                <w:sz w:val="24"/>
                <w:highlight w:val="none"/>
              </w:rPr>
              <w:t>联系人</w:t>
            </w:r>
          </w:p>
        </w:tc>
        <w:tc>
          <w:tcPr>
            <w:tcW w:w="1985" w:type="dxa"/>
            <w:tcBorders>
              <w:bottom w:val="single" w:color="auto" w:sz="4" w:space="0"/>
            </w:tcBorders>
            <w:noWrap w:val="0"/>
            <w:vAlign w:val="center"/>
          </w:tcPr>
          <w:p w14:paraId="6E56C30F">
            <w:pPr>
              <w:jc w:val="center"/>
              <w:rPr>
                <w:rFonts w:hint="eastAsia" w:ascii="宋体" w:hAnsi="宋体" w:eastAsia="宋体" w:cs="宋体"/>
                <w:b/>
                <w:color w:val="auto"/>
                <w:sz w:val="24"/>
                <w:highlight w:val="none"/>
              </w:rPr>
            </w:pPr>
          </w:p>
        </w:tc>
        <w:tc>
          <w:tcPr>
            <w:tcW w:w="1916" w:type="dxa"/>
            <w:tcBorders>
              <w:bottom w:val="single" w:color="auto" w:sz="4" w:space="0"/>
            </w:tcBorders>
            <w:noWrap w:val="0"/>
            <w:vAlign w:val="center"/>
          </w:tcPr>
          <w:p w14:paraId="4F03D0F6">
            <w:pPr>
              <w:jc w:val="center"/>
              <w:rPr>
                <w:rFonts w:hint="eastAsia" w:ascii="宋体" w:hAnsi="宋体" w:eastAsia="宋体" w:cs="宋体"/>
                <w:b/>
                <w:color w:val="auto"/>
                <w:spacing w:val="30"/>
                <w:w w:val="99"/>
                <w:kern w:val="0"/>
                <w:sz w:val="24"/>
                <w:highlight w:val="none"/>
              </w:rPr>
            </w:pPr>
            <w:r>
              <w:rPr>
                <w:rFonts w:hint="eastAsia" w:ascii="宋体" w:hAnsi="宋体" w:eastAsia="宋体" w:cs="宋体"/>
                <w:b/>
                <w:color w:val="auto"/>
                <w:spacing w:val="30"/>
                <w:w w:val="99"/>
                <w:kern w:val="0"/>
                <w:sz w:val="24"/>
                <w:highlight w:val="none"/>
              </w:rPr>
              <w:t>联系电话</w:t>
            </w:r>
          </w:p>
        </w:tc>
        <w:tc>
          <w:tcPr>
            <w:tcW w:w="3045" w:type="dxa"/>
            <w:tcBorders>
              <w:bottom w:val="single" w:color="auto" w:sz="4" w:space="0"/>
            </w:tcBorders>
            <w:noWrap w:val="0"/>
            <w:vAlign w:val="center"/>
          </w:tcPr>
          <w:p w14:paraId="449F52C8">
            <w:pPr>
              <w:jc w:val="center"/>
              <w:rPr>
                <w:rFonts w:hint="eastAsia" w:ascii="宋体" w:hAnsi="宋体" w:eastAsia="宋体" w:cs="宋体"/>
                <w:b/>
                <w:color w:val="auto"/>
                <w:sz w:val="24"/>
                <w:highlight w:val="none"/>
              </w:rPr>
            </w:pPr>
          </w:p>
        </w:tc>
      </w:tr>
      <w:tr w14:paraId="6B64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52" w:type="dxa"/>
            <w:tcBorders>
              <w:bottom w:val="single" w:color="auto" w:sz="4" w:space="0"/>
            </w:tcBorders>
            <w:noWrap w:val="0"/>
            <w:vAlign w:val="center"/>
          </w:tcPr>
          <w:p w14:paraId="4BBA0763">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相关</w:t>
            </w:r>
            <w:r>
              <w:rPr>
                <w:rFonts w:hint="eastAsia" w:ascii="宋体" w:hAnsi="宋体" w:eastAsia="宋体" w:cs="宋体"/>
                <w:b/>
                <w:color w:val="auto"/>
                <w:sz w:val="24"/>
                <w:highlight w:val="none"/>
                <w:lang w:eastAsia="zh-CN"/>
              </w:rPr>
              <w:t>采购需求清单</w:t>
            </w:r>
            <w:r>
              <w:rPr>
                <w:rFonts w:hint="eastAsia" w:ascii="宋体" w:hAnsi="宋体" w:eastAsia="宋体" w:cs="宋体"/>
                <w:b/>
                <w:bCs/>
                <w:color w:val="auto"/>
                <w:sz w:val="24"/>
                <w:szCs w:val="16"/>
                <w:highlight w:val="none"/>
                <w:lang w:eastAsia="zh-CN"/>
              </w:rPr>
              <w:t>内容是否能满足要求</w:t>
            </w:r>
          </w:p>
        </w:tc>
        <w:tc>
          <w:tcPr>
            <w:tcW w:w="6946" w:type="dxa"/>
            <w:gridSpan w:val="3"/>
            <w:tcBorders>
              <w:bottom w:val="single" w:color="auto" w:sz="4" w:space="0"/>
            </w:tcBorders>
            <w:noWrap w:val="0"/>
            <w:vAlign w:val="top"/>
          </w:tcPr>
          <w:p w14:paraId="586758AA">
            <w:pPr>
              <w:jc w:val="left"/>
              <w:rPr>
                <w:rFonts w:hint="eastAsia" w:ascii="宋体" w:hAnsi="宋体" w:eastAsia="宋体" w:cs="宋体"/>
                <w:b/>
                <w:color w:val="auto"/>
                <w:sz w:val="24"/>
                <w:highlight w:val="none"/>
                <w:lang w:eastAsia="zh-CN"/>
              </w:rPr>
            </w:pPr>
            <w:r>
              <w:rPr>
                <w:rFonts w:hint="eastAsia" w:ascii="宋体" w:hAnsi="宋体" w:eastAsia="宋体" w:cs="宋体"/>
                <w:color w:val="auto"/>
                <w:highlight w:val="none"/>
              </w:rPr>
              <w:sym w:font="Wingdings 2" w:char="00A3"/>
            </w:r>
            <w:r>
              <w:rPr>
                <w:rFonts w:hint="eastAsia" w:ascii="宋体" w:hAnsi="宋体" w:cs="宋体"/>
                <w:b/>
                <w:color w:val="auto"/>
                <w:sz w:val="24"/>
                <w:highlight w:val="none"/>
                <w:lang w:eastAsia="zh-CN"/>
              </w:rPr>
              <w:t>满足</w:t>
            </w:r>
            <w:r>
              <w:rPr>
                <w:rFonts w:hint="eastAsia" w:ascii="宋体" w:hAnsi="宋体" w:cs="宋体"/>
                <w:b/>
                <w:color w:val="auto"/>
                <w:sz w:val="24"/>
                <w:highlight w:val="none"/>
                <w:lang w:val="en-US" w:eastAsia="zh-CN"/>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lang w:eastAsia="zh-CN"/>
              </w:rPr>
              <w:t>不</w:t>
            </w:r>
            <w:r>
              <w:rPr>
                <w:rFonts w:hint="eastAsia" w:ascii="宋体" w:hAnsi="宋体" w:cs="宋体"/>
                <w:b/>
                <w:color w:val="auto"/>
                <w:sz w:val="24"/>
                <w:highlight w:val="none"/>
                <w:lang w:eastAsia="zh-CN"/>
              </w:rPr>
              <w:t>满足</w:t>
            </w:r>
            <w:r>
              <w:rPr>
                <w:rFonts w:hint="eastAsia" w:ascii="宋体" w:hAnsi="宋体" w:cs="宋体"/>
                <w:b/>
                <w:color w:val="auto"/>
                <w:sz w:val="24"/>
                <w:highlight w:val="none"/>
                <w:lang w:val="en-US" w:eastAsia="zh-CN"/>
              </w:rPr>
              <w:t xml:space="preserve"> </w:t>
            </w:r>
          </w:p>
          <w:p w14:paraId="5113CD45">
            <w:pPr>
              <w:jc w:val="left"/>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如有不满足请逐条予以罗列：</w:t>
            </w:r>
          </w:p>
          <w:p w14:paraId="1CD9D2E8">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p w14:paraId="7CA3BA4F">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p w14:paraId="0F163B50">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r>
      <w:tr w14:paraId="201D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52" w:type="dxa"/>
            <w:tcBorders>
              <w:bottom w:val="single" w:color="auto" w:sz="4" w:space="0"/>
            </w:tcBorders>
            <w:noWrap w:val="0"/>
            <w:vAlign w:val="center"/>
          </w:tcPr>
          <w:p w14:paraId="5FB38B1C">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是否出现歧视性条款</w:t>
            </w:r>
          </w:p>
        </w:tc>
        <w:tc>
          <w:tcPr>
            <w:tcW w:w="6946" w:type="dxa"/>
            <w:gridSpan w:val="3"/>
            <w:tcBorders>
              <w:bottom w:val="single" w:color="auto" w:sz="4" w:space="0"/>
            </w:tcBorders>
            <w:noWrap w:val="0"/>
            <w:vAlign w:val="top"/>
          </w:tcPr>
          <w:p w14:paraId="52AB0DED">
            <w:pPr>
              <w:jc w:val="left"/>
              <w:rPr>
                <w:rFonts w:hint="eastAsia" w:ascii="宋体" w:hAnsi="宋体" w:eastAsia="宋体" w:cs="宋体"/>
                <w:b/>
                <w:color w:val="auto"/>
                <w:sz w:val="24"/>
                <w:highlight w:val="none"/>
                <w:lang w:eastAsia="zh-CN"/>
              </w:rPr>
            </w:pPr>
            <w:r>
              <w:rPr>
                <w:rFonts w:hint="eastAsia" w:ascii="宋体" w:hAnsi="宋体" w:eastAsia="宋体" w:cs="宋体"/>
                <w:color w:val="auto"/>
                <w:highlight w:val="none"/>
              </w:rPr>
              <w:sym w:font="Wingdings 2" w:char="00A3"/>
            </w:r>
            <w:r>
              <w:rPr>
                <w:rFonts w:hint="eastAsia" w:ascii="宋体" w:hAnsi="宋体" w:cs="宋体"/>
                <w:b/>
                <w:color w:val="auto"/>
                <w:sz w:val="24"/>
                <w:highlight w:val="none"/>
                <w:lang w:eastAsia="zh-CN"/>
              </w:rPr>
              <w:t>满足</w:t>
            </w:r>
            <w:r>
              <w:rPr>
                <w:rFonts w:hint="eastAsia" w:ascii="宋体" w:hAnsi="宋体" w:cs="宋体"/>
                <w:b/>
                <w:color w:val="auto"/>
                <w:sz w:val="24"/>
                <w:highlight w:val="none"/>
                <w:lang w:val="en-US" w:eastAsia="zh-CN"/>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lang w:eastAsia="zh-CN"/>
              </w:rPr>
              <w:t>不</w:t>
            </w:r>
            <w:r>
              <w:rPr>
                <w:rFonts w:hint="eastAsia" w:ascii="宋体" w:hAnsi="宋体" w:cs="宋体"/>
                <w:b/>
                <w:color w:val="auto"/>
                <w:sz w:val="24"/>
                <w:highlight w:val="none"/>
                <w:lang w:eastAsia="zh-CN"/>
              </w:rPr>
              <w:t>满足</w:t>
            </w:r>
            <w:r>
              <w:rPr>
                <w:rFonts w:hint="eastAsia" w:ascii="宋体" w:hAnsi="宋体" w:cs="宋体"/>
                <w:b/>
                <w:color w:val="auto"/>
                <w:sz w:val="24"/>
                <w:highlight w:val="none"/>
                <w:lang w:val="en-US" w:eastAsia="zh-CN"/>
              </w:rPr>
              <w:t xml:space="preserve"> </w:t>
            </w:r>
          </w:p>
          <w:p w14:paraId="72B2A4E3">
            <w:pPr>
              <w:jc w:val="left"/>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如有不满足请逐条予以罗列：</w:t>
            </w:r>
          </w:p>
          <w:p w14:paraId="0F24E969">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p w14:paraId="1D609288">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p w14:paraId="328A1384">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r>
      <w:tr w14:paraId="357E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52" w:type="dxa"/>
            <w:tcBorders>
              <w:bottom w:val="single" w:color="auto" w:sz="4" w:space="0"/>
            </w:tcBorders>
            <w:noWrap w:val="0"/>
            <w:vAlign w:val="center"/>
          </w:tcPr>
          <w:p w14:paraId="1098491A">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是否存在明显的倾向性意见和特定的性能指标</w:t>
            </w:r>
          </w:p>
        </w:tc>
        <w:tc>
          <w:tcPr>
            <w:tcW w:w="6946" w:type="dxa"/>
            <w:gridSpan w:val="3"/>
            <w:tcBorders>
              <w:bottom w:val="single" w:color="auto" w:sz="4" w:space="0"/>
            </w:tcBorders>
            <w:noWrap w:val="0"/>
            <w:vAlign w:val="top"/>
          </w:tcPr>
          <w:p w14:paraId="4B8B4EBC">
            <w:pPr>
              <w:jc w:val="left"/>
              <w:rPr>
                <w:rFonts w:hint="eastAsia" w:ascii="宋体" w:hAnsi="宋体" w:eastAsia="宋体" w:cs="宋体"/>
                <w:b/>
                <w:color w:val="auto"/>
                <w:sz w:val="24"/>
                <w:highlight w:val="none"/>
                <w:lang w:eastAsia="zh-CN"/>
              </w:rPr>
            </w:pPr>
            <w:r>
              <w:rPr>
                <w:rFonts w:hint="eastAsia" w:ascii="宋体" w:hAnsi="宋体" w:eastAsia="宋体" w:cs="宋体"/>
                <w:color w:val="auto"/>
                <w:highlight w:val="none"/>
              </w:rPr>
              <w:sym w:font="Wingdings 2" w:char="00A3"/>
            </w:r>
            <w:r>
              <w:rPr>
                <w:rFonts w:hint="eastAsia" w:ascii="宋体" w:hAnsi="宋体" w:cs="宋体"/>
                <w:b/>
                <w:color w:val="auto"/>
                <w:sz w:val="24"/>
                <w:highlight w:val="none"/>
                <w:lang w:eastAsia="zh-CN"/>
              </w:rPr>
              <w:t>满足</w:t>
            </w:r>
            <w:r>
              <w:rPr>
                <w:rFonts w:hint="eastAsia" w:ascii="宋体" w:hAnsi="宋体" w:cs="宋体"/>
                <w:b/>
                <w:color w:val="auto"/>
                <w:sz w:val="24"/>
                <w:highlight w:val="none"/>
                <w:lang w:val="en-US" w:eastAsia="zh-CN"/>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lang w:eastAsia="zh-CN"/>
              </w:rPr>
              <w:t>不</w:t>
            </w:r>
            <w:r>
              <w:rPr>
                <w:rFonts w:hint="eastAsia" w:ascii="宋体" w:hAnsi="宋体" w:cs="宋体"/>
                <w:b/>
                <w:color w:val="auto"/>
                <w:sz w:val="24"/>
                <w:highlight w:val="none"/>
                <w:lang w:eastAsia="zh-CN"/>
              </w:rPr>
              <w:t>满足</w:t>
            </w:r>
            <w:r>
              <w:rPr>
                <w:rFonts w:hint="eastAsia" w:ascii="宋体" w:hAnsi="宋体" w:cs="宋体"/>
                <w:b/>
                <w:color w:val="auto"/>
                <w:sz w:val="24"/>
                <w:highlight w:val="none"/>
                <w:lang w:val="en-US" w:eastAsia="zh-CN"/>
              </w:rPr>
              <w:t xml:space="preserve"> </w:t>
            </w:r>
          </w:p>
          <w:p w14:paraId="0CD21769">
            <w:pPr>
              <w:jc w:val="left"/>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如有不满足请逐条予以罗列：</w:t>
            </w:r>
          </w:p>
          <w:p w14:paraId="623E8B21">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p w14:paraId="7737B976">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p w14:paraId="4DACF8C3">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r>
      <w:tr w14:paraId="0FE0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552" w:type="dxa"/>
            <w:tcBorders>
              <w:bottom w:val="single" w:color="auto" w:sz="4" w:space="0"/>
            </w:tcBorders>
            <w:noWrap w:val="0"/>
            <w:vAlign w:val="center"/>
          </w:tcPr>
          <w:p w14:paraId="57BC2ADB">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其他相关情况</w:t>
            </w:r>
            <w:r>
              <w:rPr>
                <w:rFonts w:hint="eastAsia" w:ascii="宋体" w:hAnsi="宋体" w:cs="宋体"/>
                <w:b/>
                <w:color w:val="auto"/>
                <w:sz w:val="24"/>
                <w:highlight w:val="none"/>
                <w:lang w:eastAsia="zh-CN"/>
              </w:rPr>
              <w:t>建议</w:t>
            </w:r>
          </w:p>
        </w:tc>
        <w:tc>
          <w:tcPr>
            <w:tcW w:w="6946" w:type="dxa"/>
            <w:gridSpan w:val="3"/>
            <w:tcBorders>
              <w:bottom w:val="single" w:color="auto" w:sz="4" w:space="0"/>
            </w:tcBorders>
            <w:noWrap w:val="0"/>
            <w:vAlign w:val="top"/>
          </w:tcPr>
          <w:p w14:paraId="04C3AA4B">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 </w:t>
            </w:r>
          </w:p>
          <w:p w14:paraId="02A3E117">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2. </w:t>
            </w:r>
          </w:p>
          <w:p w14:paraId="6B906E55">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p w14:paraId="40D9A623">
            <w:pPr>
              <w:jc w:val="left"/>
              <w:rPr>
                <w:rFonts w:hint="eastAsia" w:ascii="宋体" w:hAnsi="宋体" w:eastAsia="宋体" w:cs="宋体"/>
                <w:b/>
                <w:color w:val="auto"/>
                <w:sz w:val="24"/>
                <w:highlight w:val="none"/>
              </w:rPr>
            </w:pPr>
          </w:p>
        </w:tc>
      </w:tr>
      <w:tr w14:paraId="64B0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552" w:type="dxa"/>
            <w:noWrap w:val="0"/>
            <w:vAlign w:val="center"/>
          </w:tcPr>
          <w:p w14:paraId="6A104D1B">
            <w:pPr>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单位及其</w:t>
            </w:r>
            <w:r>
              <w:rPr>
                <w:rFonts w:hint="eastAsia" w:ascii="宋体" w:hAnsi="宋体" w:eastAsia="宋体" w:cs="宋体"/>
                <w:b/>
                <w:color w:val="auto"/>
                <w:sz w:val="24"/>
                <w:highlight w:val="none"/>
              </w:rPr>
              <w:t>负责人</w:t>
            </w:r>
          </w:p>
          <w:p w14:paraId="75D2CC18">
            <w:pP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签字盖章</w:t>
            </w:r>
          </w:p>
        </w:tc>
        <w:tc>
          <w:tcPr>
            <w:tcW w:w="6946" w:type="dxa"/>
            <w:gridSpan w:val="3"/>
            <w:noWrap w:val="0"/>
            <w:vAlign w:val="top"/>
          </w:tcPr>
          <w:p w14:paraId="7DA38807">
            <w:pPr>
              <w:rPr>
                <w:rFonts w:hint="eastAsia" w:ascii="宋体" w:hAnsi="宋体" w:eastAsia="宋体" w:cs="宋体"/>
                <w:b/>
                <w:color w:val="auto"/>
                <w:szCs w:val="21"/>
                <w:highlight w:val="none"/>
              </w:rPr>
            </w:pPr>
          </w:p>
          <w:p w14:paraId="4C43560A">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签字：</w:t>
            </w:r>
          </w:p>
          <w:p w14:paraId="178E6C6A">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公章:</w:t>
            </w:r>
          </w:p>
          <w:p w14:paraId="7BF01CEE">
            <w:pPr>
              <w:jc w:val="left"/>
              <w:rPr>
                <w:rFonts w:hint="eastAsia" w:ascii="宋体" w:hAnsi="宋体" w:eastAsia="宋体" w:cs="宋体"/>
                <w:b/>
                <w:color w:val="auto"/>
                <w:sz w:val="24"/>
                <w:highlight w:val="none"/>
              </w:rPr>
            </w:pPr>
          </w:p>
          <w:p w14:paraId="0E5ED4EA">
            <w:pPr>
              <w:jc w:val="righ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     月     日</w:t>
            </w:r>
          </w:p>
        </w:tc>
      </w:tr>
    </w:tbl>
    <w:p w14:paraId="0CB7ABD8">
      <w:pP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后附相关说明。</w:t>
      </w:r>
    </w:p>
    <w:p w14:paraId="2152C02E">
      <w:pPr>
        <w:pStyle w:val="5"/>
        <w:rPr>
          <w:rStyle w:val="15"/>
          <w:rFonts w:hint="eastAsia" w:ascii="宋体" w:hAnsi="宋体" w:cs="宋体"/>
          <w:b/>
          <w:bCs/>
          <w:color w:val="auto"/>
          <w:szCs w:val="22"/>
          <w:highlight w:val="none"/>
        </w:rPr>
      </w:pPr>
      <w:r>
        <w:rPr>
          <w:rFonts w:hint="eastAsia" w:ascii="宋体" w:hAnsi="宋体" w:eastAsia="宋体" w:cs="宋体"/>
          <w:color w:val="auto"/>
          <w:highlight w:val="none"/>
        </w:rPr>
        <w:br w:type="page"/>
      </w:r>
    </w:p>
    <w:p w14:paraId="078F1C2C">
      <w:pPr>
        <w:pStyle w:val="5"/>
        <w:rPr>
          <w:rStyle w:val="15"/>
          <w:rFonts w:hint="eastAsia" w:ascii="宋体" w:hAnsi="宋体" w:cs="宋体"/>
          <w:b/>
          <w:bCs/>
          <w:color w:val="auto"/>
          <w:szCs w:val="22"/>
          <w:highlight w:val="none"/>
        </w:rPr>
      </w:pPr>
      <w:r>
        <w:rPr>
          <w:rStyle w:val="15"/>
          <w:rFonts w:hint="eastAsia" w:ascii="宋体" w:hAnsi="宋体" w:cs="宋体"/>
          <w:b/>
          <w:bCs/>
          <w:color w:val="auto"/>
          <w:szCs w:val="22"/>
          <w:highlight w:val="none"/>
        </w:rPr>
        <w:t>采购需求</w:t>
      </w:r>
      <w:bookmarkEnd w:id="0"/>
      <w:bookmarkEnd w:id="1"/>
    </w:p>
    <w:p w14:paraId="561C7F18">
      <w:pPr>
        <w:pStyle w:val="6"/>
        <w:pageBreakBefore w:val="0"/>
        <w:widowControl w:val="0"/>
        <w:kinsoku/>
        <w:wordWrap/>
        <w:overflowPunct/>
        <w:topLinePunct w:val="0"/>
        <w:autoSpaceDE/>
        <w:autoSpaceDN/>
        <w:bidi w:val="0"/>
        <w:adjustRightInd/>
        <w:snapToGrid w:val="0"/>
        <w:spacing w:line="348" w:lineRule="auto"/>
        <w:textAlignment w:val="auto"/>
        <w:rPr>
          <w:rFonts w:hint="eastAsia" w:ascii="宋体" w:hAnsi="宋体" w:cs="宋体"/>
          <w:color w:val="000000"/>
          <w:szCs w:val="21"/>
          <w:highlight w:val="none"/>
        </w:rPr>
      </w:pPr>
      <w:bookmarkStart w:id="2" w:name="_Toc17312"/>
      <w:bookmarkStart w:id="3" w:name="_Toc23996"/>
      <w:bookmarkStart w:id="4" w:name="_Toc5290"/>
      <w:bookmarkStart w:id="5" w:name="_Toc27398"/>
      <w:r>
        <w:rPr>
          <w:rFonts w:hint="eastAsia" w:ascii="宋体" w:hAnsi="宋体" w:cs="宋体"/>
          <w:color w:val="000000"/>
          <w:sz w:val="22"/>
          <w:szCs w:val="22"/>
          <w:highlight w:val="none"/>
        </w:rPr>
        <w:t>一</w:t>
      </w:r>
      <w:r>
        <w:rPr>
          <w:rFonts w:hint="eastAsia" w:ascii="宋体" w:hAnsi="宋体" w:cs="宋体"/>
          <w:color w:val="000000"/>
          <w:szCs w:val="21"/>
          <w:highlight w:val="none"/>
        </w:rPr>
        <w:t>、项目概况</w:t>
      </w:r>
      <w:bookmarkEnd w:id="2"/>
      <w:bookmarkEnd w:id="3"/>
      <w:bookmarkEnd w:id="4"/>
      <w:bookmarkEnd w:id="5"/>
    </w:p>
    <w:tbl>
      <w:tblPr>
        <w:tblStyle w:val="10"/>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378"/>
        <w:gridCol w:w="1335"/>
        <w:gridCol w:w="724"/>
        <w:gridCol w:w="3420"/>
      </w:tblGrid>
      <w:tr w14:paraId="5E1C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2" w:type="dxa"/>
            <w:noWrap w:val="0"/>
            <w:vAlign w:val="center"/>
          </w:tcPr>
          <w:p w14:paraId="7242BD36">
            <w:pPr>
              <w:pageBreakBefore w:val="0"/>
              <w:widowControl w:val="0"/>
              <w:tabs>
                <w:tab w:val="left" w:pos="5792"/>
              </w:tabs>
              <w:kinsoku/>
              <w:wordWrap/>
              <w:overflowPunct/>
              <w:topLinePunct w:val="0"/>
              <w:autoSpaceDE/>
              <w:autoSpaceDN/>
              <w:bidi w:val="0"/>
              <w:adjustRightInd/>
              <w:snapToGrid w:val="0"/>
              <w:spacing w:line="348" w:lineRule="auto"/>
              <w:jc w:val="center"/>
              <w:textAlignment w:val="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序号</w:t>
            </w:r>
          </w:p>
        </w:tc>
        <w:tc>
          <w:tcPr>
            <w:tcW w:w="3378" w:type="dxa"/>
            <w:noWrap w:val="0"/>
            <w:vAlign w:val="center"/>
          </w:tcPr>
          <w:p w14:paraId="48049A92">
            <w:pPr>
              <w:pageBreakBefore w:val="0"/>
              <w:widowControl w:val="0"/>
              <w:tabs>
                <w:tab w:val="left" w:pos="5792"/>
              </w:tabs>
              <w:kinsoku/>
              <w:wordWrap/>
              <w:overflowPunct/>
              <w:topLinePunct w:val="0"/>
              <w:autoSpaceDE/>
              <w:autoSpaceDN/>
              <w:bidi w:val="0"/>
              <w:adjustRightInd/>
              <w:snapToGrid w:val="0"/>
              <w:spacing w:line="348" w:lineRule="auto"/>
              <w:jc w:val="center"/>
              <w:textAlignment w:val="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 xml:space="preserve">采购内容 </w:t>
            </w:r>
          </w:p>
        </w:tc>
        <w:tc>
          <w:tcPr>
            <w:tcW w:w="1335" w:type="dxa"/>
            <w:noWrap w:val="0"/>
            <w:vAlign w:val="center"/>
          </w:tcPr>
          <w:p w14:paraId="2D99DADE">
            <w:pPr>
              <w:pageBreakBefore w:val="0"/>
              <w:widowControl w:val="0"/>
              <w:tabs>
                <w:tab w:val="left" w:pos="5792"/>
              </w:tabs>
              <w:kinsoku/>
              <w:wordWrap/>
              <w:overflowPunct/>
              <w:topLinePunct w:val="0"/>
              <w:autoSpaceDE/>
              <w:autoSpaceDN/>
              <w:bidi w:val="0"/>
              <w:adjustRightInd/>
              <w:snapToGrid w:val="0"/>
              <w:spacing w:line="348" w:lineRule="auto"/>
              <w:jc w:val="center"/>
              <w:textAlignment w:val="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预算金额</w:t>
            </w:r>
          </w:p>
        </w:tc>
        <w:tc>
          <w:tcPr>
            <w:tcW w:w="724" w:type="dxa"/>
            <w:noWrap w:val="0"/>
            <w:vAlign w:val="center"/>
          </w:tcPr>
          <w:p w14:paraId="1B252834">
            <w:pPr>
              <w:pageBreakBefore w:val="0"/>
              <w:widowControl w:val="0"/>
              <w:tabs>
                <w:tab w:val="left" w:pos="5792"/>
              </w:tabs>
              <w:kinsoku/>
              <w:wordWrap/>
              <w:overflowPunct/>
              <w:topLinePunct w:val="0"/>
              <w:autoSpaceDE/>
              <w:autoSpaceDN/>
              <w:bidi w:val="0"/>
              <w:adjustRightInd/>
              <w:snapToGrid w:val="0"/>
              <w:spacing w:line="348" w:lineRule="auto"/>
              <w:jc w:val="center"/>
              <w:textAlignment w:val="auto"/>
              <w:rPr>
                <w:rFonts w:hint="eastAsia" w:ascii="宋体" w:hAnsi="宋体" w:eastAsia="宋体" w:cs="宋体"/>
                <w:b/>
                <w:bCs/>
                <w:color w:val="000000"/>
                <w:kern w:val="0"/>
                <w:szCs w:val="21"/>
                <w:highlight w:val="none"/>
                <w:lang w:val="en-US" w:eastAsia="zh-CN"/>
              </w:rPr>
            </w:pPr>
            <w:r>
              <w:rPr>
                <w:rFonts w:hint="eastAsia" w:ascii="宋体" w:hAnsi="宋体" w:eastAsia="宋体" w:cs="宋体"/>
                <w:b/>
                <w:bCs/>
                <w:color w:val="000000"/>
                <w:kern w:val="0"/>
                <w:szCs w:val="21"/>
                <w:highlight w:val="none"/>
                <w:lang w:val="en-US" w:eastAsia="zh-CN"/>
              </w:rPr>
              <w:t>单位</w:t>
            </w:r>
          </w:p>
        </w:tc>
        <w:tc>
          <w:tcPr>
            <w:tcW w:w="3420" w:type="dxa"/>
            <w:noWrap w:val="0"/>
            <w:vAlign w:val="center"/>
          </w:tcPr>
          <w:p w14:paraId="2CAE2114">
            <w:pPr>
              <w:pageBreakBefore w:val="0"/>
              <w:widowControl w:val="0"/>
              <w:tabs>
                <w:tab w:val="left" w:pos="5792"/>
              </w:tabs>
              <w:kinsoku/>
              <w:wordWrap/>
              <w:overflowPunct/>
              <w:topLinePunct w:val="0"/>
              <w:autoSpaceDE/>
              <w:autoSpaceDN/>
              <w:bidi w:val="0"/>
              <w:adjustRightInd/>
              <w:snapToGrid w:val="0"/>
              <w:spacing w:line="348" w:lineRule="auto"/>
              <w:jc w:val="center"/>
              <w:textAlignment w:val="auto"/>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6A05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62" w:type="dxa"/>
            <w:noWrap w:val="0"/>
            <w:vAlign w:val="center"/>
          </w:tcPr>
          <w:p w14:paraId="5B55B6B0">
            <w:pPr>
              <w:pageBreakBefore w:val="0"/>
              <w:widowControl w:val="0"/>
              <w:kinsoku/>
              <w:wordWrap/>
              <w:overflowPunct/>
              <w:topLinePunct w:val="0"/>
              <w:autoSpaceDE/>
              <w:autoSpaceDN/>
              <w:bidi w:val="0"/>
              <w:adjustRightInd/>
              <w:snapToGrid w:val="0"/>
              <w:spacing w:line="348" w:lineRule="auto"/>
              <w:jc w:val="center"/>
              <w:textAlignment w:val="auto"/>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w:t>
            </w:r>
          </w:p>
        </w:tc>
        <w:tc>
          <w:tcPr>
            <w:tcW w:w="3378" w:type="dxa"/>
            <w:noWrap w:val="0"/>
            <w:vAlign w:val="center"/>
          </w:tcPr>
          <w:p w14:paraId="2D296607">
            <w:pPr>
              <w:pageBreakBefore w:val="0"/>
              <w:widowControl w:val="0"/>
              <w:kinsoku/>
              <w:wordWrap/>
              <w:overflowPunct/>
              <w:topLinePunct w:val="0"/>
              <w:autoSpaceDE/>
              <w:autoSpaceDN/>
              <w:bidi w:val="0"/>
              <w:adjustRightInd/>
              <w:snapToGrid w:val="0"/>
              <w:spacing w:line="348" w:lineRule="auto"/>
              <w:jc w:val="center"/>
              <w:textAlignment w:val="auto"/>
              <w:rPr>
                <w:rFonts w:hint="eastAsia" w:ascii="宋体" w:hAnsi="宋体" w:eastAsia="宋体" w:cs="宋体"/>
                <w:b w:val="0"/>
                <w:bCs w:val="0"/>
                <w:color w:val="auto"/>
                <w:kern w:val="0"/>
                <w:szCs w:val="21"/>
                <w:highlight w:val="none"/>
                <w:lang w:eastAsia="zh-CN"/>
              </w:rPr>
            </w:pPr>
            <w:r>
              <w:rPr>
                <w:rFonts w:hint="eastAsia" w:ascii="宋体" w:hAnsi="宋体" w:eastAsia="宋体" w:cs="宋体"/>
                <w:b w:val="0"/>
                <w:bCs w:val="0"/>
                <w:color w:val="auto"/>
                <w:kern w:val="0"/>
                <w:szCs w:val="21"/>
                <w:highlight w:val="none"/>
                <w:lang w:eastAsia="zh-CN"/>
              </w:rPr>
              <w:t>青田县入河排污口规范化建设及水环境通量在线监测项目日常运维服务项目</w:t>
            </w:r>
          </w:p>
        </w:tc>
        <w:tc>
          <w:tcPr>
            <w:tcW w:w="1335" w:type="dxa"/>
            <w:noWrap w:val="0"/>
            <w:vAlign w:val="center"/>
          </w:tcPr>
          <w:p w14:paraId="2AA01E36">
            <w:pPr>
              <w:pageBreakBefore w:val="0"/>
              <w:widowControl w:val="0"/>
              <w:kinsoku/>
              <w:wordWrap/>
              <w:overflowPunct/>
              <w:topLinePunct w:val="0"/>
              <w:autoSpaceDE/>
              <w:autoSpaceDN/>
              <w:bidi w:val="0"/>
              <w:adjustRightInd/>
              <w:snapToGrid w:val="0"/>
              <w:spacing w:line="348" w:lineRule="auto"/>
              <w:jc w:val="center"/>
              <w:textAlignment w:val="auto"/>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元</w:t>
            </w:r>
          </w:p>
        </w:tc>
        <w:tc>
          <w:tcPr>
            <w:tcW w:w="724" w:type="dxa"/>
            <w:noWrap w:val="0"/>
            <w:vAlign w:val="center"/>
          </w:tcPr>
          <w:p w14:paraId="32A97A7C">
            <w:pPr>
              <w:pageBreakBefore w:val="0"/>
              <w:widowControl w:val="0"/>
              <w:kinsoku/>
              <w:wordWrap/>
              <w:overflowPunct/>
              <w:topLinePunct w:val="0"/>
              <w:autoSpaceDE/>
              <w:autoSpaceDN/>
              <w:bidi w:val="0"/>
              <w:adjustRightInd/>
              <w:snapToGrid w:val="0"/>
              <w:spacing w:line="348" w:lineRule="auto"/>
              <w:jc w:val="center"/>
              <w:textAlignment w:val="auto"/>
              <w:rPr>
                <w:rFonts w:hint="default"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1项</w:t>
            </w:r>
          </w:p>
        </w:tc>
        <w:tc>
          <w:tcPr>
            <w:tcW w:w="3420" w:type="dxa"/>
            <w:noWrap w:val="0"/>
            <w:vAlign w:val="center"/>
          </w:tcPr>
          <w:p w14:paraId="7C3BA73B">
            <w:pPr>
              <w:pageBreakBefore w:val="0"/>
              <w:widowControl w:val="0"/>
              <w:kinsoku/>
              <w:wordWrap/>
              <w:overflowPunct/>
              <w:topLinePunct w:val="0"/>
              <w:autoSpaceDE/>
              <w:autoSpaceDN/>
              <w:bidi w:val="0"/>
              <w:adjustRightInd/>
              <w:snapToGrid w:val="0"/>
              <w:spacing w:line="348" w:lineRule="auto"/>
              <w:jc w:val="center"/>
              <w:textAlignment w:val="auto"/>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供应商报价不得超过预算金额，否则作无效标处理。</w:t>
            </w:r>
          </w:p>
        </w:tc>
      </w:tr>
    </w:tbl>
    <w:p w14:paraId="21B95F58">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sz w:val="21"/>
          <w:szCs w:val="21"/>
          <w:highlight w:val="none"/>
          <w:lang w:val="en-US" w:eastAsia="zh-CN"/>
        </w:rPr>
      </w:pPr>
      <w:bookmarkStart w:id="6" w:name="_Toc28213"/>
      <w:bookmarkStart w:id="7" w:name="_Toc12820"/>
      <w:bookmarkStart w:id="8" w:name="_Toc26614"/>
      <w:bookmarkStart w:id="9" w:name="_Toc3273"/>
      <w:bookmarkStart w:id="10" w:name="_Toc57309458"/>
      <w:bookmarkStart w:id="11" w:name="_Toc11146"/>
      <w:r>
        <w:rPr>
          <w:rFonts w:hint="eastAsia" w:ascii="宋体" w:hAnsi="宋体" w:eastAsia="宋体" w:cs="宋体"/>
          <w:color w:val="000000"/>
          <w:sz w:val="21"/>
          <w:szCs w:val="21"/>
          <w:highlight w:val="none"/>
          <w:lang w:val="en-US" w:eastAsia="zh-CN"/>
        </w:rPr>
        <w:t>2022年3月2日，国务院办公厅印发《关于加强入河入海排污口监督管理工作的实施意见》（国办函〔2022〕17号），围绕党中央、国务院明确的改革方向，研究设计改革政策措施，从总体要求、排查溯源、分类整治、监督管理、支撑保障五个方面明确了相关要求。强调要强化科技支撑，深入开展排污口管理基础性研究，构建“受纳水体－排污口－排污通道－排污单位”全过程监督管理体系。</w:t>
      </w:r>
      <w:bookmarkStart w:id="12" w:name="_Toc31454"/>
      <w:r>
        <w:rPr>
          <w:rFonts w:hint="eastAsia" w:ascii="宋体" w:hAnsi="宋体" w:eastAsia="宋体" w:cs="宋体"/>
          <w:color w:val="000000"/>
          <w:sz w:val="21"/>
          <w:szCs w:val="21"/>
          <w:highlight w:val="none"/>
          <w:lang w:val="en-US" w:eastAsia="zh-CN"/>
        </w:rPr>
        <w:t>青田县现有14套水质自动监测预警站，为保证预警站的正常运行，需开展水质预警站的运维工作，继续为改善水环境质量提供数据支撑。</w:t>
      </w:r>
    </w:p>
    <w:p w14:paraId="4218CD2F">
      <w:pPr>
        <w:pStyle w:val="6"/>
        <w:pageBreakBefore w:val="0"/>
        <w:widowControl w:val="0"/>
        <w:kinsoku/>
        <w:wordWrap/>
        <w:overflowPunct/>
        <w:topLinePunct w:val="0"/>
        <w:autoSpaceDE/>
        <w:autoSpaceDN/>
        <w:bidi w:val="0"/>
        <w:adjustRightInd/>
        <w:snapToGrid w:val="0"/>
        <w:spacing w:line="348" w:lineRule="auto"/>
        <w:textAlignment w:val="auto"/>
        <w:rPr>
          <w:rFonts w:hint="default" w:ascii="宋体" w:hAnsi="宋体" w:eastAsia="宋体" w:cs="宋体"/>
          <w:b/>
          <w:bCs/>
          <w:color w:val="auto"/>
          <w:szCs w:val="21"/>
          <w:highlight w:val="none"/>
          <w:lang w:val="en-US" w:eastAsia="zh-CN"/>
        </w:rPr>
      </w:pPr>
      <w:bookmarkStart w:id="13" w:name="_Toc19216"/>
      <w:r>
        <w:rPr>
          <w:rFonts w:hint="eastAsia" w:ascii="宋体" w:hAnsi="宋体" w:eastAsia="宋体" w:cs="宋体"/>
          <w:b/>
          <w:bCs/>
          <w:color w:val="auto"/>
          <w:szCs w:val="21"/>
          <w:highlight w:val="none"/>
          <w:lang w:val="en-US" w:eastAsia="zh-CN"/>
        </w:rPr>
        <w:t>二、</w:t>
      </w:r>
      <w:bookmarkEnd w:id="12"/>
      <w:r>
        <w:rPr>
          <w:rFonts w:hint="eastAsia" w:ascii="宋体" w:hAnsi="宋体" w:eastAsia="宋体" w:cs="宋体"/>
          <w:b/>
          <w:bCs/>
          <w:color w:val="auto"/>
          <w:szCs w:val="21"/>
          <w:highlight w:val="none"/>
          <w:lang w:val="en-US" w:eastAsia="zh-CN"/>
        </w:rPr>
        <w:t>工作内容</w:t>
      </w:r>
      <w:bookmarkEnd w:id="13"/>
    </w:p>
    <w:bookmarkEnd w:id="6"/>
    <w:bookmarkEnd w:id="7"/>
    <w:bookmarkEnd w:id="8"/>
    <w:p w14:paraId="2EDE03AD">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bookmarkStart w:id="14" w:name="_Toc24159"/>
      <w:bookmarkStart w:id="15" w:name="_Toc22085"/>
      <w:bookmarkStart w:id="16" w:name="_Toc27857"/>
      <w:bookmarkStart w:id="17" w:name="_Toc14081"/>
      <w:r>
        <w:rPr>
          <w:rFonts w:hint="eastAsia" w:ascii="宋体" w:hAnsi="宋体" w:eastAsia="宋体" w:cs="宋体"/>
          <w:color w:val="auto"/>
          <w:sz w:val="21"/>
          <w:szCs w:val="21"/>
          <w:highlight w:val="none"/>
          <w:lang w:val="en-US" w:eastAsia="zh-CN"/>
        </w:rPr>
        <w:t>为保障项目中14套水质自动监测预警站能够正常运行，本项目需在青田驻点运维，配备的专职技术人员不少于1名，专用运维车不少于1辆，维修工具两套，</w:t>
      </w:r>
      <w:r>
        <w:rPr>
          <w:rFonts w:hint="eastAsia" w:ascii="宋体" w:hAnsi="宋体" w:eastAsia="宋体" w:cs="宋体"/>
          <w:color w:val="auto"/>
          <w:kern w:val="0"/>
          <w:szCs w:val="21"/>
          <w:highlight w:val="none"/>
        </w:rPr>
        <w:t>此为本项目最低配备要求，供应商可优于上述配备。</w:t>
      </w:r>
    </w:p>
    <w:p w14:paraId="042F8BB2">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1、工作要求：</w:t>
      </w:r>
    </w:p>
    <w:p w14:paraId="273732A5">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（1）每日（含周末、节假日）上午提交数据统计日报至采购人指定负责人；</w:t>
      </w:r>
    </w:p>
    <w:p w14:paraId="055C1F9A">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auto"/>
          <w:sz w:val="21"/>
          <w:szCs w:val="21"/>
          <w:highlight w:val="none"/>
          <w:lang w:val="en-US" w:eastAsia="zh-CN"/>
        </w:rPr>
        <w:t>每月10号前提交上月运维记录资料版（包含但不限于日巡检表、日常运维记录（文字+照片）、应急运维记录、更换耗材或备品备件记录等）；</w:t>
      </w:r>
    </w:p>
    <w:p w14:paraId="492482EC">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（3）协助采购人配合现场对设备监督检查、环保督察，配合采购人解答运维期间设备相关技术问题等，形成检查记录（文字+照片）；</w:t>
      </w:r>
    </w:p>
    <w:p w14:paraId="481A3337">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（4）协助采购人对站点区域内水污染或水环境质量开展调查、检查。</w:t>
      </w:r>
    </w:p>
    <w:p w14:paraId="630799C8">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2、项目监测点位信息</w:t>
      </w:r>
    </w:p>
    <w:p w14:paraId="20F1C2C9">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表1 监测点位信息清单</w:t>
      </w:r>
    </w:p>
    <w:tbl>
      <w:tblPr>
        <w:tblStyle w:val="10"/>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63"/>
        <w:gridCol w:w="2127"/>
        <w:gridCol w:w="1275"/>
        <w:gridCol w:w="1209"/>
        <w:gridCol w:w="690"/>
        <w:gridCol w:w="900"/>
        <w:gridCol w:w="2522"/>
      </w:tblGrid>
      <w:tr w14:paraId="65F3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noWrap w:val="0"/>
            <w:vAlign w:val="center"/>
          </w:tcPr>
          <w:p w14:paraId="6D15A00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063" w:type="dxa"/>
            <w:noWrap w:val="0"/>
            <w:vAlign w:val="center"/>
          </w:tcPr>
          <w:p w14:paraId="2A3ABE8D">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2127" w:type="dxa"/>
            <w:noWrap w:val="0"/>
            <w:vAlign w:val="center"/>
          </w:tcPr>
          <w:p w14:paraId="0A015422">
            <w:pPr>
              <w:keepNext w:val="0"/>
              <w:keepLines w:val="0"/>
              <w:pageBreakBefore w:val="0"/>
              <w:widowControl w:val="0"/>
              <w:tabs>
                <w:tab w:val="left" w:pos="528"/>
              </w:tabs>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设</w:t>
            </w:r>
            <w:r>
              <w:rPr>
                <w:rFonts w:hint="eastAsia" w:ascii="宋体" w:hAnsi="宋体" w:eastAsia="宋体" w:cs="宋体"/>
                <w:b/>
                <w:sz w:val="21"/>
                <w:szCs w:val="21"/>
                <w:lang w:eastAsia="zh-Hans"/>
              </w:rPr>
              <w:t>备名</w:t>
            </w:r>
            <w:r>
              <w:rPr>
                <w:rFonts w:hint="eastAsia" w:ascii="宋体" w:hAnsi="宋体" w:eastAsia="宋体" w:cs="宋体"/>
                <w:b/>
                <w:sz w:val="21"/>
                <w:szCs w:val="21"/>
              </w:rPr>
              <w:t>称</w:t>
            </w:r>
          </w:p>
        </w:tc>
        <w:tc>
          <w:tcPr>
            <w:tcW w:w="1275" w:type="dxa"/>
            <w:noWrap w:val="0"/>
            <w:vAlign w:val="center"/>
          </w:tcPr>
          <w:p w14:paraId="644860B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经度</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w:t>
            </w:r>
            <w:r>
              <w:rPr>
                <w:rFonts w:hint="eastAsia" w:ascii="宋体" w:hAnsi="宋体" w:eastAsia="宋体" w:cs="宋体"/>
                <w:b/>
                <w:sz w:val="21"/>
                <w:szCs w:val="21"/>
                <w:lang w:eastAsia="zh-CN"/>
              </w:rPr>
              <w:t>）</w:t>
            </w:r>
          </w:p>
        </w:tc>
        <w:tc>
          <w:tcPr>
            <w:tcW w:w="1209" w:type="dxa"/>
            <w:noWrap w:val="0"/>
            <w:vAlign w:val="center"/>
          </w:tcPr>
          <w:p w14:paraId="3685996C">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纬度</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w:t>
            </w:r>
            <w:r>
              <w:rPr>
                <w:rFonts w:hint="eastAsia" w:ascii="宋体" w:hAnsi="宋体" w:eastAsia="宋体" w:cs="宋体"/>
                <w:b/>
                <w:sz w:val="21"/>
                <w:szCs w:val="21"/>
                <w:lang w:eastAsia="zh-CN"/>
              </w:rPr>
              <w:t>）</w:t>
            </w:r>
          </w:p>
        </w:tc>
        <w:tc>
          <w:tcPr>
            <w:tcW w:w="690" w:type="dxa"/>
            <w:noWrap w:val="0"/>
            <w:vAlign w:val="center"/>
          </w:tcPr>
          <w:p w14:paraId="5AE26C3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入河方式</w:t>
            </w:r>
          </w:p>
        </w:tc>
        <w:tc>
          <w:tcPr>
            <w:tcW w:w="900" w:type="dxa"/>
            <w:noWrap w:val="0"/>
            <w:vAlign w:val="center"/>
          </w:tcPr>
          <w:p w14:paraId="13B381D6">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受纳水体名称</w:t>
            </w:r>
          </w:p>
        </w:tc>
        <w:tc>
          <w:tcPr>
            <w:tcW w:w="2522" w:type="dxa"/>
            <w:noWrap w:val="0"/>
            <w:vAlign w:val="center"/>
          </w:tcPr>
          <w:p w14:paraId="316E1F1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监测指标</w:t>
            </w:r>
          </w:p>
        </w:tc>
      </w:tr>
      <w:tr w14:paraId="2144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noWrap w:val="0"/>
            <w:vAlign w:val="center"/>
          </w:tcPr>
          <w:p w14:paraId="0DAC71FF">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063" w:type="dxa"/>
            <w:noWrap w:val="0"/>
            <w:vAlign w:val="center"/>
          </w:tcPr>
          <w:p w14:paraId="5052E68A">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温溪小峙站</w:t>
            </w:r>
          </w:p>
        </w:tc>
        <w:tc>
          <w:tcPr>
            <w:tcW w:w="2127" w:type="dxa"/>
            <w:noWrap w:val="0"/>
            <w:vAlign w:val="center"/>
          </w:tcPr>
          <w:p w14:paraId="1E8240B6">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水质自动监测装置A（地表水九参数+总镍+总铬+氟化物，岸边式）</w:t>
            </w:r>
          </w:p>
        </w:tc>
        <w:tc>
          <w:tcPr>
            <w:tcW w:w="1275" w:type="dxa"/>
            <w:noWrap w:val="0"/>
            <w:vAlign w:val="center"/>
          </w:tcPr>
          <w:p w14:paraId="717F10F6">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120.376015</w:t>
            </w:r>
          </w:p>
        </w:tc>
        <w:tc>
          <w:tcPr>
            <w:tcW w:w="1209" w:type="dxa"/>
            <w:noWrap w:val="0"/>
            <w:vAlign w:val="center"/>
          </w:tcPr>
          <w:p w14:paraId="4EA085BA">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28.139272</w:t>
            </w:r>
          </w:p>
        </w:tc>
        <w:tc>
          <w:tcPr>
            <w:tcW w:w="690" w:type="dxa"/>
            <w:noWrap w:val="0"/>
            <w:vAlign w:val="center"/>
          </w:tcPr>
          <w:p w14:paraId="3F7FCA81">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明渠</w:t>
            </w:r>
          </w:p>
        </w:tc>
        <w:tc>
          <w:tcPr>
            <w:tcW w:w="900" w:type="dxa"/>
            <w:noWrap w:val="0"/>
            <w:vAlign w:val="center"/>
          </w:tcPr>
          <w:p w14:paraId="6300594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瓯江</w:t>
            </w:r>
          </w:p>
        </w:tc>
        <w:tc>
          <w:tcPr>
            <w:tcW w:w="2522" w:type="dxa"/>
            <w:noWrap w:val="0"/>
            <w:vAlign w:val="center"/>
          </w:tcPr>
          <w:p w14:paraId="4E46BB3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水质（五参数、总磷、总氮、氨氮、高锰酸盐指数、总镍、总铬、氟化物）、水量、视频监控</w:t>
            </w:r>
          </w:p>
        </w:tc>
      </w:tr>
      <w:tr w14:paraId="132C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450" w:type="dxa"/>
            <w:noWrap w:val="0"/>
            <w:vAlign w:val="center"/>
          </w:tcPr>
          <w:p w14:paraId="478CEF36">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063" w:type="dxa"/>
            <w:noWrap w:val="0"/>
            <w:vAlign w:val="center"/>
          </w:tcPr>
          <w:p w14:paraId="19BD51AA">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温溪2号口站</w:t>
            </w:r>
          </w:p>
        </w:tc>
        <w:tc>
          <w:tcPr>
            <w:tcW w:w="2127" w:type="dxa"/>
            <w:noWrap w:val="0"/>
            <w:vAlign w:val="center"/>
          </w:tcPr>
          <w:p w14:paraId="496D24F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水质自动监测装置B（地表水九参数+总镍+总铬，岸边式）</w:t>
            </w:r>
          </w:p>
        </w:tc>
        <w:tc>
          <w:tcPr>
            <w:tcW w:w="1275" w:type="dxa"/>
            <w:noWrap w:val="0"/>
            <w:vAlign w:val="center"/>
          </w:tcPr>
          <w:p w14:paraId="0EF5C5E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120.397102</w:t>
            </w:r>
          </w:p>
        </w:tc>
        <w:tc>
          <w:tcPr>
            <w:tcW w:w="1209" w:type="dxa"/>
            <w:noWrap w:val="0"/>
            <w:vAlign w:val="center"/>
          </w:tcPr>
          <w:p w14:paraId="05E58412">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28.164490</w:t>
            </w:r>
          </w:p>
        </w:tc>
        <w:tc>
          <w:tcPr>
            <w:tcW w:w="690" w:type="dxa"/>
            <w:noWrap w:val="0"/>
            <w:vAlign w:val="center"/>
          </w:tcPr>
          <w:p w14:paraId="2B26809D">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明渠</w:t>
            </w:r>
          </w:p>
        </w:tc>
        <w:tc>
          <w:tcPr>
            <w:tcW w:w="900" w:type="dxa"/>
            <w:noWrap w:val="0"/>
            <w:vAlign w:val="center"/>
          </w:tcPr>
          <w:p w14:paraId="1970AC31">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瓯江</w:t>
            </w:r>
          </w:p>
        </w:tc>
        <w:tc>
          <w:tcPr>
            <w:tcW w:w="2522" w:type="dxa"/>
            <w:noWrap w:val="0"/>
            <w:vAlign w:val="center"/>
          </w:tcPr>
          <w:p w14:paraId="6FDAE635">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水质（五参数、高锰酸盐指数、氨氮、总磷、总氮、总镍、总铬）、水量、视频监控</w:t>
            </w:r>
          </w:p>
        </w:tc>
      </w:tr>
      <w:tr w14:paraId="07D4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50" w:type="dxa"/>
            <w:noWrap w:val="0"/>
            <w:vAlign w:val="center"/>
          </w:tcPr>
          <w:p w14:paraId="64E1A79D">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063" w:type="dxa"/>
            <w:noWrap w:val="0"/>
            <w:vAlign w:val="center"/>
          </w:tcPr>
          <w:p w14:paraId="72ED1F5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温溪4号口站</w:t>
            </w:r>
          </w:p>
        </w:tc>
        <w:tc>
          <w:tcPr>
            <w:tcW w:w="2127" w:type="dxa"/>
            <w:noWrap w:val="0"/>
            <w:vAlign w:val="center"/>
          </w:tcPr>
          <w:p w14:paraId="7AFAE018">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水质自动监测装置B（地表水九参数+总镍+总铬，岸边式）</w:t>
            </w:r>
          </w:p>
        </w:tc>
        <w:tc>
          <w:tcPr>
            <w:tcW w:w="1275" w:type="dxa"/>
            <w:noWrap w:val="0"/>
            <w:vAlign w:val="center"/>
          </w:tcPr>
          <w:p w14:paraId="14FD5793">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120.361809</w:t>
            </w:r>
          </w:p>
        </w:tc>
        <w:tc>
          <w:tcPr>
            <w:tcW w:w="1209" w:type="dxa"/>
            <w:noWrap w:val="0"/>
            <w:vAlign w:val="center"/>
          </w:tcPr>
          <w:p w14:paraId="77270EAF">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28.135446</w:t>
            </w:r>
          </w:p>
        </w:tc>
        <w:tc>
          <w:tcPr>
            <w:tcW w:w="690" w:type="dxa"/>
            <w:noWrap w:val="0"/>
            <w:vAlign w:val="center"/>
          </w:tcPr>
          <w:p w14:paraId="01682E91">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明渠</w:t>
            </w:r>
          </w:p>
        </w:tc>
        <w:tc>
          <w:tcPr>
            <w:tcW w:w="900" w:type="dxa"/>
            <w:noWrap w:val="0"/>
            <w:vAlign w:val="center"/>
          </w:tcPr>
          <w:p w14:paraId="668D405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瓯江</w:t>
            </w:r>
          </w:p>
        </w:tc>
        <w:tc>
          <w:tcPr>
            <w:tcW w:w="2522" w:type="dxa"/>
            <w:noWrap w:val="0"/>
            <w:vAlign w:val="center"/>
          </w:tcPr>
          <w:p w14:paraId="6DBFEE9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水质（五参数、高锰酸盐指数、氨氮、总磷、总氮、总镍、总铬）、水量、视频监控</w:t>
            </w:r>
          </w:p>
        </w:tc>
      </w:tr>
      <w:tr w14:paraId="508F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0" w:type="dxa"/>
            <w:noWrap w:val="0"/>
            <w:vAlign w:val="center"/>
          </w:tcPr>
          <w:p w14:paraId="0232E03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063" w:type="dxa"/>
            <w:noWrap w:val="0"/>
            <w:vAlign w:val="center"/>
          </w:tcPr>
          <w:p w14:paraId="5EE92362">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船寮赤岩站</w:t>
            </w:r>
          </w:p>
        </w:tc>
        <w:tc>
          <w:tcPr>
            <w:tcW w:w="2127" w:type="dxa"/>
            <w:noWrap w:val="0"/>
            <w:vAlign w:val="center"/>
          </w:tcPr>
          <w:p w14:paraId="1CD6BB8B">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水质自动监测装置B（地表水九参数+总镍+总铬，岸边式）</w:t>
            </w:r>
          </w:p>
        </w:tc>
        <w:tc>
          <w:tcPr>
            <w:tcW w:w="1275" w:type="dxa"/>
            <w:noWrap w:val="0"/>
            <w:vAlign w:val="center"/>
          </w:tcPr>
          <w:p w14:paraId="562E00E0">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120.206757</w:t>
            </w:r>
          </w:p>
        </w:tc>
        <w:tc>
          <w:tcPr>
            <w:tcW w:w="1209" w:type="dxa"/>
            <w:noWrap w:val="0"/>
            <w:vAlign w:val="center"/>
          </w:tcPr>
          <w:p w14:paraId="3F924222">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28.268629</w:t>
            </w:r>
          </w:p>
        </w:tc>
        <w:tc>
          <w:tcPr>
            <w:tcW w:w="690" w:type="dxa"/>
            <w:noWrap w:val="0"/>
            <w:vAlign w:val="center"/>
          </w:tcPr>
          <w:p w14:paraId="2B72E17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明渠</w:t>
            </w:r>
          </w:p>
        </w:tc>
        <w:tc>
          <w:tcPr>
            <w:tcW w:w="900" w:type="dxa"/>
            <w:noWrap w:val="0"/>
            <w:vAlign w:val="center"/>
          </w:tcPr>
          <w:p w14:paraId="3812FDB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船寮港</w:t>
            </w:r>
          </w:p>
        </w:tc>
        <w:tc>
          <w:tcPr>
            <w:tcW w:w="2522" w:type="dxa"/>
            <w:noWrap w:val="0"/>
            <w:vAlign w:val="center"/>
          </w:tcPr>
          <w:p w14:paraId="16CD1E6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水质（五参数、高锰酸盐指数、氨氮、总磷、总氮、总镍、总铬）、水量、视频监控</w:t>
            </w:r>
          </w:p>
        </w:tc>
      </w:tr>
      <w:tr w14:paraId="7FFA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0" w:type="dxa"/>
            <w:noWrap w:val="0"/>
            <w:vAlign w:val="center"/>
          </w:tcPr>
          <w:p w14:paraId="288D68A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063" w:type="dxa"/>
            <w:noWrap w:val="0"/>
            <w:vAlign w:val="center"/>
          </w:tcPr>
          <w:p w14:paraId="138CAB09">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高湖徐岸（上）站</w:t>
            </w:r>
          </w:p>
        </w:tc>
        <w:tc>
          <w:tcPr>
            <w:tcW w:w="2127" w:type="dxa"/>
            <w:noWrap w:val="0"/>
            <w:vAlign w:val="center"/>
          </w:tcPr>
          <w:p w14:paraId="56310E92">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水质自动监测装置C（地表水九参数，岸边式）</w:t>
            </w:r>
          </w:p>
        </w:tc>
        <w:tc>
          <w:tcPr>
            <w:tcW w:w="1275" w:type="dxa"/>
            <w:noWrap w:val="0"/>
            <w:vAlign w:val="center"/>
          </w:tcPr>
          <w:p w14:paraId="643933B0">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120.217604</w:t>
            </w:r>
          </w:p>
        </w:tc>
        <w:tc>
          <w:tcPr>
            <w:tcW w:w="1209" w:type="dxa"/>
            <w:noWrap w:val="0"/>
            <w:vAlign w:val="center"/>
          </w:tcPr>
          <w:p w14:paraId="6C0FDA72">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28.340969</w:t>
            </w:r>
          </w:p>
        </w:tc>
        <w:tc>
          <w:tcPr>
            <w:tcW w:w="690" w:type="dxa"/>
            <w:noWrap w:val="0"/>
            <w:vAlign w:val="center"/>
          </w:tcPr>
          <w:p w14:paraId="6F8CBAB0">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管道</w:t>
            </w:r>
          </w:p>
        </w:tc>
        <w:tc>
          <w:tcPr>
            <w:tcW w:w="900" w:type="dxa"/>
            <w:noWrap w:val="0"/>
            <w:vAlign w:val="center"/>
          </w:tcPr>
          <w:p w14:paraId="599323E8">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十二都源</w:t>
            </w:r>
          </w:p>
        </w:tc>
        <w:tc>
          <w:tcPr>
            <w:tcW w:w="2522" w:type="dxa"/>
            <w:noWrap w:val="0"/>
            <w:vAlign w:val="center"/>
          </w:tcPr>
          <w:p w14:paraId="5190EC79">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水质（五参数、高锰酸盐指数、氨氮、总磷、总氮）、水量、视频监控</w:t>
            </w:r>
          </w:p>
        </w:tc>
      </w:tr>
      <w:tr w14:paraId="15FF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50" w:type="dxa"/>
            <w:noWrap w:val="0"/>
            <w:vAlign w:val="center"/>
          </w:tcPr>
          <w:p w14:paraId="00DCFA2C">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063" w:type="dxa"/>
            <w:noWrap w:val="0"/>
            <w:vAlign w:val="center"/>
          </w:tcPr>
          <w:p w14:paraId="7E5AEC9C">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油竹田步垟站</w:t>
            </w:r>
          </w:p>
        </w:tc>
        <w:tc>
          <w:tcPr>
            <w:tcW w:w="2127" w:type="dxa"/>
            <w:noWrap w:val="0"/>
            <w:vAlign w:val="center"/>
          </w:tcPr>
          <w:p w14:paraId="3B1BE2F1">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水质自动监测装置</w:t>
            </w:r>
            <w:r>
              <w:rPr>
                <w:rFonts w:hint="eastAsia" w:ascii="宋体" w:hAnsi="宋体" w:eastAsia="宋体" w:cs="宋体"/>
                <w:spacing w:val="-68"/>
                <w:sz w:val="21"/>
                <w:szCs w:val="21"/>
              </w:rPr>
              <w:t>D</w:t>
            </w:r>
            <w:r>
              <w:rPr>
                <w:rFonts w:hint="eastAsia" w:ascii="宋体" w:hAnsi="宋体" w:eastAsia="宋体" w:cs="宋体"/>
                <w:spacing w:val="-1"/>
                <w:sz w:val="21"/>
                <w:szCs w:val="21"/>
              </w:rPr>
              <w:t>（地</w:t>
            </w:r>
            <w:r>
              <w:rPr>
                <w:rFonts w:hint="eastAsia" w:ascii="宋体" w:hAnsi="宋体" w:eastAsia="宋体" w:cs="宋体"/>
                <w:sz w:val="21"/>
                <w:szCs w:val="21"/>
              </w:rPr>
              <w:t>表水九参数，浮标式）</w:t>
            </w:r>
          </w:p>
        </w:tc>
        <w:tc>
          <w:tcPr>
            <w:tcW w:w="1275" w:type="dxa"/>
            <w:noWrap w:val="0"/>
            <w:vAlign w:val="center"/>
          </w:tcPr>
          <w:p w14:paraId="56AD5406">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120.337885</w:t>
            </w:r>
          </w:p>
        </w:tc>
        <w:tc>
          <w:tcPr>
            <w:tcW w:w="1209" w:type="dxa"/>
            <w:noWrap w:val="0"/>
            <w:vAlign w:val="center"/>
          </w:tcPr>
          <w:p w14:paraId="005FC97F">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28.123672</w:t>
            </w:r>
          </w:p>
        </w:tc>
        <w:tc>
          <w:tcPr>
            <w:tcW w:w="690" w:type="dxa"/>
            <w:noWrap w:val="0"/>
            <w:vAlign w:val="center"/>
          </w:tcPr>
          <w:p w14:paraId="79F74C91">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涵洞</w:t>
            </w:r>
          </w:p>
        </w:tc>
        <w:tc>
          <w:tcPr>
            <w:tcW w:w="900" w:type="dxa"/>
            <w:noWrap w:val="0"/>
            <w:vAlign w:val="center"/>
          </w:tcPr>
          <w:p w14:paraId="6E59BAE9">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四都港</w:t>
            </w:r>
          </w:p>
        </w:tc>
        <w:tc>
          <w:tcPr>
            <w:tcW w:w="2522" w:type="dxa"/>
            <w:noWrap w:val="0"/>
            <w:vAlign w:val="center"/>
          </w:tcPr>
          <w:p w14:paraId="64818506">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浮标式，水质（五参数、高锰酸盐指数、氨氮、总磷、总氮）、视频监控</w:t>
            </w:r>
          </w:p>
        </w:tc>
      </w:tr>
      <w:tr w14:paraId="76F7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0" w:type="dxa"/>
            <w:noWrap w:val="0"/>
            <w:vAlign w:val="center"/>
          </w:tcPr>
          <w:p w14:paraId="4F8739B0">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063" w:type="dxa"/>
            <w:noWrap w:val="0"/>
            <w:vAlign w:val="center"/>
          </w:tcPr>
          <w:p w14:paraId="1C9245CB">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温溪高岗站</w:t>
            </w:r>
          </w:p>
        </w:tc>
        <w:tc>
          <w:tcPr>
            <w:tcW w:w="2127" w:type="dxa"/>
            <w:noWrap w:val="0"/>
            <w:vAlign w:val="center"/>
          </w:tcPr>
          <w:p w14:paraId="76423FAA">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水质自动监测装置B（地表水九参数+总镍+总铬，岸边式）</w:t>
            </w:r>
          </w:p>
        </w:tc>
        <w:tc>
          <w:tcPr>
            <w:tcW w:w="1275" w:type="dxa"/>
            <w:noWrap w:val="0"/>
            <w:vAlign w:val="center"/>
          </w:tcPr>
          <w:p w14:paraId="036CAD7C">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120.360126</w:t>
            </w:r>
          </w:p>
        </w:tc>
        <w:tc>
          <w:tcPr>
            <w:tcW w:w="1209" w:type="dxa"/>
            <w:noWrap w:val="0"/>
            <w:vAlign w:val="center"/>
          </w:tcPr>
          <w:p w14:paraId="5C8A73F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28.128392</w:t>
            </w:r>
          </w:p>
        </w:tc>
        <w:tc>
          <w:tcPr>
            <w:tcW w:w="690" w:type="dxa"/>
            <w:noWrap w:val="0"/>
            <w:vAlign w:val="center"/>
          </w:tcPr>
          <w:p w14:paraId="525A7AE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明渠</w:t>
            </w:r>
          </w:p>
        </w:tc>
        <w:tc>
          <w:tcPr>
            <w:tcW w:w="900" w:type="dxa"/>
            <w:noWrap w:val="0"/>
            <w:vAlign w:val="center"/>
          </w:tcPr>
          <w:p w14:paraId="0BDB6A5A">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瓯江</w:t>
            </w:r>
          </w:p>
        </w:tc>
        <w:tc>
          <w:tcPr>
            <w:tcW w:w="2522" w:type="dxa"/>
            <w:noWrap w:val="0"/>
            <w:vAlign w:val="center"/>
          </w:tcPr>
          <w:p w14:paraId="4A6E7838">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水质（五参数、高锰酸盐指数、氨氮、总磷、总氮、总镍、总铬）、水量、视频监控</w:t>
            </w:r>
          </w:p>
        </w:tc>
      </w:tr>
      <w:tr w14:paraId="362A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50" w:type="dxa"/>
            <w:noWrap w:val="0"/>
            <w:vAlign w:val="center"/>
          </w:tcPr>
          <w:p w14:paraId="658BADF1">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063" w:type="dxa"/>
            <w:noWrap w:val="0"/>
            <w:vAlign w:val="center"/>
          </w:tcPr>
          <w:p w14:paraId="3506ED00">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高湖徐岸（下）站</w:t>
            </w:r>
          </w:p>
        </w:tc>
        <w:tc>
          <w:tcPr>
            <w:tcW w:w="2127" w:type="dxa"/>
            <w:noWrap w:val="0"/>
            <w:vAlign w:val="center"/>
          </w:tcPr>
          <w:p w14:paraId="0C84B493">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水质自动监测装置C（地表水九参数，岸边式）</w:t>
            </w:r>
          </w:p>
        </w:tc>
        <w:tc>
          <w:tcPr>
            <w:tcW w:w="1275" w:type="dxa"/>
            <w:noWrap w:val="0"/>
            <w:vAlign w:val="center"/>
          </w:tcPr>
          <w:p w14:paraId="07158EB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120.217471</w:t>
            </w:r>
          </w:p>
        </w:tc>
        <w:tc>
          <w:tcPr>
            <w:tcW w:w="1209" w:type="dxa"/>
            <w:noWrap w:val="0"/>
            <w:vAlign w:val="center"/>
          </w:tcPr>
          <w:p w14:paraId="6B1B13C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28.336473</w:t>
            </w:r>
          </w:p>
        </w:tc>
        <w:tc>
          <w:tcPr>
            <w:tcW w:w="690" w:type="dxa"/>
            <w:noWrap w:val="0"/>
            <w:vAlign w:val="center"/>
          </w:tcPr>
          <w:p w14:paraId="0A63854D">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明渠</w:t>
            </w:r>
          </w:p>
        </w:tc>
        <w:tc>
          <w:tcPr>
            <w:tcW w:w="900" w:type="dxa"/>
            <w:noWrap w:val="0"/>
            <w:vAlign w:val="center"/>
          </w:tcPr>
          <w:p w14:paraId="4D260143">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十二都源</w:t>
            </w:r>
          </w:p>
        </w:tc>
        <w:tc>
          <w:tcPr>
            <w:tcW w:w="2522" w:type="dxa"/>
            <w:noWrap w:val="0"/>
            <w:vAlign w:val="center"/>
          </w:tcPr>
          <w:p w14:paraId="7D9B238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水质（五参数、高锰酸盐指数、氨氮、总磷、总氮）、水量、视频监控</w:t>
            </w:r>
          </w:p>
        </w:tc>
      </w:tr>
      <w:tr w14:paraId="0AC6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0" w:type="dxa"/>
            <w:noWrap w:val="0"/>
            <w:vAlign w:val="center"/>
          </w:tcPr>
          <w:p w14:paraId="2640D43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1063" w:type="dxa"/>
            <w:noWrap w:val="0"/>
            <w:vAlign w:val="center"/>
          </w:tcPr>
          <w:p w14:paraId="07174599">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菇溪黄垟坑站</w:t>
            </w:r>
          </w:p>
        </w:tc>
        <w:tc>
          <w:tcPr>
            <w:tcW w:w="2127" w:type="dxa"/>
            <w:noWrap w:val="0"/>
            <w:vAlign w:val="center"/>
          </w:tcPr>
          <w:p w14:paraId="3CB49789">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水质自动监测装置C（地表水九参数，岸边式）</w:t>
            </w:r>
          </w:p>
        </w:tc>
        <w:tc>
          <w:tcPr>
            <w:tcW w:w="1275" w:type="dxa"/>
            <w:noWrap w:val="0"/>
            <w:vAlign w:val="center"/>
          </w:tcPr>
          <w:p w14:paraId="54CFC97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120.374774</w:t>
            </w:r>
          </w:p>
        </w:tc>
        <w:tc>
          <w:tcPr>
            <w:tcW w:w="1209" w:type="dxa"/>
            <w:noWrap w:val="0"/>
            <w:vAlign w:val="center"/>
          </w:tcPr>
          <w:p w14:paraId="6A17BD7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28.277590</w:t>
            </w:r>
          </w:p>
        </w:tc>
        <w:tc>
          <w:tcPr>
            <w:tcW w:w="690" w:type="dxa"/>
            <w:noWrap w:val="0"/>
            <w:vAlign w:val="center"/>
          </w:tcPr>
          <w:p w14:paraId="0FA8441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明渠</w:t>
            </w:r>
          </w:p>
        </w:tc>
        <w:tc>
          <w:tcPr>
            <w:tcW w:w="900" w:type="dxa"/>
            <w:noWrap w:val="0"/>
            <w:vAlign w:val="center"/>
          </w:tcPr>
          <w:p w14:paraId="73D52141">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石洞源</w:t>
            </w:r>
          </w:p>
        </w:tc>
        <w:tc>
          <w:tcPr>
            <w:tcW w:w="2522" w:type="dxa"/>
            <w:noWrap w:val="0"/>
            <w:vAlign w:val="center"/>
          </w:tcPr>
          <w:p w14:paraId="7625C8D9">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水质（五参数、高锰酸盐指数、氨氮、总磷、总氮）、水量、视频监控</w:t>
            </w:r>
          </w:p>
        </w:tc>
      </w:tr>
      <w:tr w14:paraId="0F6F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50" w:type="dxa"/>
            <w:noWrap w:val="0"/>
            <w:vAlign w:val="center"/>
          </w:tcPr>
          <w:p w14:paraId="54148FD5">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1063" w:type="dxa"/>
            <w:noWrap w:val="0"/>
            <w:vAlign w:val="center"/>
          </w:tcPr>
          <w:p w14:paraId="1F215BCC">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菇溪金坑口站</w:t>
            </w:r>
          </w:p>
        </w:tc>
        <w:tc>
          <w:tcPr>
            <w:tcW w:w="2127" w:type="dxa"/>
            <w:noWrap w:val="0"/>
            <w:vAlign w:val="center"/>
          </w:tcPr>
          <w:p w14:paraId="752618B2">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水质自动监测装置E（地表水五参数，岸边式）</w:t>
            </w:r>
          </w:p>
        </w:tc>
        <w:tc>
          <w:tcPr>
            <w:tcW w:w="1275" w:type="dxa"/>
            <w:noWrap w:val="0"/>
            <w:vAlign w:val="center"/>
          </w:tcPr>
          <w:p w14:paraId="1D27398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120.375411</w:t>
            </w:r>
          </w:p>
        </w:tc>
        <w:tc>
          <w:tcPr>
            <w:tcW w:w="1209" w:type="dxa"/>
            <w:noWrap w:val="0"/>
            <w:vAlign w:val="center"/>
          </w:tcPr>
          <w:p w14:paraId="701F08FC">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28.277978</w:t>
            </w:r>
          </w:p>
        </w:tc>
        <w:tc>
          <w:tcPr>
            <w:tcW w:w="690" w:type="dxa"/>
            <w:noWrap w:val="0"/>
            <w:vAlign w:val="center"/>
          </w:tcPr>
          <w:p w14:paraId="02300F4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明渠</w:t>
            </w:r>
          </w:p>
        </w:tc>
        <w:tc>
          <w:tcPr>
            <w:tcW w:w="900" w:type="dxa"/>
            <w:noWrap w:val="0"/>
            <w:vAlign w:val="center"/>
          </w:tcPr>
          <w:p w14:paraId="0C12D5FC">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石洞源</w:t>
            </w:r>
          </w:p>
        </w:tc>
        <w:tc>
          <w:tcPr>
            <w:tcW w:w="2522" w:type="dxa"/>
            <w:noWrap w:val="0"/>
            <w:vAlign w:val="center"/>
          </w:tcPr>
          <w:p w14:paraId="7CB68758">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水质：五参数</w:t>
            </w:r>
          </w:p>
        </w:tc>
      </w:tr>
      <w:tr w14:paraId="7D12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0" w:type="dxa"/>
            <w:noWrap w:val="0"/>
            <w:vAlign w:val="center"/>
          </w:tcPr>
          <w:p w14:paraId="72C09343">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063" w:type="dxa"/>
            <w:noWrap w:val="0"/>
            <w:vAlign w:val="center"/>
          </w:tcPr>
          <w:p w14:paraId="7A47CF4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十一都源项山宫站</w:t>
            </w:r>
          </w:p>
        </w:tc>
        <w:tc>
          <w:tcPr>
            <w:tcW w:w="2127" w:type="dxa"/>
            <w:noWrap w:val="0"/>
            <w:vAlign w:val="center"/>
          </w:tcPr>
          <w:p w14:paraId="328D3F34">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水质自动监测装置C（地表水九参数，岸边式）</w:t>
            </w:r>
          </w:p>
        </w:tc>
        <w:tc>
          <w:tcPr>
            <w:tcW w:w="1275" w:type="dxa"/>
            <w:noWrap w:val="0"/>
            <w:vAlign w:val="center"/>
          </w:tcPr>
          <w:p w14:paraId="3A6E72A1">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120.221211</w:t>
            </w:r>
          </w:p>
        </w:tc>
        <w:tc>
          <w:tcPr>
            <w:tcW w:w="1209" w:type="dxa"/>
            <w:noWrap w:val="0"/>
            <w:vAlign w:val="center"/>
          </w:tcPr>
          <w:p w14:paraId="5E99FEF6">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28.305931</w:t>
            </w:r>
          </w:p>
        </w:tc>
        <w:tc>
          <w:tcPr>
            <w:tcW w:w="690" w:type="dxa"/>
            <w:noWrap w:val="0"/>
            <w:vAlign w:val="center"/>
          </w:tcPr>
          <w:p w14:paraId="4F6910D0">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900" w:type="dxa"/>
            <w:noWrap w:val="0"/>
            <w:vAlign w:val="center"/>
          </w:tcPr>
          <w:p w14:paraId="347AABC8">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十一都源</w:t>
            </w:r>
          </w:p>
        </w:tc>
        <w:tc>
          <w:tcPr>
            <w:tcW w:w="2522" w:type="dxa"/>
            <w:noWrap w:val="0"/>
            <w:vAlign w:val="center"/>
          </w:tcPr>
          <w:p w14:paraId="6376322A">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水质：（五参数、高锰酸盐指数、氨氮、总磷、总氮）、水量、视频监控</w:t>
            </w:r>
          </w:p>
        </w:tc>
      </w:tr>
      <w:tr w14:paraId="6A25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0" w:type="dxa"/>
            <w:noWrap w:val="0"/>
            <w:vAlign w:val="center"/>
          </w:tcPr>
          <w:p w14:paraId="2268E466">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1063" w:type="dxa"/>
            <w:noWrap w:val="0"/>
            <w:vAlign w:val="center"/>
          </w:tcPr>
          <w:p w14:paraId="542C03C9">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港头源港头站</w:t>
            </w:r>
          </w:p>
        </w:tc>
        <w:tc>
          <w:tcPr>
            <w:tcW w:w="2127" w:type="dxa"/>
            <w:noWrap w:val="0"/>
            <w:vAlign w:val="center"/>
          </w:tcPr>
          <w:p w14:paraId="01F1C816">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水质自动监测装置A（地表水九参数+总镍+总铬+氟化物，岸边式）</w:t>
            </w:r>
          </w:p>
        </w:tc>
        <w:tc>
          <w:tcPr>
            <w:tcW w:w="1275" w:type="dxa"/>
            <w:noWrap w:val="0"/>
            <w:vAlign w:val="center"/>
          </w:tcPr>
          <w:p w14:paraId="02179C6F">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120.375462</w:t>
            </w:r>
          </w:p>
        </w:tc>
        <w:tc>
          <w:tcPr>
            <w:tcW w:w="1209" w:type="dxa"/>
            <w:noWrap w:val="0"/>
            <w:vAlign w:val="center"/>
          </w:tcPr>
          <w:p w14:paraId="3D47914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28.137729</w:t>
            </w:r>
          </w:p>
        </w:tc>
        <w:tc>
          <w:tcPr>
            <w:tcW w:w="690" w:type="dxa"/>
            <w:noWrap w:val="0"/>
            <w:vAlign w:val="center"/>
          </w:tcPr>
          <w:p w14:paraId="22125D81">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900" w:type="dxa"/>
            <w:noWrap w:val="0"/>
            <w:vAlign w:val="center"/>
          </w:tcPr>
          <w:p w14:paraId="684A6427">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港头源</w:t>
            </w:r>
          </w:p>
        </w:tc>
        <w:tc>
          <w:tcPr>
            <w:tcW w:w="2522" w:type="dxa"/>
            <w:noWrap w:val="0"/>
            <w:vAlign w:val="center"/>
          </w:tcPr>
          <w:p w14:paraId="316AC0A9">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水质（五参数、高锰酸盐指数、氨氮、总磷、总氮、总镍、总铬、氟化物）、水量、视频监控</w:t>
            </w:r>
          </w:p>
        </w:tc>
      </w:tr>
      <w:tr w14:paraId="5D84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0" w:type="dxa"/>
            <w:noWrap w:val="0"/>
            <w:vAlign w:val="center"/>
          </w:tcPr>
          <w:p w14:paraId="359576FC">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1063" w:type="dxa"/>
            <w:noWrap w:val="0"/>
            <w:vAlign w:val="center"/>
          </w:tcPr>
          <w:p w14:paraId="2C315086">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石溪源金钟坦站</w:t>
            </w:r>
          </w:p>
        </w:tc>
        <w:tc>
          <w:tcPr>
            <w:tcW w:w="2127" w:type="dxa"/>
            <w:noWrap w:val="0"/>
            <w:vAlign w:val="center"/>
          </w:tcPr>
          <w:p w14:paraId="38391832">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水质自动监测装置C（地表水九参数，岸边式）</w:t>
            </w:r>
          </w:p>
        </w:tc>
        <w:tc>
          <w:tcPr>
            <w:tcW w:w="1275" w:type="dxa"/>
            <w:noWrap w:val="0"/>
            <w:vAlign w:val="center"/>
          </w:tcPr>
          <w:p w14:paraId="724D1453">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120.239004</w:t>
            </w:r>
          </w:p>
        </w:tc>
        <w:tc>
          <w:tcPr>
            <w:tcW w:w="1209" w:type="dxa"/>
            <w:noWrap w:val="0"/>
            <w:vAlign w:val="center"/>
          </w:tcPr>
          <w:p w14:paraId="25B2094E">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28.187147</w:t>
            </w:r>
          </w:p>
        </w:tc>
        <w:tc>
          <w:tcPr>
            <w:tcW w:w="690" w:type="dxa"/>
            <w:noWrap w:val="0"/>
            <w:vAlign w:val="center"/>
          </w:tcPr>
          <w:p w14:paraId="2A226B46">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900" w:type="dxa"/>
            <w:noWrap w:val="0"/>
            <w:vAlign w:val="center"/>
          </w:tcPr>
          <w:p w14:paraId="15029EE9">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石溪源</w:t>
            </w:r>
          </w:p>
        </w:tc>
        <w:tc>
          <w:tcPr>
            <w:tcW w:w="2522" w:type="dxa"/>
            <w:noWrap w:val="0"/>
            <w:vAlign w:val="center"/>
          </w:tcPr>
          <w:p w14:paraId="622DEF32">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水质（五参数、高锰酸盐指数、氨氮、总磷、总氮）、水量、视频监控</w:t>
            </w:r>
          </w:p>
        </w:tc>
      </w:tr>
      <w:tr w14:paraId="6741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50" w:type="dxa"/>
            <w:noWrap w:val="0"/>
            <w:vAlign w:val="center"/>
          </w:tcPr>
          <w:p w14:paraId="2CF14D18">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1063" w:type="dxa"/>
            <w:noWrap w:val="0"/>
            <w:vAlign w:val="center"/>
          </w:tcPr>
          <w:p w14:paraId="65E7EA60">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海溪西园站</w:t>
            </w:r>
          </w:p>
        </w:tc>
        <w:tc>
          <w:tcPr>
            <w:tcW w:w="2127" w:type="dxa"/>
            <w:noWrap w:val="0"/>
            <w:vAlign w:val="center"/>
          </w:tcPr>
          <w:p w14:paraId="6DF0308B">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水质自动监测装置C（地表水九参数，岸边式）</w:t>
            </w:r>
          </w:p>
        </w:tc>
        <w:tc>
          <w:tcPr>
            <w:tcW w:w="1275" w:type="dxa"/>
            <w:noWrap w:val="0"/>
            <w:vAlign w:val="center"/>
          </w:tcPr>
          <w:p w14:paraId="3D971166">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120.109974</w:t>
            </w:r>
          </w:p>
        </w:tc>
        <w:tc>
          <w:tcPr>
            <w:tcW w:w="1209" w:type="dxa"/>
            <w:noWrap w:val="0"/>
            <w:vAlign w:val="center"/>
          </w:tcPr>
          <w:p w14:paraId="26080ADA">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28.389289</w:t>
            </w:r>
          </w:p>
        </w:tc>
        <w:tc>
          <w:tcPr>
            <w:tcW w:w="690" w:type="dxa"/>
            <w:noWrap w:val="0"/>
            <w:vAlign w:val="center"/>
          </w:tcPr>
          <w:p w14:paraId="2FE77602">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明渠</w:t>
            </w:r>
          </w:p>
        </w:tc>
        <w:tc>
          <w:tcPr>
            <w:tcW w:w="900" w:type="dxa"/>
            <w:noWrap w:val="0"/>
            <w:vAlign w:val="center"/>
          </w:tcPr>
          <w:p w14:paraId="0760848C">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海溪源</w:t>
            </w:r>
          </w:p>
        </w:tc>
        <w:tc>
          <w:tcPr>
            <w:tcW w:w="2522" w:type="dxa"/>
            <w:noWrap w:val="0"/>
            <w:vAlign w:val="center"/>
          </w:tcPr>
          <w:p w14:paraId="6A59E6AA">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水质（五参数、高锰酸盐指数、氨氮、总磷、总氮）、水量、视频监控</w:t>
            </w:r>
          </w:p>
        </w:tc>
      </w:tr>
    </w:tbl>
    <w:p w14:paraId="250527A9">
      <w:pPr>
        <w:pStyle w:val="6"/>
        <w:pageBreakBefore w:val="0"/>
        <w:widowControl w:val="0"/>
        <w:kinsoku/>
        <w:wordWrap/>
        <w:overflowPunct/>
        <w:topLinePunct w:val="0"/>
        <w:autoSpaceDE/>
        <w:autoSpaceDN/>
        <w:bidi w:val="0"/>
        <w:adjustRightInd/>
        <w:snapToGrid w:val="0"/>
        <w:spacing w:line="348" w:lineRule="auto"/>
        <w:textAlignment w:val="auto"/>
        <w:rPr>
          <w:rFonts w:hint="eastAsia" w:ascii="Times New Roman" w:hAnsi="Times New Roman" w:eastAsia="宋体" w:cs="Times New Roman"/>
          <w:b/>
          <w:bCs/>
          <w:color w:val="auto"/>
          <w:szCs w:val="21"/>
          <w:highlight w:val="none"/>
          <w:lang w:val="en-US" w:eastAsia="zh-CN"/>
        </w:rPr>
      </w:pPr>
      <w:bookmarkStart w:id="18" w:name="_Toc24424"/>
      <w:r>
        <w:rPr>
          <w:rFonts w:hint="eastAsia" w:ascii="Times New Roman" w:hAnsi="Times New Roman" w:eastAsia="宋体" w:cs="Times New Roman"/>
          <w:b/>
          <w:bCs/>
          <w:color w:val="000000"/>
          <w:szCs w:val="21"/>
          <w:highlight w:val="none"/>
          <w:lang w:val="en-US" w:eastAsia="zh-CN"/>
        </w:rPr>
        <w:t>三、</w:t>
      </w:r>
      <w:bookmarkEnd w:id="14"/>
      <w:bookmarkEnd w:id="15"/>
      <w:bookmarkEnd w:id="16"/>
      <w:r>
        <w:rPr>
          <w:rFonts w:hint="eastAsia" w:ascii="Times New Roman" w:hAnsi="Times New Roman" w:eastAsia="宋体" w:cs="Times New Roman"/>
          <w:b/>
          <w:bCs/>
          <w:color w:val="000000"/>
          <w:szCs w:val="21"/>
          <w:highlight w:val="none"/>
          <w:lang w:val="en-US" w:eastAsia="zh-CN"/>
        </w:rPr>
        <w:t>服务</w:t>
      </w:r>
      <w:bookmarkEnd w:id="17"/>
      <w:r>
        <w:rPr>
          <w:rFonts w:hint="eastAsia" w:ascii="Times New Roman" w:hAnsi="Times New Roman" w:eastAsia="宋体" w:cs="Times New Roman"/>
          <w:b/>
          <w:bCs/>
          <w:color w:val="000000"/>
          <w:szCs w:val="21"/>
          <w:highlight w:val="none"/>
          <w:lang w:val="en-US" w:eastAsia="zh-CN"/>
        </w:rPr>
        <w:t>要求</w:t>
      </w:r>
      <w:bookmarkEnd w:id="18"/>
    </w:p>
    <w:p w14:paraId="2948856F">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auto"/>
          <w:szCs w:val="21"/>
          <w:highlight w:val="none"/>
        </w:rPr>
        <w:t>水质监测微型预警站按照“日监控，月巡查、季度核查、故障及时处理”的要求，开展日常维护和质控工作。每天对水质监测微型预</w:t>
      </w:r>
      <w:r>
        <w:rPr>
          <w:rFonts w:hint="eastAsia" w:ascii="宋体" w:hAnsi="宋体" w:eastAsia="宋体" w:cs="Times New Roman"/>
          <w:color w:val="000000"/>
          <w:szCs w:val="21"/>
          <w:highlight w:val="none"/>
        </w:rPr>
        <w:t>警站整个系统进行远程维护巡查，通过宏观检查各仪器运行的状况。每月在现场观察系统运行一个完整的周期，检查整个系统运行状况。通过每日监控、每月巡查，每季度核查，保障仪器设备和系统处于正常的运行状况。</w:t>
      </w:r>
      <w:r>
        <w:rPr>
          <w:rFonts w:hint="eastAsia" w:ascii="宋体" w:hAnsi="宋体" w:eastAsia="宋体" w:cs="Times New Roman"/>
          <w:color w:val="000000"/>
          <w:szCs w:val="21"/>
          <w:highlight w:val="none"/>
          <w:lang w:val="en-US" w:eastAsia="zh-CN"/>
        </w:rPr>
        <w:t>供应商的</w:t>
      </w:r>
      <w:r>
        <w:rPr>
          <w:rFonts w:hint="eastAsia" w:ascii="宋体" w:hAnsi="宋体" w:eastAsia="宋体" w:cs="Times New Roman"/>
          <w:color w:val="000000"/>
          <w:szCs w:val="21"/>
          <w:highlight w:val="none"/>
        </w:rPr>
        <w:t>技术人员配合业主填写运维记录。</w:t>
      </w:r>
      <w:r>
        <w:rPr>
          <w:rFonts w:hint="eastAsia" w:ascii="宋体" w:hAnsi="宋体" w:eastAsia="宋体" w:cs="Times New Roman"/>
          <w:color w:val="000000"/>
          <w:szCs w:val="21"/>
          <w:highlight w:val="none"/>
          <w:lang w:val="en-US" w:eastAsia="zh-CN"/>
        </w:rPr>
        <w:t>供应商</w:t>
      </w:r>
      <w:r>
        <w:rPr>
          <w:rFonts w:hint="eastAsia" w:ascii="宋体" w:hAnsi="宋体" w:eastAsia="宋体" w:cs="Times New Roman"/>
          <w:color w:val="000000"/>
          <w:szCs w:val="21"/>
          <w:highlight w:val="none"/>
        </w:rPr>
        <w:t>必须保障有专人服务现场设备、平台的运行，并保证24小时通信工具畅通。</w:t>
      </w:r>
    </w:p>
    <w:p w14:paraId="3AB2AC3C">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日常技术服务要求</w:t>
      </w:r>
    </w:p>
    <w:p w14:paraId="2A7CEE6A">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负责所有设备的日常技术支持，包括远程指导、现场查看。</w:t>
      </w:r>
    </w:p>
    <w:p w14:paraId="6385CED8">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技术人员按照要求远程查看设备，主动发现设备故障，将故障记录在案，并在规定时间内指导修复完成，及时向</w:t>
      </w:r>
      <w:r>
        <w:rPr>
          <w:rFonts w:hint="eastAsia" w:ascii="宋体" w:hAnsi="宋体" w:eastAsia="宋体" w:cs="Times New Roman"/>
          <w:color w:val="000000"/>
          <w:szCs w:val="21"/>
          <w:highlight w:val="none"/>
          <w:lang w:val="en-US" w:eastAsia="zh-CN"/>
        </w:rPr>
        <w:t>采购人</w:t>
      </w:r>
      <w:r>
        <w:rPr>
          <w:rFonts w:hint="eastAsia" w:ascii="宋体" w:hAnsi="宋体" w:eastAsia="宋体" w:cs="Times New Roman"/>
          <w:color w:val="000000"/>
          <w:szCs w:val="21"/>
          <w:highlight w:val="none"/>
        </w:rPr>
        <w:t>反馈情况。</w:t>
      </w:r>
    </w:p>
    <w:p w14:paraId="7D409411">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远程技术服务无法解决，</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szCs w:val="21"/>
          <w:highlight w:val="none"/>
        </w:rPr>
        <w:t>应在8个小时内到达现场并及时处理，</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小时</w:t>
      </w:r>
      <w:r>
        <w:rPr>
          <w:rFonts w:hint="eastAsia" w:ascii="宋体" w:hAnsi="宋体" w:eastAsia="宋体" w:cs="Times New Roman"/>
          <w:color w:val="auto"/>
          <w:szCs w:val="21"/>
          <w:highlight w:val="none"/>
          <w:lang w:val="en-US" w:eastAsia="zh-CN"/>
        </w:rPr>
        <w:t>内</w:t>
      </w:r>
      <w:r>
        <w:rPr>
          <w:rFonts w:hint="eastAsia" w:ascii="宋体" w:hAnsi="宋体" w:eastAsia="宋体" w:cs="Times New Roman"/>
          <w:color w:val="auto"/>
          <w:szCs w:val="21"/>
          <w:highlight w:val="none"/>
        </w:rPr>
        <w:t>负责修复</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如在</w:t>
      </w:r>
      <w:r>
        <w:rPr>
          <w:rFonts w:hint="eastAsia" w:ascii="宋体" w:hAnsi="宋体" w:eastAsia="宋体" w:cs="Times New Roman"/>
          <w:color w:val="auto"/>
          <w:szCs w:val="21"/>
          <w:highlight w:val="none"/>
        </w:rPr>
        <w:t>夜间故障</w:t>
      </w:r>
      <w:r>
        <w:rPr>
          <w:rFonts w:hint="eastAsia" w:ascii="宋体" w:hAnsi="宋体" w:eastAsia="宋体" w:cs="Times New Roman"/>
          <w:color w:val="auto"/>
          <w:szCs w:val="21"/>
          <w:highlight w:val="none"/>
          <w:lang w:val="en-US" w:eastAsia="zh-CN"/>
        </w:rPr>
        <w:t>的应</w:t>
      </w:r>
      <w:r>
        <w:rPr>
          <w:rFonts w:hint="eastAsia" w:ascii="宋体" w:hAnsi="宋体" w:eastAsia="宋体" w:cs="Times New Roman"/>
          <w:color w:val="auto"/>
          <w:szCs w:val="21"/>
          <w:highlight w:val="none"/>
        </w:rPr>
        <w:t>在第二天到达现场解决。</w:t>
      </w:r>
    </w:p>
    <w:p w14:paraId="151851CA">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总镍、总铬和氟化物水质分析仪的维护和保养，包括标准曲线校准、仪器检查、保养及维护，现场仪器故障的处理及零配件提供及更换，仪器设备的故障恢复等。及时校准现场仪器设备，实施对比监测，保证数据的准确、可靠。</w:t>
      </w:r>
    </w:p>
    <w:p w14:paraId="12863B18">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试剂的提供及更换</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包括含重金属指标和氟化物指标相应试剂、蒸馏水等的配置及提供，现场测试试剂使用的定期检查、补充及更换。</w:t>
      </w:r>
    </w:p>
    <w:p w14:paraId="0E949D85">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供水（采样）系统的维护和保养，包括对供水管路、泵体等设备进行故障处理、维护及保养，供水系统的故障恢复。</w:t>
      </w:r>
    </w:p>
    <w:p w14:paraId="0F9723D1">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跟踪现场端设备及监控中心系统硬软件设备的运行状况，做好故障的记录、分析，有问题及时处理迅速准确地提出排除方案，并排除故障，尽力减少故障造成的损失。</w:t>
      </w:r>
    </w:p>
    <w:p w14:paraId="202175F3">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B0F0"/>
          <w:szCs w:val="21"/>
          <w:highlight w:val="none"/>
        </w:rPr>
      </w:pP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保证设备运行正常，监控数据准确及时，实时上传至监控中心</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保障监控中心的正常运行、使用</w:t>
      </w:r>
      <w:r>
        <w:rPr>
          <w:rFonts w:hint="eastAsia" w:ascii="宋体" w:hAnsi="宋体" w:eastAsia="宋体" w:cs="Times New Roman"/>
          <w:color w:val="000000"/>
          <w:szCs w:val="21"/>
          <w:highlight w:val="none"/>
        </w:rPr>
        <w:t>。</w:t>
      </w:r>
    </w:p>
    <w:p w14:paraId="41BEAD91">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2.紧急技术支持</w:t>
      </w:r>
    </w:p>
    <w:p w14:paraId="4FE04C25">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下述内容，均由供应商负责完成，涉及的费用均包含在总报价内。</w:t>
      </w:r>
    </w:p>
    <w:p w14:paraId="1A7166FE">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设备部分</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000000"/>
          <w:szCs w:val="21"/>
          <w:highlight w:val="none"/>
        </w:rPr>
        <w:t>安排专人每天工作时间负责对平台系统的设备实时数据、设备状态、实时视频和录像存储等工作进行查看，如有故障负责管控故障修复时限并指导修复；对无法按时解决的需及时反馈</w:t>
      </w:r>
      <w:r>
        <w:rPr>
          <w:rFonts w:hint="eastAsia" w:ascii="宋体" w:hAnsi="宋体" w:eastAsia="宋体" w:cs="Times New Roman"/>
          <w:color w:val="000000"/>
          <w:szCs w:val="21"/>
          <w:highlight w:val="none"/>
          <w:lang w:val="en-US" w:eastAsia="zh-CN"/>
        </w:rPr>
        <w:t>给采购人</w:t>
      </w:r>
      <w:r>
        <w:rPr>
          <w:rFonts w:hint="eastAsia" w:ascii="宋体" w:hAnsi="宋体" w:eastAsia="宋体" w:cs="Times New Roman"/>
          <w:color w:val="000000"/>
          <w:szCs w:val="21"/>
          <w:highlight w:val="none"/>
        </w:rPr>
        <w:t>，并给出修复时限。</w:t>
      </w:r>
    </w:p>
    <w:p w14:paraId="05568067">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线路部分</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经技术人员排查后，确定故障节点是线路问题，需及时通知通讯运营商联系人员，由通讯运营商线路运维部门人员协同查修线路故障。</w:t>
      </w:r>
    </w:p>
    <w:p w14:paraId="1EEDAA0F">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供电部分</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经技术人员排查后，确定故障节点是监控点供电问题，需及时通知供电单位联系人员或现场检测太阳能供电系统线路，并由供电单位协同处理接电问题。</w:t>
      </w:r>
    </w:p>
    <w:p w14:paraId="35DD7844">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技术支持要求</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根据</w:t>
      </w:r>
      <w:r>
        <w:rPr>
          <w:rFonts w:hint="eastAsia" w:ascii="宋体" w:hAnsi="宋体" w:eastAsia="宋体" w:cs="Times New Roman"/>
          <w:color w:val="000000"/>
          <w:szCs w:val="21"/>
          <w:highlight w:val="none"/>
          <w:lang w:val="en-US" w:eastAsia="zh-CN"/>
        </w:rPr>
        <w:t>采购人</w:t>
      </w:r>
      <w:r>
        <w:rPr>
          <w:rFonts w:hint="eastAsia" w:ascii="宋体" w:hAnsi="宋体" w:eastAsia="宋体" w:cs="Times New Roman"/>
          <w:color w:val="000000"/>
          <w:szCs w:val="21"/>
          <w:highlight w:val="none"/>
        </w:rPr>
        <w:t>派发的故障单，在规定的时间内及时的响应和处理故障。故障处理完毕后，</w:t>
      </w:r>
      <w:r>
        <w:rPr>
          <w:rFonts w:hint="eastAsia" w:ascii="宋体" w:hAnsi="宋体" w:eastAsia="宋体" w:cs="Times New Roman"/>
          <w:color w:val="000000"/>
          <w:szCs w:val="21"/>
          <w:highlight w:val="none"/>
          <w:lang w:val="en-US" w:eastAsia="zh-CN"/>
        </w:rPr>
        <w:t>供应商</w:t>
      </w:r>
      <w:r>
        <w:rPr>
          <w:rFonts w:hint="eastAsia" w:ascii="宋体" w:hAnsi="宋体" w:eastAsia="宋体" w:cs="Times New Roman"/>
          <w:color w:val="000000"/>
          <w:szCs w:val="21"/>
          <w:highlight w:val="none"/>
        </w:rPr>
        <w:t>应已台账形式向</w:t>
      </w:r>
      <w:r>
        <w:rPr>
          <w:rFonts w:hint="eastAsia" w:ascii="宋体" w:hAnsi="宋体" w:eastAsia="宋体" w:cs="Times New Roman"/>
          <w:color w:val="000000"/>
          <w:szCs w:val="21"/>
          <w:highlight w:val="none"/>
          <w:lang w:val="en-US" w:eastAsia="zh-CN"/>
        </w:rPr>
        <w:t>采购人</w:t>
      </w:r>
      <w:r>
        <w:rPr>
          <w:rFonts w:hint="eastAsia" w:ascii="宋体" w:hAnsi="宋体" w:eastAsia="宋体" w:cs="Times New Roman"/>
          <w:color w:val="000000"/>
          <w:szCs w:val="21"/>
          <w:highlight w:val="none"/>
        </w:rPr>
        <w:t>提交故障单，并注明故障现象、原因、处理过程与时间、是否更换设备以及其他需要注意的事项。</w:t>
      </w:r>
    </w:p>
    <w:p w14:paraId="3B11B7A0">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服务频次</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设有专业技术人员对监控设备进行运维和巡查。设备维修实现快速响应，及时维修；每月对设备进行巡查，检查设备运行状况和传输情况，确保监控设备的正常运行。</w:t>
      </w:r>
    </w:p>
    <w:p w14:paraId="64F80BB6">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（6）防雷支持与保障：采取必要措施保障各点位的防雷。</w:t>
      </w:r>
    </w:p>
    <w:p w14:paraId="4643774A">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（7）危废处置：本项目产生的危废应按危废处置要求处置。</w:t>
      </w:r>
    </w:p>
    <w:p w14:paraId="3EDE425B">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000000"/>
          <w:szCs w:val="21"/>
          <w:highlight w:val="none"/>
          <w:lang w:val="en-US" w:eastAsia="zh-CN"/>
        </w:rPr>
        <w:t>由供应商负责</w:t>
      </w:r>
      <w:r>
        <w:rPr>
          <w:rFonts w:hint="eastAsia" w:ascii="宋体" w:hAnsi="宋体" w:eastAsia="宋体" w:cs="Times New Roman"/>
          <w:color w:val="auto"/>
          <w:szCs w:val="21"/>
          <w:highlight w:val="none"/>
          <w:lang w:val="en-US" w:eastAsia="zh-CN"/>
        </w:rPr>
        <w:t>上述运维服务需包含14个点位1年涉及的电费、水费、网络费用</w:t>
      </w:r>
      <w:r>
        <w:rPr>
          <w:rFonts w:hint="eastAsia" w:ascii="宋体" w:hAnsi="宋体" w:eastAsia="宋体" w:cs="Times New Roman"/>
          <w:color w:val="000000"/>
          <w:szCs w:val="21"/>
          <w:highlight w:val="none"/>
          <w:lang w:val="en-US" w:eastAsia="zh-CN"/>
        </w:rPr>
        <w:t>（流量费）</w:t>
      </w:r>
      <w:r>
        <w:rPr>
          <w:rFonts w:hint="eastAsia" w:ascii="宋体" w:hAnsi="宋体" w:eastAsia="宋体" w:cs="Times New Roman"/>
          <w:color w:val="000000"/>
          <w:szCs w:val="21"/>
          <w:highlight w:val="none"/>
        </w:rPr>
        <w:t>。</w:t>
      </w:r>
    </w:p>
    <w:p w14:paraId="102B0815">
      <w:pPr>
        <w:pStyle w:val="6"/>
        <w:pageBreakBefore w:val="0"/>
        <w:widowControl w:val="0"/>
        <w:kinsoku/>
        <w:wordWrap/>
        <w:overflowPunct/>
        <w:topLinePunct w:val="0"/>
        <w:autoSpaceDE/>
        <w:autoSpaceDN/>
        <w:bidi w:val="0"/>
        <w:adjustRightInd/>
        <w:spacing w:line="348" w:lineRule="auto"/>
        <w:textAlignment w:val="auto"/>
        <w:rPr>
          <w:rFonts w:hint="eastAsia" w:ascii="宋体" w:hAnsi="宋体" w:eastAsia="宋体" w:cs="宋体"/>
          <w:b/>
          <w:bCs/>
          <w:color w:val="000000"/>
          <w:szCs w:val="21"/>
          <w:highlight w:val="none"/>
          <w:lang w:val="en-US" w:eastAsia="zh-CN"/>
        </w:rPr>
      </w:pPr>
      <w:bookmarkStart w:id="19" w:name="_Toc15892"/>
      <w:bookmarkStart w:id="20" w:name="_Toc31677"/>
      <w:r>
        <w:rPr>
          <w:rFonts w:hint="eastAsia" w:ascii="宋体" w:hAnsi="宋体" w:eastAsia="宋体" w:cs="宋体"/>
          <w:b/>
          <w:bCs/>
          <w:color w:val="000000"/>
          <w:szCs w:val="21"/>
          <w:highlight w:val="none"/>
          <w:lang w:val="en-US" w:eastAsia="zh-CN"/>
        </w:rPr>
        <w:t>四、服务目标</w:t>
      </w:r>
      <w:bookmarkEnd w:id="19"/>
    </w:p>
    <w:p w14:paraId="3DFAC2D8">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供应商需保障项目有专人响应，负责现场设备的正常运行，并保证24小时通信工具畅通。负责日常运维和日常故障查修，并进行定期巡检。</w:t>
      </w:r>
    </w:p>
    <w:p w14:paraId="154AB9EB">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（1）运行指标</w:t>
      </w:r>
    </w:p>
    <w:p w14:paraId="6DBCB4CD">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总铬、总镍和氟化物仪表总体数据准确率≥90％（除去供电不足，性能测试及其他不可抗拒因素引起的故障），数据误差符合检测项目性能指标要求。</w:t>
      </w:r>
    </w:p>
    <w:p w14:paraId="56C0C26C">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（2）数据数量目标</w:t>
      </w:r>
    </w:p>
    <w:p w14:paraId="151134CD">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监测数据满足中华人民共和国环境保护部发布的HJ/T（96-104）-2003标准的有关要求。传输到信息管理平台的传输率（同有效数据获取率）高于90%。</w:t>
      </w:r>
    </w:p>
    <w:p w14:paraId="08E92581">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（3）数据质量目标</w:t>
      </w:r>
    </w:p>
    <w:p w14:paraId="429A99BD">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向采购人提供真实有效的监测数据，杜绝出现假的监测数据。按照国家相关规定定期对仪器进行标准溶液或标准样品核查，并将结果报采购人。对校准、质控和异常等数据做出标识，及时将原始数据报采购人。</w:t>
      </w:r>
    </w:p>
    <w:p w14:paraId="43ACBB12">
      <w:pPr>
        <w:pStyle w:val="6"/>
        <w:pageBreakBefore w:val="0"/>
        <w:widowControl w:val="0"/>
        <w:kinsoku/>
        <w:wordWrap/>
        <w:overflowPunct/>
        <w:topLinePunct w:val="0"/>
        <w:autoSpaceDE/>
        <w:autoSpaceDN/>
        <w:bidi w:val="0"/>
        <w:adjustRightInd/>
        <w:spacing w:line="348" w:lineRule="auto"/>
        <w:textAlignment w:val="auto"/>
        <w:rPr>
          <w:rFonts w:hint="default" w:ascii="宋体" w:hAnsi="宋体" w:eastAsia="宋体" w:cs="宋体"/>
          <w:color w:val="auto"/>
          <w:szCs w:val="21"/>
          <w:highlight w:val="none"/>
          <w:lang w:val="en-US" w:eastAsia="zh-CN"/>
        </w:rPr>
      </w:pPr>
      <w:bookmarkStart w:id="21" w:name="_Toc31975"/>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安全</w:t>
      </w:r>
      <w:r>
        <w:rPr>
          <w:rFonts w:hint="eastAsia" w:ascii="宋体" w:hAnsi="宋体" w:cs="宋体"/>
          <w:color w:val="auto"/>
          <w:szCs w:val="21"/>
          <w:highlight w:val="none"/>
          <w:lang w:val="en-US" w:eastAsia="zh-CN"/>
        </w:rPr>
        <w:t>要求</w:t>
      </w:r>
      <w:bookmarkEnd w:id="20"/>
      <w:bookmarkEnd w:id="21"/>
    </w:p>
    <w:p w14:paraId="11E7EB73">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1.供应商</w:t>
      </w:r>
      <w:r>
        <w:rPr>
          <w:rFonts w:hint="eastAsia" w:ascii="宋体" w:hAnsi="宋体"/>
          <w:color w:val="auto"/>
          <w:szCs w:val="21"/>
          <w:highlight w:val="none"/>
        </w:rPr>
        <w:t>必须为其工作人员投保员工人</w:t>
      </w:r>
      <w:r>
        <w:rPr>
          <w:rFonts w:hint="eastAsia" w:ascii="宋体" w:hAnsi="宋体"/>
          <w:color w:val="auto"/>
          <w:szCs w:val="21"/>
          <w:highlight w:val="none"/>
          <w:lang w:eastAsia="zh-CN"/>
        </w:rPr>
        <w:t>身意外保险或其他商业险</w:t>
      </w:r>
      <w:r>
        <w:rPr>
          <w:rFonts w:hint="eastAsia" w:ascii="宋体" w:hAnsi="宋体"/>
          <w:color w:val="auto"/>
          <w:szCs w:val="21"/>
          <w:highlight w:val="none"/>
        </w:rPr>
        <w:t>，以保证</w:t>
      </w:r>
      <w:r>
        <w:rPr>
          <w:rFonts w:hint="eastAsia" w:ascii="宋体" w:hAnsi="宋体"/>
          <w:color w:val="auto"/>
          <w:szCs w:val="21"/>
          <w:highlight w:val="none"/>
          <w:lang w:val="en-US" w:eastAsia="zh-CN"/>
        </w:rPr>
        <w:t>采购人</w:t>
      </w:r>
      <w:r>
        <w:rPr>
          <w:rFonts w:hint="eastAsia" w:ascii="宋体" w:hAnsi="宋体"/>
          <w:color w:val="auto"/>
          <w:szCs w:val="21"/>
          <w:highlight w:val="none"/>
        </w:rPr>
        <w:t>在</w:t>
      </w:r>
      <w:r>
        <w:rPr>
          <w:rFonts w:hint="eastAsia" w:ascii="宋体" w:hAnsi="宋体"/>
          <w:color w:val="auto"/>
          <w:szCs w:val="21"/>
          <w:highlight w:val="none"/>
          <w:lang w:val="en-US" w:eastAsia="zh-CN"/>
        </w:rPr>
        <w:t>供应商</w:t>
      </w:r>
      <w:r>
        <w:rPr>
          <w:rFonts w:hint="eastAsia" w:ascii="宋体" w:hAnsi="宋体"/>
          <w:color w:val="auto"/>
          <w:szCs w:val="21"/>
          <w:highlight w:val="none"/>
        </w:rPr>
        <w:t>工作人员索偿时不受任何责任的约束，保险费用已包含在</w:t>
      </w:r>
      <w:r>
        <w:rPr>
          <w:rFonts w:hint="eastAsia" w:ascii="宋体" w:hAnsi="宋体"/>
          <w:color w:val="auto"/>
          <w:szCs w:val="21"/>
          <w:highlight w:val="none"/>
          <w:lang w:val="en-US" w:eastAsia="zh-CN"/>
        </w:rPr>
        <w:t>供应商</w:t>
      </w:r>
      <w:r>
        <w:rPr>
          <w:rFonts w:hint="eastAsia" w:ascii="宋体" w:hAnsi="宋体"/>
          <w:color w:val="auto"/>
          <w:szCs w:val="21"/>
          <w:highlight w:val="none"/>
        </w:rPr>
        <w:t>的响应报价</w:t>
      </w:r>
      <w:r>
        <w:rPr>
          <w:rFonts w:hint="eastAsia" w:ascii="宋体" w:hAnsi="宋体"/>
          <w:color w:val="auto"/>
          <w:szCs w:val="21"/>
          <w:highlight w:val="none"/>
          <w:lang w:val="en-US" w:eastAsia="zh-CN"/>
        </w:rPr>
        <w:t>中</w:t>
      </w:r>
      <w:r>
        <w:rPr>
          <w:rFonts w:hint="eastAsia" w:ascii="宋体" w:hAnsi="宋体"/>
          <w:color w:val="auto"/>
          <w:szCs w:val="21"/>
          <w:highlight w:val="none"/>
        </w:rPr>
        <w:t>，</w:t>
      </w:r>
      <w:r>
        <w:rPr>
          <w:rFonts w:hint="eastAsia" w:ascii="宋体" w:hAnsi="宋体"/>
          <w:color w:val="auto"/>
          <w:szCs w:val="21"/>
          <w:highlight w:val="none"/>
          <w:lang w:val="en-US" w:eastAsia="zh-CN"/>
        </w:rPr>
        <w:t>采购人</w:t>
      </w:r>
      <w:r>
        <w:rPr>
          <w:rFonts w:hint="eastAsia" w:ascii="宋体" w:hAnsi="宋体"/>
          <w:color w:val="auto"/>
          <w:szCs w:val="21"/>
          <w:highlight w:val="none"/>
        </w:rPr>
        <w:t>不单独另行支付。</w:t>
      </w:r>
    </w:p>
    <w:p w14:paraId="27BC2A0E">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2.供应商</w:t>
      </w:r>
      <w:r>
        <w:rPr>
          <w:rFonts w:hint="eastAsia" w:ascii="宋体" w:hAnsi="宋体"/>
          <w:color w:val="auto"/>
          <w:szCs w:val="21"/>
          <w:highlight w:val="none"/>
        </w:rPr>
        <w:t>应自觉遵守安全生产有关法律、法规及规章制度。</w:t>
      </w:r>
    </w:p>
    <w:p w14:paraId="5AD65A2F">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3.供应商</w:t>
      </w:r>
      <w:r>
        <w:rPr>
          <w:rFonts w:hint="eastAsia" w:ascii="宋体" w:hAnsi="宋体"/>
          <w:color w:val="auto"/>
          <w:szCs w:val="21"/>
          <w:highlight w:val="none"/>
        </w:rPr>
        <w:t>工人上岗前必须进行安全教育和培训，并做好记录；凡履行任务所需使用的机械，应做到持证操作，并及时保养、维护。</w:t>
      </w:r>
    </w:p>
    <w:p w14:paraId="6720BF98">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lang w:val="en-US" w:eastAsia="zh-CN"/>
        </w:rPr>
        <w:t>4.</w:t>
      </w:r>
      <w:bookmarkEnd w:id="9"/>
      <w:bookmarkEnd w:id="10"/>
      <w:bookmarkEnd w:id="11"/>
      <w:bookmarkStart w:id="22" w:name="_Toc26135"/>
      <w:r>
        <w:rPr>
          <w:rFonts w:hint="eastAsia" w:ascii="宋体" w:hAnsi="宋体"/>
          <w:color w:val="auto"/>
          <w:szCs w:val="21"/>
          <w:highlight w:val="none"/>
          <w:lang w:val="en-US" w:eastAsia="zh-CN"/>
        </w:rPr>
        <w:t>供</w:t>
      </w:r>
      <w:r>
        <w:rPr>
          <w:rFonts w:hint="eastAsia" w:ascii="宋体" w:hAnsi="宋体" w:eastAsia="宋体" w:cs="Times New Roman"/>
          <w:color w:val="auto"/>
          <w:szCs w:val="21"/>
          <w:highlight w:val="none"/>
          <w:lang w:val="en-US" w:eastAsia="zh-CN"/>
        </w:rPr>
        <w:t>应商在承担本项目时，人员、财产安全均由供应商自行负责</w:t>
      </w:r>
      <w:r>
        <w:rPr>
          <w:rFonts w:hint="eastAsia" w:ascii="宋体" w:hAnsi="宋体" w:cs="宋体"/>
          <w:color w:val="auto"/>
          <w:szCs w:val="21"/>
          <w:highlight w:val="none"/>
        </w:rPr>
        <w:t>赔偿</w:t>
      </w:r>
      <w:r>
        <w:rPr>
          <w:rFonts w:hint="eastAsia" w:ascii="宋体" w:hAnsi="宋体" w:eastAsia="宋体" w:cs="Times New Roman"/>
          <w:color w:val="auto"/>
          <w:szCs w:val="21"/>
          <w:highlight w:val="none"/>
          <w:lang w:val="en-US" w:eastAsia="zh-CN"/>
        </w:rPr>
        <w:t>。供应商在实施本项目时，要特别注意自然灾害对本项目财产可能造成的损害风险，应提前采取预防措施。</w:t>
      </w:r>
    </w:p>
    <w:p w14:paraId="6C33902A">
      <w:pPr>
        <w:pStyle w:val="6"/>
        <w:pageBreakBefore w:val="0"/>
        <w:widowControl w:val="0"/>
        <w:kinsoku/>
        <w:wordWrap/>
        <w:overflowPunct/>
        <w:topLinePunct w:val="0"/>
        <w:autoSpaceDE/>
        <w:autoSpaceDN/>
        <w:bidi w:val="0"/>
        <w:adjustRightInd/>
        <w:snapToGrid w:val="0"/>
        <w:spacing w:line="348" w:lineRule="auto"/>
        <w:textAlignment w:val="auto"/>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六</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服务期限</w:t>
      </w:r>
      <w:bookmarkEnd w:id="22"/>
    </w:p>
    <w:p w14:paraId="37B80D24">
      <w:pPr>
        <w:pStyle w:val="6"/>
        <w:pageBreakBefore w:val="0"/>
        <w:widowControl w:val="0"/>
        <w:kinsoku/>
        <w:wordWrap/>
        <w:overflowPunct/>
        <w:topLinePunct w:val="0"/>
        <w:autoSpaceDE/>
        <w:autoSpaceDN/>
        <w:bidi w:val="0"/>
        <w:adjustRightInd/>
        <w:snapToGrid w:val="0"/>
        <w:spacing w:line="348" w:lineRule="auto"/>
        <w:textAlignment w:val="auto"/>
        <w:rPr>
          <w:rFonts w:hint="default" w:ascii="宋体" w:hAnsi="宋体" w:eastAsia="宋体" w:cs="Times New Roman"/>
          <w:b w:val="0"/>
          <w:bCs w:val="0"/>
          <w:color w:val="000000"/>
          <w:kern w:val="2"/>
          <w:sz w:val="21"/>
          <w:szCs w:val="21"/>
          <w:highlight w:val="none"/>
          <w:lang w:val="en-US" w:eastAsia="zh-CN" w:bidi="ar-SA"/>
        </w:rPr>
      </w:pPr>
      <w:r>
        <w:rPr>
          <w:rFonts w:hint="eastAsia" w:ascii="Times New Roman" w:hAnsi="Times New Roman"/>
          <w:color w:val="000000"/>
          <w:szCs w:val="21"/>
          <w:highlight w:val="none"/>
          <w:lang w:val="en-US" w:eastAsia="zh-CN"/>
        </w:rPr>
        <w:t xml:space="preserve">  </w:t>
      </w:r>
      <w:r>
        <w:rPr>
          <w:rFonts w:hint="eastAsia" w:ascii="宋体" w:hAnsi="宋体" w:eastAsia="宋体" w:cs="Times New Roman"/>
          <w:b w:val="0"/>
          <w:bCs w:val="0"/>
          <w:color w:val="000000"/>
          <w:kern w:val="2"/>
          <w:sz w:val="21"/>
          <w:szCs w:val="21"/>
          <w:highlight w:val="none"/>
          <w:lang w:val="en-US" w:eastAsia="zh-CN" w:bidi="ar-SA"/>
        </w:rPr>
        <w:t xml:space="preserve"> </w:t>
      </w:r>
      <w:r>
        <w:rPr>
          <w:rFonts w:hint="eastAsia" w:ascii="宋体" w:hAnsi="宋体" w:eastAsia="宋体" w:cs="宋体"/>
          <w:b w:val="0"/>
          <w:bCs w:val="0"/>
          <w:lang w:val="en-US" w:eastAsia="zh-CN"/>
        </w:rPr>
        <w:t xml:space="preserve"> </w:t>
      </w:r>
      <w:bookmarkStart w:id="23" w:name="_Toc22268"/>
      <w:bookmarkStart w:id="24" w:name="_Toc10917"/>
      <w:r>
        <w:rPr>
          <w:rFonts w:hint="eastAsia" w:ascii="宋体" w:hAnsi="宋体" w:eastAsia="宋体" w:cs="宋体"/>
          <w:b w:val="0"/>
          <w:bCs w:val="0"/>
          <w:lang w:val="en-US" w:eastAsia="zh-CN"/>
        </w:rPr>
        <w:t>本项目运维服务期为1年。</w:t>
      </w:r>
      <w:bookmarkEnd w:id="23"/>
      <w:bookmarkEnd w:id="24"/>
      <w:r>
        <w:rPr>
          <w:rFonts w:hint="eastAsia" w:ascii="宋体" w:hAnsi="宋体" w:eastAsia="宋体" w:cs="宋体"/>
          <w:b w:val="0"/>
          <w:bCs w:val="0"/>
          <w:lang w:val="en-US" w:eastAsia="zh-CN"/>
        </w:rPr>
        <w:t xml:space="preserve">   </w:t>
      </w:r>
      <w:r>
        <w:rPr>
          <w:rFonts w:hint="eastAsia" w:ascii="宋体" w:hAnsi="宋体" w:eastAsia="宋体" w:cs="Times New Roman"/>
          <w:b w:val="0"/>
          <w:bCs w:val="0"/>
          <w:color w:val="000000"/>
          <w:kern w:val="2"/>
          <w:sz w:val="21"/>
          <w:szCs w:val="21"/>
          <w:highlight w:val="none"/>
          <w:lang w:val="en-US" w:eastAsia="zh-CN" w:bidi="ar-SA"/>
        </w:rPr>
        <w:t xml:space="preserve"> </w:t>
      </w:r>
    </w:p>
    <w:p w14:paraId="1438ECCE">
      <w:pPr>
        <w:pStyle w:val="6"/>
        <w:pageBreakBefore w:val="0"/>
        <w:widowControl w:val="0"/>
        <w:kinsoku/>
        <w:wordWrap/>
        <w:overflowPunct/>
        <w:topLinePunct w:val="0"/>
        <w:autoSpaceDE/>
        <w:autoSpaceDN/>
        <w:bidi w:val="0"/>
        <w:adjustRightInd/>
        <w:snapToGrid w:val="0"/>
        <w:spacing w:line="348" w:lineRule="auto"/>
        <w:textAlignment w:val="auto"/>
        <w:rPr>
          <w:rFonts w:hint="default" w:ascii="Times New Roman" w:hAnsi="Times New Roman" w:eastAsia="宋体"/>
          <w:color w:val="000000"/>
          <w:szCs w:val="21"/>
          <w:highlight w:val="none"/>
          <w:lang w:val="en-US" w:eastAsia="zh-CN"/>
        </w:rPr>
      </w:pPr>
      <w:bookmarkStart w:id="25" w:name="_Toc26267"/>
      <w:r>
        <w:rPr>
          <w:rFonts w:hint="eastAsia" w:ascii="Times New Roman" w:hAnsi="Times New Roman"/>
          <w:color w:val="000000"/>
          <w:szCs w:val="21"/>
          <w:highlight w:val="none"/>
          <w:lang w:val="en-US" w:eastAsia="zh-CN"/>
        </w:rPr>
        <w:t>七、</w:t>
      </w:r>
      <w:bookmarkEnd w:id="25"/>
      <w:r>
        <w:rPr>
          <w:rFonts w:hint="eastAsia" w:ascii="Times New Roman" w:hAnsi="Times New Roman"/>
          <w:color w:val="000000"/>
          <w:szCs w:val="21"/>
          <w:highlight w:val="none"/>
          <w:lang w:val="en-US" w:eastAsia="zh-CN"/>
        </w:rPr>
        <w:t>付款条件</w:t>
      </w:r>
    </w:p>
    <w:p w14:paraId="56FFEF84">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合同生效以及具备实施条件后7个工作日内，采购人向供应商支付合同价的40%预付款。采购人向供应商支付预付款前，可要求供应商向其提供银行、保险公司等金融机构出具的预付款保函，因供应商未及时向采购人提供预付款保函而导致采购人未及时支付款项的，由此产生的责任及风险均由供应商自行承担。签订合同时成交供应商明确表示无需预付款或者主动要求降低预付款比例的，可按其要求执行。</w:t>
      </w:r>
    </w:p>
    <w:p w14:paraId="6A6A3B5E">
      <w:pPr>
        <w:pageBreakBefore w:val="0"/>
        <w:widowControl w:val="0"/>
        <w:kinsoku/>
        <w:wordWrap/>
        <w:overflowPunct/>
        <w:topLinePunct w:val="0"/>
        <w:autoSpaceDE/>
        <w:autoSpaceDN/>
        <w:bidi w:val="0"/>
        <w:adjustRightInd/>
        <w:spacing w:line="348" w:lineRule="auto"/>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w:t>
      </w:r>
      <w:r>
        <w:rPr>
          <w:rFonts w:hint="eastAsia" w:ascii="宋体" w:hAnsi="宋体" w:eastAsia="宋体" w:cs="宋体"/>
          <w:color w:val="auto"/>
          <w:szCs w:val="21"/>
          <w:highlight w:val="none"/>
          <w:lang w:val="en-US" w:eastAsia="zh-CN"/>
        </w:rPr>
        <w:t>运维期满前，由采购人组织开展抽查比对。比对合格率达到90%,且有效数据获取率达到90%的，供应商向采购人交接完成后，采购人一次性结清合同价款；比对合格率或有效数据获取率有一项介于50%与90%之间的，扣除剩余合同价款的3%后采购人一次性结清合同价款；比对合格率小于50%或有效数据获取率小于50%的，采购人不予支付剩余合同价款</w:t>
      </w:r>
      <w:r>
        <w:rPr>
          <w:rFonts w:hint="eastAsia" w:ascii="宋体" w:hAnsi="宋体" w:eastAsia="宋体" w:cs="Times New Roman"/>
          <w:color w:val="auto"/>
          <w:szCs w:val="21"/>
          <w:highlight w:val="none"/>
          <w:lang w:val="en-US" w:eastAsia="zh-CN"/>
        </w:rPr>
        <w:t>。</w:t>
      </w:r>
    </w:p>
    <w:p w14:paraId="10981484">
      <w:pPr>
        <w:pageBreakBefore w:val="0"/>
        <w:widowControl w:val="0"/>
        <w:kinsoku/>
        <w:wordWrap/>
        <w:overflowPunct/>
        <w:topLinePunct w:val="0"/>
        <w:autoSpaceDE/>
        <w:autoSpaceDN/>
        <w:bidi w:val="0"/>
        <w:adjustRightInd/>
        <w:spacing w:line="348"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上述款项供应商需提供经采购人确定金额的税务发票后</w:t>
      </w:r>
      <w:r>
        <w:rPr>
          <w:rFonts w:hint="eastAsia" w:ascii="宋体" w:hAnsi="宋体" w:eastAsia="宋体" w:cs="宋体"/>
          <w:b w:val="0"/>
          <w:bCs w:val="0"/>
          <w:color w:val="auto"/>
          <w:sz w:val="23"/>
          <w:szCs w:val="23"/>
          <w:highlight w:val="none"/>
          <w:lang w:val="en-US" w:eastAsia="zh-CN"/>
        </w:rPr>
        <w:t>，采购人在14个工作日内予以支付</w:t>
      </w:r>
      <w:r>
        <w:rPr>
          <w:rFonts w:hint="eastAsia" w:ascii="宋体" w:hAnsi="宋体" w:eastAsia="宋体" w:cs="Times New Roman"/>
          <w:color w:val="auto"/>
          <w:szCs w:val="21"/>
          <w:highlight w:val="none"/>
        </w:rPr>
        <w:t>。</w:t>
      </w:r>
    </w:p>
    <w:p w14:paraId="4E990F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OTFmZTA0ZWFiMTE3NTdjYTMwODliMDE4NGI3YjAifQ=="/>
    <w:docVar w:name="KSO_WPS_MARK_KEY" w:val="96c76982-262b-4b84-a4c3-97fd86545a53"/>
  </w:docVars>
  <w:rsids>
    <w:rsidRoot w:val="589375DB"/>
    <w:rsid w:val="05AA478D"/>
    <w:rsid w:val="16C54011"/>
    <w:rsid w:val="56BA19BB"/>
    <w:rsid w:val="589375DB"/>
    <w:rsid w:val="6B916358"/>
    <w:rsid w:val="6CA75FCB"/>
    <w:rsid w:val="7EEE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5"/>
    <w:qFormat/>
    <w:uiPriority w:val="0"/>
    <w:pPr>
      <w:keepNext/>
      <w:keepLines/>
      <w:adjustRightInd w:val="0"/>
      <w:spacing w:before="120" w:line="360" w:lineRule="auto"/>
      <w:jc w:val="center"/>
      <w:textAlignment w:val="baseline"/>
      <w:outlineLvl w:val="0"/>
    </w:pPr>
    <w:rPr>
      <w:b/>
      <w:bCs/>
      <w:kern w:val="44"/>
      <w:sz w:val="32"/>
      <w:szCs w:val="20"/>
    </w:rPr>
  </w:style>
  <w:style w:type="paragraph" w:styleId="6">
    <w:name w:val="heading 2"/>
    <w:basedOn w:val="1"/>
    <w:next w:val="1"/>
    <w:qFormat/>
    <w:uiPriority w:val="0"/>
    <w:pPr>
      <w:keepNext/>
      <w:keepLines/>
      <w:spacing w:line="480" w:lineRule="auto"/>
      <w:outlineLvl w:val="1"/>
    </w:pPr>
    <w:rPr>
      <w:rFonts w:ascii="Arial" w:hAnsi="Arial"/>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rPr>
      <w:szCs w:val="22"/>
    </w:rPr>
  </w:style>
  <w:style w:type="paragraph" w:styleId="4">
    <w:name w:val="toc 6"/>
    <w:basedOn w:val="1"/>
    <w:next w:val="1"/>
    <w:unhideWhenUsed/>
    <w:qFormat/>
    <w:uiPriority w:val="39"/>
    <w:pPr>
      <w:ind w:left="2100" w:leftChars="1000"/>
    </w:pPr>
    <w:rPr>
      <w:rFonts w:ascii="Calibri" w:hAnsi="Calibri" w:eastAsia="宋体" w:cs="Times New Roman"/>
      <w:szCs w:val="22"/>
    </w:rPr>
  </w:style>
  <w:style w:type="paragraph" w:styleId="7">
    <w:name w:val="Body Text Indent"/>
    <w:basedOn w:val="1"/>
    <w:next w:val="1"/>
    <w:qFormat/>
    <w:uiPriority w:val="0"/>
    <w:pPr>
      <w:spacing w:after="120"/>
      <w:ind w:left="420" w:leftChars="200"/>
    </w:pPr>
  </w:style>
  <w:style w:type="paragraph" w:styleId="8">
    <w:name w:val="toc 1"/>
    <w:basedOn w:val="1"/>
    <w:next w:val="1"/>
    <w:qFormat/>
    <w:uiPriority w:val="0"/>
    <w:pPr>
      <w:tabs>
        <w:tab w:val="right" w:leader="dot" w:pos="9060"/>
      </w:tabs>
      <w:spacing w:line="480" w:lineRule="auto"/>
    </w:pPr>
    <w:rPr>
      <w:rFonts w:ascii="Calibri" w:hAnsi="Calibri" w:eastAsia="宋体"/>
      <w:b/>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表格文字"/>
    <w:basedOn w:val="7"/>
    <w:next w:val="2"/>
    <w:qFormat/>
    <w:uiPriority w:val="0"/>
    <w:pPr>
      <w:adjustRightInd w:val="0"/>
      <w:spacing w:line="420" w:lineRule="atLeast"/>
      <w:jc w:val="left"/>
      <w:textAlignment w:val="baseline"/>
    </w:pPr>
    <w:rPr>
      <w:rFonts w:ascii="Times New Roman" w:hAnsi="Times New Roman"/>
      <w:szCs w:val="24"/>
    </w:rPr>
  </w:style>
  <w:style w:type="character" w:customStyle="1" w:styleId="15">
    <w:name w:val="标题 1 Char"/>
    <w:link w:val="5"/>
    <w:qFormat/>
    <w:uiPriority w:val="0"/>
    <w:rPr>
      <w:b/>
      <w:bCs/>
      <w:kern w:val="44"/>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4709</Words>
  <Characters>5063</Characters>
  <Lines>0</Lines>
  <Paragraphs>0</Paragraphs>
  <TotalTime>0</TotalTime>
  <ScaleCrop>false</ScaleCrop>
  <LinksUpToDate>false</LinksUpToDate>
  <CharactersWithSpaces>5179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2025-05-29T02:31:00Z</dcterms:created>
  <dc:creator>吴丽聪</dc:creator>
  <cp:lastModifiedBy>lala</cp:lastModifiedBy>
  <dcterms:modified xsi:type="dcterms:W3CDTF">2025-05-30T01:50:18Z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D4AD3BC7758B4A018E3139C51BD53428_11</vt:lpwstr>
  </property>
  <property fmtid="{D5CDD505-2E9C-101B-9397-08002B2CF9AE}" pid="4" name="KSOTemplateDocerSaveRecord">
    <vt:lpwstr>eyJoZGlkIjoiYjI5YTNhZDlhZDVkNWViZWU0NGMxZGFkNGY5MTI1ZTEiLCJ1c2VySWQiOiIxMDg2NDgxMzE5In0=</vt:lpwstr>
  </property>
</Properties>
</file>