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84166">
      <w:pPr>
        <w:spacing w:line="360" w:lineRule="auto"/>
        <w:jc w:val="center"/>
        <w:rPr>
          <w:rFonts w:ascii="仿宋_GB2312" w:hAnsi="宋体" w:eastAsia="仿宋_GB2312"/>
          <w:b/>
          <w:color w:val="auto"/>
          <w:sz w:val="52"/>
          <w:szCs w:val="52"/>
          <w:highlight w:val="none"/>
        </w:rPr>
      </w:pPr>
    </w:p>
    <w:p w14:paraId="18213D07">
      <w:pPr>
        <w:pStyle w:val="3"/>
        <w:rPr>
          <w:color w:val="auto"/>
          <w:highlight w:val="none"/>
        </w:rPr>
      </w:pPr>
    </w:p>
    <w:p w14:paraId="26E00702">
      <w:pPr>
        <w:spacing w:line="360" w:lineRule="auto"/>
        <w:jc w:val="center"/>
        <w:rPr>
          <w:rFonts w:ascii="宋体" w:hAnsi="宋体"/>
          <w:b/>
          <w:color w:val="auto"/>
          <w:sz w:val="52"/>
          <w:szCs w:val="52"/>
          <w:highlight w:val="none"/>
        </w:rPr>
      </w:pPr>
      <w:bookmarkStart w:id="0" w:name="OLE_LINK9"/>
      <w:bookmarkStart w:id="1" w:name="OLE_LINK8"/>
      <w:r>
        <w:rPr>
          <w:rFonts w:hint="eastAsia" w:ascii="宋体" w:hAnsi="宋体"/>
          <w:b/>
          <w:color w:val="auto"/>
          <w:sz w:val="52"/>
          <w:szCs w:val="52"/>
          <w:highlight w:val="none"/>
        </w:rPr>
        <w:t>2025-2028年度吴兴区居家养老服务（照料）中心运营项目</w:t>
      </w:r>
    </w:p>
    <w:bookmarkEnd w:id="0"/>
    <w:bookmarkEnd w:id="1"/>
    <w:p w14:paraId="4FD2B954">
      <w:pPr>
        <w:pStyle w:val="3"/>
        <w:rPr>
          <w:color w:val="auto"/>
          <w:highlight w:val="none"/>
        </w:rPr>
      </w:pPr>
    </w:p>
    <w:p w14:paraId="7C5EC3F1">
      <w:pPr>
        <w:rPr>
          <w:color w:val="auto"/>
          <w:highlight w:val="none"/>
        </w:rPr>
      </w:pPr>
    </w:p>
    <w:p w14:paraId="548370B9">
      <w:pPr>
        <w:snapToGrid w:val="0"/>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（财政审批编号：</w:t>
      </w:r>
      <w:bookmarkStart w:id="2" w:name="OLE_LINK5"/>
      <w:bookmarkStart w:id="3" w:name="OLE_LINK12"/>
      <w:bookmarkStart w:id="4" w:name="OLE_LINK4"/>
      <w:r>
        <w:rPr>
          <w:rFonts w:hint="eastAsia"/>
          <w:color w:val="auto"/>
          <w:highlight w:val="none"/>
        </w:rPr>
        <w:fldChar w:fldCharType="begin"/>
      </w:r>
      <w:r>
        <w:rPr>
          <w:color w:val="auto"/>
          <w:highlight w:val="none"/>
        </w:rPr>
        <w:instrText xml:space="preserve"> HYPERLINK "https://pay.zcygov.cn/purchaseplan_front/" \l "/plan/list/detail?id=1000000000008155833&amp;encrypt=c77a4982d7694e5b620c252d661c49da" \t "https://www.zcygov.cn/delegation-order/order/_blank" </w:instrText>
      </w:r>
      <w:r>
        <w:rPr>
          <w:rFonts w:hint="eastAsia"/>
          <w:color w:val="auto"/>
          <w:highlight w:val="none"/>
        </w:rPr>
        <w:fldChar w:fldCharType="separate"/>
      </w:r>
      <w:r>
        <w:rPr>
          <w:rFonts w:hint="eastAsia" w:ascii="宋体" w:hAnsi="宋体"/>
          <w:b/>
          <w:color w:val="auto"/>
          <w:sz w:val="28"/>
          <w:szCs w:val="28"/>
          <w:highlight w:val="none"/>
          <w:lang w:eastAsia="zh-CN"/>
        </w:rPr>
        <w:t>临[2025]2078号、临[2025]2079号、临[2025]2080号、临[2025]2081号、临[2025]2082号</w:t>
      </w:r>
      <w:r>
        <w:rPr>
          <w:rFonts w:hint="eastAsia" w:ascii="宋体" w:hAnsi="宋体"/>
          <w:b/>
          <w:color w:val="auto"/>
          <w:sz w:val="28"/>
          <w:szCs w:val="28"/>
          <w:highlight w:val="none"/>
        </w:rPr>
        <w:fldChar w:fldCharType="end"/>
      </w:r>
      <w:bookmarkEnd w:id="2"/>
      <w:bookmarkEnd w:id="3"/>
      <w:bookmarkEnd w:id="4"/>
      <w:r>
        <w:rPr>
          <w:rFonts w:hint="eastAsia" w:ascii="宋体" w:hAnsi="宋体"/>
          <w:b/>
          <w:color w:val="auto"/>
          <w:sz w:val="28"/>
          <w:szCs w:val="28"/>
          <w:highlight w:val="none"/>
        </w:rPr>
        <w:t>）</w:t>
      </w:r>
    </w:p>
    <w:p w14:paraId="0527074A">
      <w:pPr>
        <w:snapToGrid w:val="0"/>
        <w:spacing w:before="120" w:beforeLines="50" w:line="360" w:lineRule="auto"/>
        <w:jc w:val="center"/>
        <w:rPr>
          <w:rFonts w:ascii="隶书" w:hAnsi="Arial Narrow" w:eastAsia="楷体_GB2312"/>
          <w:color w:val="auto"/>
          <w:sz w:val="30"/>
          <w:szCs w:val="72"/>
          <w:highlight w:val="none"/>
        </w:rPr>
      </w:pPr>
      <w:r>
        <w:rPr>
          <w:rFonts w:hint="eastAsia" w:ascii="宋体" w:hAnsi="宋体" w:cs="宋体"/>
          <w:b/>
          <w:color w:val="auto"/>
          <w:sz w:val="52"/>
          <w:szCs w:val="52"/>
          <w:highlight w:val="none"/>
        </w:rPr>
        <w:t>（电子招投标）</w:t>
      </w:r>
    </w:p>
    <w:p w14:paraId="7F3508A9">
      <w:pPr>
        <w:snapToGrid w:val="0"/>
        <w:spacing w:before="120" w:beforeLines="50" w:line="360" w:lineRule="auto"/>
        <w:rPr>
          <w:rFonts w:ascii="隶书" w:hAnsi="Arial Narrow" w:eastAsia="楷体_GB2312"/>
          <w:color w:val="auto"/>
          <w:sz w:val="30"/>
          <w:szCs w:val="72"/>
          <w:highlight w:val="none"/>
        </w:rPr>
      </w:pPr>
    </w:p>
    <w:p w14:paraId="2C72D8AF">
      <w:pPr>
        <w:spacing w:before="120" w:beforeLines="50"/>
        <w:jc w:val="center"/>
        <w:rPr>
          <w:rFonts w:ascii="宋体" w:hAnsi="宋体"/>
          <w:color w:val="auto"/>
          <w:sz w:val="72"/>
          <w:szCs w:val="72"/>
          <w:highlight w:val="none"/>
        </w:rPr>
      </w:pPr>
      <w:r>
        <w:rPr>
          <w:rFonts w:hint="eastAsia" w:ascii="宋体" w:hAnsi="宋体"/>
          <w:color w:val="auto"/>
          <w:sz w:val="72"/>
          <w:szCs w:val="72"/>
          <w:highlight w:val="none"/>
        </w:rPr>
        <w:t>公开招标采购文件</w:t>
      </w:r>
    </w:p>
    <w:p w14:paraId="19BF4131">
      <w:pPr>
        <w:snapToGrid w:val="0"/>
        <w:spacing w:line="360" w:lineRule="auto"/>
        <w:rPr>
          <w:rFonts w:ascii="宋体" w:hAnsi="宋体"/>
          <w:color w:val="auto"/>
          <w:sz w:val="30"/>
          <w:szCs w:val="72"/>
          <w:highlight w:val="none"/>
        </w:rPr>
      </w:pPr>
    </w:p>
    <w:p w14:paraId="6A2F94FF">
      <w:pPr>
        <w:snapToGrid w:val="0"/>
        <w:spacing w:line="360" w:lineRule="auto"/>
        <w:rPr>
          <w:rFonts w:ascii="宋体" w:hAnsi="宋体"/>
          <w:color w:val="auto"/>
          <w:sz w:val="30"/>
          <w:szCs w:val="72"/>
          <w:highlight w:val="none"/>
        </w:rPr>
      </w:pPr>
    </w:p>
    <w:p w14:paraId="2F34366B">
      <w:pPr>
        <w:snapToGrid w:val="0"/>
        <w:spacing w:line="360" w:lineRule="auto"/>
        <w:rPr>
          <w:rFonts w:ascii="宋体" w:hAnsi="宋体"/>
          <w:color w:val="auto"/>
          <w:sz w:val="30"/>
          <w:szCs w:val="72"/>
          <w:highlight w:val="none"/>
        </w:rPr>
      </w:pPr>
    </w:p>
    <w:p w14:paraId="6F2CD8D2">
      <w:pPr>
        <w:pStyle w:val="13"/>
        <w:snapToGrid w:val="0"/>
        <w:spacing w:beforeLines="0" w:afterLines="0" w:line="360" w:lineRule="auto"/>
        <w:ind w:firstLine="596" w:firstLineChars="198"/>
        <w:rPr>
          <w:rFonts w:hAnsi="宋体"/>
          <w:b/>
          <w:color w:val="auto"/>
          <w:sz w:val="30"/>
          <w:szCs w:val="30"/>
          <w:highlight w:val="none"/>
        </w:rPr>
      </w:pPr>
      <w:r>
        <w:rPr>
          <w:rFonts w:hAnsi="宋体"/>
          <w:b/>
          <w:color w:val="auto"/>
          <w:sz w:val="30"/>
          <w:szCs w:val="30"/>
          <w:highlight w:val="none"/>
        </w:rPr>
        <w:t>项目编号：</w:t>
      </w:r>
      <w:bookmarkStart w:id="5" w:name="OLE_LINK3"/>
      <w:r>
        <w:rPr>
          <w:rFonts w:hint="eastAsia" w:hAnsi="宋体"/>
          <w:b/>
          <w:color w:val="auto"/>
          <w:sz w:val="30"/>
          <w:szCs w:val="30"/>
          <w:highlight w:val="none"/>
        </w:rPr>
        <w:t>HYHZ2025-19</w:t>
      </w:r>
      <w:bookmarkEnd w:id="5"/>
    </w:p>
    <w:p w14:paraId="163462EC">
      <w:pPr>
        <w:pStyle w:val="13"/>
        <w:snapToGrid w:val="0"/>
        <w:spacing w:beforeLines="0" w:afterLines="0" w:line="360" w:lineRule="auto"/>
        <w:ind w:left="2086" w:leftChars="282" w:hanging="1494" w:hangingChars="496"/>
        <w:rPr>
          <w:rFonts w:hAnsi="宋体"/>
          <w:b/>
          <w:color w:val="auto"/>
          <w:sz w:val="28"/>
          <w:szCs w:val="28"/>
          <w:highlight w:val="none"/>
        </w:rPr>
      </w:pPr>
      <w:r>
        <w:rPr>
          <w:rFonts w:hint="eastAsia" w:hAnsi="宋体"/>
          <w:b/>
          <w:color w:val="auto"/>
          <w:sz w:val="30"/>
          <w:szCs w:val="30"/>
          <w:highlight w:val="none"/>
        </w:rPr>
        <w:t>项目名称：</w:t>
      </w:r>
      <w:r>
        <w:rPr>
          <w:rFonts w:hint="eastAsia" w:hAnsi="宋体"/>
          <w:b/>
          <w:color w:val="auto"/>
          <w:sz w:val="28"/>
          <w:szCs w:val="28"/>
          <w:highlight w:val="none"/>
        </w:rPr>
        <w:t>2025-2028年度吴兴区居家养老服务（照料）中心运营项目</w:t>
      </w:r>
    </w:p>
    <w:p w14:paraId="37AF5CAD">
      <w:pPr>
        <w:pStyle w:val="13"/>
        <w:snapToGrid w:val="0"/>
        <w:spacing w:beforeLines="0" w:afterLines="0" w:line="360" w:lineRule="auto"/>
        <w:ind w:left="2087" w:leftChars="284" w:hanging="1491" w:hangingChars="495"/>
        <w:rPr>
          <w:rFonts w:hAnsi="宋体"/>
          <w:b/>
          <w:color w:val="auto"/>
          <w:sz w:val="30"/>
          <w:szCs w:val="30"/>
          <w:highlight w:val="none"/>
        </w:rPr>
      </w:pPr>
      <w:r>
        <w:rPr>
          <w:rFonts w:hAnsi="宋体"/>
          <w:b/>
          <w:color w:val="auto"/>
          <w:sz w:val="30"/>
          <w:szCs w:val="30"/>
          <w:highlight w:val="none"/>
        </w:rPr>
        <w:t>采购单位：</w:t>
      </w:r>
      <w:r>
        <w:rPr>
          <w:rFonts w:hint="eastAsia" w:hAnsi="宋体"/>
          <w:b/>
          <w:color w:val="auto"/>
          <w:sz w:val="30"/>
          <w:szCs w:val="30"/>
          <w:highlight w:val="none"/>
        </w:rPr>
        <w:t>湖州市吴兴区民政局</w:t>
      </w:r>
    </w:p>
    <w:p w14:paraId="07943DD6">
      <w:pPr>
        <w:pStyle w:val="13"/>
        <w:snapToGrid w:val="0"/>
        <w:spacing w:beforeLines="0" w:afterLines="0" w:line="360" w:lineRule="auto"/>
        <w:ind w:firstLine="590" w:firstLineChars="196"/>
        <w:rPr>
          <w:rFonts w:hAnsi="宋体"/>
          <w:b/>
          <w:color w:val="auto"/>
          <w:sz w:val="30"/>
          <w:szCs w:val="30"/>
          <w:highlight w:val="none"/>
        </w:rPr>
      </w:pPr>
      <w:r>
        <w:rPr>
          <w:rFonts w:hAnsi="宋体"/>
          <w:b/>
          <w:color w:val="auto"/>
          <w:sz w:val="30"/>
          <w:szCs w:val="30"/>
          <w:highlight w:val="none"/>
        </w:rPr>
        <w:t>代理机构：</w:t>
      </w:r>
      <w:r>
        <w:rPr>
          <w:rFonts w:hint="eastAsia" w:hAnsi="宋体"/>
          <w:b/>
          <w:color w:val="auto"/>
          <w:sz w:val="30"/>
          <w:szCs w:val="30"/>
          <w:highlight w:val="none"/>
        </w:rPr>
        <w:t>浙江华耀建设咨询有限公司</w:t>
      </w:r>
    </w:p>
    <w:p w14:paraId="2874D873">
      <w:pPr>
        <w:pStyle w:val="13"/>
        <w:snapToGrid w:val="0"/>
        <w:spacing w:beforeLines="0" w:afterLines="0" w:line="360" w:lineRule="auto"/>
        <w:ind w:firstLine="590" w:firstLineChars="196"/>
        <w:rPr>
          <w:rFonts w:hAnsi="宋体"/>
          <w:b/>
          <w:color w:val="auto"/>
          <w:sz w:val="30"/>
          <w:szCs w:val="30"/>
          <w:highlight w:val="none"/>
        </w:rPr>
      </w:pPr>
    </w:p>
    <w:p w14:paraId="7F0E1A13">
      <w:pPr>
        <w:snapToGrid w:val="0"/>
        <w:spacing w:line="360" w:lineRule="auto"/>
        <w:jc w:val="center"/>
        <w:rPr>
          <w:rFonts w:ascii="宋体" w:hAnsi="宋体"/>
          <w:b/>
          <w:bCs/>
          <w:color w:val="auto"/>
          <w:w w:val="95"/>
          <w:sz w:val="30"/>
          <w:szCs w:val="30"/>
          <w:highlight w:val="none"/>
        </w:rPr>
      </w:pPr>
      <w:r>
        <w:rPr>
          <w:rFonts w:hint="eastAsia" w:ascii="宋体" w:hAnsi="宋体"/>
          <w:b/>
          <w:bCs/>
          <w:color w:val="auto"/>
          <w:w w:val="95"/>
          <w:sz w:val="30"/>
          <w:szCs w:val="30"/>
          <w:highlight w:val="none"/>
        </w:rPr>
        <w:t xml:space="preserve">                      2025年 月  日</w:t>
      </w:r>
    </w:p>
    <w:p w14:paraId="3AAAD1DC">
      <w:pPr>
        <w:pStyle w:val="13"/>
        <w:spacing w:beforeLines="0" w:afterLines="0" w:line="360" w:lineRule="auto"/>
        <w:jc w:val="center"/>
        <w:rPr>
          <w:rFonts w:ascii="创艺简标宋" w:hAnsi="宋体" w:eastAsia="创艺简标宋"/>
          <w:b/>
          <w:color w:val="auto"/>
          <w:sz w:val="44"/>
          <w:szCs w:val="44"/>
          <w:highlight w:val="none"/>
        </w:rPr>
      </w:pPr>
    </w:p>
    <w:p w14:paraId="6CB677B3">
      <w:pPr>
        <w:pStyle w:val="13"/>
        <w:spacing w:beforeLines="0" w:afterLines="0" w:line="360" w:lineRule="auto"/>
        <w:jc w:val="center"/>
        <w:rPr>
          <w:rFonts w:ascii="创艺简标宋" w:hAnsi="宋体" w:eastAsia="创艺简标宋"/>
          <w:b/>
          <w:color w:val="auto"/>
          <w:sz w:val="44"/>
          <w:szCs w:val="44"/>
          <w:highlight w:val="none"/>
        </w:rPr>
      </w:pPr>
    </w:p>
    <w:p w14:paraId="6C589515">
      <w:pPr>
        <w:pStyle w:val="13"/>
        <w:spacing w:beforeLines="0" w:afterLines="0" w:line="360" w:lineRule="auto"/>
        <w:jc w:val="center"/>
        <w:rPr>
          <w:rFonts w:ascii="创艺简标宋" w:hAnsi="宋体" w:eastAsia="创艺简标宋"/>
          <w:b/>
          <w:color w:val="auto"/>
          <w:sz w:val="44"/>
          <w:szCs w:val="44"/>
          <w:highlight w:val="none"/>
        </w:rPr>
      </w:pPr>
      <w:bookmarkStart w:id="6" w:name="OLE_LINK147"/>
      <w:bookmarkStart w:id="7" w:name="OLE_LINK148"/>
    </w:p>
    <w:p w14:paraId="6EE010BC">
      <w:pPr>
        <w:pStyle w:val="13"/>
        <w:spacing w:beforeLines="0" w:afterLines="0" w:line="360" w:lineRule="auto"/>
        <w:jc w:val="center"/>
        <w:rPr>
          <w:rFonts w:ascii="创艺简标宋" w:hAnsi="宋体" w:eastAsia="创艺简标宋"/>
          <w:b/>
          <w:color w:val="auto"/>
          <w:sz w:val="44"/>
          <w:szCs w:val="44"/>
          <w:highlight w:val="none"/>
        </w:rPr>
      </w:pPr>
      <w:r>
        <w:rPr>
          <w:rFonts w:hint="eastAsia" w:ascii="创艺简标宋" w:hAnsi="宋体" w:eastAsia="创艺简标宋"/>
          <w:b/>
          <w:color w:val="auto"/>
          <w:sz w:val="44"/>
          <w:szCs w:val="44"/>
          <w:highlight w:val="none"/>
        </w:rPr>
        <w:t>目    录</w:t>
      </w:r>
    </w:p>
    <w:p w14:paraId="0A008EB9">
      <w:pPr>
        <w:pStyle w:val="13"/>
        <w:spacing w:before="120" w:after="120" w:line="360" w:lineRule="auto"/>
        <w:jc w:val="center"/>
        <w:rPr>
          <w:rFonts w:ascii="创艺简标宋" w:hAnsi="宋体" w:eastAsia="创艺简标宋"/>
          <w:color w:val="auto"/>
          <w:sz w:val="44"/>
          <w:szCs w:val="44"/>
          <w:highlight w:val="none"/>
        </w:rPr>
      </w:pPr>
      <w:bookmarkStart w:id="8" w:name="OLE_LINK106"/>
      <w:bookmarkStart w:id="9" w:name="OLE_LINK105"/>
    </w:p>
    <w:p w14:paraId="3AB625F6">
      <w:pPr>
        <w:numPr>
          <w:ilvl w:val="0"/>
          <w:numId w:val="2"/>
        </w:numPr>
        <w:tabs>
          <w:tab w:val="left" w:pos="1596"/>
        </w:tabs>
        <w:spacing w:line="360" w:lineRule="auto"/>
        <w:ind w:left="600" w:hanging="600"/>
        <w:rPr>
          <w:rFonts w:ascii="宋体" w:hAnsi="宋体"/>
          <w:color w:val="auto"/>
          <w:sz w:val="30"/>
          <w:szCs w:val="20"/>
          <w:highlight w:val="none"/>
        </w:rPr>
      </w:pPr>
      <w:r>
        <w:rPr>
          <w:rFonts w:hint="eastAsia" w:ascii="宋体" w:hAnsi="宋体"/>
          <w:color w:val="auto"/>
          <w:sz w:val="30"/>
          <w:highlight w:val="none"/>
        </w:rPr>
        <w:t>公开招标采购公告   -------------------------3</w:t>
      </w:r>
    </w:p>
    <w:p w14:paraId="724EE891">
      <w:pPr>
        <w:numPr>
          <w:ilvl w:val="0"/>
          <w:numId w:val="2"/>
        </w:numPr>
        <w:tabs>
          <w:tab w:val="left" w:pos="1596"/>
        </w:tabs>
        <w:spacing w:line="360" w:lineRule="auto"/>
        <w:ind w:left="600" w:hanging="600"/>
        <w:rPr>
          <w:rFonts w:ascii="宋体" w:hAnsi="宋体"/>
          <w:color w:val="auto"/>
          <w:sz w:val="30"/>
          <w:szCs w:val="20"/>
          <w:highlight w:val="none"/>
        </w:rPr>
      </w:pPr>
      <w:r>
        <w:rPr>
          <w:rFonts w:hint="eastAsia" w:ascii="宋体" w:hAnsi="宋体"/>
          <w:color w:val="auto"/>
          <w:sz w:val="30"/>
          <w:highlight w:val="none"/>
        </w:rPr>
        <w:t>招标需求   ---------------------------------8</w:t>
      </w:r>
    </w:p>
    <w:p w14:paraId="5B0BC3F1">
      <w:pPr>
        <w:numPr>
          <w:ilvl w:val="0"/>
          <w:numId w:val="2"/>
        </w:numPr>
        <w:tabs>
          <w:tab w:val="left" w:pos="1596"/>
        </w:tabs>
        <w:spacing w:line="360" w:lineRule="auto"/>
        <w:ind w:left="600" w:hanging="600"/>
        <w:rPr>
          <w:rFonts w:ascii="Calibri" w:hAnsi="Calibri"/>
          <w:color w:val="auto"/>
          <w:sz w:val="30"/>
          <w:szCs w:val="30"/>
          <w:highlight w:val="none"/>
        </w:rPr>
      </w:pPr>
      <w:r>
        <w:rPr>
          <w:rFonts w:hint="eastAsia" w:ascii="宋体" w:hAnsi="宋体"/>
          <w:color w:val="auto"/>
          <w:sz w:val="30"/>
          <w:highlight w:val="none"/>
        </w:rPr>
        <w:t>投标人须知   ------------------------------26</w:t>
      </w:r>
    </w:p>
    <w:p w14:paraId="064CD906">
      <w:pPr>
        <w:spacing w:line="360" w:lineRule="auto"/>
        <w:ind w:firstLine="1350" w:firstLineChars="450"/>
        <w:rPr>
          <w:rFonts w:ascii="宋体" w:hAnsi="宋体"/>
          <w:color w:val="auto"/>
          <w:sz w:val="30"/>
          <w:highlight w:val="none"/>
        </w:rPr>
      </w:pPr>
      <w:r>
        <w:rPr>
          <w:rFonts w:hint="eastAsia"/>
          <w:color w:val="auto"/>
          <w:sz w:val="30"/>
          <w:szCs w:val="30"/>
          <w:highlight w:val="none"/>
        </w:rPr>
        <w:t>一、总则</w:t>
      </w:r>
      <w:r>
        <w:rPr>
          <w:color w:val="auto"/>
          <w:sz w:val="30"/>
          <w:szCs w:val="30"/>
          <w:highlight w:val="none"/>
        </w:rPr>
        <w:t xml:space="preserve">    </w:t>
      </w:r>
      <w:r>
        <w:rPr>
          <w:rFonts w:hint="eastAsia" w:ascii="宋体" w:hAnsi="宋体"/>
          <w:color w:val="auto"/>
          <w:sz w:val="30"/>
          <w:highlight w:val="none"/>
        </w:rPr>
        <w:t>--------------------------------27</w:t>
      </w:r>
    </w:p>
    <w:p w14:paraId="3CB99AC3">
      <w:pPr>
        <w:spacing w:line="360" w:lineRule="auto"/>
        <w:ind w:firstLine="1350" w:firstLineChars="450"/>
        <w:rPr>
          <w:rFonts w:ascii="宋体" w:hAnsi="宋体"/>
          <w:color w:val="auto"/>
          <w:sz w:val="30"/>
          <w:highlight w:val="none"/>
        </w:rPr>
      </w:pPr>
      <w:r>
        <w:rPr>
          <w:rFonts w:hint="eastAsia"/>
          <w:color w:val="auto"/>
          <w:sz w:val="30"/>
          <w:szCs w:val="30"/>
          <w:highlight w:val="none"/>
        </w:rPr>
        <w:t>二、招标文件</w:t>
      </w:r>
      <w:r>
        <w:rPr>
          <w:color w:val="auto"/>
          <w:sz w:val="30"/>
          <w:szCs w:val="30"/>
          <w:highlight w:val="none"/>
        </w:rPr>
        <w:t xml:space="preserve">    </w:t>
      </w:r>
      <w:r>
        <w:rPr>
          <w:rFonts w:hint="eastAsia" w:ascii="宋体" w:hAnsi="宋体"/>
          <w:color w:val="auto"/>
          <w:sz w:val="30"/>
          <w:highlight w:val="none"/>
        </w:rPr>
        <w:t>----------------------------30</w:t>
      </w:r>
    </w:p>
    <w:p w14:paraId="030AA391">
      <w:pPr>
        <w:spacing w:line="360" w:lineRule="auto"/>
        <w:ind w:firstLine="1350" w:firstLineChars="450"/>
        <w:rPr>
          <w:rFonts w:ascii="宋体" w:hAnsi="宋体"/>
          <w:color w:val="auto"/>
          <w:sz w:val="30"/>
          <w:highlight w:val="none"/>
        </w:rPr>
      </w:pPr>
      <w:r>
        <w:rPr>
          <w:rFonts w:hint="eastAsia"/>
          <w:color w:val="auto"/>
          <w:sz w:val="30"/>
          <w:szCs w:val="30"/>
          <w:highlight w:val="none"/>
        </w:rPr>
        <w:t>三、投标文件的编制</w:t>
      </w:r>
      <w:r>
        <w:rPr>
          <w:color w:val="auto"/>
          <w:sz w:val="30"/>
          <w:szCs w:val="30"/>
          <w:highlight w:val="none"/>
        </w:rPr>
        <w:t xml:space="preserve">     </w:t>
      </w:r>
      <w:r>
        <w:rPr>
          <w:rFonts w:hint="eastAsia" w:ascii="宋体" w:hAnsi="宋体"/>
          <w:color w:val="auto"/>
          <w:sz w:val="30"/>
          <w:highlight w:val="none"/>
        </w:rPr>
        <w:t>---------------------31</w:t>
      </w:r>
    </w:p>
    <w:p w14:paraId="3728B4F2">
      <w:pPr>
        <w:spacing w:line="360" w:lineRule="auto"/>
        <w:ind w:firstLine="1350" w:firstLineChars="450"/>
        <w:rPr>
          <w:rFonts w:ascii="宋体" w:hAnsi="宋体"/>
          <w:color w:val="auto"/>
          <w:sz w:val="30"/>
          <w:highlight w:val="none"/>
        </w:rPr>
      </w:pPr>
      <w:r>
        <w:rPr>
          <w:rFonts w:hint="eastAsia"/>
          <w:color w:val="auto"/>
          <w:sz w:val="30"/>
          <w:szCs w:val="30"/>
          <w:highlight w:val="none"/>
        </w:rPr>
        <w:t>四、开标</w:t>
      </w:r>
      <w:r>
        <w:rPr>
          <w:color w:val="auto"/>
          <w:sz w:val="30"/>
          <w:szCs w:val="30"/>
          <w:highlight w:val="none"/>
        </w:rPr>
        <w:t xml:space="preserve">   </w:t>
      </w:r>
      <w:r>
        <w:rPr>
          <w:rFonts w:hint="eastAsia" w:ascii="宋体" w:hAnsi="宋体"/>
          <w:color w:val="auto"/>
          <w:sz w:val="30"/>
          <w:highlight w:val="none"/>
        </w:rPr>
        <w:t>---------------------------------37</w:t>
      </w:r>
    </w:p>
    <w:p w14:paraId="248FBCD2">
      <w:pPr>
        <w:spacing w:line="360" w:lineRule="auto"/>
        <w:ind w:firstLine="1350" w:firstLineChars="450"/>
        <w:rPr>
          <w:rFonts w:ascii="宋体" w:hAnsi="宋体"/>
          <w:color w:val="auto"/>
          <w:sz w:val="30"/>
          <w:highlight w:val="none"/>
        </w:rPr>
      </w:pPr>
      <w:r>
        <w:rPr>
          <w:rFonts w:hint="eastAsia"/>
          <w:color w:val="auto"/>
          <w:sz w:val="30"/>
          <w:szCs w:val="30"/>
          <w:highlight w:val="none"/>
        </w:rPr>
        <w:t>五、评标</w:t>
      </w:r>
      <w:r>
        <w:rPr>
          <w:color w:val="auto"/>
          <w:sz w:val="30"/>
          <w:szCs w:val="30"/>
          <w:highlight w:val="none"/>
        </w:rPr>
        <w:t xml:space="preserve">   </w:t>
      </w:r>
      <w:r>
        <w:rPr>
          <w:rFonts w:hint="eastAsia" w:ascii="宋体" w:hAnsi="宋体"/>
          <w:color w:val="auto"/>
          <w:sz w:val="30"/>
          <w:highlight w:val="none"/>
        </w:rPr>
        <w:t>---------------------------------38</w:t>
      </w:r>
    </w:p>
    <w:p w14:paraId="2863DF8A">
      <w:pPr>
        <w:spacing w:line="360" w:lineRule="auto"/>
        <w:ind w:firstLine="1350" w:firstLineChars="450"/>
        <w:rPr>
          <w:rFonts w:ascii="宋体" w:hAnsi="宋体"/>
          <w:color w:val="auto"/>
          <w:sz w:val="30"/>
          <w:highlight w:val="none"/>
        </w:rPr>
      </w:pPr>
      <w:r>
        <w:rPr>
          <w:rFonts w:hint="eastAsia"/>
          <w:color w:val="auto"/>
          <w:sz w:val="30"/>
          <w:szCs w:val="30"/>
          <w:highlight w:val="none"/>
        </w:rPr>
        <w:t>六、定标</w:t>
      </w:r>
      <w:r>
        <w:rPr>
          <w:color w:val="auto"/>
          <w:sz w:val="30"/>
          <w:szCs w:val="30"/>
          <w:highlight w:val="none"/>
        </w:rPr>
        <w:t xml:space="preserve">   </w:t>
      </w:r>
      <w:r>
        <w:rPr>
          <w:rFonts w:hint="eastAsia" w:ascii="宋体" w:hAnsi="宋体"/>
          <w:color w:val="auto"/>
          <w:sz w:val="30"/>
          <w:highlight w:val="none"/>
        </w:rPr>
        <w:t>---------------------------------40</w:t>
      </w:r>
    </w:p>
    <w:p w14:paraId="5DB4FEE7">
      <w:pPr>
        <w:spacing w:line="360" w:lineRule="auto"/>
        <w:ind w:firstLine="1350" w:firstLineChars="450"/>
        <w:rPr>
          <w:rFonts w:ascii="Calibri" w:hAnsi="Calibri"/>
          <w:color w:val="auto"/>
          <w:sz w:val="30"/>
          <w:szCs w:val="30"/>
          <w:highlight w:val="none"/>
        </w:rPr>
      </w:pPr>
      <w:r>
        <w:rPr>
          <w:rFonts w:hint="eastAsia"/>
          <w:color w:val="auto"/>
          <w:sz w:val="30"/>
          <w:szCs w:val="30"/>
          <w:highlight w:val="none"/>
        </w:rPr>
        <w:t>七、合同授予</w:t>
      </w:r>
      <w:r>
        <w:rPr>
          <w:color w:val="auto"/>
          <w:sz w:val="30"/>
          <w:szCs w:val="30"/>
          <w:highlight w:val="none"/>
        </w:rPr>
        <w:t xml:space="preserve">   </w:t>
      </w:r>
      <w:r>
        <w:rPr>
          <w:rFonts w:hint="eastAsia" w:ascii="宋体" w:hAnsi="宋体"/>
          <w:color w:val="auto"/>
          <w:sz w:val="30"/>
          <w:highlight w:val="none"/>
        </w:rPr>
        <w:t>-----------------------------41</w:t>
      </w:r>
    </w:p>
    <w:p w14:paraId="33D2E714">
      <w:pPr>
        <w:numPr>
          <w:ilvl w:val="0"/>
          <w:numId w:val="2"/>
        </w:numPr>
        <w:tabs>
          <w:tab w:val="left" w:pos="1596"/>
        </w:tabs>
        <w:spacing w:line="360" w:lineRule="auto"/>
        <w:ind w:left="600" w:hanging="600"/>
        <w:rPr>
          <w:rFonts w:ascii="宋体" w:hAnsi="宋体"/>
          <w:color w:val="auto"/>
          <w:sz w:val="30"/>
          <w:szCs w:val="20"/>
          <w:highlight w:val="none"/>
        </w:rPr>
      </w:pPr>
      <w:r>
        <w:rPr>
          <w:rFonts w:hint="eastAsia" w:ascii="宋体" w:hAnsi="宋体"/>
          <w:color w:val="auto"/>
          <w:sz w:val="30"/>
          <w:highlight w:val="none"/>
        </w:rPr>
        <w:t>评标办法及评分标准 ------------------------42</w:t>
      </w:r>
    </w:p>
    <w:p w14:paraId="5C74AFFD">
      <w:pPr>
        <w:numPr>
          <w:ilvl w:val="0"/>
          <w:numId w:val="2"/>
        </w:numPr>
        <w:tabs>
          <w:tab w:val="left" w:pos="1596"/>
        </w:tabs>
        <w:spacing w:line="360" w:lineRule="auto"/>
        <w:ind w:left="600" w:hanging="600"/>
        <w:rPr>
          <w:rFonts w:ascii="宋体" w:hAnsi="宋体"/>
          <w:color w:val="auto"/>
          <w:sz w:val="30"/>
          <w:szCs w:val="20"/>
          <w:highlight w:val="none"/>
        </w:rPr>
      </w:pPr>
      <w:r>
        <w:rPr>
          <w:rFonts w:hint="eastAsia" w:ascii="宋体" w:hAnsi="宋体"/>
          <w:color w:val="auto"/>
          <w:sz w:val="30"/>
          <w:highlight w:val="none"/>
        </w:rPr>
        <w:t>政府采购合同主要条款-----------------------48</w:t>
      </w:r>
    </w:p>
    <w:p w14:paraId="6EE8862A">
      <w:pPr>
        <w:numPr>
          <w:ilvl w:val="0"/>
          <w:numId w:val="2"/>
        </w:numPr>
        <w:tabs>
          <w:tab w:val="left" w:pos="1596"/>
        </w:tabs>
        <w:spacing w:line="360" w:lineRule="auto"/>
        <w:ind w:left="600" w:hanging="600"/>
        <w:rPr>
          <w:rFonts w:ascii="宋体" w:hAnsi="宋体"/>
          <w:color w:val="auto"/>
          <w:sz w:val="30"/>
          <w:szCs w:val="20"/>
          <w:highlight w:val="none"/>
        </w:rPr>
      </w:pPr>
      <w:r>
        <w:rPr>
          <w:rFonts w:hint="eastAsia" w:ascii="宋体" w:hAnsi="宋体"/>
          <w:color w:val="auto"/>
          <w:sz w:val="30"/>
          <w:highlight w:val="none"/>
        </w:rPr>
        <w:t>投标文件格式    ---------------------------51</w:t>
      </w:r>
    </w:p>
    <w:p w14:paraId="3B2BAADF">
      <w:pPr>
        <w:rPr>
          <w:color w:val="auto"/>
          <w:highlight w:val="none"/>
        </w:rPr>
      </w:pPr>
    </w:p>
    <w:p w14:paraId="21E4812B">
      <w:pPr>
        <w:rPr>
          <w:color w:val="auto"/>
          <w:highlight w:val="none"/>
        </w:rPr>
      </w:pPr>
    </w:p>
    <w:bookmarkEnd w:id="8"/>
    <w:bookmarkEnd w:id="9"/>
    <w:p w14:paraId="70B22AD9">
      <w:pPr>
        <w:rPr>
          <w:color w:val="auto"/>
          <w:highlight w:val="none"/>
        </w:rPr>
      </w:pPr>
    </w:p>
    <w:p w14:paraId="3E152902">
      <w:pPr>
        <w:rPr>
          <w:color w:val="auto"/>
          <w:highlight w:val="none"/>
        </w:rPr>
      </w:pPr>
    </w:p>
    <w:p w14:paraId="26298571">
      <w:pPr>
        <w:rPr>
          <w:color w:val="auto"/>
          <w:highlight w:val="none"/>
        </w:rPr>
      </w:pPr>
    </w:p>
    <w:bookmarkEnd w:id="6"/>
    <w:bookmarkEnd w:id="7"/>
    <w:p w14:paraId="3F28BDE6">
      <w:pPr>
        <w:spacing w:line="360" w:lineRule="auto"/>
        <w:rPr>
          <w:rFonts w:ascii="宋体" w:hAnsi="宋体"/>
          <w:color w:val="auto"/>
          <w:sz w:val="30"/>
          <w:szCs w:val="20"/>
          <w:highlight w:val="none"/>
        </w:rPr>
      </w:pPr>
    </w:p>
    <w:p w14:paraId="69EA6956">
      <w:pPr>
        <w:pStyle w:val="11"/>
        <w:rPr>
          <w:rFonts w:ascii="宋体" w:hAnsi="宋体"/>
          <w:color w:val="auto"/>
          <w:sz w:val="30"/>
          <w:highlight w:val="none"/>
        </w:rPr>
      </w:pPr>
    </w:p>
    <w:p w14:paraId="55840F78">
      <w:pPr>
        <w:pStyle w:val="11"/>
        <w:rPr>
          <w:rFonts w:ascii="宋体" w:hAnsi="宋体"/>
          <w:color w:val="auto"/>
          <w:sz w:val="30"/>
          <w:highlight w:val="none"/>
        </w:rPr>
      </w:pPr>
    </w:p>
    <w:p w14:paraId="08A96134">
      <w:pPr>
        <w:pStyle w:val="13"/>
        <w:snapToGrid w:val="0"/>
        <w:spacing w:beforeLines="0" w:afterLines="0" w:line="360" w:lineRule="auto"/>
        <w:jc w:val="center"/>
        <w:outlineLvl w:val="0"/>
        <w:rPr>
          <w:rFonts w:hint="eastAsia" w:ascii="黑体" w:hAnsi="宋体" w:eastAsia="黑体"/>
          <w:color w:val="auto"/>
          <w:sz w:val="30"/>
          <w:szCs w:val="30"/>
          <w:highlight w:val="none"/>
        </w:rPr>
      </w:pPr>
    </w:p>
    <w:p w14:paraId="1F003176">
      <w:pPr>
        <w:pStyle w:val="13"/>
        <w:snapToGrid w:val="0"/>
        <w:spacing w:beforeLines="0" w:afterLines="0" w:line="360" w:lineRule="auto"/>
        <w:jc w:val="center"/>
        <w:outlineLvl w:val="0"/>
        <w:rPr>
          <w:rFonts w:ascii="黑体" w:hAnsi="宋体" w:eastAsia="黑体"/>
          <w:color w:val="auto"/>
          <w:sz w:val="30"/>
          <w:szCs w:val="30"/>
          <w:highlight w:val="none"/>
        </w:rPr>
      </w:pPr>
      <w:r>
        <w:rPr>
          <w:rFonts w:hint="eastAsia" w:ascii="黑体" w:hAnsi="宋体" w:eastAsia="黑体"/>
          <w:color w:val="auto"/>
          <w:sz w:val="30"/>
          <w:szCs w:val="30"/>
          <w:highlight w:val="none"/>
        </w:rPr>
        <w:t>第一章  公开招标采购公告</w:t>
      </w:r>
    </w:p>
    <w:p w14:paraId="219B9F1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项目概况</w:t>
      </w:r>
    </w:p>
    <w:p w14:paraId="5A17208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auto"/>
          <w:sz w:val="24"/>
          <w:highlight w:val="none"/>
        </w:rPr>
      </w:pPr>
      <w:r>
        <w:rPr>
          <w:rFonts w:hint="eastAsia" w:ascii="宋体" w:hAnsi="宋体"/>
          <w:color w:val="auto"/>
          <w:sz w:val="24"/>
          <w:highlight w:val="none"/>
        </w:rPr>
        <w:t>2025-2028年度吴兴区居家养老服务（照料）中心运营项目的潜在投标人应在浙江政府采购网（http://zfcg.czt.zj.gov.cn/) 获取招标文件，并于2025年</w:t>
      </w:r>
      <w:bookmarkStart w:id="10" w:name="OLE_LINK6"/>
      <w:bookmarkStart w:id="11" w:name="OLE_LINK7"/>
      <w:r>
        <w:rPr>
          <w:rFonts w:hint="eastAsia" w:ascii="宋体" w:hAnsi="宋体"/>
          <w:color w:val="auto"/>
          <w:sz w:val="24"/>
          <w:highlight w:val="none"/>
        </w:rPr>
        <w:t xml:space="preserve"> 月  日9：00</w:t>
      </w:r>
      <w:bookmarkEnd w:id="10"/>
      <w:bookmarkEnd w:id="11"/>
      <w:r>
        <w:rPr>
          <w:rFonts w:hint="eastAsia" w:ascii="宋体" w:hAnsi="宋体"/>
          <w:color w:val="auto"/>
          <w:sz w:val="24"/>
          <w:highlight w:val="none"/>
        </w:rPr>
        <w:t>（北京时间）前递交投标文件。</w:t>
      </w:r>
    </w:p>
    <w:p w14:paraId="63BE4341">
      <w:pPr>
        <w:snapToGrid w:val="0"/>
        <w:spacing w:line="360" w:lineRule="auto"/>
        <w:ind w:firstLine="482" w:firstLineChars="200"/>
        <w:rPr>
          <w:rFonts w:ascii="宋体" w:hAnsi="宋体"/>
          <w:color w:val="auto"/>
          <w:sz w:val="24"/>
          <w:highlight w:val="none"/>
        </w:rPr>
      </w:pPr>
      <w:r>
        <w:rPr>
          <w:rFonts w:hint="eastAsia" w:ascii="宋体" w:hAnsi="宋体" w:cs="Arial"/>
          <w:b/>
          <w:color w:val="auto"/>
          <w:sz w:val="24"/>
          <w:highlight w:val="none"/>
        </w:rPr>
        <w:t>一、项目基本情况</w:t>
      </w:r>
    </w:p>
    <w:p w14:paraId="212CE1F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项目编号：HYHZ2025-19（</w:t>
      </w:r>
      <w:r>
        <w:rPr>
          <w:color w:val="auto"/>
          <w:highlight w:val="none"/>
        </w:rPr>
        <w:fldChar w:fldCharType="begin"/>
      </w:r>
      <w:r>
        <w:rPr>
          <w:color w:val="auto"/>
          <w:highlight w:val="none"/>
        </w:rPr>
        <w:instrText xml:space="preserve"> HYPERLINK "https://pay.zcygov.cn/purchaseplan_front/" \l "/plan/list/detail?id=1000000000008155833&amp;encrypt=c77a4982d7694e5b620c252d661c49da" \t "https://www.zcygov.cn/delegation-order/order/_blank" </w:instrText>
      </w:r>
      <w:r>
        <w:rPr>
          <w:color w:val="auto"/>
          <w:highlight w:val="none"/>
        </w:rPr>
        <w:fldChar w:fldCharType="separate"/>
      </w:r>
      <w:r>
        <w:rPr>
          <w:rFonts w:hint="eastAsia" w:ascii="宋体" w:hAnsi="宋体"/>
          <w:color w:val="auto"/>
          <w:sz w:val="24"/>
          <w:highlight w:val="none"/>
          <w:lang w:eastAsia="zh-CN"/>
        </w:rPr>
        <w:t>临[2025]2078号、临[2025]2079号、临[2025]2080号、临[2025]2081号、临[2025]2082号</w:t>
      </w:r>
      <w:r>
        <w:rPr>
          <w:rFonts w:hint="eastAsia" w:ascii="宋体" w:hAnsi="宋体"/>
          <w:color w:val="auto"/>
          <w:sz w:val="24"/>
          <w:highlight w:val="none"/>
        </w:rPr>
        <w:fldChar w:fldCharType="end"/>
      </w:r>
      <w:r>
        <w:rPr>
          <w:rFonts w:hint="eastAsia" w:ascii="宋体" w:hAnsi="宋体"/>
          <w:color w:val="auto"/>
          <w:sz w:val="24"/>
          <w:highlight w:val="none"/>
        </w:rPr>
        <w:t>)</w:t>
      </w:r>
    </w:p>
    <w:p w14:paraId="48BA9CD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项目名称：2025-2028年度吴兴区居家养老服务（照料）中心运营项目</w:t>
      </w:r>
    </w:p>
    <w:p w14:paraId="3A001A4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预算金额：5928万元</w:t>
      </w:r>
    </w:p>
    <w:p w14:paraId="67D4ED3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最高限价：</w:t>
      </w:r>
      <w:r>
        <w:rPr>
          <w:rFonts w:ascii="宋体" w:hAnsi="宋体"/>
          <w:color w:val="auto"/>
          <w:sz w:val="24"/>
          <w:highlight w:val="none"/>
        </w:rPr>
        <w:t>5928</w:t>
      </w:r>
      <w:r>
        <w:rPr>
          <w:rFonts w:hint="eastAsia" w:ascii="宋体" w:hAnsi="宋体" w:cs="宋体"/>
          <w:color w:val="auto"/>
          <w:kern w:val="0"/>
          <w:sz w:val="24"/>
          <w:highlight w:val="none"/>
        </w:rPr>
        <w:t>万元</w:t>
      </w:r>
    </w:p>
    <w:p w14:paraId="6351A87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采购需求：</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673"/>
        <w:gridCol w:w="709"/>
        <w:gridCol w:w="709"/>
        <w:gridCol w:w="1843"/>
        <w:gridCol w:w="1275"/>
        <w:gridCol w:w="1519"/>
      </w:tblGrid>
      <w:tr w14:paraId="57A5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2CFEDFFF">
            <w:pPr>
              <w:pStyle w:val="13"/>
              <w:spacing w:before="120" w:after="120"/>
              <w:jc w:val="center"/>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标项</w:t>
            </w:r>
          </w:p>
        </w:tc>
        <w:tc>
          <w:tcPr>
            <w:tcW w:w="2673" w:type="dxa"/>
            <w:tcBorders>
              <w:top w:val="single" w:color="auto" w:sz="4" w:space="0"/>
              <w:left w:val="single" w:color="auto" w:sz="4" w:space="0"/>
              <w:bottom w:val="single" w:color="auto" w:sz="4" w:space="0"/>
              <w:right w:val="single" w:color="auto" w:sz="4" w:space="0"/>
            </w:tcBorders>
            <w:vAlign w:val="center"/>
          </w:tcPr>
          <w:p w14:paraId="22A09B2C">
            <w:pPr>
              <w:pStyle w:val="13"/>
              <w:spacing w:before="120" w:after="120"/>
              <w:jc w:val="center"/>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标项名称</w:t>
            </w:r>
          </w:p>
        </w:tc>
        <w:tc>
          <w:tcPr>
            <w:tcW w:w="709" w:type="dxa"/>
            <w:tcBorders>
              <w:top w:val="single" w:color="auto" w:sz="4" w:space="0"/>
              <w:left w:val="single" w:color="auto" w:sz="4" w:space="0"/>
              <w:bottom w:val="single" w:color="auto" w:sz="4" w:space="0"/>
              <w:right w:val="single" w:color="auto" w:sz="4" w:space="0"/>
            </w:tcBorders>
            <w:vAlign w:val="center"/>
          </w:tcPr>
          <w:p w14:paraId="5C1502DB">
            <w:pPr>
              <w:pStyle w:val="13"/>
              <w:spacing w:before="120" w:after="120"/>
              <w:jc w:val="center"/>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6CA17D1F">
            <w:pPr>
              <w:pStyle w:val="13"/>
              <w:spacing w:before="120" w:after="120"/>
              <w:jc w:val="center"/>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单位</w:t>
            </w:r>
          </w:p>
        </w:tc>
        <w:tc>
          <w:tcPr>
            <w:tcW w:w="1843" w:type="dxa"/>
            <w:tcBorders>
              <w:top w:val="single" w:color="auto" w:sz="4" w:space="0"/>
              <w:left w:val="single" w:color="auto" w:sz="4" w:space="0"/>
              <w:bottom w:val="single" w:color="auto" w:sz="4" w:space="0"/>
              <w:right w:val="single" w:color="auto" w:sz="4" w:space="0"/>
            </w:tcBorders>
            <w:vAlign w:val="center"/>
          </w:tcPr>
          <w:p w14:paraId="2072102A">
            <w:pPr>
              <w:pStyle w:val="13"/>
              <w:spacing w:before="120" w:after="120"/>
              <w:jc w:val="center"/>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服务范围</w:t>
            </w:r>
          </w:p>
        </w:tc>
        <w:tc>
          <w:tcPr>
            <w:tcW w:w="1275" w:type="dxa"/>
            <w:tcBorders>
              <w:top w:val="single" w:color="auto" w:sz="4" w:space="0"/>
              <w:left w:val="single" w:color="auto" w:sz="4" w:space="0"/>
              <w:bottom w:val="single" w:color="auto" w:sz="4" w:space="0"/>
              <w:right w:val="single" w:color="auto" w:sz="4" w:space="0"/>
            </w:tcBorders>
            <w:vAlign w:val="center"/>
          </w:tcPr>
          <w:p w14:paraId="53E910F5">
            <w:pPr>
              <w:pStyle w:val="13"/>
              <w:spacing w:before="120" w:after="120"/>
              <w:jc w:val="center"/>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采购预算（万元）</w:t>
            </w:r>
          </w:p>
        </w:tc>
        <w:tc>
          <w:tcPr>
            <w:tcW w:w="1519" w:type="dxa"/>
            <w:tcBorders>
              <w:top w:val="single" w:color="auto" w:sz="4" w:space="0"/>
              <w:left w:val="single" w:color="auto" w:sz="4" w:space="0"/>
              <w:bottom w:val="single" w:color="auto" w:sz="4" w:space="0"/>
              <w:right w:val="single" w:color="auto" w:sz="4" w:space="0"/>
            </w:tcBorders>
            <w:vAlign w:val="center"/>
          </w:tcPr>
          <w:p w14:paraId="12FE7D77">
            <w:pPr>
              <w:pStyle w:val="13"/>
              <w:spacing w:before="120" w:after="120"/>
              <w:jc w:val="center"/>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最高限价（万元）</w:t>
            </w:r>
          </w:p>
        </w:tc>
      </w:tr>
      <w:tr w14:paraId="0D6B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0C9F11F9">
            <w:pPr>
              <w:pStyle w:val="13"/>
              <w:spacing w:before="120" w:after="120"/>
              <w:jc w:val="center"/>
              <w:rPr>
                <w:rFonts w:cs="仿宋" w:asciiTheme="minorEastAsia" w:hAnsiTheme="minorEastAsia" w:eastAsiaTheme="minorEastAsia"/>
                <w:color w:val="auto"/>
                <w:sz w:val="24"/>
                <w:highlight w:val="none"/>
              </w:rPr>
            </w:pPr>
            <w:bookmarkStart w:id="12" w:name="_Hlk199316330"/>
            <w:r>
              <w:rPr>
                <w:rFonts w:hint="eastAsia" w:cs="仿宋" w:asciiTheme="minorEastAsia" w:hAnsiTheme="minorEastAsia" w:eastAsiaTheme="minorEastAsia"/>
                <w:color w:val="auto"/>
                <w:sz w:val="24"/>
                <w:highlight w:val="none"/>
              </w:rPr>
              <w:t>1</w:t>
            </w:r>
          </w:p>
        </w:tc>
        <w:tc>
          <w:tcPr>
            <w:tcW w:w="2673" w:type="dxa"/>
            <w:tcBorders>
              <w:top w:val="single" w:color="auto" w:sz="4" w:space="0"/>
              <w:left w:val="single" w:color="auto" w:sz="4" w:space="0"/>
              <w:bottom w:val="single" w:color="auto" w:sz="4" w:space="0"/>
              <w:right w:val="single" w:color="auto" w:sz="4" w:space="0"/>
            </w:tcBorders>
            <w:vAlign w:val="center"/>
          </w:tcPr>
          <w:p w14:paraId="16663A43">
            <w:pPr>
              <w:pStyle w:val="13"/>
              <w:spacing w:before="120" w:after="12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2025-2028年度吴兴区居家养老服务（照料）中心运营项目第一片区</w:t>
            </w:r>
          </w:p>
        </w:tc>
        <w:tc>
          <w:tcPr>
            <w:tcW w:w="709" w:type="dxa"/>
            <w:tcBorders>
              <w:top w:val="single" w:color="auto" w:sz="4" w:space="0"/>
              <w:left w:val="single" w:color="auto" w:sz="4" w:space="0"/>
              <w:bottom w:val="single" w:color="auto" w:sz="4" w:space="0"/>
              <w:right w:val="single" w:color="auto" w:sz="4" w:space="0"/>
            </w:tcBorders>
            <w:vAlign w:val="center"/>
          </w:tcPr>
          <w:p w14:paraId="47654292">
            <w:pPr>
              <w:pStyle w:val="13"/>
              <w:spacing w:before="120" w:after="120"/>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w:t>
            </w:r>
          </w:p>
        </w:tc>
        <w:tc>
          <w:tcPr>
            <w:tcW w:w="709" w:type="dxa"/>
            <w:tcBorders>
              <w:top w:val="single" w:color="auto" w:sz="4" w:space="0"/>
              <w:left w:val="single" w:color="auto" w:sz="4" w:space="0"/>
              <w:bottom w:val="single" w:color="auto" w:sz="4" w:space="0"/>
              <w:right w:val="single" w:color="auto" w:sz="4" w:space="0"/>
            </w:tcBorders>
            <w:vAlign w:val="center"/>
          </w:tcPr>
          <w:p w14:paraId="3513BA0D">
            <w:pPr>
              <w:pStyle w:val="13"/>
              <w:spacing w:before="120" w:after="120"/>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年</w:t>
            </w:r>
          </w:p>
        </w:tc>
        <w:tc>
          <w:tcPr>
            <w:tcW w:w="1843" w:type="dxa"/>
            <w:tcBorders>
              <w:top w:val="single" w:color="auto" w:sz="4" w:space="0"/>
              <w:left w:val="single" w:color="auto" w:sz="4" w:space="0"/>
              <w:bottom w:val="single" w:color="auto" w:sz="4" w:space="0"/>
              <w:right w:val="single" w:color="auto" w:sz="4" w:space="0"/>
            </w:tcBorders>
            <w:vAlign w:val="center"/>
          </w:tcPr>
          <w:p w14:paraId="6E04CBF9">
            <w:pPr>
              <w:pStyle w:val="13"/>
              <w:spacing w:before="120" w:after="12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八里店镇、埭溪镇</w:t>
            </w:r>
          </w:p>
        </w:tc>
        <w:tc>
          <w:tcPr>
            <w:tcW w:w="1275" w:type="dxa"/>
            <w:tcBorders>
              <w:top w:val="single" w:color="auto" w:sz="4" w:space="0"/>
              <w:left w:val="single" w:color="auto" w:sz="4" w:space="0"/>
              <w:bottom w:val="single" w:color="auto" w:sz="4" w:space="0"/>
              <w:right w:val="single" w:color="auto" w:sz="4" w:space="0"/>
            </w:tcBorders>
            <w:vAlign w:val="center"/>
          </w:tcPr>
          <w:p w14:paraId="4C198CCE">
            <w:pPr>
              <w:pStyle w:val="13"/>
              <w:spacing w:before="120" w:after="120"/>
              <w:ind w:firstLine="240" w:firstLineChars="100"/>
              <w:rPr>
                <w:rFonts w:cs="仿宋" w:asciiTheme="minorEastAsia" w:hAnsiTheme="minorEastAsia" w:eastAsiaTheme="minorEastAsia"/>
                <w:color w:val="auto"/>
                <w:sz w:val="24"/>
                <w:highlight w:val="none"/>
              </w:rPr>
            </w:pPr>
            <w:bookmarkStart w:id="13" w:name="OLE_LINK25"/>
            <w:bookmarkStart w:id="14" w:name="OLE_LINK26"/>
            <w:r>
              <w:rPr>
                <w:rFonts w:hint="eastAsia" w:hAnsi="宋体"/>
                <w:color w:val="auto"/>
                <w:sz w:val="24"/>
                <w:highlight w:val="none"/>
                <w:lang w:bidi="ar"/>
              </w:rPr>
              <w:t>1297.2</w:t>
            </w:r>
            <w:bookmarkEnd w:id="13"/>
            <w:bookmarkEnd w:id="14"/>
          </w:p>
        </w:tc>
        <w:tc>
          <w:tcPr>
            <w:tcW w:w="1519" w:type="dxa"/>
            <w:tcBorders>
              <w:top w:val="single" w:color="auto" w:sz="4" w:space="0"/>
              <w:left w:val="single" w:color="auto" w:sz="4" w:space="0"/>
              <w:bottom w:val="single" w:color="auto" w:sz="4" w:space="0"/>
              <w:right w:val="single" w:color="auto" w:sz="4" w:space="0"/>
            </w:tcBorders>
            <w:vAlign w:val="center"/>
          </w:tcPr>
          <w:p w14:paraId="628B6F89">
            <w:pPr>
              <w:pStyle w:val="13"/>
              <w:spacing w:before="120" w:after="120"/>
              <w:jc w:val="center"/>
              <w:rPr>
                <w:rFonts w:cs="仿宋" w:asciiTheme="minorEastAsia" w:hAnsiTheme="minorEastAsia" w:eastAsiaTheme="minorEastAsia"/>
                <w:color w:val="auto"/>
                <w:sz w:val="24"/>
                <w:highlight w:val="none"/>
              </w:rPr>
            </w:pPr>
            <w:r>
              <w:rPr>
                <w:rFonts w:hAnsi="宋体"/>
                <w:color w:val="auto"/>
                <w:sz w:val="24"/>
                <w:highlight w:val="none"/>
                <w:lang w:bidi="ar"/>
              </w:rPr>
              <w:t>1297.2</w:t>
            </w:r>
          </w:p>
        </w:tc>
      </w:tr>
      <w:tr w14:paraId="1D1F6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50346906">
            <w:pPr>
              <w:pStyle w:val="13"/>
              <w:spacing w:before="120" w:after="120"/>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w:t>
            </w:r>
          </w:p>
        </w:tc>
        <w:tc>
          <w:tcPr>
            <w:tcW w:w="2673" w:type="dxa"/>
            <w:tcBorders>
              <w:top w:val="single" w:color="auto" w:sz="4" w:space="0"/>
              <w:left w:val="single" w:color="auto" w:sz="4" w:space="0"/>
              <w:bottom w:val="single" w:color="auto" w:sz="4" w:space="0"/>
              <w:right w:val="single" w:color="auto" w:sz="4" w:space="0"/>
            </w:tcBorders>
            <w:vAlign w:val="center"/>
          </w:tcPr>
          <w:p w14:paraId="62D54CDF">
            <w:pPr>
              <w:pStyle w:val="13"/>
              <w:spacing w:before="120" w:after="12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2025-2028年度吴兴区居家养老服务（照料）中心运营项目第二片区</w:t>
            </w:r>
          </w:p>
        </w:tc>
        <w:tc>
          <w:tcPr>
            <w:tcW w:w="709" w:type="dxa"/>
            <w:tcBorders>
              <w:top w:val="single" w:color="auto" w:sz="4" w:space="0"/>
              <w:left w:val="single" w:color="auto" w:sz="4" w:space="0"/>
              <w:bottom w:val="single" w:color="auto" w:sz="4" w:space="0"/>
              <w:right w:val="single" w:color="auto" w:sz="4" w:space="0"/>
            </w:tcBorders>
            <w:vAlign w:val="center"/>
          </w:tcPr>
          <w:p w14:paraId="7A4A65A4">
            <w:pPr>
              <w:pStyle w:val="13"/>
              <w:spacing w:before="120" w:after="120"/>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w:t>
            </w:r>
          </w:p>
        </w:tc>
        <w:tc>
          <w:tcPr>
            <w:tcW w:w="709" w:type="dxa"/>
            <w:tcBorders>
              <w:top w:val="single" w:color="auto" w:sz="4" w:space="0"/>
              <w:left w:val="single" w:color="auto" w:sz="4" w:space="0"/>
              <w:bottom w:val="single" w:color="auto" w:sz="4" w:space="0"/>
              <w:right w:val="single" w:color="auto" w:sz="4" w:space="0"/>
            </w:tcBorders>
            <w:vAlign w:val="center"/>
          </w:tcPr>
          <w:p w14:paraId="781830BB">
            <w:pPr>
              <w:pStyle w:val="13"/>
              <w:spacing w:before="120" w:after="120"/>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年</w:t>
            </w:r>
          </w:p>
        </w:tc>
        <w:tc>
          <w:tcPr>
            <w:tcW w:w="1843" w:type="dxa"/>
            <w:tcBorders>
              <w:top w:val="single" w:color="auto" w:sz="4" w:space="0"/>
              <w:left w:val="single" w:color="auto" w:sz="4" w:space="0"/>
              <w:bottom w:val="single" w:color="auto" w:sz="4" w:space="0"/>
              <w:right w:val="single" w:color="auto" w:sz="4" w:space="0"/>
            </w:tcBorders>
            <w:vAlign w:val="center"/>
          </w:tcPr>
          <w:p w14:paraId="6A76BAED">
            <w:pPr>
              <w:pStyle w:val="13"/>
              <w:spacing w:before="120" w:after="12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高新区、东林镇、</w:t>
            </w:r>
            <w:r>
              <w:rPr>
                <w:rFonts w:hint="eastAsia" w:hAnsi="宋体"/>
                <w:color w:val="auto"/>
                <w:sz w:val="24"/>
                <w:highlight w:val="none"/>
                <w:lang w:bidi="ar"/>
              </w:rPr>
              <w:t>飞英街道</w:t>
            </w:r>
          </w:p>
        </w:tc>
        <w:tc>
          <w:tcPr>
            <w:tcW w:w="1275" w:type="dxa"/>
            <w:tcBorders>
              <w:top w:val="single" w:color="auto" w:sz="4" w:space="0"/>
              <w:left w:val="single" w:color="auto" w:sz="4" w:space="0"/>
              <w:bottom w:val="single" w:color="auto" w:sz="4" w:space="0"/>
              <w:right w:val="single" w:color="auto" w:sz="4" w:space="0"/>
            </w:tcBorders>
            <w:vAlign w:val="center"/>
          </w:tcPr>
          <w:p w14:paraId="5E083D28">
            <w:pPr>
              <w:pStyle w:val="13"/>
              <w:spacing w:before="120" w:after="120"/>
              <w:jc w:val="center"/>
              <w:rPr>
                <w:rFonts w:cs="仿宋" w:asciiTheme="minorEastAsia" w:hAnsiTheme="minorEastAsia" w:eastAsiaTheme="minorEastAsia"/>
                <w:color w:val="auto"/>
                <w:sz w:val="24"/>
                <w:highlight w:val="none"/>
              </w:rPr>
            </w:pPr>
            <w:r>
              <w:rPr>
                <w:rFonts w:hint="eastAsia" w:hAnsi="宋体"/>
                <w:color w:val="auto"/>
                <w:sz w:val="24"/>
                <w:highlight w:val="none"/>
              </w:rPr>
              <w:t>1297.2</w:t>
            </w:r>
          </w:p>
        </w:tc>
        <w:tc>
          <w:tcPr>
            <w:tcW w:w="1519" w:type="dxa"/>
            <w:tcBorders>
              <w:top w:val="single" w:color="auto" w:sz="4" w:space="0"/>
              <w:left w:val="single" w:color="auto" w:sz="4" w:space="0"/>
              <w:bottom w:val="single" w:color="auto" w:sz="4" w:space="0"/>
              <w:right w:val="single" w:color="auto" w:sz="4" w:space="0"/>
            </w:tcBorders>
            <w:vAlign w:val="center"/>
          </w:tcPr>
          <w:p w14:paraId="4AC2D00A">
            <w:pPr>
              <w:pStyle w:val="13"/>
              <w:spacing w:before="120" w:after="120"/>
              <w:jc w:val="center"/>
              <w:rPr>
                <w:rFonts w:cs="仿宋" w:asciiTheme="minorEastAsia" w:hAnsiTheme="minorEastAsia" w:eastAsiaTheme="minorEastAsia"/>
                <w:color w:val="auto"/>
                <w:sz w:val="24"/>
                <w:highlight w:val="none"/>
              </w:rPr>
            </w:pPr>
            <w:bookmarkStart w:id="15" w:name="OLE_LINK117"/>
            <w:bookmarkStart w:id="16" w:name="OLE_LINK112"/>
            <w:r>
              <w:rPr>
                <w:rFonts w:hint="eastAsia" w:hAnsi="宋体"/>
                <w:color w:val="auto"/>
                <w:sz w:val="24"/>
                <w:highlight w:val="none"/>
              </w:rPr>
              <w:t>1297.2</w:t>
            </w:r>
            <w:bookmarkEnd w:id="15"/>
            <w:bookmarkEnd w:id="16"/>
          </w:p>
        </w:tc>
      </w:tr>
      <w:tr w14:paraId="4428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7C664F93">
            <w:pPr>
              <w:pStyle w:val="13"/>
              <w:spacing w:before="120" w:after="120"/>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w:t>
            </w:r>
          </w:p>
        </w:tc>
        <w:tc>
          <w:tcPr>
            <w:tcW w:w="2673" w:type="dxa"/>
            <w:tcBorders>
              <w:top w:val="single" w:color="auto" w:sz="4" w:space="0"/>
              <w:left w:val="single" w:color="auto" w:sz="4" w:space="0"/>
              <w:bottom w:val="single" w:color="auto" w:sz="4" w:space="0"/>
              <w:right w:val="single" w:color="auto" w:sz="4" w:space="0"/>
            </w:tcBorders>
            <w:shd w:val="clear" w:color="auto" w:fill="auto"/>
            <w:vAlign w:val="center"/>
          </w:tcPr>
          <w:p w14:paraId="20A8B2E0">
            <w:pPr>
              <w:pStyle w:val="13"/>
              <w:spacing w:before="120" w:after="12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2025-2028年度吴兴区居家养老服务（照料）中心运营项目第四片区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87154EA">
            <w:pPr>
              <w:pStyle w:val="13"/>
              <w:spacing w:before="120" w:after="120"/>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1AA3C07">
            <w:pPr>
              <w:pStyle w:val="13"/>
              <w:spacing w:before="120" w:after="120"/>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年</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FDFA43E">
            <w:pPr>
              <w:pStyle w:val="13"/>
              <w:spacing w:before="120" w:after="12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织里镇、朝阳街道、</w:t>
            </w:r>
            <w:r>
              <w:rPr>
                <w:rFonts w:hint="eastAsia" w:hAnsi="宋体"/>
                <w:color w:val="auto"/>
                <w:sz w:val="24"/>
                <w:highlight w:val="none"/>
                <w:lang w:bidi="ar"/>
              </w:rPr>
              <w:t>湖东街道</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A6B5F8E">
            <w:pPr>
              <w:pStyle w:val="13"/>
              <w:spacing w:before="120" w:after="120"/>
              <w:jc w:val="center"/>
              <w:rPr>
                <w:rFonts w:cs="仿宋" w:asciiTheme="minorEastAsia" w:hAnsiTheme="minorEastAsia" w:eastAsiaTheme="minorEastAsia"/>
                <w:color w:val="auto"/>
                <w:sz w:val="24"/>
                <w:highlight w:val="none"/>
              </w:rPr>
            </w:pPr>
            <w:r>
              <w:rPr>
                <w:rFonts w:hint="eastAsia" w:hAnsi="宋体"/>
                <w:color w:val="auto"/>
                <w:sz w:val="24"/>
                <w:highlight w:val="none"/>
              </w:rPr>
              <w:t>1269</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72D7919C">
            <w:pPr>
              <w:pStyle w:val="13"/>
              <w:spacing w:before="120" w:after="120"/>
              <w:jc w:val="center"/>
              <w:rPr>
                <w:rFonts w:cs="仿宋" w:asciiTheme="minorEastAsia" w:hAnsiTheme="minorEastAsia" w:eastAsiaTheme="minorEastAsia"/>
                <w:color w:val="auto"/>
                <w:sz w:val="24"/>
                <w:highlight w:val="none"/>
              </w:rPr>
            </w:pPr>
            <w:bookmarkStart w:id="17" w:name="OLE_LINK111"/>
            <w:bookmarkStart w:id="18" w:name="OLE_LINK110"/>
            <w:r>
              <w:rPr>
                <w:rFonts w:hint="eastAsia" w:hAnsi="宋体"/>
                <w:color w:val="auto"/>
                <w:sz w:val="24"/>
                <w:highlight w:val="none"/>
              </w:rPr>
              <w:t>1269</w:t>
            </w:r>
            <w:bookmarkEnd w:id="17"/>
            <w:bookmarkEnd w:id="18"/>
          </w:p>
        </w:tc>
      </w:tr>
      <w:tr w14:paraId="058C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20DE61D1">
            <w:pPr>
              <w:pStyle w:val="13"/>
              <w:spacing w:before="120" w:after="120"/>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w:t>
            </w:r>
          </w:p>
        </w:tc>
        <w:tc>
          <w:tcPr>
            <w:tcW w:w="2673" w:type="dxa"/>
            <w:tcBorders>
              <w:top w:val="single" w:color="auto" w:sz="4" w:space="0"/>
              <w:left w:val="single" w:color="auto" w:sz="4" w:space="0"/>
              <w:bottom w:val="single" w:color="auto" w:sz="4" w:space="0"/>
              <w:right w:val="single" w:color="auto" w:sz="4" w:space="0"/>
            </w:tcBorders>
            <w:shd w:val="clear" w:color="auto" w:fill="auto"/>
            <w:vAlign w:val="center"/>
          </w:tcPr>
          <w:p w14:paraId="44660131">
            <w:pPr>
              <w:pStyle w:val="13"/>
              <w:spacing w:before="120" w:after="12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2025-2028年度吴兴区居家养老服务（照料）中心运营项目第三片区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6AEE989">
            <w:pPr>
              <w:pStyle w:val="13"/>
              <w:spacing w:before="120" w:after="120"/>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4DFD494">
            <w:pPr>
              <w:pStyle w:val="13"/>
              <w:spacing w:before="120" w:after="120"/>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年</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13BCC62">
            <w:pPr>
              <w:pStyle w:val="13"/>
              <w:spacing w:before="120" w:after="12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道场乡、</w:t>
            </w:r>
            <w:r>
              <w:rPr>
                <w:rFonts w:hint="eastAsia" w:hAnsi="宋体"/>
                <w:color w:val="auto"/>
                <w:sz w:val="24"/>
                <w:highlight w:val="none"/>
                <w:lang w:bidi="ar"/>
              </w:rPr>
              <w:t>龙泉街道、</w:t>
            </w:r>
            <w:r>
              <w:rPr>
                <w:rFonts w:hint="eastAsia" w:cs="仿宋" w:asciiTheme="minorEastAsia" w:hAnsiTheme="minorEastAsia" w:eastAsiaTheme="minorEastAsia"/>
                <w:color w:val="auto"/>
                <w:sz w:val="24"/>
                <w:highlight w:val="none"/>
              </w:rPr>
              <w:t>妙西镇</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A4E6898">
            <w:pPr>
              <w:pStyle w:val="13"/>
              <w:spacing w:before="120" w:after="120"/>
              <w:jc w:val="center"/>
              <w:rPr>
                <w:rFonts w:cs="仿宋" w:asciiTheme="minorEastAsia" w:hAnsiTheme="minorEastAsia" w:eastAsiaTheme="minorEastAsia"/>
                <w:color w:val="auto"/>
                <w:sz w:val="24"/>
                <w:highlight w:val="none"/>
              </w:rPr>
            </w:pPr>
            <w:r>
              <w:rPr>
                <w:rFonts w:hint="eastAsia" w:hAnsi="宋体"/>
                <w:color w:val="auto"/>
                <w:sz w:val="24"/>
                <w:highlight w:val="none"/>
              </w:rPr>
              <w:t>1105.8</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0B4996D7">
            <w:pPr>
              <w:pStyle w:val="13"/>
              <w:spacing w:before="120" w:after="120"/>
              <w:jc w:val="center"/>
              <w:rPr>
                <w:rFonts w:cs="仿宋" w:asciiTheme="minorEastAsia" w:hAnsiTheme="minorEastAsia" w:eastAsiaTheme="minorEastAsia"/>
                <w:color w:val="auto"/>
                <w:sz w:val="24"/>
                <w:highlight w:val="none"/>
              </w:rPr>
            </w:pPr>
            <w:bookmarkStart w:id="19" w:name="OLE_LINK109"/>
            <w:bookmarkStart w:id="20" w:name="OLE_LINK104"/>
            <w:r>
              <w:rPr>
                <w:rFonts w:hint="eastAsia" w:hAnsi="宋体"/>
                <w:color w:val="auto"/>
                <w:sz w:val="24"/>
                <w:highlight w:val="none"/>
              </w:rPr>
              <w:t>1105.8</w:t>
            </w:r>
            <w:bookmarkEnd w:id="19"/>
            <w:bookmarkEnd w:id="20"/>
          </w:p>
        </w:tc>
      </w:tr>
      <w:tr w14:paraId="769B6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377FBC1F">
            <w:pPr>
              <w:pStyle w:val="13"/>
              <w:spacing w:before="120" w:after="120"/>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w:t>
            </w:r>
          </w:p>
        </w:tc>
        <w:tc>
          <w:tcPr>
            <w:tcW w:w="2673" w:type="dxa"/>
            <w:tcBorders>
              <w:top w:val="single" w:color="auto" w:sz="4" w:space="0"/>
              <w:left w:val="single" w:color="auto" w:sz="4" w:space="0"/>
              <w:bottom w:val="single" w:color="auto" w:sz="4" w:space="0"/>
              <w:right w:val="single" w:color="auto" w:sz="4" w:space="0"/>
            </w:tcBorders>
            <w:vAlign w:val="center"/>
          </w:tcPr>
          <w:p w14:paraId="1279B0B2">
            <w:pPr>
              <w:pStyle w:val="13"/>
              <w:spacing w:before="120" w:after="12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2025-2028年度吴兴区居家养老服务（照料）中心运营项目第五片区</w:t>
            </w:r>
          </w:p>
        </w:tc>
        <w:tc>
          <w:tcPr>
            <w:tcW w:w="709" w:type="dxa"/>
            <w:tcBorders>
              <w:top w:val="single" w:color="auto" w:sz="4" w:space="0"/>
              <w:left w:val="single" w:color="auto" w:sz="4" w:space="0"/>
              <w:bottom w:val="single" w:color="auto" w:sz="4" w:space="0"/>
              <w:right w:val="single" w:color="auto" w:sz="4" w:space="0"/>
            </w:tcBorders>
            <w:vAlign w:val="center"/>
          </w:tcPr>
          <w:p w14:paraId="7F2F2F17">
            <w:pPr>
              <w:pStyle w:val="13"/>
              <w:spacing w:before="120" w:after="120"/>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w:t>
            </w:r>
          </w:p>
        </w:tc>
        <w:tc>
          <w:tcPr>
            <w:tcW w:w="709" w:type="dxa"/>
            <w:tcBorders>
              <w:top w:val="single" w:color="auto" w:sz="4" w:space="0"/>
              <w:left w:val="single" w:color="auto" w:sz="4" w:space="0"/>
              <w:bottom w:val="single" w:color="auto" w:sz="4" w:space="0"/>
              <w:right w:val="single" w:color="auto" w:sz="4" w:space="0"/>
            </w:tcBorders>
            <w:vAlign w:val="center"/>
          </w:tcPr>
          <w:p w14:paraId="6393EB48">
            <w:pPr>
              <w:pStyle w:val="13"/>
              <w:spacing w:before="120" w:after="120"/>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年</w:t>
            </w:r>
          </w:p>
        </w:tc>
        <w:tc>
          <w:tcPr>
            <w:tcW w:w="1843" w:type="dxa"/>
            <w:tcBorders>
              <w:top w:val="single" w:color="auto" w:sz="4" w:space="0"/>
              <w:left w:val="single" w:color="auto" w:sz="4" w:space="0"/>
              <w:bottom w:val="single" w:color="auto" w:sz="4" w:space="0"/>
              <w:right w:val="single" w:color="auto" w:sz="4" w:space="0"/>
            </w:tcBorders>
            <w:vAlign w:val="center"/>
          </w:tcPr>
          <w:p w14:paraId="67F1533F">
            <w:pPr>
              <w:pStyle w:val="13"/>
              <w:spacing w:before="120" w:after="12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月河街道、爱山街道、环渚街道</w:t>
            </w:r>
          </w:p>
        </w:tc>
        <w:tc>
          <w:tcPr>
            <w:tcW w:w="1275" w:type="dxa"/>
            <w:tcBorders>
              <w:top w:val="single" w:color="auto" w:sz="4" w:space="0"/>
              <w:left w:val="single" w:color="auto" w:sz="4" w:space="0"/>
              <w:bottom w:val="single" w:color="auto" w:sz="4" w:space="0"/>
              <w:right w:val="single" w:color="auto" w:sz="4" w:space="0"/>
            </w:tcBorders>
            <w:vAlign w:val="center"/>
          </w:tcPr>
          <w:p w14:paraId="37780A57">
            <w:pPr>
              <w:pStyle w:val="13"/>
              <w:spacing w:before="120" w:after="120"/>
              <w:jc w:val="center"/>
              <w:rPr>
                <w:rFonts w:cs="仿宋" w:asciiTheme="minorEastAsia" w:hAnsiTheme="minorEastAsia" w:eastAsiaTheme="minorEastAsia"/>
                <w:color w:val="auto"/>
                <w:sz w:val="24"/>
                <w:highlight w:val="none"/>
              </w:rPr>
            </w:pPr>
            <w:r>
              <w:rPr>
                <w:rFonts w:hint="eastAsia" w:hAnsi="宋体"/>
                <w:color w:val="auto"/>
                <w:sz w:val="24"/>
                <w:highlight w:val="none"/>
              </w:rPr>
              <w:t>958.8</w:t>
            </w:r>
          </w:p>
        </w:tc>
        <w:tc>
          <w:tcPr>
            <w:tcW w:w="1519" w:type="dxa"/>
            <w:tcBorders>
              <w:top w:val="single" w:color="auto" w:sz="4" w:space="0"/>
              <w:left w:val="single" w:color="auto" w:sz="4" w:space="0"/>
              <w:bottom w:val="single" w:color="auto" w:sz="4" w:space="0"/>
              <w:right w:val="single" w:color="auto" w:sz="4" w:space="0"/>
            </w:tcBorders>
            <w:vAlign w:val="center"/>
          </w:tcPr>
          <w:p w14:paraId="2267E474">
            <w:pPr>
              <w:pStyle w:val="13"/>
              <w:spacing w:before="120" w:after="120"/>
              <w:jc w:val="center"/>
              <w:rPr>
                <w:rFonts w:cs="仿宋" w:asciiTheme="minorEastAsia" w:hAnsiTheme="minorEastAsia" w:eastAsiaTheme="minorEastAsia"/>
                <w:color w:val="auto"/>
                <w:sz w:val="24"/>
                <w:highlight w:val="none"/>
              </w:rPr>
            </w:pPr>
            <w:bookmarkStart w:id="21" w:name="OLE_LINK97"/>
            <w:bookmarkStart w:id="22" w:name="OLE_LINK103"/>
            <w:r>
              <w:rPr>
                <w:rFonts w:hint="eastAsia" w:hAnsi="宋体"/>
                <w:color w:val="auto"/>
                <w:sz w:val="24"/>
                <w:highlight w:val="none"/>
              </w:rPr>
              <w:t>958.8</w:t>
            </w:r>
            <w:bookmarkEnd w:id="21"/>
            <w:bookmarkEnd w:id="22"/>
          </w:p>
        </w:tc>
      </w:tr>
      <w:bookmarkEnd w:id="12"/>
      <w:tr w14:paraId="4AF4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502" w:type="dxa"/>
            <w:gridSpan w:val="7"/>
            <w:tcBorders>
              <w:top w:val="single" w:color="auto" w:sz="4" w:space="0"/>
              <w:left w:val="single" w:color="auto" w:sz="4" w:space="0"/>
              <w:bottom w:val="single" w:color="auto" w:sz="4" w:space="0"/>
              <w:right w:val="single" w:color="auto" w:sz="4" w:space="0"/>
            </w:tcBorders>
            <w:vAlign w:val="center"/>
          </w:tcPr>
          <w:p w14:paraId="5E5FD0E9">
            <w:pPr>
              <w:pStyle w:val="13"/>
              <w:spacing w:before="120" w:after="120"/>
              <w:jc w:val="left"/>
              <w:rPr>
                <w:rFonts w:hAnsi="宋体"/>
                <w:color w:val="auto"/>
                <w:sz w:val="24"/>
                <w:highlight w:val="none"/>
              </w:rPr>
            </w:pPr>
            <w:r>
              <w:rPr>
                <w:rFonts w:hint="eastAsia" w:hAnsi="宋体"/>
                <w:color w:val="auto"/>
                <w:sz w:val="24"/>
                <w:highlight w:val="none"/>
              </w:rPr>
              <w:t>注：本项目分为5个标项，投标人可根据自身能力选择一个或多个标项参与投标，但只能中标一个标项（按标项1，标项2，标项3，标项4，标项5的顺序确定中标人）。</w:t>
            </w:r>
          </w:p>
          <w:p w14:paraId="65CE04DE">
            <w:pPr>
              <w:pStyle w:val="13"/>
              <w:spacing w:before="120" w:after="120"/>
              <w:jc w:val="left"/>
              <w:rPr>
                <w:rFonts w:hAnsi="宋体"/>
                <w:color w:val="auto"/>
                <w:sz w:val="24"/>
                <w:highlight w:val="none"/>
              </w:rPr>
            </w:pPr>
            <w:r>
              <w:rPr>
                <w:rFonts w:hint="eastAsia" w:hAnsi="宋体"/>
                <w:color w:val="auto"/>
                <w:sz w:val="24"/>
                <w:highlight w:val="none"/>
              </w:rPr>
              <w:t>在合同期内，标段范围内有新增点位，参照同等级养老服务（照料）中心执行。</w:t>
            </w:r>
          </w:p>
          <w:p w14:paraId="0A1CC85F">
            <w:pPr>
              <w:pStyle w:val="13"/>
              <w:spacing w:before="120" w:after="120"/>
              <w:jc w:val="left"/>
              <w:rPr>
                <w:rFonts w:hAnsi="宋体"/>
                <w:color w:val="auto"/>
                <w:sz w:val="24"/>
                <w:highlight w:val="none"/>
              </w:rPr>
            </w:pPr>
            <w:r>
              <w:rPr>
                <w:rFonts w:hint="eastAsia" w:hAnsi="宋体"/>
                <w:color w:val="auto"/>
                <w:sz w:val="24"/>
                <w:highlight w:val="none"/>
              </w:rPr>
              <w:t>中标单位同步运营中标区域助联体运营工作，相关运营经费纳入居家养老服务（照料）中心运营项目。</w:t>
            </w:r>
          </w:p>
        </w:tc>
      </w:tr>
    </w:tbl>
    <w:p w14:paraId="14A29298">
      <w:pPr>
        <w:snapToGrid w:val="0"/>
        <w:spacing w:line="360" w:lineRule="auto"/>
        <w:ind w:firstLine="480" w:firstLineChars="200"/>
        <w:rPr>
          <w:rFonts w:ascii="宋体" w:hAnsi="宋体" w:cs="宋体"/>
          <w:color w:val="auto"/>
          <w:kern w:val="0"/>
          <w:sz w:val="24"/>
          <w:highlight w:val="none"/>
        </w:rPr>
      </w:pPr>
      <w:r>
        <w:rPr>
          <w:rFonts w:hint="eastAsia" w:ascii="宋体" w:hAnsi="宋体"/>
          <w:color w:val="auto"/>
          <w:sz w:val="24"/>
          <w:highlight w:val="none"/>
        </w:rPr>
        <w:t>详</w:t>
      </w:r>
      <w:r>
        <w:rPr>
          <w:rFonts w:hint="eastAsia" w:ascii="宋体" w:hAnsi="宋体" w:cs="仿宋"/>
          <w:color w:val="auto"/>
          <w:sz w:val="24"/>
          <w:highlight w:val="none"/>
        </w:rPr>
        <w:t>见招标文件第二章采购需求</w:t>
      </w:r>
    </w:p>
    <w:p w14:paraId="05987D7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合同履行期限：3年，详见招标文件第二章采购需求</w:t>
      </w:r>
    </w:p>
    <w:p w14:paraId="49AABA4C">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本项目（</w:t>
      </w:r>
      <w:r>
        <w:rPr>
          <w:rFonts w:hint="eastAsia" w:ascii="宋体" w:hAnsi="宋体" w:cs="仿宋"/>
          <w:i/>
          <w:color w:val="auto"/>
          <w:sz w:val="24"/>
          <w:highlight w:val="none"/>
        </w:rPr>
        <w:t>是</w:t>
      </w:r>
      <w:r>
        <w:rPr>
          <w:rFonts w:hint="eastAsia" w:ascii="宋体" w:hAnsi="宋体" w:cs="仿宋"/>
          <w:color w:val="auto"/>
          <w:sz w:val="24"/>
          <w:highlight w:val="none"/>
        </w:rPr>
        <w:t>）接受联合体投标。</w:t>
      </w:r>
    </w:p>
    <w:p w14:paraId="2866FACB">
      <w:pPr>
        <w:snapToGrid w:val="0"/>
        <w:spacing w:line="360" w:lineRule="auto"/>
        <w:ind w:firstLine="482" w:firstLineChars="200"/>
        <w:rPr>
          <w:rFonts w:ascii="宋体" w:hAnsi="宋体" w:cs="Arial"/>
          <w:b/>
          <w:color w:val="auto"/>
          <w:sz w:val="24"/>
          <w:highlight w:val="none"/>
        </w:rPr>
      </w:pPr>
      <w:r>
        <w:rPr>
          <w:rFonts w:hint="eastAsia" w:ascii="宋体" w:hAnsi="宋体" w:cs="Arial"/>
          <w:b/>
          <w:color w:val="auto"/>
          <w:sz w:val="24"/>
          <w:highlight w:val="none"/>
        </w:rPr>
        <w:t xml:space="preserve">二、申请人的资格要求 </w:t>
      </w:r>
    </w:p>
    <w:p w14:paraId="3854810A">
      <w:pPr>
        <w:snapToGrid w:val="0"/>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1.满足《中华人民共和国政府采购法》第二十二条规定；</w:t>
      </w:r>
      <w:r>
        <w:rPr>
          <w:rFonts w:hint="eastAsia" w:ascii="宋体" w:hAnsi="宋体"/>
          <w:color w:val="auto"/>
          <w:sz w:val="24"/>
          <w:highlight w:val="none"/>
        </w:rPr>
        <w:t>未被“信用中国”（www.creditchina.gov.cn）、中国政府采购网（www.ccgp.gov.cn）列入失信被执行人、重大税收违法案件当事人名单、政府采购严重违法失信行为记录名单。</w:t>
      </w:r>
    </w:p>
    <w:p w14:paraId="5503D94B">
      <w:pPr>
        <w:snapToGrid w:val="0"/>
        <w:spacing w:line="360" w:lineRule="auto"/>
        <w:ind w:firstLine="472" w:firstLineChars="196"/>
        <w:rPr>
          <w:rFonts w:ascii="宋体" w:hAnsi="宋体"/>
          <w:color w:val="auto"/>
          <w:sz w:val="24"/>
          <w:highlight w:val="none"/>
        </w:rPr>
      </w:pPr>
      <w:r>
        <w:rPr>
          <w:rFonts w:hint="eastAsia" w:ascii="宋体" w:hAnsi="宋体"/>
          <w:b/>
          <w:color w:val="auto"/>
          <w:sz w:val="24"/>
          <w:highlight w:val="none"/>
        </w:rPr>
        <w:t>2.落实政府采购政策需满足的资格要求：</w:t>
      </w:r>
      <w:r>
        <w:rPr>
          <w:rFonts w:hint="eastAsia" w:ascii="宋体" w:hAnsi="宋体" w:cs="仿宋"/>
          <w:color w:val="auto"/>
          <w:sz w:val="24"/>
          <w:highlight w:val="none"/>
        </w:rPr>
        <w:t>无</w:t>
      </w:r>
    </w:p>
    <w:p w14:paraId="008EAC2B">
      <w:pPr>
        <w:widowControl/>
        <w:spacing w:line="360" w:lineRule="auto"/>
        <w:ind w:firstLine="480" w:firstLineChars="200"/>
        <w:jc w:val="left"/>
        <w:rPr>
          <w:rFonts w:ascii="宋体" w:hAnsi="宋体"/>
          <w:color w:val="auto"/>
          <w:sz w:val="24"/>
          <w:highlight w:val="none"/>
          <w:lang w:val="zh-CN"/>
        </w:rPr>
      </w:pPr>
      <w:r>
        <w:rPr>
          <w:rFonts w:hint="eastAsia" w:ascii="宋体" w:hAnsi="宋体"/>
          <w:color w:val="auto"/>
          <w:sz w:val="24"/>
          <w:highlight w:val="none"/>
          <w:lang w:val="zh-CN"/>
        </w:rPr>
        <w:t>▲3.本项目的特定资格要求：无。</w:t>
      </w:r>
    </w:p>
    <w:p w14:paraId="1602E15B">
      <w:pPr>
        <w:widowControl/>
        <w:spacing w:line="360" w:lineRule="auto"/>
        <w:ind w:firstLine="482" w:firstLineChars="200"/>
        <w:jc w:val="left"/>
        <w:rPr>
          <w:rFonts w:ascii="宋体" w:hAnsi="宋体" w:cs="Arial"/>
          <w:b/>
          <w:color w:val="auto"/>
          <w:sz w:val="24"/>
          <w:highlight w:val="none"/>
        </w:rPr>
      </w:pPr>
      <w:r>
        <w:rPr>
          <w:rFonts w:hint="eastAsia" w:ascii="宋体" w:hAnsi="宋体" w:cs="Arial"/>
          <w:b/>
          <w:color w:val="auto"/>
          <w:sz w:val="24"/>
          <w:highlight w:val="none"/>
        </w:rPr>
        <w:t xml:space="preserve">三、获取招标文件 </w:t>
      </w:r>
    </w:p>
    <w:p w14:paraId="2B17C5BA">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 xml:space="preserve">时间：2025年 月  日至 </w:t>
      </w:r>
      <w:r>
        <w:rPr>
          <w:rFonts w:hint="eastAsia" w:ascii="宋体" w:hAnsi="宋体"/>
          <w:color w:val="auto"/>
          <w:sz w:val="24"/>
          <w:highlight w:val="none"/>
        </w:rPr>
        <w:t>2025年 月  日</w:t>
      </w:r>
      <w:r>
        <w:rPr>
          <w:rFonts w:hint="eastAsia" w:ascii="宋体" w:hAnsi="宋体" w:cs="仿宋"/>
          <w:color w:val="auto"/>
          <w:sz w:val="24"/>
          <w:highlight w:val="none"/>
        </w:rPr>
        <w:t>，每天上午00:00至12:00，下午12:00至23:59</w:t>
      </w:r>
    </w:p>
    <w:p w14:paraId="5A3C7ED9">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地点：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14:paraId="6257E76F">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方式：本次招标文件实行网上获取，不接受供应商现场报名。</w:t>
      </w:r>
    </w:p>
    <w:p w14:paraId="15CC0F26">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售价：0</w:t>
      </w:r>
    </w:p>
    <w:p w14:paraId="57DE52CD">
      <w:pPr>
        <w:snapToGrid w:val="0"/>
        <w:spacing w:line="360" w:lineRule="auto"/>
        <w:ind w:firstLine="482" w:firstLineChars="200"/>
        <w:rPr>
          <w:rFonts w:ascii="宋体" w:hAnsi="宋体" w:cs="Arial"/>
          <w:b/>
          <w:color w:val="auto"/>
          <w:sz w:val="24"/>
          <w:highlight w:val="none"/>
        </w:rPr>
      </w:pPr>
      <w:r>
        <w:rPr>
          <w:rFonts w:hint="eastAsia" w:ascii="宋体" w:hAnsi="宋体" w:cs="Arial"/>
          <w:b/>
          <w:color w:val="auto"/>
          <w:sz w:val="24"/>
          <w:highlight w:val="none"/>
        </w:rPr>
        <w:t xml:space="preserve">四、提交投标文件截止时间、开标时间和地点 </w:t>
      </w:r>
    </w:p>
    <w:p w14:paraId="041817C9">
      <w:pPr>
        <w:snapToGrid w:val="0"/>
        <w:spacing w:line="360" w:lineRule="auto"/>
        <w:ind w:firstLine="600" w:firstLineChars="250"/>
        <w:rPr>
          <w:rFonts w:ascii="宋体" w:hAnsi="宋体" w:cs="仿宋"/>
          <w:bCs/>
          <w:color w:val="auto"/>
          <w:sz w:val="24"/>
          <w:highlight w:val="none"/>
        </w:rPr>
      </w:pPr>
      <w:r>
        <w:rPr>
          <w:rFonts w:hint="eastAsia" w:ascii="宋体" w:hAnsi="宋体" w:cs="仿宋"/>
          <w:color w:val="auto"/>
          <w:sz w:val="24"/>
          <w:highlight w:val="none"/>
        </w:rPr>
        <w:t>2025年</w:t>
      </w:r>
      <w:r>
        <w:rPr>
          <w:rFonts w:hint="eastAsia" w:ascii="宋体" w:hAnsi="宋体"/>
          <w:color w:val="auto"/>
          <w:sz w:val="24"/>
          <w:highlight w:val="none"/>
        </w:rPr>
        <w:t xml:space="preserve"> 月  日9：00</w:t>
      </w:r>
      <w:r>
        <w:rPr>
          <w:rFonts w:hint="eastAsia" w:ascii="宋体" w:hAnsi="宋体" w:cs="仿宋"/>
          <w:bCs/>
          <w:color w:val="auto"/>
          <w:sz w:val="24"/>
          <w:highlight w:val="none"/>
        </w:rPr>
        <w:t>（北京时间）</w:t>
      </w:r>
    </w:p>
    <w:p w14:paraId="1396A534">
      <w:pPr>
        <w:snapToGrid w:val="0"/>
        <w:spacing w:line="360" w:lineRule="auto"/>
        <w:ind w:firstLine="600" w:firstLineChars="250"/>
        <w:rPr>
          <w:rFonts w:ascii="宋体" w:hAnsi="宋体" w:cs="仿宋"/>
          <w:bCs/>
          <w:color w:val="auto"/>
          <w:sz w:val="24"/>
          <w:highlight w:val="none"/>
          <w:u w:val="single"/>
        </w:rPr>
      </w:pPr>
      <w:r>
        <w:rPr>
          <w:rFonts w:hint="eastAsia" w:ascii="宋体" w:hAnsi="宋体" w:cs="仿宋"/>
          <w:color w:val="auto"/>
          <w:sz w:val="24"/>
          <w:highlight w:val="none"/>
        </w:rPr>
        <w:t>地点：通过“政府采购云平台（http://www.zcygov.cn）”实行在线投标及开标</w:t>
      </w:r>
    </w:p>
    <w:p w14:paraId="6465BEF0">
      <w:pPr>
        <w:snapToGrid w:val="0"/>
        <w:spacing w:line="360" w:lineRule="auto"/>
        <w:ind w:firstLine="482" w:firstLineChars="200"/>
        <w:rPr>
          <w:rFonts w:ascii="宋体" w:hAnsi="宋体" w:cs="Arial"/>
          <w:b/>
          <w:color w:val="auto"/>
          <w:sz w:val="24"/>
          <w:highlight w:val="none"/>
        </w:rPr>
      </w:pPr>
      <w:r>
        <w:rPr>
          <w:rFonts w:hint="eastAsia" w:ascii="宋体" w:hAnsi="宋体" w:cs="Arial"/>
          <w:b/>
          <w:color w:val="auto"/>
          <w:sz w:val="24"/>
          <w:highlight w:val="none"/>
        </w:rPr>
        <w:t>五、公告期限</w:t>
      </w:r>
    </w:p>
    <w:p w14:paraId="6A5385F9">
      <w:pPr>
        <w:snapToGrid w:val="0"/>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自本公告发布之日起5个工作日。</w:t>
      </w:r>
    </w:p>
    <w:p w14:paraId="563F9BCE">
      <w:pPr>
        <w:snapToGrid w:val="0"/>
        <w:spacing w:line="360" w:lineRule="auto"/>
        <w:ind w:firstLine="482" w:firstLineChars="200"/>
        <w:rPr>
          <w:rFonts w:ascii="宋体" w:hAnsi="宋体" w:cs="Arial"/>
          <w:b/>
          <w:color w:val="auto"/>
          <w:sz w:val="24"/>
          <w:highlight w:val="none"/>
        </w:rPr>
      </w:pPr>
      <w:r>
        <w:rPr>
          <w:rFonts w:hint="eastAsia" w:ascii="宋体" w:hAnsi="宋体" w:cs="Arial"/>
          <w:b/>
          <w:color w:val="auto"/>
          <w:sz w:val="24"/>
          <w:highlight w:val="none"/>
        </w:rPr>
        <w:t>六、其他补充事宜</w:t>
      </w:r>
    </w:p>
    <w:p w14:paraId="5D0540AB">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1.供应商认为采购文件使自己的权益受到损害的，可以自获取采购文件之日或者采购文件公告期限届满之日</w:t>
      </w:r>
      <w:bookmarkStart w:id="23" w:name="OLE_LINK2"/>
      <w:bookmarkStart w:id="24" w:name="OLE_LINK1"/>
      <w:r>
        <w:rPr>
          <w:rFonts w:hint="eastAsia" w:ascii="宋体" w:hAnsi="宋体" w:cs="仿宋"/>
          <w:color w:val="auto"/>
          <w:sz w:val="24"/>
          <w:highlight w:val="none"/>
        </w:rPr>
        <w:t>（公告期限届满后获取采购文件的，以公告期限届满之日为准）</w:t>
      </w:r>
      <w:bookmarkEnd w:id="23"/>
      <w:bookmarkEnd w:id="24"/>
      <w:r>
        <w:rPr>
          <w:rFonts w:hint="eastAsia" w:ascii="宋体" w:hAnsi="宋体" w:cs="仿宋"/>
          <w:color w:val="auto"/>
          <w:sz w:val="24"/>
          <w:highlight w:val="none"/>
        </w:rPr>
        <w:t>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6A5B8F6">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2.根据《中华人民共和国财政部令第94号－政府采购质疑和投诉办法》规定，供应商在法定质疑期内须一次性提出针对同一采购程序环节的质疑。质疑供应商对采购人、采购代理机构的答复不满意或者采购人、采购代理机构未在规定的时间内作出答复的，可以在答复期满后十五个工作日内向同级政府采购监督管理部门投诉。</w:t>
      </w:r>
    </w:p>
    <w:p w14:paraId="5546AA4F">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3.潜在供应商已依法获取（依法获取指：供应商按本项目招标公告要求在政采云系统上获取并报名成功）其可质疑的招标文件，可以对该文件提出质疑。未按照规定方式依法获取招标文件的，不得对招标文件提起质疑投诉。</w:t>
      </w:r>
    </w:p>
    <w:p w14:paraId="13187899">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4.答疑内容是招标文件的组成部分，并将在网上发布补充（答疑、澄清）文件，潜在供应商应自行关注网站公告，采购人不再一一通知，供应商因自身贻误行为导致投标失效的，责任自负。</w:t>
      </w:r>
    </w:p>
    <w:p w14:paraId="295099E6">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5.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14:paraId="47E9C518">
      <w:pPr>
        <w:snapToGrid w:val="0"/>
        <w:spacing w:line="360" w:lineRule="auto"/>
        <w:ind w:firstLine="480" w:firstLineChars="200"/>
        <w:rPr>
          <w:rFonts w:ascii="宋体" w:hAnsi="宋体" w:cs="Arial"/>
          <w:b/>
          <w:color w:val="auto"/>
          <w:sz w:val="24"/>
          <w:highlight w:val="none"/>
        </w:rPr>
      </w:pPr>
      <w:r>
        <w:rPr>
          <w:rFonts w:hint="eastAsia" w:ascii="宋体" w:hAnsi="宋体" w:cs="宋体"/>
          <w:color w:val="auto"/>
          <w:sz w:val="24"/>
          <w:highlight w:val="none"/>
        </w:rPr>
        <w:t>6.</w:t>
      </w:r>
      <w:r>
        <w:rPr>
          <w:rFonts w:ascii="宋体" w:hAnsi="宋体" w:cs="宋体"/>
          <w:color w:val="auto"/>
          <w:sz w:val="24"/>
          <w:highlight w:val="none"/>
        </w:rPr>
        <w:t>根据《政府采购促进中小企业发展管理办法》，本项目是否专门面向中小企业采购：</w:t>
      </w:r>
      <w:r>
        <w:rPr>
          <w:rFonts w:hint="eastAsia" w:ascii="宋体" w:hAnsi="宋体" w:cs="宋体"/>
          <w:color w:val="auto"/>
          <w:sz w:val="24"/>
          <w:highlight w:val="none"/>
        </w:rPr>
        <w:t>否。</w:t>
      </w:r>
    </w:p>
    <w:p w14:paraId="5E2E0590">
      <w:pPr>
        <w:snapToGrid w:val="0"/>
        <w:spacing w:line="360" w:lineRule="auto"/>
        <w:ind w:firstLine="480" w:firstLineChars="200"/>
        <w:rPr>
          <w:rFonts w:ascii="宋体" w:hAnsi="宋体" w:cs="宋体"/>
          <w:color w:val="auto"/>
          <w:kern w:val="0"/>
          <w:sz w:val="24"/>
          <w:highlight w:val="none"/>
        </w:rPr>
      </w:pPr>
      <w:r>
        <w:rPr>
          <w:rFonts w:hint="eastAsia" w:ascii="宋体" w:hAnsi="宋体" w:cs="仿宋"/>
          <w:color w:val="auto"/>
          <w:sz w:val="24"/>
          <w:highlight w:val="none"/>
        </w:rPr>
        <w:t>7.本项目公告发布网站： 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Style w:val="30"/>
          <w:rFonts w:hint="eastAsia" w:ascii="宋体" w:hAnsi="宋体" w:cs="仿宋"/>
          <w:color w:val="auto"/>
          <w:sz w:val="24"/>
          <w:highlight w:val="none"/>
        </w:rPr>
        <w:t>http://zfcg.czt.zj.gov.cn/</w:t>
      </w:r>
      <w:r>
        <w:rPr>
          <w:rStyle w:val="30"/>
          <w:rFonts w:hint="eastAsia" w:ascii="宋体" w:hAnsi="宋体" w:cs="仿宋"/>
          <w:color w:val="auto"/>
          <w:sz w:val="24"/>
          <w:highlight w:val="none"/>
        </w:rPr>
        <w:fldChar w:fldCharType="end"/>
      </w:r>
      <w:r>
        <w:rPr>
          <w:rFonts w:hint="eastAsia"/>
          <w:color w:val="auto"/>
          <w:highlight w:val="none"/>
        </w:rPr>
        <w:t>，</w:t>
      </w:r>
      <w:r>
        <w:rPr>
          <w:rFonts w:hint="eastAsia" w:ascii="宋体" w:hAnsi="宋体" w:cs="宋体"/>
          <w:color w:val="auto"/>
          <w:kern w:val="0"/>
          <w:sz w:val="24"/>
          <w:highlight w:val="none"/>
        </w:rPr>
        <w:t>吴兴区人民政府网http://www.wuxing.gov.cn/首页“吴兴区公共资源交易中心”专栏。</w:t>
      </w:r>
    </w:p>
    <w:p w14:paraId="788553B4">
      <w:pPr>
        <w:snapToGrid w:val="0"/>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8.投标事项：</w:t>
      </w:r>
    </w:p>
    <w:p w14:paraId="2523E2AE">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1）本项目为电子招投标项目，实行网上招投标，应按照本招标文件及政采云平台的要求编制、加密，要求供应商通过政采云系统在线投标响应，投标截止时间前须完成电子投标文件的上传，供应商在使用系统进行投标的过程中遇到涉及平台使用的任何问题，可致电政采云平台技术支持热线咨询，联系方式：400-881-7190。</w:t>
      </w:r>
    </w:p>
    <w:p w14:paraId="22B4204C">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（2）参与政府采购项目的注册供应商，需登录浙江政府采购云平台（http://www.zcygov.cn）进行网上报名，尚未注册的供应商应当先在浙江政府采购云平台上申请注册。</w:t>
      </w:r>
    </w:p>
    <w:p w14:paraId="0E5B2F97">
      <w:pPr>
        <w:spacing w:line="360" w:lineRule="auto"/>
        <w:ind w:left="479" w:leftChars="228"/>
        <w:jc w:val="left"/>
        <w:rPr>
          <w:rFonts w:ascii="宋体" w:hAnsi="宋体" w:cs="仿宋"/>
          <w:color w:val="auto"/>
          <w:kern w:val="0"/>
          <w:sz w:val="24"/>
          <w:highlight w:val="none"/>
        </w:rPr>
      </w:pPr>
      <w:r>
        <w:rPr>
          <w:rFonts w:hint="eastAsia" w:ascii="宋体" w:hAnsi="宋体" w:cs="仿宋"/>
          <w:color w:val="auto"/>
          <w:sz w:val="24"/>
          <w:highlight w:val="none"/>
        </w:rPr>
        <w:t>（3）政府采购项目电子交易操作指南：</w:t>
      </w:r>
      <w:r>
        <w:rPr>
          <w:color w:val="auto"/>
          <w:highlight w:val="none"/>
        </w:rPr>
        <w:t>https://service.zcygov.cn/#/knowledges/CW1EtGwBFdiHxlNd6I3m/6IMVAG0BFdiHxlNdQ8Na</w:t>
      </w:r>
    </w:p>
    <w:p w14:paraId="183CEC62">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4）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办理流程详见http://zfcg.czt.zj.gov.cn/bidClientTemplate/2019-05-27/12945.html，并登录“浙江政府采购网”（http://zfcg.czt.zj.gov.cn/），进入“下载专区”下载“政采云电子交易客户端”，制作投标文件。</w:t>
      </w:r>
    </w:p>
    <w:p w14:paraId="0569DE32">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（5）投标供应商应当在投标截止时间前，将生成的“电子加密投标文件”上传递交至“政府采购云平台”。投标截止时间以后上传递交的投标文件将被“政府采购云平台”拒收。</w:t>
      </w:r>
    </w:p>
    <w:p w14:paraId="079CCF7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（6）备</w:t>
      </w:r>
      <w:r>
        <w:rPr>
          <w:rFonts w:hint="eastAsia" w:ascii="宋体" w:hAnsi="宋体"/>
          <w:color w:val="auto"/>
          <w:sz w:val="24"/>
          <w:highlight w:val="none"/>
        </w:rPr>
        <w:t>份</w:t>
      </w:r>
      <w:r>
        <w:rPr>
          <w:rFonts w:hint="eastAsia" w:ascii="宋体" w:hAnsi="宋体" w:cs="宋体"/>
          <w:color w:val="auto"/>
          <w:kern w:val="0"/>
          <w:sz w:val="24"/>
          <w:highlight w:val="none"/>
        </w:rPr>
        <w:t>投标文件</w:t>
      </w:r>
      <w:r>
        <w:rPr>
          <w:rFonts w:hint="eastAsia" w:ascii="宋体" w:hAnsi="宋体"/>
          <w:color w:val="auto"/>
          <w:sz w:val="24"/>
          <w:highlight w:val="none"/>
        </w:rPr>
        <w:t>：根据“浙江省政府采购项目电子交易管理暂行办法”第二十条规定，本次招标允许供应商递交备份</w:t>
      </w:r>
      <w:r>
        <w:rPr>
          <w:rFonts w:hint="eastAsia" w:ascii="宋体" w:hAnsi="宋体" w:cs="宋体"/>
          <w:color w:val="auto"/>
          <w:kern w:val="0"/>
          <w:sz w:val="24"/>
          <w:highlight w:val="none"/>
        </w:rPr>
        <w:t>投标文件</w:t>
      </w:r>
      <w:r>
        <w:rPr>
          <w:rFonts w:hint="eastAsia" w:ascii="宋体" w:hAnsi="宋体"/>
          <w:color w:val="auto"/>
          <w:sz w:val="24"/>
          <w:highlight w:val="none"/>
        </w:rPr>
        <w:t>，仅提交备份</w:t>
      </w:r>
      <w:r>
        <w:rPr>
          <w:rFonts w:hint="eastAsia" w:ascii="宋体" w:hAnsi="宋体" w:cs="宋体"/>
          <w:color w:val="auto"/>
          <w:kern w:val="0"/>
          <w:sz w:val="24"/>
          <w:highlight w:val="none"/>
        </w:rPr>
        <w:t>投标文件</w:t>
      </w:r>
      <w:r>
        <w:rPr>
          <w:rFonts w:hint="eastAsia" w:ascii="宋体" w:hAnsi="宋体"/>
          <w:color w:val="auto"/>
          <w:sz w:val="24"/>
          <w:highlight w:val="none"/>
        </w:rPr>
        <w:t>的，</w:t>
      </w:r>
      <w:r>
        <w:rPr>
          <w:rFonts w:hint="eastAsia" w:ascii="宋体" w:hAnsi="宋体" w:cs="宋体"/>
          <w:color w:val="auto"/>
          <w:kern w:val="0"/>
          <w:sz w:val="24"/>
          <w:highlight w:val="none"/>
        </w:rPr>
        <w:t>投标</w:t>
      </w:r>
      <w:r>
        <w:rPr>
          <w:rFonts w:hint="eastAsia" w:ascii="宋体" w:hAnsi="宋体"/>
          <w:color w:val="auto"/>
          <w:sz w:val="24"/>
          <w:highlight w:val="none"/>
        </w:rPr>
        <w:t>无效。本项目不强制要求供应商提交备份</w:t>
      </w:r>
      <w:r>
        <w:rPr>
          <w:rFonts w:hint="eastAsia" w:ascii="宋体" w:hAnsi="宋体" w:cs="宋体"/>
          <w:color w:val="auto"/>
          <w:kern w:val="0"/>
          <w:sz w:val="24"/>
          <w:highlight w:val="none"/>
        </w:rPr>
        <w:t>投标文件</w:t>
      </w:r>
      <w:r>
        <w:rPr>
          <w:rFonts w:hint="eastAsia" w:ascii="宋体" w:hAnsi="宋体"/>
          <w:color w:val="auto"/>
          <w:sz w:val="24"/>
          <w:highlight w:val="none"/>
        </w:rPr>
        <w:t>，但由于未提交备份</w:t>
      </w:r>
      <w:r>
        <w:rPr>
          <w:rFonts w:hint="eastAsia" w:ascii="宋体" w:hAnsi="宋体" w:cs="宋体"/>
          <w:color w:val="auto"/>
          <w:kern w:val="0"/>
          <w:sz w:val="24"/>
          <w:highlight w:val="none"/>
        </w:rPr>
        <w:t>投标文件</w:t>
      </w:r>
      <w:r>
        <w:rPr>
          <w:rFonts w:hint="eastAsia" w:ascii="宋体" w:hAnsi="宋体"/>
          <w:color w:val="auto"/>
          <w:sz w:val="24"/>
          <w:highlight w:val="none"/>
        </w:rPr>
        <w:t>而造成项目开评标活动无法进行下去的，</w:t>
      </w:r>
      <w:r>
        <w:rPr>
          <w:rFonts w:hint="eastAsia" w:ascii="宋体" w:hAnsi="宋体" w:cs="宋体"/>
          <w:color w:val="auto"/>
          <w:kern w:val="0"/>
          <w:sz w:val="24"/>
          <w:highlight w:val="none"/>
        </w:rPr>
        <w:t>投标</w:t>
      </w:r>
      <w:r>
        <w:rPr>
          <w:rFonts w:hint="eastAsia" w:ascii="宋体" w:hAnsi="宋体"/>
          <w:color w:val="auto"/>
          <w:sz w:val="24"/>
          <w:highlight w:val="none"/>
        </w:rPr>
        <w:t>无效的，相关风险由供应</w:t>
      </w:r>
      <w:r>
        <w:rPr>
          <w:rFonts w:hint="eastAsia" w:ascii="宋体" w:hAnsi="宋体" w:cs="宋体"/>
          <w:color w:val="auto"/>
          <w:kern w:val="0"/>
          <w:sz w:val="24"/>
          <w:highlight w:val="none"/>
        </w:rPr>
        <w:t>商自行承担。</w:t>
      </w:r>
      <w:r>
        <w:rPr>
          <w:rFonts w:ascii="宋体" w:hAnsi="宋体" w:cs="宋体"/>
          <w:color w:val="auto"/>
          <w:kern w:val="0"/>
          <w:sz w:val="24"/>
          <w:highlight w:val="none"/>
        </w:rPr>
        <w:t>备份</w:t>
      </w:r>
      <w:r>
        <w:rPr>
          <w:rFonts w:hint="eastAsia" w:ascii="宋体" w:hAnsi="宋体" w:cs="宋体"/>
          <w:color w:val="auto"/>
          <w:kern w:val="0"/>
          <w:sz w:val="24"/>
          <w:highlight w:val="none"/>
        </w:rPr>
        <w:t>投标文件：1份。</w:t>
      </w:r>
      <w:r>
        <w:rPr>
          <w:rFonts w:ascii="宋体" w:hAnsi="宋体" w:cs="宋体"/>
          <w:color w:val="auto"/>
          <w:kern w:val="0"/>
          <w:sz w:val="24"/>
          <w:highlight w:val="none"/>
        </w:rPr>
        <w:t>以介质存储的数据电文形式的备份</w:t>
      </w:r>
      <w:r>
        <w:rPr>
          <w:rFonts w:hint="eastAsia" w:ascii="宋体" w:hAnsi="宋体" w:cs="宋体"/>
          <w:color w:val="auto"/>
          <w:kern w:val="0"/>
          <w:sz w:val="24"/>
          <w:highlight w:val="none"/>
        </w:rPr>
        <w:t>投标文件（</w:t>
      </w:r>
      <w:r>
        <w:rPr>
          <w:rFonts w:ascii="宋体" w:hAnsi="宋体" w:cs="宋体"/>
          <w:color w:val="auto"/>
          <w:kern w:val="0"/>
          <w:sz w:val="24"/>
          <w:highlight w:val="none"/>
        </w:rPr>
        <w:t>BFBS格式</w:t>
      </w:r>
      <w:r>
        <w:rPr>
          <w:rFonts w:hint="eastAsia" w:ascii="宋体" w:hAnsi="宋体" w:cs="宋体"/>
          <w:color w:val="auto"/>
          <w:kern w:val="0"/>
          <w:sz w:val="24"/>
          <w:highlight w:val="none"/>
        </w:rPr>
        <w:t>）</w:t>
      </w:r>
      <w:r>
        <w:rPr>
          <w:rFonts w:ascii="宋体" w:hAnsi="宋体" w:cs="宋体"/>
          <w:color w:val="auto"/>
          <w:kern w:val="0"/>
          <w:sz w:val="24"/>
          <w:highlight w:val="none"/>
        </w:rPr>
        <w:t>，按政采云平台项目采购</w:t>
      </w:r>
      <w:r>
        <w:rPr>
          <w:rFonts w:hint="eastAsia" w:ascii="宋体" w:hAnsi="宋体" w:cs="宋体"/>
          <w:color w:val="auto"/>
          <w:kern w:val="0"/>
          <w:sz w:val="24"/>
          <w:highlight w:val="none"/>
        </w:rPr>
        <w:t>－</w:t>
      </w:r>
      <w:r>
        <w:rPr>
          <w:rFonts w:ascii="宋体" w:hAnsi="宋体" w:cs="宋体"/>
          <w:color w:val="auto"/>
          <w:kern w:val="0"/>
          <w:sz w:val="24"/>
          <w:highlight w:val="none"/>
        </w:rPr>
        <w:t>电子交易操作指南中上传的电子</w:t>
      </w:r>
      <w:r>
        <w:rPr>
          <w:rFonts w:hint="eastAsia" w:ascii="宋体" w:hAnsi="宋体" w:cs="宋体"/>
          <w:color w:val="auto"/>
          <w:kern w:val="0"/>
          <w:sz w:val="24"/>
          <w:highlight w:val="none"/>
        </w:rPr>
        <w:t>投标文件</w:t>
      </w:r>
      <w:r>
        <w:rPr>
          <w:rFonts w:ascii="宋体" w:hAnsi="宋体" w:cs="宋体"/>
          <w:color w:val="auto"/>
          <w:kern w:val="0"/>
          <w:sz w:val="24"/>
          <w:highlight w:val="none"/>
        </w:rPr>
        <w:t>格式，以U盘形式存储提供</w:t>
      </w:r>
      <w:r>
        <w:rPr>
          <w:rFonts w:hint="eastAsia" w:ascii="宋体" w:hAnsi="宋体" w:cs="宋体"/>
          <w:color w:val="auto"/>
          <w:kern w:val="0"/>
          <w:sz w:val="24"/>
          <w:highlight w:val="none"/>
        </w:rPr>
        <w:t>）</w:t>
      </w:r>
      <w:r>
        <w:rPr>
          <w:rFonts w:ascii="宋体" w:hAnsi="宋体" w:cs="宋体"/>
          <w:color w:val="auto"/>
          <w:kern w:val="0"/>
          <w:sz w:val="24"/>
          <w:highlight w:val="none"/>
        </w:rPr>
        <w:t>。U盘盘面上粘贴标签，标注单位名称，装入一个外包封袋中进行邮寄</w:t>
      </w:r>
      <w:r>
        <w:rPr>
          <w:rFonts w:hint="eastAsia" w:ascii="宋体" w:hAnsi="宋体" w:cs="宋体"/>
          <w:color w:val="auto"/>
          <w:kern w:val="0"/>
          <w:sz w:val="24"/>
          <w:highlight w:val="none"/>
        </w:rPr>
        <w:t>。</w:t>
      </w:r>
      <w:r>
        <w:rPr>
          <w:rFonts w:ascii="宋体" w:hAnsi="宋体" w:cs="宋体"/>
          <w:color w:val="auto"/>
          <w:kern w:val="0"/>
          <w:sz w:val="24"/>
          <w:highlight w:val="none"/>
        </w:rPr>
        <w:t>邮寄时，总的外包封袋上可不注明单位名称，但应注明单位的联系人、联系电话及项目名称</w:t>
      </w:r>
      <w:r>
        <w:rPr>
          <w:rFonts w:hint="eastAsia" w:ascii="宋体" w:hAnsi="宋体" w:cs="宋体"/>
          <w:color w:val="auto"/>
          <w:kern w:val="0"/>
          <w:sz w:val="24"/>
          <w:highlight w:val="none"/>
        </w:rPr>
        <w:t>。邮寄地址为：浙江华耀建设咨询有限公司（湖州市静江公寓1单元1101室），联系人：张治中，联系电话：0572-2198738</w:t>
      </w:r>
      <w:r>
        <w:rPr>
          <w:color w:val="auto"/>
          <w:highlight w:val="none"/>
        </w:rPr>
        <w:fldChar w:fldCharType="begin"/>
      </w:r>
      <w:r>
        <w:rPr>
          <w:color w:val="auto"/>
          <w:highlight w:val="none"/>
        </w:rPr>
        <w:instrText xml:space="preserve"> HYPERLINK "mailto:huayaohz@163.com。供应商应于2020年9月" </w:instrText>
      </w:r>
      <w:r>
        <w:rPr>
          <w:color w:val="auto"/>
          <w:highlight w:val="none"/>
        </w:rPr>
        <w:fldChar w:fldCharType="separate"/>
      </w:r>
      <w:r>
        <w:rPr>
          <w:rFonts w:hint="eastAsia" w:ascii="宋体" w:hAnsi="宋体" w:cs="宋体"/>
          <w:color w:val="auto"/>
          <w:kern w:val="0"/>
          <w:sz w:val="24"/>
          <w:highlight w:val="none"/>
        </w:rPr>
        <w:t>，</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拒绝到付。以收件人实际签收时间为准，逾期送达的将拒绝接收。</w:t>
      </w:r>
    </w:p>
    <w:p w14:paraId="455268D0">
      <w:pPr>
        <w:spacing w:line="360" w:lineRule="auto"/>
        <w:ind w:firstLine="480" w:firstLineChars="200"/>
        <w:rPr>
          <w:rFonts w:ascii="宋体" w:hAnsi="宋体"/>
          <w:color w:val="auto"/>
          <w:sz w:val="24"/>
          <w:highlight w:val="none"/>
        </w:rPr>
      </w:pPr>
      <w:r>
        <w:rPr>
          <w:rFonts w:hint="eastAsia" w:ascii="宋体" w:hAnsi="宋体" w:cs="宋体"/>
          <w:color w:val="auto"/>
          <w:kern w:val="0"/>
          <w:sz w:val="24"/>
          <w:highlight w:val="none"/>
        </w:rPr>
        <w:t>（7）本项目开评标会议通过政采云电子交易系统在线完成，</w:t>
      </w:r>
      <w:r>
        <w:rPr>
          <w:rFonts w:hint="eastAsia" w:ascii="宋体" w:hAnsi="宋体"/>
          <w:color w:val="auto"/>
          <w:sz w:val="24"/>
          <w:highlight w:val="none"/>
        </w:rPr>
        <w:t>请潜在供应商代表自行准备联网的计算机设备、“政府采购云平台”CA数字证书。开评标会议开始后，应全程关注政采云电子交易系统的各类通知：在线询标等，及时澄清、响应，避免逾期无效等情况的发生。</w:t>
      </w:r>
    </w:p>
    <w:p w14:paraId="45088604">
      <w:pPr>
        <w:snapToGrid w:val="0"/>
        <w:spacing w:line="360" w:lineRule="auto"/>
        <w:ind w:firstLine="542" w:firstLineChars="225"/>
        <w:rPr>
          <w:rFonts w:ascii="宋体" w:hAnsi="宋体" w:cs="Arial"/>
          <w:b/>
          <w:color w:val="auto"/>
          <w:sz w:val="24"/>
          <w:highlight w:val="none"/>
        </w:rPr>
      </w:pPr>
      <w:r>
        <w:rPr>
          <w:rFonts w:hint="eastAsia" w:ascii="宋体" w:hAnsi="宋体" w:cs="Arial"/>
          <w:b/>
          <w:color w:val="auto"/>
          <w:sz w:val="24"/>
          <w:highlight w:val="none"/>
        </w:rPr>
        <w:t>七、业务咨询：</w:t>
      </w:r>
    </w:p>
    <w:p w14:paraId="4D6623EA">
      <w:pPr>
        <w:snapToGrid w:val="0"/>
        <w:spacing w:line="360" w:lineRule="auto"/>
        <w:ind w:firstLine="470" w:firstLineChars="196"/>
        <w:rPr>
          <w:rFonts w:ascii="宋体" w:hAnsi="宋体" w:cs="Arial"/>
          <w:b/>
          <w:color w:val="auto"/>
          <w:sz w:val="24"/>
          <w:highlight w:val="none"/>
        </w:rPr>
      </w:pPr>
      <w:r>
        <w:rPr>
          <w:rFonts w:hint="eastAsia" w:ascii="宋体" w:hAnsi="宋体"/>
          <w:color w:val="auto"/>
          <w:sz w:val="24"/>
          <w:highlight w:val="none"/>
        </w:rPr>
        <w:t>1.采购代理机构名称：浙江华耀建设咨询有限公司</w:t>
      </w:r>
    </w:p>
    <w:p w14:paraId="66333B76">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地址：</w:t>
      </w:r>
      <w:r>
        <w:rPr>
          <w:rFonts w:hint="eastAsia" w:ascii="宋体" w:hAnsi="宋体" w:cs="宋体"/>
          <w:color w:val="auto"/>
          <w:kern w:val="0"/>
          <w:sz w:val="24"/>
          <w:highlight w:val="none"/>
        </w:rPr>
        <w:t>浙江省湖州市静江公寓1单元1101室</w:t>
      </w:r>
    </w:p>
    <w:p w14:paraId="32F19DCB">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联系人：小张；联系电话：0572-2198738；传真：0572-2198739</w:t>
      </w:r>
    </w:p>
    <w:p w14:paraId="404FD7CB">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供应商质疑函接收人：何女士   联系电话：0572-2371910</w:t>
      </w:r>
    </w:p>
    <w:p w14:paraId="64D928E9">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电子邮箱：</w:t>
      </w:r>
      <w:r>
        <w:rPr>
          <w:color w:val="auto"/>
          <w:highlight w:val="none"/>
        </w:rPr>
        <w:fldChar w:fldCharType="begin"/>
      </w:r>
      <w:r>
        <w:rPr>
          <w:color w:val="auto"/>
          <w:highlight w:val="none"/>
        </w:rPr>
        <w:instrText xml:space="preserve"> HYPERLINK "mailto:huayaohz@163.com。" </w:instrText>
      </w:r>
      <w:r>
        <w:rPr>
          <w:color w:val="auto"/>
          <w:highlight w:val="none"/>
        </w:rPr>
        <w:fldChar w:fldCharType="separate"/>
      </w:r>
      <w:r>
        <w:rPr>
          <w:rFonts w:hint="eastAsia" w:ascii="宋体" w:hAnsi="宋体"/>
          <w:color w:val="auto"/>
          <w:sz w:val="24"/>
          <w:highlight w:val="none"/>
        </w:rPr>
        <w:t>huayaohz@163.com</w:t>
      </w:r>
      <w:r>
        <w:rPr>
          <w:rFonts w:hint="eastAsia" w:ascii="宋体" w:hAnsi="宋体"/>
          <w:color w:val="auto"/>
          <w:sz w:val="24"/>
          <w:highlight w:val="none"/>
        </w:rPr>
        <w:fldChar w:fldCharType="end"/>
      </w:r>
    </w:p>
    <w:p w14:paraId="7F291CD7">
      <w:pPr>
        <w:snapToGrid w:val="0"/>
        <w:spacing w:line="360" w:lineRule="auto"/>
        <w:ind w:firstLine="420" w:firstLineChars="200"/>
        <w:rPr>
          <w:color w:val="auto"/>
          <w:highlight w:val="none"/>
        </w:rPr>
      </w:pPr>
    </w:p>
    <w:p w14:paraId="2D184F73">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2.采购人名称：湖州市吴兴区民政局</w:t>
      </w:r>
    </w:p>
    <w:p w14:paraId="16CD5EB5">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 xml:space="preserve">联系人：王先生                          联系电话：0572-2551309   </w:t>
      </w:r>
    </w:p>
    <w:p w14:paraId="3012DC19">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采购人质疑联系人：胡先生                联系电话：0572-3392311</w:t>
      </w:r>
    </w:p>
    <w:p w14:paraId="1EF8F154">
      <w:pPr>
        <w:snapToGrid w:val="0"/>
        <w:spacing w:line="360" w:lineRule="auto"/>
        <w:ind w:firstLine="470" w:firstLineChars="196"/>
        <w:rPr>
          <w:rFonts w:ascii="宋体" w:hAnsi="宋体"/>
          <w:color w:val="auto"/>
          <w:sz w:val="24"/>
          <w:highlight w:val="none"/>
        </w:rPr>
      </w:pPr>
    </w:p>
    <w:p w14:paraId="3E255C8E">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3.同级政府采购监督管理部门名称：湖州市吴兴区财政局采监科</w:t>
      </w:r>
    </w:p>
    <w:p w14:paraId="58C6CC20">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地址：湖州市吴兴区吴兴大道1号</w:t>
      </w:r>
    </w:p>
    <w:p w14:paraId="0BF45274">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联系人：沈先生； 监督投诉电话：0572-2289700</w:t>
      </w:r>
    </w:p>
    <w:p w14:paraId="55013CE2">
      <w:pPr>
        <w:snapToGrid w:val="0"/>
        <w:spacing w:line="360" w:lineRule="auto"/>
        <w:ind w:left="238" w:firstLine="240" w:firstLineChars="100"/>
        <w:rPr>
          <w:rFonts w:ascii="宋体" w:hAnsi="宋体"/>
          <w:color w:val="auto"/>
          <w:sz w:val="24"/>
          <w:highlight w:val="none"/>
        </w:rPr>
      </w:pPr>
      <w:r>
        <w:rPr>
          <w:rFonts w:hint="eastAsia" w:ascii="宋体" w:hAnsi="宋体" w:cs="Arial"/>
          <w:color w:val="auto"/>
          <w:sz w:val="24"/>
          <w:highlight w:val="none"/>
        </w:rPr>
        <w:t xml:space="preserve">                                                     湖州市吴兴区民政局</w:t>
      </w:r>
    </w:p>
    <w:p w14:paraId="5DBE3563">
      <w:pPr>
        <w:snapToGrid w:val="0"/>
        <w:spacing w:line="360" w:lineRule="auto"/>
        <w:ind w:left="238"/>
        <w:jc w:val="center"/>
        <w:rPr>
          <w:rFonts w:ascii="宋体" w:hAnsi="宋体"/>
          <w:color w:val="auto"/>
          <w:sz w:val="24"/>
          <w:highlight w:val="none"/>
        </w:rPr>
      </w:pPr>
      <w:r>
        <w:rPr>
          <w:rFonts w:hint="eastAsia" w:ascii="宋体" w:hAnsi="宋体"/>
          <w:color w:val="auto"/>
          <w:sz w:val="24"/>
          <w:highlight w:val="none"/>
        </w:rPr>
        <w:t xml:space="preserve">                                                 浙江华耀建设咨询有限公司</w:t>
      </w:r>
    </w:p>
    <w:p w14:paraId="5AE59C42">
      <w:pPr>
        <w:snapToGrid w:val="0"/>
        <w:spacing w:line="360" w:lineRule="auto"/>
        <w:ind w:left="238"/>
        <w:jc w:val="center"/>
        <w:rPr>
          <w:rFonts w:ascii="宋体" w:hAnsi="宋体"/>
          <w:color w:val="auto"/>
          <w:sz w:val="24"/>
          <w:highlight w:val="none"/>
        </w:rPr>
      </w:pPr>
      <w:r>
        <w:rPr>
          <w:rFonts w:hint="eastAsia" w:ascii="宋体" w:hAnsi="宋体"/>
          <w:color w:val="auto"/>
          <w:sz w:val="24"/>
          <w:highlight w:val="none"/>
        </w:rPr>
        <w:t xml:space="preserve">                                                 2025年 </w:t>
      </w:r>
      <w:r>
        <w:rPr>
          <w:rFonts w:hint="eastAsia" w:ascii="宋体" w:hAnsi="宋体"/>
          <w:color w:val="auto"/>
          <w:sz w:val="24"/>
          <w:highlight w:val="none"/>
          <w:lang w:val="en-US" w:eastAsia="zh-CN"/>
        </w:rPr>
        <w:t xml:space="preserve"> </w:t>
      </w:r>
      <w:bookmarkStart w:id="142" w:name="_GoBack"/>
      <w:bookmarkEnd w:id="142"/>
      <w:r>
        <w:rPr>
          <w:rFonts w:hint="eastAsia" w:ascii="宋体" w:hAnsi="宋体"/>
          <w:color w:val="auto"/>
          <w:sz w:val="24"/>
          <w:highlight w:val="none"/>
        </w:rPr>
        <w:t>月  日</w:t>
      </w:r>
    </w:p>
    <w:p w14:paraId="5C38CE55">
      <w:pPr>
        <w:jc w:val="left"/>
        <w:rPr>
          <w:rFonts w:ascii="宋体" w:hAnsi="宋体" w:cs="仿宋"/>
          <w:b/>
          <w:color w:val="auto"/>
          <w:sz w:val="24"/>
          <w:highlight w:val="none"/>
        </w:rPr>
      </w:pPr>
      <w:r>
        <w:rPr>
          <w:rFonts w:hint="eastAsia" w:ascii="宋体" w:hAnsi="宋体" w:cs="仿宋"/>
          <w:b/>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3688BDBB">
      <w:pPr>
        <w:rPr>
          <w:rFonts w:ascii="宋体" w:hAnsi="宋体" w:cs="仿宋"/>
          <w:b/>
          <w:color w:val="auto"/>
          <w:sz w:val="24"/>
          <w:highlight w:val="none"/>
        </w:rPr>
      </w:pPr>
      <w:r>
        <w:rPr>
          <w:rFonts w:hint="eastAsia" w:ascii="宋体" w:hAnsi="宋体" w:cs="仿宋"/>
          <w:b/>
          <w:color w:val="auto"/>
          <w:sz w:val="24"/>
          <w:highlight w:val="none"/>
        </w:rPr>
        <w:t>CA问题联系电话（人工）：汇信CA 400-888-4636；天谷CA 400-087-8198。</w:t>
      </w:r>
    </w:p>
    <w:p w14:paraId="2D36D3A3">
      <w:pPr>
        <w:pStyle w:val="3"/>
        <w:rPr>
          <w:color w:val="auto"/>
          <w:highlight w:val="none"/>
        </w:rPr>
      </w:pPr>
    </w:p>
    <w:p w14:paraId="6D4BD715">
      <w:pPr>
        <w:snapToGrid w:val="0"/>
        <w:spacing w:line="360" w:lineRule="auto"/>
        <w:ind w:left="238"/>
        <w:jc w:val="center"/>
        <w:rPr>
          <w:rFonts w:ascii="宋体" w:hAnsi="宋体"/>
          <w:b/>
          <w:color w:val="auto"/>
          <w:sz w:val="30"/>
          <w:szCs w:val="30"/>
          <w:highlight w:val="none"/>
        </w:rPr>
      </w:pPr>
    </w:p>
    <w:p w14:paraId="0455CD6F">
      <w:pPr>
        <w:pStyle w:val="11"/>
        <w:rPr>
          <w:color w:val="auto"/>
          <w:highlight w:val="none"/>
        </w:rPr>
      </w:pPr>
    </w:p>
    <w:p w14:paraId="04539C78">
      <w:pPr>
        <w:pStyle w:val="11"/>
        <w:rPr>
          <w:color w:val="auto"/>
          <w:highlight w:val="none"/>
        </w:rPr>
      </w:pPr>
    </w:p>
    <w:p w14:paraId="35D2AB54">
      <w:pPr>
        <w:pStyle w:val="11"/>
        <w:rPr>
          <w:color w:val="auto"/>
          <w:highlight w:val="none"/>
        </w:rPr>
      </w:pPr>
    </w:p>
    <w:p w14:paraId="57A3D55A">
      <w:pPr>
        <w:pStyle w:val="11"/>
        <w:rPr>
          <w:color w:val="auto"/>
          <w:highlight w:val="none"/>
        </w:rPr>
      </w:pPr>
    </w:p>
    <w:p w14:paraId="142A4A24">
      <w:pPr>
        <w:pStyle w:val="11"/>
        <w:rPr>
          <w:color w:val="auto"/>
          <w:highlight w:val="none"/>
        </w:rPr>
      </w:pPr>
    </w:p>
    <w:p w14:paraId="038C7F5F">
      <w:pPr>
        <w:pStyle w:val="11"/>
        <w:rPr>
          <w:color w:val="auto"/>
          <w:highlight w:val="none"/>
        </w:rPr>
      </w:pPr>
      <w:r>
        <w:rPr>
          <w:color w:val="auto"/>
          <w:highlight w:val="none"/>
        </w:rPr>
        <w:br w:type="page"/>
      </w:r>
    </w:p>
    <w:p w14:paraId="4B125318">
      <w:pPr>
        <w:snapToGrid w:val="0"/>
        <w:spacing w:line="360" w:lineRule="auto"/>
        <w:ind w:left="238" w:firstLine="182"/>
        <w:jc w:val="center"/>
        <w:rPr>
          <w:rFonts w:ascii="宋体" w:hAnsi="宋体"/>
          <w:b/>
          <w:color w:val="auto"/>
          <w:sz w:val="30"/>
          <w:szCs w:val="30"/>
          <w:highlight w:val="none"/>
        </w:rPr>
      </w:pPr>
      <w:r>
        <w:rPr>
          <w:rFonts w:hint="eastAsia" w:ascii="宋体" w:hAnsi="宋体"/>
          <w:b/>
          <w:color w:val="auto"/>
          <w:sz w:val="30"/>
          <w:szCs w:val="30"/>
          <w:highlight w:val="none"/>
        </w:rPr>
        <w:t>第二章  招标需求</w:t>
      </w:r>
    </w:p>
    <w:p w14:paraId="60E49C17">
      <w:pPr>
        <w:widowControl/>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一、采购项目名称：2025-2028年度吴兴区居家养老服务（照料）中心运营项目</w:t>
      </w:r>
    </w:p>
    <w:p w14:paraId="4B9C5CD0">
      <w:pPr>
        <w:widowControl/>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二、采购项目编号：HYHZ2025-19</w:t>
      </w:r>
    </w:p>
    <w:p w14:paraId="0E24A643">
      <w:pPr>
        <w:widowControl/>
        <w:spacing w:line="360" w:lineRule="auto"/>
        <w:ind w:firstLine="482" w:firstLineChars="200"/>
        <w:rPr>
          <w:rFonts w:ascii="宋体" w:hAnsi="宋体" w:cs="宋体"/>
          <w:b/>
          <w:color w:val="auto"/>
          <w:kern w:val="0"/>
          <w:sz w:val="24"/>
          <w:highlight w:val="none"/>
        </w:rPr>
      </w:pPr>
      <w:r>
        <w:rPr>
          <w:rFonts w:hint="eastAsia" w:ascii="宋体" w:hAnsi="宋体"/>
          <w:b/>
          <w:color w:val="auto"/>
          <w:sz w:val="24"/>
          <w:highlight w:val="none"/>
        </w:rPr>
        <w:t>三、</w:t>
      </w:r>
      <w:r>
        <w:rPr>
          <w:rFonts w:hint="eastAsia" w:ascii="宋体" w:hAnsi="宋体" w:cs="宋体"/>
          <w:b/>
          <w:color w:val="auto"/>
          <w:kern w:val="0"/>
          <w:sz w:val="24"/>
          <w:highlight w:val="none"/>
        </w:rPr>
        <w:t>采购项目预算</w:t>
      </w:r>
      <w:r>
        <w:rPr>
          <w:rFonts w:hint="eastAsia" w:ascii="宋体" w:hAnsi="宋体"/>
          <w:b/>
          <w:color w:val="auto"/>
          <w:sz w:val="24"/>
          <w:highlight w:val="none"/>
        </w:rPr>
        <w:t>：</w:t>
      </w:r>
      <w:r>
        <w:rPr>
          <w:rFonts w:hint="eastAsia" w:ascii="宋体" w:hAnsi="宋体" w:cs="宋体"/>
          <w:b/>
          <w:color w:val="auto"/>
          <w:kern w:val="0"/>
          <w:sz w:val="24"/>
          <w:highlight w:val="none"/>
        </w:rPr>
        <w:t>人民币伍仟玖佰贰拾捌万元整（￥5</w:t>
      </w:r>
      <w:r>
        <w:rPr>
          <w:rFonts w:ascii="宋体" w:hAnsi="宋体" w:cs="宋体"/>
          <w:b/>
          <w:color w:val="auto"/>
          <w:kern w:val="0"/>
          <w:sz w:val="24"/>
          <w:highlight w:val="none"/>
        </w:rPr>
        <w:t>92800</w:t>
      </w:r>
      <w:r>
        <w:rPr>
          <w:rFonts w:hint="eastAsia" w:ascii="宋体" w:hAnsi="宋体" w:cs="宋体"/>
          <w:b/>
          <w:color w:val="auto"/>
          <w:kern w:val="0"/>
          <w:sz w:val="24"/>
          <w:highlight w:val="none"/>
        </w:rPr>
        <w:t>0</w:t>
      </w:r>
      <w:r>
        <w:rPr>
          <w:rFonts w:ascii="宋体" w:hAnsi="宋体" w:cs="宋体"/>
          <w:b/>
          <w:color w:val="auto"/>
          <w:kern w:val="0"/>
          <w:sz w:val="24"/>
          <w:highlight w:val="none"/>
        </w:rPr>
        <w:t>0</w:t>
      </w:r>
      <w:r>
        <w:rPr>
          <w:rFonts w:hint="eastAsia" w:ascii="宋体" w:hAnsi="宋体" w:cs="宋体"/>
          <w:b/>
          <w:color w:val="auto"/>
          <w:kern w:val="0"/>
          <w:sz w:val="24"/>
          <w:highlight w:val="none"/>
        </w:rPr>
        <w:t>.00</w:t>
      </w:r>
      <w:r>
        <w:rPr>
          <w:rFonts w:ascii="宋体" w:hAnsi="宋体" w:cs="宋体"/>
          <w:b/>
          <w:color w:val="auto"/>
          <w:kern w:val="0"/>
          <w:sz w:val="24"/>
          <w:highlight w:val="none"/>
        </w:rPr>
        <w:t>）</w:t>
      </w:r>
    </w:p>
    <w:p w14:paraId="32EA9B76">
      <w:pPr>
        <w:widowControl/>
        <w:spacing w:line="360" w:lineRule="auto"/>
        <w:ind w:firstLine="1446" w:firstLineChars="600"/>
        <w:rPr>
          <w:color w:val="auto"/>
          <w:highlight w:val="none"/>
        </w:rPr>
      </w:pPr>
      <w:r>
        <w:rPr>
          <w:rFonts w:hint="eastAsia" w:ascii="宋体" w:hAnsi="宋体" w:cs="宋体"/>
          <w:b/>
          <w:color w:val="auto"/>
          <w:kern w:val="0"/>
          <w:sz w:val="24"/>
          <w:highlight w:val="none"/>
        </w:rPr>
        <w:t>最高限价：人民币伍仟玖佰贰拾捌万元整（￥5</w:t>
      </w:r>
      <w:r>
        <w:rPr>
          <w:rFonts w:ascii="宋体" w:hAnsi="宋体" w:cs="宋体"/>
          <w:b/>
          <w:color w:val="auto"/>
          <w:kern w:val="0"/>
          <w:sz w:val="24"/>
          <w:highlight w:val="none"/>
        </w:rPr>
        <w:t>92800</w:t>
      </w:r>
      <w:r>
        <w:rPr>
          <w:rFonts w:hint="eastAsia" w:ascii="宋体" w:hAnsi="宋体" w:cs="宋体"/>
          <w:b/>
          <w:color w:val="auto"/>
          <w:kern w:val="0"/>
          <w:sz w:val="24"/>
          <w:highlight w:val="none"/>
        </w:rPr>
        <w:t>0</w:t>
      </w:r>
      <w:r>
        <w:rPr>
          <w:rFonts w:ascii="宋体" w:hAnsi="宋体" w:cs="宋体"/>
          <w:b/>
          <w:color w:val="auto"/>
          <w:kern w:val="0"/>
          <w:sz w:val="24"/>
          <w:highlight w:val="none"/>
        </w:rPr>
        <w:t>0</w:t>
      </w:r>
      <w:r>
        <w:rPr>
          <w:rFonts w:hint="eastAsia" w:ascii="宋体" w:hAnsi="宋体" w:cs="宋体"/>
          <w:b/>
          <w:color w:val="auto"/>
          <w:kern w:val="0"/>
          <w:sz w:val="24"/>
          <w:highlight w:val="none"/>
        </w:rPr>
        <w:t>.00</w:t>
      </w:r>
      <w:r>
        <w:rPr>
          <w:rFonts w:ascii="宋体" w:hAnsi="宋体" w:cs="宋体"/>
          <w:b/>
          <w:color w:val="auto"/>
          <w:kern w:val="0"/>
          <w:sz w:val="24"/>
          <w:highlight w:val="none"/>
        </w:rPr>
        <w:t>）</w:t>
      </w:r>
    </w:p>
    <w:p w14:paraId="5443F59A">
      <w:pPr>
        <w:widowControl/>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四、采购项目实施地点：采购人指定地点</w:t>
      </w:r>
    </w:p>
    <w:p w14:paraId="2B3B8BDD">
      <w:pPr>
        <w:widowControl/>
        <w:spacing w:line="360" w:lineRule="auto"/>
        <w:ind w:firstLine="482" w:firstLineChars="200"/>
        <w:outlineLvl w:val="1"/>
        <w:rPr>
          <w:rFonts w:ascii="宋体" w:hAnsi="宋体"/>
          <w:b/>
          <w:color w:val="auto"/>
          <w:sz w:val="24"/>
          <w:highlight w:val="none"/>
        </w:rPr>
      </w:pPr>
      <w:r>
        <w:rPr>
          <w:rFonts w:hint="eastAsia" w:ascii="宋体" w:hAnsi="宋体"/>
          <w:b/>
          <w:color w:val="auto"/>
          <w:sz w:val="24"/>
          <w:highlight w:val="none"/>
        </w:rPr>
        <w:t>五、采购项目服务要求：</w:t>
      </w:r>
      <w:bookmarkStart w:id="25" w:name="OLE_LINK101"/>
      <w:bookmarkStart w:id="26" w:name="OLE_LINK100"/>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673"/>
        <w:gridCol w:w="709"/>
        <w:gridCol w:w="709"/>
        <w:gridCol w:w="1843"/>
        <w:gridCol w:w="1275"/>
        <w:gridCol w:w="1519"/>
      </w:tblGrid>
      <w:tr w14:paraId="4DA86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7143D80C">
            <w:pPr>
              <w:pStyle w:val="13"/>
              <w:spacing w:before="120" w:after="120"/>
              <w:jc w:val="center"/>
              <w:rPr>
                <w:rFonts w:cs="仿宋" w:asciiTheme="minorEastAsia" w:hAnsiTheme="minorEastAsia" w:eastAsiaTheme="minorEastAsia"/>
                <w:b/>
                <w:bCs/>
                <w:color w:val="auto"/>
                <w:sz w:val="24"/>
                <w:highlight w:val="none"/>
              </w:rPr>
            </w:pPr>
            <w:bookmarkStart w:id="27" w:name="_Hlk191996330"/>
            <w:r>
              <w:rPr>
                <w:rFonts w:hint="eastAsia" w:cs="仿宋" w:asciiTheme="minorEastAsia" w:hAnsiTheme="minorEastAsia" w:eastAsiaTheme="minorEastAsia"/>
                <w:b/>
                <w:bCs/>
                <w:color w:val="auto"/>
                <w:sz w:val="24"/>
                <w:highlight w:val="none"/>
              </w:rPr>
              <w:t>标项</w:t>
            </w:r>
          </w:p>
        </w:tc>
        <w:tc>
          <w:tcPr>
            <w:tcW w:w="2673" w:type="dxa"/>
            <w:tcBorders>
              <w:top w:val="single" w:color="auto" w:sz="4" w:space="0"/>
              <w:left w:val="single" w:color="auto" w:sz="4" w:space="0"/>
              <w:bottom w:val="single" w:color="auto" w:sz="4" w:space="0"/>
              <w:right w:val="single" w:color="auto" w:sz="4" w:space="0"/>
            </w:tcBorders>
            <w:vAlign w:val="center"/>
          </w:tcPr>
          <w:p w14:paraId="0A08FAD0">
            <w:pPr>
              <w:pStyle w:val="13"/>
              <w:spacing w:before="120" w:after="120"/>
              <w:jc w:val="center"/>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标项名称</w:t>
            </w:r>
          </w:p>
        </w:tc>
        <w:tc>
          <w:tcPr>
            <w:tcW w:w="709" w:type="dxa"/>
            <w:tcBorders>
              <w:top w:val="single" w:color="auto" w:sz="4" w:space="0"/>
              <w:left w:val="single" w:color="auto" w:sz="4" w:space="0"/>
              <w:bottom w:val="single" w:color="auto" w:sz="4" w:space="0"/>
              <w:right w:val="single" w:color="auto" w:sz="4" w:space="0"/>
            </w:tcBorders>
            <w:vAlign w:val="center"/>
          </w:tcPr>
          <w:p w14:paraId="5C000A3B">
            <w:pPr>
              <w:pStyle w:val="13"/>
              <w:spacing w:before="120" w:after="120"/>
              <w:jc w:val="center"/>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40D421E8">
            <w:pPr>
              <w:pStyle w:val="13"/>
              <w:spacing w:before="120" w:after="120"/>
              <w:jc w:val="center"/>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单位</w:t>
            </w:r>
          </w:p>
        </w:tc>
        <w:tc>
          <w:tcPr>
            <w:tcW w:w="1843" w:type="dxa"/>
            <w:tcBorders>
              <w:top w:val="single" w:color="auto" w:sz="4" w:space="0"/>
              <w:left w:val="single" w:color="auto" w:sz="4" w:space="0"/>
              <w:bottom w:val="single" w:color="auto" w:sz="4" w:space="0"/>
              <w:right w:val="single" w:color="auto" w:sz="4" w:space="0"/>
            </w:tcBorders>
            <w:vAlign w:val="center"/>
          </w:tcPr>
          <w:p w14:paraId="59C906DC">
            <w:pPr>
              <w:pStyle w:val="13"/>
              <w:spacing w:before="120" w:after="120"/>
              <w:jc w:val="center"/>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服务范围</w:t>
            </w:r>
          </w:p>
        </w:tc>
        <w:tc>
          <w:tcPr>
            <w:tcW w:w="1275" w:type="dxa"/>
            <w:tcBorders>
              <w:top w:val="single" w:color="auto" w:sz="4" w:space="0"/>
              <w:left w:val="single" w:color="auto" w:sz="4" w:space="0"/>
              <w:bottom w:val="single" w:color="auto" w:sz="4" w:space="0"/>
              <w:right w:val="single" w:color="auto" w:sz="4" w:space="0"/>
            </w:tcBorders>
            <w:vAlign w:val="center"/>
          </w:tcPr>
          <w:p w14:paraId="6AB130B7">
            <w:pPr>
              <w:pStyle w:val="13"/>
              <w:spacing w:before="120" w:after="120"/>
              <w:jc w:val="center"/>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采购预算（万元）</w:t>
            </w:r>
          </w:p>
        </w:tc>
        <w:tc>
          <w:tcPr>
            <w:tcW w:w="1519" w:type="dxa"/>
            <w:tcBorders>
              <w:top w:val="single" w:color="auto" w:sz="4" w:space="0"/>
              <w:left w:val="single" w:color="auto" w:sz="4" w:space="0"/>
              <w:bottom w:val="single" w:color="auto" w:sz="4" w:space="0"/>
              <w:right w:val="single" w:color="auto" w:sz="4" w:space="0"/>
            </w:tcBorders>
            <w:vAlign w:val="center"/>
          </w:tcPr>
          <w:p w14:paraId="4620242E">
            <w:pPr>
              <w:pStyle w:val="13"/>
              <w:spacing w:before="120" w:after="120"/>
              <w:jc w:val="center"/>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最高限价（万元）</w:t>
            </w:r>
          </w:p>
        </w:tc>
      </w:tr>
      <w:bookmarkEnd w:id="27"/>
      <w:tr w14:paraId="367A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75BDCF39">
            <w:pPr>
              <w:pStyle w:val="13"/>
              <w:spacing w:before="120" w:after="120"/>
              <w:jc w:val="center"/>
              <w:rPr>
                <w:rFonts w:cs="仿宋" w:asciiTheme="minorEastAsia" w:hAnsiTheme="minorEastAsia" w:eastAsiaTheme="minorEastAsia"/>
                <w:color w:val="auto"/>
                <w:sz w:val="24"/>
                <w:highlight w:val="none"/>
              </w:rPr>
            </w:pPr>
            <w:bookmarkStart w:id="28" w:name="_Hlk191995277"/>
            <w:r>
              <w:rPr>
                <w:rFonts w:hint="eastAsia" w:cs="仿宋" w:asciiTheme="minorEastAsia" w:hAnsiTheme="minorEastAsia" w:eastAsiaTheme="minorEastAsia"/>
                <w:color w:val="auto"/>
                <w:sz w:val="24"/>
                <w:highlight w:val="none"/>
              </w:rPr>
              <w:t>1</w:t>
            </w:r>
          </w:p>
        </w:tc>
        <w:tc>
          <w:tcPr>
            <w:tcW w:w="2673" w:type="dxa"/>
            <w:tcBorders>
              <w:top w:val="single" w:color="auto" w:sz="4" w:space="0"/>
              <w:left w:val="single" w:color="auto" w:sz="4" w:space="0"/>
              <w:bottom w:val="single" w:color="auto" w:sz="4" w:space="0"/>
              <w:right w:val="single" w:color="auto" w:sz="4" w:space="0"/>
            </w:tcBorders>
            <w:vAlign w:val="center"/>
          </w:tcPr>
          <w:p w14:paraId="3A5D43B4">
            <w:pPr>
              <w:pStyle w:val="13"/>
              <w:spacing w:before="120" w:after="12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2025-2028年度吴兴区居家养老服务（照料）中心运营项目第一片区</w:t>
            </w:r>
          </w:p>
        </w:tc>
        <w:tc>
          <w:tcPr>
            <w:tcW w:w="709" w:type="dxa"/>
            <w:tcBorders>
              <w:top w:val="single" w:color="auto" w:sz="4" w:space="0"/>
              <w:left w:val="single" w:color="auto" w:sz="4" w:space="0"/>
              <w:bottom w:val="single" w:color="auto" w:sz="4" w:space="0"/>
              <w:right w:val="single" w:color="auto" w:sz="4" w:space="0"/>
            </w:tcBorders>
            <w:vAlign w:val="center"/>
          </w:tcPr>
          <w:p w14:paraId="42A218DF">
            <w:pPr>
              <w:pStyle w:val="13"/>
              <w:spacing w:before="120" w:after="120"/>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w:t>
            </w:r>
          </w:p>
        </w:tc>
        <w:tc>
          <w:tcPr>
            <w:tcW w:w="709" w:type="dxa"/>
            <w:tcBorders>
              <w:top w:val="single" w:color="auto" w:sz="4" w:space="0"/>
              <w:left w:val="single" w:color="auto" w:sz="4" w:space="0"/>
              <w:bottom w:val="single" w:color="auto" w:sz="4" w:space="0"/>
              <w:right w:val="single" w:color="auto" w:sz="4" w:space="0"/>
            </w:tcBorders>
            <w:vAlign w:val="center"/>
          </w:tcPr>
          <w:p w14:paraId="35A24F0A">
            <w:pPr>
              <w:pStyle w:val="13"/>
              <w:spacing w:before="120" w:after="120"/>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年</w:t>
            </w:r>
          </w:p>
        </w:tc>
        <w:tc>
          <w:tcPr>
            <w:tcW w:w="1843" w:type="dxa"/>
            <w:tcBorders>
              <w:top w:val="single" w:color="auto" w:sz="4" w:space="0"/>
              <w:left w:val="single" w:color="auto" w:sz="4" w:space="0"/>
              <w:bottom w:val="single" w:color="auto" w:sz="4" w:space="0"/>
              <w:right w:val="single" w:color="auto" w:sz="4" w:space="0"/>
            </w:tcBorders>
            <w:vAlign w:val="center"/>
          </w:tcPr>
          <w:p w14:paraId="40721702">
            <w:pPr>
              <w:pStyle w:val="13"/>
              <w:spacing w:before="120" w:after="120"/>
              <w:jc w:val="left"/>
              <w:rPr>
                <w:rFonts w:cs="仿宋" w:asciiTheme="minorEastAsia" w:hAnsiTheme="minorEastAsia" w:eastAsiaTheme="minorEastAsia"/>
                <w:color w:val="auto"/>
                <w:sz w:val="24"/>
                <w:highlight w:val="none"/>
              </w:rPr>
            </w:pPr>
            <w:bookmarkStart w:id="29" w:name="OLE_LINK120"/>
            <w:r>
              <w:rPr>
                <w:rFonts w:hint="eastAsia" w:cs="仿宋" w:asciiTheme="minorEastAsia" w:hAnsiTheme="minorEastAsia" w:eastAsiaTheme="minorEastAsia"/>
                <w:color w:val="auto"/>
                <w:sz w:val="24"/>
                <w:highlight w:val="none"/>
              </w:rPr>
              <w:t>八里店镇</w:t>
            </w:r>
            <w:bookmarkEnd w:id="29"/>
            <w:r>
              <w:rPr>
                <w:rFonts w:hint="eastAsia" w:cs="仿宋" w:asciiTheme="minorEastAsia" w:hAnsiTheme="minorEastAsia" w:eastAsiaTheme="minorEastAsia"/>
                <w:color w:val="auto"/>
                <w:sz w:val="24"/>
                <w:highlight w:val="none"/>
              </w:rPr>
              <w:t>、埭溪镇</w:t>
            </w:r>
          </w:p>
        </w:tc>
        <w:tc>
          <w:tcPr>
            <w:tcW w:w="1275" w:type="dxa"/>
            <w:tcBorders>
              <w:top w:val="single" w:color="auto" w:sz="4" w:space="0"/>
              <w:left w:val="single" w:color="auto" w:sz="4" w:space="0"/>
              <w:bottom w:val="single" w:color="auto" w:sz="4" w:space="0"/>
              <w:right w:val="single" w:color="auto" w:sz="4" w:space="0"/>
            </w:tcBorders>
            <w:vAlign w:val="center"/>
          </w:tcPr>
          <w:p w14:paraId="64954B8B">
            <w:pPr>
              <w:pStyle w:val="13"/>
              <w:spacing w:before="120" w:after="120"/>
              <w:ind w:firstLine="240" w:firstLineChars="100"/>
              <w:rPr>
                <w:rFonts w:cs="仿宋" w:asciiTheme="minorEastAsia" w:hAnsiTheme="minorEastAsia" w:eastAsiaTheme="minorEastAsia"/>
                <w:color w:val="auto"/>
                <w:sz w:val="24"/>
                <w:highlight w:val="none"/>
              </w:rPr>
            </w:pPr>
            <w:r>
              <w:rPr>
                <w:rFonts w:hint="eastAsia" w:hAnsi="宋体"/>
                <w:color w:val="auto"/>
                <w:sz w:val="24"/>
                <w:highlight w:val="none"/>
                <w:lang w:bidi="ar"/>
              </w:rPr>
              <w:t>1297.2</w:t>
            </w:r>
          </w:p>
        </w:tc>
        <w:tc>
          <w:tcPr>
            <w:tcW w:w="1519" w:type="dxa"/>
            <w:tcBorders>
              <w:top w:val="single" w:color="auto" w:sz="4" w:space="0"/>
              <w:left w:val="single" w:color="auto" w:sz="4" w:space="0"/>
              <w:bottom w:val="single" w:color="auto" w:sz="4" w:space="0"/>
              <w:right w:val="single" w:color="auto" w:sz="4" w:space="0"/>
            </w:tcBorders>
            <w:vAlign w:val="center"/>
          </w:tcPr>
          <w:p w14:paraId="517AF6B3">
            <w:pPr>
              <w:pStyle w:val="13"/>
              <w:spacing w:before="120" w:after="120"/>
              <w:jc w:val="center"/>
              <w:rPr>
                <w:rFonts w:cs="仿宋" w:asciiTheme="minorEastAsia" w:hAnsiTheme="minorEastAsia" w:eastAsiaTheme="minorEastAsia"/>
                <w:color w:val="auto"/>
                <w:sz w:val="24"/>
                <w:highlight w:val="none"/>
              </w:rPr>
            </w:pPr>
            <w:r>
              <w:rPr>
                <w:rFonts w:hint="eastAsia" w:hAnsi="宋体"/>
                <w:color w:val="auto"/>
                <w:sz w:val="24"/>
                <w:highlight w:val="none"/>
                <w:lang w:bidi="ar"/>
              </w:rPr>
              <w:t>1297.2</w:t>
            </w:r>
          </w:p>
        </w:tc>
      </w:tr>
      <w:tr w14:paraId="311E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7D9FFD6E">
            <w:pPr>
              <w:pStyle w:val="13"/>
              <w:spacing w:before="120" w:after="120"/>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w:t>
            </w:r>
          </w:p>
        </w:tc>
        <w:tc>
          <w:tcPr>
            <w:tcW w:w="2673" w:type="dxa"/>
            <w:tcBorders>
              <w:top w:val="single" w:color="auto" w:sz="4" w:space="0"/>
              <w:left w:val="single" w:color="auto" w:sz="4" w:space="0"/>
              <w:bottom w:val="single" w:color="auto" w:sz="4" w:space="0"/>
              <w:right w:val="single" w:color="auto" w:sz="4" w:space="0"/>
            </w:tcBorders>
            <w:vAlign w:val="center"/>
          </w:tcPr>
          <w:p w14:paraId="701EA25D">
            <w:pPr>
              <w:pStyle w:val="13"/>
              <w:spacing w:before="120" w:after="12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2025-2028年度吴兴区居家养老服务（照料）中心运营项目第二片区</w:t>
            </w:r>
          </w:p>
        </w:tc>
        <w:tc>
          <w:tcPr>
            <w:tcW w:w="709" w:type="dxa"/>
            <w:tcBorders>
              <w:top w:val="single" w:color="auto" w:sz="4" w:space="0"/>
              <w:left w:val="single" w:color="auto" w:sz="4" w:space="0"/>
              <w:bottom w:val="single" w:color="auto" w:sz="4" w:space="0"/>
              <w:right w:val="single" w:color="auto" w:sz="4" w:space="0"/>
            </w:tcBorders>
            <w:vAlign w:val="center"/>
          </w:tcPr>
          <w:p w14:paraId="1A72BDED">
            <w:pPr>
              <w:pStyle w:val="13"/>
              <w:spacing w:before="120" w:after="120"/>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w:t>
            </w:r>
          </w:p>
        </w:tc>
        <w:tc>
          <w:tcPr>
            <w:tcW w:w="709" w:type="dxa"/>
            <w:tcBorders>
              <w:top w:val="single" w:color="auto" w:sz="4" w:space="0"/>
              <w:left w:val="single" w:color="auto" w:sz="4" w:space="0"/>
              <w:bottom w:val="single" w:color="auto" w:sz="4" w:space="0"/>
              <w:right w:val="single" w:color="auto" w:sz="4" w:space="0"/>
            </w:tcBorders>
            <w:vAlign w:val="center"/>
          </w:tcPr>
          <w:p w14:paraId="71A416F0">
            <w:pPr>
              <w:pStyle w:val="13"/>
              <w:spacing w:before="120" w:after="120"/>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年</w:t>
            </w:r>
          </w:p>
        </w:tc>
        <w:tc>
          <w:tcPr>
            <w:tcW w:w="1843" w:type="dxa"/>
            <w:tcBorders>
              <w:top w:val="single" w:color="auto" w:sz="4" w:space="0"/>
              <w:left w:val="single" w:color="auto" w:sz="4" w:space="0"/>
              <w:bottom w:val="single" w:color="auto" w:sz="4" w:space="0"/>
              <w:right w:val="single" w:color="auto" w:sz="4" w:space="0"/>
            </w:tcBorders>
            <w:vAlign w:val="center"/>
          </w:tcPr>
          <w:p w14:paraId="7A88FD26">
            <w:pPr>
              <w:pStyle w:val="13"/>
              <w:spacing w:before="120" w:after="12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高新区、东林镇、</w:t>
            </w:r>
            <w:r>
              <w:rPr>
                <w:rFonts w:hint="eastAsia" w:hAnsi="宋体"/>
                <w:color w:val="auto"/>
                <w:sz w:val="24"/>
                <w:highlight w:val="none"/>
                <w:lang w:bidi="ar"/>
              </w:rPr>
              <w:t>飞英街道</w:t>
            </w:r>
          </w:p>
        </w:tc>
        <w:tc>
          <w:tcPr>
            <w:tcW w:w="1275" w:type="dxa"/>
            <w:tcBorders>
              <w:top w:val="single" w:color="auto" w:sz="4" w:space="0"/>
              <w:left w:val="single" w:color="auto" w:sz="4" w:space="0"/>
              <w:bottom w:val="single" w:color="auto" w:sz="4" w:space="0"/>
              <w:right w:val="single" w:color="auto" w:sz="4" w:space="0"/>
            </w:tcBorders>
            <w:vAlign w:val="center"/>
          </w:tcPr>
          <w:p w14:paraId="6E836DF6">
            <w:pPr>
              <w:pStyle w:val="13"/>
              <w:spacing w:before="120" w:after="120"/>
              <w:jc w:val="center"/>
              <w:rPr>
                <w:rFonts w:cs="仿宋" w:asciiTheme="minorEastAsia" w:hAnsiTheme="minorEastAsia" w:eastAsiaTheme="minorEastAsia"/>
                <w:color w:val="auto"/>
                <w:sz w:val="24"/>
                <w:highlight w:val="none"/>
              </w:rPr>
            </w:pPr>
            <w:r>
              <w:rPr>
                <w:rFonts w:hint="eastAsia" w:hAnsi="宋体"/>
                <w:color w:val="auto"/>
                <w:sz w:val="24"/>
                <w:highlight w:val="none"/>
              </w:rPr>
              <w:t>1297.2</w:t>
            </w:r>
          </w:p>
        </w:tc>
        <w:tc>
          <w:tcPr>
            <w:tcW w:w="1519" w:type="dxa"/>
            <w:tcBorders>
              <w:top w:val="single" w:color="auto" w:sz="4" w:space="0"/>
              <w:left w:val="single" w:color="auto" w:sz="4" w:space="0"/>
              <w:bottom w:val="single" w:color="auto" w:sz="4" w:space="0"/>
              <w:right w:val="single" w:color="auto" w:sz="4" w:space="0"/>
            </w:tcBorders>
            <w:vAlign w:val="center"/>
          </w:tcPr>
          <w:p w14:paraId="1E230223">
            <w:pPr>
              <w:pStyle w:val="13"/>
              <w:spacing w:before="120" w:after="120"/>
              <w:jc w:val="center"/>
              <w:rPr>
                <w:rFonts w:cs="仿宋" w:asciiTheme="minorEastAsia" w:hAnsiTheme="minorEastAsia" w:eastAsiaTheme="minorEastAsia"/>
                <w:color w:val="auto"/>
                <w:sz w:val="24"/>
                <w:highlight w:val="none"/>
              </w:rPr>
            </w:pPr>
            <w:r>
              <w:rPr>
                <w:rFonts w:hint="eastAsia" w:hAnsi="宋体"/>
                <w:color w:val="auto"/>
                <w:sz w:val="24"/>
                <w:highlight w:val="none"/>
              </w:rPr>
              <w:t>1297.2</w:t>
            </w:r>
          </w:p>
        </w:tc>
      </w:tr>
      <w:tr w14:paraId="5AEAC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4E6C7280">
            <w:pPr>
              <w:pStyle w:val="13"/>
              <w:spacing w:before="120" w:after="120"/>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w:t>
            </w:r>
          </w:p>
        </w:tc>
        <w:tc>
          <w:tcPr>
            <w:tcW w:w="2673" w:type="dxa"/>
            <w:tcBorders>
              <w:top w:val="single" w:color="auto" w:sz="4" w:space="0"/>
              <w:left w:val="single" w:color="auto" w:sz="4" w:space="0"/>
              <w:bottom w:val="single" w:color="auto" w:sz="4" w:space="0"/>
              <w:right w:val="single" w:color="auto" w:sz="4" w:space="0"/>
            </w:tcBorders>
            <w:vAlign w:val="center"/>
          </w:tcPr>
          <w:p w14:paraId="1D79EA99">
            <w:pPr>
              <w:pStyle w:val="13"/>
              <w:spacing w:before="120" w:after="12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2025-2028年度吴兴区居家养老服务（照料）中心运营项目第四片区</w:t>
            </w:r>
          </w:p>
        </w:tc>
        <w:tc>
          <w:tcPr>
            <w:tcW w:w="709" w:type="dxa"/>
            <w:tcBorders>
              <w:top w:val="single" w:color="auto" w:sz="4" w:space="0"/>
              <w:left w:val="single" w:color="auto" w:sz="4" w:space="0"/>
              <w:bottom w:val="single" w:color="auto" w:sz="4" w:space="0"/>
              <w:right w:val="single" w:color="auto" w:sz="4" w:space="0"/>
            </w:tcBorders>
            <w:vAlign w:val="center"/>
          </w:tcPr>
          <w:p w14:paraId="3CFBA916">
            <w:pPr>
              <w:pStyle w:val="13"/>
              <w:spacing w:before="120" w:after="120"/>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w:t>
            </w:r>
          </w:p>
        </w:tc>
        <w:tc>
          <w:tcPr>
            <w:tcW w:w="709" w:type="dxa"/>
            <w:tcBorders>
              <w:top w:val="single" w:color="auto" w:sz="4" w:space="0"/>
              <w:left w:val="single" w:color="auto" w:sz="4" w:space="0"/>
              <w:bottom w:val="single" w:color="auto" w:sz="4" w:space="0"/>
              <w:right w:val="single" w:color="auto" w:sz="4" w:space="0"/>
            </w:tcBorders>
            <w:vAlign w:val="center"/>
          </w:tcPr>
          <w:p w14:paraId="73FDFB09">
            <w:pPr>
              <w:pStyle w:val="13"/>
              <w:spacing w:before="120" w:after="120"/>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年</w:t>
            </w:r>
          </w:p>
        </w:tc>
        <w:tc>
          <w:tcPr>
            <w:tcW w:w="1843" w:type="dxa"/>
            <w:tcBorders>
              <w:top w:val="single" w:color="auto" w:sz="4" w:space="0"/>
              <w:left w:val="single" w:color="auto" w:sz="4" w:space="0"/>
              <w:bottom w:val="single" w:color="auto" w:sz="4" w:space="0"/>
              <w:right w:val="single" w:color="auto" w:sz="4" w:space="0"/>
            </w:tcBorders>
            <w:vAlign w:val="center"/>
          </w:tcPr>
          <w:p w14:paraId="1756DFA1">
            <w:pPr>
              <w:pStyle w:val="13"/>
              <w:spacing w:before="120" w:after="12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织里镇、朝阳街道、</w:t>
            </w:r>
            <w:r>
              <w:rPr>
                <w:rFonts w:hint="eastAsia" w:hAnsi="宋体"/>
                <w:color w:val="auto"/>
                <w:sz w:val="24"/>
                <w:highlight w:val="none"/>
                <w:lang w:bidi="ar"/>
              </w:rPr>
              <w:t>湖东街道</w:t>
            </w:r>
          </w:p>
        </w:tc>
        <w:tc>
          <w:tcPr>
            <w:tcW w:w="1275" w:type="dxa"/>
            <w:tcBorders>
              <w:top w:val="single" w:color="auto" w:sz="4" w:space="0"/>
              <w:left w:val="single" w:color="auto" w:sz="4" w:space="0"/>
              <w:bottom w:val="single" w:color="auto" w:sz="4" w:space="0"/>
              <w:right w:val="single" w:color="auto" w:sz="4" w:space="0"/>
            </w:tcBorders>
            <w:vAlign w:val="center"/>
          </w:tcPr>
          <w:p w14:paraId="5F07F41B">
            <w:pPr>
              <w:pStyle w:val="13"/>
              <w:spacing w:before="120" w:after="120"/>
              <w:jc w:val="center"/>
              <w:rPr>
                <w:rFonts w:cs="仿宋" w:asciiTheme="minorEastAsia" w:hAnsiTheme="minorEastAsia" w:eastAsiaTheme="minorEastAsia"/>
                <w:color w:val="auto"/>
                <w:sz w:val="24"/>
                <w:highlight w:val="none"/>
              </w:rPr>
            </w:pPr>
            <w:r>
              <w:rPr>
                <w:rFonts w:hint="eastAsia" w:hAnsi="宋体"/>
                <w:color w:val="auto"/>
                <w:sz w:val="24"/>
                <w:highlight w:val="none"/>
              </w:rPr>
              <w:t>1269</w:t>
            </w:r>
          </w:p>
        </w:tc>
        <w:tc>
          <w:tcPr>
            <w:tcW w:w="1519" w:type="dxa"/>
            <w:tcBorders>
              <w:top w:val="single" w:color="auto" w:sz="4" w:space="0"/>
              <w:left w:val="single" w:color="auto" w:sz="4" w:space="0"/>
              <w:bottom w:val="single" w:color="auto" w:sz="4" w:space="0"/>
              <w:right w:val="single" w:color="auto" w:sz="4" w:space="0"/>
            </w:tcBorders>
            <w:vAlign w:val="center"/>
          </w:tcPr>
          <w:p w14:paraId="2B6FFFA2">
            <w:pPr>
              <w:pStyle w:val="13"/>
              <w:spacing w:before="120" w:after="120"/>
              <w:jc w:val="center"/>
              <w:rPr>
                <w:rFonts w:cs="仿宋" w:asciiTheme="minorEastAsia" w:hAnsiTheme="minorEastAsia" w:eastAsiaTheme="minorEastAsia"/>
                <w:color w:val="auto"/>
                <w:sz w:val="24"/>
                <w:highlight w:val="none"/>
              </w:rPr>
            </w:pPr>
            <w:r>
              <w:rPr>
                <w:rFonts w:hint="eastAsia" w:hAnsi="宋体"/>
                <w:color w:val="auto"/>
                <w:sz w:val="24"/>
                <w:highlight w:val="none"/>
              </w:rPr>
              <w:t>1269</w:t>
            </w:r>
          </w:p>
        </w:tc>
      </w:tr>
      <w:tr w14:paraId="3996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423DE05C">
            <w:pPr>
              <w:pStyle w:val="13"/>
              <w:spacing w:before="120" w:after="120"/>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w:t>
            </w:r>
          </w:p>
        </w:tc>
        <w:tc>
          <w:tcPr>
            <w:tcW w:w="2673" w:type="dxa"/>
            <w:tcBorders>
              <w:top w:val="single" w:color="auto" w:sz="4" w:space="0"/>
              <w:left w:val="single" w:color="auto" w:sz="4" w:space="0"/>
              <w:bottom w:val="single" w:color="auto" w:sz="4" w:space="0"/>
              <w:right w:val="single" w:color="auto" w:sz="4" w:space="0"/>
            </w:tcBorders>
            <w:shd w:val="clear" w:color="auto" w:fill="auto"/>
            <w:vAlign w:val="center"/>
          </w:tcPr>
          <w:p w14:paraId="31B355A3">
            <w:pPr>
              <w:pStyle w:val="13"/>
              <w:spacing w:before="120" w:after="12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2025-2028年度吴兴区居家养老服务（照料）中心运营项目第三片区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ADC14EC">
            <w:pPr>
              <w:pStyle w:val="13"/>
              <w:spacing w:before="120" w:after="120"/>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0F8DB4A">
            <w:pPr>
              <w:pStyle w:val="13"/>
              <w:spacing w:before="120" w:after="120"/>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年</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2B738D4">
            <w:pPr>
              <w:pStyle w:val="13"/>
              <w:spacing w:before="120" w:after="12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道场乡、</w:t>
            </w:r>
            <w:r>
              <w:rPr>
                <w:rFonts w:hint="eastAsia" w:hAnsi="宋体"/>
                <w:color w:val="auto"/>
                <w:sz w:val="24"/>
                <w:highlight w:val="none"/>
                <w:lang w:bidi="ar"/>
              </w:rPr>
              <w:t>龙泉街道、</w:t>
            </w:r>
            <w:r>
              <w:rPr>
                <w:rFonts w:hint="eastAsia" w:cs="仿宋" w:asciiTheme="minorEastAsia" w:hAnsiTheme="minorEastAsia" w:eastAsiaTheme="minorEastAsia"/>
                <w:color w:val="auto"/>
                <w:sz w:val="24"/>
                <w:highlight w:val="none"/>
              </w:rPr>
              <w:t>妙西镇</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FCAFFC2">
            <w:pPr>
              <w:pStyle w:val="13"/>
              <w:spacing w:before="120" w:after="120"/>
              <w:jc w:val="center"/>
              <w:rPr>
                <w:rFonts w:cs="仿宋" w:asciiTheme="minorEastAsia" w:hAnsiTheme="minorEastAsia" w:eastAsiaTheme="minorEastAsia"/>
                <w:color w:val="auto"/>
                <w:sz w:val="24"/>
                <w:highlight w:val="none"/>
              </w:rPr>
            </w:pPr>
            <w:r>
              <w:rPr>
                <w:rFonts w:hint="eastAsia" w:hAnsi="宋体"/>
                <w:color w:val="auto"/>
                <w:sz w:val="24"/>
                <w:highlight w:val="none"/>
              </w:rPr>
              <w:t>1105.8</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641E601F">
            <w:pPr>
              <w:pStyle w:val="13"/>
              <w:spacing w:before="120" w:after="120"/>
              <w:jc w:val="center"/>
              <w:rPr>
                <w:rFonts w:cs="仿宋" w:asciiTheme="minorEastAsia" w:hAnsiTheme="minorEastAsia" w:eastAsiaTheme="minorEastAsia"/>
                <w:color w:val="auto"/>
                <w:sz w:val="24"/>
                <w:highlight w:val="none"/>
              </w:rPr>
            </w:pPr>
            <w:r>
              <w:rPr>
                <w:rFonts w:hint="eastAsia" w:hAnsi="宋体"/>
                <w:color w:val="auto"/>
                <w:sz w:val="24"/>
                <w:highlight w:val="none"/>
              </w:rPr>
              <w:t>1105.8</w:t>
            </w:r>
          </w:p>
        </w:tc>
      </w:tr>
      <w:tr w14:paraId="42115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5B9E84F2">
            <w:pPr>
              <w:pStyle w:val="13"/>
              <w:spacing w:before="120" w:after="120"/>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w:t>
            </w:r>
          </w:p>
        </w:tc>
        <w:tc>
          <w:tcPr>
            <w:tcW w:w="2673" w:type="dxa"/>
            <w:tcBorders>
              <w:top w:val="single" w:color="auto" w:sz="4" w:space="0"/>
              <w:left w:val="single" w:color="auto" w:sz="4" w:space="0"/>
              <w:bottom w:val="single" w:color="auto" w:sz="4" w:space="0"/>
              <w:right w:val="single" w:color="auto" w:sz="4" w:space="0"/>
            </w:tcBorders>
            <w:vAlign w:val="center"/>
          </w:tcPr>
          <w:p w14:paraId="2069766B">
            <w:pPr>
              <w:pStyle w:val="13"/>
              <w:spacing w:before="120" w:after="12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2025-2028年度吴兴区居家养老服务（照料）中心运营项目第五片区</w:t>
            </w:r>
          </w:p>
        </w:tc>
        <w:tc>
          <w:tcPr>
            <w:tcW w:w="709" w:type="dxa"/>
            <w:tcBorders>
              <w:top w:val="single" w:color="auto" w:sz="4" w:space="0"/>
              <w:left w:val="single" w:color="auto" w:sz="4" w:space="0"/>
              <w:bottom w:val="single" w:color="auto" w:sz="4" w:space="0"/>
              <w:right w:val="single" w:color="auto" w:sz="4" w:space="0"/>
            </w:tcBorders>
            <w:vAlign w:val="center"/>
          </w:tcPr>
          <w:p w14:paraId="3E3D0C1A">
            <w:pPr>
              <w:pStyle w:val="13"/>
              <w:spacing w:before="120" w:after="120"/>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w:t>
            </w:r>
          </w:p>
        </w:tc>
        <w:tc>
          <w:tcPr>
            <w:tcW w:w="709" w:type="dxa"/>
            <w:tcBorders>
              <w:top w:val="single" w:color="auto" w:sz="4" w:space="0"/>
              <w:left w:val="single" w:color="auto" w:sz="4" w:space="0"/>
              <w:bottom w:val="single" w:color="auto" w:sz="4" w:space="0"/>
              <w:right w:val="single" w:color="auto" w:sz="4" w:space="0"/>
            </w:tcBorders>
            <w:vAlign w:val="center"/>
          </w:tcPr>
          <w:p w14:paraId="54022040">
            <w:pPr>
              <w:pStyle w:val="13"/>
              <w:spacing w:before="120" w:after="120"/>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年</w:t>
            </w:r>
          </w:p>
        </w:tc>
        <w:tc>
          <w:tcPr>
            <w:tcW w:w="1843" w:type="dxa"/>
            <w:tcBorders>
              <w:top w:val="single" w:color="auto" w:sz="4" w:space="0"/>
              <w:left w:val="single" w:color="auto" w:sz="4" w:space="0"/>
              <w:bottom w:val="single" w:color="auto" w:sz="4" w:space="0"/>
              <w:right w:val="single" w:color="auto" w:sz="4" w:space="0"/>
            </w:tcBorders>
            <w:vAlign w:val="center"/>
          </w:tcPr>
          <w:p w14:paraId="51DC59F5">
            <w:pPr>
              <w:pStyle w:val="13"/>
              <w:spacing w:before="120" w:after="12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月河街道、爱山街道、环渚街道</w:t>
            </w:r>
          </w:p>
        </w:tc>
        <w:tc>
          <w:tcPr>
            <w:tcW w:w="1275" w:type="dxa"/>
            <w:tcBorders>
              <w:top w:val="single" w:color="auto" w:sz="4" w:space="0"/>
              <w:left w:val="single" w:color="auto" w:sz="4" w:space="0"/>
              <w:bottom w:val="single" w:color="auto" w:sz="4" w:space="0"/>
              <w:right w:val="single" w:color="auto" w:sz="4" w:space="0"/>
            </w:tcBorders>
            <w:vAlign w:val="center"/>
          </w:tcPr>
          <w:p w14:paraId="3AEEA710">
            <w:pPr>
              <w:pStyle w:val="13"/>
              <w:spacing w:before="120" w:after="120"/>
              <w:jc w:val="center"/>
              <w:rPr>
                <w:rFonts w:cs="仿宋" w:asciiTheme="minorEastAsia" w:hAnsiTheme="minorEastAsia" w:eastAsiaTheme="minorEastAsia"/>
                <w:color w:val="auto"/>
                <w:sz w:val="24"/>
                <w:highlight w:val="none"/>
              </w:rPr>
            </w:pPr>
            <w:r>
              <w:rPr>
                <w:rFonts w:hint="eastAsia" w:hAnsi="宋体"/>
                <w:color w:val="auto"/>
                <w:sz w:val="24"/>
                <w:highlight w:val="none"/>
              </w:rPr>
              <w:t>958.8</w:t>
            </w:r>
          </w:p>
        </w:tc>
        <w:tc>
          <w:tcPr>
            <w:tcW w:w="1519" w:type="dxa"/>
            <w:tcBorders>
              <w:top w:val="single" w:color="auto" w:sz="4" w:space="0"/>
              <w:left w:val="single" w:color="auto" w:sz="4" w:space="0"/>
              <w:bottom w:val="single" w:color="auto" w:sz="4" w:space="0"/>
              <w:right w:val="single" w:color="auto" w:sz="4" w:space="0"/>
            </w:tcBorders>
            <w:vAlign w:val="center"/>
          </w:tcPr>
          <w:p w14:paraId="4DCEBF4B">
            <w:pPr>
              <w:pStyle w:val="13"/>
              <w:spacing w:before="120" w:after="120"/>
              <w:jc w:val="center"/>
              <w:rPr>
                <w:rFonts w:cs="仿宋" w:asciiTheme="minorEastAsia" w:hAnsiTheme="minorEastAsia" w:eastAsiaTheme="minorEastAsia"/>
                <w:color w:val="auto"/>
                <w:sz w:val="24"/>
                <w:highlight w:val="none"/>
              </w:rPr>
            </w:pPr>
            <w:r>
              <w:rPr>
                <w:rFonts w:hint="eastAsia" w:hAnsi="宋体"/>
                <w:color w:val="auto"/>
                <w:sz w:val="24"/>
                <w:highlight w:val="none"/>
              </w:rPr>
              <w:t>958.8</w:t>
            </w:r>
          </w:p>
        </w:tc>
      </w:tr>
      <w:bookmarkEnd w:id="28"/>
      <w:tr w14:paraId="2A44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502" w:type="dxa"/>
            <w:gridSpan w:val="7"/>
            <w:tcBorders>
              <w:top w:val="single" w:color="auto" w:sz="4" w:space="0"/>
              <w:left w:val="single" w:color="auto" w:sz="4" w:space="0"/>
              <w:bottom w:val="single" w:color="auto" w:sz="4" w:space="0"/>
              <w:right w:val="single" w:color="auto" w:sz="4" w:space="0"/>
            </w:tcBorders>
            <w:vAlign w:val="center"/>
          </w:tcPr>
          <w:p w14:paraId="36649F7A">
            <w:pPr>
              <w:pStyle w:val="13"/>
              <w:spacing w:before="120" w:after="120"/>
              <w:jc w:val="left"/>
              <w:rPr>
                <w:rFonts w:hAnsi="宋体"/>
                <w:color w:val="auto"/>
                <w:sz w:val="24"/>
                <w:highlight w:val="none"/>
              </w:rPr>
            </w:pPr>
            <w:r>
              <w:rPr>
                <w:rFonts w:hint="eastAsia" w:hAnsi="宋体"/>
                <w:color w:val="auto"/>
                <w:sz w:val="24"/>
                <w:highlight w:val="none"/>
              </w:rPr>
              <w:t>注：</w:t>
            </w:r>
            <w:bookmarkStart w:id="30" w:name="OLE_LINK98"/>
            <w:bookmarkStart w:id="31" w:name="OLE_LINK99"/>
            <w:r>
              <w:rPr>
                <w:rFonts w:hint="eastAsia" w:hAnsi="宋体"/>
                <w:color w:val="auto"/>
                <w:sz w:val="24"/>
                <w:highlight w:val="none"/>
              </w:rPr>
              <w:t>本项目分为5个标项</w:t>
            </w:r>
            <w:bookmarkStart w:id="32" w:name="OLE_LINK62"/>
            <w:r>
              <w:rPr>
                <w:rFonts w:hint="eastAsia" w:hAnsi="宋体"/>
                <w:color w:val="auto"/>
                <w:sz w:val="24"/>
                <w:highlight w:val="none"/>
              </w:rPr>
              <w:t>，投标人可根据自身能力选择一个或多个标项参与投标，但只能中标一个标项（按标项1，标项2，标项3，标项4，标项5的顺序确定中标人）。</w:t>
            </w:r>
            <w:bookmarkEnd w:id="30"/>
            <w:bookmarkEnd w:id="31"/>
            <w:bookmarkEnd w:id="32"/>
          </w:p>
          <w:p w14:paraId="570BFEF3">
            <w:pPr>
              <w:pStyle w:val="13"/>
              <w:spacing w:before="120" w:after="120"/>
              <w:jc w:val="left"/>
              <w:rPr>
                <w:rFonts w:hAnsi="宋体"/>
                <w:color w:val="auto"/>
                <w:sz w:val="24"/>
                <w:highlight w:val="none"/>
              </w:rPr>
            </w:pPr>
            <w:r>
              <w:rPr>
                <w:rFonts w:hint="eastAsia" w:hAnsi="宋体"/>
                <w:color w:val="auto"/>
                <w:sz w:val="24"/>
                <w:highlight w:val="none"/>
              </w:rPr>
              <w:t>在合同期内，标段范围内有新增点位，参照同等级养老服务（照料）中心执行。</w:t>
            </w:r>
          </w:p>
          <w:p w14:paraId="339D3974">
            <w:pPr>
              <w:pStyle w:val="13"/>
              <w:spacing w:before="120" w:after="120"/>
              <w:jc w:val="left"/>
              <w:rPr>
                <w:rFonts w:hAnsi="宋体"/>
                <w:color w:val="auto"/>
                <w:sz w:val="24"/>
                <w:highlight w:val="none"/>
              </w:rPr>
            </w:pPr>
            <w:r>
              <w:rPr>
                <w:rFonts w:hint="eastAsia" w:hAnsi="宋体"/>
                <w:color w:val="auto"/>
                <w:sz w:val="24"/>
                <w:highlight w:val="none"/>
              </w:rPr>
              <w:t>中标单位同步运营中标区域助联体运营工作，相关运营经费纳入居家养老服务（照料）中心运营项目。</w:t>
            </w:r>
          </w:p>
        </w:tc>
      </w:tr>
      <w:bookmarkEnd w:id="25"/>
      <w:bookmarkEnd w:id="26"/>
    </w:tbl>
    <w:p w14:paraId="5813572C">
      <w:pPr>
        <w:spacing w:line="460" w:lineRule="exact"/>
        <w:rPr>
          <w:rFonts w:cs="仿宋" w:asciiTheme="majorEastAsia" w:hAnsiTheme="majorEastAsia" w:eastAsiaTheme="majorEastAsia"/>
          <w:b/>
          <w:bCs/>
          <w:color w:val="auto"/>
          <w:sz w:val="24"/>
          <w:highlight w:val="none"/>
        </w:rPr>
      </w:pPr>
      <w:bookmarkStart w:id="33" w:name="OLE_LINK16"/>
      <w:r>
        <w:rPr>
          <w:rFonts w:hint="eastAsia" w:cs="仿宋" w:asciiTheme="majorEastAsia" w:hAnsiTheme="majorEastAsia" w:eastAsiaTheme="majorEastAsia"/>
          <w:b/>
          <w:bCs/>
          <w:color w:val="auto"/>
          <w:sz w:val="24"/>
          <w:highlight w:val="none"/>
        </w:rPr>
        <w:t>补助标准及区域划分情况</w:t>
      </w:r>
    </w:p>
    <w:p w14:paraId="3122366A">
      <w:pPr>
        <w:spacing w:line="460" w:lineRule="exact"/>
        <w:ind w:firstLine="480" w:firstLineChars="200"/>
        <w:rPr>
          <w:rFonts w:cs="仿宋" w:asciiTheme="majorEastAsia" w:hAnsiTheme="majorEastAsia" w:eastAsiaTheme="majorEastAsia"/>
          <w:color w:val="auto"/>
          <w:sz w:val="24"/>
          <w:highlight w:val="none"/>
        </w:rPr>
      </w:pPr>
      <w:bookmarkStart w:id="34" w:name="OLE_LINK14"/>
      <w:bookmarkStart w:id="35" w:name="OLE_LINK15"/>
      <w:r>
        <w:rPr>
          <w:rFonts w:hint="eastAsia" w:cs="仿宋" w:asciiTheme="majorEastAsia" w:hAnsiTheme="majorEastAsia" w:eastAsiaTheme="majorEastAsia"/>
          <w:color w:val="auto"/>
          <w:sz w:val="24"/>
          <w:highlight w:val="none"/>
        </w:rPr>
        <w:t>吴兴区居家养老服务（照料）中心运营经费年度补助标准。运营补助总额为基础性服务费与个性化服务费总额，其中镇街级居家养老服务中心至少达到3A级可予以补助，区级养老服务综合体达到5A级可予以补助。基础型居家养老服务中心不区分基础性和个性化服务。按照基础型、1A、2A、3A、4A、5A的设施等级最高给予补助标准如下：</w:t>
      </w:r>
    </w:p>
    <w:bookmarkEnd w:id="33"/>
    <w:bookmarkEnd w:id="34"/>
    <w:bookmarkEnd w:id="35"/>
    <w:p w14:paraId="704D10D8">
      <w:pPr>
        <w:pStyle w:val="11"/>
        <w:rPr>
          <w:color w:val="auto"/>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1417"/>
        <w:gridCol w:w="1276"/>
        <w:gridCol w:w="1559"/>
        <w:gridCol w:w="993"/>
        <w:gridCol w:w="1275"/>
        <w:gridCol w:w="1519"/>
      </w:tblGrid>
      <w:tr w14:paraId="217C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463" w:type="dxa"/>
            <w:vMerge w:val="restart"/>
            <w:tcBorders>
              <w:top w:val="single" w:color="auto" w:sz="4" w:space="0"/>
              <w:left w:val="single" w:color="auto" w:sz="4" w:space="0"/>
              <w:right w:val="single" w:color="auto" w:sz="4" w:space="0"/>
            </w:tcBorders>
            <w:vAlign w:val="center"/>
          </w:tcPr>
          <w:p w14:paraId="68D6F159">
            <w:pPr>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类别</w:t>
            </w:r>
          </w:p>
        </w:tc>
        <w:tc>
          <w:tcPr>
            <w:tcW w:w="8039" w:type="dxa"/>
            <w:gridSpan w:val="6"/>
            <w:tcBorders>
              <w:top w:val="single" w:color="auto" w:sz="4" w:space="0"/>
              <w:left w:val="single" w:color="auto" w:sz="4" w:space="0"/>
              <w:bottom w:val="single" w:color="auto" w:sz="4" w:space="0"/>
              <w:right w:val="single" w:color="auto" w:sz="4" w:space="0"/>
            </w:tcBorders>
            <w:vAlign w:val="center"/>
          </w:tcPr>
          <w:p w14:paraId="5ED457CB">
            <w:pPr>
              <w:pStyle w:val="13"/>
              <w:spacing w:before="120" w:after="120"/>
              <w:jc w:val="center"/>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color w:val="auto"/>
                <w:sz w:val="24"/>
                <w:highlight w:val="none"/>
              </w:rPr>
              <w:t>最高补助金额（万元/年）</w:t>
            </w:r>
          </w:p>
        </w:tc>
      </w:tr>
      <w:tr w14:paraId="10F4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463" w:type="dxa"/>
            <w:vMerge w:val="continue"/>
            <w:tcBorders>
              <w:left w:val="single" w:color="auto" w:sz="4" w:space="0"/>
              <w:bottom w:val="single" w:color="auto" w:sz="4" w:space="0"/>
              <w:right w:val="single" w:color="auto" w:sz="4" w:space="0"/>
            </w:tcBorders>
            <w:vAlign w:val="center"/>
          </w:tcPr>
          <w:p w14:paraId="6866009F">
            <w:pPr>
              <w:pStyle w:val="13"/>
              <w:spacing w:before="120" w:after="120"/>
              <w:jc w:val="center"/>
              <w:rPr>
                <w:rFonts w:cs="仿宋" w:asciiTheme="minorEastAsia" w:hAnsiTheme="minorEastAsia" w:eastAsiaTheme="minorEastAsia"/>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CDC8B14">
            <w:pPr>
              <w:jc w:val="center"/>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基础型</w:t>
            </w:r>
          </w:p>
        </w:tc>
        <w:tc>
          <w:tcPr>
            <w:tcW w:w="1276" w:type="dxa"/>
            <w:tcBorders>
              <w:top w:val="single" w:color="auto" w:sz="4" w:space="0"/>
              <w:left w:val="single" w:color="auto" w:sz="4" w:space="0"/>
              <w:bottom w:val="single" w:color="auto" w:sz="4" w:space="0"/>
              <w:right w:val="single" w:color="auto" w:sz="4" w:space="0"/>
            </w:tcBorders>
            <w:vAlign w:val="center"/>
          </w:tcPr>
          <w:p w14:paraId="52AAD54B">
            <w:pPr>
              <w:jc w:val="center"/>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1A</w:t>
            </w:r>
          </w:p>
        </w:tc>
        <w:tc>
          <w:tcPr>
            <w:tcW w:w="1559" w:type="dxa"/>
            <w:tcBorders>
              <w:top w:val="single" w:color="auto" w:sz="4" w:space="0"/>
              <w:left w:val="single" w:color="auto" w:sz="4" w:space="0"/>
              <w:bottom w:val="single" w:color="auto" w:sz="4" w:space="0"/>
              <w:right w:val="single" w:color="auto" w:sz="4" w:space="0"/>
            </w:tcBorders>
            <w:vAlign w:val="center"/>
          </w:tcPr>
          <w:p w14:paraId="6D05565E">
            <w:pPr>
              <w:jc w:val="center"/>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2A</w:t>
            </w:r>
          </w:p>
        </w:tc>
        <w:tc>
          <w:tcPr>
            <w:tcW w:w="993" w:type="dxa"/>
            <w:tcBorders>
              <w:top w:val="single" w:color="auto" w:sz="4" w:space="0"/>
              <w:left w:val="single" w:color="auto" w:sz="4" w:space="0"/>
              <w:bottom w:val="single" w:color="auto" w:sz="4" w:space="0"/>
              <w:right w:val="single" w:color="auto" w:sz="4" w:space="0"/>
            </w:tcBorders>
            <w:vAlign w:val="center"/>
          </w:tcPr>
          <w:p w14:paraId="297569A7">
            <w:pPr>
              <w:jc w:val="center"/>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3A</w:t>
            </w:r>
          </w:p>
        </w:tc>
        <w:tc>
          <w:tcPr>
            <w:tcW w:w="1275" w:type="dxa"/>
            <w:tcBorders>
              <w:top w:val="single" w:color="auto" w:sz="4" w:space="0"/>
              <w:left w:val="single" w:color="auto" w:sz="4" w:space="0"/>
              <w:bottom w:val="single" w:color="auto" w:sz="4" w:space="0"/>
              <w:right w:val="single" w:color="auto" w:sz="4" w:space="0"/>
            </w:tcBorders>
            <w:vAlign w:val="center"/>
          </w:tcPr>
          <w:p w14:paraId="549AD931">
            <w:pPr>
              <w:jc w:val="center"/>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4A</w:t>
            </w:r>
          </w:p>
        </w:tc>
        <w:tc>
          <w:tcPr>
            <w:tcW w:w="1519" w:type="dxa"/>
            <w:tcBorders>
              <w:top w:val="single" w:color="auto" w:sz="4" w:space="0"/>
              <w:left w:val="single" w:color="auto" w:sz="4" w:space="0"/>
              <w:bottom w:val="single" w:color="auto" w:sz="4" w:space="0"/>
              <w:right w:val="single" w:color="auto" w:sz="4" w:space="0"/>
            </w:tcBorders>
            <w:vAlign w:val="center"/>
          </w:tcPr>
          <w:p w14:paraId="5151B9D9">
            <w:pPr>
              <w:jc w:val="center"/>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5A</w:t>
            </w:r>
          </w:p>
        </w:tc>
      </w:tr>
      <w:tr w14:paraId="17A1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463" w:type="dxa"/>
            <w:tcBorders>
              <w:top w:val="single" w:color="auto" w:sz="4" w:space="0"/>
              <w:left w:val="single" w:color="auto" w:sz="4" w:space="0"/>
              <w:bottom w:val="single" w:color="auto" w:sz="4" w:space="0"/>
              <w:right w:val="single" w:color="auto" w:sz="4" w:space="0"/>
            </w:tcBorders>
            <w:vAlign w:val="center"/>
          </w:tcPr>
          <w:p w14:paraId="69C07A8E">
            <w:pPr>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基础型服务</w:t>
            </w:r>
          </w:p>
        </w:tc>
        <w:tc>
          <w:tcPr>
            <w:tcW w:w="1417" w:type="dxa"/>
            <w:tcBorders>
              <w:top w:val="single" w:color="auto" w:sz="4" w:space="0"/>
              <w:left w:val="single" w:color="auto" w:sz="4" w:space="0"/>
              <w:bottom w:val="single" w:color="auto" w:sz="4" w:space="0"/>
              <w:right w:val="single" w:color="auto" w:sz="4" w:space="0"/>
            </w:tcBorders>
            <w:vAlign w:val="center"/>
          </w:tcPr>
          <w:p w14:paraId="29E84B69">
            <w:pPr>
              <w:jc w:val="center"/>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w:t>
            </w:r>
          </w:p>
        </w:tc>
        <w:tc>
          <w:tcPr>
            <w:tcW w:w="1276" w:type="dxa"/>
            <w:tcBorders>
              <w:top w:val="single" w:color="auto" w:sz="4" w:space="0"/>
              <w:left w:val="single" w:color="auto" w:sz="4" w:space="0"/>
              <w:bottom w:val="single" w:color="auto" w:sz="4" w:space="0"/>
              <w:right w:val="single" w:color="auto" w:sz="4" w:space="0"/>
            </w:tcBorders>
            <w:vAlign w:val="center"/>
          </w:tcPr>
          <w:p w14:paraId="4D3A3969">
            <w:pPr>
              <w:jc w:val="center"/>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4</w:t>
            </w:r>
          </w:p>
        </w:tc>
        <w:tc>
          <w:tcPr>
            <w:tcW w:w="1559" w:type="dxa"/>
            <w:tcBorders>
              <w:top w:val="single" w:color="auto" w:sz="4" w:space="0"/>
              <w:left w:val="single" w:color="auto" w:sz="4" w:space="0"/>
              <w:bottom w:val="single" w:color="auto" w:sz="4" w:space="0"/>
              <w:right w:val="single" w:color="auto" w:sz="4" w:space="0"/>
            </w:tcBorders>
            <w:vAlign w:val="center"/>
          </w:tcPr>
          <w:p w14:paraId="4F3B340B">
            <w:pPr>
              <w:jc w:val="center"/>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4</w:t>
            </w:r>
          </w:p>
        </w:tc>
        <w:tc>
          <w:tcPr>
            <w:tcW w:w="993" w:type="dxa"/>
            <w:tcBorders>
              <w:top w:val="single" w:color="auto" w:sz="4" w:space="0"/>
              <w:left w:val="single" w:color="auto" w:sz="4" w:space="0"/>
              <w:bottom w:val="single" w:color="auto" w:sz="4" w:space="0"/>
              <w:right w:val="single" w:color="auto" w:sz="4" w:space="0"/>
            </w:tcBorders>
            <w:vAlign w:val="center"/>
          </w:tcPr>
          <w:p w14:paraId="3A71744F">
            <w:pPr>
              <w:jc w:val="center"/>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8</w:t>
            </w:r>
          </w:p>
        </w:tc>
        <w:tc>
          <w:tcPr>
            <w:tcW w:w="1275" w:type="dxa"/>
            <w:tcBorders>
              <w:top w:val="single" w:color="auto" w:sz="4" w:space="0"/>
              <w:left w:val="single" w:color="auto" w:sz="4" w:space="0"/>
              <w:bottom w:val="single" w:color="auto" w:sz="4" w:space="0"/>
              <w:right w:val="single" w:color="auto" w:sz="4" w:space="0"/>
            </w:tcBorders>
            <w:vAlign w:val="center"/>
          </w:tcPr>
          <w:p w14:paraId="64246D9C">
            <w:pPr>
              <w:jc w:val="center"/>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8</w:t>
            </w:r>
          </w:p>
        </w:tc>
        <w:tc>
          <w:tcPr>
            <w:tcW w:w="1519" w:type="dxa"/>
            <w:tcBorders>
              <w:top w:val="single" w:color="auto" w:sz="4" w:space="0"/>
              <w:left w:val="single" w:color="auto" w:sz="4" w:space="0"/>
              <w:bottom w:val="single" w:color="auto" w:sz="4" w:space="0"/>
              <w:right w:val="single" w:color="auto" w:sz="4" w:space="0"/>
            </w:tcBorders>
            <w:vAlign w:val="center"/>
          </w:tcPr>
          <w:p w14:paraId="047412E9">
            <w:pPr>
              <w:jc w:val="center"/>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20</w:t>
            </w:r>
          </w:p>
        </w:tc>
      </w:tr>
      <w:tr w14:paraId="2374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463" w:type="dxa"/>
            <w:tcBorders>
              <w:top w:val="single" w:color="auto" w:sz="4" w:space="0"/>
              <w:left w:val="single" w:color="auto" w:sz="4" w:space="0"/>
              <w:bottom w:val="single" w:color="auto" w:sz="4" w:space="0"/>
              <w:right w:val="single" w:color="auto" w:sz="4" w:space="0"/>
            </w:tcBorders>
            <w:vAlign w:val="center"/>
          </w:tcPr>
          <w:p w14:paraId="34E47509">
            <w:pPr>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个性化服务</w:t>
            </w:r>
          </w:p>
        </w:tc>
        <w:tc>
          <w:tcPr>
            <w:tcW w:w="1417" w:type="dxa"/>
            <w:tcBorders>
              <w:top w:val="single" w:color="auto" w:sz="4" w:space="0"/>
              <w:left w:val="single" w:color="auto" w:sz="4" w:space="0"/>
              <w:bottom w:val="single" w:color="auto" w:sz="4" w:space="0"/>
              <w:right w:val="single" w:color="auto" w:sz="4" w:space="0"/>
            </w:tcBorders>
            <w:vAlign w:val="center"/>
          </w:tcPr>
          <w:p w14:paraId="33560C20">
            <w:pPr>
              <w:jc w:val="center"/>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w:t>
            </w:r>
          </w:p>
        </w:tc>
        <w:tc>
          <w:tcPr>
            <w:tcW w:w="1276" w:type="dxa"/>
            <w:tcBorders>
              <w:top w:val="single" w:color="auto" w:sz="4" w:space="0"/>
              <w:left w:val="single" w:color="auto" w:sz="4" w:space="0"/>
              <w:bottom w:val="single" w:color="auto" w:sz="4" w:space="0"/>
              <w:right w:val="single" w:color="auto" w:sz="4" w:space="0"/>
            </w:tcBorders>
            <w:vAlign w:val="center"/>
          </w:tcPr>
          <w:p w14:paraId="52B8EC51">
            <w:pPr>
              <w:jc w:val="center"/>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5.4</w:t>
            </w:r>
          </w:p>
        </w:tc>
        <w:tc>
          <w:tcPr>
            <w:tcW w:w="1559" w:type="dxa"/>
            <w:tcBorders>
              <w:top w:val="single" w:color="auto" w:sz="4" w:space="0"/>
              <w:left w:val="single" w:color="auto" w:sz="4" w:space="0"/>
              <w:bottom w:val="single" w:color="auto" w:sz="4" w:space="0"/>
              <w:right w:val="single" w:color="auto" w:sz="4" w:space="0"/>
            </w:tcBorders>
            <w:vAlign w:val="center"/>
          </w:tcPr>
          <w:p w14:paraId="072DCA12">
            <w:pPr>
              <w:jc w:val="center"/>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5.4</w:t>
            </w:r>
          </w:p>
        </w:tc>
        <w:tc>
          <w:tcPr>
            <w:tcW w:w="993" w:type="dxa"/>
            <w:tcBorders>
              <w:top w:val="single" w:color="auto" w:sz="4" w:space="0"/>
              <w:left w:val="single" w:color="auto" w:sz="4" w:space="0"/>
              <w:bottom w:val="single" w:color="auto" w:sz="4" w:space="0"/>
              <w:right w:val="single" w:color="auto" w:sz="4" w:space="0"/>
            </w:tcBorders>
            <w:vAlign w:val="center"/>
          </w:tcPr>
          <w:p w14:paraId="6E2994E3">
            <w:pPr>
              <w:jc w:val="center"/>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10.8</w:t>
            </w:r>
          </w:p>
        </w:tc>
        <w:tc>
          <w:tcPr>
            <w:tcW w:w="1275" w:type="dxa"/>
            <w:tcBorders>
              <w:top w:val="single" w:color="auto" w:sz="4" w:space="0"/>
              <w:left w:val="single" w:color="auto" w:sz="4" w:space="0"/>
              <w:bottom w:val="single" w:color="auto" w:sz="4" w:space="0"/>
              <w:right w:val="single" w:color="auto" w:sz="4" w:space="0"/>
            </w:tcBorders>
            <w:vAlign w:val="center"/>
          </w:tcPr>
          <w:p w14:paraId="6E38FE00">
            <w:pPr>
              <w:jc w:val="center"/>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10.8</w:t>
            </w:r>
          </w:p>
        </w:tc>
        <w:tc>
          <w:tcPr>
            <w:tcW w:w="1519" w:type="dxa"/>
            <w:tcBorders>
              <w:top w:val="single" w:color="auto" w:sz="4" w:space="0"/>
              <w:left w:val="single" w:color="auto" w:sz="4" w:space="0"/>
              <w:bottom w:val="single" w:color="auto" w:sz="4" w:space="0"/>
              <w:right w:val="single" w:color="auto" w:sz="4" w:space="0"/>
            </w:tcBorders>
            <w:vAlign w:val="center"/>
          </w:tcPr>
          <w:p w14:paraId="6BC591D8">
            <w:pPr>
              <w:jc w:val="center"/>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27</w:t>
            </w:r>
          </w:p>
        </w:tc>
      </w:tr>
      <w:tr w14:paraId="60A7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63" w:type="dxa"/>
            <w:tcBorders>
              <w:top w:val="single" w:color="auto" w:sz="4" w:space="0"/>
              <w:left w:val="single" w:color="auto" w:sz="4" w:space="0"/>
              <w:bottom w:val="single" w:color="auto" w:sz="4" w:space="0"/>
              <w:right w:val="single" w:color="auto" w:sz="4" w:space="0"/>
            </w:tcBorders>
            <w:vAlign w:val="center"/>
          </w:tcPr>
          <w:p w14:paraId="50D147C4">
            <w:pPr>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合计</w:t>
            </w:r>
          </w:p>
        </w:tc>
        <w:tc>
          <w:tcPr>
            <w:tcW w:w="1417" w:type="dxa"/>
            <w:tcBorders>
              <w:top w:val="single" w:color="auto" w:sz="4" w:space="0"/>
              <w:left w:val="single" w:color="auto" w:sz="4" w:space="0"/>
              <w:bottom w:val="single" w:color="auto" w:sz="4" w:space="0"/>
              <w:right w:val="single" w:color="auto" w:sz="4" w:space="0"/>
            </w:tcBorders>
            <w:vAlign w:val="center"/>
          </w:tcPr>
          <w:p w14:paraId="620F9968">
            <w:pPr>
              <w:jc w:val="center"/>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2</w:t>
            </w:r>
          </w:p>
        </w:tc>
        <w:tc>
          <w:tcPr>
            <w:tcW w:w="1276" w:type="dxa"/>
            <w:tcBorders>
              <w:top w:val="single" w:color="auto" w:sz="4" w:space="0"/>
              <w:left w:val="single" w:color="auto" w:sz="4" w:space="0"/>
              <w:bottom w:val="single" w:color="auto" w:sz="4" w:space="0"/>
              <w:right w:val="single" w:color="auto" w:sz="4" w:space="0"/>
            </w:tcBorders>
            <w:vAlign w:val="center"/>
          </w:tcPr>
          <w:p w14:paraId="3FB44E69">
            <w:pPr>
              <w:jc w:val="center"/>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9.4</w:t>
            </w:r>
          </w:p>
        </w:tc>
        <w:tc>
          <w:tcPr>
            <w:tcW w:w="1559" w:type="dxa"/>
            <w:tcBorders>
              <w:top w:val="single" w:color="auto" w:sz="4" w:space="0"/>
              <w:left w:val="single" w:color="auto" w:sz="4" w:space="0"/>
              <w:bottom w:val="single" w:color="auto" w:sz="4" w:space="0"/>
              <w:right w:val="single" w:color="auto" w:sz="4" w:space="0"/>
            </w:tcBorders>
            <w:vAlign w:val="center"/>
          </w:tcPr>
          <w:p w14:paraId="75BF635D">
            <w:pPr>
              <w:jc w:val="center"/>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9.4</w:t>
            </w:r>
          </w:p>
        </w:tc>
        <w:tc>
          <w:tcPr>
            <w:tcW w:w="993" w:type="dxa"/>
            <w:tcBorders>
              <w:top w:val="single" w:color="auto" w:sz="4" w:space="0"/>
              <w:left w:val="single" w:color="auto" w:sz="4" w:space="0"/>
              <w:bottom w:val="single" w:color="auto" w:sz="4" w:space="0"/>
              <w:right w:val="single" w:color="auto" w:sz="4" w:space="0"/>
            </w:tcBorders>
            <w:vAlign w:val="center"/>
          </w:tcPr>
          <w:p w14:paraId="2F4560F2">
            <w:pPr>
              <w:jc w:val="center"/>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18.8</w:t>
            </w:r>
          </w:p>
        </w:tc>
        <w:tc>
          <w:tcPr>
            <w:tcW w:w="1275" w:type="dxa"/>
            <w:tcBorders>
              <w:top w:val="single" w:color="auto" w:sz="4" w:space="0"/>
              <w:left w:val="single" w:color="auto" w:sz="4" w:space="0"/>
              <w:bottom w:val="single" w:color="auto" w:sz="4" w:space="0"/>
              <w:right w:val="single" w:color="auto" w:sz="4" w:space="0"/>
            </w:tcBorders>
            <w:vAlign w:val="center"/>
          </w:tcPr>
          <w:p w14:paraId="0505D8E3">
            <w:pPr>
              <w:jc w:val="center"/>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18.8</w:t>
            </w:r>
          </w:p>
        </w:tc>
        <w:tc>
          <w:tcPr>
            <w:tcW w:w="1519" w:type="dxa"/>
            <w:tcBorders>
              <w:top w:val="single" w:color="auto" w:sz="4" w:space="0"/>
              <w:left w:val="single" w:color="auto" w:sz="4" w:space="0"/>
              <w:bottom w:val="single" w:color="auto" w:sz="4" w:space="0"/>
              <w:right w:val="single" w:color="auto" w:sz="4" w:space="0"/>
            </w:tcBorders>
            <w:vAlign w:val="center"/>
          </w:tcPr>
          <w:p w14:paraId="5234E22D">
            <w:pPr>
              <w:jc w:val="center"/>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47</w:t>
            </w:r>
          </w:p>
        </w:tc>
      </w:tr>
    </w:tbl>
    <w:p w14:paraId="30C1FEF9">
      <w:pPr>
        <w:pStyle w:val="11"/>
        <w:rPr>
          <w:rFonts w:cs="仿宋" w:asciiTheme="majorEastAsia" w:hAnsiTheme="majorEastAsia" w:eastAsiaTheme="majorEastAsia"/>
          <w:color w:val="auto"/>
          <w:sz w:val="24"/>
          <w:szCs w:val="24"/>
          <w:highlight w:val="none"/>
        </w:rPr>
      </w:pPr>
    </w:p>
    <w:p w14:paraId="006DC992">
      <w:pPr>
        <w:pStyle w:val="11"/>
        <w:rPr>
          <w:color w:val="auto"/>
          <w:highlight w:val="none"/>
        </w:rPr>
      </w:pPr>
      <w:r>
        <w:rPr>
          <w:rFonts w:hint="eastAsia" w:cs="仿宋" w:asciiTheme="majorEastAsia" w:hAnsiTheme="majorEastAsia" w:eastAsiaTheme="majorEastAsia"/>
          <w:color w:val="auto"/>
          <w:sz w:val="24"/>
          <w:szCs w:val="24"/>
          <w:highlight w:val="none"/>
        </w:rPr>
        <w:t>现将吴兴区划分五个片区，按每个片区最高运营金额排列标项，具体如下：</w:t>
      </w:r>
    </w:p>
    <w:p w14:paraId="66CFB5A9">
      <w:pPr>
        <w:pStyle w:val="11"/>
        <w:rPr>
          <w:color w:val="auto"/>
          <w:highlight w:val="none"/>
        </w:rPr>
      </w:pPr>
    </w:p>
    <w:p w14:paraId="6795F2F2">
      <w:pPr>
        <w:spacing w:line="480" w:lineRule="exact"/>
        <w:rPr>
          <w:rFonts w:cs="仿宋_GB2312" w:asciiTheme="majorEastAsia" w:hAnsiTheme="majorEastAsia" w:eastAsiaTheme="majorEastAsia"/>
          <w:color w:val="auto"/>
          <w:sz w:val="24"/>
          <w:highlight w:val="none"/>
        </w:rPr>
      </w:pPr>
    </w:p>
    <w:p w14:paraId="0D85152F">
      <w:pPr>
        <w:rPr>
          <w:color w:val="auto"/>
          <w:highlight w:val="none"/>
        </w:rPr>
        <w:sectPr>
          <w:headerReference r:id="rId3" w:type="default"/>
          <w:footerReference r:id="rId4" w:type="default"/>
          <w:footerReference r:id="rId5" w:type="even"/>
          <w:pgSz w:w="11906" w:h="16838"/>
          <w:pgMar w:top="1361" w:right="1247" w:bottom="1361" w:left="1247" w:header="851" w:footer="851" w:gutter="0"/>
          <w:cols w:space="720" w:num="1"/>
          <w:docGrid w:linePitch="312" w:charSpace="0"/>
        </w:sectPr>
      </w:pPr>
      <w:r>
        <w:rPr>
          <w:color w:val="auto"/>
          <w:highlight w:val="none"/>
        </w:rPr>
        <w:br w:type="page"/>
      </w:r>
    </w:p>
    <w:p w14:paraId="7699AB70">
      <w:pPr>
        <w:pStyle w:val="11"/>
        <w:ind w:left="0" w:leftChars="0"/>
        <w:rPr>
          <w:color w:val="auto"/>
          <w:highlight w:val="none"/>
        </w:rPr>
      </w:pPr>
    </w:p>
    <w:tbl>
      <w:tblPr>
        <w:tblStyle w:val="27"/>
        <w:tblW w:w="14010" w:type="dxa"/>
        <w:tblInd w:w="91" w:type="dxa"/>
        <w:tblLayout w:type="fixed"/>
        <w:tblCellMar>
          <w:top w:w="0" w:type="dxa"/>
          <w:left w:w="108" w:type="dxa"/>
          <w:bottom w:w="0" w:type="dxa"/>
          <w:right w:w="108" w:type="dxa"/>
        </w:tblCellMar>
      </w:tblPr>
      <w:tblGrid>
        <w:gridCol w:w="1000"/>
        <w:gridCol w:w="1191"/>
        <w:gridCol w:w="781"/>
        <w:gridCol w:w="931"/>
        <w:gridCol w:w="855"/>
        <w:gridCol w:w="842"/>
        <w:gridCol w:w="816"/>
        <w:gridCol w:w="771"/>
        <w:gridCol w:w="996"/>
        <w:gridCol w:w="958"/>
        <w:gridCol w:w="1148"/>
        <w:gridCol w:w="1678"/>
        <w:gridCol w:w="2043"/>
      </w:tblGrid>
      <w:tr w14:paraId="716819EB">
        <w:tblPrEx>
          <w:tblCellMar>
            <w:top w:w="0" w:type="dxa"/>
            <w:left w:w="108" w:type="dxa"/>
            <w:bottom w:w="0" w:type="dxa"/>
            <w:right w:w="108" w:type="dxa"/>
          </w:tblCellMar>
        </w:tblPrEx>
        <w:trPr>
          <w:trHeight w:val="430" w:hRule="atLeast"/>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CC7E7">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区域划分</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7BAAF">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镇（街道）</w:t>
            </w:r>
          </w:p>
        </w:tc>
        <w:tc>
          <w:tcPr>
            <w:tcW w:w="4997"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0F2FB">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相应设施等级数量（个）</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9224F0">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基础性点位最高补助（万元/年）</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C12E6E">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基础性服务最高补助（万元/年）</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B88BCE">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个性化服务最高补助（万元/年）</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AE5CB9">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片区最高补助（万元/年）</w:t>
            </w:r>
          </w:p>
        </w:tc>
        <w:tc>
          <w:tcPr>
            <w:tcW w:w="20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BA6B67">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2025-2028年最高补助（万元）</w:t>
            </w:r>
          </w:p>
        </w:tc>
      </w:tr>
      <w:tr w14:paraId="1452569E">
        <w:tblPrEx>
          <w:tblCellMar>
            <w:top w:w="0" w:type="dxa"/>
            <w:left w:w="108" w:type="dxa"/>
            <w:bottom w:w="0" w:type="dxa"/>
            <w:right w:w="108" w:type="dxa"/>
          </w:tblCellMar>
        </w:tblPrEx>
        <w:trPr>
          <w:trHeight w:val="1184" w:hRule="exact"/>
        </w:trPr>
        <w:tc>
          <w:tcPr>
            <w:tcW w:w="2194" w:type="dxa"/>
            <w:vMerge w:val="continue"/>
            <w:tcBorders>
              <w:top w:val="single" w:color="000000" w:sz="4" w:space="0"/>
              <w:left w:val="single" w:color="000000" w:sz="4" w:space="0"/>
              <w:bottom w:val="single" w:color="000000" w:sz="4" w:space="0"/>
              <w:right w:val="single" w:color="000000" w:sz="4" w:space="0"/>
            </w:tcBorders>
            <w:vAlign w:val="center"/>
          </w:tcPr>
          <w:p w14:paraId="283FE286">
            <w:pPr>
              <w:widowControl/>
              <w:jc w:val="left"/>
              <w:rPr>
                <w:rFonts w:ascii="宋体" w:hAnsi="宋体" w:cs="宋体"/>
                <w:b/>
                <w:bCs/>
                <w:color w:val="auto"/>
                <w:sz w:val="24"/>
                <w:highlight w:val="none"/>
              </w:rPr>
            </w:pPr>
          </w:p>
        </w:tc>
        <w:tc>
          <w:tcPr>
            <w:tcW w:w="1193" w:type="dxa"/>
            <w:vMerge w:val="continue"/>
            <w:tcBorders>
              <w:top w:val="single" w:color="000000" w:sz="4" w:space="0"/>
              <w:left w:val="single" w:color="000000" w:sz="4" w:space="0"/>
              <w:bottom w:val="single" w:color="000000" w:sz="4" w:space="0"/>
              <w:right w:val="single" w:color="000000" w:sz="4" w:space="0"/>
            </w:tcBorders>
            <w:vAlign w:val="center"/>
          </w:tcPr>
          <w:p w14:paraId="10540EBE">
            <w:pPr>
              <w:widowControl/>
              <w:jc w:val="left"/>
              <w:rPr>
                <w:rFonts w:ascii="宋体" w:hAnsi="宋体" w:cs="宋体"/>
                <w:b/>
                <w:bCs/>
                <w:color w:val="auto"/>
                <w:sz w:val="24"/>
                <w:highlight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A99DA">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基础型</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9A4D9">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1A</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26AB4">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2A</w:t>
            </w: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A0F8E">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3A</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72E23">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4A</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631AA">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5A</w:t>
            </w:r>
          </w:p>
        </w:tc>
        <w:tc>
          <w:tcPr>
            <w:tcW w:w="996" w:type="dxa"/>
            <w:vMerge w:val="continue"/>
            <w:tcBorders>
              <w:top w:val="single" w:color="000000" w:sz="4" w:space="0"/>
              <w:left w:val="single" w:color="000000" w:sz="4" w:space="0"/>
              <w:bottom w:val="single" w:color="000000" w:sz="4" w:space="0"/>
              <w:right w:val="single" w:color="000000" w:sz="4" w:space="0"/>
            </w:tcBorders>
            <w:vAlign w:val="center"/>
          </w:tcPr>
          <w:p w14:paraId="7ACCDB6F">
            <w:pPr>
              <w:widowControl/>
              <w:jc w:val="left"/>
              <w:rPr>
                <w:rFonts w:ascii="宋体" w:hAnsi="宋体" w:cs="宋体"/>
                <w:b/>
                <w:bCs/>
                <w:color w:val="auto"/>
                <w:sz w:val="24"/>
                <w:highlight w:val="none"/>
              </w:rPr>
            </w:pPr>
          </w:p>
        </w:tc>
        <w:tc>
          <w:tcPr>
            <w:tcW w:w="958" w:type="dxa"/>
            <w:vMerge w:val="continue"/>
            <w:tcBorders>
              <w:top w:val="single" w:color="000000" w:sz="4" w:space="0"/>
              <w:left w:val="single" w:color="000000" w:sz="4" w:space="0"/>
              <w:bottom w:val="single" w:color="000000" w:sz="4" w:space="0"/>
              <w:right w:val="single" w:color="000000" w:sz="4" w:space="0"/>
            </w:tcBorders>
            <w:vAlign w:val="center"/>
          </w:tcPr>
          <w:p w14:paraId="59573ABA">
            <w:pPr>
              <w:widowControl/>
              <w:jc w:val="left"/>
              <w:rPr>
                <w:rFonts w:ascii="宋体" w:hAnsi="宋体" w:cs="宋体"/>
                <w:b/>
                <w:bCs/>
                <w:color w:val="auto"/>
                <w:sz w:val="24"/>
                <w:highlight w:val="none"/>
              </w:rPr>
            </w:pPr>
          </w:p>
        </w:tc>
        <w:tc>
          <w:tcPr>
            <w:tcW w:w="1148" w:type="dxa"/>
            <w:vMerge w:val="continue"/>
            <w:tcBorders>
              <w:top w:val="single" w:color="000000" w:sz="4" w:space="0"/>
              <w:left w:val="single" w:color="000000" w:sz="4" w:space="0"/>
              <w:bottom w:val="single" w:color="000000" w:sz="4" w:space="0"/>
              <w:right w:val="single" w:color="000000" w:sz="4" w:space="0"/>
            </w:tcBorders>
            <w:vAlign w:val="center"/>
          </w:tcPr>
          <w:p w14:paraId="186AC2B5">
            <w:pPr>
              <w:widowControl/>
              <w:jc w:val="left"/>
              <w:rPr>
                <w:rFonts w:ascii="宋体" w:hAnsi="宋体" w:cs="宋体"/>
                <w:b/>
                <w:bCs/>
                <w:color w:val="auto"/>
                <w:sz w:val="24"/>
                <w:highlight w:val="none"/>
              </w:rPr>
            </w:pPr>
          </w:p>
        </w:tc>
        <w:tc>
          <w:tcPr>
            <w:tcW w:w="1679" w:type="dxa"/>
            <w:vMerge w:val="continue"/>
            <w:tcBorders>
              <w:top w:val="single" w:color="000000" w:sz="4" w:space="0"/>
              <w:left w:val="single" w:color="000000" w:sz="4" w:space="0"/>
              <w:bottom w:val="single" w:color="000000" w:sz="4" w:space="0"/>
              <w:right w:val="single" w:color="000000" w:sz="4" w:space="0"/>
            </w:tcBorders>
            <w:vAlign w:val="center"/>
          </w:tcPr>
          <w:p w14:paraId="630C207B">
            <w:pPr>
              <w:widowControl/>
              <w:jc w:val="left"/>
              <w:rPr>
                <w:rFonts w:ascii="宋体" w:hAnsi="宋体" w:cs="宋体"/>
                <w:b/>
                <w:bCs/>
                <w:color w:val="auto"/>
                <w:sz w:val="24"/>
                <w:highlight w:val="none"/>
              </w:rPr>
            </w:pPr>
          </w:p>
        </w:tc>
        <w:tc>
          <w:tcPr>
            <w:tcW w:w="2044" w:type="dxa"/>
            <w:vMerge w:val="continue"/>
            <w:tcBorders>
              <w:top w:val="single" w:color="000000" w:sz="4" w:space="0"/>
              <w:left w:val="single" w:color="000000" w:sz="4" w:space="0"/>
              <w:bottom w:val="single" w:color="000000" w:sz="4" w:space="0"/>
              <w:right w:val="single" w:color="000000" w:sz="4" w:space="0"/>
            </w:tcBorders>
            <w:vAlign w:val="center"/>
          </w:tcPr>
          <w:p w14:paraId="0276A5BF">
            <w:pPr>
              <w:widowControl/>
              <w:jc w:val="left"/>
              <w:rPr>
                <w:rFonts w:ascii="宋体" w:hAnsi="宋体" w:cs="宋体"/>
                <w:b/>
                <w:bCs/>
                <w:color w:val="auto"/>
                <w:sz w:val="24"/>
                <w:highlight w:val="none"/>
              </w:rPr>
            </w:pPr>
          </w:p>
        </w:tc>
      </w:tr>
      <w:tr w14:paraId="41C0F15D">
        <w:tblPrEx>
          <w:tblCellMar>
            <w:top w:w="0" w:type="dxa"/>
            <w:left w:w="108" w:type="dxa"/>
            <w:bottom w:w="0" w:type="dxa"/>
            <w:right w:w="108" w:type="dxa"/>
          </w:tblCellMar>
        </w:tblPrEx>
        <w:trPr>
          <w:trHeight w:val="430" w:hRule="exact"/>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BCA2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第一片区</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C0F0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八里店镇</w:t>
            </w:r>
          </w:p>
        </w:tc>
        <w:tc>
          <w:tcPr>
            <w:tcW w:w="7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CBDC5">
            <w:pPr>
              <w:jc w:val="center"/>
              <w:rPr>
                <w:rFonts w:ascii="宋体" w:hAnsi="宋体" w:cs="宋体"/>
                <w:color w:val="auto"/>
                <w:sz w:val="24"/>
                <w:highlight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F364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028F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5E7D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4A9B3">
            <w:pPr>
              <w:jc w:val="center"/>
              <w:rPr>
                <w:rFonts w:ascii="宋体" w:hAnsi="宋体" w:cs="宋体"/>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C964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770C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0</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A38A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96</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AFF6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129.6</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8AAD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432.4</w:t>
            </w:r>
          </w:p>
        </w:tc>
        <w:tc>
          <w:tcPr>
            <w:tcW w:w="204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43F5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1297.2</w:t>
            </w:r>
          </w:p>
        </w:tc>
      </w:tr>
      <w:tr w14:paraId="1E14DC32">
        <w:tblPrEx>
          <w:tblCellMar>
            <w:top w:w="0" w:type="dxa"/>
            <w:left w:w="108" w:type="dxa"/>
            <w:bottom w:w="0" w:type="dxa"/>
            <w:right w:w="108" w:type="dxa"/>
          </w:tblCellMar>
        </w:tblPrEx>
        <w:trPr>
          <w:trHeight w:val="430" w:hRule="exact"/>
        </w:trPr>
        <w:tc>
          <w:tcPr>
            <w:tcW w:w="2194" w:type="dxa"/>
            <w:vMerge w:val="continue"/>
            <w:tcBorders>
              <w:top w:val="single" w:color="000000" w:sz="4" w:space="0"/>
              <w:left w:val="single" w:color="000000" w:sz="4" w:space="0"/>
              <w:bottom w:val="single" w:color="000000" w:sz="4" w:space="0"/>
              <w:right w:val="single" w:color="000000" w:sz="4" w:space="0"/>
            </w:tcBorders>
            <w:vAlign w:val="center"/>
          </w:tcPr>
          <w:p w14:paraId="3078297A">
            <w:pPr>
              <w:widowControl/>
              <w:jc w:val="left"/>
              <w:rPr>
                <w:rFonts w:ascii="宋体" w:hAnsi="宋体" w:cs="宋体"/>
                <w:color w:val="auto"/>
                <w:sz w:val="24"/>
                <w:highlight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0B70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埭溪镇</w:t>
            </w:r>
          </w:p>
        </w:tc>
        <w:tc>
          <w:tcPr>
            <w:tcW w:w="7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90D55">
            <w:pPr>
              <w:jc w:val="center"/>
              <w:rPr>
                <w:rFonts w:ascii="宋体" w:hAnsi="宋体" w:cs="宋体"/>
                <w:color w:val="auto"/>
                <w:sz w:val="24"/>
                <w:highlight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0BB3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18</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95FD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0ABB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9DE91">
            <w:pPr>
              <w:jc w:val="center"/>
              <w:rPr>
                <w:rFonts w:ascii="宋体" w:hAnsi="宋体" w:cs="宋体"/>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27494">
            <w:pPr>
              <w:jc w:val="center"/>
              <w:rPr>
                <w:rFonts w:ascii="宋体" w:hAnsi="宋体" w:cs="宋体"/>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3DA0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0</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4D5B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88</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28CC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118.8</w:t>
            </w:r>
          </w:p>
        </w:tc>
        <w:tc>
          <w:tcPr>
            <w:tcW w:w="1679" w:type="dxa"/>
            <w:vMerge w:val="continue"/>
            <w:tcBorders>
              <w:top w:val="single" w:color="000000" w:sz="4" w:space="0"/>
              <w:left w:val="single" w:color="000000" w:sz="4" w:space="0"/>
              <w:bottom w:val="single" w:color="000000" w:sz="4" w:space="0"/>
              <w:right w:val="single" w:color="000000" w:sz="4" w:space="0"/>
            </w:tcBorders>
            <w:vAlign w:val="center"/>
          </w:tcPr>
          <w:p w14:paraId="1157789F">
            <w:pPr>
              <w:widowControl/>
              <w:jc w:val="left"/>
              <w:rPr>
                <w:rFonts w:ascii="宋体" w:hAnsi="宋体" w:cs="宋体"/>
                <w:color w:val="auto"/>
                <w:sz w:val="24"/>
                <w:highlight w:val="none"/>
              </w:rPr>
            </w:pPr>
          </w:p>
        </w:tc>
        <w:tc>
          <w:tcPr>
            <w:tcW w:w="2044" w:type="dxa"/>
            <w:vMerge w:val="continue"/>
            <w:tcBorders>
              <w:top w:val="single" w:color="000000" w:sz="4" w:space="0"/>
              <w:left w:val="single" w:color="000000" w:sz="4" w:space="0"/>
              <w:bottom w:val="single" w:color="000000" w:sz="4" w:space="0"/>
              <w:right w:val="single" w:color="000000" w:sz="4" w:space="0"/>
            </w:tcBorders>
            <w:vAlign w:val="center"/>
          </w:tcPr>
          <w:p w14:paraId="7394E8B6">
            <w:pPr>
              <w:widowControl/>
              <w:jc w:val="left"/>
              <w:rPr>
                <w:rFonts w:ascii="宋体" w:hAnsi="宋体" w:cs="宋体"/>
                <w:color w:val="auto"/>
                <w:sz w:val="24"/>
                <w:highlight w:val="none"/>
              </w:rPr>
            </w:pPr>
          </w:p>
        </w:tc>
      </w:tr>
      <w:tr w14:paraId="6A0F4F33">
        <w:tblPrEx>
          <w:tblCellMar>
            <w:top w:w="0" w:type="dxa"/>
            <w:left w:w="108" w:type="dxa"/>
            <w:bottom w:w="0" w:type="dxa"/>
            <w:right w:w="108" w:type="dxa"/>
          </w:tblCellMar>
        </w:tblPrEx>
        <w:trPr>
          <w:trHeight w:val="430" w:hRule="exact"/>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5D98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第二片区</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F42F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高新区</w:t>
            </w:r>
          </w:p>
        </w:tc>
        <w:tc>
          <w:tcPr>
            <w:tcW w:w="7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528C6">
            <w:pPr>
              <w:jc w:val="center"/>
              <w:rPr>
                <w:rFonts w:ascii="宋体" w:hAnsi="宋体" w:cs="宋体"/>
                <w:color w:val="auto"/>
                <w:sz w:val="24"/>
                <w:highlight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5404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13</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BDE0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98FD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A97E8">
            <w:pPr>
              <w:jc w:val="center"/>
              <w:rPr>
                <w:rFonts w:ascii="宋体" w:hAnsi="宋体" w:cs="宋体"/>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35280">
            <w:pPr>
              <w:jc w:val="center"/>
              <w:rPr>
                <w:rFonts w:ascii="宋体" w:hAnsi="宋体" w:cs="宋体"/>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CDE9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0</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CA8A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76</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A0F7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102.6</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64A7F">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432.4</w:t>
            </w:r>
          </w:p>
        </w:tc>
        <w:tc>
          <w:tcPr>
            <w:tcW w:w="204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64C00">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1297.2</w:t>
            </w:r>
          </w:p>
        </w:tc>
      </w:tr>
      <w:tr w14:paraId="1497FE52">
        <w:tblPrEx>
          <w:tblCellMar>
            <w:top w:w="0" w:type="dxa"/>
            <w:left w:w="108" w:type="dxa"/>
            <w:bottom w:w="0" w:type="dxa"/>
            <w:right w:w="108" w:type="dxa"/>
          </w:tblCellMar>
        </w:tblPrEx>
        <w:trPr>
          <w:trHeight w:val="430" w:hRule="exact"/>
        </w:trPr>
        <w:tc>
          <w:tcPr>
            <w:tcW w:w="2194" w:type="dxa"/>
            <w:vMerge w:val="continue"/>
            <w:tcBorders>
              <w:top w:val="single" w:color="000000" w:sz="4" w:space="0"/>
              <w:left w:val="single" w:color="000000" w:sz="4" w:space="0"/>
              <w:bottom w:val="single" w:color="000000" w:sz="4" w:space="0"/>
              <w:right w:val="single" w:color="000000" w:sz="4" w:space="0"/>
            </w:tcBorders>
            <w:vAlign w:val="center"/>
          </w:tcPr>
          <w:p w14:paraId="11ECB9C8">
            <w:pPr>
              <w:widowControl/>
              <w:jc w:val="left"/>
              <w:rPr>
                <w:rFonts w:ascii="宋体" w:hAnsi="宋体" w:cs="宋体"/>
                <w:color w:val="auto"/>
                <w:sz w:val="24"/>
                <w:highlight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3DC6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东林镇</w:t>
            </w:r>
          </w:p>
        </w:tc>
        <w:tc>
          <w:tcPr>
            <w:tcW w:w="7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B3D87">
            <w:pPr>
              <w:jc w:val="center"/>
              <w:rPr>
                <w:rFonts w:ascii="宋体" w:hAnsi="宋体" w:cs="宋体"/>
                <w:color w:val="auto"/>
                <w:sz w:val="24"/>
                <w:highlight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6689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719A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77AA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AFF51">
            <w:pPr>
              <w:jc w:val="center"/>
              <w:rPr>
                <w:rFonts w:ascii="宋体" w:hAnsi="宋体" w:cs="宋体"/>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EEA80">
            <w:pPr>
              <w:jc w:val="center"/>
              <w:rPr>
                <w:rFonts w:ascii="宋体" w:hAnsi="宋体" w:cs="宋体"/>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48B6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0</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F52B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68</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1888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91.8</w:t>
            </w:r>
          </w:p>
        </w:tc>
        <w:tc>
          <w:tcPr>
            <w:tcW w:w="1679" w:type="dxa"/>
            <w:vMerge w:val="continue"/>
            <w:tcBorders>
              <w:top w:val="single" w:color="000000" w:sz="4" w:space="0"/>
              <w:left w:val="single" w:color="000000" w:sz="4" w:space="0"/>
              <w:bottom w:val="single" w:color="000000" w:sz="4" w:space="0"/>
              <w:right w:val="single" w:color="000000" w:sz="4" w:space="0"/>
            </w:tcBorders>
            <w:vAlign w:val="center"/>
          </w:tcPr>
          <w:p w14:paraId="1C2B6903">
            <w:pPr>
              <w:widowControl/>
              <w:jc w:val="left"/>
              <w:rPr>
                <w:rFonts w:ascii="宋体" w:hAnsi="宋体" w:cs="宋体"/>
                <w:color w:val="auto"/>
                <w:sz w:val="24"/>
                <w:highlight w:val="none"/>
              </w:rPr>
            </w:pPr>
          </w:p>
        </w:tc>
        <w:tc>
          <w:tcPr>
            <w:tcW w:w="2044" w:type="dxa"/>
            <w:vMerge w:val="continue"/>
            <w:tcBorders>
              <w:top w:val="single" w:color="000000" w:sz="4" w:space="0"/>
              <w:left w:val="single" w:color="000000" w:sz="4" w:space="0"/>
              <w:bottom w:val="single" w:color="000000" w:sz="4" w:space="0"/>
              <w:right w:val="single" w:color="000000" w:sz="4" w:space="0"/>
            </w:tcBorders>
            <w:vAlign w:val="center"/>
          </w:tcPr>
          <w:p w14:paraId="005D6152">
            <w:pPr>
              <w:widowControl/>
              <w:jc w:val="left"/>
              <w:rPr>
                <w:rFonts w:ascii="宋体" w:hAnsi="宋体" w:cs="宋体"/>
                <w:color w:val="auto"/>
                <w:sz w:val="24"/>
                <w:highlight w:val="none"/>
              </w:rPr>
            </w:pPr>
          </w:p>
        </w:tc>
      </w:tr>
      <w:tr w14:paraId="388B05BA">
        <w:tblPrEx>
          <w:tblCellMar>
            <w:top w:w="0" w:type="dxa"/>
            <w:left w:w="108" w:type="dxa"/>
            <w:bottom w:w="0" w:type="dxa"/>
            <w:right w:w="108" w:type="dxa"/>
          </w:tblCellMar>
        </w:tblPrEx>
        <w:trPr>
          <w:trHeight w:val="430" w:hRule="exact"/>
        </w:trPr>
        <w:tc>
          <w:tcPr>
            <w:tcW w:w="2194" w:type="dxa"/>
            <w:vMerge w:val="continue"/>
            <w:tcBorders>
              <w:top w:val="single" w:color="000000" w:sz="4" w:space="0"/>
              <w:left w:val="single" w:color="000000" w:sz="4" w:space="0"/>
              <w:bottom w:val="single" w:color="000000" w:sz="4" w:space="0"/>
              <w:right w:val="single" w:color="000000" w:sz="4" w:space="0"/>
            </w:tcBorders>
            <w:vAlign w:val="center"/>
          </w:tcPr>
          <w:p w14:paraId="1ED8F09D">
            <w:pPr>
              <w:widowControl/>
              <w:jc w:val="left"/>
              <w:rPr>
                <w:rFonts w:ascii="宋体" w:hAnsi="宋体" w:cs="宋体"/>
                <w:color w:val="auto"/>
                <w:sz w:val="24"/>
                <w:highlight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AEF5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飞英街道</w:t>
            </w:r>
          </w:p>
        </w:tc>
        <w:tc>
          <w:tcPr>
            <w:tcW w:w="7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9141F">
            <w:pPr>
              <w:jc w:val="center"/>
              <w:rPr>
                <w:rFonts w:ascii="宋体" w:hAnsi="宋体" w:cs="宋体"/>
                <w:color w:val="auto"/>
                <w:sz w:val="24"/>
                <w:highlight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7D46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DE29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9ED39">
            <w:pPr>
              <w:jc w:val="center"/>
              <w:rPr>
                <w:rFonts w:ascii="宋体" w:hAnsi="宋体" w:cs="宋体"/>
                <w:color w:val="auto"/>
                <w:sz w:val="24"/>
                <w:highlight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0DF5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600EC">
            <w:pPr>
              <w:jc w:val="center"/>
              <w:rPr>
                <w:rFonts w:ascii="宋体" w:hAnsi="宋体" w:cs="宋体"/>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E103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0</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715B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40</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FB41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54</w:t>
            </w:r>
          </w:p>
        </w:tc>
        <w:tc>
          <w:tcPr>
            <w:tcW w:w="1679" w:type="dxa"/>
            <w:vMerge w:val="continue"/>
            <w:tcBorders>
              <w:top w:val="single" w:color="000000" w:sz="4" w:space="0"/>
              <w:left w:val="single" w:color="000000" w:sz="4" w:space="0"/>
              <w:bottom w:val="single" w:color="000000" w:sz="4" w:space="0"/>
              <w:right w:val="single" w:color="000000" w:sz="4" w:space="0"/>
            </w:tcBorders>
            <w:vAlign w:val="center"/>
          </w:tcPr>
          <w:p w14:paraId="40CE5D64">
            <w:pPr>
              <w:widowControl/>
              <w:jc w:val="left"/>
              <w:rPr>
                <w:rFonts w:ascii="宋体" w:hAnsi="宋体" w:cs="宋体"/>
                <w:color w:val="auto"/>
                <w:sz w:val="24"/>
                <w:highlight w:val="none"/>
              </w:rPr>
            </w:pPr>
          </w:p>
        </w:tc>
        <w:tc>
          <w:tcPr>
            <w:tcW w:w="2044" w:type="dxa"/>
            <w:vMerge w:val="continue"/>
            <w:tcBorders>
              <w:top w:val="single" w:color="000000" w:sz="4" w:space="0"/>
              <w:left w:val="single" w:color="000000" w:sz="4" w:space="0"/>
              <w:bottom w:val="single" w:color="000000" w:sz="4" w:space="0"/>
              <w:right w:val="single" w:color="000000" w:sz="4" w:space="0"/>
            </w:tcBorders>
            <w:vAlign w:val="center"/>
          </w:tcPr>
          <w:p w14:paraId="54E20458">
            <w:pPr>
              <w:widowControl/>
              <w:jc w:val="left"/>
              <w:rPr>
                <w:rFonts w:ascii="宋体" w:hAnsi="宋体" w:cs="宋体"/>
                <w:color w:val="auto"/>
                <w:sz w:val="24"/>
                <w:highlight w:val="none"/>
              </w:rPr>
            </w:pPr>
          </w:p>
        </w:tc>
      </w:tr>
      <w:tr w14:paraId="33071611">
        <w:tblPrEx>
          <w:tblCellMar>
            <w:top w:w="0" w:type="dxa"/>
            <w:left w:w="108" w:type="dxa"/>
            <w:bottom w:w="0" w:type="dxa"/>
            <w:right w:w="108" w:type="dxa"/>
          </w:tblCellMar>
        </w:tblPrEx>
        <w:trPr>
          <w:trHeight w:val="430" w:hRule="exact"/>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D82E6">
            <w:pPr>
              <w:jc w:val="center"/>
              <w:rPr>
                <w:rFonts w:ascii="宋体" w:hAnsi="宋体" w:cs="宋体"/>
                <w:color w:val="auto"/>
                <w:sz w:val="24"/>
                <w:highlight w:val="none"/>
              </w:rPr>
            </w:pPr>
            <w:r>
              <w:rPr>
                <w:rFonts w:hint="eastAsia" w:ascii="宋体" w:hAnsi="宋体" w:cs="宋体"/>
                <w:color w:val="auto"/>
                <w:sz w:val="24"/>
                <w:highlight w:val="none"/>
              </w:rPr>
              <w:t>第三片区</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66657">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织里镇</w:t>
            </w:r>
          </w:p>
        </w:tc>
        <w:tc>
          <w:tcPr>
            <w:tcW w:w="7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8899F">
            <w:pPr>
              <w:jc w:val="center"/>
              <w:rPr>
                <w:rFonts w:ascii="宋体" w:hAnsi="宋体" w:cs="宋体"/>
                <w:color w:val="auto"/>
                <w:sz w:val="24"/>
                <w:highlight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6C71B">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E1D51">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w:t>
            </w: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E01D3">
            <w:pPr>
              <w:jc w:val="center"/>
              <w:rPr>
                <w:rFonts w:ascii="宋体" w:hAnsi="宋体" w:cs="宋体"/>
                <w:color w:val="auto"/>
                <w:sz w:val="24"/>
                <w:highlight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63922">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72BE4">
            <w:pPr>
              <w:jc w:val="center"/>
              <w:rPr>
                <w:rFonts w:ascii="宋体" w:hAnsi="宋体" w:cs="宋体"/>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3AAFD">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0</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A45B8">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582BC">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135</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9A1C0">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423</w:t>
            </w:r>
          </w:p>
        </w:tc>
        <w:tc>
          <w:tcPr>
            <w:tcW w:w="204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C5AB6">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1269</w:t>
            </w:r>
          </w:p>
        </w:tc>
      </w:tr>
      <w:tr w14:paraId="16245205">
        <w:tblPrEx>
          <w:tblCellMar>
            <w:top w:w="0" w:type="dxa"/>
            <w:left w:w="108" w:type="dxa"/>
            <w:bottom w:w="0" w:type="dxa"/>
            <w:right w:w="108" w:type="dxa"/>
          </w:tblCellMar>
        </w:tblPrEx>
        <w:trPr>
          <w:trHeight w:val="430" w:hRule="exact"/>
        </w:trPr>
        <w:tc>
          <w:tcPr>
            <w:tcW w:w="2194" w:type="dxa"/>
            <w:vMerge w:val="continue"/>
            <w:tcBorders>
              <w:top w:val="single" w:color="000000" w:sz="4" w:space="0"/>
              <w:left w:val="single" w:color="000000" w:sz="4" w:space="0"/>
              <w:bottom w:val="single" w:color="000000" w:sz="4" w:space="0"/>
              <w:right w:val="single" w:color="000000" w:sz="4" w:space="0"/>
            </w:tcBorders>
            <w:vAlign w:val="center"/>
          </w:tcPr>
          <w:p w14:paraId="77F007B8">
            <w:pPr>
              <w:widowControl/>
              <w:jc w:val="left"/>
              <w:rPr>
                <w:rFonts w:ascii="宋体" w:hAnsi="宋体" w:cs="宋体"/>
                <w:color w:val="auto"/>
                <w:sz w:val="24"/>
                <w:highlight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72327">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朝阳街道</w:t>
            </w:r>
          </w:p>
        </w:tc>
        <w:tc>
          <w:tcPr>
            <w:tcW w:w="7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BE149">
            <w:pPr>
              <w:jc w:val="center"/>
              <w:rPr>
                <w:rFonts w:ascii="宋体" w:hAnsi="宋体" w:cs="宋体"/>
                <w:color w:val="auto"/>
                <w:sz w:val="24"/>
                <w:highlight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272BC">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1E463">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w:t>
            </w: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F320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7F073">
            <w:pPr>
              <w:jc w:val="center"/>
              <w:rPr>
                <w:rFonts w:ascii="宋体" w:hAnsi="宋体" w:cs="宋体"/>
                <w:color w:val="auto"/>
                <w:kern w:val="0"/>
                <w:sz w:val="24"/>
                <w:highlight w:val="none"/>
                <w:lang w:bidi="ar"/>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69FC4">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C2CAA">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0</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460DA">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28</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E8E0F">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37.8</w:t>
            </w:r>
          </w:p>
        </w:tc>
        <w:tc>
          <w:tcPr>
            <w:tcW w:w="1679" w:type="dxa"/>
            <w:vMerge w:val="continue"/>
            <w:tcBorders>
              <w:top w:val="single" w:color="000000" w:sz="4" w:space="0"/>
              <w:left w:val="single" w:color="000000" w:sz="4" w:space="0"/>
              <w:bottom w:val="single" w:color="000000" w:sz="4" w:space="0"/>
              <w:right w:val="single" w:color="000000" w:sz="4" w:space="0"/>
            </w:tcBorders>
            <w:vAlign w:val="center"/>
          </w:tcPr>
          <w:p w14:paraId="1CAF0FCE">
            <w:pPr>
              <w:widowControl/>
              <w:jc w:val="left"/>
              <w:rPr>
                <w:rFonts w:ascii="宋体" w:hAnsi="宋体" w:cs="宋体"/>
                <w:color w:val="auto"/>
                <w:sz w:val="24"/>
                <w:highlight w:val="none"/>
              </w:rPr>
            </w:pPr>
          </w:p>
        </w:tc>
        <w:tc>
          <w:tcPr>
            <w:tcW w:w="2044" w:type="dxa"/>
            <w:vMerge w:val="continue"/>
            <w:tcBorders>
              <w:top w:val="single" w:color="000000" w:sz="4" w:space="0"/>
              <w:left w:val="single" w:color="000000" w:sz="4" w:space="0"/>
              <w:bottom w:val="single" w:color="000000" w:sz="4" w:space="0"/>
              <w:right w:val="single" w:color="000000" w:sz="4" w:space="0"/>
            </w:tcBorders>
            <w:vAlign w:val="center"/>
          </w:tcPr>
          <w:p w14:paraId="5E6C5E84">
            <w:pPr>
              <w:widowControl/>
              <w:jc w:val="left"/>
              <w:rPr>
                <w:rFonts w:ascii="宋体" w:hAnsi="宋体" w:cs="宋体"/>
                <w:color w:val="auto"/>
                <w:sz w:val="24"/>
                <w:highlight w:val="none"/>
              </w:rPr>
            </w:pPr>
          </w:p>
        </w:tc>
      </w:tr>
      <w:tr w14:paraId="797E3457">
        <w:tblPrEx>
          <w:tblCellMar>
            <w:top w:w="0" w:type="dxa"/>
            <w:left w:w="108" w:type="dxa"/>
            <w:bottom w:w="0" w:type="dxa"/>
            <w:right w:w="108" w:type="dxa"/>
          </w:tblCellMar>
        </w:tblPrEx>
        <w:trPr>
          <w:trHeight w:val="430" w:hRule="exact"/>
        </w:trPr>
        <w:tc>
          <w:tcPr>
            <w:tcW w:w="2194" w:type="dxa"/>
            <w:vMerge w:val="continue"/>
            <w:tcBorders>
              <w:top w:val="single" w:color="000000" w:sz="4" w:space="0"/>
              <w:left w:val="single" w:color="000000" w:sz="4" w:space="0"/>
              <w:bottom w:val="single" w:color="000000" w:sz="4" w:space="0"/>
              <w:right w:val="single" w:color="000000" w:sz="4" w:space="0"/>
            </w:tcBorders>
            <w:vAlign w:val="center"/>
          </w:tcPr>
          <w:p w14:paraId="16410C5F">
            <w:pPr>
              <w:widowControl/>
              <w:jc w:val="left"/>
              <w:rPr>
                <w:rFonts w:ascii="宋体" w:hAnsi="宋体" w:cs="宋体"/>
                <w:color w:val="auto"/>
                <w:sz w:val="24"/>
                <w:highlight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B4068">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湖东街道</w:t>
            </w:r>
          </w:p>
        </w:tc>
        <w:tc>
          <w:tcPr>
            <w:tcW w:w="7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F7AED">
            <w:pPr>
              <w:jc w:val="center"/>
              <w:rPr>
                <w:rFonts w:ascii="宋体" w:hAnsi="宋体" w:cs="宋体"/>
                <w:color w:val="auto"/>
                <w:sz w:val="24"/>
                <w:highlight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32B65">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2FADE">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w:t>
            </w: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3774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5BF6F">
            <w:pPr>
              <w:jc w:val="center"/>
              <w:rPr>
                <w:rFonts w:ascii="宋体" w:hAnsi="宋体" w:cs="宋体"/>
                <w:color w:val="auto"/>
                <w:kern w:val="0"/>
                <w:sz w:val="24"/>
                <w:highlight w:val="none"/>
                <w:lang w:bidi="ar"/>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81ACD">
            <w:pPr>
              <w:jc w:val="center"/>
              <w:rPr>
                <w:rFonts w:ascii="宋体" w:hAnsi="宋体" w:cs="宋体"/>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2D92D">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0</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CE5F5">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52</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5DD59">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70.2</w:t>
            </w:r>
          </w:p>
        </w:tc>
        <w:tc>
          <w:tcPr>
            <w:tcW w:w="1679" w:type="dxa"/>
            <w:vMerge w:val="continue"/>
            <w:tcBorders>
              <w:top w:val="single" w:color="000000" w:sz="4" w:space="0"/>
              <w:left w:val="single" w:color="000000" w:sz="4" w:space="0"/>
              <w:bottom w:val="single" w:color="000000" w:sz="4" w:space="0"/>
              <w:right w:val="single" w:color="000000" w:sz="4" w:space="0"/>
            </w:tcBorders>
            <w:vAlign w:val="center"/>
          </w:tcPr>
          <w:p w14:paraId="38922599">
            <w:pPr>
              <w:widowControl/>
              <w:jc w:val="left"/>
              <w:rPr>
                <w:rFonts w:ascii="宋体" w:hAnsi="宋体" w:cs="宋体"/>
                <w:color w:val="auto"/>
                <w:sz w:val="24"/>
                <w:highlight w:val="none"/>
              </w:rPr>
            </w:pPr>
          </w:p>
        </w:tc>
        <w:tc>
          <w:tcPr>
            <w:tcW w:w="2044" w:type="dxa"/>
            <w:vMerge w:val="continue"/>
            <w:tcBorders>
              <w:top w:val="single" w:color="000000" w:sz="4" w:space="0"/>
              <w:left w:val="single" w:color="000000" w:sz="4" w:space="0"/>
              <w:bottom w:val="single" w:color="000000" w:sz="4" w:space="0"/>
              <w:right w:val="single" w:color="000000" w:sz="4" w:space="0"/>
            </w:tcBorders>
            <w:vAlign w:val="center"/>
          </w:tcPr>
          <w:p w14:paraId="327ABDA4">
            <w:pPr>
              <w:widowControl/>
              <w:jc w:val="left"/>
              <w:rPr>
                <w:rFonts w:ascii="宋体" w:hAnsi="宋体" w:cs="宋体"/>
                <w:color w:val="auto"/>
                <w:sz w:val="24"/>
                <w:highlight w:val="none"/>
              </w:rPr>
            </w:pPr>
          </w:p>
        </w:tc>
      </w:tr>
      <w:tr w14:paraId="589B18C0">
        <w:tblPrEx>
          <w:tblCellMar>
            <w:top w:w="0" w:type="dxa"/>
            <w:left w:w="108" w:type="dxa"/>
            <w:bottom w:w="0" w:type="dxa"/>
            <w:right w:w="108" w:type="dxa"/>
          </w:tblCellMar>
        </w:tblPrEx>
        <w:trPr>
          <w:trHeight w:val="430" w:hRule="exact"/>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4283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第四片区</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BDAC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道场乡</w:t>
            </w:r>
          </w:p>
        </w:tc>
        <w:tc>
          <w:tcPr>
            <w:tcW w:w="7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4EBFC">
            <w:pPr>
              <w:jc w:val="center"/>
              <w:rPr>
                <w:rFonts w:ascii="宋体" w:hAnsi="宋体" w:cs="宋体"/>
                <w:color w:val="auto"/>
                <w:sz w:val="24"/>
                <w:highlight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5FAA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3A5B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C822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8AAC9">
            <w:pPr>
              <w:jc w:val="center"/>
              <w:rPr>
                <w:rFonts w:ascii="宋体" w:hAnsi="宋体" w:cs="宋体"/>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6DE23">
            <w:pPr>
              <w:jc w:val="center"/>
              <w:rPr>
                <w:rFonts w:ascii="宋体" w:hAnsi="宋体" w:cs="宋体"/>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93FF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0</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CA8E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32</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79C6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43.2</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676A4">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368.6</w:t>
            </w:r>
          </w:p>
        </w:tc>
        <w:tc>
          <w:tcPr>
            <w:tcW w:w="204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F3E89">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1105.8</w:t>
            </w:r>
          </w:p>
        </w:tc>
      </w:tr>
      <w:tr w14:paraId="3C5F803F">
        <w:tblPrEx>
          <w:tblCellMar>
            <w:top w:w="0" w:type="dxa"/>
            <w:left w:w="108" w:type="dxa"/>
            <w:bottom w:w="0" w:type="dxa"/>
            <w:right w:w="108" w:type="dxa"/>
          </w:tblCellMar>
        </w:tblPrEx>
        <w:trPr>
          <w:trHeight w:val="430" w:hRule="exact"/>
        </w:trPr>
        <w:tc>
          <w:tcPr>
            <w:tcW w:w="2194" w:type="dxa"/>
            <w:vMerge w:val="continue"/>
            <w:tcBorders>
              <w:top w:val="single" w:color="000000" w:sz="4" w:space="0"/>
              <w:left w:val="single" w:color="000000" w:sz="4" w:space="0"/>
              <w:bottom w:val="single" w:color="000000" w:sz="4" w:space="0"/>
              <w:right w:val="single" w:color="000000" w:sz="4" w:space="0"/>
            </w:tcBorders>
            <w:vAlign w:val="center"/>
          </w:tcPr>
          <w:p w14:paraId="5F89EC85">
            <w:pPr>
              <w:widowControl/>
              <w:jc w:val="left"/>
              <w:rPr>
                <w:rFonts w:ascii="宋体" w:hAnsi="宋体" w:cs="宋体"/>
                <w:color w:val="auto"/>
                <w:sz w:val="24"/>
                <w:highlight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704EA">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龙泉街道</w:t>
            </w:r>
          </w:p>
        </w:tc>
        <w:tc>
          <w:tcPr>
            <w:tcW w:w="7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FE93F">
            <w:pPr>
              <w:jc w:val="center"/>
              <w:rPr>
                <w:rFonts w:ascii="宋体" w:hAnsi="宋体" w:cs="宋体"/>
                <w:color w:val="auto"/>
                <w:sz w:val="24"/>
                <w:highlight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93AB5">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EAC56">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w:t>
            </w: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48BC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50288">
            <w:pPr>
              <w:jc w:val="center"/>
              <w:rPr>
                <w:rFonts w:ascii="宋体" w:hAnsi="宋体" w:cs="宋体"/>
                <w:color w:val="auto"/>
                <w:kern w:val="0"/>
                <w:sz w:val="24"/>
                <w:highlight w:val="none"/>
                <w:lang w:bidi="ar"/>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D3579">
            <w:pPr>
              <w:jc w:val="center"/>
              <w:rPr>
                <w:rFonts w:ascii="宋体" w:hAnsi="宋体" w:cs="宋体"/>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85907">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0</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82767">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60</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96EC6">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81</w:t>
            </w:r>
          </w:p>
        </w:tc>
        <w:tc>
          <w:tcPr>
            <w:tcW w:w="1679" w:type="dxa"/>
            <w:vMerge w:val="continue"/>
            <w:tcBorders>
              <w:top w:val="single" w:color="000000" w:sz="4" w:space="0"/>
              <w:left w:val="single" w:color="000000" w:sz="4" w:space="0"/>
              <w:bottom w:val="single" w:color="000000" w:sz="4" w:space="0"/>
              <w:right w:val="single" w:color="000000" w:sz="4" w:space="0"/>
            </w:tcBorders>
            <w:vAlign w:val="center"/>
          </w:tcPr>
          <w:p w14:paraId="0FFC894B">
            <w:pPr>
              <w:widowControl/>
              <w:jc w:val="left"/>
              <w:rPr>
                <w:rFonts w:ascii="宋体" w:hAnsi="宋体" w:cs="宋体"/>
                <w:color w:val="auto"/>
                <w:sz w:val="24"/>
                <w:highlight w:val="none"/>
              </w:rPr>
            </w:pPr>
          </w:p>
        </w:tc>
        <w:tc>
          <w:tcPr>
            <w:tcW w:w="2044" w:type="dxa"/>
            <w:vMerge w:val="continue"/>
            <w:tcBorders>
              <w:top w:val="single" w:color="000000" w:sz="4" w:space="0"/>
              <w:left w:val="single" w:color="000000" w:sz="4" w:space="0"/>
              <w:bottom w:val="single" w:color="000000" w:sz="4" w:space="0"/>
              <w:right w:val="single" w:color="000000" w:sz="4" w:space="0"/>
            </w:tcBorders>
            <w:vAlign w:val="center"/>
          </w:tcPr>
          <w:p w14:paraId="0887F7DB">
            <w:pPr>
              <w:widowControl/>
              <w:jc w:val="left"/>
              <w:rPr>
                <w:rFonts w:ascii="宋体" w:hAnsi="宋体" w:cs="宋体"/>
                <w:color w:val="auto"/>
                <w:sz w:val="24"/>
                <w:highlight w:val="none"/>
              </w:rPr>
            </w:pPr>
          </w:p>
        </w:tc>
      </w:tr>
      <w:tr w14:paraId="0393CB06">
        <w:tblPrEx>
          <w:tblCellMar>
            <w:top w:w="0" w:type="dxa"/>
            <w:left w:w="108" w:type="dxa"/>
            <w:bottom w:w="0" w:type="dxa"/>
            <w:right w:w="108" w:type="dxa"/>
          </w:tblCellMar>
        </w:tblPrEx>
        <w:trPr>
          <w:trHeight w:val="430" w:hRule="exact"/>
        </w:trPr>
        <w:tc>
          <w:tcPr>
            <w:tcW w:w="2194" w:type="dxa"/>
            <w:vMerge w:val="continue"/>
            <w:tcBorders>
              <w:top w:val="single" w:color="000000" w:sz="4" w:space="0"/>
              <w:left w:val="single" w:color="000000" w:sz="4" w:space="0"/>
              <w:bottom w:val="single" w:color="000000" w:sz="4" w:space="0"/>
              <w:right w:val="single" w:color="000000" w:sz="4" w:space="0"/>
            </w:tcBorders>
            <w:vAlign w:val="center"/>
          </w:tcPr>
          <w:p w14:paraId="1327D536">
            <w:pPr>
              <w:widowControl/>
              <w:jc w:val="left"/>
              <w:rPr>
                <w:rFonts w:ascii="宋体" w:hAnsi="宋体" w:cs="宋体"/>
                <w:color w:val="auto"/>
                <w:sz w:val="24"/>
                <w:highlight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FC6D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妙西镇</w:t>
            </w:r>
          </w:p>
        </w:tc>
        <w:tc>
          <w:tcPr>
            <w:tcW w:w="7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BB0B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E269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B7BF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F9A3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A638C">
            <w:pPr>
              <w:jc w:val="center"/>
              <w:rPr>
                <w:rFonts w:ascii="宋体" w:hAnsi="宋体" w:cs="宋体"/>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471BA">
            <w:pPr>
              <w:jc w:val="center"/>
              <w:rPr>
                <w:rFonts w:ascii="宋体" w:hAnsi="宋体" w:cs="宋体"/>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1549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45AE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64</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C698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86.4</w:t>
            </w:r>
          </w:p>
        </w:tc>
        <w:tc>
          <w:tcPr>
            <w:tcW w:w="1679" w:type="dxa"/>
            <w:vMerge w:val="continue"/>
            <w:tcBorders>
              <w:top w:val="single" w:color="000000" w:sz="4" w:space="0"/>
              <w:left w:val="single" w:color="000000" w:sz="4" w:space="0"/>
              <w:bottom w:val="single" w:color="000000" w:sz="4" w:space="0"/>
              <w:right w:val="single" w:color="000000" w:sz="4" w:space="0"/>
            </w:tcBorders>
            <w:vAlign w:val="center"/>
          </w:tcPr>
          <w:p w14:paraId="783E6E73">
            <w:pPr>
              <w:widowControl/>
              <w:jc w:val="left"/>
              <w:rPr>
                <w:rFonts w:ascii="宋体" w:hAnsi="宋体" w:cs="宋体"/>
                <w:color w:val="auto"/>
                <w:sz w:val="24"/>
                <w:highlight w:val="none"/>
              </w:rPr>
            </w:pPr>
          </w:p>
        </w:tc>
        <w:tc>
          <w:tcPr>
            <w:tcW w:w="2044" w:type="dxa"/>
            <w:vMerge w:val="continue"/>
            <w:tcBorders>
              <w:top w:val="single" w:color="000000" w:sz="4" w:space="0"/>
              <w:left w:val="single" w:color="000000" w:sz="4" w:space="0"/>
              <w:bottom w:val="single" w:color="000000" w:sz="4" w:space="0"/>
              <w:right w:val="single" w:color="000000" w:sz="4" w:space="0"/>
            </w:tcBorders>
            <w:vAlign w:val="center"/>
          </w:tcPr>
          <w:p w14:paraId="1BE5E848">
            <w:pPr>
              <w:widowControl/>
              <w:jc w:val="left"/>
              <w:rPr>
                <w:rFonts w:ascii="宋体" w:hAnsi="宋体" w:cs="宋体"/>
                <w:color w:val="auto"/>
                <w:sz w:val="24"/>
                <w:highlight w:val="none"/>
              </w:rPr>
            </w:pPr>
          </w:p>
        </w:tc>
      </w:tr>
      <w:tr w14:paraId="6252F2B1">
        <w:tblPrEx>
          <w:tblCellMar>
            <w:top w:w="0" w:type="dxa"/>
            <w:left w:w="108" w:type="dxa"/>
            <w:bottom w:w="0" w:type="dxa"/>
            <w:right w:w="108" w:type="dxa"/>
          </w:tblCellMar>
        </w:tblPrEx>
        <w:trPr>
          <w:trHeight w:val="430" w:hRule="exact"/>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4631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第五片区</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05D1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月河街道</w:t>
            </w:r>
          </w:p>
        </w:tc>
        <w:tc>
          <w:tcPr>
            <w:tcW w:w="7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AE325">
            <w:pPr>
              <w:jc w:val="center"/>
              <w:rPr>
                <w:rFonts w:ascii="宋体" w:hAnsi="宋体" w:cs="宋体"/>
                <w:color w:val="auto"/>
                <w:sz w:val="24"/>
                <w:highlight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5E5D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A310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A2B5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22F75">
            <w:pPr>
              <w:jc w:val="center"/>
              <w:rPr>
                <w:rFonts w:ascii="宋体" w:hAnsi="宋体" w:cs="宋体"/>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A9AC2">
            <w:pPr>
              <w:jc w:val="center"/>
              <w:rPr>
                <w:rFonts w:ascii="宋体" w:hAnsi="宋体" w:cs="宋体"/>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E678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0</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4D22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48</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4B0E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64.8</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8E5E8">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319.6</w:t>
            </w:r>
          </w:p>
        </w:tc>
        <w:tc>
          <w:tcPr>
            <w:tcW w:w="204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8622A">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958.8</w:t>
            </w:r>
          </w:p>
        </w:tc>
      </w:tr>
      <w:tr w14:paraId="4E7FCA2F">
        <w:tblPrEx>
          <w:tblCellMar>
            <w:top w:w="0" w:type="dxa"/>
            <w:left w:w="108" w:type="dxa"/>
            <w:bottom w:w="0" w:type="dxa"/>
            <w:right w:w="108" w:type="dxa"/>
          </w:tblCellMar>
        </w:tblPrEx>
        <w:trPr>
          <w:trHeight w:val="430" w:hRule="exact"/>
        </w:trPr>
        <w:tc>
          <w:tcPr>
            <w:tcW w:w="2194" w:type="dxa"/>
            <w:vMerge w:val="continue"/>
            <w:tcBorders>
              <w:top w:val="single" w:color="000000" w:sz="4" w:space="0"/>
              <w:left w:val="single" w:color="000000" w:sz="4" w:space="0"/>
              <w:bottom w:val="single" w:color="000000" w:sz="4" w:space="0"/>
              <w:right w:val="single" w:color="000000" w:sz="4" w:space="0"/>
            </w:tcBorders>
            <w:vAlign w:val="center"/>
          </w:tcPr>
          <w:p w14:paraId="771FBA87">
            <w:pPr>
              <w:widowControl/>
              <w:jc w:val="left"/>
              <w:rPr>
                <w:rFonts w:ascii="宋体" w:hAnsi="宋体" w:cs="宋体"/>
                <w:color w:val="auto"/>
                <w:sz w:val="24"/>
                <w:highlight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FE84E">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爱山街道</w:t>
            </w:r>
          </w:p>
        </w:tc>
        <w:tc>
          <w:tcPr>
            <w:tcW w:w="7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A146D">
            <w:pPr>
              <w:jc w:val="center"/>
              <w:rPr>
                <w:rFonts w:ascii="宋体" w:hAnsi="宋体" w:cs="宋体"/>
                <w:color w:val="auto"/>
                <w:sz w:val="24"/>
                <w:highlight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C594E">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A068F">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w:t>
            </w: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CF86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642A0">
            <w:pPr>
              <w:jc w:val="center"/>
              <w:rPr>
                <w:rFonts w:ascii="宋体" w:hAnsi="宋体" w:cs="宋体"/>
                <w:color w:val="auto"/>
                <w:kern w:val="0"/>
                <w:sz w:val="24"/>
                <w:highlight w:val="none"/>
                <w:lang w:bidi="ar"/>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9289A">
            <w:pPr>
              <w:jc w:val="center"/>
              <w:rPr>
                <w:rFonts w:ascii="宋体" w:hAnsi="宋体" w:cs="宋体"/>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E6402">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0</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988CF">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24</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40C38">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32.4</w:t>
            </w:r>
          </w:p>
        </w:tc>
        <w:tc>
          <w:tcPr>
            <w:tcW w:w="1679" w:type="dxa"/>
            <w:vMerge w:val="continue"/>
            <w:tcBorders>
              <w:top w:val="single" w:color="000000" w:sz="4" w:space="0"/>
              <w:left w:val="single" w:color="000000" w:sz="4" w:space="0"/>
              <w:bottom w:val="single" w:color="000000" w:sz="4" w:space="0"/>
              <w:right w:val="single" w:color="000000" w:sz="4" w:space="0"/>
            </w:tcBorders>
            <w:vAlign w:val="center"/>
          </w:tcPr>
          <w:p w14:paraId="16131641">
            <w:pPr>
              <w:widowControl/>
              <w:jc w:val="left"/>
              <w:rPr>
                <w:rFonts w:ascii="宋体" w:hAnsi="宋体" w:cs="宋体"/>
                <w:color w:val="auto"/>
                <w:sz w:val="24"/>
                <w:highlight w:val="none"/>
              </w:rPr>
            </w:pPr>
          </w:p>
        </w:tc>
        <w:tc>
          <w:tcPr>
            <w:tcW w:w="2044" w:type="dxa"/>
            <w:vMerge w:val="continue"/>
            <w:tcBorders>
              <w:top w:val="single" w:color="000000" w:sz="4" w:space="0"/>
              <w:left w:val="single" w:color="000000" w:sz="4" w:space="0"/>
              <w:bottom w:val="single" w:color="000000" w:sz="4" w:space="0"/>
              <w:right w:val="single" w:color="000000" w:sz="4" w:space="0"/>
            </w:tcBorders>
            <w:vAlign w:val="center"/>
          </w:tcPr>
          <w:p w14:paraId="7DFD70E5">
            <w:pPr>
              <w:widowControl/>
              <w:jc w:val="left"/>
              <w:rPr>
                <w:rFonts w:ascii="宋体" w:hAnsi="宋体" w:cs="宋体"/>
                <w:color w:val="auto"/>
                <w:sz w:val="24"/>
                <w:highlight w:val="none"/>
              </w:rPr>
            </w:pPr>
          </w:p>
        </w:tc>
      </w:tr>
      <w:tr w14:paraId="7AED11C1">
        <w:tblPrEx>
          <w:tblCellMar>
            <w:top w:w="0" w:type="dxa"/>
            <w:left w:w="108" w:type="dxa"/>
            <w:bottom w:w="0" w:type="dxa"/>
            <w:right w:w="108" w:type="dxa"/>
          </w:tblCellMar>
        </w:tblPrEx>
        <w:trPr>
          <w:trHeight w:val="430" w:hRule="exact"/>
        </w:trPr>
        <w:tc>
          <w:tcPr>
            <w:tcW w:w="2194" w:type="dxa"/>
            <w:vMerge w:val="continue"/>
            <w:tcBorders>
              <w:top w:val="single" w:color="000000" w:sz="4" w:space="0"/>
              <w:left w:val="single" w:color="000000" w:sz="4" w:space="0"/>
              <w:bottom w:val="single" w:color="000000" w:sz="4" w:space="0"/>
              <w:right w:val="single" w:color="000000" w:sz="4" w:space="0"/>
            </w:tcBorders>
            <w:vAlign w:val="center"/>
          </w:tcPr>
          <w:p w14:paraId="07DB7406">
            <w:pPr>
              <w:widowControl/>
              <w:jc w:val="left"/>
              <w:rPr>
                <w:rFonts w:ascii="宋体" w:hAnsi="宋体" w:cs="宋体"/>
                <w:color w:val="auto"/>
                <w:sz w:val="24"/>
                <w:highlight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EAAA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环渚街道</w:t>
            </w:r>
          </w:p>
        </w:tc>
        <w:tc>
          <w:tcPr>
            <w:tcW w:w="7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CBA9D">
            <w:pPr>
              <w:jc w:val="center"/>
              <w:rPr>
                <w:rFonts w:ascii="宋体" w:hAnsi="宋体" w:cs="宋体"/>
                <w:color w:val="auto"/>
                <w:sz w:val="24"/>
                <w:highlight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8B23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577E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8EA0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B56D4">
            <w:pPr>
              <w:jc w:val="center"/>
              <w:rPr>
                <w:rFonts w:ascii="宋体" w:hAnsi="宋体" w:cs="宋体"/>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D299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CF5B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0</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EE0D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64</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C435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86.4</w:t>
            </w:r>
          </w:p>
        </w:tc>
        <w:tc>
          <w:tcPr>
            <w:tcW w:w="1679" w:type="dxa"/>
            <w:vMerge w:val="continue"/>
            <w:tcBorders>
              <w:top w:val="single" w:color="000000" w:sz="4" w:space="0"/>
              <w:left w:val="single" w:color="000000" w:sz="4" w:space="0"/>
              <w:bottom w:val="single" w:color="000000" w:sz="4" w:space="0"/>
              <w:right w:val="single" w:color="000000" w:sz="4" w:space="0"/>
            </w:tcBorders>
            <w:vAlign w:val="center"/>
          </w:tcPr>
          <w:p w14:paraId="129BD6D1">
            <w:pPr>
              <w:widowControl/>
              <w:jc w:val="left"/>
              <w:rPr>
                <w:rFonts w:ascii="宋体" w:hAnsi="宋体" w:cs="宋体"/>
                <w:color w:val="auto"/>
                <w:sz w:val="24"/>
                <w:highlight w:val="none"/>
              </w:rPr>
            </w:pPr>
          </w:p>
        </w:tc>
        <w:tc>
          <w:tcPr>
            <w:tcW w:w="2044" w:type="dxa"/>
            <w:vMerge w:val="continue"/>
            <w:tcBorders>
              <w:top w:val="single" w:color="000000" w:sz="4" w:space="0"/>
              <w:left w:val="single" w:color="000000" w:sz="4" w:space="0"/>
              <w:bottom w:val="single" w:color="000000" w:sz="4" w:space="0"/>
              <w:right w:val="single" w:color="000000" w:sz="4" w:space="0"/>
            </w:tcBorders>
            <w:vAlign w:val="center"/>
          </w:tcPr>
          <w:p w14:paraId="1F78D53D">
            <w:pPr>
              <w:widowControl/>
              <w:jc w:val="left"/>
              <w:rPr>
                <w:rFonts w:ascii="宋体" w:hAnsi="宋体" w:cs="宋体"/>
                <w:color w:val="auto"/>
                <w:sz w:val="24"/>
                <w:highlight w:val="none"/>
              </w:rPr>
            </w:pPr>
          </w:p>
        </w:tc>
      </w:tr>
      <w:tr w14:paraId="050C2F56">
        <w:tblPrEx>
          <w:tblCellMar>
            <w:top w:w="0" w:type="dxa"/>
            <w:left w:w="108" w:type="dxa"/>
            <w:bottom w:w="0" w:type="dxa"/>
            <w:right w:w="108" w:type="dxa"/>
          </w:tblCellMar>
        </w:tblPrEx>
        <w:trPr>
          <w:trHeight w:val="441" w:hRule="exact"/>
        </w:trPr>
        <w:tc>
          <w:tcPr>
            <w:tcW w:w="219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B4A3F">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合计</w:t>
            </w:r>
          </w:p>
        </w:tc>
        <w:tc>
          <w:tcPr>
            <w:tcW w:w="7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0559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BA0A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108</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96CF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50</w:t>
            </w: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58EE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19</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34CC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114E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D3AF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588F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840</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0CDF9">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1134</w:t>
            </w:r>
          </w:p>
        </w:tc>
        <w:tc>
          <w:tcPr>
            <w:tcW w:w="16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F44E6">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1976</w:t>
            </w:r>
          </w:p>
        </w:tc>
        <w:tc>
          <w:tcPr>
            <w:tcW w:w="20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A3EF6">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5928</w:t>
            </w:r>
          </w:p>
        </w:tc>
      </w:tr>
    </w:tbl>
    <w:p w14:paraId="0A9ECEEF">
      <w:pPr>
        <w:rPr>
          <w:color w:val="auto"/>
          <w:highlight w:val="none"/>
        </w:rPr>
      </w:pPr>
    </w:p>
    <w:p w14:paraId="624E3189">
      <w:pPr>
        <w:pStyle w:val="11"/>
        <w:rPr>
          <w:color w:val="auto"/>
          <w:highlight w:val="none"/>
        </w:rPr>
      </w:pPr>
    </w:p>
    <w:p w14:paraId="67D1F88A">
      <w:pPr>
        <w:pStyle w:val="11"/>
        <w:rPr>
          <w:color w:val="auto"/>
          <w:highlight w:val="none"/>
        </w:rPr>
        <w:sectPr>
          <w:pgSz w:w="16838" w:h="11906" w:orient="landscape"/>
          <w:pgMar w:top="1247" w:right="1361" w:bottom="1247" w:left="1361" w:header="851" w:footer="851" w:gutter="0"/>
          <w:cols w:space="720" w:num="1"/>
          <w:docGrid w:linePitch="312" w:charSpace="0"/>
        </w:sectPr>
      </w:pPr>
    </w:p>
    <w:p w14:paraId="23E8B606">
      <w:pPr>
        <w:spacing w:line="480" w:lineRule="auto"/>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六、采购需求</w:t>
      </w:r>
    </w:p>
    <w:p w14:paraId="68F13FB5">
      <w:pPr>
        <w:spacing w:line="48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（一）服务标准</w:t>
      </w:r>
    </w:p>
    <w:p w14:paraId="24FA5A4A">
      <w:pPr>
        <w:spacing w:line="48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根据《湖州居家养老服务条例》、《关于印发湖州市政府购买居家养老服务基本项目标准化服务指导清单（试行）的通知》（</w:t>
      </w:r>
      <w:r>
        <w:rPr>
          <w:rFonts w:hint="eastAsia" w:cs="仿宋" w:asciiTheme="majorEastAsia" w:hAnsiTheme="majorEastAsia" w:eastAsiaTheme="majorEastAsia"/>
          <w:color w:val="auto"/>
          <w:kern w:val="0"/>
          <w:sz w:val="24"/>
          <w:highlight w:val="none"/>
          <w:lang w:bidi="ar"/>
        </w:rPr>
        <w:t>湖民〔2023〕39 号</w:t>
      </w:r>
      <w:r>
        <w:rPr>
          <w:rFonts w:hint="eastAsia" w:cs="仿宋" w:asciiTheme="majorEastAsia" w:hAnsiTheme="majorEastAsia" w:eastAsiaTheme="majorEastAsia"/>
          <w:color w:val="auto"/>
          <w:sz w:val="24"/>
          <w:highlight w:val="none"/>
        </w:rPr>
        <w:t>）、《湖州市民政局 湖州市财政局关于完善湖州市社区居家养老服务设施建设和服务运营补助政策的通知》等文件，实施居家养老服务（照料）中心社会化运营，为辖区内有需求的老年人提供基础性服务与个性化服务。</w:t>
      </w:r>
    </w:p>
    <w:p w14:paraId="358E0C93">
      <w:pPr>
        <w:spacing w:line="48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本项目报价部分不包含基础性服务费，个性化服务费采用单价折扣方式进行报价（所有预算单价按折扣同比例下浮），供应商所报折扣在合同实施期间应保持不变，如遇相关政策调整，以最新政策为准。</w:t>
      </w:r>
    </w:p>
    <w:p w14:paraId="208C71EB">
      <w:pPr>
        <w:spacing w:line="48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结算单价=采购清单中的各项单价*折扣，费用按实际数量结算。</w:t>
      </w:r>
    </w:p>
    <w:p w14:paraId="73C5CB56">
      <w:pPr>
        <w:spacing w:line="48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如在实施期间所需服务本次招标采购清单中未列入的，价格则根据采购人市场调查后确定单价同比例下浮。</w:t>
      </w:r>
    </w:p>
    <w:p w14:paraId="62AC7A1B">
      <w:pPr>
        <w:spacing w:line="48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（注：折扣，指买卖货物时按原价的若干成计价，如按九成，叫九折或九扣（在报价中显示为90%）</w:t>
      </w:r>
    </w:p>
    <w:p w14:paraId="196C1270">
      <w:pPr>
        <w:spacing w:line="480" w:lineRule="auto"/>
        <w:ind w:firstLine="480" w:firstLineChars="200"/>
        <w:rPr>
          <w:rFonts w:cs="仿宋_GB2312"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具体服务标准如下：</w:t>
      </w:r>
    </w:p>
    <w:p w14:paraId="39568E74">
      <w:pPr>
        <w:ind w:firstLine="620" w:firstLineChars="200"/>
        <w:rPr>
          <w:rFonts w:ascii="仿宋_GB2312" w:hAnsi="宋体" w:eastAsia="仿宋_GB2312" w:cs="仿宋_GB2312"/>
          <w:color w:val="auto"/>
          <w:sz w:val="31"/>
          <w:szCs w:val="31"/>
          <w:highlight w:val="none"/>
        </w:rPr>
      </w:pPr>
    </w:p>
    <w:p w14:paraId="4D87BA6D">
      <w:pPr>
        <w:rPr>
          <w:color w:val="auto"/>
          <w:highlight w:val="none"/>
        </w:rPr>
        <w:sectPr>
          <w:pgSz w:w="11906" w:h="16838"/>
          <w:pgMar w:top="1361" w:right="1247" w:bottom="1361" w:left="1247" w:header="851" w:footer="851" w:gutter="0"/>
          <w:cols w:space="720" w:num="1"/>
          <w:docGrid w:linePitch="312" w:charSpace="0"/>
        </w:sectPr>
      </w:pPr>
    </w:p>
    <w:p w14:paraId="7F1430AA">
      <w:pPr>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1.吴兴区社区居家养老服务照料中心基础性服务标准</w:t>
      </w:r>
    </w:p>
    <w:tbl>
      <w:tblPr>
        <w:tblStyle w:val="27"/>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2294"/>
        <w:gridCol w:w="9040"/>
        <w:gridCol w:w="1227"/>
      </w:tblGrid>
      <w:tr w14:paraId="08851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258" w:type="dxa"/>
            <w:noWrap/>
            <w:vAlign w:val="center"/>
          </w:tcPr>
          <w:p w14:paraId="7B48359C">
            <w:pPr>
              <w:jc w:val="center"/>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设施等级</w:t>
            </w:r>
          </w:p>
        </w:tc>
        <w:tc>
          <w:tcPr>
            <w:tcW w:w="11334" w:type="dxa"/>
            <w:gridSpan w:val="2"/>
            <w:noWrap/>
            <w:vAlign w:val="center"/>
          </w:tcPr>
          <w:p w14:paraId="7200F591">
            <w:pPr>
              <w:jc w:val="center"/>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基础性服务标准</w:t>
            </w:r>
          </w:p>
        </w:tc>
        <w:tc>
          <w:tcPr>
            <w:tcW w:w="1227" w:type="dxa"/>
            <w:vMerge w:val="restart"/>
            <w:noWrap/>
            <w:vAlign w:val="center"/>
          </w:tcPr>
          <w:p w14:paraId="0B016F81">
            <w:pPr>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bCs/>
                <w:color w:val="auto"/>
                <w:sz w:val="24"/>
                <w:highlight w:val="none"/>
              </w:rPr>
              <w:t>总分</w:t>
            </w:r>
          </w:p>
        </w:tc>
      </w:tr>
      <w:tr w14:paraId="0CB0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258" w:type="dxa"/>
            <w:noWrap/>
            <w:vAlign w:val="center"/>
          </w:tcPr>
          <w:p w14:paraId="25974CEA">
            <w:pPr>
              <w:jc w:val="center"/>
              <w:rPr>
                <w:rFonts w:cs="仿宋" w:asciiTheme="majorEastAsia" w:hAnsiTheme="majorEastAsia" w:eastAsiaTheme="majorEastAsia"/>
                <w:b/>
                <w:bCs/>
                <w:color w:val="auto"/>
                <w:sz w:val="24"/>
                <w:highlight w:val="none"/>
              </w:rPr>
            </w:pPr>
          </w:p>
        </w:tc>
        <w:tc>
          <w:tcPr>
            <w:tcW w:w="2294" w:type="dxa"/>
            <w:noWrap/>
            <w:vAlign w:val="center"/>
          </w:tcPr>
          <w:p w14:paraId="40B35F10">
            <w:pPr>
              <w:jc w:val="center"/>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统筹服务</w:t>
            </w:r>
          </w:p>
        </w:tc>
        <w:tc>
          <w:tcPr>
            <w:tcW w:w="9040" w:type="dxa"/>
            <w:noWrap/>
            <w:vAlign w:val="center"/>
          </w:tcPr>
          <w:p w14:paraId="6B0BA4BC">
            <w:pPr>
              <w:jc w:val="center"/>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差异服务</w:t>
            </w:r>
          </w:p>
        </w:tc>
        <w:tc>
          <w:tcPr>
            <w:tcW w:w="1227" w:type="dxa"/>
            <w:vMerge w:val="continue"/>
            <w:noWrap/>
            <w:vAlign w:val="center"/>
          </w:tcPr>
          <w:p w14:paraId="6762BBD6">
            <w:pPr>
              <w:jc w:val="center"/>
              <w:rPr>
                <w:rFonts w:cs="仿宋" w:asciiTheme="majorEastAsia" w:hAnsiTheme="majorEastAsia" w:eastAsiaTheme="majorEastAsia"/>
                <w:color w:val="auto"/>
                <w:sz w:val="24"/>
                <w:highlight w:val="none"/>
              </w:rPr>
            </w:pPr>
          </w:p>
        </w:tc>
      </w:tr>
      <w:tr w14:paraId="7B90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8" w:type="dxa"/>
            <w:noWrap/>
            <w:vAlign w:val="center"/>
          </w:tcPr>
          <w:p w14:paraId="274A6ED2">
            <w:pPr>
              <w:spacing w:line="280" w:lineRule="exact"/>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1A</w:t>
            </w:r>
          </w:p>
        </w:tc>
        <w:tc>
          <w:tcPr>
            <w:tcW w:w="2294" w:type="dxa"/>
            <w:vMerge w:val="restart"/>
            <w:noWrap/>
            <w:vAlign w:val="center"/>
          </w:tcPr>
          <w:p w14:paraId="75417DFD">
            <w:pPr>
              <w:autoSpaceDN w:val="0"/>
              <w:spacing w:line="280" w:lineRule="exact"/>
              <w:textAlignment w:val="center"/>
              <w:rPr>
                <w:rFonts w:cs="仿宋" w:asciiTheme="majorEastAsia" w:hAnsiTheme="majorEastAsia" w:eastAsiaTheme="majorEastAsia"/>
                <w:b/>
                <w:bCs/>
                <w:color w:val="auto"/>
                <w:sz w:val="24"/>
                <w:highlight w:val="none"/>
              </w:rPr>
            </w:pPr>
          </w:p>
          <w:p w14:paraId="691C469D">
            <w:pPr>
              <w:autoSpaceDN w:val="0"/>
              <w:spacing w:line="280" w:lineRule="exact"/>
              <w:textAlignment w:val="center"/>
              <w:rPr>
                <w:rFonts w:cs="仿宋" w:asciiTheme="majorEastAsia" w:hAnsiTheme="majorEastAsia" w:eastAsiaTheme="majorEastAsia"/>
                <w:b/>
                <w:bCs/>
                <w:color w:val="auto"/>
                <w:sz w:val="24"/>
                <w:highlight w:val="none"/>
              </w:rPr>
            </w:pPr>
          </w:p>
          <w:p w14:paraId="01317C99">
            <w:pPr>
              <w:autoSpaceDN w:val="0"/>
              <w:spacing w:line="280" w:lineRule="exact"/>
              <w:textAlignment w:val="center"/>
              <w:rPr>
                <w:rFonts w:cs="仿宋" w:asciiTheme="majorEastAsia" w:hAnsiTheme="majorEastAsia" w:eastAsiaTheme="majorEastAsia"/>
                <w:b/>
                <w:bCs/>
                <w:color w:val="auto"/>
                <w:sz w:val="24"/>
                <w:highlight w:val="none"/>
              </w:rPr>
            </w:pPr>
          </w:p>
          <w:p w14:paraId="0DDF68F8">
            <w:pPr>
              <w:autoSpaceDN w:val="0"/>
              <w:spacing w:line="280" w:lineRule="exact"/>
              <w:textAlignment w:val="center"/>
              <w:rPr>
                <w:rFonts w:cs="仿宋" w:asciiTheme="majorEastAsia" w:hAnsiTheme="majorEastAsia" w:eastAsiaTheme="majorEastAsia"/>
                <w:b/>
                <w:bCs/>
                <w:color w:val="auto"/>
                <w:sz w:val="24"/>
                <w:highlight w:val="none"/>
              </w:rPr>
            </w:pPr>
          </w:p>
          <w:p w14:paraId="7818DD08">
            <w:pPr>
              <w:autoSpaceDN w:val="0"/>
              <w:spacing w:line="280" w:lineRule="exact"/>
              <w:textAlignment w:val="center"/>
              <w:rPr>
                <w:rFonts w:cs="仿宋" w:asciiTheme="majorEastAsia" w:hAnsiTheme="majorEastAsia" w:eastAsiaTheme="majorEastAsia"/>
                <w:b/>
                <w:bCs/>
                <w:color w:val="auto"/>
                <w:sz w:val="24"/>
                <w:highlight w:val="none"/>
              </w:rPr>
            </w:pPr>
          </w:p>
          <w:p w14:paraId="01E55BFA">
            <w:pPr>
              <w:autoSpaceDN w:val="0"/>
              <w:spacing w:line="280" w:lineRule="exac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bCs/>
                <w:color w:val="auto"/>
                <w:sz w:val="24"/>
                <w:highlight w:val="none"/>
              </w:rPr>
              <w:t>1.情况排摸：</w:t>
            </w:r>
            <w:r>
              <w:rPr>
                <w:rFonts w:hint="eastAsia" w:cs="仿宋" w:asciiTheme="majorEastAsia" w:hAnsiTheme="majorEastAsia" w:eastAsiaTheme="majorEastAsia"/>
                <w:color w:val="auto"/>
                <w:sz w:val="24"/>
                <w:highlight w:val="none"/>
              </w:rPr>
              <w:t>开展本辖区内除社会救助探访关爱老年人之外的老年人基本信息采集和摸底调查工作，每年不少于1次</w:t>
            </w:r>
            <w:r>
              <w:rPr>
                <w:rFonts w:hint="eastAsia" w:cs="仿宋" w:asciiTheme="majorEastAsia" w:hAnsiTheme="majorEastAsia" w:eastAsiaTheme="majorEastAsia"/>
                <w:b/>
                <w:bCs/>
                <w:color w:val="auto"/>
                <w:sz w:val="24"/>
                <w:highlight w:val="none"/>
              </w:rPr>
              <w:t>（10分）</w:t>
            </w:r>
            <w:r>
              <w:rPr>
                <w:rFonts w:hint="eastAsia" w:cs="仿宋" w:asciiTheme="majorEastAsia" w:hAnsiTheme="majorEastAsia" w:eastAsiaTheme="majorEastAsia"/>
                <w:color w:val="auto"/>
                <w:sz w:val="24"/>
                <w:highlight w:val="none"/>
              </w:rPr>
              <w:t>；</w:t>
            </w:r>
          </w:p>
          <w:p w14:paraId="09F8F68D">
            <w:pPr>
              <w:autoSpaceDN w:val="0"/>
              <w:spacing w:line="280" w:lineRule="exact"/>
              <w:textAlignment w:val="center"/>
              <w:rPr>
                <w:rFonts w:cs="仿宋" w:asciiTheme="majorEastAsia" w:hAnsiTheme="majorEastAsia" w:eastAsiaTheme="majorEastAsia"/>
                <w:b/>
                <w:bCs/>
                <w:color w:val="auto"/>
                <w:sz w:val="24"/>
                <w:highlight w:val="none"/>
              </w:rPr>
            </w:pPr>
          </w:p>
          <w:p w14:paraId="6FA918B5">
            <w:pPr>
              <w:autoSpaceDN w:val="0"/>
              <w:spacing w:line="280" w:lineRule="exact"/>
              <w:textAlignment w:val="center"/>
              <w:rPr>
                <w:rFonts w:cs="仿宋" w:asciiTheme="majorEastAsia" w:hAnsiTheme="majorEastAsia" w:eastAsiaTheme="majorEastAsia"/>
                <w:b/>
                <w:bCs/>
                <w:color w:val="auto"/>
                <w:sz w:val="24"/>
                <w:highlight w:val="none"/>
              </w:rPr>
            </w:pPr>
          </w:p>
          <w:p w14:paraId="0F3F667B">
            <w:pPr>
              <w:autoSpaceDN w:val="0"/>
              <w:spacing w:line="280" w:lineRule="exact"/>
              <w:textAlignment w:val="center"/>
              <w:rPr>
                <w:rFonts w:cs="仿宋" w:asciiTheme="majorEastAsia" w:hAnsiTheme="majorEastAsia" w:eastAsiaTheme="majorEastAsia"/>
                <w:b/>
                <w:bCs/>
                <w:color w:val="auto"/>
                <w:sz w:val="24"/>
                <w:highlight w:val="none"/>
              </w:rPr>
            </w:pPr>
          </w:p>
          <w:p w14:paraId="1DD9FA68">
            <w:pPr>
              <w:autoSpaceDN w:val="0"/>
              <w:spacing w:line="280" w:lineRule="exact"/>
              <w:textAlignment w:val="center"/>
              <w:rPr>
                <w:rFonts w:cs="仿宋" w:asciiTheme="majorEastAsia" w:hAnsiTheme="majorEastAsia" w:eastAsiaTheme="majorEastAsia"/>
                <w:b/>
                <w:bCs/>
                <w:color w:val="auto"/>
                <w:sz w:val="24"/>
                <w:highlight w:val="none"/>
              </w:rPr>
            </w:pPr>
          </w:p>
          <w:p w14:paraId="2C573A03">
            <w:pPr>
              <w:autoSpaceDN w:val="0"/>
              <w:spacing w:line="280" w:lineRule="exact"/>
              <w:textAlignment w:val="center"/>
              <w:rPr>
                <w:rFonts w:cs="仿宋" w:asciiTheme="majorEastAsia" w:hAnsiTheme="majorEastAsia" w:eastAsiaTheme="majorEastAsia"/>
                <w:b/>
                <w:bCs/>
                <w:color w:val="auto"/>
                <w:sz w:val="24"/>
                <w:highlight w:val="none"/>
              </w:rPr>
            </w:pPr>
          </w:p>
          <w:p w14:paraId="46686A19">
            <w:pPr>
              <w:autoSpaceDN w:val="0"/>
              <w:spacing w:line="280" w:lineRule="exact"/>
              <w:textAlignment w:val="center"/>
              <w:rPr>
                <w:rFonts w:cs="仿宋" w:asciiTheme="majorEastAsia" w:hAnsiTheme="majorEastAsia" w:eastAsiaTheme="majorEastAsia"/>
                <w:b/>
                <w:bCs/>
                <w:color w:val="auto"/>
                <w:sz w:val="24"/>
                <w:highlight w:val="none"/>
              </w:rPr>
            </w:pPr>
          </w:p>
          <w:p w14:paraId="64BEF9D0">
            <w:pPr>
              <w:autoSpaceDN w:val="0"/>
              <w:spacing w:line="280" w:lineRule="exact"/>
              <w:textAlignment w:val="center"/>
              <w:rPr>
                <w:rFonts w:cs="仿宋" w:asciiTheme="majorEastAsia" w:hAnsiTheme="majorEastAsia" w:eastAsiaTheme="majorEastAsia"/>
                <w:b/>
                <w:bCs/>
                <w:color w:val="auto"/>
                <w:sz w:val="24"/>
                <w:highlight w:val="none"/>
              </w:rPr>
            </w:pPr>
          </w:p>
          <w:p w14:paraId="7044D7D4">
            <w:pPr>
              <w:autoSpaceDN w:val="0"/>
              <w:spacing w:line="280" w:lineRule="exact"/>
              <w:textAlignment w:val="center"/>
              <w:rPr>
                <w:rFonts w:asciiTheme="majorEastAsia" w:hAnsiTheme="majorEastAsia" w:eastAsiaTheme="majorEastAsia"/>
                <w:color w:val="auto"/>
                <w:sz w:val="24"/>
                <w:highlight w:val="none"/>
              </w:rPr>
            </w:pPr>
            <w:r>
              <w:rPr>
                <w:rFonts w:hint="eastAsia" w:cs="仿宋" w:asciiTheme="majorEastAsia" w:hAnsiTheme="majorEastAsia" w:eastAsiaTheme="majorEastAsia"/>
                <w:b/>
                <w:bCs/>
                <w:color w:val="auto"/>
                <w:sz w:val="24"/>
                <w:highlight w:val="none"/>
              </w:rPr>
              <w:t>2.探访慰问：</w:t>
            </w:r>
            <w:r>
              <w:rPr>
                <w:rFonts w:hint="eastAsia" w:cs="仿宋" w:asciiTheme="majorEastAsia" w:hAnsiTheme="majorEastAsia" w:eastAsiaTheme="majorEastAsia"/>
                <w:color w:val="auto"/>
                <w:sz w:val="24"/>
                <w:highlight w:val="none"/>
              </w:rPr>
              <w:t>以乡镇（街道）为单位统筹安排，对辖区内除社会救助探访关爱老年人之外的独居、孤寡、高龄等老年人上门探访慰问，其中失能失智的独居、孤寡老年人每人每周不少于1次；失能失智的高龄老年人和能力完好的独居、孤寡老年人每人每月不少于1次；能力完好的高龄老年人每人每季度不少于1次，名单由乡镇街道提供。</w:t>
            </w:r>
            <w:r>
              <w:rPr>
                <w:rFonts w:hint="eastAsia" w:cs="仿宋" w:asciiTheme="majorEastAsia" w:hAnsiTheme="majorEastAsia" w:eastAsiaTheme="majorEastAsia"/>
                <w:b/>
                <w:bCs/>
                <w:color w:val="auto"/>
                <w:sz w:val="24"/>
                <w:highlight w:val="none"/>
              </w:rPr>
              <w:t>（20分，每少1人次扣0.1分）</w:t>
            </w:r>
            <w:r>
              <w:rPr>
                <w:rFonts w:hint="eastAsia" w:cs="仿宋" w:asciiTheme="majorEastAsia" w:hAnsiTheme="majorEastAsia" w:eastAsiaTheme="majorEastAsia"/>
                <w:color w:val="auto"/>
                <w:sz w:val="24"/>
                <w:highlight w:val="none"/>
              </w:rPr>
              <w:t>。</w:t>
            </w:r>
          </w:p>
          <w:p w14:paraId="3D511179">
            <w:pPr>
              <w:autoSpaceDN w:val="0"/>
              <w:spacing w:line="280" w:lineRule="exac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bCs/>
                <w:color w:val="auto"/>
                <w:sz w:val="24"/>
                <w:highlight w:val="none"/>
              </w:rPr>
              <w:t>小计30分</w:t>
            </w:r>
          </w:p>
        </w:tc>
        <w:tc>
          <w:tcPr>
            <w:tcW w:w="9040" w:type="dxa"/>
            <w:noWrap/>
          </w:tcPr>
          <w:p w14:paraId="2A2AD24F">
            <w:pPr>
              <w:autoSpaceDN w:val="0"/>
              <w:spacing w:line="280" w:lineRule="exac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bCs/>
                <w:color w:val="auto"/>
                <w:sz w:val="24"/>
                <w:highlight w:val="none"/>
              </w:rPr>
              <w:t>1.集中服务</w:t>
            </w:r>
            <w:r>
              <w:rPr>
                <w:rFonts w:hint="eastAsia" w:cs="仿宋" w:asciiTheme="majorEastAsia" w:hAnsiTheme="majorEastAsia" w:eastAsiaTheme="majorEastAsia"/>
                <w:color w:val="auto"/>
                <w:sz w:val="24"/>
                <w:highlight w:val="none"/>
              </w:rPr>
              <w:t>：在公共区域提供理发、修剪指甲等个人卫生服务；家电修理、缝补等家政服务；健康、心理、法律等咨询服务，每年度不少于6次</w:t>
            </w:r>
            <w:r>
              <w:rPr>
                <w:rFonts w:hint="eastAsia" w:cs="仿宋" w:asciiTheme="majorEastAsia" w:hAnsiTheme="majorEastAsia" w:eastAsiaTheme="majorEastAsia"/>
                <w:b/>
                <w:bCs/>
                <w:color w:val="auto"/>
                <w:sz w:val="24"/>
                <w:highlight w:val="none"/>
              </w:rPr>
              <w:t>（12分，每少1次扣2分）</w:t>
            </w:r>
            <w:r>
              <w:rPr>
                <w:rFonts w:hint="eastAsia" w:cs="仿宋" w:asciiTheme="majorEastAsia" w:hAnsiTheme="majorEastAsia" w:eastAsiaTheme="majorEastAsia"/>
                <w:color w:val="auto"/>
                <w:sz w:val="24"/>
                <w:highlight w:val="none"/>
              </w:rPr>
              <w:t>；</w:t>
            </w:r>
          </w:p>
          <w:p w14:paraId="7882146D">
            <w:pPr>
              <w:autoSpaceDN w:val="0"/>
              <w:spacing w:line="280" w:lineRule="exact"/>
              <w:textAlignment w:val="center"/>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2.日常活动</w:t>
            </w:r>
            <w:r>
              <w:rPr>
                <w:rFonts w:hint="eastAsia" w:cs="仿宋" w:asciiTheme="majorEastAsia" w:hAnsiTheme="majorEastAsia" w:eastAsiaTheme="majorEastAsia"/>
                <w:color w:val="auto"/>
                <w:sz w:val="24"/>
                <w:highlight w:val="none"/>
              </w:rPr>
              <w:t>：开展有关安全防护（防诈骗、居家消防安全、用电用气安全、食品药品安全等）；提供健康促进（养生保健、传染病预防、慢性病防治等）、数字智能生活（手机、家电、网络应用等）、文体艺术（体育运动类、文学艺术类、编制手工类等）等培训指导，每年度不少于6次</w:t>
            </w:r>
            <w:r>
              <w:rPr>
                <w:rFonts w:hint="eastAsia" w:cs="仿宋" w:asciiTheme="majorEastAsia" w:hAnsiTheme="majorEastAsia" w:eastAsiaTheme="majorEastAsia"/>
                <w:b/>
                <w:bCs/>
                <w:color w:val="auto"/>
                <w:sz w:val="24"/>
                <w:highlight w:val="none"/>
              </w:rPr>
              <w:t>（12分，每少1次扣2分）；</w:t>
            </w:r>
          </w:p>
          <w:p w14:paraId="1FDA4804">
            <w:pPr>
              <w:autoSpaceDN w:val="0"/>
              <w:spacing w:line="280" w:lineRule="exact"/>
              <w:textAlignment w:val="center"/>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3.节庆活动：</w:t>
            </w:r>
            <w:r>
              <w:rPr>
                <w:rFonts w:hint="eastAsia" w:cs="仿宋" w:asciiTheme="majorEastAsia" w:hAnsiTheme="majorEastAsia" w:eastAsiaTheme="majorEastAsia"/>
                <w:color w:val="auto"/>
                <w:sz w:val="24"/>
                <w:highlight w:val="none"/>
              </w:rPr>
              <w:t>结合传统节日（如元旦、春节、元宵节、端午节、中秋节、重阳节等）或当地文化习俗开展节庆活动，每年不少于4次</w:t>
            </w:r>
            <w:r>
              <w:rPr>
                <w:rFonts w:hint="eastAsia" w:cs="仿宋" w:asciiTheme="majorEastAsia" w:hAnsiTheme="majorEastAsia" w:eastAsiaTheme="majorEastAsia"/>
                <w:b/>
                <w:bCs/>
                <w:color w:val="auto"/>
                <w:sz w:val="24"/>
                <w:highlight w:val="none"/>
              </w:rPr>
              <w:t>（16分，每少1次扣4分）。</w:t>
            </w:r>
          </w:p>
          <w:p w14:paraId="51248F74">
            <w:pPr>
              <w:autoSpaceDN w:val="0"/>
              <w:spacing w:line="320" w:lineRule="exac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bCs/>
                <w:color w:val="auto"/>
                <w:sz w:val="24"/>
                <w:highlight w:val="none"/>
              </w:rPr>
              <w:t>小计：40分</w:t>
            </w:r>
          </w:p>
        </w:tc>
        <w:tc>
          <w:tcPr>
            <w:tcW w:w="1227" w:type="dxa"/>
            <w:noWrap/>
            <w:vAlign w:val="center"/>
          </w:tcPr>
          <w:p w14:paraId="0CED442C">
            <w:pPr>
              <w:spacing w:line="500" w:lineRule="exact"/>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bCs/>
                <w:color w:val="auto"/>
                <w:sz w:val="24"/>
                <w:highlight w:val="none"/>
              </w:rPr>
              <w:t>70分</w:t>
            </w:r>
          </w:p>
        </w:tc>
      </w:tr>
      <w:tr w14:paraId="68D2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trPr>
        <w:tc>
          <w:tcPr>
            <w:tcW w:w="1258" w:type="dxa"/>
            <w:noWrap/>
            <w:vAlign w:val="center"/>
          </w:tcPr>
          <w:p w14:paraId="0FADD266">
            <w:pPr>
              <w:spacing w:line="280" w:lineRule="exact"/>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2A</w:t>
            </w:r>
          </w:p>
        </w:tc>
        <w:tc>
          <w:tcPr>
            <w:tcW w:w="2294" w:type="dxa"/>
            <w:vMerge w:val="continue"/>
            <w:noWrap/>
          </w:tcPr>
          <w:p w14:paraId="39FF5E04">
            <w:pPr>
              <w:spacing w:line="280" w:lineRule="exact"/>
              <w:rPr>
                <w:rFonts w:cs="仿宋" w:asciiTheme="majorEastAsia" w:hAnsiTheme="majorEastAsia" w:eastAsiaTheme="majorEastAsia"/>
                <w:color w:val="auto"/>
                <w:sz w:val="24"/>
                <w:highlight w:val="none"/>
              </w:rPr>
            </w:pPr>
          </w:p>
        </w:tc>
        <w:tc>
          <w:tcPr>
            <w:tcW w:w="9040" w:type="dxa"/>
            <w:noWrap/>
          </w:tcPr>
          <w:p w14:paraId="7FD2DF7B">
            <w:pPr>
              <w:spacing w:line="280" w:lineRule="exact"/>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1.集中服务</w:t>
            </w:r>
            <w:r>
              <w:rPr>
                <w:rFonts w:hint="eastAsia" w:cs="仿宋" w:asciiTheme="majorEastAsia" w:hAnsiTheme="majorEastAsia" w:eastAsiaTheme="majorEastAsia"/>
                <w:color w:val="auto"/>
                <w:sz w:val="24"/>
                <w:highlight w:val="none"/>
              </w:rPr>
              <w:t>：在公共区域提供理发、修剪指甲等个人卫生服务；家电修理、缝补等家政服务；健康、心理、法律等咨询服务，每年度不少于8次</w:t>
            </w:r>
            <w:r>
              <w:rPr>
                <w:rFonts w:hint="eastAsia" w:cs="仿宋" w:asciiTheme="majorEastAsia" w:hAnsiTheme="majorEastAsia" w:eastAsiaTheme="majorEastAsia"/>
                <w:b/>
                <w:bCs/>
                <w:color w:val="auto"/>
                <w:sz w:val="24"/>
                <w:highlight w:val="none"/>
              </w:rPr>
              <w:t>（16分，每少1次扣2分）；</w:t>
            </w:r>
          </w:p>
          <w:p w14:paraId="21EBDFFF">
            <w:pPr>
              <w:spacing w:line="280" w:lineRule="exact"/>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2.日常活动</w:t>
            </w:r>
            <w:r>
              <w:rPr>
                <w:rFonts w:hint="eastAsia" w:cs="仿宋" w:asciiTheme="majorEastAsia" w:hAnsiTheme="majorEastAsia" w:eastAsiaTheme="majorEastAsia"/>
                <w:color w:val="auto"/>
                <w:sz w:val="24"/>
                <w:highlight w:val="none"/>
              </w:rPr>
              <w:t>：开展有关安全防护（防诈骗、居家消防安全、用电用气安全、食品药品安全等）；提供健康促进（养生保健、传染病预防、慢性病防治等）、数字智能生活（手机、家电、网络应用等）、文体艺术（体育运动类、文学艺术类、编制手工类等）等培训指导，每年度不少于8次</w:t>
            </w:r>
            <w:r>
              <w:rPr>
                <w:rFonts w:hint="eastAsia" w:cs="仿宋" w:asciiTheme="majorEastAsia" w:hAnsiTheme="majorEastAsia" w:eastAsiaTheme="majorEastAsia"/>
                <w:b/>
                <w:bCs/>
                <w:color w:val="auto"/>
                <w:sz w:val="24"/>
                <w:highlight w:val="none"/>
              </w:rPr>
              <w:t>（16分，每少1次扣2分）；</w:t>
            </w:r>
          </w:p>
          <w:p w14:paraId="098308C2">
            <w:pPr>
              <w:spacing w:line="280" w:lineRule="exact"/>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3.节庆活动</w:t>
            </w:r>
            <w:r>
              <w:rPr>
                <w:rFonts w:hint="eastAsia" w:cs="仿宋" w:asciiTheme="majorEastAsia" w:hAnsiTheme="majorEastAsia" w:eastAsiaTheme="majorEastAsia"/>
                <w:color w:val="auto"/>
                <w:sz w:val="24"/>
                <w:highlight w:val="none"/>
              </w:rPr>
              <w:t>：结合传统节日（如元旦、春节、元宵节、端午节、中秋节、重阳节等）或当地文化习俗开展节庆活动，每年不少于4次</w:t>
            </w:r>
            <w:r>
              <w:rPr>
                <w:rFonts w:hint="eastAsia" w:cs="仿宋" w:asciiTheme="majorEastAsia" w:hAnsiTheme="majorEastAsia" w:eastAsiaTheme="majorEastAsia"/>
                <w:b/>
                <w:bCs/>
                <w:color w:val="auto"/>
                <w:sz w:val="24"/>
                <w:highlight w:val="none"/>
              </w:rPr>
              <w:t>（16分，每少1次扣4分）；</w:t>
            </w:r>
          </w:p>
          <w:p w14:paraId="1DD89A10">
            <w:pPr>
              <w:spacing w:line="28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bCs/>
                <w:color w:val="auto"/>
                <w:sz w:val="24"/>
                <w:highlight w:val="none"/>
              </w:rPr>
              <w:t>4.康养服务</w:t>
            </w:r>
            <w:r>
              <w:rPr>
                <w:rFonts w:hint="eastAsia" w:cs="仿宋" w:asciiTheme="majorEastAsia" w:hAnsiTheme="majorEastAsia" w:eastAsiaTheme="majorEastAsia"/>
                <w:color w:val="auto"/>
                <w:sz w:val="24"/>
                <w:highlight w:val="none"/>
              </w:rPr>
              <w:t>：组织义诊、健康检查等服务，每年不少于1次</w:t>
            </w:r>
            <w:r>
              <w:rPr>
                <w:rFonts w:hint="eastAsia" w:cs="仿宋" w:asciiTheme="majorEastAsia" w:hAnsiTheme="majorEastAsia" w:eastAsiaTheme="majorEastAsia"/>
                <w:b/>
                <w:bCs/>
                <w:color w:val="auto"/>
                <w:sz w:val="24"/>
                <w:highlight w:val="none"/>
              </w:rPr>
              <w:t>（7分）；</w:t>
            </w:r>
          </w:p>
          <w:p w14:paraId="581EBC2E">
            <w:pPr>
              <w:spacing w:line="280" w:lineRule="exact"/>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5.社会工作</w:t>
            </w:r>
            <w:r>
              <w:rPr>
                <w:rFonts w:hint="eastAsia" w:cs="仿宋" w:asciiTheme="majorEastAsia" w:hAnsiTheme="majorEastAsia" w:eastAsiaTheme="majorEastAsia"/>
                <w:color w:val="auto"/>
                <w:sz w:val="24"/>
                <w:highlight w:val="none"/>
              </w:rPr>
              <w:t>：记录完整的社工服务案例不少于1个（个案或小组、社区）</w:t>
            </w:r>
            <w:r>
              <w:rPr>
                <w:rFonts w:hint="eastAsia" w:cs="仿宋" w:asciiTheme="majorEastAsia" w:hAnsiTheme="majorEastAsia" w:eastAsiaTheme="majorEastAsia"/>
                <w:b/>
                <w:bCs/>
                <w:color w:val="auto"/>
                <w:sz w:val="24"/>
                <w:highlight w:val="none"/>
              </w:rPr>
              <w:t>（5分，无案例扣5分，记录不完整扣1-5分）。</w:t>
            </w:r>
          </w:p>
          <w:p w14:paraId="05D49D17">
            <w:pPr>
              <w:spacing w:line="32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bCs/>
                <w:color w:val="auto"/>
                <w:sz w:val="24"/>
                <w:highlight w:val="none"/>
              </w:rPr>
              <w:t>小计：60分</w:t>
            </w:r>
          </w:p>
        </w:tc>
        <w:tc>
          <w:tcPr>
            <w:tcW w:w="1227" w:type="dxa"/>
            <w:noWrap/>
            <w:vAlign w:val="center"/>
          </w:tcPr>
          <w:p w14:paraId="38B43231">
            <w:pPr>
              <w:autoSpaceDN w:val="0"/>
              <w:spacing w:line="500" w:lineRule="exact"/>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bCs/>
                <w:color w:val="auto"/>
                <w:sz w:val="24"/>
                <w:highlight w:val="none"/>
              </w:rPr>
              <w:t>90分</w:t>
            </w:r>
          </w:p>
        </w:tc>
      </w:tr>
      <w:tr w14:paraId="218E9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8" w:type="dxa"/>
            <w:noWrap/>
            <w:vAlign w:val="center"/>
          </w:tcPr>
          <w:p w14:paraId="0A1FC964">
            <w:pPr>
              <w:spacing w:line="280" w:lineRule="exact"/>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3A</w:t>
            </w:r>
          </w:p>
        </w:tc>
        <w:tc>
          <w:tcPr>
            <w:tcW w:w="2294" w:type="dxa"/>
            <w:vMerge w:val="continue"/>
            <w:noWrap/>
          </w:tcPr>
          <w:p w14:paraId="15D48F57">
            <w:pPr>
              <w:spacing w:line="280" w:lineRule="exact"/>
              <w:rPr>
                <w:rFonts w:cs="仿宋" w:asciiTheme="majorEastAsia" w:hAnsiTheme="majorEastAsia" w:eastAsiaTheme="majorEastAsia"/>
                <w:color w:val="auto"/>
                <w:sz w:val="24"/>
                <w:highlight w:val="none"/>
              </w:rPr>
            </w:pPr>
          </w:p>
        </w:tc>
        <w:tc>
          <w:tcPr>
            <w:tcW w:w="9040" w:type="dxa"/>
            <w:noWrap/>
            <w:vAlign w:val="center"/>
          </w:tcPr>
          <w:p w14:paraId="6965479D">
            <w:pPr>
              <w:spacing w:line="280" w:lineRule="exact"/>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1.集中服务</w:t>
            </w:r>
            <w:r>
              <w:rPr>
                <w:rFonts w:hint="eastAsia" w:cs="仿宋" w:asciiTheme="majorEastAsia" w:hAnsiTheme="majorEastAsia" w:eastAsiaTheme="majorEastAsia"/>
                <w:color w:val="auto"/>
                <w:sz w:val="24"/>
                <w:highlight w:val="none"/>
              </w:rPr>
              <w:t>：在公共区域提供理发、修剪指甲等个人卫生服务；家电修理、缝补等家政服务；健康、心理、法律等咨询服务，每年度不少于10次</w:t>
            </w:r>
            <w:r>
              <w:rPr>
                <w:rFonts w:hint="eastAsia" w:cs="仿宋" w:asciiTheme="majorEastAsia" w:hAnsiTheme="majorEastAsia" w:eastAsiaTheme="majorEastAsia"/>
                <w:b/>
                <w:bCs/>
                <w:color w:val="auto"/>
                <w:sz w:val="24"/>
                <w:highlight w:val="none"/>
              </w:rPr>
              <w:t>（20分，每少1次扣2分）；</w:t>
            </w:r>
          </w:p>
          <w:p w14:paraId="56E71274">
            <w:pPr>
              <w:spacing w:line="280" w:lineRule="exact"/>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2.日常活动</w:t>
            </w:r>
            <w:r>
              <w:rPr>
                <w:rFonts w:hint="eastAsia" w:cs="仿宋" w:asciiTheme="majorEastAsia" w:hAnsiTheme="majorEastAsia" w:eastAsiaTheme="majorEastAsia"/>
                <w:color w:val="auto"/>
                <w:sz w:val="24"/>
                <w:highlight w:val="none"/>
              </w:rPr>
              <w:t>：开展有关安全防护（防诈骗、居家消防安全、用电用气安全、食品药品安全等）；提供健康促进（养生保健、传染病预防、慢性病防治等）、数字智能生活（手机、家电、网络应用等）、文体艺术（体育运动类、文学艺术类、编制手工类等）等培训指导，每年度不少于10次</w:t>
            </w:r>
            <w:r>
              <w:rPr>
                <w:rFonts w:hint="eastAsia" w:cs="仿宋" w:asciiTheme="majorEastAsia" w:hAnsiTheme="majorEastAsia" w:eastAsiaTheme="majorEastAsia"/>
                <w:b/>
                <w:bCs/>
                <w:color w:val="auto"/>
                <w:sz w:val="24"/>
                <w:highlight w:val="none"/>
              </w:rPr>
              <w:t>（20分，每少1次扣2分）；</w:t>
            </w:r>
          </w:p>
          <w:p w14:paraId="56332322">
            <w:pPr>
              <w:spacing w:line="28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bCs/>
                <w:color w:val="auto"/>
                <w:sz w:val="24"/>
                <w:highlight w:val="none"/>
              </w:rPr>
              <w:t>3.节庆活动</w:t>
            </w:r>
            <w:r>
              <w:rPr>
                <w:rFonts w:hint="eastAsia" w:cs="仿宋" w:asciiTheme="majorEastAsia" w:hAnsiTheme="majorEastAsia" w:eastAsiaTheme="majorEastAsia"/>
                <w:color w:val="auto"/>
                <w:sz w:val="24"/>
                <w:highlight w:val="none"/>
              </w:rPr>
              <w:t>：结合传统节日（如元旦、春节、元宵节、端午节、中秋节、重阳节等）或当地文化习俗开展节庆活动，每年不少于4次</w:t>
            </w:r>
            <w:r>
              <w:rPr>
                <w:rFonts w:hint="eastAsia" w:cs="仿宋" w:asciiTheme="majorEastAsia" w:hAnsiTheme="majorEastAsia" w:eastAsiaTheme="majorEastAsia"/>
                <w:b/>
                <w:bCs/>
                <w:color w:val="auto"/>
                <w:sz w:val="24"/>
                <w:highlight w:val="none"/>
              </w:rPr>
              <w:t>（16分，每少1次扣4分）；</w:t>
            </w:r>
          </w:p>
          <w:p w14:paraId="08C1A40D">
            <w:pPr>
              <w:spacing w:line="280" w:lineRule="exact"/>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4.助餐服务</w:t>
            </w:r>
            <w:r>
              <w:rPr>
                <w:rFonts w:hint="eastAsia" w:cs="仿宋" w:asciiTheme="majorEastAsia" w:hAnsiTheme="majorEastAsia" w:eastAsiaTheme="majorEastAsia"/>
                <w:color w:val="auto"/>
                <w:sz w:val="24"/>
                <w:highlight w:val="none"/>
              </w:rPr>
              <w:t>：组织日常助餐、配送餐服务，年度正常运营达250天</w:t>
            </w:r>
            <w:r>
              <w:rPr>
                <w:rFonts w:hint="eastAsia" w:cs="仿宋" w:asciiTheme="majorEastAsia" w:hAnsiTheme="majorEastAsia" w:eastAsiaTheme="majorEastAsia"/>
                <w:b/>
                <w:bCs/>
                <w:color w:val="auto"/>
                <w:sz w:val="24"/>
                <w:highlight w:val="none"/>
              </w:rPr>
              <w:t>（10分，每少10天扣0.5分），</w:t>
            </w:r>
            <w:r>
              <w:rPr>
                <w:rFonts w:hint="eastAsia" w:cs="仿宋" w:asciiTheme="majorEastAsia" w:hAnsiTheme="majorEastAsia" w:eastAsiaTheme="majorEastAsia"/>
                <w:color w:val="auto"/>
                <w:sz w:val="24"/>
                <w:highlight w:val="none"/>
              </w:rPr>
              <w:t>日均就餐达10人次</w:t>
            </w:r>
            <w:r>
              <w:rPr>
                <w:rFonts w:hint="eastAsia" w:cs="仿宋" w:asciiTheme="majorEastAsia" w:hAnsiTheme="majorEastAsia" w:eastAsiaTheme="majorEastAsia"/>
                <w:b/>
                <w:bCs/>
                <w:color w:val="auto"/>
                <w:sz w:val="24"/>
                <w:highlight w:val="none"/>
              </w:rPr>
              <w:t>（10分，每少1人次扣1分）；</w:t>
            </w:r>
          </w:p>
          <w:p w14:paraId="77E7153F">
            <w:pPr>
              <w:spacing w:line="280" w:lineRule="exact"/>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5.康养服务</w:t>
            </w:r>
            <w:r>
              <w:rPr>
                <w:rFonts w:hint="eastAsia" w:cs="仿宋" w:asciiTheme="majorEastAsia" w:hAnsiTheme="majorEastAsia" w:eastAsiaTheme="majorEastAsia"/>
                <w:color w:val="auto"/>
                <w:sz w:val="24"/>
                <w:highlight w:val="none"/>
              </w:rPr>
              <w:t>：组织义诊、健康体检等服务，每年不少于2次</w:t>
            </w:r>
            <w:r>
              <w:rPr>
                <w:rFonts w:hint="eastAsia" w:cs="仿宋" w:asciiTheme="majorEastAsia" w:hAnsiTheme="majorEastAsia" w:eastAsiaTheme="majorEastAsia"/>
                <w:b/>
                <w:bCs/>
                <w:color w:val="auto"/>
                <w:sz w:val="24"/>
                <w:highlight w:val="none"/>
              </w:rPr>
              <w:t>（14分，少1次扣7分）；</w:t>
            </w:r>
          </w:p>
          <w:p w14:paraId="0695182B">
            <w:pPr>
              <w:spacing w:line="28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bCs/>
                <w:color w:val="auto"/>
                <w:sz w:val="24"/>
                <w:highlight w:val="none"/>
              </w:rPr>
              <w:t>6</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b/>
                <w:bCs/>
                <w:color w:val="auto"/>
                <w:sz w:val="24"/>
                <w:highlight w:val="none"/>
              </w:rPr>
              <w:t>社会工作</w:t>
            </w:r>
            <w:r>
              <w:rPr>
                <w:rFonts w:hint="eastAsia" w:cs="仿宋" w:asciiTheme="majorEastAsia" w:hAnsiTheme="majorEastAsia" w:eastAsiaTheme="majorEastAsia"/>
                <w:color w:val="auto"/>
                <w:sz w:val="24"/>
                <w:highlight w:val="none"/>
              </w:rPr>
              <w:t>：记录完整的社工服务案例不少2个（个案或小组、社区）</w:t>
            </w:r>
            <w:r>
              <w:rPr>
                <w:rFonts w:hint="eastAsia" w:cs="仿宋" w:asciiTheme="majorEastAsia" w:hAnsiTheme="majorEastAsia" w:eastAsiaTheme="majorEastAsia"/>
                <w:b/>
                <w:bCs/>
                <w:color w:val="auto"/>
                <w:sz w:val="24"/>
                <w:highlight w:val="none"/>
              </w:rPr>
              <w:t>（10分，少1个扣5分，记录不完整扣1-10分）。</w:t>
            </w:r>
          </w:p>
          <w:p w14:paraId="46A5751F">
            <w:pPr>
              <w:spacing w:line="320" w:lineRule="exact"/>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小计：100分</w:t>
            </w:r>
          </w:p>
        </w:tc>
        <w:tc>
          <w:tcPr>
            <w:tcW w:w="1227" w:type="dxa"/>
            <w:noWrap/>
            <w:vAlign w:val="center"/>
          </w:tcPr>
          <w:p w14:paraId="1E85B78E">
            <w:pPr>
              <w:spacing w:line="500" w:lineRule="exact"/>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bCs/>
                <w:color w:val="auto"/>
                <w:sz w:val="24"/>
                <w:highlight w:val="none"/>
              </w:rPr>
              <w:t>130分</w:t>
            </w:r>
          </w:p>
        </w:tc>
      </w:tr>
      <w:tr w14:paraId="405D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8" w:type="dxa"/>
            <w:noWrap/>
            <w:vAlign w:val="center"/>
          </w:tcPr>
          <w:p w14:paraId="26AB7BF7">
            <w:pPr>
              <w:spacing w:line="280" w:lineRule="exact"/>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4A</w:t>
            </w:r>
          </w:p>
        </w:tc>
        <w:tc>
          <w:tcPr>
            <w:tcW w:w="2294" w:type="dxa"/>
            <w:vMerge w:val="continue"/>
            <w:noWrap/>
          </w:tcPr>
          <w:p w14:paraId="22BDFE7C">
            <w:pPr>
              <w:spacing w:line="280" w:lineRule="exact"/>
              <w:rPr>
                <w:rFonts w:cs="仿宋" w:asciiTheme="majorEastAsia" w:hAnsiTheme="majorEastAsia" w:eastAsiaTheme="majorEastAsia"/>
                <w:color w:val="auto"/>
                <w:sz w:val="24"/>
                <w:highlight w:val="none"/>
              </w:rPr>
            </w:pPr>
          </w:p>
        </w:tc>
        <w:tc>
          <w:tcPr>
            <w:tcW w:w="9040" w:type="dxa"/>
            <w:noWrap/>
          </w:tcPr>
          <w:p w14:paraId="5F889F58">
            <w:pPr>
              <w:spacing w:line="280" w:lineRule="exact"/>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1.集中服务</w:t>
            </w:r>
            <w:r>
              <w:rPr>
                <w:rFonts w:hint="eastAsia" w:cs="仿宋" w:asciiTheme="majorEastAsia" w:hAnsiTheme="majorEastAsia" w:eastAsiaTheme="majorEastAsia"/>
                <w:color w:val="auto"/>
                <w:sz w:val="24"/>
                <w:highlight w:val="none"/>
              </w:rPr>
              <w:t>：在公共区域提供理发、修剪指甲等个人卫生服务；家电修理、缝补等家政服务；健康、心理、法律等咨询服务，每年度不少于12次</w:t>
            </w:r>
            <w:r>
              <w:rPr>
                <w:rFonts w:hint="eastAsia" w:cs="仿宋" w:asciiTheme="majorEastAsia" w:hAnsiTheme="majorEastAsia" w:eastAsiaTheme="majorEastAsia"/>
                <w:b/>
                <w:bCs/>
                <w:color w:val="auto"/>
                <w:sz w:val="24"/>
                <w:highlight w:val="none"/>
              </w:rPr>
              <w:t>（24分，每少1次扣2分）；</w:t>
            </w:r>
          </w:p>
          <w:p w14:paraId="1754EDF0">
            <w:pPr>
              <w:spacing w:line="280" w:lineRule="exact"/>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2.日常活动</w:t>
            </w:r>
            <w:r>
              <w:rPr>
                <w:rFonts w:hint="eastAsia" w:cs="仿宋" w:asciiTheme="majorEastAsia" w:hAnsiTheme="majorEastAsia" w:eastAsiaTheme="majorEastAsia"/>
                <w:color w:val="auto"/>
                <w:sz w:val="24"/>
                <w:highlight w:val="none"/>
              </w:rPr>
              <w:t>：开展有关安全防护（防诈骗、居家消防安全、用电用气安全、食品药品安全等）；提供健康促进（养生保健、传染病预防、慢性病防治等）、数字智能生活（手机、家电、网络应用等）、文体艺术（体育运动类、文学艺术类、编制手工类等）等培训指导，每年度不少于12次</w:t>
            </w:r>
            <w:r>
              <w:rPr>
                <w:rFonts w:hint="eastAsia" w:cs="仿宋" w:asciiTheme="majorEastAsia" w:hAnsiTheme="majorEastAsia" w:eastAsiaTheme="majorEastAsia"/>
                <w:b/>
                <w:bCs/>
                <w:color w:val="auto"/>
                <w:sz w:val="24"/>
                <w:highlight w:val="none"/>
              </w:rPr>
              <w:t>（24分，每少1次扣2分）；</w:t>
            </w:r>
          </w:p>
          <w:p w14:paraId="6F6E477A">
            <w:pPr>
              <w:spacing w:line="280" w:lineRule="exact"/>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3.节庆活动</w:t>
            </w:r>
            <w:r>
              <w:rPr>
                <w:rFonts w:hint="eastAsia" w:cs="仿宋" w:asciiTheme="majorEastAsia" w:hAnsiTheme="majorEastAsia" w:eastAsiaTheme="majorEastAsia"/>
                <w:color w:val="auto"/>
                <w:sz w:val="24"/>
                <w:highlight w:val="none"/>
              </w:rPr>
              <w:t>：结合传统节日（如元旦、春节、元宵节、端午节、中秋节、重阳节等）或当地文化习俗开展节庆活动，或结合实际开展特定主题活动（如集体生日会、特殊纪念日等），每年不少于6次</w:t>
            </w:r>
            <w:r>
              <w:rPr>
                <w:rFonts w:hint="eastAsia" w:cs="仿宋" w:asciiTheme="majorEastAsia" w:hAnsiTheme="majorEastAsia" w:eastAsiaTheme="majorEastAsia"/>
                <w:b/>
                <w:bCs/>
                <w:color w:val="auto"/>
                <w:sz w:val="24"/>
                <w:highlight w:val="none"/>
              </w:rPr>
              <w:t>（24分，每少1次扣4分）；</w:t>
            </w:r>
          </w:p>
          <w:p w14:paraId="49C43C8C">
            <w:pPr>
              <w:spacing w:line="280" w:lineRule="exact"/>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4.助餐服务</w:t>
            </w:r>
            <w:r>
              <w:rPr>
                <w:rFonts w:hint="eastAsia" w:cs="仿宋" w:asciiTheme="majorEastAsia" w:hAnsiTheme="majorEastAsia" w:eastAsiaTheme="majorEastAsia"/>
                <w:color w:val="auto"/>
                <w:sz w:val="24"/>
                <w:highlight w:val="none"/>
              </w:rPr>
              <w:t>：组织日常助餐、配送餐服务，年度正常运营达250天</w:t>
            </w:r>
            <w:r>
              <w:rPr>
                <w:rFonts w:hint="eastAsia" w:cs="仿宋" w:asciiTheme="majorEastAsia" w:hAnsiTheme="majorEastAsia" w:eastAsiaTheme="majorEastAsia"/>
                <w:b/>
                <w:color w:val="auto"/>
                <w:sz w:val="24"/>
                <w:highlight w:val="none"/>
              </w:rPr>
              <w:t>（10分，每少10天扣0.5分），</w:t>
            </w:r>
            <w:r>
              <w:rPr>
                <w:rFonts w:hint="eastAsia" w:cs="仿宋" w:asciiTheme="majorEastAsia" w:hAnsiTheme="majorEastAsia" w:eastAsiaTheme="majorEastAsia"/>
                <w:color w:val="auto"/>
                <w:sz w:val="24"/>
                <w:highlight w:val="none"/>
              </w:rPr>
              <w:t>日均就餐达10人次</w:t>
            </w:r>
            <w:r>
              <w:rPr>
                <w:rFonts w:hint="eastAsia" w:cs="仿宋" w:asciiTheme="majorEastAsia" w:hAnsiTheme="majorEastAsia" w:eastAsiaTheme="majorEastAsia"/>
                <w:b/>
                <w:color w:val="auto"/>
                <w:sz w:val="24"/>
                <w:highlight w:val="none"/>
              </w:rPr>
              <w:t>（10分，每少1人次扣1分）</w:t>
            </w:r>
            <w:r>
              <w:rPr>
                <w:rFonts w:hint="eastAsia" w:cs="仿宋" w:asciiTheme="majorEastAsia" w:hAnsiTheme="majorEastAsia" w:eastAsiaTheme="majorEastAsia"/>
                <w:color w:val="auto"/>
                <w:sz w:val="24"/>
                <w:highlight w:val="none"/>
              </w:rPr>
              <w:t>；</w:t>
            </w:r>
          </w:p>
          <w:p w14:paraId="1BE056F1">
            <w:pPr>
              <w:spacing w:line="280" w:lineRule="exact"/>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5.康养服务</w:t>
            </w:r>
            <w:r>
              <w:rPr>
                <w:rFonts w:hint="eastAsia" w:cs="仿宋" w:asciiTheme="majorEastAsia" w:hAnsiTheme="majorEastAsia" w:eastAsiaTheme="majorEastAsia"/>
                <w:color w:val="auto"/>
                <w:sz w:val="24"/>
                <w:highlight w:val="none"/>
              </w:rPr>
              <w:t>：组织义诊、健康检查等服务，每年不少于2次</w:t>
            </w:r>
            <w:r>
              <w:rPr>
                <w:rFonts w:hint="eastAsia" w:cs="仿宋" w:asciiTheme="majorEastAsia" w:hAnsiTheme="majorEastAsia" w:eastAsiaTheme="majorEastAsia"/>
                <w:b/>
                <w:bCs/>
                <w:color w:val="auto"/>
                <w:sz w:val="24"/>
                <w:highlight w:val="none"/>
              </w:rPr>
              <w:t>（14分，少1次扣7分）；</w:t>
            </w:r>
          </w:p>
          <w:p w14:paraId="48CBA71B">
            <w:pPr>
              <w:spacing w:line="280" w:lineRule="exact"/>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6.养老顾问</w:t>
            </w:r>
            <w:r>
              <w:rPr>
                <w:rFonts w:hint="eastAsia" w:cs="仿宋" w:asciiTheme="majorEastAsia" w:hAnsiTheme="majorEastAsia" w:eastAsiaTheme="majorEastAsia"/>
                <w:color w:val="auto"/>
                <w:sz w:val="24"/>
                <w:highlight w:val="none"/>
              </w:rPr>
              <w:t>：设有专人专岗提供养老服务政策解读、养老规划咨询、链接养老服务资源等服务</w:t>
            </w:r>
            <w:r>
              <w:rPr>
                <w:rFonts w:hint="eastAsia" w:cs="仿宋" w:asciiTheme="majorEastAsia" w:hAnsiTheme="majorEastAsia" w:eastAsiaTheme="majorEastAsia"/>
                <w:b/>
                <w:bCs/>
                <w:color w:val="auto"/>
                <w:sz w:val="24"/>
                <w:highlight w:val="none"/>
              </w:rPr>
              <w:t>（14分，无专人专岗扣7分，服务记录不完善扣1-7分）；</w:t>
            </w:r>
          </w:p>
          <w:p w14:paraId="06B3901F">
            <w:pPr>
              <w:spacing w:line="280" w:lineRule="exact"/>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7.社会工作</w:t>
            </w:r>
            <w:r>
              <w:rPr>
                <w:rFonts w:hint="eastAsia" w:cs="仿宋" w:asciiTheme="majorEastAsia" w:hAnsiTheme="majorEastAsia" w:eastAsiaTheme="majorEastAsia"/>
                <w:color w:val="auto"/>
                <w:sz w:val="24"/>
                <w:highlight w:val="none"/>
              </w:rPr>
              <w:t>：记录完整的社工服务案例不少于2个（个案或小组、社区）</w:t>
            </w:r>
            <w:r>
              <w:rPr>
                <w:rFonts w:hint="eastAsia" w:cs="仿宋" w:asciiTheme="majorEastAsia" w:hAnsiTheme="majorEastAsia" w:eastAsiaTheme="majorEastAsia"/>
                <w:b/>
                <w:bCs/>
                <w:color w:val="auto"/>
                <w:sz w:val="24"/>
                <w:highlight w:val="none"/>
              </w:rPr>
              <w:t>（10分，少一个扣5分，记录不完整扣1-10分）。</w:t>
            </w:r>
          </w:p>
          <w:p w14:paraId="34509903">
            <w:pPr>
              <w:spacing w:line="32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bCs/>
                <w:color w:val="auto"/>
                <w:sz w:val="24"/>
                <w:highlight w:val="none"/>
              </w:rPr>
              <w:t>小计：130分</w:t>
            </w:r>
          </w:p>
        </w:tc>
        <w:tc>
          <w:tcPr>
            <w:tcW w:w="1227" w:type="dxa"/>
            <w:noWrap/>
            <w:vAlign w:val="center"/>
          </w:tcPr>
          <w:p w14:paraId="521C1964">
            <w:pPr>
              <w:spacing w:line="500" w:lineRule="exact"/>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bCs/>
                <w:color w:val="auto"/>
                <w:sz w:val="24"/>
                <w:highlight w:val="none"/>
              </w:rPr>
              <w:t>160分</w:t>
            </w:r>
          </w:p>
        </w:tc>
      </w:tr>
      <w:tr w14:paraId="63A6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8" w:type="dxa"/>
            <w:noWrap/>
            <w:vAlign w:val="center"/>
          </w:tcPr>
          <w:p w14:paraId="2D8E9840">
            <w:pPr>
              <w:spacing w:line="280" w:lineRule="exact"/>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5A</w:t>
            </w:r>
          </w:p>
        </w:tc>
        <w:tc>
          <w:tcPr>
            <w:tcW w:w="2294" w:type="dxa"/>
            <w:vMerge w:val="continue"/>
            <w:noWrap/>
          </w:tcPr>
          <w:p w14:paraId="64143445">
            <w:pPr>
              <w:spacing w:line="280" w:lineRule="exact"/>
              <w:rPr>
                <w:rFonts w:cs="仿宋" w:asciiTheme="majorEastAsia" w:hAnsiTheme="majorEastAsia" w:eastAsiaTheme="majorEastAsia"/>
                <w:color w:val="auto"/>
                <w:sz w:val="24"/>
                <w:highlight w:val="none"/>
              </w:rPr>
            </w:pPr>
          </w:p>
        </w:tc>
        <w:tc>
          <w:tcPr>
            <w:tcW w:w="9040" w:type="dxa"/>
            <w:noWrap/>
            <w:vAlign w:val="center"/>
          </w:tcPr>
          <w:p w14:paraId="751A5D82">
            <w:pPr>
              <w:spacing w:line="280" w:lineRule="exact"/>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1.集中服务</w:t>
            </w:r>
            <w:r>
              <w:rPr>
                <w:rFonts w:hint="eastAsia" w:cs="仿宋" w:asciiTheme="majorEastAsia" w:hAnsiTheme="majorEastAsia" w:eastAsiaTheme="majorEastAsia"/>
                <w:color w:val="auto"/>
                <w:sz w:val="24"/>
                <w:highlight w:val="none"/>
              </w:rPr>
              <w:t>：在公共区域提供理发、修剪指甲等个人卫生服务；家电修理、缝补等家政服务；健康、心理、法律等咨询服务，每年度不少于12次</w:t>
            </w:r>
            <w:r>
              <w:rPr>
                <w:rFonts w:hint="eastAsia" w:cs="仿宋" w:asciiTheme="majorEastAsia" w:hAnsiTheme="majorEastAsia" w:eastAsiaTheme="majorEastAsia"/>
                <w:b/>
                <w:bCs/>
                <w:color w:val="auto"/>
                <w:sz w:val="24"/>
                <w:highlight w:val="none"/>
              </w:rPr>
              <w:t>（24分，每少1次扣2分）；</w:t>
            </w:r>
          </w:p>
          <w:p w14:paraId="2E590E13">
            <w:pPr>
              <w:spacing w:line="280" w:lineRule="exact"/>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2.日常活动</w:t>
            </w:r>
            <w:r>
              <w:rPr>
                <w:rFonts w:hint="eastAsia" w:cs="仿宋" w:asciiTheme="majorEastAsia" w:hAnsiTheme="majorEastAsia" w:eastAsiaTheme="majorEastAsia"/>
                <w:color w:val="auto"/>
                <w:sz w:val="24"/>
                <w:highlight w:val="none"/>
              </w:rPr>
              <w:t>：开展有关安全防护（防诈骗、用电气安全、居家消防安全、食品药品安全等）；数字智能生活（手机、家电、网络应用等）、文体艺术（体育运动类、文学艺术类、编制手工类等）等培训指导、养老相关政策宣讲等培训，每年度不少于12次</w:t>
            </w:r>
            <w:r>
              <w:rPr>
                <w:rFonts w:hint="eastAsia" w:cs="仿宋" w:asciiTheme="majorEastAsia" w:hAnsiTheme="majorEastAsia" w:eastAsiaTheme="majorEastAsia"/>
                <w:b/>
                <w:bCs/>
                <w:color w:val="auto"/>
                <w:sz w:val="24"/>
                <w:highlight w:val="none"/>
              </w:rPr>
              <w:t>（24分，每少1次扣2分）；</w:t>
            </w:r>
          </w:p>
          <w:p w14:paraId="227D18CE">
            <w:pPr>
              <w:spacing w:line="28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bCs/>
                <w:color w:val="auto"/>
                <w:sz w:val="24"/>
                <w:highlight w:val="none"/>
              </w:rPr>
              <w:t>3.节庆活动</w:t>
            </w:r>
            <w:r>
              <w:rPr>
                <w:rFonts w:hint="eastAsia" w:cs="仿宋" w:asciiTheme="majorEastAsia" w:hAnsiTheme="majorEastAsia" w:eastAsiaTheme="majorEastAsia"/>
                <w:color w:val="auto"/>
                <w:sz w:val="24"/>
                <w:highlight w:val="none"/>
              </w:rPr>
              <w:t>：结合传统节日（如元旦、春节、元宵节、端午节、中秋节、重阳节等）或当地文化习俗开展节庆活动，或结合实际开展特定主题活动（如集体生日会、特殊纪念日等），或文娱拓展活动，每年不少于6次</w:t>
            </w:r>
            <w:r>
              <w:rPr>
                <w:rFonts w:hint="eastAsia" w:cs="仿宋" w:asciiTheme="majorEastAsia" w:hAnsiTheme="majorEastAsia" w:eastAsiaTheme="majorEastAsia"/>
                <w:b/>
                <w:bCs/>
                <w:color w:val="auto"/>
                <w:sz w:val="24"/>
                <w:highlight w:val="none"/>
              </w:rPr>
              <w:t>（24分，每少1次扣4分）；</w:t>
            </w:r>
          </w:p>
          <w:p w14:paraId="239AFA68">
            <w:pPr>
              <w:spacing w:line="280" w:lineRule="exact"/>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4.助餐服务</w:t>
            </w:r>
            <w:r>
              <w:rPr>
                <w:rFonts w:hint="eastAsia" w:cs="仿宋" w:asciiTheme="majorEastAsia" w:hAnsiTheme="majorEastAsia" w:eastAsiaTheme="majorEastAsia"/>
                <w:color w:val="auto"/>
                <w:sz w:val="24"/>
                <w:highlight w:val="none"/>
              </w:rPr>
              <w:t>：组织日常助餐、配送餐服务，年度正常运营达250天</w:t>
            </w:r>
            <w:r>
              <w:rPr>
                <w:rFonts w:hint="eastAsia" w:cs="仿宋" w:asciiTheme="majorEastAsia" w:hAnsiTheme="majorEastAsia" w:eastAsiaTheme="majorEastAsia"/>
                <w:b/>
                <w:bCs/>
                <w:color w:val="auto"/>
                <w:sz w:val="24"/>
                <w:highlight w:val="none"/>
              </w:rPr>
              <w:t>（10分，每少10天扣0.5分），</w:t>
            </w:r>
            <w:r>
              <w:rPr>
                <w:rFonts w:hint="eastAsia" w:cs="仿宋" w:asciiTheme="majorEastAsia" w:hAnsiTheme="majorEastAsia" w:eastAsiaTheme="majorEastAsia"/>
                <w:color w:val="auto"/>
                <w:sz w:val="24"/>
                <w:highlight w:val="none"/>
              </w:rPr>
              <w:t>日均就餐达10人次</w:t>
            </w:r>
            <w:r>
              <w:rPr>
                <w:rFonts w:hint="eastAsia" w:cs="仿宋" w:asciiTheme="majorEastAsia" w:hAnsiTheme="majorEastAsia" w:eastAsiaTheme="majorEastAsia"/>
                <w:b/>
                <w:bCs/>
                <w:color w:val="auto"/>
                <w:sz w:val="24"/>
                <w:highlight w:val="none"/>
              </w:rPr>
              <w:t>（10分，每少1人次扣1分）；</w:t>
            </w:r>
          </w:p>
          <w:p w14:paraId="3685DFB8">
            <w:pPr>
              <w:spacing w:line="28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bCs/>
                <w:color w:val="auto"/>
                <w:sz w:val="24"/>
                <w:highlight w:val="none"/>
              </w:rPr>
              <w:t>5.康养服务</w:t>
            </w:r>
            <w:r>
              <w:rPr>
                <w:rFonts w:hint="eastAsia" w:cs="仿宋" w:asciiTheme="majorEastAsia" w:hAnsiTheme="majorEastAsia" w:eastAsiaTheme="majorEastAsia"/>
                <w:color w:val="auto"/>
                <w:sz w:val="24"/>
                <w:highlight w:val="none"/>
              </w:rPr>
              <w:t>：组织义诊、健康检查等服务，每年不少于2次</w:t>
            </w:r>
            <w:r>
              <w:rPr>
                <w:rFonts w:hint="eastAsia" w:cs="仿宋" w:asciiTheme="majorEastAsia" w:hAnsiTheme="majorEastAsia" w:eastAsiaTheme="majorEastAsia"/>
                <w:b/>
                <w:bCs/>
                <w:color w:val="auto"/>
                <w:sz w:val="24"/>
                <w:highlight w:val="none"/>
              </w:rPr>
              <w:t>（14分，少1次扣7分）；</w:t>
            </w:r>
          </w:p>
          <w:p w14:paraId="725DC59A">
            <w:pPr>
              <w:spacing w:line="280" w:lineRule="exact"/>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6.养老顾问</w:t>
            </w:r>
            <w:r>
              <w:rPr>
                <w:rFonts w:hint="eastAsia" w:cs="仿宋" w:asciiTheme="majorEastAsia" w:hAnsiTheme="majorEastAsia" w:eastAsiaTheme="majorEastAsia"/>
                <w:color w:val="auto"/>
                <w:sz w:val="24"/>
                <w:highlight w:val="none"/>
              </w:rPr>
              <w:t>：设有专人专岗提供养老服务政策解读、养老规划咨询、链接养老服务资源等服务</w:t>
            </w:r>
            <w:r>
              <w:rPr>
                <w:rFonts w:hint="eastAsia" w:cs="仿宋" w:asciiTheme="majorEastAsia" w:hAnsiTheme="majorEastAsia" w:eastAsiaTheme="majorEastAsia"/>
                <w:b/>
                <w:bCs/>
                <w:color w:val="auto"/>
                <w:sz w:val="24"/>
                <w:highlight w:val="none"/>
              </w:rPr>
              <w:t>（14分，无专人专岗扣7分，服务记录不完善扣1-7分）；</w:t>
            </w:r>
          </w:p>
          <w:p w14:paraId="2B161A8E">
            <w:pPr>
              <w:spacing w:line="280" w:lineRule="exact"/>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7.社会工作</w:t>
            </w:r>
            <w:r>
              <w:rPr>
                <w:rFonts w:hint="eastAsia" w:cs="仿宋" w:asciiTheme="majorEastAsia" w:hAnsiTheme="majorEastAsia" w:eastAsiaTheme="majorEastAsia"/>
                <w:color w:val="auto"/>
                <w:sz w:val="24"/>
                <w:highlight w:val="none"/>
              </w:rPr>
              <w:t>：记录完整的社工服务案例不少于4个（个案或小组、社区）</w:t>
            </w:r>
            <w:r>
              <w:rPr>
                <w:rFonts w:hint="eastAsia" w:cs="仿宋" w:asciiTheme="majorEastAsia" w:hAnsiTheme="majorEastAsia" w:eastAsiaTheme="majorEastAsia"/>
                <w:b/>
                <w:bCs/>
                <w:color w:val="auto"/>
                <w:sz w:val="24"/>
                <w:highlight w:val="none"/>
              </w:rPr>
              <w:t>（20分，少一个扣5分，记录不完整扣1-20分）；</w:t>
            </w:r>
          </w:p>
          <w:p w14:paraId="6B513A88">
            <w:pPr>
              <w:autoSpaceDN w:val="0"/>
              <w:spacing w:line="280" w:lineRule="exact"/>
              <w:textAlignment w:val="center"/>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8.社会支持</w:t>
            </w:r>
            <w:r>
              <w:rPr>
                <w:rFonts w:hint="eastAsia" w:cs="仿宋" w:asciiTheme="majorEastAsia" w:hAnsiTheme="majorEastAsia" w:eastAsiaTheme="majorEastAsia"/>
                <w:color w:val="auto"/>
                <w:sz w:val="24"/>
                <w:highlight w:val="none"/>
              </w:rPr>
              <w:t>：培育或支持老年人志愿服务组织（体现银铃互助、时间银行等性质），每年不少于2个</w:t>
            </w:r>
            <w:r>
              <w:rPr>
                <w:rFonts w:hint="eastAsia" w:cs="仿宋" w:asciiTheme="majorEastAsia" w:hAnsiTheme="majorEastAsia" w:eastAsiaTheme="majorEastAsia"/>
                <w:b/>
                <w:bCs/>
                <w:color w:val="auto"/>
                <w:sz w:val="24"/>
                <w:highlight w:val="none"/>
              </w:rPr>
              <w:t>（10分，每少1个扣5分）</w:t>
            </w:r>
            <w:r>
              <w:rPr>
                <w:rFonts w:hint="eastAsia" w:cs="仿宋" w:asciiTheme="majorEastAsia" w:hAnsiTheme="majorEastAsia" w:eastAsiaTheme="majorEastAsia"/>
                <w:color w:val="auto"/>
                <w:sz w:val="24"/>
                <w:highlight w:val="none"/>
              </w:rPr>
              <w:t>，且该组织提供为老志愿服务每年不少于4次</w:t>
            </w:r>
            <w:r>
              <w:rPr>
                <w:rFonts w:hint="eastAsia" w:cs="仿宋" w:asciiTheme="majorEastAsia" w:hAnsiTheme="majorEastAsia" w:eastAsiaTheme="majorEastAsia"/>
                <w:b/>
                <w:bCs/>
                <w:color w:val="auto"/>
                <w:sz w:val="24"/>
                <w:highlight w:val="none"/>
              </w:rPr>
              <w:t>（10分，每少1次扣2.5分）。</w:t>
            </w:r>
          </w:p>
          <w:p w14:paraId="41D75A09">
            <w:pPr>
              <w:spacing w:line="280" w:lineRule="exact"/>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小计：160分</w:t>
            </w:r>
          </w:p>
        </w:tc>
        <w:tc>
          <w:tcPr>
            <w:tcW w:w="1227" w:type="dxa"/>
            <w:noWrap/>
            <w:vAlign w:val="center"/>
          </w:tcPr>
          <w:p w14:paraId="22BAC2F0">
            <w:pPr>
              <w:spacing w:line="500" w:lineRule="exact"/>
              <w:jc w:val="center"/>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190分</w:t>
            </w:r>
          </w:p>
        </w:tc>
      </w:tr>
    </w:tbl>
    <w:p w14:paraId="5994211E">
      <w:pPr>
        <w:rPr>
          <w:rFonts w:cs="仿宋_GB2312" w:asciiTheme="majorEastAsia" w:hAnsiTheme="majorEastAsia" w:eastAsiaTheme="majorEastAsia"/>
          <w:color w:val="auto"/>
          <w:sz w:val="24"/>
          <w:highlight w:val="none"/>
        </w:rPr>
        <w:sectPr>
          <w:pgSz w:w="16838" w:h="11906" w:orient="landscape"/>
          <w:pgMar w:top="1440" w:right="1080" w:bottom="1440" w:left="1080" w:header="851" w:footer="992" w:gutter="0"/>
          <w:cols w:space="720" w:num="1"/>
          <w:docGrid w:type="lines" w:linePitch="312" w:charSpace="0"/>
        </w:sectPr>
      </w:pPr>
    </w:p>
    <w:p w14:paraId="30644213">
      <w:pPr>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2.吴兴区社区居家养老服务照料中心个性化服务标准</w:t>
      </w:r>
    </w:p>
    <w:tbl>
      <w:tblPr>
        <w:tblStyle w:val="27"/>
        <w:tblW w:w="5782" w:type="pct"/>
        <w:tblInd w:w="0" w:type="dxa"/>
        <w:tblLayout w:type="fixed"/>
        <w:tblCellMar>
          <w:top w:w="0" w:type="dxa"/>
          <w:left w:w="108" w:type="dxa"/>
          <w:bottom w:w="0" w:type="dxa"/>
          <w:right w:w="108" w:type="dxa"/>
        </w:tblCellMar>
      </w:tblPr>
      <w:tblGrid>
        <w:gridCol w:w="520"/>
        <w:gridCol w:w="809"/>
        <w:gridCol w:w="948"/>
        <w:gridCol w:w="2367"/>
        <w:gridCol w:w="4969"/>
        <w:gridCol w:w="868"/>
        <w:gridCol w:w="719"/>
        <w:gridCol w:w="988"/>
        <w:gridCol w:w="988"/>
        <w:gridCol w:w="355"/>
        <w:gridCol w:w="666"/>
        <w:gridCol w:w="322"/>
        <w:gridCol w:w="1024"/>
        <w:gridCol w:w="1031"/>
      </w:tblGrid>
      <w:tr w14:paraId="6263F443">
        <w:tblPrEx>
          <w:tblCellMar>
            <w:top w:w="0" w:type="dxa"/>
            <w:left w:w="108" w:type="dxa"/>
            <w:bottom w:w="0" w:type="dxa"/>
            <w:right w:w="108" w:type="dxa"/>
          </w:tblCellMar>
        </w:tblPrEx>
        <w:trPr>
          <w:gridAfter w:val="3"/>
          <w:wAfter w:w="717" w:type="pct"/>
          <w:trHeight w:val="802" w:hRule="atLeast"/>
        </w:trPr>
        <w:tc>
          <w:tcPr>
            <w:tcW w:w="157" w:type="pct"/>
            <w:vMerge w:val="restart"/>
            <w:tcBorders>
              <w:top w:val="single" w:color="000000" w:sz="4" w:space="0"/>
              <w:left w:val="single" w:color="000000" w:sz="4" w:space="0"/>
              <w:bottom w:val="single" w:color="000000" w:sz="4" w:space="0"/>
              <w:right w:val="single" w:color="000000" w:sz="4" w:space="0"/>
            </w:tcBorders>
            <w:vAlign w:val="center"/>
          </w:tcPr>
          <w:p w14:paraId="3FB0877B">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序号</w:t>
            </w:r>
          </w:p>
        </w:tc>
        <w:tc>
          <w:tcPr>
            <w:tcW w:w="244" w:type="pct"/>
            <w:vMerge w:val="restart"/>
            <w:tcBorders>
              <w:top w:val="single" w:color="000000" w:sz="4" w:space="0"/>
              <w:left w:val="single" w:color="000000" w:sz="4" w:space="0"/>
              <w:bottom w:val="single" w:color="000000" w:sz="4" w:space="0"/>
              <w:right w:val="single" w:color="000000" w:sz="4" w:space="0"/>
            </w:tcBorders>
            <w:vAlign w:val="center"/>
          </w:tcPr>
          <w:p w14:paraId="5A94D04C">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六助分类</w:t>
            </w:r>
          </w:p>
        </w:tc>
        <w:tc>
          <w:tcPr>
            <w:tcW w:w="285" w:type="pct"/>
            <w:vMerge w:val="restart"/>
            <w:tcBorders>
              <w:top w:val="single" w:color="000000" w:sz="4" w:space="0"/>
              <w:left w:val="single" w:color="000000" w:sz="4" w:space="0"/>
              <w:bottom w:val="single" w:color="000000" w:sz="4" w:space="0"/>
              <w:right w:val="single" w:color="000000" w:sz="4" w:space="0"/>
            </w:tcBorders>
            <w:vAlign w:val="center"/>
          </w:tcPr>
          <w:p w14:paraId="619879A5">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项目名称</w:t>
            </w:r>
          </w:p>
        </w:tc>
        <w:tc>
          <w:tcPr>
            <w:tcW w:w="714" w:type="pct"/>
            <w:vMerge w:val="restart"/>
            <w:tcBorders>
              <w:top w:val="single" w:color="000000" w:sz="4" w:space="0"/>
              <w:left w:val="single" w:color="000000" w:sz="4" w:space="0"/>
              <w:bottom w:val="single" w:color="000000" w:sz="4" w:space="0"/>
              <w:right w:val="single" w:color="000000" w:sz="4" w:space="0"/>
            </w:tcBorders>
            <w:vAlign w:val="center"/>
          </w:tcPr>
          <w:p w14:paraId="529A4469">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项目定义</w:t>
            </w:r>
          </w:p>
        </w:tc>
        <w:tc>
          <w:tcPr>
            <w:tcW w:w="1499" w:type="pct"/>
            <w:vMerge w:val="restart"/>
            <w:tcBorders>
              <w:top w:val="single" w:color="000000" w:sz="4" w:space="0"/>
              <w:left w:val="single" w:color="000000" w:sz="4" w:space="0"/>
              <w:bottom w:val="single" w:color="000000" w:sz="4" w:space="0"/>
              <w:right w:val="single" w:color="000000" w:sz="4" w:space="0"/>
            </w:tcBorders>
            <w:vAlign w:val="center"/>
          </w:tcPr>
          <w:p w14:paraId="55091CB0">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主要描述</w:t>
            </w:r>
          </w:p>
        </w:tc>
        <w:tc>
          <w:tcPr>
            <w:tcW w:w="262" w:type="pct"/>
            <w:vMerge w:val="restart"/>
            <w:tcBorders>
              <w:top w:val="single" w:color="000000" w:sz="4" w:space="0"/>
              <w:left w:val="single" w:color="000000" w:sz="4" w:space="0"/>
              <w:bottom w:val="single" w:color="000000" w:sz="4" w:space="0"/>
              <w:right w:val="single" w:color="000000" w:sz="4" w:space="0"/>
            </w:tcBorders>
            <w:vAlign w:val="center"/>
          </w:tcPr>
          <w:p w14:paraId="076E96AC">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补助费用（元）</w:t>
            </w:r>
          </w:p>
        </w:tc>
        <w:tc>
          <w:tcPr>
            <w:tcW w:w="217" w:type="pct"/>
            <w:vMerge w:val="restart"/>
            <w:tcBorders>
              <w:top w:val="single" w:color="000000" w:sz="4" w:space="0"/>
              <w:left w:val="single" w:color="000000" w:sz="4" w:space="0"/>
              <w:bottom w:val="single" w:color="000000" w:sz="4" w:space="0"/>
              <w:right w:val="single" w:color="000000" w:sz="4" w:space="0"/>
            </w:tcBorders>
            <w:vAlign w:val="center"/>
          </w:tcPr>
          <w:p w14:paraId="02A2F07B">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要求最低时长（分钟)</w:t>
            </w:r>
          </w:p>
        </w:tc>
        <w:tc>
          <w:tcPr>
            <w:tcW w:w="904" w:type="pct"/>
            <w:gridSpan w:val="4"/>
            <w:tcBorders>
              <w:top w:val="single" w:color="000000" w:sz="4" w:space="0"/>
              <w:left w:val="single" w:color="000000" w:sz="4" w:space="0"/>
              <w:bottom w:val="single" w:color="000000" w:sz="4" w:space="0"/>
              <w:right w:val="single" w:color="000000" w:sz="4" w:space="0"/>
            </w:tcBorders>
            <w:vAlign w:val="center"/>
          </w:tcPr>
          <w:p w14:paraId="5209E293">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 w:val="22"/>
                <w:szCs w:val="22"/>
                <w:highlight w:val="none"/>
                <w:lang w:bidi="ar"/>
              </w:rPr>
              <w:t>个性化补助年度限额（万元）</w:t>
            </w:r>
          </w:p>
        </w:tc>
      </w:tr>
      <w:tr w14:paraId="2D8F789C">
        <w:tblPrEx>
          <w:tblCellMar>
            <w:top w:w="0" w:type="dxa"/>
            <w:left w:w="108" w:type="dxa"/>
            <w:bottom w:w="0" w:type="dxa"/>
            <w:right w:w="108" w:type="dxa"/>
          </w:tblCellMar>
        </w:tblPrEx>
        <w:trPr>
          <w:gridAfter w:val="3"/>
          <w:wAfter w:w="717" w:type="pct"/>
          <w:trHeight w:val="312" w:hRule="atLeast"/>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14:paraId="46F2B181">
            <w:pPr>
              <w:jc w:val="center"/>
              <w:rPr>
                <w:rFonts w:cs="仿宋" w:asciiTheme="majorEastAsia" w:hAnsiTheme="majorEastAsia" w:eastAsiaTheme="majorEastAsia"/>
                <w:color w:val="auto"/>
                <w:sz w:val="24"/>
                <w:highlight w:val="none"/>
              </w:rPr>
            </w:pPr>
          </w:p>
        </w:tc>
        <w:tc>
          <w:tcPr>
            <w:tcW w:w="244" w:type="pct"/>
            <w:vMerge w:val="continue"/>
            <w:tcBorders>
              <w:top w:val="single" w:color="000000" w:sz="4" w:space="0"/>
              <w:left w:val="single" w:color="000000" w:sz="4" w:space="0"/>
              <w:bottom w:val="single" w:color="000000" w:sz="4" w:space="0"/>
              <w:right w:val="single" w:color="000000" w:sz="4" w:space="0"/>
            </w:tcBorders>
            <w:vAlign w:val="center"/>
          </w:tcPr>
          <w:p w14:paraId="7FFD952D">
            <w:pPr>
              <w:jc w:val="center"/>
              <w:rPr>
                <w:rFonts w:cs="仿宋" w:asciiTheme="majorEastAsia" w:hAnsiTheme="majorEastAsia" w:eastAsiaTheme="majorEastAsia"/>
                <w:color w:val="auto"/>
                <w:sz w:val="24"/>
                <w:highlight w:val="none"/>
              </w:rPr>
            </w:pPr>
          </w:p>
        </w:tc>
        <w:tc>
          <w:tcPr>
            <w:tcW w:w="285" w:type="pct"/>
            <w:vMerge w:val="continue"/>
            <w:tcBorders>
              <w:top w:val="single" w:color="000000" w:sz="4" w:space="0"/>
              <w:left w:val="single" w:color="000000" w:sz="4" w:space="0"/>
              <w:bottom w:val="single" w:color="000000" w:sz="4" w:space="0"/>
              <w:right w:val="single" w:color="000000" w:sz="4" w:space="0"/>
            </w:tcBorders>
            <w:vAlign w:val="center"/>
          </w:tcPr>
          <w:p w14:paraId="665A3AF7">
            <w:pPr>
              <w:jc w:val="center"/>
              <w:rPr>
                <w:rFonts w:cs="仿宋" w:asciiTheme="majorEastAsia" w:hAnsiTheme="majorEastAsia" w:eastAsiaTheme="majorEastAsia"/>
                <w:color w:val="auto"/>
                <w:sz w:val="24"/>
                <w:highlight w:val="none"/>
              </w:rPr>
            </w:pPr>
          </w:p>
        </w:tc>
        <w:tc>
          <w:tcPr>
            <w:tcW w:w="714" w:type="pct"/>
            <w:vMerge w:val="continue"/>
            <w:tcBorders>
              <w:top w:val="single" w:color="000000" w:sz="4" w:space="0"/>
              <w:left w:val="single" w:color="000000" w:sz="4" w:space="0"/>
              <w:bottom w:val="single" w:color="000000" w:sz="4" w:space="0"/>
              <w:right w:val="single" w:color="000000" w:sz="4" w:space="0"/>
            </w:tcBorders>
            <w:vAlign w:val="center"/>
          </w:tcPr>
          <w:p w14:paraId="55236735">
            <w:pPr>
              <w:jc w:val="center"/>
              <w:rPr>
                <w:rFonts w:cs="仿宋" w:asciiTheme="majorEastAsia" w:hAnsiTheme="majorEastAsia" w:eastAsiaTheme="majorEastAsia"/>
                <w:color w:val="auto"/>
                <w:sz w:val="24"/>
                <w:highlight w:val="none"/>
              </w:rPr>
            </w:pPr>
          </w:p>
        </w:tc>
        <w:tc>
          <w:tcPr>
            <w:tcW w:w="1499" w:type="pct"/>
            <w:vMerge w:val="continue"/>
            <w:tcBorders>
              <w:top w:val="single" w:color="000000" w:sz="4" w:space="0"/>
              <w:left w:val="single" w:color="000000" w:sz="4" w:space="0"/>
              <w:bottom w:val="single" w:color="000000" w:sz="4" w:space="0"/>
              <w:right w:val="single" w:color="000000" w:sz="4" w:space="0"/>
            </w:tcBorders>
            <w:vAlign w:val="center"/>
          </w:tcPr>
          <w:p w14:paraId="305B8E21">
            <w:pPr>
              <w:jc w:val="center"/>
              <w:rPr>
                <w:rFonts w:cs="仿宋" w:asciiTheme="majorEastAsia" w:hAnsiTheme="majorEastAsia" w:eastAsiaTheme="majorEastAsia"/>
                <w:color w:val="auto"/>
                <w:sz w:val="24"/>
                <w:highlight w:val="none"/>
              </w:rPr>
            </w:pPr>
          </w:p>
        </w:tc>
        <w:tc>
          <w:tcPr>
            <w:tcW w:w="262" w:type="pct"/>
            <w:vMerge w:val="continue"/>
            <w:tcBorders>
              <w:top w:val="single" w:color="000000" w:sz="4" w:space="0"/>
              <w:left w:val="single" w:color="000000" w:sz="4" w:space="0"/>
              <w:bottom w:val="single" w:color="000000" w:sz="4" w:space="0"/>
              <w:right w:val="single" w:color="000000" w:sz="4" w:space="0"/>
            </w:tcBorders>
            <w:vAlign w:val="center"/>
          </w:tcPr>
          <w:p w14:paraId="2EFE95EA">
            <w:pPr>
              <w:jc w:val="center"/>
              <w:rPr>
                <w:rFonts w:cs="仿宋" w:asciiTheme="majorEastAsia" w:hAnsiTheme="majorEastAsia" w:eastAsiaTheme="majorEastAsia"/>
                <w:color w:val="auto"/>
                <w:sz w:val="24"/>
                <w:highlight w:val="none"/>
              </w:rPr>
            </w:pPr>
          </w:p>
        </w:tc>
        <w:tc>
          <w:tcPr>
            <w:tcW w:w="217" w:type="pct"/>
            <w:vMerge w:val="continue"/>
            <w:tcBorders>
              <w:top w:val="single" w:color="000000" w:sz="4" w:space="0"/>
              <w:left w:val="single" w:color="000000" w:sz="4" w:space="0"/>
              <w:bottom w:val="single" w:color="000000" w:sz="4" w:space="0"/>
              <w:right w:val="single" w:color="000000" w:sz="4" w:space="0"/>
            </w:tcBorders>
            <w:vAlign w:val="center"/>
          </w:tcPr>
          <w:p w14:paraId="1FA62EAB">
            <w:pPr>
              <w:jc w:val="center"/>
              <w:rPr>
                <w:rFonts w:cs="仿宋" w:asciiTheme="majorEastAsia" w:hAnsiTheme="majorEastAsia" w:eastAsiaTheme="majorEastAsia"/>
                <w:color w:val="auto"/>
                <w:sz w:val="24"/>
                <w:highlight w:val="none"/>
              </w:rPr>
            </w:pPr>
          </w:p>
        </w:tc>
        <w:tc>
          <w:tcPr>
            <w:tcW w:w="298" w:type="pct"/>
            <w:tcBorders>
              <w:top w:val="single" w:color="000000" w:sz="4" w:space="0"/>
              <w:left w:val="single" w:color="000000" w:sz="4" w:space="0"/>
              <w:bottom w:val="single" w:color="000000" w:sz="4" w:space="0"/>
              <w:right w:val="single" w:color="000000" w:sz="4" w:space="0"/>
            </w:tcBorders>
            <w:vAlign w:val="center"/>
          </w:tcPr>
          <w:p w14:paraId="1C553310">
            <w:pPr>
              <w:widowControl/>
              <w:jc w:val="center"/>
              <w:textAlignment w:val="center"/>
              <w:rPr>
                <w:color w:val="auto"/>
                <w:highlight w:val="none"/>
              </w:rPr>
            </w:pPr>
            <w:r>
              <w:rPr>
                <w:rFonts w:hint="eastAsia" w:ascii="仿宋" w:hAnsi="仿宋" w:eastAsia="仿宋" w:cs="仿宋"/>
                <w:color w:val="auto"/>
                <w:kern w:val="0"/>
                <w:sz w:val="22"/>
                <w:szCs w:val="22"/>
                <w:highlight w:val="none"/>
                <w:lang w:bidi="ar"/>
              </w:rPr>
              <w:t>1A-2A</w:t>
            </w:r>
          </w:p>
        </w:tc>
        <w:tc>
          <w:tcPr>
            <w:tcW w:w="298" w:type="pct"/>
            <w:tcBorders>
              <w:top w:val="single" w:color="000000" w:sz="4" w:space="0"/>
              <w:left w:val="single" w:color="000000" w:sz="4" w:space="0"/>
              <w:bottom w:val="single" w:color="000000" w:sz="4" w:space="0"/>
              <w:right w:val="single" w:color="000000" w:sz="4" w:space="0"/>
            </w:tcBorders>
            <w:vAlign w:val="center"/>
          </w:tcPr>
          <w:p w14:paraId="294600FD">
            <w:pPr>
              <w:widowControl/>
              <w:jc w:val="center"/>
              <w:textAlignment w:val="center"/>
              <w:rPr>
                <w:color w:val="auto"/>
                <w:highlight w:val="none"/>
              </w:rPr>
            </w:pPr>
            <w:r>
              <w:rPr>
                <w:rFonts w:hint="eastAsia" w:ascii="仿宋" w:hAnsi="仿宋" w:eastAsia="仿宋" w:cs="仿宋"/>
                <w:color w:val="auto"/>
                <w:kern w:val="0"/>
                <w:sz w:val="22"/>
                <w:szCs w:val="22"/>
                <w:highlight w:val="none"/>
                <w:lang w:bidi="ar"/>
              </w:rPr>
              <w:t>3A-4A</w:t>
            </w:r>
          </w:p>
        </w:tc>
        <w:tc>
          <w:tcPr>
            <w:tcW w:w="308" w:type="pct"/>
            <w:gridSpan w:val="2"/>
            <w:tcBorders>
              <w:top w:val="single" w:color="000000" w:sz="4" w:space="0"/>
              <w:left w:val="single" w:color="000000" w:sz="4" w:space="0"/>
              <w:bottom w:val="single" w:color="000000" w:sz="4" w:space="0"/>
              <w:right w:val="single" w:color="000000" w:sz="4" w:space="0"/>
            </w:tcBorders>
            <w:vAlign w:val="center"/>
          </w:tcPr>
          <w:p w14:paraId="2252341B">
            <w:pPr>
              <w:widowControl/>
              <w:jc w:val="center"/>
              <w:textAlignment w:val="center"/>
              <w:rPr>
                <w:color w:val="auto"/>
                <w:highlight w:val="none"/>
              </w:rPr>
            </w:pPr>
            <w:r>
              <w:rPr>
                <w:rFonts w:hint="eastAsia" w:ascii="仿宋" w:hAnsi="仿宋" w:eastAsia="仿宋" w:cs="仿宋"/>
                <w:color w:val="auto"/>
                <w:kern w:val="0"/>
                <w:sz w:val="22"/>
                <w:szCs w:val="22"/>
                <w:highlight w:val="none"/>
                <w:lang w:bidi="ar"/>
              </w:rPr>
              <w:t>5A</w:t>
            </w:r>
          </w:p>
        </w:tc>
      </w:tr>
      <w:tr w14:paraId="393A6CD4">
        <w:tblPrEx>
          <w:tblCellMar>
            <w:top w:w="0" w:type="dxa"/>
            <w:left w:w="108" w:type="dxa"/>
            <w:bottom w:w="0" w:type="dxa"/>
            <w:right w:w="108" w:type="dxa"/>
          </w:tblCellMar>
        </w:tblPrEx>
        <w:trPr>
          <w:gridAfter w:val="3"/>
          <w:wAfter w:w="717" w:type="pct"/>
        </w:trPr>
        <w:tc>
          <w:tcPr>
            <w:tcW w:w="157" w:type="pct"/>
            <w:tcBorders>
              <w:top w:val="single" w:color="000000" w:sz="4" w:space="0"/>
              <w:left w:val="single" w:color="000000" w:sz="4" w:space="0"/>
              <w:bottom w:val="single" w:color="000000" w:sz="4" w:space="0"/>
              <w:right w:val="single" w:color="000000" w:sz="4" w:space="0"/>
            </w:tcBorders>
            <w:vAlign w:val="center"/>
          </w:tcPr>
          <w:p w14:paraId="1A14E935">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1</w:t>
            </w:r>
          </w:p>
        </w:tc>
        <w:tc>
          <w:tcPr>
            <w:tcW w:w="244" w:type="pct"/>
            <w:tcBorders>
              <w:top w:val="single" w:color="000000" w:sz="4" w:space="0"/>
              <w:left w:val="single" w:color="000000" w:sz="4" w:space="0"/>
              <w:bottom w:val="single" w:color="000000" w:sz="4" w:space="0"/>
              <w:right w:val="single" w:color="000000" w:sz="4" w:space="0"/>
            </w:tcBorders>
            <w:vAlign w:val="center"/>
          </w:tcPr>
          <w:p w14:paraId="1B2D3ADF">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助餐</w:t>
            </w:r>
          </w:p>
        </w:tc>
        <w:tc>
          <w:tcPr>
            <w:tcW w:w="285" w:type="pct"/>
            <w:tcBorders>
              <w:top w:val="single" w:color="000000" w:sz="4" w:space="0"/>
              <w:left w:val="single" w:color="000000" w:sz="4" w:space="0"/>
              <w:bottom w:val="single" w:color="000000" w:sz="4" w:space="0"/>
              <w:right w:val="single" w:color="000000" w:sz="4" w:space="0"/>
            </w:tcBorders>
            <w:vAlign w:val="center"/>
          </w:tcPr>
          <w:p w14:paraId="2BB8A05D">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送餐上门</w:t>
            </w:r>
          </w:p>
        </w:tc>
        <w:tc>
          <w:tcPr>
            <w:tcW w:w="714" w:type="pct"/>
            <w:tcBorders>
              <w:top w:val="single" w:color="000000" w:sz="4" w:space="0"/>
              <w:left w:val="single" w:color="000000" w:sz="4" w:space="0"/>
              <w:bottom w:val="single" w:color="000000" w:sz="4" w:space="0"/>
              <w:right w:val="single" w:color="000000" w:sz="4" w:space="0"/>
            </w:tcBorders>
            <w:vAlign w:val="center"/>
          </w:tcPr>
          <w:p w14:paraId="63C30B21">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根据老年人需要，将餐食送达老年人的家中或者其他指定地点。</w:t>
            </w:r>
          </w:p>
        </w:tc>
        <w:tc>
          <w:tcPr>
            <w:tcW w:w="1499" w:type="pct"/>
            <w:tcBorders>
              <w:top w:val="single" w:color="000000" w:sz="4" w:space="0"/>
              <w:left w:val="single" w:color="000000" w:sz="4" w:space="0"/>
              <w:bottom w:val="single" w:color="000000" w:sz="4" w:space="0"/>
              <w:right w:val="single" w:color="000000" w:sz="4" w:space="0"/>
            </w:tcBorders>
            <w:vAlign w:val="center"/>
          </w:tcPr>
          <w:p w14:paraId="5098A6DB">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根据送餐计划，组织送餐人员按照既定路线和时间表进行送餐。做好保温工作，确保餐食的新鲜。送餐人员了解每位接受者的具体需求和送餐地址。</w:t>
            </w:r>
          </w:p>
        </w:tc>
        <w:tc>
          <w:tcPr>
            <w:tcW w:w="262" w:type="pct"/>
            <w:tcBorders>
              <w:top w:val="single" w:color="000000" w:sz="4" w:space="0"/>
              <w:left w:val="single" w:color="000000" w:sz="4" w:space="0"/>
              <w:bottom w:val="single" w:color="000000" w:sz="4" w:space="0"/>
              <w:right w:val="single" w:color="000000" w:sz="4" w:space="0"/>
            </w:tcBorders>
            <w:vAlign w:val="center"/>
          </w:tcPr>
          <w:p w14:paraId="4F5722EE">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3</w:t>
            </w:r>
          </w:p>
        </w:tc>
        <w:tc>
          <w:tcPr>
            <w:tcW w:w="217" w:type="pct"/>
            <w:tcBorders>
              <w:top w:val="single" w:color="000000" w:sz="4" w:space="0"/>
              <w:left w:val="single" w:color="000000" w:sz="4" w:space="0"/>
              <w:bottom w:val="single" w:color="000000" w:sz="4" w:space="0"/>
              <w:right w:val="single" w:color="000000" w:sz="4" w:space="0"/>
            </w:tcBorders>
            <w:vAlign w:val="center"/>
          </w:tcPr>
          <w:p w14:paraId="237F071E">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10</w:t>
            </w:r>
          </w:p>
        </w:tc>
        <w:tc>
          <w:tcPr>
            <w:tcW w:w="298" w:type="pct"/>
            <w:tcBorders>
              <w:top w:val="single" w:color="000000" w:sz="4" w:space="0"/>
              <w:left w:val="single" w:color="000000" w:sz="4" w:space="0"/>
              <w:bottom w:val="single" w:color="000000" w:sz="4" w:space="0"/>
              <w:right w:val="single" w:color="000000" w:sz="4" w:space="0"/>
            </w:tcBorders>
            <w:vAlign w:val="center"/>
          </w:tcPr>
          <w:p w14:paraId="590D6B12">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0.8</w:t>
            </w:r>
          </w:p>
        </w:tc>
        <w:tc>
          <w:tcPr>
            <w:tcW w:w="298" w:type="pct"/>
            <w:tcBorders>
              <w:top w:val="single" w:color="000000" w:sz="4" w:space="0"/>
              <w:left w:val="single" w:color="000000" w:sz="4" w:space="0"/>
              <w:bottom w:val="single" w:color="000000" w:sz="4" w:space="0"/>
              <w:right w:val="single" w:color="000000" w:sz="4" w:space="0"/>
            </w:tcBorders>
            <w:vAlign w:val="center"/>
          </w:tcPr>
          <w:p w14:paraId="63F5B164">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1.5</w:t>
            </w:r>
          </w:p>
        </w:tc>
        <w:tc>
          <w:tcPr>
            <w:tcW w:w="308" w:type="pct"/>
            <w:gridSpan w:val="2"/>
            <w:tcBorders>
              <w:top w:val="single" w:color="000000" w:sz="4" w:space="0"/>
              <w:left w:val="single" w:color="000000" w:sz="4" w:space="0"/>
              <w:bottom w:val="single" w:color="000000" w:sz="4" w:space="0"/>
              <w:right w:val="single" w:color="000000" w:sz="4" w:space="0"/>
            </w:tcBorders>
            <w:vAlign w:val="center"/>
          </w:tcPr>
          <w:p w14:paraId="2E87D6A4">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3</w:t>
            </w:r>
          </w:p>
        </w:tc>
      </w:tr>
      <w:tr w14:paraId="1FCF6329">
        <w:tblPrEx>
          <w:tblCellMar>
            <w:top w:w="0" w:type="dxa"/>
            <w:left w:w="108" w:type="dxa"/>
            <w:bottom w:w="0" w:type="dxa"/>
            <w:right w:w="108" w:type="dxa"/>
          </w:tblCellMar>
        </w:tblPrEx>
        <w:trPr>
          <w:gridAfter w:val="3"/>
          <w:wAfter w:w="717" w:type="pct"/>
        </w:trPr>
        <w:tc>
          <w:tcPr>
            <w:tcW w:w="157" w:type="pct"/>
            <w:tcBorders>
              <w:top w:val="single" w:color="000000" w:sz="4" w:space="0"/>
              <w:left w:val="single" w:color="000000" w:sz="4" w:space="0"/>
              <w:bottom w:val="single" w:color="000000" w:sz="4" w:space="0"/>
              <w:right w:val="single" w:color="000000" w:sz="4" w:space="0"/>
            </w:tcBorders>
            <w:vAlign w:val="center"/>
          </w:tcPr>
          <w:p w14:paraId="651A418C">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2</w:t>
            </w:r>
          </w:p>
        </w:tc>
        <w:tc>
          <w:tcPr>
            <w:tcW w:w="244" w:type="pct"/>
            <w:tcBorders>
              <w:top w:val="single" w:color="000000" w:sz="4" w:space="0"/>
              <w:left w:val="single" w:color="000000" w:sz="4" w:space="0"/>
              <w:bottom w:val="single" w:color="000000" w:sz="4" w:space="0"/>
              <w:right w:val="single" w:color="000000" w:sz="4" w:space="0"/>
            </w:tcBorders>
            <w:vAlign w:val="center"/>
          </w:tcPr>
          <w:p w14:paraId="17240DED">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助餐</w:t>
            </w:r>
          </w:p>
        </w:tc>
        <w:tc>
          <w:tcPr>
            <w:tcW w:w="285" w:type="pct"/>
            <w:tcBorders>
              <w:top w:val="single" w:color="000000" w:sz="4" w:space="0"/>
              <w:left w:val="single" w:color="000000" w:sz="4" w:space="0"/>
              <w:bottom w:val="single" w:color="000000" w:sz="4" w:space="0"/>
              <w:right w:val="single" w:color="000000" w:sz="4" w:space="0"/>
            </w:tcBorders>
            <w:vAlign w:val="center"/>
          </w:tcPr>
          <w:p w14:paraId="36289E57">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上门烹饪</w:t>
            </w:r>
          </w:p>
        </w:tc>
        <w:tc>
          <w:tcPr>
            <w:tcW w:w="714" w:type="pct"/>
            <w:tcBorders>
              <w:top w:val="single" w:color="000000" w:sz="4" w:space="0"/>
              <w:left w:val="single" w:color="000000" w:sz="4" w:space="0"/>
              <w:bottom w:val="single" w:color="000000" w:sz="4" w:space="0"/>
              <w:right w:val="single" w:color="000000" w:sz="4" w:space="0"/>
            </w:tcBorders>
            <w:vAlign w:val="center"/>
          </w:tcPr>
          <w:p w14:paraId="7DE5D0FC">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使用老人家中炊具进行食材清洗、菜肴烹调。</w:t>
            </w:r>
          </w:p>
        </w:tc>
        <w:tc>
          <w:tcPr>
            <w:tcW w:w="1499" w:type="pct"/>
            <w:tcBorders>
              <w:top w:val="single" w:color="000000" w:sz="4" w:space="0"/>
              <w:left w:val="single" w:color="000000" w:sz="4" w:space="0"/>
              <w:bottom w:val="single" w:color="000000" w:sz="4" w:space="0"/>
              <w:right w:val="single" w:color="000000" w:sz="4" w:space="0"/>
            </w:tcBorders>
            <w:vAlign w:val="center"/>
          </w:tcPr>
          <w:p w14:paraId="06B0AC2D">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前往老人指定地点，利用老年人家中厨房环境，清洗食材，烹调指定菜肴，单次服务烹调菜肴数量不超过5个，服务前后清洗炊具，恢复厨房摆设。</w:t>
            </w:r>
          </w:p>
        </w:tc>
        <w:tc>
          <w:tcPr>
            <w:tcW w:w="262" w:type="pct"/>
            <w:tcBorders>
              <w:top w:val="single" w:color="000000" w:sz="4" w:space="0"/>
              <w:left w:val="single" w:color="000000" w:sz="4" w:space="0"/>
              <w:bottom w:val="single" w:color="000000" w:sz="4" w:space="0"/>
              <w:right w:val="single" w:color="000000" w:sz="4" w:space="0"/>
            </w:tcBorders>
            <w:vAlign w:val="center"/>
          </w:tcPr>
          <w:p w14:paraId="64EAC3C1">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80</w:t>
            </w:r>
          </w:p>
        </w:tc>
        <w:tc>
          <w:tcPr>
            <w:tcW w:w="217" w:type="pct"/>
            <w:tcBorders>
              <w:top w:val="single" w:color="000000" w:sz="4" w:space="0"/>
              <w:left w:val="single" w:color="000000" w:sz="4" w:space="0"/>
              <w:bottom w:val="single" w:color="000000" w:sz="4" w:space="0"/>
              <w:right w:val="single" w:color="000000" w:sz="4" w:space="0"/>
            </w:tcBorders>
            <w:vAlign w:val="center"/>
          </w:tcPr>
          <w:p w14:paraId="3A14AE13">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30</w:t>
            </w:r>
          </w:p>
        </w:tc>
        <w:tc>
          <w:tcPr>
            <w:tcW w:w="298" w:type="pct"/>
            <w:tcBorders>
              <w:top w:val="single" w:color="000000" w:sz="4" w:space="0"/>
              <w:left w:val="single" w:color="000000" w:sz="4" w:space="0"/>
              <w:bottom w:val="single" w:color="000000" w:sz="4" w:space="0"/>
              <w:right w:val="single" w:color="000000" w:sz="4" w:space="0"/>
            </w:tcBorders>
            <w:vAlign w:val="center"/>
          </w:tcPr>
          <w:p w14:paraId="4A11CE35">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0.5</w:t>
            </w:r>
          </w:p>
        </w:tc>
        <w:tc>
          <w:tcPr>
            <w:tcW w:w="298" w:type="pct"/>
            <w:tcBorders>
              <w:top w:val="single" w:color="000000" w:sz="4" w:space="0"/>
              <w:left w:val="single" w:color="000000" w:sz="4" w:space="0"/>
              <w:bottom w:val="single" w:color="000000" w:sz="4" w:space="0"/>
              <w:right w:val="single" w:color="000000" w:sz="4" w:space="0"/>
            </w:tcBorders>
            <w:vAlign w:val="center"/>
          </w:tcPr>
          <w:p w14:paraId="70AEAB7C">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1</w:t>
            </w:r>
          </w:p>
        </w:tc>
        <w:tc>
          <w:tcPr>
            <w:tcW w:w="308" w:type="pct"/>
            <w:gridSpan w:val="2"/>
            <w:tcBorders>
              <w:top w:val="single" w:color="000000" w:sz="4" w:space="0"/>
              <w:left w:val="single" w:color="000000" w:sz="4" w:space="0"/>
              <w:bottom w:val="single" w:color="000000" w:sz="4" w:space="0"/>
              <w:right w:val="single" w:color="000000" w:sz="4" w:space="0"/>
            </w:tcBorders>
            <w:vAlign w:val="center"/>
          </w:tcPr>
          <w:p w14:paraId="4FC9F873">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2</w:t>
            </w:r>
          </w:p>
        </w:tc>
      </w:tr>
      <w:tr w14:paraId="6CC404A1">
        <w:tblPrEx>
          <w:tblCellMar>
            <w:top w:w="0" w:type="dxa"/>
            <w:left w:w="108" w:type="dxa"/>
            <w:bottom w:w="0" w:type="dxa"/>
            <w:right w:w="108" w:type="dxa"/>
          </w:tblCellMar>
        </w:tblPrEx>
        <w:trPr>
          <w:gridAfter w:val="3"/>
          <w:wAfter w:w="717" w:type="pct"/>
        </w:trPr>
        <w:tc>
          <w:tcPr>
            <w:tcW w:w="157" w:type="pct"/>
            <w:tcBorders>
              <w:top w:val="single" w:color="000000" w:sz="4" w:space="0"/>
              <w:left w:val="single" w:color="000000" w:sz="4" w:space="0"/>
              <w:bottom w:val="single" w:color="000000" w:sz="4" w:space="0"/>
              <w:right w:val="single" w:color="000000" w:sz="4" w:space="0"/>
            </w:tcBorders>
            <w:vAlign w:val="center"/>
          </w:tcPr>
          <w:p w14:paraId="11842F3C">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3</w:t>
            </w:r>
          </w:p>
        </w:tc>
        <w:tc>
          <w:tcPr>
            <w:tcW w:w="244" w:type="pct"/>
            <w:tcBorders>
              <w:top w:val="single" w:color="000000" w:sz="4" w:space="0"/>
              <w:left w:val="single" w:color="000000" w:sz="4" w:space="0"/>
              <w:bottom w:val="single" w:color="000000" w:sz="4" w:space="0"/>
              <w:right w:val="single" w:color="000000" w:sz="4" w:space="0"/>
            </w:tcBorders>
            <w:vAlign w:val="center"/>
          </w:tcPr>
          <w:p w14:paraId="46BF79BC">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助餐</w:t>
            </w:r>
          </w:p>
        </w:tc>
        <w:tc>
          <w:tcPr>
            <w:tcW w:w="285" w:type="pct"/>
            <w:tcBorders>
              <w:top w:val="single" w:color="000000" w:sz="4" w:space="0"/>
              <w:left w:val="single" w:color="000000" w:sz="4" w:space="0"/>
              <w:bottom w:val="single" w:color="000000" w:sz="4" w:space="0"/>
              <w:right w:val="single" w:color="000000" w:sz="4" w:space="0"/>
            </w:tcBorders>
            <w:vAlign w:val="center"/>
          </w:tcPr>
          <w:p w14:paraId="36335B6A">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协助进食</w:t>
            </w:r>
          </w:p>
        </w:tc>
        <w:tc>
          <w:tcPr>
            <w:tcW w:w="714" w:type="pct"/>
            <w:tcBorders>
              <w:top w:val="single" w:color="000000" w:sz="4" w:space="0"/>
              <w:left w:val="single" w:color="000000" w:sz="4" w:space="0"/>
              <w:bottom w:val="single" w:color="000000" w:sz="4" w:space="0"/>
              <w:right w:val="single" w:color="000000" w:sz="4" w:space="0"/>
            </w:tcBorders>
            <w:vAlign w:val="center"/>
          </w:tcPr>
          <w:p w14:paraId="2F3079ED">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为无法用餐的老年人提供喂食服务。</w:t>
            </w:r>
          </w:p>
        </w:tc>
        <w:tc>
          <w:tcPr>
            <w:tcW w:w="1499" w:type="pct"/>
            <w:tcBorders>
              <w:top w:val="single" w:color="000000" w:sz="4" w:space="0"/>
              <w:left w:val="single" w:color="000000" w:sz="4" w:space="0"/>
              <w:bottom w:val="single" w:color="000000" w:sz="4" w:space="0"/>
              <w:right w:val="single" w:color="000000" w:sz="4" w:space="0"/>
            </w:tcBorders>
            <w:vAlign w:val="center"/>
          </w:tcPr>
          <w:p w14:paraId="0981AFA5">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在合适的环境中，将老年人调整为合适体位后，进行喂食，喂食前后需清洁餐具、餐台以及老年人个人卫生，并叮嘱餐后30分钟再卧床休息。</w:t>
            </w:r>
          </w:p>
        </w:tc>
        <w:tc>
          <w:tcPr>
            <w:tcW w:w="262" w:type="pct"/>
            <w:tcBorders>
              <w:top w:val="single" w:color="000000" w:sz="4" w:space="0"/>
              <w:left w:val="single" w:color="000000" w:sz="4" w:space="0"/>
              <w:bottom w:val="single" w:color="000000" w:sz="4" w:space="0"/>
              <w:right w:val="single" w:color="000000" w:sz="4" w:space="0"/>
            </w:tcBorders>
            <w:vAlign w:val="center"/>
          </w:tcPr>
          <w:p w14:paraId="2A6F4CA2">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25</w:t>
            </w:r>
          </w:p>
        </w:tc>
        <w:tc>
          <w:tcPr>
            <w:tcW w:w="217" w:type="pct"/>
            <w:tcBorders>
              <w:top w:val="single" w:color="000000" w:sz="4" w:space="0"/>
              <w:left w:val="single" w:color="000000" w:sz="4" w:space="0"/>
              <w:bottom w:val="single" w:color="000000" w:sz="4" w:space="0"/>
              <w:right w:val="single" w:color="000000" w:sz="4" w:space="0"/>
            </w:tcBorders>
            <w:vAlign w:val="center"/>
          </w:tcPr>
          <w:p w14:paraId="53BCFCEA">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30</w:t>
            </w:r>
          </w:p>
        </w:tc>
        <w:tc>
          <w:tcPr>
            <w:tcW w:w="298" w:type="pct"/>
            <w:tcBorders>
              <w:top w:val="single" w:color="000000" w:sz="4" w:space="0"/>
              <w:left w:val="single" w:color="000000" w:sz="4" w:space="0"/>
              <w:bottom w:val="single" w:color="000000" w:sz="4" w:space="0"/>
              <w:right w:val="single" w:color="000000" w:sz="4" w:space="0"/>
            </w:tcBorders>
            <w:vAlign w:val="center"/>
          </w:tcPr>
          <w:p w14:paraId="4C49E736">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0.5</w:t>
            </w:r>
          </w:p>
        </w:tc>
        <w:tc>
          <w:tcPr>
            <w:tcW w:w="298" w:type="pct"/>
            <w:tcBorders>
              <w:top w:val="single" w:color="000000" w:sz="4" w:space="0"/>
              <w:left w:val="single" w:color="000000" w:sz="4" w:space="0"/>
              <w:bottom w:val="single" w:color="000000" w:sz="4" w:space="0"/>
              <w:right w:val="single" w:color="000000" w:sz="4" w:space="0"/>
            </w:tcBorders>
            <w:vAlign w:val="center"/>
          </w:tcPr>
          <w:p w14:paraId="5A6C392B">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1</w:t>
            </w:r>
          </w:p>
        </w:tc>
        <w:tc>
          <w:tcPr>
            <w:tcW w:w="308" w:type="pct"/>
            <w:gridSpan w:val="2"/>
            <w:tcBorders>
              <w:top w:val="single" w:color="000000" w:sz="4" w:space="0"/>
              <w:left w:val="single" w:color="000000" w:sz="4" w:space="0"/>
              <w:bottom w:val="single" w:color="000000" w:sz="4" w:space="0"/>
              <w:right w:val="single" w:color="000000" w:sz="4" w:space="0"/>
            </w:tcBorders>
            <w:vAlign w:val="center"/>
          </w:tcPr>
          <w:p w14:paraId="5BD55680">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2</w:t>
            </w:r>
          </w:p>
        </w:tc>
      </w:tr>
      <w:tr w14:paraId="77D5D38C">
        <w:tblPrEx>
          <w:tblCellMar>
            <w:top w:w="0" w:type="dxa"/>
            <w:left w:w="108" w:type="dxa"/>
            <w:bottom w:w="0" w:type="dxa"/>
            <w:right w:w="108" w:type="dxa"/>
          </w:tblCellMar>
        </w:tblPrEx>
        <w:trPr>
          <w:gridAfter w:val="3"/>
          <w:wAfter w:w="717" w:type="pct"/>
        </w:trPr>
        <w:tc>
          <w:tcPr>
            <w:tcW w:w="157" w:type="pct"/>
            <w:tcBorders>
              <w:top w:val="single" w:color="000000" w:sz="4" w:space="0"/>
              <w:left w:val="single" w:color="000000" w:sz="4" w:space="0"/>
              <w:bottom w:val="single" w:color="000000" w:sz="4" w:space="0"/>
              <w:right w:val="single" w:color="000000" w:sz="4" w:space="0"/>
            </w:tcBorders>
            <w:vAlign w:val="center"/>
          </w:tcPr>
          <w:p w14:paraId="0AAC5773">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4</w:t>
            </w:r>
          </w:p>
        </w:tc>
        <w:tc>
          <w:tcPr>
            <w:tcW w:w="244" w:type="pct"/>
            <w:tcBorders>
              <w:top w:val="single" w:color="000000" w:sz="4" w:space="0"/>
              <w:left w:val="single" w:color="000000" w:sz="4" w:space="0"/>
              <w:bottom w:val="single" w:color="000000" w:sz="4" w:space="0"/>
              <w:right w:val="single" w:color="000000" w:sz="4" w:space="0"/>
            </w:tcBorders>
            <w:vAlign w:val="center"/>
          </w:tcPr>
          <w:p w14:paraId="0A438B70">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助餐</w:t>
            </w:r>
          </w:p>
        </w:tc>
        <w:tc>
          <w:tcPr>
            <w:tcW w:w="285" w:type="pct"/>
            <w:tcBorders>
              <w:top w:val="single" w:color="000000" w:sz="4" w:space="0"/>
              <w:left w:val="single" w:color="000000" w:sz="4" w:space="0"/>
              <w:bottom w:val="single" w:color="000000" w:sz="4" w:space="0"/>
              <w:right w:val="single" w:color="000000" w:sz="4" w:space="0"/>
            </w:tcBorders>
            <w:vAlign w:val="center"/>
          </w:tcPr>
          <w:p w14:paraId="3C579DAA">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鼻饲进食</w:t>
            </w:r>
          </w:p>
        </w:tc>
        <w:tc>
          <w:tcPr>
            <w:tcW w:w="714" w:type="pct"/>
            <w:tcBorders>
              <w:top w:val="single" w:color="000000" w:sz="4" w:space="0"/>
              <w:left w:val="single" w:color="000000" w:sz="4" w:space="0"/>
              <w:bottom w:val="single" w:color="000000" w:sz="4" w:space="0"/>
              <w:right w:val="single" w:color="000000" w:sz="4" w:space="0"/>
            </w:tcBorders>
            <w:vAlign w:val="center"/>
          </w:tcPr>
          <w:p w14:paraId="036FF975">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为已安装鼻饲管的老年人提供鼻饲灌注服务。</w:t>
            </w:r>
          </w:p>
        </w:tc>
        <w:tc>
          <w:tcPr>
            <w:tcW w:w="1499" w:type="pct"/>
            <w:tcBorders>
              <w:top w:val="single" w:color="000000" w:sz="4" w:space="0"/>
              <w:left w:val="single" w:color="000000" w:sz="4" w:space="0"/>
              <w:bottom w:val="single" w:color="000000" w:sz="4" w:space="0"/>
              <w:right w:val="single" w:color="000000" w:sz="4" w:space="0"/>
            </w:tcBorders>
            <w:vAlign w:val="center"/>
          </w:tcPr>
          <w:p w14:paraId="2B5CB60D">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此服务必须由经过培训的服务人员进行。 在合适的环境中，检查鼻胃管使用状态，调整食品温度，将老年人调整为合适体位后，进行灌注。灌注前后整理床单，清洗用物，消毒灌注器。服务完成后准确记录鼻饲时间和量。观察老人有无腹胀等不适症状并记录。</w:t>
            </w:r>
          </w:p>
        </w:tc>
        <w:tc>
          <w:tcPr>
            <w:tcW w:w="262" w:type="pct"/>
            <w:tcBorders>
              <w:top w:val="single" w:color="000000" w:sz="4" w:space="0"/>
              <w:left w:val="single" w:color="000000" w:sz="4" w:space="0"/>
              <w:bottom w:val="single" w:color="000000" w:sz="4" w:space="0"/>
              <w:right w:val="single" w:color="000000" w:sz="4" w:space="0"/>
            </w:tcBorders>
            <w:vAlign w:val="center"/>
          </w:tcPr>
          <w:p w14:paraId="10C161C4">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35</w:t>
            </w:r>
          </w:p>
        </w:tc>
        <w:tc>
          <w:tcPr>
            <w:tcW w:w="217" w:type="pct"/>
            <w:tcBorders>
              <w:top w:val="single" w:color="000000" w:sz="4" w:space="0"/>
              <w:left w:val="single" w:color="000000" w:sz="4" w:space="0"/>
              <w:bottom w:val="single" w:color="000000" w:sz="4" w:space="0"/>
              <w:right w:val="single" w:color="000000" w:sz="4" w:space="0"/>
            </w:tcBorders>
            <w:vAlign w:val="center"/>
          </w:tcPr>
          <w:p w14:paraId="2047C9F3">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30</w:t>
            </w:r>
          </w:p>
        </w:tc>
        <w:tc>
          <w:tcPr>
            <w:tcW w:w="298" w:type="pct"/>
            <w:tcBorders>
              <w:top w:val="single" w:color="000000" w:sz="4" w:space="0"/>
              <w:left w:val="single" w:color="000000" w:sz="4" w:space="0"/>
              <w:bottom w:val="single" w:color="000000" w:sz="4" w:space="0"/>
              <w:right w:val="single" w:color="000000" w:sz="4" w:space="0"/>
            </w:tcBorders>
            <w:vAlign w:val="center"/>
          </w:tcPr>
          <w:p w14:paraId="30645100">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0.5</w:t>
            </w:r>
          </w:p>
        </w:tc>
        <w:tc>
          <w:tcPr>
            <w:tcW w:w="298" w:type="pct"/>
            <w:tcBorders>
              <w:top w:val="single" w:color="000000" w:sz="4" w:space="0"/>
              <w:left w:val="single" w:color="000000" w:sz="4" w:space="0"/>
              <w:bottom w:val="single" w:color="000000" w:sz="4" w:space="0"/>
              <w:right w:val="single" w:color="000000" w:sz="4" w:space="0"/>
            </w:tcBorders>
            <w:vAlign w:val="center"/>
          </w:tcPr>
          <w:p w14:paraId="3312D062">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1</w:t>
            </w:r>
          </w:p>
        </w:tc>
        <w:tc>
          <w:tcPr>
            <w:tcW w:w="308" w:type="pct"/>
            <w:gridSpan w:val="2"/>
            <w:tcBorders>
              <w:top w:val="single" w:color="000000" w:sz="4" w:space="0"/>
              <w:left w:val="single" w:color="000000" w:sz="4" w:space="0"/>
              <w:bottom w:val="single" w:color="000000" w:sz="4" w:space="0"/>
              <w:right w:val="single" w:color="000000" w:sz="4" w:space="0"/>
            </w:tcBorders>
            <w:vAlign w:val="center"/>
          </w:tcPr>
          <w:p w14:paraId="0ACABCF9">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2</w:t>
            </w:r>
          </w:p>
        </w:tc>
      </w:tr>
      <w:tr w14:paraId="70E4F622">
        <w:tblPrEx>
          <w:tblCellMar>
            <w:top w:w="0" w:type="dxa"/>
            <w:left w:w="108" w:type="dxa"/>
            <w:bottom w:w="0" w:type="dxa"/>
            <w:right w:w="108" w:type="dxa"/>
          </w:tblCellMar>
        </w:tblPrEx>
        <w:trPr>
          <w:gridAfter w:val="3"/>
          <w:wAfter w:w="717" w:type="pct"/>
        </w:trPr>
        <w:tc>
          <w:tcPr>
            <w:tcW w:w="157" w:type="pct"/>
            <w:tcBorders>
              <w:top w:val="single" w:color="000000" w:sz="4" w:space="0"/>
              <w:left w:val="single" w:color="000000" w:sz="4" w:space="0"/>
              <w:bottom w:val="single" w:color="000000" w:sz="4" w:space="0"/>
              <w:right w:val="single" w:color="000000" w:sz="4" w:space="0"/>
            </w:tcBorders>
            <w:vAlign w:val="center"/>
          </w:tcPr>
          <w:p w14:paraId="2D23DCA9">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5</w:t>
            </w:r>
          </w:p>
        </w:tc>
        <w:tc>
          <w:tcPr>
            <w:tcW w:w="244" w:type="pct"/>
            <w:tcBorders>
              <w:top w:val="single" w:color="000000" w:sz="4" w:space="0"/>
              <w:left w:val="single" w:color="000000" w:sz="4" w:space="0"/>
              <w:bottom w:val="single" w:color="000000" w:sz="4" w:space="0"/>
              <w:right w:val="single" w:color="000000" w:sz="4" w:space="0"/>
            </w:tcBorders>
            <w:vAlign w:val="center"/>
          </w:tcPr>
          <w:p w14:paraId="1F667B3C">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助浴</w:t>
            </w:r>
          </w:p>
        </w:tc>
        <w:tc>
          <w:tcPr>
            <w:tcW w:w="285" w:type="pct"/>
            <w:tcBorders>
              <w:top w:val="single" w:color="000000" w:sz="4" w:space="0"/>
              <w:left w:val="single" w:color="000000" w:sz="4" w:space="0"/>
              <w:bottom w:val="single" w:color="000000" w:sz="4" w:space="0"/>
              <w:right w:val="single" w:color="000000" w:sz="4" w:space="0"/>
            </w:tcBorders>
            <w:vAlign w:val="center"/>
          </w:tcPr>
          <w:p w14:paraId="540F7B4E">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上门洗浴</w:t>
            </w:r>
          </w:p>
        </w:tc>
        <w:tc>
          <w:tcPr>
            <w:tcW w:w="714" w:type="pct"/>
            <w:tcBorders>
              <w:top w:val="single" w:color="000000" w:sz="4" w:space="0"/>
              <w:left w:val="single" w:color="000000" w:sz="4" w:space="0"/>
              <w:bottom w:val="single" w:color="000000" w:sz="4" w:space="0"/>
              <w:right w:val="single" w:color="000000" w:sz="4" w:space="0"/>
            </w:tcBorders>
            <w:vAlign w:val="center"/>
          </w:tcPr>
          <w:p w14:paraId="75BCDA00">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服务人员携带专业助浴工具、借助老年人家庭洗浴环境和设备，为老年人提供居家洗浴服务的活动</w:t>
            </w:r>
          </w:p>
        </w:tc>
        <w:tc>
          <w:tcPr>
            <w:tcW w:w="1499" w:type="pct"/>
            <w:tcBorders>
              <w:top w:val="single" w:color="000000" w:sz="4" w:space="0"/>
              <w:left w:val="single" w:color="000000" w:sz="4" w:space="0"/>
              <w:bottom w:val="single" w:color="000000" w:sz="4" w:space="0"/>
              <w:right w:val="single" w:color="000000" w:sz="4" w:space="0"/>
            </w:tcBorders>
            <w:vAlign w:val="center"/>
          </w:tcPr>
          <w:p w14:paraId="1BBD6615">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配置两名服务人员，携带随身助浴工具，前往老年人住所，借助住所洗浴环境和设备，提供助浴服务。需先行评估老年人身体状况以及居住环境是否满足洗浴要求，服务时需要注意环境温度，水温，以及老年人身体状况，洗浴完成后，涂抹润肤膏，擦干身体，吹干头发，更换衣服，服务后再次测量老年人生命体征，应对洗浴设施设备及用品进行清洁消毒。</w:t>
            </w:r>
          </w:p>
        </w:tc>
        <w:tc>
          <w:tcPr>
            <w:tcW w:w="262" w:type="pct"/>
            <w:tcBorders>
              <w:top w:val="single" w:color="000000" w:sz="4" w:space="0"/>
              <w:left w:val="single" w:color="000000" w:sz="4" w:space="0"/>
              <w:bottom w:val="single" w:color="000000" w:sz="4" w:space="0"/>
              <w:right w:val="single" w:color="000000" w:sz="4" w:space="0"/>
            </w:tcBorders>
            <w:vAlign w:val="center"/>
          </w:tcPr>
          <w:p w14:paraId="1209E1A0">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90</w:t>
            </w:r>
          </w:p>
        </w:tc>
        <w:tc>
          <w:tcPr>
            <w:tcW w:w="217" w:type="pct"/>
            <w:tcBorders>
              <w:top w:val="single" w:color="000000" w:sz="4" w:space="0"/>
              <w:left w:val="single" w:color="000000" w:sz="4" w:space="0"/>
              <w:bottom w:val="single" w:color="000000" w:sz="4" w:space="0"/>
              <w:right w:val="single" w:color="000000" w:sz="4" w:space="0"/>
            </w:tcBorders>
            <w:vAlign w:val="center"/>
          </w:tcPr>
          <w:p w14:paraId="44D174E4">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40</w:t>
            </w:r>
          </w:p>
        </w:tc>
        <w:tc>
          <w:tcPr>
            <w:tcW w:w="298" w:type="pct"/>
            <w:tcBorders>
              <w:top w:val="single" w:color="000000" w:sz="4" w:space="0"/>
              <w:left w:val="single" w:color="000000" w:sz="4" w:space="0"/>
              <w:bottom w:val="single" w:color="000000" w:sz="4" w:space="0"/>
              <w:right w:val="single" w:color="000000" w:sz="4" w:space="0"/>
            </w:tcBorders>
            <w:vAlign w:val="center"/>
          </w:tcPr>
          <w:p w14:paraId="0CF00973">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0.8</w:t>
            </w:r>
          </w:p>
        </w:tc>
        <w:tc>
          <w:tcPr>
            <w:tcW w:w="298" w:type="pct"/>
            <w:tcBorders>
              <w:top w:val="single" w:color="000000" w:sz="4" w:space="0"/>
              <w:left w:val="single" w:color="000000" w:sz="4" w:space="0"/>
              <w:bottom w:val="single" w:color="000000" w:sz="4" w:space="0"/>
              <w:right w:val="single" w:color="000000" w:sz="4" w:space="0"/>
            </w:tcBorders>
            <w:vAlign w:val="center"/>
          </w:tcPr>
          <w:p w14:paraId="59AD6F84">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1</w:t>
            </w:r>
          </w:p>
        </w:tc>
        <w:tc>
          <w:tcPr>
            <w:tcW w:w="308" w:type="pct"/>
            <w:gridSpan w:val="2"/>
            <w:tcBorders>
              <w:top w:val="single" w:color="000000" w:sz="4" w:space="0"/>
              <w:left w:val="single" w:color="000000" w:sz="4" w:space="0"/>
              <w:bottom w:val="single" w:color="000000" w:sz="4" w:space="0"/>
              <w:right w:val="single" w:color="000000" w:sz="4" w:space="0"/>
            </w:tcBorders>
            <w:vAlign w:val="center"/>
          </w:tcPr>
          <w:p w14:paraId="395D2A7B">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2</w:t>
            </w:r>
          </w:p>
        </w:tc>
      </w:tr>
      <w:tr w14:paraId="531840D4">
        <w:tblPrEx>
          <w:tblCellMar>
            <w:top w:w="0" w:type="dxa"/>
            <w:left w:w="108" w:type="dxa"/>
            <w:bottom w:w="0" w:type="dxa"/>
            <w:right w:w="108" w:type="dxa"/>
          </w:tblCellMar>
        </w:tblPrEx>
        <w:trPr>
          <w:gridAfter w:val="3"/>
          <w:wAfter w:w="717" w:type="pct"/>
        </w:trPr>
        <w:tc>
          <w:tcPr>
            <w:tcW w:w="157" w:type="pct"/>
            <w:tcBorders>
              <w:top w:val="single" w:color="000000" w:sz="4" w:space="0"/>
              <w:left w:val="single" w:color="000000" w:sz="4" w:space="0"/>
              <w:bottom w:val="single" w:color="000000" w:sz="4" w:space="0"/>
              <w:right w:val="single" w:color="000000" w:sz="4" w:space="0"/>
            </w:tcBorders>
            <w:vAlign w:val="center"/>
          </w:tcPr>
          <w:p w14:paraId="0988837E">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6</w:t>
            </w:r>
          </w:p>
        </w:tc>
        <w:tc>
          <w:tcPr>
            <w:tcW w:w="244" w:type="pct"/>
            <w:tcBorders>
              <w:top w:val="single" w:color="000000" w:sz="4" w:space="0"/>
              <w:left w:val="single" w:color="000000" w:sz="4" w:space="0"/>
              <w:bottom w:val="single" w:color="000000" w:sz="4" w:space="0"/>
              <w:right w:val="single" w:color="000000" w:sz="4" w:space="0"/>
            </w:tcBorders>
            <w:vAlign w:val="center"/>
          </w:tcPr>
          <w:p w14:paraId="02333EC1">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助浴</w:t>
            </w:r>
          </w:p>
        </w:tc>
        <w:tc>
          <w:tcPr>
            <w:tcW w:w="285" w:type="pct"/>
            <w:tcBorders>
              <w:top w:val="single" w:color="000000" w:sz="4" w:space="0"/>
              <w:left w:val="single" w:color="000000" w:sz="4" w:space="0"/>
              <w:bottom w:val="single" w:color="000000" w:sz="4" w:space="0"/>
              <w:right w:val="single" w:color="000000" w:sz="4" w:space="0"/>
            </w:tcBorders>
            <w:vAlign w:val="center"/>
          </w:tcPr>
          <w:p w14:paraId="4EFAE0E4">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流动洗浴</w:t>
            </w:r>
          </w:p>
        </w:tc>
        <w:tc>
          <w:tcPr>
            <w:tcW w:w="714" w:type="pct"/>
            <w:tcBorders>
              <w:top w:val="single" w:color="000000" w:sz="4" w:space="0"/>
              <w:left w:val="single" w:color="000000" w:sz="4" w:space="0"/>
              <w:bottom w:val="single" w:color="000000" w:sz="4" w:space="0"/>
              <w:right w:val="single" w:color="000000" w:sz="4" w:space="0"/>
            </w:tcBorders>
            <w:vAlign w:val="center"/>
          </w:tcPr>
          <w:p w14:paraId="0F3ABE40">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利用专门的可移动洗浴设施设备和专业的服务人员，协助老年人完成洗浴的过程。</w:t>
            </w:r>
          </w:p>
        </w:tc>
        <w:tc>
          <w:tcPr>
            <w:tcW w:w="1499" w:type="pct"/>
            <w:tcBorders>
              <w:top w:val="single" w:color="000000" w:sz="4" w:space="0"/>
              <w:left w:val="single" w:color="000000" w:sz="4" w:space="0"/>
              <w:bottom w:val="single" w:color="000000" w:sz="4" w:space="0"/>
              <w:right w:val="single" w:color="000000" w:sz="4" w:space="0"/>
            </w:tcBorders>
            <w:vAlign w:val="center"/>
          </w:tcPr>
          <w:p w14:paraId="27A8154B">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至少配置两名服务人员，一台专业流动洗浴设备。需先行评估老年人身体状况以及居住环境能否满足流动助浴需求，而后将老年人从家中移动至流动洗浴设备中，进行助浴服务。期间时刻注意环境温度，水温，以及老年人身体状况，洗浴完成后，涂抹润肤膏，擦干身体，吹干头发，更换衣服，服务后再次测量老年人生命体征，并将老年人送回家中。</w:t>
            </w:r>
          </w:p>
        </w:tc>
        <w:tc>
          <w:tcPr>
            <w:tcW w:w="262" w:type="pct"/>
            <w:tcBorders>
              <w:top w:val="single" w:color="000000" w:sz="4" w:space="0"/>
              <w:left w:val="single" w:color="000000" w:sz="4" w:space="0"/>
              <w:bottom w:val="single" w:color="000000" w:sz="4" w:space="0"/>
              <w:right w:val="single" w:color="000000" w:sz="4" w:space="0"/>
            </w:tcBorders>
            <w:vAlign w:val="center"/>
          </w:tcPr>
          <w:p w14:paraId="1EC95453">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220</w:t>
            </w:r>
          </w:p>
        </w:tc>
        <w:tc>
          <w:tcPr>
            <w:tcW w:w="217" w:type="pct"/>
            <w:tcBorders>
              <w:top w:val="single" w:color="000000" w:sz="4" w:space="0"/>
              <w:left w:val="single" w:color="000000" w:sz="4" w:space="0"/>
              <w:bottom w:val="single" w:color="000000" w:sz="4" w:space="0"/>
              <w:right w:val="single" w:color="000000" w:sz="4" w:space="0"/>
            </w:tcBorders>
            <w:vAlign w:val="center"/>
          </w:tcPr>
          <w:p w14:paraId="3BB0ADF3">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40</w:t>
            </w:r>
          </w:p>
        </w:tc>
        <w:tc>
          <w:tcPr>
            <w:tcW w:w="298" w:type="pct"/>
            <w:tcBorders>
              <w:top w:val="single" w:color="000000" w:sz="4" w:space="0"/>
              <w:left w:val="single" w:color="000000" w:sz="4" w:space="0"/>
              <w:bottom w:val="single" w:color="000000" w:sz="4" w:space="0"/>
              <w:right w:val="single" w:color="000000" w:sz="4" w:space="0"/>
            </w:tcBorders>
            <w:vAlign w:val="center"/>
          </w:tcPr>
          <w:p w14:paraId="1324C61A">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0.5</w:t>
            </w:r>
          </w:p>
        </w:tc>
        <w:tc>
          <w:tcPr>
            <w:tcW w:w="298" w:type="pct"/>
            <w:tcBorders>
              <w:top w:val="single" w:color="000000" w:sz="4" w:space="0"/>
              <w:left w:val="single" w:color="000000" w:sz="4" w:space="0"/>
              <w:bottom w:val="single" w:color="000000" w:sz="4" w:space="0"/>
              <w:right w:val="single" w:color="000000" w:sz="4" w:space="0"/>
            </w:tcBorders>
            <w:vAlign w:val="center"/>
          </w:tcPr>
          <w:p w14:paraId="08A7DB42">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0.8</w:t>
            </w:r>
          </w:p>
        </w:tc>
        <w:tc>
          <w:tcPr>
            <w:tcW w:w="308" w:type="pct"/>
            <w:gridSpan w:val="2"/>
            <w:tcBorders>
              <w:top w:val="single" w:color="000000" w:sz="4" w:space="0"/>
              <w:left w:val="single" w:color="000000" w:sz="4" w:space="0"/>
              <w:bottom w:val="single" w:color="000000" w:sz="4" w:space="0"/>
              <w:right w:val="single" w:color="000000" w:sz="4" w:space="0"/>
            </w:tcBorders>
            <w:vAlign w:val="center"/>
          </w:tcPr>
          <w:p w14:paraId="62D832F7">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1</w:t>
            </w:r>
          </w:p>
        </w:tc>
      </w:tr>
      <w:tr w14:paraId="00ADFCEB">
        <w:tblPrEx>
          <w:tblCellMar>
            <w:top w:w="0" w:type="dxa"/>
            <w:left w:w="108" w:type="dxa"/>
            <w:bottom w:w="0" w:type="dxa"/>
            <w:right w:w="108" w:type="dxa"/>
          </w:tblCellMar>
        </w:tblPrEx>
        <w:trPr>
          <w:gridAfter w:val="3"/>
          <w:wAfter w:w="717" w:type="pct"/>
        </w:trPr>
        <w:tc>
          <w:tcPr>
            <w:tcW w:w="157" w:type="pct"/>
            <w:tcBorders>
              <w:top w:val="single" w:color="000000" w:sz="4" w:space="0"/>
              <w:left w:val="single" w:color="000000" w:sz="4" w:space="0"/>
              <w:bottom w:val="single" w:color="000000" w:sz="4" w:space="0"/>
              <w:right w:val="single" w:color="000000" w:sz="4" w:space="0"/>
            </w:tcBorders>
            <w:vAlign w:val="center"/>
          </w:tcPr>
          <w:p w14:paraId="477925D1">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7</w:t>
            </w:r>
          </w:p>
        </w:tc>
        <w:tc>
          <w:tcPr>
            <w:tcW w:w="244" w:type="pct"/>
            <w:tcBorders>
              <w:top w:val="single" w:color="000000" w:sz="4" w:space="0"/>
              <w:left w:val="single" w:color="000000" w:sz="4" w:space="0"/>
              <w:bottom w:val="single" w:color="000000" w:sz="4" w:space="0"/>
              <w:right w:val="single" w:color="000000" w:sz="4" w:space="0"/>
            </w:tcBorders>
            <w:vAlign w:val="center"/>
          </w:tcPr>
          <w:p w14:paraId="400E2624">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助浴</w:t>
            </w:r>
          </w:p>
        </w:tc>
        <w:tc>
          <w:tcPr>
            <w:tcW w:w="285" w:type="pct"/>
            <w:tcBorders>
              <w:top w:val="single" w:color="000000" w:sz="4" w:space="0"/>
              <w:left w:val="single" w:color="000000" w:sz="4" w:space="0"/>
              <w:bottom w:val="single" w:color="000000" w:sz="4" w:space="0"/>
              <w:right w:val="single" w:color="000000" w:sz="4" w:space="0"/>
            </w:tcBorders>
            <w:vAlign w:val="center"/>
          </w:tcPr>
          <w:p w14:paraId="4B34C863">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定点助浴</w:t>
            </w:r>
          </w:p>
        </w:tc>
        <w:tc>
          <w:tcPr>
            <w:tcW w:w="714" w:type="pct"/>
            <w:tcBorders>
              <w:top w:val="single" w:color="000000" w:sz="4" w:space="0"/>
              <w:left w:val="single" w:color="000000" w:sz="4" w:space="0"/>
              <w:bottom w:val="single" w:color="000000" w:sz="4" w:space="0"/>
              <w:right w:val="single" w:color="000000" w:sz="4" w:space="0"/>
            </w:tcBorders>
            <w:vAlign w:val="center"/>
          </w:tcPr>
          <w:p w14:paraId="70DF364C">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在服务机构定点设施或场所内为老年人提供洗浴服务</w:t>
            </w:r>
          </w:p>
        </w:tc>
        <w:tc>
          <w:tcPr>
            <w:tcW w:w="1499" w:type="pct"/>
            <w:tcBorders>
              <w:top w:val="single" w:color="000000" w:sz="4" w:space="0"/>
              <w:left w:val="single" w:color="000000" w:sz="4" w:space="0"/>
              <w:bottom w:val="single" w:color="000000" w:sz="4" w:space="0"/>
              <w:right w:val="single" w:color="000000" w:sz="4" w:space="0"/>
            </w:tcBorders>
            <w:vAlign w:val="center"/>
          </w:tcPr>
          <w:p w14:paraId="168536FE">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配置两名服务人员，在服务机构定点设施或场所内为老年人提供洗浴服务，服务前测量老年人生命体征，服务时需要注意环境温度，水温，以及老年人身体状况，洗浴完成后，擦干身体，吹干头发，更换衣服，服务后再次测量老年人生命体征，应对洗浴设施设备及用品进行清洁消毒。</w:t>
            </w:r>
          </w:p>
        </w:tc>
        <w:tc>
          <w:tcPr>
            <w:tcW w:w="262" w:type="pct"/>
            <w:tcBorders>
              <w:top w:val="single" w:color="000000" w:sz="4" w:space="0"/>
              <w:left w:val="single" w:color="000000" w:sz="4" w:space="0"/>
              <w:bottom w:val="single" w:color="000000" w:sz="4" w:space="0"/>
              <w:right w:val="single" w:color="000000" w:sz="4" w:space="0"/>
            </w:tcBorders>
            <w:vAlign w:val="center"/>
          </w:tcPr>
          <w:p w14:paraId="05188BD1">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70</w:t>
            </w:r>
          </w:p>
        </w:tc>
        <w:tc>
          <w:tcPr>
            <w:tcW w:w="217" w:type="pct"/>
            <w:tcBorders>
              <w:top w:val="single" w:color="000000" w:sz="4" w:space="0"/>
              <w:left w:val="single" w:color="000000" w:sz="4" w:space="0"/>
              <w:bottom w:val="single" w:color="000000" w:sz="4" w:space="0"/>
              <w:right w:val="single" w:color="000000" w:sz="4" w:space="0"/>
            </w:tcBorders>
            <w:vAlign w:val="center"/>
          </w:tcPr>
          <w:p w14:paraId="4972D3B6">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40</w:t>
            </w:r>
          </w:p>
        </w:tc>
        <w:tc>
          <w:tcPr>
            <w:tcW w:w="298" w:type="pct"/>
            <w:tcBorders>
              <w:top w:val="single" w:color="000000" w:sz="4" w:space="0"/>
              <w:left w:val="single" w:color="000000" w:sz="4" w:space="0"/>
              <w:bottom w:val="single" w:color="000000" w:sz="4" w:space="0"/>
              <w:right w:val="single" w:color="000000" w:sz="4" w:space="0"/>
            </w:tcBorders>
            <w:vAlign w:val="center"/>
          </w:tcPr>
          <w:p w14:paraId="42D42051">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0.5</w:t>
            </w:r>
          </w:p>
        </w:tc>
        <w:tc>
          <w:tcPr>
            <w:tcW w:w="298" w:type="pct"/>
            <w:tcBorders>
              <w:top w:val="single" w:color="000000" w:sz="4" w:space="0"/>
              <w:left w:val="single" w:color="000000" w:sz="4" w:space="0"/>
              <w:bottom w:val="single" w:color="000000" w:sz="4" w:space="0"/>
              <w:right w:val="single" w:color="000000" w:sz="4" w:space="0"/>
            </w:tcBorders>
            <w:vAlign w:val="center"/>
          </w:tcPr>
          <w:p w14:paraId="434CD760">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1</w:t>
            </w:r>
          </w:p>
        </w:tc>
        <w:tc>
          <w:tcPr>
            <w:tcW w:w="308" w:type="pct"/>
            <w:gridSpan w:val="2"/>
            <w:tcBorders>
              <w:top w:val="single" w:color="000000" w:sz="4" w:space="0"/>
              <w:left w:val="single" w:color="000000" w:sz="4" w:space="0"/>
              <w:bottom w:val="single" w:color="000000" w:sz="4" w:space="0"/>
              <w:right w:val="single" w:color="000000" w:sz="4" w:space="0"/>
            </w:tcBorders>
            <w:vAlign w:val="center"/>
          </w:tcPr>
          <w:p w14:paraId="006F17FA">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2</w:t>
            </w:r>
          </w:p>
        </w:tc>
      </w:tr>
      <w:tr w14:paraId="5DEBADE5">
        <w:tblPrEx>
          <w:tblCellMar>
            <w:top w:w="0" w:type="dxa"/>
            <w:left w:w="108" w:type="dxa"/>
            <w:bottom w:w="0" w:type="dxa"/>
            <w:right w:w="108" w:type="dxa"/>
          </w:tblCellMar>
        </w:tblPrEx>
        <w:trPr>
          <w:gridAfter w:val="3"/>
          <w:wAfter w:w="717" w:type="pct"/>
        </w:trPr>
        <w:tc>
          <w:tcPr>
            <w:tcW w:w="157" w:type="pct"/>
            <w:tcBorders>
              <w:top w:val="single" w:color="000000" w:sz="4" w:space="0"/>
              <w:left w:val="single" w:color="000000" w:sz="4" w:space="0"/>
              <w:bottom w:val="single" w:color="000000" w:sz="4" w:space="0"/>
              <w:right w:val="single" w:color="000000" w:sz="4" w:space="0"/>
            </w:tcBorders>
            <w:vAlign w:val="center"/>
          </w:tcPr>
          <w:p w14:paraId="33D5A971">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8</w:t>
            </w:r>
          </w:p>
        </w:tc>
        <w:tc>
          <w:tcPr>
            <w:tcW w:w="244" w:type="pct"/>
            <w:tcBorders>
              <w:top w:val="single" w:color="000000" w:sz="4" w:space="0"/>
              <w:left w:val="single" w:color="000000" w:sz="4" w:space="0"/>
              <w:bottom w:val="single" w:color="000000" w:sz="4" w:space="0"/>
              <w:right w:val="single" w:color="000000" w:sz="4" w:space="0"/>
            </w:tcBorders>
            <w:vAlign w:val="center"/>
          </w:tcPr>
          <w:p w14:paraId="0EC78A89">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助浴</w:t>
            </w:r>
          </w:p>
        </w:tc>
        <w:tc>
          <w:tcPr>
            <w:tcW w:w="285" w:type="pct"/>
            <w:tcBorders>
              <w:top w:val="single" w:color="000000" w:sz="4" w:space="0"/>
              <w:left w:val="single" w:color="000000" w:sz="4" w:space="0"/>
              <w:bottom w:val="single" w:color="000000" w:sz="4" w:space="0"/>
              <w:right w:val="single" w:color="000000" w:sz="4" w:space="0"/>
            </w:tcBorders>
            <w:vAlign w:val="center"/>
          </w:tcPr>
          <w:p w14:paraId="7C2F259E">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擦洗身体</w:t>
            </w:r>
          </w:p>
        </w:tc>
        <w:tc>
          <w:tcPr>
            <w:tcW w:w="714" w:type="pct"/>
            <w:tcBorders>
              <w:top w:val="single" w:color="000000" w:sz="4" w:space="0"/>
              <w:left w:val="single" w:color="000000" w:sz="4" w:space="0"/>
              <w:bottom w:val="single" w:color="000000" w:sz="4" w:space="0"/>
              <w:right w:val="single" w:color="000000" w:sz="4" w:space="0"/>
            </w:tcBorders>
            <w:vAlign w:val="center"/>
          </w:tcPr>
          <w:p w14:paraId="21353A44">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用清洁工具擦拭身体</w:t>
            </w:r>
          </w:p>
        </w:tc>
        <w:tc>
          <w:tcPr>
            <w:tcW w:w="1499" w:type="pct"/>
            <w:tcBorders>
              <w:top w:val="single" w:color="000000" w:sz="4" w:space="0"/>
              <w:left w:val="single" w:color="000000" w:sz="4" w:space="0"/>
              <w:bottom w:val="single" w:color="000000" w:sz="4" w:space="0"/>
              <w:right w:val="single" w:color="000000" w:sz="4" w:space="0"/>
            </w:tcBorders>
            <w:vAlign w:val="center"/>
          </w:tcPr>
          <w:p w14:paraId="03840A6F">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携带随身工具，前往老年人住所为老年人提供服务，擦浴服务过程中时刻注意环境温度，水温，足部、会阴应用专用水盆、毛巾。擦洗完成后，为老年人更换干净衣裤，盖好被子，清理环境，并对工具进行消毒处理。</w:t>
            </w:r>
          </w:p>
        </w:tc>
        <w:tc>
          <w:tcPr>
            <w:tcW w:w="262" w:type="pct"/>
            <w:tcBorders>
              <w:top w:val="single" w:color="000000" w:sz="4" w:space="0"/>
              <w:left w:val="single" w:color="000000" w:sz="4" w:space="0"/>
              <w:bottom w:val="single" w:color="000000" w:sz="4" w:space="0"/>
              <w:right w:val="single" w:color="000000" w:sz="4" w:space="0"/>
            </w:tcBorders>
            <w:vAlign w:val="center"/>
          </w:tcPr>
          <w:p w14:paraId="1310FF62">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50</w:t>
            </w:r>
          </w:p>
        </w:tc>
        <w:tc>
          <w:tcPr>
            <w:tcW w:w="217" w:type="pct"/>
            <w:tcBorders>
              <w:top w:val="single" w:color="000000" w:sz="4" w:space="0"/>
              <w:left w:val="single" w:color="000000" w:sz="4" w:space="0"/>
              <w:bottom w:val="single" w:color="000000" w:sz="4" w:space="0"/>
              <w:right w:val="single" w:color="000000" w:sz="4" w:space="0"/>
            </w:tcBorders>
            <w:vAlign w:val="center"/>
          </w:tcPr>
          <w:p w14:paraId="4C4BAD71">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30</w:t>
            </w:r>
          </w:p>
        </w:tc>
        <w:tc>
          <w:tcPr>
            <w:tcW w:w="298" w:type="pct"/>
            <w:tcBorders>
              <w:top w:val="single" w:color="000000" w:sz="4" w:space="0"/>
              <w:left w:val="single" w:color="000000" w:sz="4" w:space="0"/>
              <w:bottom w:val="single" w:color="000000" w:sz="4" w:space="0"/>
              <w:right w:val="single" w:color="000000" w:sz="4" w:space="0"/>
            </w:tcBorders>
            <w:vAlign w:val="center"/>
          </w:tcPr>
          <w:p w14:paraId="497B2B71">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0.5</w:t>
            </w:r>
          </w:p>
        </w:tc>
        <w:tc>
          <w:tcPr>
            <w:tcW w:w="298" w:type="pct"/>
            <w:tcBorders>
              <w:top w:val="single" w:color="000000" w:sz="4" w:space="0"/>
              <w:left w:val="single" w:color="000000" w:sz="4" w:space="0"/>
              <w:bottom w:val="single" w:color="000000" w:sz="4" w:space="0"/>
              <w:right w:val="single" w:color="000000" w:sz="4" w:space="0"/>
            </w:tcBorders>
            <w:vAlign w:val="center"/>
          </w:tcPr>
          <w:p w14:paraId="26CA0D77">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1</w:t>
            </w:r>
          </w:p>
        </w:tc>
        <w:tc>
          <w:tcPr>
            <w:tcW w:w="308" w:type="pct"/>
            <w:gridSpan w:val="2"/>
            <w:tcBorders>
              <w:top w:val="single" w:color="000000" w:sz="4" w:space="0"/>
              <w:left w:val="single" w:color="000000" w:sz="4" w:space="0"/>
              <w:bottom w:val="single" w:color="000000" w:sz="4" w:space="0"/>
              <w:right w:val="single" w:color="000000" w:sz="4" w:space="0"/>
            </w:tcBorders>
            <w:vAlign w:val="center"/>
          </w:tcPr>
          <w:p w14:paraId="5F40CEE4">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2</w:t>
            </w:r>
          </w:p>
        </w:tc>
      </w:tr>
      <w:tr w14:paraId="0893248C">
        <w:tblPrEx>
          <w:tblCellMar>
            <w:top w:w="0" w:type="dxa"/>
            <w:left w:w="108" w:type="dxa"/>
            <w:bottom w:w="0" w:type="dxa"/>
            <w:right w:w="108" w:type="dxa"/>
          </w:tblCellMar>
        </w:tblPrEx>
        <w:trPr>
          <w:gridAfter w:val="3"/>
          <w:wAfter w:w="717" w:type="pct"/>
        </w:trPr>
        <w:tc>
          <w:tcPr>
            <w:tcW w:w="157" w:type="pct"/>
            <w:tcBorders>
              <w:top w:val="single" w:color="000000" w:sz="4" w:space="0"/>
              <w:left w:val="single" w:color="000000" w:sz="4" w:space="0"/>
              <w:bottom w:val="single" w:color="000000" w:sz="4" w:space="0"/>
              <w:right w:val="single" w:color="000000" w:sz="4" w:space="0"/>
            </w:tcBorders>
            <w:vAlign w:val="center"/>
          </w:tcPr>
          <w:p w14:paraId="19BA39DA">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9</w:t>
            </w:r>
          </w:p>
        </w:tc>
        <w:tc>
          <w:tcPr>
            <w:tcW w:w="244" w:type="pct"/>
            <w:tcBorders>
              <w:top w:val="single" w:color="000000" w:sz="4" w:space="0"/>
              <w:left w:val="single" w:color="000000" w:sz="4" w:space="0"/>
              <w:bottom w:val="single" w:color="000000" w:sz="4" w:space="0"/>
              <w:right w:val="single" w:color="000000" w:sz="4" w:space="0"/>
            </w:tcBorders>
            <w:vAlign w:val="center"/>
          </w:tcPr>
          <w:p w14:paraId="70EA7D8E">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助浴</w:t>
            </w:r>
          </w:p>
        </w:tc>
        <w:tc>
          <w:tcPr>
            <w:tcW w:w="285" w:type="pct"/>
            <w:tcBorders>
              <w:top w:val="single" w:color="000000" w:sz="4" w:space="0"/>
              <w:left w:val="single" w:color="000000" w:sz="4" w:space="0"/>
              <w:bottom w:val="single" w:color="000000" w:sz="4" w:space="0"/>
              <w:right w:val="single" w:color="000000" w:sz="4" w:space="0"/>
            </w:tcBorders>
            <w:vAlign w:val="center"/>
          </w:tcPr>
          <w:p w14:paraId="4C18DAB2">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中医疗足浴</w:t>
            </w:r>
          </w:p>
        </w:tc>
        <w:tc>
          <w:tcPr>
            <w:tcW w:w="714" w:type="pct"/>
            <w:tcBorders>
              <w:top w:val="single" w:color="000000" w:sz="4" w:space="0"/>
              <w:left w:val="single" w:color="000000" w:sz="4" w:space="0"/>
              <w:bottom w:val="single" w:color="000000" w:sz="4" w:space="0"/>
              <w:right w:val="single" w:color="000000" w:sz="4" w:space="0"/>
            </w:tcBorders>
            <w:vAlign w:val="center"/>
          </w:tcPr>
          <w:p w14:paraId="3DEF8962">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采用药物煎汤，将双足浸泡、洗浴、按摩的一种疗法</w:t>
            </w:r>
          </w:p>
        </w:tc>
        <w:tc>
          <w:tcPr>
            <w:tcW w:w="1499" w:type="pct"/>
            <w:tcBorders>
              <w:top w:val="single" w:color="000000" w:sz="4" w:space="0"/>
              <w:left w:val="single" w:color="000000" w:sz="4" w:space="0"/>
              <w:bottom w:val="single" w:color="000000" w:sz="4" w:space="0"/>
              <w:right w:val="single" w:color="000000" w:sz="4" w:space="0"/>
            </w:tcBorders>
            <w:vAlign w:val="center"/>
          </w:tcPr>
          <w:p w14:paraId="1DC6BF09">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结合老年人意愿以及身体状况，挑选药物煎汤，用温水和毛巾清洁双脚，去除脏污和角质，以温和的方式推拿足底穴位和经络，促进血液循环，足浴完成后用干净的毛巾擦干水分，并涂抹适量的保湿霜，保持足部的湿润，并对工具进行消毒处理。</w:t>
            </w:r>
          </w:p>
        </w:tc>
        <w:tc>
          <w:tcPr>
            <w:tcW w:w="262" w:type="pct"/>
            <w:tcBorders>
              <w:top w:val="single" w:color="000000" w:sz="4" w:space="0"/>
              <w:left w:val="single" w:color="000000" w:sz="4" w:space="0"/>
              <w:bottom w:val="single" w:color="000000" w:sz="4" w:space="0"/>
              <w:right w:val="single" w:color="000000" w:sz="4" w:space="0"/>
            </w:tcBorders>
            <w:vAlign w:val="center"/>
          </w:tcPr>
          <w:p w14:paraId="1F91D485">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80</w:t>
            </w:r>
          </w:p>
        </w:tc>
        <w:tc>
          <w:tcPr>
            <w:tcW w:w="217" w:type="pct"/>
            <w:tcBorders>
              <w:top w:val="single" w:color="000000" w:sz="4" w:space="0"/>
              <w:left w:val="single" w:color="000000" w:sz="4" w:space="0"/>
              <w:bottom w:val="single" w:color="000000" w:sz="4" w:space="0"/>
              <w:right w:val="single" w:color="000000" w:sz="4" w:space="0"/>
            </w:tcBorders>
            <w:vAlign w:val="center"/>
          </w:tcPr>
          <w:p w14:paraId="62CBCAC8">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30</w:t>
            </w:r>
          </w:p>
        </w:tc>
        <w:tc>
          <w:tcPr>
            <w:tcW w:w="298" w:type="pct"/>
            <w:tcBorders>
              <w:top w:val="single" w:color="000000" w:sz="4" w:space="0"/>
              <w:left w:val="single" w:color="000000" w:sz="4" w:space="0"/>
              <w:bottom w:val="single" w:color="000000" w:sz="4" w:space="0"/>
              <w:right w:val="single" w:color="000000" w:sz="4" w:space="0"/>
            </w:tcBorders>
            <w:vAlign w:val="center"/>
          </w:tcPr>
          <w:p w14:paraId="46A10B25">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0.5</w:t>
            </w:r>
          </w:p>
        </w:tc>
        <w:tc>
          <w:tcPr>
            <w:tcW w:w="298" w:type="pct"/>
            <w:tcBorders>
              <w:top w:val="single" w:color="000000" w:sz="4" w:space="0"/>
              <w:left w:val="single" w:color="000000" w:sz="4" w:space="0"/>
              <w:bottom w:val="single" w:color="000000" w:sz="4" w:space="0"/>
              <w:right w:val="single" w:color="000000" w:sz="4" w:space="0"/>
            </w:tcBorders>
            <w:vAlign w:val="center"/>
          </w:tcPr>
          <w:p w14:paraId="3349586C">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1</w:t>
            </w:r>
          </w:p>
        </w:tc>
        <w:tc>
          <w:tcPr>
            <w:tcW w:w="308" w:type="pct"/>
            <w:gridSpan w:val="2"/>
            <w:tcBorders>
              <w:top w:val="single" w:color="000000" w:sz="4" w:space="0"/>
              <w:left w:val="single" w:color="000000" w:sz="4" w:space="0"/>
              <w:bottom w:val="single" w:color="000000" w:sz="4" w:space="0"/>
              <w:right w:val="single" w:color="000000" w:sz="4" w:space="0"/>
            </w:tcBorders>
            <w:vAlign w:val="center"/>
          </w:tcPr>
          <w:p w14:paraId="03F57D9B">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2</w:t>
            </w:r>
          </w:p>
        </w:tc>
      </w:tr>
      <w:tr w14:paraId="2912DF93">
        <w:tblPrEx>
          <w:tblCellMar>
            <w:top w:w="0" w:type="dxa"/>
            <w:left w:w="108" w:type="dxa"/>
            <w:bottom w:w="0" w:type="dxa"/>
            <w:right w:w="108" w:type="dxa"/>
          </w:tblCellMar>
        </w:tblPrEx>
        <w:trPr>
          <w:gridAfter w:val="3"/>
          <w:wAfter w:w="717" w:type="pct"/>
        </w:trPr>
        <w:tc>
          <w:tcPr>
            <w:tcW w:w="157" w:type="pct"/>
            <w:tcBorders>
              <w:top w:val="single" w:color="000000" w:sz="4" w:space="0"/>
              <w:left w:val="single" w:color="000000" w:sz="4" w:space="0"/>
              <w:bottom w:val="single" w:color="000000" w:sz="4" w:space="0"/>
              <w:right w:val="single" w:color="000000" w:sz="4" w:space="0"/>
            </w:tcBorders>
            <w:vAlign w:val="center"/>
          </w:tcPr>
          <w:p w14:paraId="30A0A417">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10</w:t>
            </w:r>
          </w:p>
        </w:tc>
        <w:tc>
          <w:tcPr>
            <w:tcW w:w="244" w:type="pct"/>
            <w:tcBorders>
              <w:top w:val="single" w:color="000000" w:sz="4" w:space="0"/>
              <w:left w:val="single" w:color="000000" w:sz="4" w:space="0"/>
              <w:bottom w:val="single" w:color="000000" w:sz="4" w:space="0"/>
              <w:right w:val="single" w:color="000000" w:sz="4" w:space="0"/>
            </w:tcBorders>
            <w:vAlign w:val="center"/>
          </w:tcPr>
          <w:p w14:paraId="49C4A896">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助洁</w:t>
            </w:r>
          </w:p>
        </w:tc>
        <w:tc>
          <w:tcPr>
            <w:tcW w:w="285" w:type="pct"/>
            <w:tcBorders>
              <w:top w:val="single" w:color="000000" w:sz="4" w:space="0"/>
              <w:left w:val="single" w:color="000000" w:sz="4" w:space="0"/>
              <w:bottom w:val="single" w:color="000000" w:sz="4" w:space="0"/>
              <w:right w:val="single" w:color="000000" w:sz="4" w:space="0"/>
            </w:tcBorders>
            <w:vAlign w:val="center"/>
          </w:tcPr>
          <w:p w14:paraId="15929444">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头部清洁</w:t>
            </w:r>
          </w:p>
        </w:tc>
        <w:tc>
          <w:tcPr>
            <w:tcW w:w="714" w:type="pct"/>
            <w:tcBorders>
              <w:top w:val="single" w:color="000000" w:sz="4" w:space="0"/>
              <w:left w:val="single" w:color="000000" w:sz="4" w:space="0"/>
              <w:bottom w:val="single" w:color="000000" w:sz="4" w:space="0"/>
              <w:right w:val="single" w:color="000000" w:sz="4" w:space="0"/>
            </w:tcBorders>
            <w:vAlign w:val="center"/>
          </w:tcPr>
          <w:p w14:paraId="285E502D">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头部清洁（含洗脸、梳头、理发洗头、剃须、清理耳内耵聍等）</w:t>
            </w:r>
          </w:p>
        </w:tc>
        <w:tc>
          <w:tcPr>
            <w:tcW w:w="1499" w:type="pct"/>
            <w:tcBorders>
              <w:top w:val="single" w:color="000000" w:sz="4" w:space="0"/>
              <w:left w:val="single" w:color="000000" w:sz="4" w:space="0"/>
              <w:bottom w:val="single" w:color="000000" w:sz="4" w:space="0"/>
              <w:right w:val="single" w:color="000000" w:sz="4" w:space="0"/>
            </w:tcBorders>
            <w:vAlign w:val="center"/>
          </w:tcPr>
          <w:p w14:paraId="557043FD">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协助老人进行洗脸梳头（冬季应准备热水），为老人洗头，动作需要轻柔，洗完头后需要把头发吹干。剃须采用安全电剃须刀，禁止使用老式刀片，适度清理耳内耵聍。</w:t>
            </w:r>
          </w:p>
        </w:tc>
        <w:tc>
          <w:tcPr>
            <w:tcW w:w="262" w:type="pct"/>
            <w:tcBorders>
              <w:top w:val="single" w:color="000000" w:sz="4" w:space="0"/>
              <w:left w:val="single" w:color="000000" w:sz="4" w:space="0"/>
              <w:bottom w:val="single" w:color="000000" w:sz="4" w:space="0"/>
              <w:right w:val="single" w:color="000000" w:sz="4" w:space="0"/>
            </w:tcBorders>
            <w:vAlign w:val="center"/>
          </w:tcPr>
          <w:p w14:paraId="277A3325">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30</w:t>
            </w:r>
          </w:p>
        </w:tc>
        <w:tc>
          <w:tcPr>
            <w:tcW w:w="217" w:type="pct"/>
            <w:tcBorders>
              <w:top w:val="single" w:color="000000" w:sz="4" w:space="0"/>
              <w:left w:val="single" w:color="000000" w:sz="4" w:space="0"/>
              <w:bottom w:val="single" w:color="000000" w:sz="4" w:space="0"/>
              <w:right w:val="single" w:color="000000" w:sz="4" w:space="0"/>
            </w:tcBorders>
            <w:vAlign w:val="center"/>
          </w:tcPr>
          <w:p w14:paraId="5E5DC737">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20</w:t>
            </w:r>
          </w:p>
        </w:tc>
        <w:tc>
          <w:tcPr>
            <w:tcW w:w="298" w:type="pct"/>
            <w:tcBorders>
              <w:top w:val="single" w:color="000000" w:sz="4" w:space="0"/>
              <w:left w:val="single" w:color="000000" w:sz="4" w:space="0"/>
              <w:bottom w:val="single" w:color="000000" w:sz="4" w:space="0"/>
              <w:right w:val="single" w:color="000000" w:sz="4" w:space="0"/>
            </w:tcBorders>
            <w:vAlign w:val="center"/>
          </w:tcPr>
          <w:p w14:paraId="31F78619">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0.5</w:t>
            </w:r>
          </w:p>
        </w:tc>
        <w:tc>
          <w:tcPr>
            <w:tcW w:w="298" w:type="pct"/>
            <w:tcBorders>
              <w:top w:val="single" w:color="000000" w:sz="4" w:space="0"/>
              <w:left w:val="single" w:color="000000" w:sz="4" w:space="0"/>
              <w:bottom w:val="single" w:color="000000" w:sz="4" w:space="0"/>
              <w:right w:val="single" w:color="000000" w:sz="4" w:space="0"/>
            </w:tcBorders>
            <w:vAlign w:val="center"/>
          </w:tcPr>
          <w:p w14:paraId="03599A41">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1</w:t>
            </w:r>
          </w:p>
        </w:tc>
        <w:tc>
          <w:tcPr>
            <w:tcW w:w="308" w:type="pct"/>
            <w:gridSpan w:val="2"/>
            <w:tcBorders>
              <w:top w:val="single" w:color="000000" w:sz="4" w:space="0"/>
              <w:left w:val="single" w:color="000000" w:sz="4" w:space="0"/>
              <w:bottom w:val="single" w:color="000000" w:sz="4" w:space="0"/>
              <w:right w:val="single" w:color="000000" w:sz="4" w:space="0"/>
            </w:tcBorders>
            <w:vAlign w:val="center"/>
          </w:tcPr>
          <w:p w14:paraId="79AB88A8">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2</w:t>
            </w:r>
          </w:p>
        </w:tc>
      </w:tr>
      <w:tr w14:paraId="37CC5F95">
        <w:tblPrEx>
          <w:tblCellMar>
            <w:top w:w="0" w:type="dxa"/>
            <w:left w:w="108" w:type="dxa"/>
            <w:bottom w:w="0" w:type="dxa"/>
            <w:right w:w="108" w:type="dxa"/>
          </w:tblCellMar>
        </w:tblPrEx>
        <w:trPr>
          <w:gridAfter w:val="3"/>
          <w:wAfter w:w="717" w:type="pct"/>
        </w:trPr>
        <w:tc>
          <w:tcPr>
            <w:tcW w:w="157" w:type="pct"/>
            <w:tcBorders>
              <w:top w:val="single" w:color="000000" w:sz="4" w:space="0"/>
              <w:left w:val="single" w:color="000000" w:sz="4" w:space="0"/>
              <w:bottom w:val="single" w:color="000000" w:sz="4" w:space="0"/>
              <w:right w:val="single" w:color="000000" w:sz="4" w:space="0"/>
            </w:tcBorders>
            <w:vAlign w:val="center"/>
          </w:tcPr>
          <w:p w14:paraId="69B1F477">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11</w:t>
            </w:r>
          </w:p>
        </w:tc>
        <w:tc>
          <w:tcPr>
            <w:tcW w:w="244" w:type="pct"/>
            <w:tcBorders>
              <w:top w:val="single" w:color="000000" w:sz="4" w:space="0"/>
              <w:left w:val="single" w:color="000000" w:sz="4" w:space="0"/>
              <w:bottom w:val="single" w:color="000000" w:sz="4" w:space="0"/>
              <w:right w:val="single" w:color="000000" w:sz="4" w:space="0"/>
            </w:tcBorders>
            <w:vAlign w:val="center"/>
          </w:tcPr>
          <w:p w14:paraId="3F6384D5">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助洁</w:t>
            </w:r>
          </w:p>
        </w:tc>
        <w:tc>
          <w:tcPr>
            <w:tcW w:w="285" w:type="pct"/>
            <w:tcBorders>
              <w:top w:val="single" w:color="000000" w:sz="4" w:space="0"/>
              <w:left w:val="single" w:color="000000" w:sz="4" w:space="0"/>
              <w:bottom w:val="single" w:color="000000" w:sz="4" w:space="0"/>
              <w:right w:val="single" w:color="000000" w:sz="4" w:space="0"/>
            </w:tcBorders>
            <w:vAlign w:val="center"/>
          </w:tcPr>
          <w:p w14:paraId="20F786D4">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口腔清洁</w:t>
            </w:r>
          </w:p>
        </w:tc>
        <w:tc>
          <w:tcPr>
            <w:tcW w:w="714" w:type="pct"/>
            <w:tcBorders>
              <w:top w:val="single" w:color="000000" w:sz="4" w:space="0"/>
              <w:left w:val="single" w:color="000000" w:sz="4" w:space="0"/>
              <w:bottom w:val="single" w:color="000000" w:sz="4" w:space="0"/>
              <w:right w:val="single" w:color="000000" w:sz="4" w:space="0"/>
            </w:tcBorders>
            <w:vAlign w:val="center"/>
          </w:tcPr>
          <w:p w14:paraId="3435AFF8">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口腔清洁（含刷牙、漱口、义齿清洗等）</w:t>
            </w:r>
          </w:p>
        </w:tc>
        <w:tc>
          <w:tcPr>
            <w:tcW w:w="1499" w:type="pct"/>
            <w:tcBorders>
              <w:top w:val="single" w:color="000000" w:sz="4" w:space="0"/>
              <w:left w:val="single" w:color="000000" w:sz="4" w:space="0"/>
              <w:bottom w:val="single" w:color="000000" w:sz="4" w:space="0"/>
              <w:right w:val="single" w:color="000000" w:sz="4" w:space="0"/>
            </w:tcBorders>
            <w:vAlign w:val="center"/>
          </w:tcPr>
          <w:p w14:paraId="74B05C75">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准备牙膏、牙刷、水杯、水、毛巾、防水垫、润唇油等物品。需先行评估老年人身体状况是否合适此项服务，协助老人调整姿势，开始服务，用毛巾擦净口角水痕，口角干裂时可涂抹润唇油。义齿清洁需准备、浸泡专门的清洁剂，而后在流动水中刷洗干净。</w:t>
            </w:r>
          </w:p>
        </w:tc>
        <w:tc>
          <w:tcPr>
            <w:tcW w:w="262" w:type="pct"/>
            <w:tcBorders>
              <w:top w:val="single" w:color="000000" w:sz="4" w:space="0"/>
              <w:left w:val="single" w:color="000000" w:sz="4" w:space="0"/>
              <w:bottom w:val="single" w:color="000000" w:sz="4" w:space="0"/>
              <w:right w:val="single" w:color="000000" w:sz="4" w:space="0"/>
            </w:tcBorders>
            <w:vAlign w:val="center"/>
          </w:tcPr>
          <w:p w14:paraId="620E7114">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20</w:t>
            </w:r>
          </w:p>
        </w:tc>
        <w:tc>
          <w:tcPr>
            <w:tcW w:w="217" w:type="pct"/>
            <w:tcBorders>
              <w:top w:val="single" w:color="000000" w:sz="4" w:space="0"/>
              <w:left w:val="single" w:color="000000" w:sz="4" w:space="0"/>
              <w:bottom w:val="single" w:color="000000" w:sz="4" w:space="0"/>
              <w:right w:val="single" w:color="000000" w:sz="4" w:space="0"/>
            </w:tcBorders>
            <w:vAlign w:val="center"/>
          </w:tcPr>
          <w:p w14:paraId="44A15E68">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20</w:t>
            </w:r>
          </w:p>
        </w:tc>
        <w:tc>
          <w:tcPr>
            <w:tcW w:w="298" w:type="pct"/>
            <w:tcBorders>
              <w:top w:val="single" w:color="000000" w:sz="4" w:space="0"/>
              <w:left w:val="single" w:color="000000" w:sz="4" w:space="0"/>
              <w:bottom w:val="single" w:color="000000" w:sz="4" w:space="0"/>
              <w:right w:val="single" w:color="000000" w:sz="4" w:space="0"/>
            </w:tcBorders>
            <w:vAlign w:val="center"/>
          </w:tcPr>
          <w:p w14:paraId="79F52A6B">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0.5</w:t>
            </w:r>
          </w:p>
        </w:tc>
        <w:tc>
          <w:tcPr>
            <w:tcW w:w="298" w:type="pct"/>
            <w:tcBorders>
              <w:top w:val="single" w:color="000000" w:sz="4" w:space="0"/>
              <w:left w:val="single" w:color="000000" w:sz="4" w:space="0"/>
              <w:bottom w:val="single" w:color="000000" w:sz="4" w:space="0"/>
              <w:right w:val="single" w:color="000000" w:sz="4" w:space="0"/>
            </w:tcBorders>
            <w:vAlign w:val="center"/>
          </w:tcPr>
          <w:p w14:paraId="76DA6FD9">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1</w:t>
            </w:r>
          </w:p>
        </w:tc>
        <w:tc>
          <w:tcPr>
            <w:tcW w:w="308" w:type="pct"/>
            <w:gridSpan w:val="2"/>
            <w:tcBorders>
              <w:top w:val="single" w:color="000000" w:sz="4" w:space="0"/>
              <w:left w:val="single" w:color="000000" w:sz="4" w:space="0"/>
              <w:bottom w:val="single" w:color="000000" w:sz="4" w:space="0"/>
              <w:right w:val="single" w:color="000000" w:sz="4" w:space="0"/>
            </w:tcBorders>
            <w:vAlign w:val="center"/>
          </w:tcPr>
          <w:p w14:paraId="41FA91A2">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2</w:t>
            </w:r>
          </w:p>
        </w:tc>
      </w:tr>
      <w:tr w14:paraId="72FE543F">
        <w:tblPrEx>
          <w:tblCellMar>
            <w:top w:w="0" w:type="dxa"/>
            <w:left w:w="108" w:type="dxa"/>
            <w:bottom w:w="0" w:type="dxa"/>
            <w:right w:w="108" w:type="dxa"/>
          </w:tblCellMar>
        </w:tblPrEx>
        <w:trPr>
          <w:gridAfter w:val="3"/>
          <w:wAfter w:w="717" w:type="pct"/>
        </w:trPr>
        <w:tc>
          <w:tcPr>
            <w:tcW w:w="157" w:type="pct"/>
            <w:tcBorders>
              <w:top w:val="single" w:color="000000" w:sz="4" w:space="0"/>
              <w:left w:val="single" w:color="000000" w:sz="4" w:space="0"/>
              <w:bottom w:val="single" w:color="000000" w:sz="4" w:space="0"/>
              <w:right w:val="single" w:color="000000" w:sz="4" w:space="0"/>
            </w:tcBorders>
            <w:vAlign w:val="center"/>
          </w:tcPr>
          <w:p w14:paraId="6FC921D4">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12</w:t>
            </w:r>
          </w:p>
        </w:tc>
        <w:tc>
          <w:tcPr>
            <w:tcW w:w="244" w:type="pct"/>
            <w:tcBorders>
              <w:top w:val="single" w:color="000000" w:sz="4" w:space="0"/>
              <w:left w:val="single" w:color="000000" w:sz="4" w:space="0"/>
              <w:bottom w:val="single" w:color="000000" w:sz="4" w:space="0"/>
              <w:right w:val="single" w:color="000000" w:sz="4" w:space="0"/>
            </w:tcBorders>
            <w:vAlign w:val="center"/>
          </w:tcPr>
          <w:p w14:paraId="403C6657">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助洁</w:t>
            </w:r>
          </w:p>
        </w:tc>
        <w:tc>
          <w:tcPr>
            <w:tcW w:w="285" w:type="pct"/>
            <w:tcBorders>
              <w:top w:val="single" w:color="000000" w:sz="4" w:space="0"/>
              <w:left w:val="single" w:color="000000" w:sz="4" w:space="0"/>
              <w:bottom w:val="single" w:color="000000" w:sz="4" w:space="0"/>
              <w:right w:val="single" w:color="000000" w:sz="4" w:space="0"/>
            </w:tcBorders>
            <w:vAlign w:val="center"/>
          </w:tcPr>
          <w:p w14:paraId="181CB242">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手足清理</w:t>
            </w:r>
          </w:p>
        </w:tc>
        <w:tc>
          <w:tcPr>
            <w:tcW w:w="714" w:type="pct"/>
            <w:tcBorders>
              <w:top w:val="single" w:color="000000" w:sz="4" w:space="0"/>
              <w:left w:val="single" w:color="000000" w:sz="4" w:space="0"/>
              <w:bottom w:val="single" w:color="000000" w:sz="4" w:space="0"/>
              <w:right w:val="single" w:color="000000" w:sz="4" w:space="0"/>
            </w:tcBorders>
            <w:vAlign w:val="center"/>
          </w:tcPr>
          <w:p w14:paraId="133106C0">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泡脚、修剪趾甲等手足清理</w:t>
            </w:r>
          </w:p>
        </w:tc>
        <w:tc>
          <w:tcPr>
            <w:tcW w:w="1499" w:type="pct"/>
            <w:tcBorders>
              <w:top w:val="single" w:color="000000" w:sz="4" w:space="0"/>
              <w:left w:val="single" w:color="000000" w:sz="4" w:space="0"/>
              <w:bottom w:val="single" w:color="000000" w:sz="4" w:space="0"/>
              <w:right w:val="single" w:color="000000" w:sz="4" w:space="0"/>
            </w:tcBorders>
            <w:vAlign w:val="center"/>
          </w:tcPr>
          <w:p w14:paraId="317D5274">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准备脚盆、温水、清洁剂、毛巾、修剪工具等。手足清洗用具需分开，在适宜水温中充分浸泡、擦洗，去除手足污垢，使用修剪工具修剪指（趾）甲后用。锉平指（趾）甲边缘。服务后清理现场，并对工具进行消毒处理。</w:t>
            </w:r>
          </w:p>
        </w:tc>
        <w:tc>
          <w:tcPr>
            <w:tcW w:w="262" w:type="pct"/>
            <w:tcBorders>
              <w:top w:val="single" w:color="000000" w:sz="4" w:space="0"/>
              <w:left w:val="single" w:color="000000" w:sz="4" w:space="0"/>
              <w:bottom w:val="single" w:color="000000" w:sz="4" w:space="0"/>
              <w:right w:val="single" w:color="000000" w:sz="4" w:space="0"/>
            </w:tcBorders>
            <w:vAlign w:val="center"/>
          </w:tcPr>
          <w:p w14:paraId="06DAF782">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25</w:t>
            </w:r>
          </w:p>
        </w:tc>
        <w:tc>
          <w:tcPr>
            <w:tcW w:w="217" w:type="pct"/>
            <w:tcBorders>
              <w:top w:val="single" w:color="000000" w:sz="4" w:space="0"/>
              <w:left w:val="single" w:color="000000" w:sz="4" w:space="0"/>
              <w:bottom w:val="single" w:color="000000" w:sz="4" w:space="0"/>
              <w:right w:val="single" w:color="000000" w:sz="4" w:space="0"/>
            </w:tcBorders>
            <w:vAlign w:val="center"/>
          </w:tcPr>
          <w:p w14:paraId="0578881A">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30</w:t>
            </w:r>
          </w:p>
        </w:tc>
        <w:tc>
          <w:tcPr>
            <w:tcW w:w="298" w:type="pct"/>
            <w:tcBorders>
              <w:top w:val="single" w:color="000000" w:sz="4" w:space="0"/>
              <w:left w:val="single" w:color="000000" w:sz="4" w:space="0"/>
              <w:bottom w:val="single" w:color="000000" w:sz="4" w:space="0"/>
              <w:right w:val="single" w:color="000000" w:sz="4" w:space="0"/>
            </w:tcBorders>
            <w:vAlign w:val="center"/>
          </w:tcPr>
          <w:p w14:paraId="50B07756">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0.5</w:t>
            </w:r>
          </w:p>
        </w:tc>
        <w:tc>
          <w:tcPr>
            <w:tcW w:w="298" w:type="pct"/>
            <w:tcBorders>
              <w:top w:val="single" w:color="000000" w:sz="4" w:space="0"/>
              <w:left w:val="single" w:color="000000" w:sz="4" w:space="0"/>
              <w:bottom w:val="single" w:color="000000" w:sz="4" w:space="0"/>
              <w:right w:val="single" w:color="000000" w:sz="4" w:space="0"/>
            </w:tcBorders>
            <w:vAlign w:val="center"/>
          </w:tcPr>
          <w:p w14:paraId="02B5B416">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1</w:t>
            </w:r>
          </w:p>
        </w:tc>
        <w:tc>
          <w:tcPr>
            <w:tcW w:w="308" w:type="pct"/>
            <w:gridSpan w:val="2"/>
            <w:tcBorders>
              <w:top w:val="single" w:color="000000" w:sz="4" w:space="0"/>
              <w:left w:val="single" w:color="000000" w:sz="4" w:space="0"/>
              <w:bottom w:val="single" w:color="000000" w:sz="4" w:space="0"/>
              <w:right w:val="single" w:color="000000" w:sz="4" w:space="0"/>
            </w:tcBorders>
            <w:vAlign w:val="center"/>
          </w:tcPr>
          <w:p w14:paraId="5FCA5533">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2</w:t>
            </w:r>
          </w:p>
        </w:tc>
      </w:tr>
      <w:tr w14:paraId="2D097898">
        <w:tblPrEx>
          <w:tblCellMar>
            <w:top w:w="0" w:type="dxa"/>
            <w:left w:w="108" w:type="dxa"/>
            <w:bottom w:w="0" w:type="dxa"/>
            <w:right w:w="108" w:type="dxa"/>
          </w:tblCellMar>
        </w:tblPrEx>
        <w:trPr>
          <w:gridAfter w:val="3"/>
          <w:wAfter w:w="717" w:type="pct"/>
        </w:trPr>
        <w:tc>
          <w:tcPr>
            <w:tcW w:w="157" w:type="pct"/>
            <w:tcBorders>
              <w:top w:val="single" w:color="000000" w:sz="4" w:space="0"/>
              <w:left w:val="single" w:color="000000" w:sz="4" w:space="0"/>
              <w:bottom w:val="single" w:color="000000" w:sz="4" w:space="0"/>
              <w:right w:val="single" w:color="000000" w:sz="4" w:space="0"/>
            </w:tcBorders>
            <w:vAlign w:val="center"/>
          </w:tcPr>
          <w:p w14:paraId="056E496E">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13</w:t>
            </w:r>
          </w:p>
        </w:tc>
        <w:tc>
          <w:tcPr>
            <w:tcW w:w="244" w:type="pct"/>
            <w:tcBorders>
              <w:top w:val="single" w:color="000000" w:sz="4" w:space="0"/>
              <w:left w:val="single" w:color="000000" w:sz="4" w:space="0"/>
              <w:bottom w:val="single" w:color="000000" w:sz="4" w:space="0"/>
              <w:right w:val="single" w:color="000000" w:sz="4" w:space="0"/>
            </w:tcBorders>
            <w:vAlign w:val="center"/>
          </w:tcPr>
          <w:p w14:paraId="26AC644D">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助洁</w:t>
            </w:r>
          </w:p>
        </w:tc>
        <w:tc>
          <w:tcPr>
            <w:tcW w:w="285" w:type="pct"/>
            <w:tcBorders>
              <w:top w:val="single" w:color="000000" w:sz="4" w:space="0"/>
              <w:left w:val="single" w:color="000000" w:sz="4" w:space="0"/>
              <w:bottom w:val="single" w:color="000000" w:sz="4" w:space="0"/>
              <w:right w:val="single" w:color="000000" w:sz="4" w:space="0"/>
            </w:tcBorders>
            <w:vAlign w:val="center"/>
          </w:tcPr>
          <w:p w14:paraId="4ACD6A6E">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排泄清理</w:t>
            </w:r>
          </w:p>
        </w:tc>
        <w:tc>
          <w:tcPr>
            <w:tcW w:w="714" w:type="pct"/>
            <w:tcBorders>
              <w:top w:val="single" w:color="000000" w:sz="4" w:space="0"/>
              <w:left w:val="single" w:color="000000" w:sz="4" w:space="0"/>
              <w:bottom w:val="single" w:color="000000" w:sz="4" w:space="0"/>
              <w:right w:val="single" w:color="000000" w:sz="4" w:space="0"/>
            </w:tcBorders>
            <w:vAlign w:val="center"/>
          </w:tcPr>
          <w:p w14:paraId="15994C19">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为老人开展协助如厕、更换尿不湿等排泄物清理服务</w:t>
            </w:r>
          </w:p>
        </w:tc>
        <w:tc>
          <w:tcPr>
            <w:tcW w:w="1499" w:type="pct"/>
            <w:tcBorders>
              <w:top w:val="single" w:color="000000" w:sz="4" w:space="0"/>
              <w:left w:val="single" w:color="000000" w:sz="4" w:space="0"/>
              <w:bottom w:val="single" w:color="000000" w:sz="4" w:space="0"/>
              <w:right w:val="single" w:color="000000" w:sz="4" w:space="0"/>
            </w:tcBorders>
            <w:vAlign w:val="center"/>
          </w:tcPr>
          <w:p w14:paraId="384E0F4B">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协助卧床老人如厕，清理排泄物，帮助老人清洁私密处，换尿不湿，换贴身衣服。</w:t>
            </w:r>
          </w:p>
        </w:tc>
        <w:tc>
          <w:tcPr>
            <w:tcW w:w="262" w:type="pct"/>
            <w:tcBorders>
              <w:top w:val="single" w:color="000000" w:sz="4" w:space="0"/>
              <w:left w:val="single" w:color="000000" w:sz="4" w:space="0"/>
              <w:bottom w:val="single" w:color="000000" w:sz="4" w:space="0"/>
              <w:right w:val="single" w:color="000000" w:sz="4" w:space="0"/>
            </w:tcBorders>
            <w:vAlign w:val="center"/>
          </w:tcPr>
          <w:p w14:paraId="4DE43976">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80</w:t>
            </w:r>
          </w:p>
        </w:tc>
        <w:tc>
          <w:tcPr>
            <w:tcW w:w="217" w:type="pct"/>
            <w:tcBorders>
              <w:top w:val="single" w:color="000000" w:sz="4" w:space="0"/>
              <w:left w:val="single" w:color="000000" w:sz="4" w:space="0"/>
              <w:bottom w:val="single" w:color="000000" w:sz="4" w:space="0"/>
              <w:right w:val="single" w:color="000000" w:sz="4" w:space="0"/>
            </w:tcBorders>
            <w:vAlign w:val="center"/>
          </w:tcPr>
          <w:p w14:paraId="5C07EBED">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40</w:t>
            </w:r>
          </w:p>
        </w:tc>
        <w:tc>
          <w:tcPr>
            <w:tcW w:w="298" w:type="pct"/>
            <w:tcBorders>
              <w:top w:val="single" w:color="000000" w:sz="4" w:space="0"/>
              <w:left w:val="single" w:color="000000" w:sz="4" w:space="0"/>
              <w:bottom w:val="single" w:color="000000" w:sz="4" w:space="0"/>
              <w:right w:val="single" w:color="000000" w:sz="4" w:space="0"/>
            </w:tcBorders>
            <w:vAlign w:val="center"/>
          </w:tcPr>
          <w:p w14:paraId="5B34491B">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0.5</w:t>
            </w:r>
          </w:p>
        </w:tc>
        <w:tc>
          <w:tcPr>
            <w:tcW w:w="298" w:type="pct"/>
            <w:tcBorders>
              <w:top w:val="single" w:color="000000" w:sz="4" w:space="0"/>
              <w:left w:val="single" w:color="000000" w:sz="4" w:space="0"/>
              <w:bottom w:val="single" w:color="000000" w:sz="4" w:space="0"/>
              <w:right w:val="single" w:color="000000" w:sz="4" w:space="0"/>
            </w:tcBorders>
            <w:vAlign w:val="center"/>
          </w:tcPr>
          <w:p w14:paraId="3FA1202C">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1</w:t>
            </w:r>
          </w:p>
        </w:tc>
        <w:tc>
          <w:tcPr>
            <w:tcW w:w="308" w:type="pct"/>
            <w:gridSpan w:val="2"/>
            <w:tcBorders>
              <w:top w:val="single" w:color="000000" w:sz="4" w:space="0"/>
              <w:left w:val="single" w:color="000000" w:sz="4" w:space="0"/>
              <w:bottom w:val="single" w:color="000000" w:sz="4" w:space="0"/>
              <w:right w:val="single" w:color="000000" w:sz="4" w:space="0"/>
            </w:tcBorders>
            <w:vAlign w:val="center"/>
          </w:tcPr>
          <w:p w14:paraId="5625E47A">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2</w:t>
            </w:r>
          </w:p>
        </w:tc>
      </w:tr>
      <w:tr w14:paraId="1D58F59F">
        <w:tblPrEx>
          <w:tblCellMar>
            <w:top w:w="0" w:type="dxa"/>
            <w:left w:w="108" w:type="dxa"/>
            <w:bottom w:w="0" w:type="dxa"/>
            <w:right w:w="108" w:type="dxa"/>
          </w:tblCellMar>
        </w:tblPrEx>
        <w:trPr>
          <w:gridAfter w:val="3"/>
          <w:wAfter w:w="717" w:type="pct"/>
        </w:trPr>
        <w:tc>
          <w:tcPr>
            <w:tcW w:w="157" w:type="pct"/>
            <w:tcBorders>
              <w:top w:val="single" w:color="000000" w:sz="4" w:space="0"/>
              <w:left w:val="single" w:color="000000" w:sz="4" w:space="0"/>
              <w:bottom w:val="single" w:color="000000" w:sz="4" w:space="0"/>
              <w:right w:val="single" w:color="000000" w:sz="4" w:space="0"/>
            </w:tcBorders>
            <w:vAlign w:val="center"/>
          </w:tcPr>
          <w:p w14:paraId="4BBEFE34">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14</w:t>
            </w:r>
          </w:p>
        </w:tc>
        <w:tc>
          <w:tcPr>
            <w:tcW w:w="244" w:type="pct"/>
            <w:tcBorders>
              <w:top w:val="single" w:color="000000" w:sz="4" w:space="0"/>
              <w:left w:val="single" w:color="000000" w:sz="4" w:space="0"/>
              <w:bottom w:val="single" w:color="000000" w:sz="4" w:space="0"/>
              <w:right w:val="single" w:color="000000" w:sz="4" w:space="0"/>
            </w:tcBorders>
            <w:vAlign w:val="center"/>
          </w:tcPr>
          <w:p w14:paraId="40F251C6">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助洁</w:t>
            </w:r>
          </w:p>
        </w:tc>
        <w:tc>
          <w:tcPr>
            <w:tcW w:w="285" w:type="pct"/>
            <w:tcBorders>
              <w:top w:val="single" w:color="000000" w:sz="4" w:space="0"/>
              <w:left w:val="single" w:color="000000" w:sz="4" w:space="0"/>
              <w:bottom w:val="single" w:color="000000" w:sz="4" w:space="0"/>
              <w:right w:val="single" w:color="000000" w:sz="4" w:space="0"/>
            </w:tcBorders>
            <w:vAlign w:val="center"/>
          </w:tcPr>
          <w:p w14:paraId="1FA3CB3A">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床上清洁</w:t>
            </w:r>
          </w:p>
        </w:tc>
        <w:tc>
          <w:tcPr>
            <w:tcW w:w="714" w:type="pct"/>
            <w:tcBorders>
              <w:top w:val="single" w:color="000000" w:sz="4" w:space="0"/>
              <w:left w:val="single" w:color="000000" w:sz="4" w:space="0"/>
              <w:bottom w:val="single" w:color="000000" w:sz="4" w:space="0"/>
              <w:right w:val="single" w:color="000000" w:sz="4" w:space="0"/>
            </w:tcBorders>
            <w:vAlign w:val="center"/>
          </w:tcPr>
          <w:p w14:paraId="0A6A347F">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为老年人提供更换床单被罩，床位清洁，擦拭整理等床上清洁</w:t>
            </w:r>
          </w:p>
        </w:tc>
        <w:tc>
          <w:tcPr>
            <w:tcW w:w="1499" w:type="pct"/>
            <w:tcBorders>
              <w:top w:val="single" w:color="000000" w:sz="4" w:space="0"/>
              <w:left w:val="single" w:color="000000" w:sz="4" w:space="0"/>
              <w:bottom w:val="single" w:color="000000" w:sz="4" w:space="0"/>
              <w:right w:val="single" w:color="000000" w:sz="4" w:space="0"/>
            </w:tcBorders>
            <w:vAlign w:val="center"/>
          </w:tcPr>
          <w:p w14:paraId="7AE58BD4">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清理老人床上污垢，更换床上用品，保持床位干净整洁。</w:t>
            </w:r>
          </w:p>
        </w:tc>
        <w:tc>
          <w:tcPr>
            <w:tcW w:w="262" w:type="pct"/>
            <w:tcBorders>
              <w:top w:val="single" w:color="000000" w:sz="4" w:space="0"/>
              <w:left w:val="single" w:color="000000" w:sz="4" w:space="0"/>
              <w:bottom w:val="single" w:color="000000" w:sz="4" w:space="0"/>
              <w:right w:val="single" w:color="000000" w:sz="4" w:space="0"/>
            </w:tcBorders>
            <w:vAlign w:val="center"/>
          </w:tcPr>
          <w:p w14:paraId="2D6F0B1B">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40</w:t>
            </w:r>
          </w:p>
        </w:tc>
        <w:tc>
          <w:tcPr>
            <w:tcW w:w="217" w:type="pct"/>
            <w:tcBorders>
              <w:top w:val="single" w:color="000000" w:sz="4" w:space="0"/>
              <w:left w:val="single" w:color="000000" w:sz="4" w:space="0"/>
              <w:bottom w:val="single" w:color="000000" w:sz="4" w:space="0"/>
              <w:right w:val="single" w:color="000000" w:sz="4" w:space="0"/>
            </w:tcBorders>
            <w:vAlign w:val="center"/>
          </w:tcPr>
          <w:p w14:paraId="32846D1C">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60</w:t>
            </w:r>
          </w:p>
        </w:tc>
        <w:tc>
          <w:tcPr>
            <w:tcW w:w="298" w:type="pct"/>
            <w:tcBorders>
              <w:top w:val="single" w:color="000000" w:sz="4" w:space="0"/>
              <w:left w:val="single" w:color="000000" w:sz="4" w:space="0"/>
              <w:bottom w:val="single" w:color="000000" w:sz="4" w:space="0"/>
              <w:right w:val="single" w:color="000000" w:sz="4" w:space="0"/>
            </w:tcBorders>
            <w:vAlign w:val="center"/>
          </w:tcPr>
          <w:p w14:paraId="24C8C0E5">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0.5</w:t>
            </w:r>
          </w:p>
        </w:tc>
        <w:tc>
          <w:tcPr>
            <w:tcW w:w="298" w:type="pct"/>
            <w:tcBorders>
              <w:top w:val="single" w:color="000000" w:sz="4" w:space="0"/>
              <w:left w:val="single" w:color="000000" w:sz="4" w:space="0"/>
              <w:bottom w:val="single" w:color="000000" w:sz="4" w:space="0"/>
              <w:right w:val="single" w:color="000000" w:sz="4" w:space="0"/>
            </w:tcBorders>
            <w:vAlign w:val="center"/>
          </w:tcPr>
          <w:p w14:paraId="694DE5EA">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1</w:t>
            </w:r>
          </w:p>
        </w:tc>
        <w:tc>
          <w:tcPr>
            <w:tcW w:w="308" w:type="pct"/>
            <w:gridSpan w:val="2"/>
            <w:tcBorders>
              <w:top w:val="single" w:color="000000" w:sz="4" w:space="0"/>
              <w:left w:val="single" w:color="000000" w:sz="4" w:space="0"/>
              <w:bottom w:val="single" w:color="000000" w:sz="4" w:space="0"/>
              <w:right w:val="single" w:color="000000" w:sz="4" w:space="0"/>
            </w:tcBorders>
            <w:vAlign w:val="center"/>
          </w:tcPr>
          <w:p w14:paraId="595ACE63">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2</w:t>
            </w:r>
          </w:p>
        </w:tc>
      </w:tr>
      <w:tr w14:paraId="261ACF3A">
        <w:tblPrEx>
          <w:tblCellMar>
            <w:top w:w="0" w:type="dxa"/>
            <w:left w:w="108" w:type="dxa"/>
            <w:bottom w:w="0" w:type="dxa"/>
            <w:right w:w="108" w:type="dxa"/>
          </w:tblCellMar>
        </w:tblPrEx>
        <w:trPr>
          <w:gridAfter w:val="3"/>
          <w:wAfter w:w="717" w:type="pct"/>
        </w:trPr>
        <w:tc>
          <w:tcPr>
            <w:tcW w:w="157" w:type="pct"/>
            <w:tcBorders>
              <w:top w:val="single" w:color="000000" w:sz="4" w:space="0"/>
              <w:left w:val="single" w:color="000000" w:sz="4" w:space="0"/>
              <w:bottom w:val="single" w:color="000000" w:sz="4" w:space="0"/>
              <w:right w:val="single" w:color="000000" w:sz="4" w:space="0"/>
            </w:tcBorders>
            <w:vAlign w:val="center"/>
          </w:tcPr>
          <w:p w14:paraId="24118FD4">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15</w:t>
            </w:r>
          </w:p>
        </w:tc>
        <w:tc>
          <w:tcPr>
            <w:tcW w:w="244" w:type="pct"/>
            <w:tcBorders>
              <w:top w:val="single" w:color="000000" w:sz="4" w:space="0"/>
              <w:left w:val="single" w:color="000000" w:sz="4" w:space="0"/>
              <w:bottom w:val="single" w:color="000000" w:sz="4" w:space="0"/>
              <w:right w:val="single" w:color="000000" w:sz="4" w:space="0"/>
            </w:tcBorders>
            <w:vAlign w:val="center"/>
          </w:tcPr>
          <w:p w14:paraId="3B9DBC79">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助洁</w:t>
            </w:r>
          </w:p>
        </w:tc>
        <w:tc>
          <w:tcPr>
            <w:tcW w:w="285" w:type="pct"/>
            <w:tcBorders>
              <w:top w:val="single" w:color="000000" w:sz="4" w:space="0"/>
              <w:left w:val="single" w:color="000000" w:sz="4" w:space="0"/>
              <w:bottom w:val="single" w:color="000000" w:sz="4" w:space="0"/>
              <w:right w:val="single" w:color="000000" w:sz="4" w:space="0"/>
            </w:tcBorders>
            <w:vAlign w:val="center"/>
          </w:tcPr>
          <w:p w14:paraId="5625F923">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洗涤服务</w:t>
            </w:r>
          </w:p>
        </w:tc>
        <w:tc>
          <w:tcPr>
            <w:tcW w:w="714" w:type="pct"/>
            <w:tcBorders>
              <w:top w:val="single" w:color="000000" w:sz="4" w:space="0"/>
              <w:left w:val="single" w:color="000000" w:sz="4" w:space="0"/>
              <w:bottom w:val="single" w:color="000000" w:sz="4" w:space="0"/>
              <w:right w:val="single" w:color="000000" w:sz="4" w:space="0"/>
            </w:tcBorders>
            <w:vAlign w:val="center"/>
          </w:tcPr>
          <w:p w14:paraId="42962F3A">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为老年人提供衣物、床上用品、窗帘等物品洗涤及晾晒服务。</w:t>
            </w:r>
          </w:p>
        </w:tc>
        <w:tc>
          <w:tcPr>
            <w:tcW w:w="1499" w:type="pct"/>
            <w:tcBorders>
              <w:top w:val="single" w:color="000000" w:sz="4" w:space="0"/>
              <w:left w:val="single" w:color="000000" w:sz="4" w:space="0"/>
              <w:bottom w:val="single" w:color="000000" w:sz="4" w:space="0"/>
              <w:right w:val="single" w:color="000000" w:sz="4" w:space="0"/>
            </w:tcBorders>
            <w:vAlign w:val="center"/>
          </w:tcPr>
          <w:p w14:paraId="109FA3C2">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使用老年人家中设备分类洗涤老年人衣物、床上用品、窗帘等物品，贴身衣物需进行适度消毒。如无清洗环境或者其他原因需在非老年人家中清洗，可叠加“代办代购”收取费用。</w:t>
            </w:r>
          </w:p>
        </w:tc>
        <w:tc>
          <w:tcPr>
            <w:tcW w:w="262" w:type="pct"/>
            <w:tcBorders>
              <w:top w:val="single" w:color="000000" w:sz="4" w:space="0"/>
              <w:left w:val="single" w:color="000000" w:sz="4" w:space="0"/>
              <w:bottom w:val="single" w:color="000000" w:sz="4" w:space="0"/>
              <w:right w:val="single" w:color="000000" w:sz="4" w:space="0"/>
            </w:tcBorders>
            <w:vAlign w:val="center"/>
          </w:tcPr>
          <w:p w14:paraId="0F8E5EEE">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40</w:t>
            </w:r>
          </w:p>
        </w:tc>
        <w:tc>
          <w:tcPr>
            <w:tcW w:w="217" w:type="pct"/>
            <w:tcBorders>
              <w:top w:val="single" w:color="000000" w:sz="4" w:space="0"/>
              <w:left w:val="single" w:color="000000" w:sz="4" w:space="0"/>
              <w:bottom w:val="single" w:color="000000" w:sz="4" w:space="0"/>
              <w:right w:val="single" w:color="000000" w:sz="4" w:space="0"/>
            </w:tcBorders>
            <w:vAlign w:val="center"/>
          </w:tcPr>
          <w:p w14:paraId="0C2C6242">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60</w:t>
            </w:r>
          </w:p>
        </w:tc>
        <w:tc>
          <w:tcPr>
            <w:tcW w:w="298" w:type="pct"/>
            <w:tcBorders>
              <w:top w:val="single" w:color="000000" w:sz="4" w:space="0"/>
              <w:left w:val="single" w:color="000000" w:sz="4" w:space="0"/>
              <w:bottom w:val="single" w:color="000000" w:sz="4" w:space="0"/>
              <w:right w:val="single" w:color="000000" w:sz="4" w:space="0"/>
            </w:tcBorders>
            <w:vAlign w:val="center"/>
          </w:tcPr>
          <w:p w14:paraId="4D947168">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0.5</w:t>
            </w:r>
          </w:p>
        </w:tc>
        <w:tc>
          <w:tcPr>
            <w:tcW w:w="298" w:type="pct"/>
            <w:tcBorders>
              <w:top w:val="single" w:color="000000" w:sz="4" w:space="0"/>
              <w:left w:val="single" w:color="000000" w:sz="4" w:space="0"/>
              <w:bottom w:val="single" w:color="000000" w:sz="4" w:space="0"/>
              <w:right w:val="single" w:color="000000" w:sz="4" w:space="0"/>
            </w:tcBorders>
            <w:vAlign w:val="center"/>
          </w:tcPr>
          <w:p w14:paraId="3058990C">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1</w:t>
            </w:r>
          </w:p>
        </w:tc>
        <w:tc>
          <w:tcPr>
            <w:tcW w:w="308" w:type="pct"/>
            <w:gridSpan w:val="2"/>
            <w:tcBorders>
              <w:top w:val="single" w:color="000000" w:sz="4" w:space="0"/>
              <w:left w:val="single" w:color="000000" w:sz="4" w:space="0"/>
              <w:bottom w:val="single" w:color="000000" w:sz="4" w:space="0"/>
              <w:right w:val="single" w:color="000000" w:sz="4" w:space="0"/>
            </w:tcBorders>
            <w:vAlign w:val="center"/>
          </w:tcPr>
          <w:p w14:paraId="7518CADB">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2</w:t>
            </w:r>
          </w:p>
        </w:tc>
      </w:tr>
      <w:tr w14:paraId="0D810F80">
        <w:tblPrEx>
          <w:tblCellMar>
            <w:top w:w="0" w:type="dxa"/>
            <w:left w:w="108" w:type="dxa"/>
            <w:bottom w:w="0" w:type="dxa"/>
            <w:right w:w="108" w:type="dxa"/>
          </w:tblCellMar>
        </w:tblPrEx>
        <w:trPr>
          <w:gridAfter w:val="3"/>
          <w:wAfter w:w="717" w:type="pct"/>
        </w:trPr>
        <w:tc>
          <w:tcPr>
            <w:tcW w:w="157" w:type="pct"/>
            <w:tcBorders>
              <w:top w:val="single" w:color="000000" w:sz="4" w:space="0"/>
              <w:left w:val="single" w:color="000000" w:sz="4" w:space="0"/>
              <w:bottom w:val="single" w:color="000000" w:sz="4" w:space="0"/>
              <w:right w:val="single" w:color="000000" w:sz="4" w:space="0"/>
            </w:tcBorders>
            <w:vAlign w:val="center"/>
          </w:tcPr>
          <w:p w14:paraId="7064F760">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16</w:t>
            </w:r>
          </w:p>
        </w:tc>
        <w:tc>
          <w:tcPr>
            <w:tcW w:w="244" w:type="pct"/>
            <w:tcBorders>
              <w:top w:val="single" w:color="000000" w:sz="4" w:space="0"/>
              <w:left w:val="single" w:color="000000" w:sz="4" w:space="0"/>
              <w:bottom w:val="single" w:color="000000" w:sz="4" w:space="0"/>
              <w:right w:val="single" w:color="000000" w:sz="4" w:space="0"/>
            </w:tcBorders>
            <w:vAlign w:val="center"/>
          </w:tcPr>
          <w:p w14:paraId="2FA6E9FA">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助洁</w:t>
            </w:r>
          </w:p>
        </w:tc>
        <w:tc>
          <w:tcPr>
            <w:tcW w:w="285" w:type="pct"/>
            <w:tcBorders>
              <w:top w:val="single" w:color="000000" w:sz="4" w:space="0"/>
              <w:left w:val="single" w:color="000000" w:sz="4" w:space="0"/>
              <w:bottom w:val="single" w:color="000000" w:sz="4" w:space="0"/>
              <w:right w:val="single" w:color="000000" w:sz="4" w:space="0"/>
            </w:tcBorders>
            <w:vAlign w:val="center"/>
          </w:tcPr>
          <w:p w14:paraId="678E767D">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居室基础清洁</w:t>
            </w:r>
          </w:p>
        </w:tc>
        <w:tc>
          <w:tcPr>
            <w:tcW w:w="714" w:type="pct"/>
            <w:tcBorders>
              <w:top w:val="single" w:color="000000" w:sz="4" w:space="0"/>
              <w:left w:val="single" w:color="000000" w:sz="4" w:space="0"/>
              <w:bottom w:val="single" w:color="000000" w:sz="4" w:space="0"/>
              <w:right w:val="single" w:color="000000" w:sz="4" w:space="0"/>
            </w:tcBorders>
            <w:vAlign w:val="center"/>
          </w:tcPr>
          <w:p w14:paraId="2215DBE7">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为老年人提供居室、卫生间、厨房、客厅等房间的日常清洁</w:t>
            </w:r>
          </w:p>
        </w:tc>
        <w:tc>
          <w:tcPr>
            <w:tcW w:w="1499" w:type="pct"/>
            <w:tcBorders>
              <w:top w:val="single" w:color="000000" w:sz="4" w:space="0"/>
              <w:left w:val="single" w:color="000000" w:sz="4" w:space="0"/>
              <w:bottom w:val="single" w:color="000000" w:sz="4" w:space="0"/>
              <w:right w:val="single" w:color="000000" w:sz="4" w:space="0"/>
            </w:tcBorders>
            <w:vAlign w:val="center"/>
          </w:tcPr>
          <w:p w14:paraId="56643851">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自带清洁工具，上门清洁老年人家中环境卫生，包含居室、客厅、卫生间、厨房、阳台等区域，清洁不同区域需使用不同的工具以及毛巾，避免造成交叉污染。卫生间需要适度消毒，服务完成后带走居室所有垃圾。</w:t>
            </w:r>
          </w:p>
        </w:tc>
        <w:tc>
          <w:tcPr>
            <w:tcW w:w="262" w:type="pct"/>
            <w:tcBorders>
              <w:top w:val="single" w:color="000000" w:sz="4" w:space="0"/>
              <w:left w:val="single" w:color="000000" w:sz="4" w:space="0"/>
              <w:bottom w:val="single" w:color="000000" w:sz="4" w:space="0"/>
              <w:right w:val="single" w:color="000000" w:sz="4" w:space="0"/>
            </w:tcBorders>
            <w:vAlign w:val="center"/>
          </w:tcPr>
          <w:p w14:paraId="4C090539">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45</w:t>
            </w:r>
          </w:p>
        </w:tc>
        <w:tc>
          <w:tcPr>
            <w:tcW w:w="217" w:type="pct"/>
            <w:tcBorders>
              <w:top w:val="single" w:color="000000" w:sz="4" w:space="0"/>
              <w:left w:val="single" w:color="000000" w:sz="4" w:space="0"/>
              <w:bottom w:val="single" w:color="000000" w:sz="4" w:space="0"/>
              <w:right w:val="single" w:color="000000" w:sz="4" w:space="0"/>
            </w:tcBorders>
            <w:vAlign w:val="center"/>
          </w:tcPr>
          <w:p w14:paraId="42899618">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60</w:t>
            </w:r>
          </w:p>
        </w:tc>
        <w:tc>
          <w:tcPr>
            <w:tcW w:w="298" w:type="pct"/>
            <w:tcBorders>
              <w:top w:val="single" w:color="000000" w:sz="4" w:space="0"/>
              <w:left w:val="single" w:color="000000" w:sz="4" w:space="0"/>
              <w:bottom w:val="single" w:color="000000" w:sz="4" w:space="0"/>
              <w:right w:val="single" w:color="000000" w:sz="4" w:space="0"/>
            </w:tcBorders>
            <w:vAlign w:val="center"/>
          </w:tcPr>
          <w:p w14:paraId="3476F6B8">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 w:val="22"/>
                <w:szCs w:val="22"/>
                <w:highlight w:val="none"/>
                <w:lang w:bidi="ar"/>
              </w:rPr>
              <w:t>0.8</w:t>
            </w:r>
          </w:p>
        </w:tc>
        <w:tc>
          <w:tcPr>
            <w:tcW w:w="298" w:type="pct"/>
            <w:tcBorders>
              <w:top w:val="single" w:color="000000" w:sz="4" w:space="0"/>
              <w:left w:val="single" w:color="000000" w:sz="4" w:space="0"/>
              <w:bottom w:val="single" w:color="000000" w:sz="4" w:space="0"/>
              <w:right w:val="single" w:color="000000" w:sz="4" w:space="0"/>
            </w:tcBorders>
            <w:vAlign w:val="center"/>
          </w:tcPr>
          <w:p w14:paraId="0CC1E8D8">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 w:val="22"/>
                <w:szCs w:val="22"/>
                <w:highlight w:val="none"/>
                <w:lang w:bidi="ar"/>
              </w:rPr>
              <w:t>1.5</w:t>
            </w:r>
          </w:p>
        </w:tc>
        <w:tc>
          <w:tcPr>
            <w:tcW w:w="308" w:type="pct"/>
            <w:gridSpan w:val="2"/>
            <w:tcBorders>
              <w:top w:val="single" w:color="000000" w:sz="4" w:space="0"/>
              <w:left w:val="single" w:color="000000" w:sz="4" w:space="0"/>
              <w:bottom w:val="single" w:color="000000" w:sz="4" w:space="0"/>
              <w:right w:val="single" w:color="000000" w:sz="4" w:space="0"/>
            </w:tcBorders>
            <w:vAlign w:val="center"/>
          </w:tcPr>
          <w:p w14:paraId="208979A5">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 w:val="22"/>
                <w:szCs w:val="22"/>
                <w:highlight w:val="none"/>
                <w:lang w:bidi="ar"/>
              </w:rPr>
              <w:t>3</w:t>
            </w:r>
          </w:p>
        </w:tc>
      </w:tr>
      <w:tr w14:paraId="34AE9805">
        <w:tblPrEx>
          <w:tblCellMar>
            <w:top w:w="0" w:type="dxa"/>
            <w:left w:w="108" w:type="dxa"/>
            <w:bottom w:w="0" w:type="dxa"/>
            <w:right w:w="108" w:type="dxa"/>
          </w:tblCellMar>
        </w:tblPrEx>
        <w:trPr>
          <w:gridAfter w:val="3"/>
          <w:wAfter w:w="717" w:type="pct"/>
        </w:trPr>
        <w:tc>
          <w:tcPr>
            <w:tcW w:w="157" w:type="pct"/>
            <w:tcBorders>
              <w:top w:val="single" w:color="000000" w:sz="4" w:space="0"/>
              <w:left w:val="single" w:color="000000" w:sz="4" w:space="0"/>
              <w:bottom w:val="single" w:color="000000" w:sz="4" w:space="0"/>
              <w:right w:val="single" w:color="000000" w:sz="4" w:space="0"/>
            </w:tcBorders>
            <w:vAlign w:val="center"/>
          </w:tcPr>
          <w:p w14:paraId="71D22825">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17</w:t>
            </w:r>
          </w:p>
        </w:tc>
        <w:tc>
          <w:tcPr>
            <w:tcW w:w="244" w:type="pct"/>
            <w:tcBorders>
              <w:top w:val="single" w:color="000000" w:sz="4" w:space="0"/>
              <w:left w:val="single" w:color="000000" w:sz="4" w:space="0"/>
              <w:bottom w:val="single" w:color="000000" w:sz="4" w:space="0"/>
              <w:right w:val="single" w:color="000000" w:sz="4" w:space="0"/>
            </w:tcBorders>
            <w:vAlign w:val="center"/>
          </w:tcPr>
          <w:p w14:paraId="6252B945">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助行</w:t>
            </w:r>
          </w:p>
        </w:tc>
        <w:tc>
          <w:tcPr>
            <w:tcW w:w="285" w:type="pct"/>
            <w:tcBorders>
              <w:top w:val="single" w:color="000000" w:sz="4" w:space="0"/>
              <w:left w:val="single" w:color="000000" w:sz="4" w:space="0"/>
              <w:bottom w:val="single" w:color="000000" w:sz="4" w:space="0"/>
              <w:right w:val="single" w:color="000000" w:sz="4" w:space="0"/>
            </w:tcBorders>
            <w:vAlign w:val="center"/>
          </w:tcPr>
          <w:p w14:paraId="1ADC8515">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协助下床活动</w:t>
            </w:r>
          </w:p>
        </w:tc>
        <w:tc>
          <w:tcPr>
            <w:tcW w:w="714" w:type="pct"/>
            <w:tcBorders>
              <w:top w:val="single" w:color="000000" w:sz="4" w:space="0"/>
              <w:left w:val="single" w:color="000000" w:sz="4" w:space="0"/>
              <w:bottom w:val="single" w:color="000000" w:sz="4" w:space="0"/>
              <w:right w:val="single" w:color="000000" w:sz="4" w:space="0"/>
            </w:tcBorders>
            <w:vAlign w:val="center"/>
          </w:tcPr>
          <w:p w14:paraId="1D84083B">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协助老人下床活动</w:t>
            </w:r>
          </w:p>
        </w:tc>
        <w:tc>
          <w:tcPr>
            <w:tcW w:w="1499" w:type="pct"/>
            <w:tcBorders>
              <w:top w:val="single" w:color="000000" w:sz="4" w:space="0"/>
              <w:left w:val="single" w:color="000000" w:sz="4" w:space="0"/>
              <w:bottom w:val="single" w:color="000000" w:sz="4" w:space="0"/>
              <w:right w:val="single" w:color="000000" w:sz="4" w:space="0"/>
            </w:tcBorders>
            <w:vAlign w:val="center"/>
          </w:tcPr>
          <w:p w14:paraId="439DCF13">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协助身体不便的老人平移下床进行活动，指导老年人开展适度的锻炼。</w:t>
            </w:r>
          </w:p>
        </w:tc>
        <w:tc>
          <w:tcPr>
            <w:tcW w:w="262" w:type="pct"/>
            <w:tcBorders>
              <w:top w:val="single" w:color="000000" w:sz="4" w:space="0"/>
              <w:left w:val="single" w:color="000000" w:sz="4" w:space="0"/>
              <w:bottom w:val="single" w:color="000000" w:sz="4" w:space="0"/>
              <w:right w:val="single" w:color="000000" w:sz="4" w:space="0"/>
            </w:tcBorders>
            <w:vAlign w:val="center"/>
          </w:tcPr>
          <w:p w14:paraId="27B25D9C">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25</w:t>
            </w:r>
          </w:p>
        </w:tc>
        <w:tc>
          <w:tcPr>
            <w:tcW w:w="217" w:type="pct"/>
            <w:tcBorders>
              <w:top w:val="single" w:color="000000" w:sz="4" w:space="0"/>
              <w:left w:val="single" w:color="000000" w:sz="4" w:space="0"/>
              <w:bottom w:val="single" w:color="000000" w:sz="4" w:space="0"/>
              <w:right w:val="single" w:color="000000" w:sz="4" w:space="0"/>
            </w:tcBorders>
            <w:vAlign w:val="center"/>
          </w:tcPr>
          <w:p w14:paraId="44ABFF2E">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20</w:t>
            </w:r>
          </w:p>
        </w:tc>
        <w:tc>
          <w:tcPr>
            <w:tcW w:w="298" w:type="pct"/>
            <w:tcBorders>
              <w:top w:val="single" w:color="000000" w:sz="4" w:space="0"/>
              <w:left w:val="single" w:color="000000" w:sz="4" w:space="0"/>
              <w:bottom w:val="single" w:color="000000" w:sz="4" w:space="0"/>
              <w:right w:val="single" w:color="000000" w:sz="4" w:space="0"/>
            </w:tcBorders>
            <w:vAlign w:val="center"/>
          </w:tcPr>
          <w:p w14:paraId="565D6C0E">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0.5</w:t>
            </w:r>
          </w:p>
        </w:tc>
        <w:tc>
          <w:tcPr>
            <w:tcW w:w="298" w:type="pct"/>
            <w:tcBorders>
              <w:top w:val="single" w:color="000000" w:sz="4" w:space="0"/>
              <w:left w:val="single" w:color="000000" w:sz="4" w:space="0"/>
              <w:bottom w:val="single" w:color="000000" w:sz="4" w:space="0"/>
              <w:right w:val="single" w:color="000000" w:sz="4" w:space="0"/>
            </w:tcBorders>
            <w:vAlign w:val="center"/>
          </w:tcPr>
          <w:p w14:paraId="50771653">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1</w:t>
            </w:r>
          </w:p>
        </w:tc>
        <w:tc>
          <w:tcPr>
            <w:tcW w:w="308" w:type="pct"/>
            <w:gridSpan w:val="2"/>
            <w:tcBorders>
              <w:top w:val="single" w:color="000000" w:sz="4" w:space="0"/>
              <w:left w:val="single" w:color="000000" w:sz="4" w:space="0"/>
              <w:bottom w:val="single" w:color="000000" w:sz="4" w:space="0"/>
              <w:right w:val="single" w:color="000000" w:sz="4" w:space="0"/>
            </w:tcBorders>
            <w:vAlign w:val="center"/>
          </w:tcPr>
          <w:p w14:paraId="3F3F0946">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2</w:t>
            </w:r>
          </w:p>
        </w:tc>
      </w:tr>
      <w:tr w14:paraId="2C13E39B">
        <w:tblPrEx>
          <w:tblCellMar>
            <w:top w:w="0" w:type="dxa"/>
            <w:left w:w="108" w:type="dxa"/>
            <w:bottom w:w="0" w:type="dxa"/>
            <w:right w:w="108" w:type="dxa"/>
          </w:tblCellMar>
        </w:tblPrEx>
        <w:trPr>
          <w:gridAfter w:val="3"/>
          <w:wAfter w:w="717" w:type="pct"/>
        </w:trPr>
        <w:tc>
          <w:tcPr>
            <w:tcW w:w="157" w:type="pct"/>
            <w:tcBorders>
              <w:top w:val="single" w:color="000000" w:sz="4" w:space="0"/>
              <w:left w:val="single" w:color="000000" w:sz="4" w:space="0"/>
              <w:bottom w:val="single" w:color="000000" w:sz="4" w:space="0"/>
              <w:right w:val="single" w:color="000000" w:sz="4" w:space="0"/>
            </w:tcBorders>
            <w:vAlign w:val="center"/>
          </w:tcPr>
          <w:p w14:paraId="187A4653">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18</w:t>
            </w:r>
          </w:p>
        </w:tc>
        <w:tc>
          <w:tcPr>
            <w:tcW w:w="244" w:type="pct"/>
            <w:tcBorders>
              <w:top w:val="single" w:color="000000" w:sz="4" w:space="0"/>
              <w:left w:val="single" w:color="000000" w:sz="4" w:space="0"/>
              <w:bottom w:val="single" w:color="000000" w:sz="4" w:space="0"/>
              <w:right w:val="single" w:color="000000" w:sz="4" w:space="0"/>
            </w:tcBorders>
            <w:vAlign w:val="center"/>
          </w:tcPr>
          <w:p w14:paraId="3C2C7F04">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助行</w:t>
            </w:r>
          </w:p>
        </w:tc>
        <w:tc>
          <w:tcPr>
            <w:tcW w:w="285" w:type="pct"/>
            <w:tcBorders>
              <w:top w:val="single" w:color="000000" w:sz="4" w:space="0"/>
              <w:left w:val="single" w:color="000000" w:sz="4" w:space="0"/>
              <w:bottom w:val="single" w:color="000000" w:sz="4" w:space="0"/>
              <w:right w:val="single" w:color="000000" w:sz="4" w:space="0"/>
            </w:tcBorders>
            <w:vAlign w:val="center"/>
          </w:tcPr>
          <w:p w14:paraId="1B0209B3">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借助器具移动</w:t>
            </w:r>
          </w:p>
        </w:tc>
        <w:tc>
          <w:tcPr>
            <w:tcW w:w="714" w:type="pct"/>
            <w:tcBorders>
              <w:top w:val="single" w:color="000000" w:sz="4" w:space="0"/>
              <w:left w:val="single" w:color="000000" w:sz="4" w:space="0"/>
              <w:bottom w:val="single" w:color="000000" w:sz="4" w:space="0"/>
              <w:right w:val="single" w:color="000000" w:sz="4" w:space="0"/>
            </w:tcBorders>
            <w:vAlign w:val="center"/>
          </w:tcPr>
          <w:p w14:paraId="385BCC2C">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利用专业辅助工具协助老人下床活动</w:t>
            </w:r>
          </w:p>
        </w:tc>
        <w:tc>
          <w:tcPr>
            <w:tcW w:w="1499" w:type="pct"/>
            <w:tcBorders>
              <w:top w:val="single" w:color="000000" w:sz="4" w:space="0"/>
              <w:left w:val="single" w:color="000000" w:sz="4" w:space="0"/>
              <w:bottom w:val="single" w:color="000000" w:sz="4" w:space="0"/>
              <w:right w:val="single" w:color="000000" w:sz="4" w:space="0"/>
            </w:tcBorders>
            <w:vAlign w:val="center"/>
          </w:tcPr>
          <w:p w14:paraId="63045C58">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协助身体不便的老人平移至床边，利用器具下床进行活动。</w:t>
            </w:r>
          </w:p>
        </w:tc>
        <w:tc>
          <w:tcPr>
            <w:tcW w:w="262" w:type="pct"/>
            <w:tcBorders>
              <w:top w:val="single" w:color="000000" w:sz="4" w:space="0"/>
              <w:left w:val="single" w:color="000000" w:sz="4" w:space="0"/>
              <w:bottom w:val="single" w:color="000000" w:sz="4" w:space="0"/>
              <w:right w:val="single" w:color="000000" w:sz="4" w:space="0"/>
            </w:tcBorders>
            <w:vAlign w:val="center"/>
          </w:tcPr>
          <w:p w14:paraId="35B80050">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25</w:t>
            </w:r>
          </w:p>
        </w:tc>
        <w:tc>
          <w:tcPr>
            <w:tcW w:w="217" w:type="pct"/>
            <w:tcBorders>
              <w:top w:val="single" w:color="000000" w:sz="4" w:space="0"/>
              <w:left w:val="single" w:color="000000" w:sz="4" w:space="0"/>
              <w:bottom w:val="single" w:color="000000" w:sz="4" w:space="0"/>
              <w:right w:val="single" w:color="000000" w:sz="4" w:space="0"/>
            </w:tcBorders>
            <w:vAlign w:val="center"/>
          </w:tcPr>
          <w:p w14:paraId="1BC95091">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20</w:t>
            </w:r>
          </w:p>
        </w:tc>
        <w:tc>
          <w:tcPr>
            <w:tcW w:w="298" w:type="pct"/>
            <w:tcBorders>
              <w:top w:val="single" w:color="000000" w:sz="4" w:space="0"/>
              <w:left w:val="single" w:color="000000" w:sz="4" w:space="0"/>
              <w:bottom w:val="single" w:color="000000" w:sz="4" w:space="0"/>
              <w:right w:val="single" w:color="000000" w:sz="4" w:space="0"/>
            </w:tcBorders>
            <w:vAlign w:val="center"/>
          </w:tcPr>
          <w:p w14:paraId="07BFA786">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0.5</w:t>
            </w:r>
          </w:p>
        </w:tc>
        <w:tc>
          <w:tcPr>
            <w:tcW w:w="298" w:type="pct"/>
            <w:tcBorders>
              <w:top w:val="single" w:color="000000" w:sz="4" w:space="0"/>
              <w:left w:val="single" w:color="000000" w:sz="4" w:space="0"/>
              <w:bottom w:val="single" w:color="000000" w:sz="4" w:space="0"/>
              <w:right w:val="single" w:color="000000" w:sz="4" w:space="0"/>
            </w:tcBorders>
            <w:vAlign w:val="center"/>
          </w:tcPr>
          <w:p w14:paraId="503ED87B">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1</w:t>
            </w:r>
          </w:p>
        </w:tc>
        <w:tc>
          <w:tcPr>
            <w:tcW w:w="308" w:type="pct"/>
            <w:gridSpan w:val="2"/>
            <w:tcBorders>
              <w:top w:val="single" w:color="000000" w:sz="4" w:space="0"/>
              <w:left w:val="single" w:color="000000" w:sz="4" w:space="0"/>
              <w:bottom w:val="single" w:color="000000" w:sz="4" w:space="0"/>
              <w:right w:val="single" w:color="000000" w:sz="4" w:space="0"/>
            </w:tcBorders>
            <w:vAlign w:val="center"/>
          </w:tcPr>
          <w:p w14:paraId="6F0CD712">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2</w:t>
            </w:r>
          </w:p>
        </w:tc>
      </w:tr>
      <w:tr w14:paraId="74EE755B">
        <w:tblPrEx>
          <w:tblCellMar>
            <w:top w:w="0" w:type="dxa"/>
            <w:left w:w="108" w:type="dxa"/>
            <w:bottom w:w="0" w:type="dxa"/>
            <w:right w:w="108" w:type="dxa"/>
          </w:tblCellMar>
        </w:tblPrEx>
        <w:trPr>
          <w:gridAfter w:val="3"/>
          <w:wAfter w:w="717" w:type="pct"/>
        </w:trPr>
        <w:tc>
          <w:tcPr>
            <w:tcW w:w="157" w:type="pct"/>
            <w:tcBorders>
              <w:top w:val="single" w:color="000000" w:sz="4" w:space="0"/>
              <w:left w:val="single" w:color="000000" w:sz="4" w:space="0"/>
              <w:bottom w:val="single" w:color="000000" w:sz="4" w:space="0"/>
              <w:right w:val="single" w:color="000000" w:sz="4" w:space="0"/>
            </w:tcBorders>
            <w:vAlign w:val="center"/>
          </w:tcPr>
          <w:p w14:paraId="35A96968">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19</w:t>
            </w:r>
          </w:p>
        </w:tc>
        <w:tc>
          <w:tcPr>
            <w:tcW w:w="244" w:type="pct"/>
            <w:tcBorders>
              <w:top w:val="single" w:color="000000" w:sz="4" w:space="0"/>
              <w:left w:val="single" w:color="000000" w:sz="4" w:space="0"/>
              <w:bottom w:val="single" w:color="000000" w:sz="4" w:space="0"/>
              <w:right w:val="single" w:color="000000" w:sz="4" w:space="0"/>
            </w:tcBorders>
            <w:vAlign w:val="center"/>
          </w:tcPr>
          <w:p w14:paraId="54A6A9EC">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助行</w:t>
            </w:r>
          </w:p>
        </w:tc>
        <w:tc>
          <w:tcPr>
            <w:tcW w:w="285" w:type="pct"/>
            <w:tcBorders>
              <w:top w:val="single" w:color="000000" w:sz="4" w:space="0"/>
              <w:left w:val="single" w:color="000000" w:sz="4" w:space="0"/>
              <w:bottom w:val="single" w:color="000000" w:sz="4" w:space="0"/>
              <w:right w:val="single" w:color="000000" w:sz="4" w:space="0"/>
            </w:tcBorders>
            <w:vAlign w:val="center"/>
          </w:tcPr>
          <w:p w14:paraId="7D42FABB">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外出陪同</w:t>
            </w:r>
          </w:p>
        </w:tc>
        <w:tc>
          <w:tcPr>
            <w:tcW w:w="714" w:type="pct"/>
            <w:tcBorders>
              <w:top w:val="single" w:color="000000" w:sz="4" w:space="0"/>
              <w:left w:val="single" w:color="000000" w:sz="4" w:space="0"/>
              <w:bottom w:val="single" w:color="000000" w:sz="4" w:space="0"/>
              <w:right w:val="single" w:color="000000" w:sz="4" w:space="0"/>
            </w:tcBorders>
            <w:vAlign w:val="center"/>
          </w:tcPr>
          <w:p w14:paraId="2640E6C7">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陪同老人前往相关地点，以提供陪伴和支持为主要目的的服务</w:t>
            </w:r>
          </w:p>
        </w:tc>
        <w:tc>
          <w:tcPr>
            <w:tcW w:w="1499" w:type="pct"/>
            <w:tcBorders>
              <w:top w:val="single" w:color="000000" w:sz="4" w:space="0"/>
              <w:left w:val="single" w:color="000000" w:sz="4" w:space="0"/>
              <w:bottom w:val="single" w:color="000000" w:sz="4" w:space="0"/>
              <w:right w:val="single" w:color="000000" w:sz="4" w:space="0"/>
            </w:tcBorders>
            <w:vAlign w:val="center"/>
          </w:tcPr>
          <w:p w14:paraId="707056EC">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根据老人的体力、活动障碍程度，提供助行服务。使用助行器具时应检查各部件是否完好完备，按助行器具的使用说明进行操作，助行活动宜在老人住宅周边区域内进行，注意途中安全，防止意外情况发生。</w:t>
            </w:r>
          </w:p>
        </w:tc>
        <w:tc>
          <w:tcPr>
            <w:tcW w:w="262" w:type="pct"/>
            <w:tcBorders>
              <w:top w:val="single" w:color="000000" w:sz="4" w:space="0"/>
              <w:left w:val="single" w:color="000000" w:sz="4" w:space="0"/>
              <w:bottom w:val="single" w:color="000000" w:sz="4" w:space="0"/>
              <w:right w:val="single" w:color="000000" w:sz="4" w:space="0"/>
            </w:tcBorders>
            <w:vAlign w:val="center"/>
          </w:tcPr>
          <w:p w14:paraId="27FEE879">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40</w:t>
            </w:r>
          </w:p>
        </w:tc>
        <w:tc>
          <w:tcPr>
            <w:tcW w:w="217" w:type="pct"/>
            <w:tcBorders>
              <w:top w:val="single" w:color="000000" w:sz="4" w:space="0"/>
              <w:left w:val="single" w:color="000000" w:sz="4" w:space="0"/>
              <w:bottom w:val="single" w:color="000000" w:sz="4" w:space="0"/>
              <w:right w:val="single" w:color="000000" w:sz="4" w:space="0"/>
            </w:tcBorders>
            <w:vAlign w:val="center"/>
          </w:tcPr>
          <w:p w14:paraId="7A2BB2A7">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60</w:t>
            </w:r>
          </w:p>
        </w:tc>
        <w:tc>
          <w:tcPr>
            <w:tcW w:w="298" w:type="pct"/>
            <w:tcBorders>
              <w:top w:val="single" w:color="000000" w:sz="4" w:space="0"/>
              <w:left w:val="single" w:color="000000" w:sz="4" w:space="0"/>
              <w:bottom w:val="single" w:color="000000" w:sz="4" w:space="0"/>
              <w:right w:val="single" w:color="000000" w:sz="4" w:space="0"/>
            </w:tcBorders>
            <w:vAlign w:val="center"/>
          </w:tcPr>
          <w:p w14:paraId="25032157">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0.5</w:t>
            </w:r>
          </w:p>
        </w:tc>
        <w:tc>
          <w:tcPr>
            <w:tcW w:w="298" w:type="pct"/>
            <w:tcBorders>
              <w:top w:val="single" w:color="000000" w:sz="4" w:space="0"/>
              <w:left w:val="single" w:color="000000" w:sz="4" w:space="0"/>
              <w:bottom w:val="single" w:color="000000" w:sz="4" w:space="0"/>
              <w:right w:val="single" w:color="000000" w:sz="4" w:space="0"/>
            </w:tcBorders>
            <w:vAlign w:val="center"/>
          </w:tcPr>
          <w:p w14:paraId="5FCC390E">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1</w:t>
            </w:r>
          </w:p>
        </w:tc>
        <w:tc>
          <w:tcPr>
            <w:tcW w:w="308" w:type="pct"/>
            <w:gridSpan w:val="2"/>
            <w:tcBorders>
              <w:top w:val="single" w:color="000000" w:sz="4" w:space="0"/>
              <w:left w:val="single" w:color="000000" w:sz="4" w:space="0"/>
              <w:bottom w:val="single" w:color="000000" w:sz="4" w:space="0"/>
              <w:right w:val="single" w:color="000000" w:sz="4" w:space="0"/>
            </w:tcBorders>
            <w:vAlign w:val="center"/>
          </w:tcPr>
          <w:p w14:paraId="28D4A638">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2</w:t>
            </w:r>
          </w:p>
        </w:tc>
      </w:tr>
      <w:tr w14:paraId="1754B5C5">
        <w:tblPrEx>
          <w:tblCellMar>
            <w:top w:w="0" w:type="dxa"/>
            <w:left w:w="108" w:type="dxa"/>
            <w:bottom w:w="0" w:type="dxa"/>
            <w:right w:w="108" w:type="dxa"/>
          </w:tblCellMar>
        </w:tblPrEx>
        <w:trPr>
          <w:gridAfter w:val="3"/>
          <w:wAfter w:w="717" w:type="pct"/>
        </w:trPr>
        <w:tc>
          <w:tcPr>
            <w:tcW w:w="157" w:type="pct"/>
            <w:tcBorders>
              <w:top w:val="single" w:color="000000" w:sz="4" w:space="0"/>
              <w:left w:val="single" w:color="000000" w:sz="4" w:space="0"/>
              <w:bottom w:val="single" w:color="000000" w:sz="4" w:space="0"/>
              <w:right w:val="single" w:color="000000" w:sz="4" w:space="0"/>
            </w:tcBorders>
            <w:vAlign w:val="center"/>
          </w:tcPr>
          <w:p w14:paraId="7A3CAE0C">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20</w:t>
            </w:r>
          </w:p>
        </w:tc>
        <w:tc>
          <w:tcPr>
            <w:tcW w:w="244" w:type="pct"/>
            <w:tcBorders>
              <w:top w:val="single" w:color="000000" w:sz="4" w:space="0"/>
              <w:left w:val="single" w:color="000000" w:sz="4" w:space="0"/>
              <w:bottom w:val="single" w:color="000000" w:sz="4" w:space="0"/>
              <w:right w:val="single" w:color="000000" w:sz="4" w:space="0"/>
            </w:tcBorders>
            <w:vAlign w:val="center"/>
          </w:tcPr>
          <w:p w14:paraId="528E67C2">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助行</w:t>
            </w:r>
          </w:p>
        </w:tc>
        <w:tc>
          <w:tcPr>
            <w:tcW w:w="285" w:type="pct"/>
            <w:tcBorders>
              <w:top w:val="single" w:color="000000" w:sz="4" w:space="0"/>
              <w:left w:val="single" w:color="000000" w:sz="4" w:space="0"/>
              <w:bottom w:val="single" w:color="000000" w:sz="4" w:space="0"/>
              <w:right w:val="single" w:color="000000" w:sz="4" w:space="0"/>
            </w:tcBorders>
            <w:vAlign w:val="center"/>
          </w:tcPr>
          <w:p w14:paraId="24FDC987">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代办代购</w:t>
            </w:r>
          </w:p>
        </w:tc>
        <w:tc>
          <w:tcPr>
            <w:tcW w:w="714" w:type="pct"/>
            <w:tcBorders>
              <w:top w:val="single" w:color="000000" w:sz="4" w:space="0"/>
              <w:left w:val="single" w:color="000000" w:sz="4" w:space="0"/>
              <w:bottom w:val="single" w:color="000000" w:sz="4" w:space="0"/>
              <w:right w:val="single" w:color="000000" w:sz="4" w:space="0"/>
            </w:tcBorders>
            <w:vAlign w:val="center"/>
          </w:tcPr>
          <w:p w14:paraId="682B8FDA">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为老年人提供代购、代缴、代订、代为申请等相关服务（含交通费）</w:t>
            </w:r>
          </w:p>
        </w:tc>
        <w:tc>
          <w:tcPr>
            <w:tcW w:w="1499" w:type="pct"/>
            <w:tcBorders>
              <w:top w:val="single" w:color="000000" w:sz="4" w:space="0"/>
              <w:left w:val="single" w:color="000000" w:sz="4" w:space="0"/>
              <w:bottom w:val="single" w:color="000000" w:sz="4" w:space="0"/>
              <w:right w:val="single" w:color="000000" w:sz="4" w:space="0"/>
            </w:tcBorders>
            <w:vAlign w:val="center"/>
          </w:tcPr>
          <w:p w14:paraId="24A895F8">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对接受委托的代办事项，应按照口头或书面的约定，准确记录所代办事项的内容、要求。必要时，应当向委托人口述一遍委托事项，请委托人确认。除即时清结者外，涉及现金的，应当面清点并核实。代办委托服务，应当保护老人隐私，不得向他人泄漏老人个人信息。使用老人个人物品如手机、社保卡等提供代办服务时，应得到老人或相关第三方同意，并保证物品安全。应当保留代办服务的相关记录。</w:t>
            </w:r>
          </w:p>
        </w:tc>
        <w:tc>
          <w:tcPr>
            <w:tcW w:w="262" w:type="pct"/>
            <w:tcBorders>
              <w:top w:val="single" w:color="000000" w:sz="4" w:space="0"/>
              <w:left w:val="single" w:color="000000" w:sz="4" w:space="0"/>
              <w:bottom w:val="single" w:color="000000" w:sz="4" w:space="0"/>
              <w:right w:val="single" w:color="000000" w:sz="4" w:space="0"/>
            </w:tcBorders>
            <w:vAlign w:val="center"/>
          </w:tcPr>
          <w:p w14:paraId="35DE792E">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20</w:t>
            </w:r>
          </w:p>
        </w:tc>
        <w:tc>
          <w:tcPr>
            <w:tcW w:w="217" w:type="pct"/>
            <w:tcBorders>
              <w:top w:val="single" w:color="000000" w:sz="4" w:space="0"/>
              <w:left w:val="single" w:color="000000" w:sz="4" w:space="0"/>
              <w:bottom w:val="single" w:color="000000" w:sz="4" w:space="0"/>
              <w:right w:val="single" w:color="000000" w:sz="4" w:space="0"/>
            </w:tcBorders>
            <w:vAlign w:val="center"/>
          </w:tcPr>
          <w:p w14:paraId="764597C2">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30</w:t>
            </w:r>
          </w:p>
        </w:tc>
        <w:tc>
          <w:tcPr>
            <w:tcW w:w="298" w:type="pct"/>
            <w:tcBorders>
              <w:top w:val="single" w:color="000000" w:sz="4" w:space="0"/>
              <w:left w:val="single" w:color="000000" w:sz="4" w:space="0"/>
              <w:bottom w:val="single" w:color="000000" w:sz="4" w:space="0"/>
              <w:right w:val="single" w:color="000000" w:sz="4" w:space="0"/>
            </w:tcBorders>
            <w:vAlign w:val="center"/>
          </w:tcPr>
          <w:p w14:paraId="6D9A2F85">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0.5</w:t>
            </w:r>
          </w:p>
        </w:tc>
        <w:tc>
          <w:tcPr>
            <w:tcW w:w="298" w:type="pct"/>
            <w:tcBorders>
              <w:top w:val="single" w:color="000000" w:sz="4" w:space="0"/>
              <w:left w:val="single" w:color="000000" w:sz="4" w:space="0"/>
              <w:bottom w:val="single" w:color="000000" w:sz="4" w:space="0"/>
              <w:right w:val="single" w:color="000000" w:sz="4" w:space="0"/>
            </w:tcBorders>
            <w:vAlign w:val="center"/>
          </w:tcPr>
          <w:p w14:paraId="3EC2E5E4">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1</w:t>
            </w:r>
          </w:p>
        </w:tc>
        <w:tc>
          <w:tcPr>
            <w:tcW w:w="308" w:type="pct"/>
            <w:gridSpan w:val="2"/>
            <w:tcBorders>
              <w:top w:val="single" w:color="000000" w:sz="4" w:space="0"/>
              <w:left w:val="single" w:color="000000" w:sz="4" w:space="0"/>
              <w:bottom w:val="single" w:color="000000" w:sz="4" w:space="0"/>
              <w:right w:val="single" w:color="000000" w:sz="4" w:space="0"/>
            </w:tcBorders>
            <w:vAlign w:val="center"/>
          </w:tcPr>
          <w:p w14:paraId="10D04957">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1</w:t>
            </w:r>
          </w:p>
        </w:tc>
      </w:tr>
      <w:tr w14:paraId="545DB347">
        <w:tblPrEx>
          <w:tblCellMar>
            <w:top w:w="0" w:type="dxa"/>
            <w:left w:w="108" w:type="dxa"/>
            <w:bottom w:w="0" w:type="dxa"/>
            <w:right w:w="108" w:type="dxa"/>
          </w:tblCellMar>
        </w:tblPrEx>
        <w:trPr>
          <w:gridAfter w:val="3"/>
          <w:wAfter w:w="717" w:type="pct"/>
        </w:trPr>
        <w:tc>
          <w:tcPr>
            <w:tcW w:w="157" w:type="pct"/>
            <w:tcBorders>
              <w:top w:val="single" w:color="000000" w:sz="4" w:space="0"/>
              <w:left w:val="single" w:color="000000" w:sz="4" w:space="0"/>
              <w:bottom w:val="single" w:color="000000" w:sz="4" w:space="0"/>
              <w:right w:val="single" w:color="000000" w:sz="4" w:space="0"/>
            </w:tcBorders>
            <w:vAlign w:val="center"/>
          </w:tcPr>
          <w:p w14:paraId="64F47276">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21</w:t>
            </w:r>
          </w:p>
        </w:tc>
        <w:tc>
          <w:tcPr>
            <w:tcW w:w="244" w:type="pct"/>
            <w:tcBorders>
              <w:top w:val="single" w:color="000000" w:sz="4" w:space="0"/>
              <w:left w:val="single" w:color="000000" w:sz="4" w:space="0"/>
              <w:bottom w:val="single" w:color="000000" w:sz="4" w:space="0"/>
              <w:right w:val="single" w:color="000000" w:sz="4" w:space="0"/>
            </w:tcBorders>
            <w:vAlign w:val="center"/>
          </w:tcPr>
          <w:p w14:paraId="6D23D107">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助医</w:t>
            </w:r>
          </w:p>
        </w:tc>
        <w:tc>
          <w:tcPr>
            <w:tcW w:w="285" w:type="pct"/>
            <w:tcBorders>
              <w:top w:val="single" w:color="000000" w:sz="4" w:space="0"/>
              <w:left w:val="single" w:color="000000" w:sz="4" w:space="0"/>
              <w:bottom w:val="single" w:color="000000" w:sz="4" w:space="0"/>
              <w:right w:val="single" w:color="000000" w:sz="4" w:space="0"/>
            </w:tcBorders>
            <w:vAlign w:val="center"/>
          </w:tcPr>
          <w:p w14:paraId="3377BFFE">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体征检测</w:t>
            </w:r>
          </w:p>
        </w:tc>
        <w:tc>
          <w:tcPr>
            <w:tcW w:w="714" w:type="pct"/>
            <w:tcBorders>
              <w:top w:val="single" w:color="000000" w:sz="4" w:space="0"/>
              <w:left w:val="single" w:color="000000" w:sz="4" w:space="0"/>
              <w:bottom w:val="single" w:color="000000" w:sz="4" w:space="0"/>
              <w:right w:val="single" w:color="000000" w:sz="4" w:space="0"/>
            </w:tcBorders>
            <w:vAlign w:val="center"/>
          </w:tcPr>
          <w:p w14:paraId="04716ADE">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对老人进行全面身体检查，包括血压、血糖、血氧、尿酸、心跳等常 规检查和监测。</w:t>
            </w:r>
          </w:p>
        </w:tc>
        <w:tc>
          <w:tcPr>
            <w:tcW w:w="1499" w:type="pct"/>
            <w:tcBorders>
              <w:top w:val="single" w:color="000000" w:sz="4" w:space="0"/>
              <w:left w:val="single" w:color="000000" w:sz="4" w:space="0"/>
              <w:bottom w:val="single" w:color="000000" w:sz="4" w:space="0"/>
              <w:right w:val="single" w:color="000000" w:sz="4" w:space="0"/>
            </w:tcBorders>
            <w:vAlign w:val="center"/>
          </w:tcPr>
          <w:p w14:paraId="05603CC6">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携带专业医疗设备上门为老年人测量血压、血糖、血氧、尿酸、脉搏等生命体征，其中血糖、尿酸等破皮检测，需要有医疗资质的工作人员操作。测量数据需进行记录，为老年人建立健康数字档案，并提供健康指导。</w:t>
            </w:r>
          </w:p>
        </w:tc>
        <w:tc>
          <w:tcPr>
            <w:tcW w:w="262" w:type="pct"/>
            <w:tcBorders>
              <w:top w:val="single" w:color="000000" w:sz="4" w:space="0"/>
              <w:left w:val="single" w:color="000000" w:sz="4" w:space="0"/>
              <w:bottom w:val="single" w:color="000000" w:sz="4" w:space="0"/>
              <w:right w:val="single" w:color="000000" w:sz="4" w:space="0"/>
            </w:tcBorders>
            <w:vAlign w:val="center"/>
          </w:tcPr>
          <w:p w14:paraId="737116F3">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80</w:t>
            </w:r>
          </w:p>
        </w:tc>
        <w:tc>
          <w:tcPr>
            <w:tcW w:w="217" w:type="pct"/>
            <w:tcBorders>
              <w:top w:val="single" w:color="000000" w:sz="4" w:space="0"/>
              <w:left w:val="single" w:color="000000" w:sz="4" w:space="0"/>
              <w:bottom w:val="single" w:color="000000" w:sz="4" w:space="0"/>
              <w:right w:val="single" w:color="000000" w:sz="4" w:space="0"/>
            </w:tcBorders>
            <w:vAlign w:val="center"/>
          </w:tcPr>
          <w:p w14:paraId="0D1132F7">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40</w:t>
            </w:r>
          </w:p>
        </w:tc>
        <w:tc>
          <w:tcPr>
            <w:tcW w:w="298" w:type="pct"/>
            <w:tcBorders>
              <w:top w:val="single" w:color="000000" w:sz="4" w:space="0"/>
              <w:left w:val="single" w:color="000000" w:sz="4" w:space="0"/>
              <w:bottom w:val="single" w:color="000000" w:sz="4" w:space="0"/>
              <w:right w:val="single" w:color="000000" w:sz="4" w:space="0"/>
            </w:tcBorders>
            <w:vAlign w:val="center"/>
          </w:tcPr>
          <w:p w14:paraId="0DC1BB95">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0.5</w:t>
            </w:r>
          </w:p>
        </w:tc>
        <w:tc>
          <w:tcPr>
            <w:tcW w:w="298" w:type="pct"/>
            <w:tcBorders>
              <w:top w:val="single" w:color="000000" w:sz="4" w:space="0"/>
              <w:left w:val="single" w:color="000000" w:sz="4" w:space="0"/>
              <w:bottom w:val="single" w:color="000000" w:sz="4" w:space="0"/>
              <w:right w:val="single" w:color="000000" w:sz="4" w:space="0"/>
            </w:tcBorders>
            <w:vAlign w:val="center"/>
          </w:tcPr>
          <w:p w14:paraId="350DA210">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1</w:t>
            </w:r>
          </w:p>
        </w:tc>
        <w:tc>
          <w:tcPr>
            <w:tcW w:w="308" w:type="pct"/>
            <w:gridSpan w:val="2"/>
            <w:tcBorders>
              <w:top w:val="single" w:color="000000" w:sz="4" w:space="0"/>
              <w:left w:val="single" w:color="000000" w:sz="4" w:space="0"/>
              <w:bottom w:val="single" w:color="000000" w:sz="4" w:space="0"/>
              <w:right w:val="single" w:color="000000" w:sz="4" w:space="0"/>
            </w:tcBorders>
            <w:vAlign w:val="center"/>
          </w:tcPr>
          <w:p w14:paraId="027F7C5E">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2</w:t>
            </w:r>
          </w:p>
        </w:tc>
      </w:tr>
      <w:tr w14:paraId="7DABD4DD">
        <w:tblPrEx>
          <w:tblCellMar>
            <w:top w:w="0" w:type="dxa"/>
            <w:left w:w="108" w:type="dxa"/>
            <w:bottom w:w="0" w:type="dxa"/>
            <w:right w:w="108" w:type="dxa"/>
          </w:tblCellMar>
        </w:tblPrEx>
        <w:trPr>
          <w:gridAfter w:val="3"/>
          <w:wAfter w:w="717" w:type="pct"/>
        </w:trPr>
        <w:tc>
          <w:tcPr>
            <w:tcW w:w="157" w:type="pct"/>
            <w:tcBorders>
              <w:top w:val="single" w:color="000000" w:sz="4" w:space="0"/>
              <w:left w:val="single" w:color="000000" w:sz="4" w:space="0"/>
              <w:bottom w:val="single" w:color="000000" w:sz="4" w:space="0"/>
              <w:right w:val="single" w:color="000000" w:sz="4" w:space="0"/>
            </w:tcBorders>
            <w:vAlign w:val="center"/>
          </w:tcPr>
          <w:p w14:paraId="5897FC61">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22</w:t>
            </w:r>
          </w:p>
        </w:tc>
        <w:tc>
          <w:tcPr>
            <w:tcW w:w="244" w:type="pct"/>
            <w:tcBorders>
              <w:top w:val="single" w:color="000000" w:sz="4" w:space="0"/>
              <w:left w:val="single" w:color="000000" w:sz="4" w:space="0"/>
              <w:bottom w:val="single" w:color="000000" w:sz="4" w:space="0"/>
              <w:right w:val="single" w:color="000000" w:sz="4" w:space="0"/>
            </w:tcBorders>
            <w:vAlign w:val="center"/>
          </w:tcPr>
          <w:p w14:paraId="4A242BC0">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助医</w:t>
            </w:r>
          </w:p>
        </w:tc>
        <w:tc>
          <w:tcPr>
            <w:tcW w:w="285" w:type="pct"/>
            <w:tcBorders>
              <w:top w:val="single" w:color="000000" w:sz="4" w:space="0"/>
              <w:left w:val="single" w:color="000000" w:sz="4" w:space="0"/>
              <w:bottom w:val="single" w:color="000000" w:sz="4" w:space="0"/>
              <w:right w:val="single" w:color="000000" w:sz="4" w:space="0"/>
            </w:tcBorders>
            <w:vAlign w:val="center"/>
          </w:tcPr>
          <w:p w14:paraId="40B6F71E">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用药指导</w:t>
            </w:r>
          </w:p>
        </w:tc>
        <w:tc>
          <w:tcPr>
            <w:tcW w:w="714" w:type="pct"/>
            <w:tcBorders>
              <w:top w:val="single" w:color="000000" w:sz="4" w:space="0"/>
              <w:left w:val="single" w:color="000000" w:sz="4" w:space="0"/>
              <w:bottom w:val="single" w:color="000000" w:sz="4" w:space="0"/>
              <w:right w:val="single" w:color="000000" w:sz="4" w:space="0"/>
            </w:tcBorders>
            <w:vAlign w:val="center"/>
          </w:tcPr>
          <w:p w14:paraId="32EE582D">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药物使用指导，综合评定目前用药安全情况</w:t>
            </w:r>
          </w:p>
        </w:tc>
        <w:tc>
          <w:tcPr>
            <w:tcW w:w="1499" w:type="pct"/>
            <w:tcBorders>
              <w:top w:val="single" w:color="000000" w:sz="4" w:space="0"/>
              <w:left w:val="single" w:color="000000" w:sz="4" w:space="0"/>
              <w:bottom w:val="single" w:color="000000" w:sz="4" w:space="0"/>
              <w:right w:val="single" w:color="000000" w:sz="4" w:space="0"/>
            </w:tcBorders>
            <w:vAlign w:val="center"/>
          </w:tcPr>
          <w:p w14:paraId="485A2491">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必须由拥有专业资质的医疗人员提供服务。医疗人员综合运用医药学知识，向老年人说明药物使用方式，并安排和督促老年人按时用药，提高患者用药依从性。综合评定老年人当前用药情况，避免不良反应。</w:t>
            </w:r>
          </w:p>
        </w:tc>
        <w:tc>
          <w:tcPr>
            <w:tcW w:w="262" w:type="pct"/>
            <w:tcBorders>
              <w:top w:val="single" w:color="000000" w:sz="4" w:space="0"/>
              <w:left w:val="single" w:color="000000" w:sz="4" w:space="0"/>
              <w:bottom w:val="single" w:color="000000" w:sz="4" w:space="0"/>
              <w:right w:val="single" w:color="000000" w:sz="4" w:space="0"/>
            </w:tcBorders>
            <w:vAlign w:val="center"/>
          </w:tcPr>
          <w:p w14:paraId="23034914">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35</w:t>
            </w:r>
          </w:p>
        </w:tc>
        <w:tc>
          <w:tcPr>
            <w:tcW w:w="217" w:type="pct"/>
            <w:tcBorders>
              <w:top w:val="single" w:color="000000" w:sz="4" w:space="0"/>
              <w:left w:val="single" w:color="000000" w:sz="4" w:space="0"/>
              <w:bottom w:val="single" w:color="000000" w:sz="4" w:space="0"/>
              <w:right w:val="single" w:color="000000" w:sz="4" w:space="0"/>
            </w:tcBorders>
            <w:vAlign w:val="center"/>
          </w:tcPr>
          <w:p w14:paraId="0747D965">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20</w:t>
            </w:r>
          </w:p>
        </w:tc>
        <w:tc>
          <w:tcPr>
            <w:tcW w:w="298" w:type="pct"/>
            <w:tcBorders>
              <w:top w:val="single" w:color="000000" w:sz="4" w:space="0"/>
              <w:left w:val="single" w:color="000000" w:sz="4" w:space="0"/>
              <w:bottom w:val="single" w:color="000000" w:sz="4" w:space="0"/>
              <w:right w:val="single" w:color="000000" w:sz="4" w:space="0"/>
            </w:tcBorders>
            <w:vAlign w:val="center"/>
          </w:tcPr>
          <w:p w14:paraId="676B011D">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0.5</w:t>
            </w:r>
          </w:p>
        </w:tc>
        <w:tc>
          <w:tcPr>
            <w:tcW w:w="298" w:type="pct"/>
            <w:tcBorders>
              <w:top w:val="single" w:color="000000" w:sz="4" w:space="0"/>
              <w:left w:val="single" w:color="000000" w:sz="4" w:space="0"/>
              <w:bottom w:val="single" w:color="000000" w:sz="4" w:space="0"/>
              <w:right w:val="single" w:color="000000" w:sz="4" w:space="0"/>
            </w:tcBorders>
            <w:vAlign w:val="center"/>
          </w:tcPr>
          <w:p w14:paraId="2D790BBC">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1</w:t>
            </w:r>
          </w:p>
        </w:tc>
        <w:tc>
          <w:tcPr>
            <w:tcW w:w="308" w:type="pct"/>
            <w:gridSpan w:val="2"/>
            <w:tcBorders>
              <w:top w:val="single" w:color="000000" w:sz="4" w:space="0"/>
              <w:left w:val="single" w:color="000000" w:sz="4" w:space="0"/>
              <w:bottom w:val="single" w:color="000000" w:sz="4" w:space="0"/>
              <w:right w:val="single" w:color="000000" w:sz="4" w:space="0"/>
            </w:tcBorders>
            <w:vAlign w:val="center"/>
          </w:tcPr>
          <w:p w14:paraId="4C4BED79">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2</w:t>
            </w:r>
          </w:p>
        </w:tc>
      </w:tr>
      <w:tr w14:paraId="71411349">
        <w:tblPrEx>
          <w:tblCellMar>
            <w:top w:w="0" w:type="dxa"/>
            <w:left w:w="108" w:type="dxa"/>
            <w:bottom w:w="0" w:type="dxa"/>
            <w:right w:w="108" w:type="dxa"/>
          </w:tblCellMar>
        </w:tblPrEx>
        <w:trPr>
          <w:gridAfter w:val="3"/>
          <w:wAfter w:w="717" w:type="pct"/>
        </w:trPr>
        <w:tc>
          <w:tcPr>
            <w:tcW w:w="157" w:type="pct"/>
            <w:tcBorders>
              <w:top w:val="single" w:color="000000" w:sz="4" w:space="0"/>
              <w:left w:val="single" w:color="000000" w:sz="4" w:space="0"/>
              <w:bottom w:val="single" w:color="000000" w:sz="4" w:space="0"/>
              <w:right w:val="single" w:color="000000" w:sz="4" w:space="0"/>
            </w:tcBorders>
            <w:vAlign w:val="center"/>
          </w:tcPr>
          <w:p w14:paraId="25A93B73">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23</w:t>
            </w:r>
          </w:p>
        </w:tc>
        <w:tc>
          <w:tcPr>
            <w:tcW w:w="244" w:type="pct"/>
            <w:tcBorders>
              <w:top w:val="single" w:color="000000" w:sz="4" w:space="0"/>
              <w:left w:val="single" w:color="000000" w:sz="4" w:space="0"/>
              <w:bottom w:val="single" w:color="000000" w:sz="4" w:space="0"/>
              <w:right w:val="single" w:color="000000" w:sz="4" w:space="0"/>
            </w:tcBorders>
            <w:vAlign w:val="center"/>
          </w:tcPr>
          <w:p w14:paraId="48DFD535">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助医</w:t>
            </w:r>
          </w:p>
        </w:tc>
        <w:tc>
          <w:tcPr>
            <w:tcW w:w="285" w:type="pct"/>
            <w:tcBorders>
              <w:top w:val="single" w:color="000000" w:sz="4" w:space="0"/>
              <w:left w:val="single" w:color="000000" w:sz="4" w:space="0"/>
              <w:bottom w:val="single" w:color="000000" w:sz="4" w:space="0"/>
              <w:right w:val="single" w:color="000000" w:sz="4" w:space="0"/>
            </w:tcBorders>
            <w:vAlign w:val="center"/>
          </w:tcPr>
          <w:p w14:paraId="37A76F9D">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康复训练</w:t>
            </w:r>
          </w:p>
        </w:tc>
        <w:tc>
          <w:tcPr>
            <w:tcW w:w="714" w:type="pct"/>
            <w:tcBorders>
              <w:top w:val="single" w:color="000000" w:sz="4" w:space="0"/>
              <w:left w:val="single" w:color="000000" w:sz="4" w:space="0"/>
              <w:bottom w:val="single" w:color="000000" w:sz="4" w:space="0"/>
              <w:right w:val="single" w:color="000000" w:sz="4" w:space="0"/>
            </w:tcBorders>
            <w:vAlign w:val="center"/>
          </w:tcPr>
          <w:p w14:paraId="0052BE25">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提供康复训练开那个服务帮助此老年人改善功能障碍，提高生活能力和质量。</w:t>
            </w:r>
          </w:p>
        </w:tc>
        <w:tc>
          <w:tcPr>
            <w:tcW w:w="1499" w:type="pct"/>
            <w:tcBorders>
              <w:top w:val="single" w:color="000000" w:sz="4" w:space="0"/>
              <w:left w:val="single" w:color="000000" w:sz="4" w:space="0"/>
              <w:bottom w:val="single" w:color="000000" w:sz="4" w:space="0"/>
              <w:right w:val="single" w:color="000000" w:sz="4" w:space="0"/>
            </w:tcBorders>
            <w:vAlign w:val="center"/>
          </w:tcPr>
          <w:p w14:paraId="48B4D4F6">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由具有专业资质的康复人员，通过不同的治疗手段，如物理治疗、作业治疗、康复工程、康复护理、中医治疗、心理咨询、文体治疗等方式，结合不同的服务，如机构康复治疗、社区康复治疗、居家康复治疗等为服务对象改善功能，提高生活质量。</w:t>
            </w:r>
          </w:p>
        </w:tc>
        <w:tc>
          <w:tcPr>
            <w:tcW w:w="262" w:type="pct"/>
            <w:tcBorders>
              <w:top w:val="single" w:color="000000" w:sz="4" w:space="0"/>
              <w:left w:val="single" w:color="000000" w:sz="4" w:space="0"/>
              <w:bottom w:val="single" w:color="000000" w:sz="4" w:space="0"/>
              <w:right w:val="single" w:color="000000" w:sz="4" w:space="0"/>
            </w:tcBorders>
            <w:vAlign w:val="center"/>
          </w:tcPr>
          <w:p w14:paraId="7810C10B">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110</w:t>
            </w:r>
          </w:p>
        </w:tc>
        <w:tc>
          <w:tcPr>
            <w:tcW w:w="217" w:type="pct"/>
            <w:tcBorders>
              <w:top w:val="single" w:color="000000" w:sz="4" w:space="0"/>
              <w:left w:val="single" w:color="000000" w:sz="4" w:space="0"/>
              <w:bottom w:val="single" w:color="000000" w:sz="4" w:space="0"/>
              <w:right w:val="single" w:color="000000" w:sz="4" w:space="0"/>
            </w:tcBorders>
            <w:vAlign w:val="center"/>
          </w:tcPr>
          <w:p w14:paraId="30E437E0">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60</w:t>
            </w:r>
          </w:p>
        </w:tc>
        <w:tc>
          <w:tcPr>
            <w:tcW w:w="298" w:type="pct"/>
            <w:tcBorders>
              <w:top w:val="single" w:color="000000" w:sz="4" w:space="0"/>
              <w:left w:val="single" w:color="000000" w:sz="4" w:space="0"/>
              <w:bottom w:val="single" w:color="000000" w:sz="4" w:space="0"/>
              <w:right w:val="single" w:color="000000" w:sz="4" w:space="0"/>
            </w:tcBorders>
            <w:vAlign w:val="center"/>
          </w:tcPr>
          <w:p w14:paraId="12D14050">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0.5</w:t>
            </w:r>
          </w:p>
        </w:tc>
        <w:tc>
          <w:tcPr>
            <w:tcW w:w="298" w:type="pct"/>
            <w:tcBorders>
              <w:top w:val="single" w:color="000000" w:sz="4" w:space="0"/>
              <w:left w:val="single" w:color="000000" w:sz="4" w:space="0"/>
              <w:bottom w:val="single" w:color="000000" w:sz="4" w:space="0"/>
              <w:right w:val="single" w:color="000000" w:sz="4" w:space="0"/>
            </w:tcBorders>
            <w:vAlign w:val="center"/>
          </w:tcPr>
          <w:p w14:paraId="2E2C8324">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1</w:t>
            </w:r>
          </w:p>
        </w:tc>
        <w:tc>
          <w:tcPr>
            <w:tcW w:w="308" w:type="pct"/>
            <w:gridSpan w:val="2"/>
            <w:tcBorders>
              <w:top w:val="single" w:color="000000" w:sz="4" w:space="0"/>
              <w:left w:val="single" w:color="000000" w:sz="4" w:space="0"/>
              <w:bottom w:val="single" w:color="000000" w:sz="4" w:space="0"/>
              <w:right w:val="single" w:color="000000" w:sz="4" w:space="0"/>
            </w:tcBorders>
            <w:vAlign w:val="center"/>
          </w:tcPr>
          <w:p w14:paraId="0E0CED93">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2</w:t>
            </w:r>
          </w:p>
        </w:tc>
      </w:tr>
      <w:tr w14:paraId="04AB0EF0">
        <w:tblPrEx>
          <w:tblCellMar>
            <w:top w:w="0" w:type="dxa"/>
            <w:left w:w="108" w:type="dxa"/>
            <w:bottom w:w="0" w:type="dxa"/>
            <w:right w:w="108" w:type="dxa"/>
          </w:tblCellMar>
        </w:tblPrEx>
        <w:trPr>
          <w:gridAfter w:val="3"/>
          <w:wAfter w:w="717" w:type="pct"/>
        </w:trPr>
        <w:tc>
          <w:tcPr>
            <w:tcW w:w="157" w:type="pct"/>
            <w:tcBorders>
              <w:top w:val="single" w:color="000000" w:sz="4" w:space="0"/>
              <w:left w:val="single" w:color="000000" w:sz="4" w:space="0"/>
              <w:bottom w:val="single" w:color="000000" w:sz="4" w:space="0"/>
              <w:right w:val="single" w:color="000000" w:sz="4" w:space="0"/>
            </w:tcBorders>
            <w:vAlign w:val="center"/>
          </w:tcPr>
          <w:p w14:paraId="60E67184">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24</w:t>
            </w:r>
          </w:p>
        </w:tc>
        <w:tc>
          <w:tcPr>
            <w:tcW w:w="244" w:type="pct"/>
            <w:tcBorders>
              <w:top w:val="single" w:color="000000" w:sz="4" w:space="0"/>
              <w:left w:val="single" w:color="000000" w:sz="4" w:space="0"/>
              <w:bottom w:val="single" w:color="000000" w:sz="4" w:space="0"/>
              <w:right w:val="single" w:color="000000" w:sz="4" w:space="0"/>
            </w:tcBorders>
            <w:vAlign w:val="center"/>
          </w:tcPr>
          <w:p w14:paraId="44A7EEA9">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助医</w:t>
            </w:r>
          </w:p>
        </w:tc>
        <w:tc>
          <w:tcPr>
            <w:tcW w:w="285" w:type="pct"/>
            <w:tcBorders>
              <w:top w:val="single" w:color="000000" w:sz="4" w:space="0"/>
              <w:left w:val="single" w:color="000000" w:sz="4" w:space="0"/>
              <w:bottom w:val="single" w:color="000000" w:sz="4" w:space="0"/>
              <w:right w:val="single" w:color="000000" w:sz="4" w:space="0"/>
            </w:tcBorders>
            <w:vAlign w:val="center"/>
          </w:tcPr>
          <w:p w14:paraId="68FA9743">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按摩理疗</w:t>
            </w:r>
          </w:p>
        </w:tc>
        <w:tc>
          <w:tcPr>
            <w:tcW w:w="714" w:type="pct"/>
            <w:tcBorders>
              <w:top w:val="single" w:color="000000" w:sz="4" w:space="0"/>
              <w:left w:val="single" w:color="000000" w:sz="4" w:space="0"/>
              <w:bottom w:val="single" w:color="000000" w:sz="4" w:space="0"/>
              <w:right w:val="single" w:color="000000" w:sz="4" w:space="0"/>
            </w:tcBorders>
            <w:vAlign w:val="center"/>
          </w:tcPr>
          <w:p w14:paraId="229E3675">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为老年人提供头面部、四肢、腹部、腰背等部位按摩；通过专业设备，为老年人提供中频电治疗，红外线治疗等理疗服务。</w:t>
            </w:r>
          </w:p>
        </w:tc>
        <w:tc>
          <w:tcPr>
            <w:tcW w:w="1499" w:type="pct"/>
            <w:tcBorders>
              <w:top w:val="single" w:color="000000" w:sz="4" w:space="0"/>
              <w:left w:val="single" w:color="000000" w:sz="4" w:space="0"/>
              <w:bottom w:val="single" w:color="000000" w:sz="4" w:space="0"/>
              <w:right w:val="single" w:color="000000" w:sz="4" w:space="0"/>
            </w:tcBorders>
            <w:vAlign w:val="center"/>
          </w:tcPr>
          <w:p w14:paraId="036BF811">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必须由拥有专业资质的医疗人员提供服务。按摩需要轻柔缓慢，操作人员需要手套之类的卫生措施。理疗需要有适应症才可治疗，时间均控制在30分钟内。</w:t>
            </w:r>
          </w:p>
        </w:tc>
        <w:tc>
          <w:tcPr>
            <w:tcW w:w="262" w:type="pct"/>
            <w:tcBorders>
              <w:top w:val="single" w:color="000000" w:sz="4" w:space="0"/>
              <w:left w:val="single" w:color="000000" w:sz="4" w:space="0"/>
              <w:bottom w:val="single" w:color="000000" w:sz="4" w:space="0"/>
              <w:right w:val="single" w:color="000000" w:sz="4" w:space="0"/>
            </w:tcBorders>
            <w:vAlign w:val="center"/>
          </w:tcPr>
          <w:p w14:paraId="5184E22D">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170</w:t>
            </w:r>
          </w:p>
        </w:tc>
        <w:tc>
          <w:tcPr>
            <w:tcW w:w="217" w:type="pct"/>
            <w:tcBorders>
              <w:top w:val="single" w:color="000000" w:sz="4" w:space="0"/>
              <w:left w:val="single" w:color="000000" w:sz="4" w:space="0"/>
              <w:bottom w:val="single" w:color="000000" w:sz="4" w:space="0"/>
              <w:right w:val="single" w:color="000000" w:sz="4" w:space="0"/>
            </w:tcBorders>
            <w:vAlign w:val="center"/>
          </w:tcPr>
          <w:p w14:paraId="089D2334">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30</w:t>
            </w:r>
          </w:p>
        </w:tc>
        <w:tc>
          <w:tcPr>
            <w:tcW w:w="298" w:type="pct"/>
            <w:tcBorders>
              <w:top w:val="single" w:color="000000" w:sz="4" w:space="0"/>
              <w:left w:val="single" w:color="000000" w:sz="4" w:space="0"/>
              <w:bottom w:val="single" w:color="000000" w:sz="4" w:space="0"/>
              <w:right w:val="single" w:color="000000" w:sz="4" w:space="0"/>
            </w:tcBorders>
            <w:vAlign w:val="center"/>
          </w:tcPr>
          <w:p w14:paraId="430BC484">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0.5</w:t>
            </w:r>
          </w:p>
        </w:tc>
        <w:tc>
          <w:tcPr>
            <w:tcW w:w="298" w:type="pct"/>
            <w:tcBorders>
              <w:top w:val="single" w:color="000000" w:sz="4" w:space="0"/>
              <w:left w:val="single" w:color="000000" w:sz="4" w:space="0"/>
              <w:bottom w:val="single" w:color="000000" w:sz="4" w:space="0"/>
              <w:right w:val="single" w:color="000000" w:sz="4" w:space="0"/>
            </w:tcBorders>
            <w:vAlign w:val="center"/>
          </w:tcPr>
          <w:p w14:paraId="2DDB7C2E">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1</w:t>
            </w:r>
          </w:p>
        </w:tc>
        <w:tc>
          <w:tcPr>
            <w:tcW w:w="308" w:type="pct"/>
            <w:gridSpan w:val="2"/>
            <w:tcBorders>
              <w:top w:val="single" w:color="000000" w:sz="4" w:space="0"/>
              <w:left w:val="single" w:color="000000" w:sz="4" w:space="0"/>
              <w:bottom w:val="single" w:color="000000" w:sz="4" w:space="0"/>
              <w:right w:val="single" w:color="000000" w:sz="4" w:space="0"/>
            </w:tcBorders>
            <w:vAlign w:val="center"/>
          </w:tcPr>
          <w:p w14:paraId="6775C47F">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2</w:t>
            </w:r>
          </w:p>
        </w:tc>
      </w:tr>
      <w:tr w14:paraId="2AAC6423">
        <w:tblPrEx>
          <w:tblCellMar>
            <w:top w:w="0" w:type="dxa"/>
            <w:left w:w="108" w:type="dxa"/>
            <w:bottom w:w="0" w:type="dxa"/>
            <w:right w:w="108" w:type="dxa"/>
          </w:tblCellMar>
        </w:tblPrEx>
        <w:trPr>
          <w:gridAfter w:val="3"/>
          <w:wAfter w:w="717" w:type="pct"/>
        </w:trPr>
        <w:tc>
          <w:tcPr>
            <w:tcW w:w="157" w:type="pct"/>
            <w:tcBorders>
              <w:top w:val="single" w:color="000000" w:sz="4" w:space="0"/>
              <w:left w:val="single" w:color="000000" w:sz="4" w:space="0"/>
              <w:bottom w:val="single" w:color="000000" w:sz="4" w:space="0"/>
              <w:right w:val="single" w:color="000000" w:sz="4" w:space="0"/>
            </w:tcBorders>
            <w:vAlign w:val="center"/>
          </w:tcPr>
          <w:p w14:paraId="1AD6CCB8">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25</w:t>
            </w:r>
          </w:p>
        </w:tc>
        <w:tc>
          <w:tcPr>
            <w:tcW w:w="244" w:type="pct"/>
            <w:tcBorders>
              <w:top w:val="single" w:color="000000" w:sz="4" w:space="0"/>
              <w:left w:val="single" w:color="000000" w:sz="4" w:space="0"/>
              <w:bottom w:val="single" w:color="000000" w:sz="4" w:space="0"/>
              <w:right w:val="single" w:color="000000" w:sz="4" w:space="0"/>
            </w:tcBorders>
            <w:vAlign w:val="center"/>
          </w:tcPr>
          <w:p w14:paraId="0135A17D">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助急</w:t>
            </w:r>
          </w:p>
        </w:tc>
        <w:tc>
          <w:tcPr>
            <w:tcW w:w="285" w:type="pct"/>
            <w:tcBorders>
              <w:top w:val="single" w:color="000000" w:sz="4" w:space="0"/>
              <w:left w:val="single" w:color="000000" w:sz="4" w:space="0"/>
              <w:bottom w:val="single" w:color="000000" w:sz="4" w:space="0"/>
              <w:right w:val="single" w:color="000000" w:sz="4" w:space="0"/>
            </w:tcBorders>
            <w:vAlign w:val="center"/>
          </w:tcPr>
          <w:p w14:paraId="2104DB36">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日常维修</w:t>
            </w:r>
          </w:p>
        </w:tc>
        <w:tc>
          <w:tcPr>
            <w:tcW w:w="714" w:type="pct"/>
            <w:tcBorders>
              <w:top w:val="single" w:color="000000" w:sz="4" w:space="0"/>
              <w:left w:val="single" w:color="000000" w:sz="4" w:space="0"/>
              <w:bottom w:val="single" w:color="000000" w:sz="4" w:space="0"/>
              <w:right w:val="single" w:color="000000" w:sz="4" w:space="0"/>
            </w:tcBorders>
            <w:vAlign w:val="center"/>
          </w:tcPr>
          <w:p w14:paraId="602B9C59">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为有需求的老年人提供各类入户维修服务</w:t>
            </w:r>
          </w:p>
        </w:tc>
        <w:tc>
          <w:tcPr>
            <w:tcW w:w="1499" w:type="pct"/>
            <w:tcBorders>
              <w:top w:val="single" w:color="000000" w:sz="4" w:space="0"/>
              <w:left w:val="single" w:color="000000" w:sz="4" w:space="0"/>
              <w:bottom w:val="single" w:color="000000" w:sz="4" w:space="0"/>
              <w:right w:val="single" w:color="000000" w:sz="4" w:space="0"/>
            </w:tcBorders>
            <w:vAlign w:val="center"/>
          </w:tcPr>
          <w:p w14:paraId="6418732A">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上门为老年人提供水电、小家电的维修服务。含水龙头、马桶水箱、阀门、浴缸、水管、面盆的防水堵漏。插座、灯具维修、电线短路检查与维修。此费用仅包含上门维修人工费用，不含材料。</w:t>
            </w:r>
          </w:p>
        </w:tc>
        <w:tc>
          <w:tcPr>
            <w:tcW w:w="262" w:type="pct"/>
            <w:tcBorders>
              <w:top w:val="single" w:color="000000" w:sz="4" w:space="0"/>
              <w:left w:val="single" w:color="000000" w:sz="4" w:space="0"/>
              <w:bottom w:val="single" w:color="000000" w:sz="4" w:space="0"/>
              <w:right w:val="single" w:color="000000" w:sz="4" w:space="0"/>
            </w:tcBorders>
            <w:vAlign w:val="center"/>
          </w:tcPr>
          <w:p w14:paraId="04317A34">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50</w:t>
            </w:r>
          </w:p>
        </w:tc>
        <w:tc>
          <w:tcPr>
            <w:tcW w:w="217" w:type="pct"/>
            <w:tcBorders>
              <w:top w:val="single" w:color="000000" w:sz="4" w:space="0"/>
              <w:left w:val="single" w:color="000000" w:sz="4" w:space="0"/>
              <w:bottom w:val="single" w:color="000000" w:sz="4" w:space="0"/>
              <w:right w:val="single" w:color="000000" w:sz="4" w:space="0"/>
            </w:tcBorders>
            <w:vAlign w:val="center"/>
          </w:tcPr>
          <w:p w14:paraId="651C89CB">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30</w:t>
            </w:r>
          </w:p>
        </w:tc>
        <w:tc>
          <w:tcPr>
            <w:tcW w:w="298" w:type="pct"/>
            <w:tcBorders>
              <w:top w:val="single" w:color="000000" w:sz="4" w:space="0"/>
              <w:left w:val="single" w:color="000000" w:sz="4" w:space="0"/>
              <w:bottom w:val="single" w:color="000000" w:sz="4" w:space="0"/>
              <w:right w:val="single" w:color="000000" w:sz="4" w:space="0"/>
            </w:tcBorders>
            <w:vAlign w:val="center"/>
          </w:tcPr>
          <w:p w14:paraId="4BCFA366">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0.5</w:t>
            </w:r>
          </w:p>
        </w:tc>
        <w:tc>
          <w:tcPr>
            <w:tcW w:w="298" w:type="pct"/>
            <w:tcBorders>
              <w:top w:val="single" w:color="000000" w:sz="4" w:space="0"/>
              <w:left w:val="single" w:color="000000" w:sz="4" w:space="0"/>
              <w:bottom w:val="single" w:color="000000" w:sz="4" w:space="0"/>
              <w:right w:val="single" w:color="000000" w:sz="4" w:space="0"/>
            </w:tcBorders>
            <w:vAlign w:val="center"/>
          </w:tcPr>
          <w:p w14:paraId="1ED12EB7">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1</w:t>
            </w:r>
          </w:p>
        </w:tc>
        <w:tc>
          <w:tcPr>
            <w:tcW w:w="308" w:type="pct"/>
            <w:gridSpan w:val="2"/>
            <w:tcBorders>
              <w:top w:val="single" w:color="000000" w:sz="4" w:space="0"/>
              <w:left w:val="single" w:color="000000" w:sz="4" w:space="0"/>
              <w:bottom w:val="single" w:color="000000" w:sz="4" w:space="0"/>
              <w:right w:val="single" w:color="000000" w:sz="4" w:space="0"/>
            </w:tcBorders>
            <w:vAlign w:val="center"/>
          </w:tcPr>
          <w:p w14:paraId="745AC093">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2</w:t>
            </w:r>
          </w:p>
        </w:tc>
      </w:tr>
      <w:tr w14:paraId="18FFBE0F">
        <w:tblPrEx>
          <w:tblCellMar>
            <w:top w:w="0" w:type="dxa"/>
            <w:left w:w="108" w:type="dxa"/>
            <w:bottom w:w="0" w:type="dxa"/>
            <w:right w:w="108" w:type="dxa"/>
          </w:tblCellMar>
        </w:tblPrEx>
        <w:trPr>
          <w:gridAfter w:val="3"/>
          <w:wAfter w:w="717" w:type="pct"/>
        </w:trPr>
        <w:tc>
          <w:tcPr>
            <w:tcW w:w="157" w:type="pct"/>
            <w:tcBorders>
              <w:top w:val="single" w:color="000000" w:sz="4" w:space="0"/>
              <w:left w:val="single" w:color="000000" w:sz="4" w:space="0"/>
              <w:bottom w:val="single" w:color="000000" w:sz="4" w:space="0"/>
              <w:right w:val="single" w:color="000000" w:sz="4" w:space="0"/>
            </w:tcBorders>
            <w:vAlign w:val="center"/>
          </w:tcPr>
          <w:p w14:paraId="405A2EE1">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26</w:t>
            </w:r>
          </w:p>
        </w:tc>
        <w:tc>
          <w:tcPr>
            <w:tcW w:w="244" w:type="pct"/>
            <w:tcBorders>
              <w:top w:val="single" w:color="000000" w:sz="4" w:space="0"/>
              <w:left w:val="single" w:color="000000" w:sz="4" w:space="0"/>
              <w:bottom w:val="single" w:color="000000" w:sz="4" w:space="0"/>
              <w:right w:val="single" w:color="000000" w:sz="4" w:space="0"/>
            </w:tcBorders>
            <w:vAlign w:val="center"/>
          </w:tcPr>
          <w:p w14:paraId="4C5030A6">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其他</w:t>
            </w:r>
          </w:p>
        </w:tc>
        <w:tc>
          <w:tcPr>
            <w:tcW w:w="285" w:type="pct"/>
            <w:tcBorders>
              <w:top w:val="single" w:color="000000" w:sz="4" w:space="0"/>
              <w:left w:val="single" w:color="000000" w:sz="4" w:space="0"/>
              <w:bottom w:val="single" w:color="000000" w:sz="4" w:space="0"/>
              <w:right w:val="single" w:color="000000" w:sz="4" w:space="0"/>
            </w:tcBorders>
            <w:vAlign w:val="center"/>
          </w:tcPr>
          <w:p w14:paraId="0AE0936E">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精神慰藉</w:t>
            </w:r>
          </w:p>
        </w:tc>
        <w:tc>
          <w:tcPr>
            <w:tcW w:w="714" w:type="pct"/>
            <w:tcBorders>
              <w:top w:val="single" w:color="000000" w:sz="4" w:space="0"/>
              <w:left w:val="single" w:color="000000" w:sz="4" w:space="0"/>
              <w:bottom w:val="single" w:color="000000" w:sz="4" w:space="0"/>
              <w:right w:val="single" w:color="000000" w:sz="4" w:space="0"/>
            </w:tcBorders>
            <w:vAlign w:val="center"/>
          </w:tcPr>
          <w:p w14:paraId="5D2CAA17">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为老年人提供心灵需求和情感状态的关注、支持和关怀。</w:t>
            </w:r>
          </w:p>
        </w:tc>
        <w:tc>
          <w:tcPr>
            <w:tcW w:w="1499" w:type="pct"/>
            <w:tcBorders>
              <w:top w:val="single" w:color="000000" w:sz="4" w:space="0"/>
              <w:left w:val="single" w:color="000000" w:sz="4" w:space="0"/>
              <w:bottom w:val="single" w:color="000000" w:sz="4" w:space="0"/>
              <w:right w:val="single" w:color="000000" w:sz="4" w:space="0"/>
            </w:tcBorders>
            <w:vAlign w:val="center"/>
          </w:tcPr>
          <w:p w14:paraId="0BA2BDC0">
            <w:pPr>
              <w:widowControl/>
              <w:jc w:val="left"/>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采取读书读报帮助老年人了解时事，向老年人讲授智能电子设备使用方法，与老人谈心聊天、提供心理沟通安慰，帮助老年人与亲属进行在线交流、视频探视等，促进老年人身心健康和保持积极的生活态度。</w:t>
            </w:r>
          </w:p>
        </w:tc>
        <w:tc>
          <w:tcPr>
            <w:tcW w:w="262" w:type="pct"/>
            <w:tcBorders>
              <w:top w:val="single" w:color="000000" w:sz="4" w:space="0"/>
              <w:left w:val="single" w:color="000000" w:sz="4" w:space="0"/>
              <w:bottom w:val="single" w:color="000000" w:sz="4" w:space="0"/>
              <w:right w:val="single" w:color="000000" w:sz="4" w:space="0"/>
            </w:tcBorders>
            <w:vAlign w:val="center"/>
          </w:tcPr>
          <w:p w14:paraId="6823F2EE">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30</w:t>
            </w:r>
          </w:p>
        </w:tc>
        <w:tc>
          <w:tcPr>
            <w:tcW w:w="217" w:type="pct"/>
            <w:tcBorders>
              <w:top w:val="single" w:color="000000" w:sz="4" w:space="0"/>
              <w:left w:val="single" w:color="000000" w:sz="4" w:space="0"/>
              <w:bottom w:val="single" w:color="000000" w:sz="4" w:space="0"/>
              <w:right w:val="single" w:color="000000" w:sz="4" w:space="0"/>
            </w:tcBorders>
            <w:vAlign w:val="center"/>
          </w:tcPr>
          <w:p w14:paraId="202DEC7F">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60</w:t>
            </w:r>
          </w:p>
        </w:tc>
        <w:tc>
          <w:tcPr>
            <w:tcW w:w="298" w:type="pct"/>
            <w:tcBorders>
              <w:top w:val="single" w:color="000000" w:sz="4" w:space="0"/>
              <w:left w:val="single" w:color="000000" w:sz="4" w:space="0"/>
              <w:bottom w:val="single" w:color="000000" w:sz="4" w:space="0"/>
              <w:right w:val="single" w:color="000000" w:sz="4" w:space="0"/>
            </w:tcBorders>
            <w:vAlign w:val="center"/>
          </w:tcPr>
          <w:p w14:paraId="48046F14">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0.5</w:t>
            </w:r>
          </w:p>
        </w:tc>
        <w:tc>
          <w:tcPr>
            <w:tcW w:w="298" w:type="pct"/>
            <w:tcBorders>
              <w:top w:val="single" w:color="000000" w:sz="4" w:space="0"/>
              <w:left w:val="single" w:color="000000" w:sz="4" w:space="0"/>
              <w:bottom w:val="single" w:color="000000" w:sz="4" w:space="0"/>
              <w:right w:val="single" w:color="000000" w:sz="4" w:space="0"/>
            </w:tcBorders>
            <w:vAlign w:val="center"/>
          </w:tcPr>
          <w:p w14:paraId="2099E732">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1</w:t>
            </w:r>
          </w:p>
        </w:tc>
        <w:tc>
          <w:tcPr>
            <w:tcW w:w="308" w:type="pct"/>
            <w:gridSpan w:val="2"/>
            <w:tcBorders>
              <w:top w:val="single" w:color="000000" w:sz="4" w:space="0"/>
              <w:left w:val="single" w:color="000000" w:sz="4" w:space="0"/>
              <w:bottom w:val="single" w:color="000000" w:sz="4" w:space="0"/>
              <w:right w:val="single" w:color="000000" w:sz="4" w:space="0"/>
            </w:tcBorders>
            <w:vAlign w:val="center"/>
          </w:tcPr>
          <w:p w14:paraId="791CAE9B">
            <w:pPr>
              <w:widowControl/>
              <w:jc w:val="center"/>
              <w:textAlignment w:val="center"/>
              <w:rPr>
                <w:rFonts w:cs="仿宋" w:asciiTheme="majorEastAsia" w:hAnsiTheme="majorEastAsia" w:eastAsiaTheme="majorEastAsia"/>
                <w:color w:val="auto"/>
                <w:kern w:val="0"/>
                <w:sz w:val="24"/>
                <w:highlight w:val="none"/>
                <w:lang w:bidi="ar"/>
              </w:rPr>
            </w:pPr>
            <w:r>
              <w:rPr>
                <w:rFonts w:hint="eastAsia" w:ascii="仿宋" w:hAnsi="仿宋" w:eastAsia="仿宋" w:cs="仿宋"/>
                <w:color w:val="auto"/>
                <w:kern w:val="0"/>
                <w:szCs w:val="21"/>
                <w:highlight w:val="none"/>
                <w:lang w:bidi="ar"/>
              </w:rPr>
              <w:t>2</w:t>
            </w:r>
          </w:p>
        </w:tc>
      </w:tr>
      <w:tr w14:paraId="781F46E2">
        <w:tblPrEx>
          <w:tblCellMar>
            <w:top w:w="0" w:type="dxa"/>
            <w:left w:w="108" w:type="dxa"/>
            <w:bottom w:w="0" w:type="dxa"/>
            <w:right w:w="108" w:type="dxa"/>
          </w:tblCellMar>
        </w:tblPrEx>
        <w:trPr>
          <w:gridAfter w:val="3"/>
          <w:wAfter w:w="717" w:type="pct"/>
        </w:trPr>
        <w:tc>
          <w:tcPr>
            <w:tcW w:w="4283" w:type="pct"/>
            <w:gridSpan w:val="11"/>
            <w:tcBorders>
              <w:top w:val="single" w:color="000000" w:sz="4" w:space="0"/>
              <w:left w:val="single" w:color="000000" w:sz="4" w:space="0"/>
              <w:bottom w:val="single" w:color="000000" w:sz="4" w:space="0"/>
              <w:right w:val="single" w:color="000000" w:sz="4" w:space="0"/>
            </w:tcBorders>
            <w:vAlign w:val="center"/>
          </w:tcPr>
          <w:p w14:paraId="64375991">
            <w:pPr>
              <w:widowControl/>
              <w:jc w:val="left"/>
              <w:textAlignment w:val="center"/>
              <w:rPr>
                <w:rFonts w:cs="仿宋" w:asciiTheme="majorEastAsia" w:hAnsiTheme="majorEastAsia" w:eastAsiaTheme="majorEastAsia"/>
                <w:color w:val="auto"/>
                <w:kern w:val="0"/>
                <w:sz w:val="24"/>
                <w:highlight w:val="none"/>
                <w:lang w:bidi="ar"/>
              </w:rPr>
            </w:pPr>
            <w:r>
              <w:rPr>
                <w:rFonts w:hint="eastAsia" w:cs="仿宋" w:asciiTheme="majorEastAsia" w:hAnsiTheme="majorEastAsia" w:eastAsiaTheme="majorEastAsia"/>
                <w:color w:val="auto"/>
                <w:kern w:val="0"/>
                <w:sz w:val="24"/>
                <w:highlight w:val="none"/>
                <w:lang w:bidi="ar"/>
              </w:rPr>
              <w:t>1.个性化服务清单及补助标准参考省“爱心卡”服务内容，项目实施过程中相关服务项目、服务标准以及补贴标准等会根据政策文件及实际服务情况而适时调整。</w:t>
            </w:r>
          </w:p>
          <w:p w14:paraId="4BE57CD4">
            <w:pPr>
              <w:widowControl/>
              <w:jc w:val="left"/>
              <w:textAlignment w:val="center"/>
              <w:rPr>
                <w:rFonts w:cs="仿宋" w:asciiTheme="majorEastAsia" w:hAnsiTheme="majorEastAsia" w:eastAsiaTheme="majorEastAsia"/>
                <w:color w:val="auto"/>
                <w:kern w:val="0"/>
                <w:sz w:val="24"/>
                <w:highlight w:val="none"/>
                <w:lang w:bidi="ar"/>
              </w:rPr>
            </w:pPr>
            <w:r>
              <w:rPr>
                <w:rFonts w:hint="eastAsia" w:cs="仿宋" w:asciiTheme="majorEastAsia" w:hAnsiTheme="majorEastAsia" w:eastAsiaTheme="majorEastAsia"/>
                <w:color w:val="auto"/>
                <w:kern w:val="0"/>
                <w:sz w:val="24"/>
                <w:highlight w:val="none"/>
                <w:lang w:bidi="ar"/>
              </w:rPr>
              <w:t>2.个性化服务与爱心卡服务不允许重复开展和享受补助。</w:t>
            </w:r>
          </w:p>
        </w:tc>
      </w:tr>
      <w:tr w14:paraId="7CD9DC0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687" w:type="pct"/>
          <w:trHeight w:val="100" w:hRule="atLeast"/>
        </w:trPr>
        <w:tc>
          <w:tcPr>
            <w:tcW w:w="3395" w:type="pct"/>
            <w:gridSpan w:val="7"/>
          </w:tcPr>
          <w:p w14:paraId="7A8DFDED">
            <w:pPr>
              <w:rPr>
                <w:rFonts w:cs="仿宋_GB2312" w:asciiTheme="majorEastAsia" w:hAnsiTheme="majorEastAsia" w:eastAsiaTheme="majorEastAsia"/>
                <w:color w:val="auto"/>
                <w:sz w:val="24"/>
                <w:highlight w:val="none"/>
              </w:rPr>
            </w:pPr>
          </w:p>
        </w:tc>
        <w:tc>
          <w:tcPr>
            <w:tcW w:w="298" w:type="pct"/>
            <w:gridSpan w:val="2"/>
          </w:tcPr>
          <w:p w14:paraId="573505C0">
            <w:pPr>
              <w:rPr>
                <w:rFonts w:cs="仿宋_GB2312" w:asciiTheme="majorEastAsia" w:hAnsiTheme="majorEastAsia" w:eastAsiaTheme="majorEastAsia"/>
                <w:color w:val="auto"/>
                <w:sz w:val="24"/>
                <w:highlight w:val="none"/>
              </w:rPr>
            </w:pPr>
          </w:p>
        </w:tc>
        <w:tc>
          <w:tcPr>
            <w:tcW w:w="309" w:type="pct"/>
          </w:tcPr>
          <w:p w14:paraId="29F4BB9F">
            <w:pPr>
              <w:rPr>
                <w:rFonts w:cs="仿宋_GB2312" w:asciiTheme="majorEastAsia" w:hAnsiTheme="majorEastAsia" w:eastAsiaTheme="majorEastAsia"/>
                <w:color w:val="auto"/>
                <w:sz w:val="24"/>
                <w:highlight w:val="none"/>
              </w:rPr>
            </w:pPr>
          </w:p>
        </w:tc>
        <w:tc>
          <w:tcPr>
            <w:tcW w:w="311" w:type="pct"/>
          </w:tcPr>
          <w:p w14:paraId="1EAF2CD7">
            <w:pPr>
              <w:rPr>
                <w:rFonts w:cs="仿宋_GB2312" w:asciiTheme="majorEastAsia" w:hAnsiTheme="majorEastAsia" w:eastAsiaTheme="majorEastAsia"/>
                <w:color w:val="auto"/>
                <w:sz w:val="24"/>
                <w:highlight w:val="none"/>
              </w:rPr>
            </w:pPr>
          </w:p>
        </w:tc>
      </w:tr>
    </w:tbl>
    <w:p w14:paraId="7ACA4C16">
      <w:pPr>
        <w:rPr>
          <w:rFonts w:cs="仿宋_GB2312" w:asciiTheme="majorEastAsia" w:hAnsiTheme="majorEastAsia" w:eastAsiaTheme="majorEastAsia"/>
          <w:color w:val="auto"/>
          <w:sz w:val="24"/>
          <w:highlight w:val="none"/>
        </w:rPr>
      </w:pPr>
    </w:p>
    <w:p w14:paraId="53C1DEAE">
      <w:pPr>
        <w:rPr>
          <w:color w:val="auto"/>
          <w:highlight w:val="none"/>
        </w:rPr>
        <w:sectPr>
          <w:pgSz w:w="16838" w:h="11906" w:orient="landscape"/>
          <w:pgMar w:top="1247" w:right="1361" w:bottom="1247" w:left="1361" w:header="851" w:footer="851" w:gutter="0"/>
          <w:cols w:space="720" w:num="1"/>
          <w:docGrid w:linePitch="312" w:charSpace="0"/>
        </w:sectPr>
      </w:pPr>
    </w:p>
    <w:p w14:paraId="1B4C1B28">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（二）服务要求</w:t>
      </w:r>
    </w:p>
    <w:p w14:paraId="76179720">
      <w:pPr>
        <w:spacing w:line="560" w:lineRule="exact"/>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人员配备到位。中标供应商应为居家养老服务（照料）中心应配有预期业务范围相适应的管理和服务人员，基础型至少配备1名驻点服务人员，1A-2A至少配备1名专职工作人员，并持有养老护理员职业资格证书或技能等级证书（厨师、保洁等工勤人员除外），3A及以上至少配备2名专职工作人员，并持有养老护理员职业资格证书或技能等级证书。驻点服务人员年龄不得超过65周岁；专职工作人员平均年龄不得高于55周岁，最高年龄不得超过65周岁。</w:t>
      </w:r>
    </w:p>
    <w:p w14:paraId="203ED289">
      <w:pPr>
        <w:spacing w:line="560" w:lineRule="exact"/>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制定服务清单。中标供应商应为每个居家养老服务（照料）中心制定年度服务清单，其中基础性服务的统筹服务与差异服务都为必备项，应全部列入服务清单，个性化服务内容可根据老年人实际需求选择性列入服务清单。服务清单应提前向区民政局及镇街、村社报备后方可服务，若有变更，应提前30天重新报备。</w:t>
      </w:r>
    </w:p>
    <w:p w14:paraId="01F63F72">
      <w:pPr>
        <w:spacing w:line="560" w:lineRule="exact"/>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建立规章制度。居家养老服务（照料）中心按照设施等级建立服务管理各项规章制度，包括（但不限于）消防安全管理制度、食品安全管理制度、财务管理制度、服务管理制度、托养管理制度、入住评估制度、人员管理制度、突发事件应急预案等。</w:t>
      </w:r>
    </w:p>
    <w:p w14:paraId="39F97CD0">
      <w:pPr>
        <w:spacing w:line="560" w:lineRule="exact"/>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4.落实公开公示。居家养老服务（照料）中心各类规章制度、执业证照、服务项目、收费标准、服务流程、营业时间、服务计划、人员配备、监管电话等应通过一定形式进行公开或公示。</w:t>
      </w:r>
    </w:p>
    <w:p w14:paraId="6CE427B4">
      <w:pPr>
        <w:spacing w:line="560" w:lineRule="exact"/>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使用智慧养老系统。居家养老服务（照料）中心应依托“浙里康养”或区数字化养老服务系统，开展各项服务活动，记录各项服务台账，展示各类适老智能产品、康复辅助器具使用功能，为居家养老服务（照料）中心延伸进家庭提供信息化支撑。</w:t>
      </w:r>
    </w:p>
    <w:p w14:paraId="4EAF868F">
      <w:pPr>
        <w:spacing w:line="560" w:lineRule="exact"/>
        <w:ind w:firstLine="482" w:firstLineChars="200"/>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6.配备统计设备。中标供应商应保障为居家养老服务（照料）中心安装人流统计设备，并接入区数字化养老服务系统，用于监测居家养老服务（照料）中心开放时长及人流量。</w:t>
      </w:r>
    </w:p>
    <w:p w14:paraId="739D9E72">
      <w:pPr>
        <w:spacing w:line="560" w:lineRule="exact"/>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（三）考核要求</w:t>
      </w:r>
    </w:p>
    <w:p w14:paraId="047E0932">
      <w:pPr>
        <w:spacing w:line="560" w:lineRule="exact"/>
        <w:ind w:firstLine="480" w:firstLineChars="200"/>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color w:val="auto"/>
          <w:sz w:val="24"/>
          <w:highlight w:val="none"/>
        </w:rPr>
        <w:t>1.区民政局委托第三方监管单位按照《吴兴区居家养老服务（照料）中心基础性服务标准（试行）》、《吴兴区居家养老服务（照料）中心运营质量考评细则（试行）》、《吴兴区居家养老服务（照料）中心运营星级评定办法》（暂定）对居家养老服务（照料）中心开展运营质量评估评价，</w:t>
      </w:r>
      <w:r>
        <w:rPr>
          <w:rFonts w:hint="eastAsia" w:cs="仿宋" w:asciiTheme="majorEastAsia" w:hAnsiTheme="majorEastAsia" w:eastAsiaTheme="majorEastAsia"/>
          <w:b/>
          <w:bCs/>
          <w:color w:val="auto"/>
          <w:sz w:val="24"/>
          <w:highlight w:val="none"/>
        </w:rPr>
        <w:t>考核按季度进行，实行百分制，其中基础性服务占40分（得分=完成分值的占比*40%）、个性化服务占40分（得分=完成任务的占比*40%）、综合管理占20分，每季度形成考核结果，得分达到90分及以上的，考核等次为优秀；得分达到80（含）-90分的，考核等次为良好；得分达到70（含）-80 分的，考核等次为合格；得分未达到70分的，考核等次为不合格。</w:t>
      </w:r>
    </w:p>
    <w:p w14:paraId="1A937A70">
      <w:pPr>
        <w:spacing w:line="560" w:lineRule="exact"/>
        <w:ind w:firstLine="482" w:firstLineChars="200"/>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考核等次为优秀的，按应付资金的100%标准拨付；考核等次为良好的，按应付资金的80%标准拨付；考核等次为合格的，按应付资金的60%标准拨付；考核等次为不合格的，不予拨付（以上资金拨付需基础性服务得分达到总分的90%以上）。</w:t>
      </w:r>
    </w:p>
    <w:p w14:paraId="2E126857">
      <w:pPr>
        <w:spacing w:line="560" w:lineRule="exact"/>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中标供应商服务片区内居家养老服务（照料）中心年度评估等级不合格占比达到20%（含）的，或对要求整改的问题拒不整改、多次整改不到位的，区民政局有权解除合同，且该中标供应商不得进入下一轮居家养老服务（照料）中心招标。</w:t>
      </w:r>
    </w:p>
    <w:p w14:paraId="50751C2C">
      <w:pPr>
        <w:spacing w:line="560" w:lineRule="exact"/>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若发现中标供应商弄虚作假、恶意套取补贴资金的行为或发生重大责任事故，经查实后由中标供应商承担责任的，区民政局应追缴相应资金并取消其承接服务资格，且该中标供应商不得进入下两轮居家养老服务（照料）中心招标，涉及的养老护理员列入养老服务领域黑名单，停发养老护理员特殊岗位津贴。违反《湖州市居家养老服务条例》等法律法规且情节严重的，依法予以行政处罚或追究法律责任。</w:t>
      </w:r>
    </w:p>
    <w:p w14:paraId="1F97FC96">
      <w:pPr>
        <w:spacing w:line="560" w:lineRule="exact"/>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4.吴兴区居家养老服务（照料）中心运营质量考评细则（试行）</w:t>
      </w:r>
    </w:p>
    <w:p w14:paraId="72124B40">
      <w:pPr>
        <w:pStyle w:val="11"/>
        <w:rPr>
          <w:color w:val="auto"/>
          <w:highlight w:val="none"/>
        </w:rPr>
      </w:pPr>
    </w:p>
    <w:p w14:paraId="540AF9E8">
      <w:pPr>
        <w:widowControl/>
        <w:jc w:val="center"/>
        <w:textAlignment w:val="center"/>
        <w:rPr>
          <w:rFonts w:cs="仿宋" w:asciiTheme="majorEastAsia" w:hAnsiTheme="majorEastAsia" w:eastAsiaTheme="majorEastAsia"/>
          <w:b/>
          <w:bCs/>
          <w:color w:val="auto"/>
          <w:kern w:val="0"/>
          <w:sz w:val="24"/>
          <w:highlight w:val="none"/>
          <w:lang w:bidi="ar"/>
        </w:rPr>
      </w:pPr>
      <w:r>
        <w:rPr>
          <w:rFonts w:hint="eastAsia" w:cs="方正大标宋_GBK" w:asciiTheme="majorEastAsia" w:hAnsiTheme="majorEastAsia" w:eastAsiaTheme="majorEastAsia"/>
          <w:color w:val="auto"/>
          <w:kern w:val="0"/>
          <w:sz w:val="24"/>
          <w:highlight w:val="none"/>
          <w:lang w:bidi="ar"/>
        </w:rPr>
        <w:br w:type="page"/>
      </w:r>
      <w:r>
        <w:rPr>
          <w:rFonts w:hint="eastAsia" w:cs="仿宋" w:asciiTheme="majorEastAsia" w:hAnsiTheme="majorEastAsia" w:eastAsiaTheme="majorEastAsia"/>
          <w:b/>
          <w:bCs/>
          <w:color w:val="auto"/>
          <w:kern w:val="0"/>
          <w:sz w:val="24"/>
          <w:highlight w:val="none"/>
          <w:lang w:bidi="ar"/>
        </w:rPr>
        <w:t>吴兴区居家养老服务（照料）中心运营质量考评细则（试行）</w:t>
      </w:r>
    </w:p>
    <w:p w14:paraId="716DF68E">
      <w:pPr>
        <w:widowControl/>
        <w:rPr>
          <w:rFonts w:cs="宋体" w:asciiTheme="majorEastAsia" w:hAnsiTheme="majorEastAsia" w:eastAsiaTheme="majorEastAsia"/>
          <w:color w:val="auto"/>
          <w:kern w:val="0"/>
          <w:sz w:val="24"/>
          <w:highlight w:val="none"/>
        </w:rPr>
      </w:pPr>
    </w:p>
    <w:p w14:paraId="4A572C87">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考核单位：</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居家养老服务（照料）中心      等级：</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星级</w:t>
      </w:r>
    </w:p>
    <w:tbl>
      <w:tblPr>
        <w:tblStyle w:val="27"/>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23"/>
        <w:gridCol w:w="905"/>
        <w:gridCol w:w="2103"/>
        <w:gridCol w:w="2103"/>
        <w:gridCol w:w="693"/>
        <w:gridCol w:w="611"/>
        <w:gridCol w:w="266"/>
        <w:gridCol w:w="320"/>
        <w:gridCol w:w="610"/>
      </w:tblGrid>
      <w:tr w14:paraId="2633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0" w:type="auto"/>
            <w:gridSpan w:val="9"/>
            <w:tcMar>
              <w:top w:w="15" w:type="dxa"/>
              <w:left w:w="15" w:type="dxa"/>
              <w:bottom w:w="15" w:type="dxa"/>
              <w:right w:w="15" w:type="dxa"/>
            </w:tcMar>
            <w:vAlign w:val="center"/>
          </w:tcPr>
          <w:p w14:paraId="0EA700E8">
            <w:pPr>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基础性服务（40分）</w:t>
            </w:r>
          </w:p>
        </w:tc>
      </w:tr>
      <w:tr w14:paraId="6FCD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223" w:type="dxa"/>
            <w:tcMar>
              <w:top w:w="15" w:type="dxa"/>
              <w:left w:w="15" w:type="dxa"/>
              <w:bottom w:w="15" w:type="dxa"/>
              <w:right w:w="15" w:type="dxa"/>
            </w:tcMar>
            <w:vAlign w:val="center"/>
          </w:tcPr>
          <w:p w14:paraId="6BE6ECC0">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内容</w:t>
            </w:r>
          </w:p>
        </w:tc>
        <w:tc>
          <w:tcPr>
            <w:tcW w:w="5804" w:type="dxa"/>
            <w:gridSpan w:val="4"/>
            <w:tcMar>
              <w:top w:w="15" w:type="dxa"/>
              <w:left w:w="15" w:type="dxa"/>
              <w:bottom w:w="15" w:type="dxa"/>
              <w:right w:w="15" w:type="dxa"/>
            </w:tcMar>
            <w:vAlign w:val="center"/>
          </w:tcPr>
          <w:p w14:paraId="73757E74">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基本要求</w:t>
            </w:r>
          </w:p>
        </w:tc>
        <w:tc>
          <w:tcPr>
            <w:tcW w:w="611" w:type="dxa"/>
            <w:vAlign w:val="center"/>
          </w:tcPr>
          <w:p w14:paraId="2DD7D6EA">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分值</w:t>
            </w:r>
          </w:p>
        </w:tc>
        <w:tc>
          <w:tcPr>
            <w:tcW w:w="586" w:type="dxa"/>
            <w:gridSpan w:val="2"/>
            <w:tcMar>
              <w:top w:w="15" w:type="dxa"/>
              <w:left w:w="15" w:type="dxa"/>
              <w:bottom w:w="15" w:type="dxa"/>
              <w:right w:w="15" w:type="dxa"/>
            </w:tcMar>
            <w:vAlign w:val="center"/>
          </w:tcPr>
          <w:p w14:paraId="4505F62C">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得分</w:t>
            </w:r>
          </w:p>
        </w:tc>
        <w:tc>
          <w:tcPr>
            <w:tcW w:w="610" w:type="dxa"/>
            <w:vAlign w:val="center"/>
          </w:tcPr>
          <w:p w14:paraId="5BB98C32">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占比</w:t>
            </w:r>
          </w:p>
        </w:tc>
      </w:tr>
      <w:tr w14:paraId="062A0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223" w:type="dxa"/>
            <w:tcMar>
              <w:top w:w="15" w:type="dxa"/>
              <w:left w:w="15" w:type="dxa"/>
              <w:bottom w:w="15" w:type="dxa"/>
              <w:right w:w="15" w:type="dxa"/>
            </w:tcMar>
            <w:vAlign w:val="center"/>
          </w:tcPr>
          <w:p w14:paraId="05722E84">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统筹服务</w:t>
            </w:r>
          </w:p>
        </w:tc>
        <w:tc>
          <w:tcPr>
            <w:tcW w:w="5804" w:type="dxa"/>
            <w:gridSpan w:val="4"/>
            <w:vMerge w:val="restart"/>
            <w:tcMar>
              <w:top w:w="15" w:type="dxa"/>
              <w:left w:w="15" w:type="dxa"/>
              <w:bottom w:w="15" w:type="dxa"/>
              <w:right w:w="15" w:type="dxa"/>
            </w:tcMar>
            <w:vAlign w:val="center"/>
          </w:tcPr>
          <w:p w14:paraId="33EEE896">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按《湖州市社区居家养老服务机构基础性服务标准（试行）》规定的任务完成</w:t>
            </w:r>
          </w:p>
        </w:tc>
        <w:tc>
          <w:tcPr>
            <w:tcW w:w="611" w:type="dxa"/>
          </w:tcPr>
          <w:p w14:paraId="67AD2723">
            <w:pPr>
              <w:rPr>
                <w:rFonts w:cs="仿宋" w:asciiTheme="majorEastAsia" w:hAnsiTheme="majorEastAsia" w:eastAsiaTheme="majorEastAsia"/>
                <w:color w:val="auto"/>
                <w:sz w:val="24"/>
                <w:highlight w:val="none"/>
              </w:rPr>
            </w:pPr>
          </w:p>
        </w:tc>
        <w:tc>
          <w:tcPr>
            <w:tcW w:w="586" w:type="dxa"/>
            <w:gridSpan w:val="2"/>
            <w:tcMar>
              <w:top w:w="15" w:type="dxa"/>
              <w:left w:w="15" w:type="dxa"/>
              <w:bottom w:w="15" w:type="dxa"/>
              <w:right w:w="15" w:type="dxa"/>
            </w:tcMar>
            <w:vAlign w:val="center"/>
          </w:tcPr>
          <w:p w14:paraId="127CE876">
            <w:pPr>
              <w:rPr>
                <w:rFonts w:cs="仿宋" w:asciiTheme="majorEastAsia" w:hAnsiTheme="majorEastAsia" w:eastAsiaTheme="majorEastAsia"/>
                <w:color w:val="auto"/>
                <w:sz w:val="24"/>
                <w:highlight w:val="none"/>
              </w:rPr>
            </w:pPr>
          </w:p>
        </w:tc>
        <w:tc>
          <w:tcPr>
            <w:tcW w:w="610" w:type="dxa"/>
            <w:vAlign w:val="center"/>
          </w:tcPr>
          <w:p w14:paraId="62566CF3">
            <w:pPr>
              <w:rPr>
                <w:rFonts w:cs="仿宋" w:asciiTheme="majorEastAsia" w:hAnsiTheme="majorEastAsia" w:eastAsiaTheme="majorEastAsia"/>
                <w:color w:val="auto"/>
                <w:sz w:val="24"/>
                <w:highlight w:val="none"/>
              </w:rPr>
            </w:pPr>
          </w:p>
        </w:tc>
      </w:tr>
      <w:tr w14:paraId="1D14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223" w:type="dxa"/>
            <w:tcMar>
              <w:top w:w="15" w:type="dxa"/>
              <w:left w:w="15" w:type="dxa"/>
              <w:bottom w:w="15" w:type="dxa"/>
              <w:right w:w="15" w:type="dxa"/>
            </w:tcMar>
            <w:vAlign w:val="center"/>
          </w:tcPr>
          <w:p w14:paraId="3F317ABB">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差异服务</w:t>
            </w:r>
          </w:p>
        </w:tc>
        <w:tc>
          <w:tcPr>
            <w:tcW w:w="5804" w:type="dxa"/>
            <w:gridSpan w:val="4"/>
            <w:vMerge w:val="continue"/>
            <w:tcMar>
              <w:top w:w="15" w:type="dxa"/>
              <w:left w:w="15" w:type="dxa"/>
              <w:bottom w:w="15" w:type="dxa"/>
              <w:right w:w="15" w:type="dxa"/>
            </w:tcMar>
            <w:vAlign w:val="center"/>
          </w:tcPr>
          <w:p w14:paraId="59223468">
            <w:pPr>
              <w:rPr>
                <w:rFonts w:cs="仿宋" w:asciiTheme="majorEastAsia" w:hAnsiTheme="majorEastAsia" w:eastAsiaTheme="majorEastAsia"/>
                <w:color w:val="auto"/>
                <w:sz w:val="24"/>
                <w:highlight w:val="none"/>
              </w:rPr>
            </w:pPr>
          </w:p>
        </w:tc>
        <w:tc>
          <w:tcPr>
            <w:tcW w:w="611" w:type="dxa"/>
          </w:tcPr>
          <w:p w14:paraId="1990FC84">
            <w:pPr>
              <w:rPr>
                <w:rFonts w:cs="仿宋" w:asciiTheme="majorEastAsia" w:hAnsiTheme="majorEastAsia" w:eastAsiaTheme="majorEastAsia"/>
                <w:color w:val="auto"/>
                <w:sz w:val="24"/>
                <w:highlight w:val="none"/>
              </w:rPr>
            </w:pPr>
          </w:p>
        </w:tc>
        <w:tc>
          <w:tcPr>
            <w:tcW w:w="586" w:type="dxa"/>
            <w:gridSpan w:val="2"/>
            <w:tcMar>
              <w:top w:w="15" w:type="dxa"/>
              <w:left w:w="15" w:type="dxa"/>
              <w:bottom w:w="15" w:type="dxa"/>
              <w:right w:w="15" w:type="dxa"/>
            </w:tcMar>
            <w:vAlign w:val="center"/>
          </w:tcPr>
          <w:p w14:paraId="6DE850D1">
            <w:pPr>
              <w:rPr>
                <w:rFonts w:cs="仿宋" w:asciiTheme="majorEastAsia" w:hAnsiTheme="majorEastAsia" w:eastAsiaTheme="majorEastAsia"/>
                <w:color w:val="auto"/>
                <w:sz w:val="24"/>
                <w:highlight w:val="none"/>
              </w:rPr>
            </w:pPr>
          </w:p>
        </w:tc>
        <w:tc>
          <w:tcPr>
            <w:tcW w:w="610" w:type="dxa"/>
            <w:vAlign w:val="center"/>
          </w:tcPr>
          <w:p w14:paraId="479C9D7E">
            <w:pPr>
              <w:rPr>
                <w:rFonts w:cs="仿宋" w:asciiTheme="majorEastAsia" w:hAnsiTheme="majorEastAsia" w:eastAsiaTheme="majorEastAsia"/>
                <w:color w:val="auto"/>
                <w:sz w:val="24"/>
                <w:highlight w:val="none"/>
              </w:rPr>
            </w:pPr>
          </w:p>
        </w:tc>
      </w:tr>
      <w:tr w14:paraId="45A5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7027" w:type="dxa"/>
            <w:gridSpan w:val="5"/>
            <w:tcMar>
              <w:top w:w="15" w:type="dxa"/>
              <w:left w:w="15" w:type="dxa"/>
              <w:bottom w:w="15" w:type="dxa"/>
              <w:right w:w="15" w:type="dxa"/>
            </w:tcMar>
            <w:vAlign w:val="center"/>
          </w:tcPr>
          <w:p w14:paraId="3D06E2E5">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小计</w:t>
            </w:r>
          </w:p>
        </w:tc>
        <w:tc>
          <w:tcPr>
            <w:tcW w:w="611" w:type="dxa"/>
          </w:tcPr>
          <w:p w14:paraId="2920486E">
            <w:pPr>
              <w:rPr>
                <w:rFonts w:cs="仿宋" w:asciiTheme="majorEastAsia" w:hAnsiTheme="majorEastAsia" w:eastAsiaTheme="majorEastAsia"/>
                <w:color w:val="auto"/>
                <w:sz w:val="24"/>
                <w:highlight w:val="none"/>
              </w:rPr>
            </w:pPr>
          </w:p>
        </w:tc>
        <w:tc>
          <w:tcPr>
            <w:tcW w:w="586" w:type="dxa"/>
            <w:gridSpan w:val="2"/>
            <w:tcMar>
              <w:top w:w="15" w:type="dxa"/>
              <w:left w:w="15" w:type="dxa"/>
              <w:bottom w:w="15" w:type="dxa"/>
              <w:right w:w="15" w:type="dxa"/>
            </w:tcMar>
            <w:vAlign w:val="center"/>
          </w:tcPr>
          <w:p w14:paraId="2BED734A">
            <w:pPr>
              <w:rPr>
                <w:rFonts w:cs="仿宋" w:asciiTheme="majorEastAsia" w:hAnsiTheme="majorEastAsia" w:eastAsiaTheme="majorEastAsia"/>
                <w:color w:val="auto"/>
                <w:sz w:val="24"/>
                <w:highlight w:val="none"/>
              </w:rPr>
            </w:pPr>
          </w:p>
        </w:tc>
        <w:tc>
          <w:tcPr>
            <w:tcW w:w="610" w:type="dxa"/>
            <w:vAlign w:val="center"/>
          </w:tcPr>
          <w:p w14:paraId="7CD64CF8">
            <w:pPr>
              <w:rPr>
                <w:rFonts w:cs="仿宋" w:asciiTheme="majorEastAsia" w:hAnsiTheme="majorEastAsia" w:eastAsiaTheme="majorEastAsia"/>
                <w:color w:val="auto"/>
                <w:sz w:val="24"/>
                <w:highlight w:val="none"/>
              </w:rPr>
            </w:pPr>
          </w:p>
        </w:tc>
      </w:tr>
      <w:tr w14:paraId="28E8F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0" w:type="auto"/>
            <w:gridSpan w:val="9"/>
            <w:tcMar>
              <w:top w:w="15" w:type="dxa"/>
              <w:left w:w="15" w:type="dxa"/>
              <w:bottom w:w="15" w:type="dxa"/>
              <w:right w:w="15" w:type="dxa"/>
            </w:tcMar>
            <w:vAlign w:val="center"/>
          </w:tcPr>
          <w:p w14:paraId="36C19854">
            <w:pPr>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个性化服务（40分）</w:t>
            </w:r>
          </w:p>
        </w:tc>
      </w:tr>
      <w:tr w14:paraId="2C19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8" w:hRule="exact"/>
          <w:jc w:val="center"/>
        </w:trPr>
        <w:tc>
          <w:tcPr>
            <w:tcW w:w="1223" w:type="dxa"/>
            <w:tcMar>
              <w:top w:w="15" w:type="dxa"/>
              <w:left w:w="15" w:type="dxa"/>
              <w:bottom w:w="15" w:type="dxa"/>
              <w:right w:w="15" w:type="dxa"/>
            </w:tcMar>
            <w:vAlign w:val="center"/>
          </w:tcPr>
          <w:p w14:paraId="339CD2B5">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内容</w:t>
            </w:r>
          </w:p>
        </w:tc>
        <w:tc>
          <w:tcPr>
            <w:tcW w:w="5804" w:type="dxa"/>
            <w:gridSpan w:val="4"/>
            <w:tcMar>
              <w:top w:w="15" w:type="dxa"/>
              <w:left w:w="15" w:type="dxa"/>
              <w:bottom w:w="15" w:type="dxa"/>
              <w:right w:w="15" w:type="dxa"/>
            </w:tcMar>
            <w:vAlign w:val="center"/>
          </w:tcPr>
          <w:p w14:paraId="2CD1BBC6">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基本要求</w:t>
            </w:r>
          </w:p>
        </w:tc>
        <w:tc>
          <w:tcPr>
            <w:tcW w:w="611" w:type="dxa"/>
            <w:vAlign w:val="center"/>
          </w:tcPr>
          <w:p w14:paraId="053E9BE2">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有效工单数量</w:t>
            </w:r>
          </w:p>
        </w:tc>
        <w:tc>
          <w:tcPr>
            <w:tcW w:w="586" w:type="dxa"/>
            <w:gridSpan w:val="2"/>
            <w:tcMar>
              <w:top w:w="15" w:type="dxa"/>
              <w:left w:w="15" w:type="dxa"/>
              <w:bottom w:w="15" w:type="dxa"/>
              <w:right w:w="15" w:type="dxa"/>
            </w:tcMar>
            <w:vAlign w:val="center"/>
          </w:tcPr>
          <w:p w14:paraId="0758EFC3">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作废工单数量</w:t>
            </w:r>
          </w:p>
        </w:tc>
        <w:tc>
          <w:tcPr>
            <w:tcW w:w="610" w:type="dxa"/>
            <w:vAlign w:val="center"/>
          </w:tcPr>
          <w:p w14:paraId="0B3FDB59">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废单率</w:t>
            </w:r>
          </w:p>
        </w:tc>
      </w:tr>
      <w:tr w14:paraId="653E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1223" w:type="dxa"/>
            <w:tcMar>
              <w:top w:w="15" w:type="dxa"/>
              <w:left w:w="15" w:type="dxa"/>
              <w:bottom w:w="15" w:type="dxa"/>
              <w:right w:w="15" w:type="dxa"/>
            </w:tcMar>
            <w:vAlign w:val="center"/>
          </w:tcPr>
          <w:p w14:paraId="4276C16B">
            <w:pPr>
              <w:rPr>
                <w:rFonts w:cs="仿宋" w:asciiTheme="majorEastAsia" w:hAnsiTheme="majorEastAsia" w:eastAsiaTheme="majorEastAsia"/>
                <w:color w:val="auto"/>
                <w:sz w:val="24"/>
                <w:highlight w:val="none"/>
              </w:rPr>
            </w:pPr>
          </w:p>
        </w:tc>
        <w:tc>
          <w:tcPr>
            <w:tcW w:w="5804" w:type="dxa"/>
            <w:gridSpan w:val="4"/>
            <w:vMerge w:val="restart"/>
            <w:tcMar>
              <w:top w:w="15" w:type="dxa"/>
              <w:left w:w="15" w:type="dxa"/>
              <w:bottom w:w="15" w:type="dxa"/>
              <w:right w:w="15" w:type="dxa"/>
            </w:tcMar>
            <w:vAlign w:val="center"/>
          </w:tcPr>
          <w:p w14:paraId="482DC3C4">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按个性化服务清单的内容实施相关服务内容，所有服务均需有服务记录及台账，无记录或评价不满意的，该项服务不计入完成数。</w:t>
            </w:r>
          </w:p>
        </w:tc>
        <w:tc>
          <w:tcPr>
            <w:tcW w:w="611" w:type="dxa"/>
          </w:tcPr>
          <w:p w14:paraId="7379F118">
            <w:pPr>
              <w:rPr>
                <w:rFonts w:cs="仿宋" w:asciiTheme="majorEastAsia" w:hAnsiTheme="majorEastAsia" w:eastAsiaTheme="majorEastAsia"/>
                <w:color w:val="auto"/>
                <w:sz w:val="24"/>
                <w:highlight w:val="none"/>
              </w:rPr>
            </w:pPr>
          </w:p>
        </w:tc>
        <w:tc>
          <w:tcPr>
            <w:tcW w:w="586" w:type="dxa"/>
            <w:gridSpan w:val="2"/>
            <w:tcMar>
              <w:top w:w="15" w:type="dxa"/>
              <w:left w:w="15" w:type="dxa"/>
              <w:bottom w:w="15" w:type="dxa"/>
              <w:right w:w="15" w:type="dxa"/>
            </w:tcMar>
            <w:vAlign w:val="center"/>
          </w:tcPr>
          <w:p w14:paraId="11D20C6E">
            <w:pPr>
              <w:rPr>
                <w:rFonts w:cs="仿宋" w:asciiTheme="majorEastAsia" w:hAnsiTheme="majorEastAsia" w:eastAsiaTheme="majorEastAsia"/>
                <w:color w:val="auto"/>
                <w:sz w:val="24"/>
                <w:highlight w:val="none"/>
              </w:rPr>
            </w:pPr>
          </w:p>
        </w:tc>
        <w:tc>
          <w:tcPr>
            <w:tcW w:w="610" w:type="dxa"/>
            <w:vAlign w:val="center"/>
          </w:tcPr>
          <w:p w14:paraId="084B015A">
            <w:pPr>
              <w:rPr>
                <w:rFonts w:cs="仿宋" w:asciiTheme="majorEastAsia" w:hAnsiTheme="majorEastAsia" w:eastAsiaTheme="majorEastAsia"/>
                <w:color w:val="auto"/>
                <w:sz w:val="24"/>
                <w:highlight w:val="none"/>
              </w:rPr>
            </w:pPr>
          </w:p>
        </w:tc>
      </w:tr>
      <w:tr w14:paraId="6A12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1223" w:type="dxa"/>
            <w:tcMar>
              <w:top w:w="15" w:type="dxa"/>
              <w:left w:w="15" w:type="dxa"/>
              <w:bottom w:w="15" w:type="dxa"/>
              <w:right w:w="15" w:type="dxa"/>
            </w:tcMar>
            <w:vAlign w:val="center"/>
          </w:tcPr>
          <w:p w14:paraId="26594E5E">
            <w:pPr>
              <w:rPr>
                <w:rFonts w:cs="仿宋" w:asciiTheme="majorEastAsia" w:hAnsiTheme="majorEastAsia" w:eastAsiaTheme="majorEastAsia"/>
                <w:color w:val="auto"/>
                <w:sz w:val="24"/>
                <w:highlight w:val="none"/>
              </w:rPr>
            </w:pPr>
          </w:p>
        </w:tc>
        <w:tc>
          <w:tcPr>
            <w:tcW w:w="5804" w:type="dxa"/>
            <w:gridSpan w:val="4"/>
            <w:vMerge w:val="continue"/>
            <w:tcMar>
              <w:top w:w="15" w:type="dxa"/>
              <w:left w:w="15" w:type="dxa"/>
              <w:bottom w:w="15" w:type="dxa"/>
              <w:right w:w="15" w:type="dxa"/>
            </w:tcMar>
            <w:vAlign w:val="center"/>
          </w:tcPr>
          <w:p w14:paraId="4B4C9536">
            <w:pPr>
              <w:rPr>
                <w:rFonts w:cs="仿宋" w:asciiTheme="majorEastAsia" w:hAnsiTheme="majorEastAsia" w:eastAsiaTheme="majorEastAsia"/>
                <w:color w:val="auto"/>
                <w:sz w:val="24"/>
                <w:highlight w:val="none"/>
              </w:rPr>
            </w:pPr>
          </w:p>
        </w:tc>
        <w:tc>
          <w:tcPr>
            <w:tcW w:w="611" w:type="dxa"/>
          </w:tcPr>
          <w:p w14:paraId="3C8B1278">
            <w:pPr>
              <w:rPr>
                <w:rFonts w:cs="仿宋" w:asciiTheme="majorEastAsia" w:hAnsiTheme="majorEastAsia" w:eastAsiaTheme="majorEastAsia"/>
                <w:color w:val="auto"/>
                <w:sz w:val="24"/>
                <w:highlight w:val="none"/>
              </w:rPr>
            </w:pPr>
          </w:p>
        </w:tc>
        <w:tc>
          <w:tcPr>
            <w:tcW w:w="586" w:type="dxa"/>
            <w:gridSpan w:val="2"/>
            <w:tcMar>
              <w:top w:w="15" w:type="dxa"/>
              <w:left w:w="15" w:type="dxa"/>
              <w:bottom w:w="15" w:type="dxa"/>
              <w:right w:w="15" w:type="dxa"/>
            </w:tcMar>
            <w:vAlign w:val="center"/>
          </w:tcPr>
          <w:p w14:paraId="65C8BE1E">
            <w:pPr>
              <w:rPr>
                <w:rFonts w:cs="仿宋" w:asciiTheme="majorEastAsia" w:hAnsiTheme="majorEastAsia" w:eastAsiaTheme="majorEastAsia"/>
                <w:color w:val="auto"/>
                <w:sz w:val="24"/>
                <w:highlight w:val="none"/>
              </w:rPr>
            </w:pPr>
          </w:p>
        </w:tc>
        <w:tc>
          <w:tcPr>
            <w:tcW w:w="610" w:type="dxa"/>
            <w:vAlign w:val="center"/>
          </w:tcPr>
          <w:p w14:paraId="059C73B3">
            <w:pPr>
              <w:rPr>
                <w:rFonts w:cs="仿宋" w:asciiTheme="majorEastAsia" w:hAnsiTheme="majorEastAsia" w:eastAsiaTheme="majorEastAsia"/>
                <w:color w:val="auto"/>
                <w:sz w:val="24"/>
                <w:highlight w:val="none"/>
              </w:rPr>
            </w:pPr>
          </w:p>
        </w:tc>
      </w:tr>
      <w:tr w14:paraId="33B6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1223" w:type="dxa"/>
            <w:tcMar>
              <w:top w:w="15" w:type="dxa"/>
              <w:left w:w="15" w:type="dxa"/>
              <w:bottom w:w="15" w:type="dxa"/>
              <w:right w:w="15" w:type="dxa"/>
            </w:tcMar>
            <w:vAlign w:val="center"/>
          </w:tcPr>
          <w:p w14:paraId="04BF3E78">
            <w:pPr>
              <w:rPr>
                <w:rFonts w:cs="仿宋" w:asciiTheme="majorEastAsia" w:hAnsiTheme="majorEastAsia" w:eastAsiaTheme="majorEastAsia"/>
                <w:color w:val="auto"/>
                <w:sz w:val="24"/>
                <w:highlight w:val="none"/>
              </w:rPr>
            </w:pPr>
          </w:p>
        </w:tc>
        <w:tc>
          <w:tcPr>
            <w:tcW w:w="5804" w:type="dxa"/>
            <w:gridSpan w:val="4"/>
            <w:vMerge w:val="continue"/>
            <w:tcMar>
              <w:top w:w="15" w:type="dxa"/>
              <w:left w:w="15" w:type="dxa"/>
              <w:bottom w:w="15" w:type="dxa"/>
              <w:right w:w="15" w:type="dxa"/>
            </w:tcMar>
            <w:vAlign w:val="center"/>
          </w:tcPr>
          <w:p w14:paraId="4807C639">
            <w:pPr>
              <w:rPr>
                <w:rFonts w:cs="仿宋" w:asciiTheme="majorEastAsia" w:hAnsiTheme="majorEastAsia" w:eastAsiaTheme="majorEastAsia"/>
                <w:color w:val="auto"/>
                <w:sz w:val="24"/>
                <w:highlight w:val="none"/>
              </w:rPr>
            </w:pPr>
          </w:p>
        </w:tc>
        <w:tc>
          <w:tcPr>
            <w:tcW w:w="611" w:type="dxa"/>
          </w:tcPr>
          <w:p w14:paraId="708E4741">
            <w:pPr>
              <w:rPr>
                <w:rFonts w:cs="仿宋" w:asciiTheme="majorEastAsia" w:hAnsiTheme="majorEastAsia" w:eastAsiaTheme="majorEastAsia"/>
                <w:color w:val="auto"/>
                <w:sz w:val="24"/>
                <w:highlight w:val="none"/>
              </w:rPr>
            </w:pPr>
          </w:p>
        </w:tc>
        <w:tc>
          <w:tcPr>
            <w:tcW w:w="586" w:type="dxa"/>
            <w:gridSpan w:val="2"/>
            <w:tcMar>
              <w:top w:w="15" w:type="dxa"/>
              <w:left w:w="15" w:type="dxa"/>
              <w:bottom w:w="15" w:type="dxa"/>
              <w:right w:w="15" w:type="dxa"/>
            </w:tcMar>
            <w:vAlign w:val="center"/>
          </w:tcPr>
          <w:p w14:paraId="7320E34B">
            <w:pPr>
              <w:rPr>
                <w:rFonts w:cs="仿宋" w:asciiTheme="majorEastAsia" w:hAnsiTheme="majorEastAsia" w:eastAsiaTheme="majorEastAsia"/>
                <w:color w:val="auto"/>
                <w:sz w:val="24"/>
                <w:highlight w:val="none"/>
              </w:rPr>
            </w:pPr>
          </w:p>
        </w:tc>
        <w:tc>
          <w:tcPr>
            <w:tcW w:w="610" w:type="dxa"/>
            <w:vAlign w:val="center"/>
          </w:tcPr>
          <w:p w14:paraId="1B9F0584">
            <w:pPr>
              <w:rPr>
                <w:rFonts w:cs="仿宋" w:asciiTheme="majorEastAsia" w:hAnsiTheme="majorEastAsia" w:eastAsiaTheme="majorEastAsia"/>
                <w:color w:val="auto"/>
                <w:sz w:val="24"/>
                <w:highlight w:val="none"/>
              </w:rPr>
            </w:pPr>
          </w:p>
        </w:tc>
      </w:tr>
      <w:tr w14:paraId="7976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1223" w:type="dxa"/>
            <w:tcMar>
              <w:top w:w="15" w:type="dxa"/>
              <w:left w:w="15" w:type="dxa"/>
              <w:bottom w:w="15" w:type="dxa"/>
              <w:right w:w="15" w:type="dxa"/>
            </w:tcMar>
            <w:vAlign w:val="center"/>
          </w:tcPr>
          <w:p w14:paraId="7206234B">
            <w:pPr>
              <w:rPr>
                <w:rFonts w:cs="仿宋" w:asciiTheme="majorEastAsia" w:hAnsiTheme="majorEastAsia" w:eastAsiaTheme="majorEastAsia"/>
                <w:color w:val="auto"/>
                <w:sz w:val="24"/>
                <w:highlight w:val="none"/>
              </w:rPr>
            </w:pPr>
          </w:p>
        </w:tc>
        <w:tc>
          <w:tcPr>
            <w:tcW w:w="5804" w:type="dxa"/>
            <w:gridSpan w:val="4"/>
            <w:vMerge w:val="continue"/>
            <w:tcMar>
              <w:top w:w="15" w:type="dxa"/>
              <w:left w:w="15" w:type="dxa"/>
              <w:bottom w:w="15" w:type="dxa"/>
              <w:right w:w="15" w:type="dxa"/>
            </w:tcMar>
            <w:vAlign w:val="center"/>
          </w:tcPr>
          <w:p w14:paraId="31812517">
            <w:pPr>
              <w:rPr>
                <w:rFonts w:cs="仿宋" w:asciiTheme="majorEastAsia" w:hAnsiTheme="majorEastAsia" w:eastAsiaTheme="majorEastAsia"/>
                <w:color w:val="auto"/>
                <w:sz w:val="24"/>
                <w:highlight w:val="none"/>
              </w:rPr>
            </w:pPr>
          </w:p>
        </w:tc>
        <w:tc>
          <w:tcPr>
            <w:tcW w:w="611" w:type="dxa"/>
          </w:tcPr>
          <w:p w14:paraId="1C63606F">
            <w:pPr>
              <w:rPr>
                <w:rFonts w:cs="仿宋" w:asciiTheme="majorEastAsia" w:hAnsiTheme="majorEastAsia" w:eastAsiaTheme="majorEastAsia"/>
                <w:color w:val="auto"/>
                <w:sz w:val="24"/>
                <w:highlight w:val="none"/>
              </w:rPr>
            </w:pPr>
          </w:p>
        </w:tc>
        <w:tc>
          <w:tcPr>
            <w:tcW w:w="586" w:type="dxa"/>
            <w:gridSpan w:val="2"/>
            <w:tcMar>
              <w:top w:w="15" w:type="dxa"/>
              <w:left w:w="15" w:type="dxa"/>
              <w:bottom w:w="15" w:type="dxa"/>
              <w:right w:w="15" w:type="dxa"/>
            </w:tcMar>
            <w:vAlign w:val="center"/>
          </w:tcPr>
          <w:p w14:paraId="45B2C0F8">
            <w:pPr>
              <w:rPr>
                <w:rFonts w:cs="仿宋" w:asciiTheme="majorEastAsia" w:hAnsiTheme="majorEastAsia" w:eastAsiaTheme="majorEastAsia"/>
                <w:color w:val="auto"/>
                <w:sz w:val="24"/>
                <w:highlight w:val="none"/>
              </w:rPr>
            </w:pPr>
          </w:p>
        </w:tc>
        <w:tc>
          <w:tcPr>
            <w:tcW w:w="610" w:type="dxa"/>
            <w:vAlign w:val="center"/>
          </w:tcPr>
          <w:p w14:paraId="264D9AB7">
            <w:pPr>
              <w:rPr>
                <w:rFonts w:cs="仿宋" w:asciiTheme="majorEastAsia" w:hAnsiTheme="majorEastAsia" w:eastAsiaTheme="majorEastAsia"/>
                <w:color w:val="auto"/>
                <w:sz w:val="24"/>
                <w:highlight w:val="none"/>
              </w:rPr>
            </w:pPr>
          </w:p>
        </w:tc>
      </w:tr>
      <w:tr w14:paraId="45D3C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1223" w:type="dxa"/>
            <w:tcMar>
              <w:top w:w="15" w:type="dxa"/>
              <w:left w:w="15" w:type="dxa"/>
              <w:bottom w:w="15" w:type="dxa"/>
              <w:right w:w="15" w:type="dxa"/>
            </w:tcMar>
            <w:vAlign w:val="center"/>
          </w:tcPr>
          <w:p w14:paraId="1A516090">
            <w:pPr>
              <w:rPr>
                <w:rFonts w:cs="仿宋" w:asciiTheme="majorEastAsia" w:hAnsiTheme="majorEastAsia" w:eastAsiaTheme="majorEastAsia"/>
                <w:color w:val="auto"/>
                <w:sz w:val="24"/>
                <w:highlight w:val="none"/>
              </w:rPr>
            </w:pPr>
          </w:p>
        </w:tc>
        <w:tc>
          <w:tcPr>
            <w:tcW w:w="5804" w:type="dxa"/>
            <w:gridSpan w:val="4"/>
            <w:vMerge w:val="continue"/>
            <w:tcMar>
              <w:top w:w="15" w:type="dxa"/>
              <w:left w:w="15" w:type="dxa"/>
              <w:bottom w:w="15" w:type="dxa"/>
              <w:right w:w="15" w:type="dxa"/>
            </w:tcMar>
            <w:vAlign w:val="center"/>
          </w:tcPr>
          <w:p w14:paraId="1CF06FD8">
            <w:pPr>
              <w:rPr>
                <w:rFonts w:cs="仿宋" w:asciiTheme="majorEastAsia" w:hAnsiTheme="majorEastAsia" w:eastAsiaTheme="majorEastAsia"/>
                <w:color w:val="auto"/>
                <w:sz w:val="24"/>
                <w:highlight w:val="none"/>
              </w:rPr>
            </w:pPr>
          </w:p>
        </w:tc>
        <w:tc>
          <w:tcPr>
            <w:tcW w:w="611" w:type="dxa"/>
          </w:tcPr>
          <w:p w14:paraId="1F079B51">
            <w:pPr>
              <w:rPr>
                <w:rFonts w:cs="仿宋" w:asciiTheme="majorEastAsia" w:hAnsiTheme="majorEastAsia" w:eastAsiaTheme="majorEastAsia"/>
                <w:color w:val="auto"/>
                <w:sz w:val="24"/>
                <w:highlight w:val="none"/>
              </w:rPr>
            </w:pPr>
          </w:p>
        </w:tc>
        <w:tc>
          <w:tcPr>
            <w:tcW w:w="586" w:type="dxa"/>
            <w:gridSpan w:val="2"/>
            <w:tcMar>
              <w:top w:w="15" w:type="dxa"/>
              <w:left w:w="15" w:type="dxa"/>
              <w:bottom w:w="15" w:type="dxa"/>
              <w:right w:w="15" w:type="dxa"/>
            </w:tcMar>
            <w:vAlign w:val="center"/>
          </w:tcPr>
          <w:p w14:paraId="53345E1A">
            <w:pPr>
              <w:rPr>
                <w:rFonts w:cs="仿宋" w:asciiTheme="majorEastAsia" w:hAnsiTheme="majorEastAsia" w:eastAsiaTheme="majorEastAsia"/>
                <w:color w:val="auto"/>
                <w:sz w:val="24"/>
                <w:highlight w:val="none"/>
              </w:rPr>
            </w:pPr>
          </w:p>
        </w:tc>
        <w:tc>
          <w:tcPr>
            <w:tcW w:w="610" w:type="dxa"/>
            <w:vAlign w:val="center"/>
          </w:tcPr>
          <w:p w14:paraId="0FAD4C17">
            <w:pPr>
              <w:rPr>
                <w:rFonts w:cs="仿宋" w:asciiTheme="majorEastAsia" w:hAnsiTheme="majorEastAsia" w:eastAsiaTheme="majorEastAsia"/>
                <w:color w:val="auto"/>
                <w:sz w:val="24"/>
                <w:highlight w:val="none"/>
              </w:rPr>
            </w:pPr>
          </w:p>
        </w:tc>
      </w:tr>
      <w:tr w14:paraId="40B2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1223" w:type="dxa"/>
            <w:tcMar>
              <w:top w:w="15" w:type="dxa"/>
              <w:left w:w="15" w:type="dxa"/>
              <w:bottom w:w="15" w:type="dxa"/>
              <w:right w:w="15" w:type="dxa"/>
            </w:tcMar>
            <w:vAlign w:val="center"/>
          </w:tcPr>
          <w:p w14:paraId="1642E23B">
            <w:pPr>
              <w:rPr>
                <w:rFonts w:cs="仿宋" w:asciiTheme="majorEastAsia" w:hAnsiTheme="majorEastAsia" w:eastAsiaTheme="majorEastAsia"/>
                <w:color w:val="auto"/>
                <w:sz w:val="24"/>
                <w:highlight w:val="none"/>
              </w:rPr>
            </w:pPr>
          </w:p>
        </w:tc>
        <w:tc>
          <w:tcPr>
            <w:tcW w:w="5804" w:type="dxa"/>
            <w:gridSpan w:val="4"/>
            <w:vMerge w:val="continue"/>
            <w:tcMar>
              <w:top w:w="15" w:type="dxa"/>
              <w:left w:w="15" w:type="dxa"/>
              <w:bottom w:w="15" w:type="dxa"/>
              <w:right w:w="15" w:type="dxa"/>
            </w:tcMar>
            <w:vAlign w:val="center"/>
          </w:tcPr>
          <w:p w14:paraId="6A01AD09">
            <w:pPr>
              <w:rPr>
                <w:rFonts w:cs="仿宋" w:asciiTheme="majorEastAsia" w:hAnsiTheme="majorEastAsia" w:eastAsiaTheme="majorEastAsia"/>
                <w:color w:val="auto"/>
                <w:sz w:val="24"/>
                <w:highlight w:val="none"/>
              </w:rPr>
            </w:pPr>
          </w:p>
        </w:tc>
        <w:tc>
          <w:tcPr>
            <w:tcW w:w="611" w:type="dxa"/>
          </w:tcPr>
          <w:p w14:paraId="2ACE3108">
            <w:pPr>
              <w:rPr>
                <w:rFonts w:cs="仿宋" w:asciiTheme="majorEastAsia" w:hAnsiTheme="majorEastAsia" w:eastAsiaTheme="majorEastAsia"/>
                <w:color w:val="auto"/>
                <w:sz w:val="24"/>
                <w:highlight w:val="none"/>
              </w:rPr>
            </w:pPr>
          </w:p>
        </w:tc>
        <w:tc>
          <w:tcPr>
            <w:tcW w:w="586" w:type="dxa"/>
            <w:gridSpan w:val="2"/>
            <w:tcMar>
              <w:top w:w="15" w:type="dxa"/>
              <w:left w:w="15" w:type="dxa"/>
              <w:bottom w:w="15" w:type="dxa"/>
              <w:right w:w="15" w:type="dxa"/>
            </w:tcMar>
            <w:vAlign w:val="center"/>
          </w:tcPr>
          <w:p w14:paraId="484DCD5E">
            <w:pPr>
              <w:rPr>
                <w:rFonts w:cs="仿宋" w:asciiTheme="majorEastAsia" w:hAnsiTheme="majorEastAsia" w:eastAsiaTheme="majorEastAsia"/>
                <w:color w:val="auto"/>
                <w:sz w:val="24"/>
                <w:highlight w:val="none"/>
              </w:rPr>
            </w:pPr>
          </w:p>
        </w:tc>
        <w:tc>
          <w:tcPr>
            <w:tcW w:w="610" w:type="dxa"/>
            <w:vAlign w:val="center"/>
          </w:tcPr>
          <w:p w14:paraId="401C4909">
            <w:pPr>
              <w:rPr>
                <w:rFonts w:cs="仿宋" w:asciiTheme="majorEastAsia" w:hAnsiTheme="majorEastAsia" w:eastAsiaTheme="majorEastAsia"/>
                <w:color w:val="auto"/>
                <w:sz w:val="24"/>
                <w:highlight w:val="none"/>
              </w:rPr>
            </w:pPr>
          </w:p>
        </w:tc>
      </w:tr>
      <w:tr w14:paraId="710D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1223" w:type="dxa"/>
            <w:tcMar>
              <w:top w:w="15" w:type="dxa"/>
              <w:left w:w="15" w:type="dxa"/>
              <w:bottom w:w="15" w:type="dxa"/>
              <w:right w:w="15" w:type="dxa"/>
            </w:tcMar>
            <w:vAlign w:val="center"/>
          </w:tcPr>
          <w:p w14:paraId="5A77D900">
            <w:pPr>
              <w:rPr>
                <w:rFonts w:cs="仿宋" w:asciiTheme="majorEastAsia" w:hAnsiTheme="majorEastAsia" w:eastAsiaTheme="majorEastAsia"/>
                <w:color w:val="auto"/>
                <w:sz w:val="24"/>
                <w:highlight w:val="none"/>
              </w:rPr>
            </w:pPr>
          </w:p>
        </w:tc>
        <w:tc>
          <w:tcPr>
            <w:tcW w:w="5804" w:type="dxa"/>
            <w:gridSpan w:val="4"/>
            <w:vMerge w:val="continue"/>
            <w:tcMar>
              <w:top w:w="15" w:type="dxa"/>
              <w:left w:w="15" w:type="dxa"/>
              <w:bottom w:w="15" w:type="dxa"/>
              <w:right w:w="15" w:type="dxa"/>
            </w:tcMar>
            <w:vAlign w:val="center"/>
          </w:tcPr>
          <w:p w14:paraId="6D00FA1A">
            <w:pPr>
              <w:rPr>
                <w:rFonts w:cs="仿宋" w:asciiTheme="majorEastAsia" w:hAnsiTheme="majorEastAsia" w:eastAsiaTheme="majorEastAsia"/>
                <w:color w:val="auto"/>
                <w:sz w:val="24"/>
                <w:highlight w:val="none"/>
              </w:rPr>
            </w:pPr>
          </w:p>
        </w:tc>
        <w:tc>
          <w:tcPr>
            <w:tcW w:w="611" w:type="dxa"/>
          </w:tcPr>
          <w:p w14:paraId="3FF70C86">
            <w:pPr>
              <w:rPr>
                <w:rFonts w:cs="仿宋" w:asciiTheme="majorEastAsia" w:hAnsiTheme="majorEastAsia" w:eastAsiaTheme="majorEastAsia"/>
                <w:color w:val="auto"/>
                <w:sz w:val="24"/>
                <w:highlight w:val="none"/>
              </w:rPr>
            </w:pPr>
          </w:p>
        </w:tc>
        <w:tc>
          <w:tcPr>
            <w:tcW w:w="586" w:type="dxa"/>
            <w:gridSpan w:val="2"/>
            <w:tcMar>
              <w:top w:w="15" w:type="dxa"/>
              <w:left w:w="15" w:type="dxa"/>
              <w:bottom w:w="15" w:type="dxa"/>
              <w:right w:w="15" w:type="dxa"/>
            </w:tcMar>
            <w:vAlign w:val="center"/>
          </w:tcPr>
          <w:p w14:paraId="1483EA39">
            <w:pPr>
              <w:rPr>
                <w:rFonts w:cs="仿宋" w:asciiTheme="majorEastAsia" w:hAnsiTheme="majorEastAsia" w:eastAsiaTheme="majorEastAsia"/>
                <w:color w:val="auto"/>
                <w:sz w:val="24"/>
                <w:highlight w:val="none"/>
              </w:rPr>
            </w:pPr>
          </w:p>
        </w:tc>
        <w:tc>
          <w:tcPr>
            <w:tcW w:w="610" w:type="dxa"/>
            <w:vAlign w:val="center"/>
          </w:tcPr>
          <w:p w14:paraId="2FAA67AD">
            <w:pPr>
              <w:rPr>
                <w:rFonts w:cs="仿宋" w:asciiTheme="majorEastAsia" w:hAnsiTheme="majorEastAsia" w:eastAsiaTheme="majorEastAsia"/>
                <w:color w:val="auto"/>
                <w:sz w:val="24"/>
                <w:highlight w:val="none"/>
              </w:rPr>
            </w:pPr>
          </w:p>
        </w:tc>
      </w:tr>
      <w:tr w14:paraId="5AB5B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1223" w:type="dxa"/>
            <w:tcMar>
              <w:top w:w="15" w:type="dxa"/>
              <w:left w:w="15" w:type="dxa"/>
              <w:bottom w:w="15" w:type="dxa"/>
              <w:right w:w="15" w:type="dxa"/>
            </w:tcMar>
            <w:vAlign w:val="center"/>
          </w:tcPr>
          <w:p w14:paraId="23A18D4D">
            <w:pPr>
              <w:rPr>
                <w:rFonts w:cs="仿宋" w:asciiTheme="majorEastAsia" w:hAnsiTheme="majorEastAsia" w:eastAsiaTheme="majorEastAsia"/>
                <w:color w:val="auto"/>
                <w:sz w:val="24"/>
                <w:highlight w:val="none"/>
              </w:rPr>
            </w:pPr>
          </w:p>
        </w:tc>
        <w:tc>
          <w:tcPr>
            <w:tcW w:w="5804" w:type="dxa"/>
            <w:gridSpan w:val="4"/>
            <w:vMerge w:val="continue"/>
            <w:tcMar>
              <w:top w:w="15" w:type="dxa"/>
              <w:left w:w="15" w:type="dxa"/>
              <w:bottom w:w="15" w:type="dxa"/>
              <w:right w:w="15" w:type="dxa"/>
            </w:tcMar>
            <w:vAlign w:val="center"/>
          </w:tcPr>
          <w:p w14:paraId="16FC3C84">
            <w:pPr>
              <w:rPr>
                <w:rFonts w:cs="仿宋" w:asciiTheme="majorEastAsia" w:hAnsiTheme="majorEastAsia" w:eastAsiaTheme="majorEastAsia"/>
                <w:color w:val="auto"/>
                <w:sz w:val="24"/>
                <w:highlight w:val="none"/>
              </w:rPr>
            </w:pPr>
          </w:p>
        </w:tc>
        <w:tc>
          <w:tcPr>
            <w:tcW w:w="611" w:type="dxa"/>
          </w:tcPr>
          <w:p w14:paraId="3FD6C39B">
            <w:pPr>
              <w:rPr>
                <w:rFonts w:cs="仿宋" w:asciiTheme="majorEastAsia" w:hAnsiTheme="majorEastAsia" w:eastAsiaTheme="majorEastAsia"/>
                <w:color w:val="auto"/>
                <w:sz w:val="24"/>
                <w:highlight w:val="none"/>
              </w:rPr>
            </w:pPr>
          </w:p>
        </w:tc>
        <w:tc>
          <w:tcPr>
            <w:tcW w:w="586" w:type="dxa"/>
            <w:gridSpan w:val="2"/>
            <w:tcMar>
              <w:top w:w="15" w:type="dxa"/>
              <w:left w:w="15" w:type="dxa"/>
              <w:bottom w:w="15" w:type="dxa"/>
              <w:right w:w="15" w:type="dxa"/>
            </w:tcMar>
            <w:vAlign w:val="center"/>
          </w:tcPr>
          <w:p w14:paraId="5FE58553">
            <w:pPr>
              <w:rPr>
                <w:rFonts w:cs="仿宋" w:asciiTheme="majorEastAsia" w:hAnsiTheme="majorEastAsia" w:eastAsiaTheme="majorEastAsia"/>
                <w:color w:val="auto"/>
                <w:sz w:val="24"/>
                <w:highlight w:val="none"/>
              </w:rPr>
            </w:pPr>
          </w:p>
        </w:tc>
        <w:tc>
          <w:tcPr>
            <w:tcW w:w="610" w:type="dxa"/>
            <w:vAlign w:val="center"/>
          </w:tcPr>
          <w:p w14:paraId="55AEF6A7">
            <w:pPr>
              <w:rPr>
                <w:rFonts w:cs="仿宋" w:asciiTheme="majorEastAsia" w:hAnsiTheme="majorEastAsia" w:eastAsiaTheme="majorEastAsia"/>
                <w:color w:val="auto"/>
                <w:sz w:val="24"/>
                <w:highlight w:val="none"/>
              </w:rPr>
            </w:pPr>
          </w:p>
        </w:tc>
      </w:tr>
      <w:tr w14:paraId="185A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1223" w:type="dxa"/>
            <w:tcMar>
              <w:top w:w="15" w:type="dxa"/>
              <w:left w:w="15" w:type="dxa"/>
              <w:bottom w:w="15" w:type="dxa"/>
              <w:right w:w="15" w:type="dxa"/>
            </w:tcMar>
            <w:vAlign w:val="center"/>
          </w:tcPr>
          <w:p w14:paraId="79CF7210">
            <w:pPr>
              <w:rPr>
                <w:rFonts w:cs="仿宋" w:asciiTheme="majorEastAsia" w:hAnsiTheme="majorEastAsia" w:eastAsiaTheme="majorEastAsia"/>
                <w:color w:val="auto"/>
                <w:sz w:val="24"/>
                <w:highlight w:val="none"/>
              </w:rPr>
            </w:pPr>
          </w:p>
        </w:tc>
        <w:tc>
          <w:tcPr>
            <w:tcW w:w="5804" w:type="dxa"/>
            <w:gridSpan w:val="4"/>
            <w:vMerge w:val="continue"/>
            <w:tcMar>
              <w:top w:w="15" w:type="dxa"/>
              <w:left w:w="15" w:type="dxa"/>
              <w:bottom w:w="15" w:type="dxa"/>
              <w:right w:w="15" w:type="dxa"/>
            </w:tcMar>
            <w:vAlign w:val="center"/>
          </w:tcPr>
          <w:p w14:paraId="5538AA12">
            <w:pPr>
              <w:rPr>
                <w:rFonts w:cs="仿宋" w:asciiTheme="majorEastAsia" w:hAnsiTheme="majorEastAsia" w:eastAsiaTheme="majorEastAsia"/>
                <w:color w:val="auto"/>
                <w:sz w:val="24"/>
                <w:highlight w:val="none"/>
              </w:rPr>
            </w:pPr>
          </w:p>
        </w:tc>
        <w:tc>
          <w:tcPr>
            <w:tcW w:w="611" w:type="dxa"/>
          </w:tcPr>
          <w:p w14:paraId="31F5DA39">
            <w:pPr>
              <w:rPr>
                <w:rFonts w:cs="仿宋" w:asciiTheme="majorEastAsia" w:hAnsiTheme="majorEastAsia" w:eastAsiaTheme="majorEastAsia"/>
                <w:color w:val="auto"/>
                <w:sz w:val="24"/>
                <w:highlight w:val="none"/>
              </w:rPr>
            </w:pPr>
          </w:p>
        </w:tc>
        <w:tc>
          <w:tcPr>
            <w:tcW w:w="586" w:type="dxa"/>
            <w:gridSpan w:val="2"/>
            <w:tcMar>
              <w:top w:w="15" w:type="dxa"/>
              <w:left w:w="15" w:type="dxa"/>
              <w:bottom w:w="15" w:type="dxa"/>
              <w:right w:w="15" w:type="dxa"/>
            </w:tcMar>
            <w:vAlign w:val="center"/>
          </w:tcPr>
          <w:p w14:paraId="384132B4">
            <w:pPr>
              <w:rPr>
                <w:rFonts w:cs="仿宋" w:asciiTheme="majorEastAsia" w:hAnsiTheme="majorEastAsia" w:eastAsiaTheme="majorEastAsia"/>
                <w:color w:val="auto"/>
                <w:sz w:val="24"/>
                <w:highlight w:val="none"/>
              </w:rPr>
            </w:pPr>
          </w:p>
        </w:tc>
        <w:tc>
          <w:tcPr>
            <w:tcW w:w="610" w:type="dxa"/>
            <w:vAlign w:val="center"/>
          </w:tcPr>
          <w:p w14:paraId="680B2CC5">
            <w:pPr>
              <w:rPr>
                <w:rFonts w:cs="仿宋" w:asciiTheme="majorEastAsia" w:hAnsiTheme="majorEastAsia" w:eastAsiaTheme="majorEastAsia"/>
                <w:color w:val="auto"/>
                <w:sz w:val="24"/>
                <w:highlight w:val="none"/>
              </w:rPr>
            </w:pPr>
          </w:p>
        </w:tc>
      </w:tr>
      <w:tr w14:paraId="68610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1223" w:type="dxa"/>
            <w:tcMar>
              <w:top w:w="15" w:type="dxa"/>
              <w:left w:w="15" w:type="dxa"/>
              <w:bottom w:w="15" w:type="dxa"/>
              <w:right w:w="15" w:type="dxa"/>
            </w:tcMar>
            <w:vAlign w:val="center"/>
          </w:tcPr>
          <w:p w14:paraId="2F0729F4">
            <w:pPr>
              <w:rPr>
                <w:rFonts w:cs="仿宋" w:asciiTheme="majorEastAsia" w:hAnsiTheme="majorEastAsia" w:eastAsiaTheme="majorEastAsia"/>
                <w:color w:val="auto"/>
                <w:sz w:val="24"/>
                <w:highlight w:val="none"/>
              </w:rPr>
            </w:pPr>
          </w:p>
        </w:tc>
        <w:tc>
          <w:tcPr>
            <w:tcW w:w="5804" w:type="dxa"/>
            <w:gridSpan w:val="4"/>
            <w:vMerge w:val="continue"/>
            <w:tcMar>
              <w:top w:w="15" w:type="dxa"/>
              <w:left w:w="15" w:type="dxa"/>
              <w:bottom w:w="15" w:type="dxa"/>
              <w:right w:w="15" w:type="dxa"/>
            </w:tcMar>
            <w:vAlign w:val="center"/>
          </w:tcPr>
          <w:p w14:paraId="672C3F4C">
            <w:pPr>
              <w:rPr>
                <w:rFonts w:cs="仿宋" w:asciiTheme="majorEastAsia" w:hAnsiTheme="majorEastAsia" w:eastAsiaTheme="majorEastAsia"/>
                <w:color w:val="auto"/>
                <w:sz w:val="24"/>
                <w:highlight w:val="none"/>
              </w:rPr>
            </w:pPr>
          </w:p>
        </w:tc>
        <w:tc>
          <w:tcPr>
            <w:tcW w:w="611" w:type="dxa"/>
          </w:tcPr>
          <w:p w14:paraId="340CFF24">
            <w:pPr>
              <w:rPr>
                <w:rFonts w:cs="仿宋" w:asciiTheme="majorEastAsia" w:hAnsiTheme="majorEastAsia" w:eastAsiaTheme="majorEastAsia"/>
                <w:color w:val="auto"/>
                <w:sz w:val="24"/>
                <w:highlight w:val="none"/>
              </w:rPr>
            </w:pPr>
          </w:p>
        </w:tc>
        <w:tc>
          <w:tcPr>
            <w:tcW w:w="586" w:type="dxa"/>
            <w:gridSpan w:val="2"/>
            <w:tcMar>
              <w:top w:w="15" w:type="dxa"/>
              <w:left w:w="15" w:type="dxa"/>
              <w:bottom w:w="15" w:type="dxa"/>
              <w:right w:w="15" w:type="dxa"/>
            </w:tcMar>
            <w:vAlign w:val="center"/>
          </w:tcPr>
          <w:p w14:paraId="32AB5D65">
            <w:pPr>
              <w:rPr>
                <w:rFonts w:cs="仿宋" w:asciiTheme="majorEastAsia" w:hAnsiTheme="majorEastAsia" w:eastAsiaTheme="majorEastAsia"/>
                <w:color w:val="auto"/>
                <w:sz w:val="24"/>
                <w:highlight w:val="none"/>
              </w:rPr>
            </w:pPr>
          </w:p>
        </w:tc>
        <w:tc>
          <w:tcPr>
            <w:tcW w:w="610" w:type="dxa"/>
            <w:vAlign w:val="center"/>
          </w:tcPr>
          <w:p w14:paraId="677DDF6B">
            <w:pPr>
              <w:rPr>
                <w:rFonts w:cs="仿宋" w:asciiTheme="majorEastAsia" w:hAnsiTheme="majorEastAsia" w:eastAsiaTheme="majorEastAsia"/>
                <w:color w:val="auto"/>
                <w:sz w:val="24"/>
                <w:highlight w:val="none"/>
              </w:rPr>
            </w:pPr>
          </w:p>
        </w:tc>
      </w:tr>
      <w:tr w14:paraId="02A44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exact"/>
          <w:jc w:val="center"/>
        </w:trPr>
        <w:tc>
          <w:tcPr>
            <w:tcW w:w="0" w:type="auto"/>
            <w:gridSpan w:val="9"/>
            <w:tcMar>
              <w:top w:w="15" w:type="dxa"/>
              <w:left w:w="15" w:type="dxa"/>
              <w:bottom w:w="15" w:type="dxa"/>
              <w:right w:w="15" w:type="dxa"/>
            </w:tcMar>
            <w:vAlign w:val="center"/>
          </w:tcPr>
          <w:p w14:paraId="0B06FA89">
            <w:pPr>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综合管理（20分）</w:t>
            </w:r>
          </w:p>
        </w:tc>
      </w:tr>
      <w:tr w14:paraId="3947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exact"/>
          <w:jc w:val="center"/>
        </w:trPr>
        <w:tc>
          <w:tcPr>
            <w:tcW w:w="1223" w:type="dxa"/>
            <w:tcMar>
              <w:top w:w="15" w:type="dxa"/>
              <w:left w:w="15" w:type="dxa"/>
              <w:bottom w:w="15" w:type="dxa"/>
              <w:right w:w="15" w:type="dxa"/>
            </w:tcMar>
            <w:vAlign w:val="center"/>
          </w:tcPr>
          <w:p w14:paraId="07D5DD52">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内容</w:t>
            </w:r>
          </w:p>
        </w:tc>
        <w:tc>
          <w:tcPr>
            <w:tcW w:w="5804" w:type="dxa"/>
            <w:gridSpan w:val="4"/>
            <w:vAlign w:val="center"/>
          </w:tcPr>
          <w:p w14:paraId="722AB7CF">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基本要求</w:t>
            </w:r>
          </w:p>
        </w:tc>
        <w:tc>
          <w:tcPr>
            <w:tcW w:w="877" w:type="dxa"/>
            <w:gridSpan w:val="2"/>
            <w:vAlign w:val="center"/>
          </w:tcPr>
          <w:p w14:paraId="0A3333B4">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分值</w:t>
            </w:r>
          </w:p>
        </w:tc>
        <w:tc>
          <w:tcPr>
            <w:tcW w:w="930" w:type="dxa"/>
            <w:gridSpan w:val="2"/>
            <w:vAlign w:val="center"/>
          </w:tcPr>
          <w:p w14:paraId="7BEDB19E">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得分</w:t>
            </w:r>
          </w:p>
        </w:tc>
      </w:tr>
      <w:tr w14:paraId="09A7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exact"/>
          <w:jc w:val="center"/>
        </w:trPr>
        <w:tc>
          <w:tcPr>
            <w:tcW w:w="1223" w:type="dxa"/>
            <w:vMerge w:val="restart"/>
            <w:tcMar>
              <w:top w:w="15" w:type="dxa"/>
              <w:left w:w="15" w:type="dxa"/>
              <w:bottom w:w="15" w:type="dxa"/>
              <w:right w:w="15" w:type="dxa"/>
            </w:tcMar>
            <w:vAlign w:val="center"/>
          </w:tcPr>
          <w:p w14:paraId="1BA088E5">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制度建设</w:t>
            </w:r>
          </w:p>
          <w:p w14:paraId="2AA03193">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（3分）</w:t>
            </w:r>
          </w:p>
        </w:tc>
        <w:tc>
          <w:tcPr>
            <w:tcW w:w="5804" w:type="dxa"/>
            <w:gridSpan w:val="4"/>
            <w:tcMar>
              <w:top w:w="15" w:type="dxa"/>
              <w:left w:w="15" w:type="dxa"/>
              <w:bottom w:w="15" w:type="dxa"/>
              <w:right w:w="15" w:type="dxa"/>
            </w:tcMar>
            <w:vAlign w:val="center"/>
          </w:tcPr>
          <w:p w14:paraId="7F9340C6">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每周开放六天，每天开放不少于7小时，并将开放时间在门口显眼位置公布。（特殊原因关闭除外）</w:t>
            </w:r>
          </w:p>
        </w:tc>
        <w:tc>
          <w:tcPr>
            <w:tcW w:w="877" w:type="dxa"/>
            <w:gridSpan w:val="2"/>
            <w:vAlign w:val="center"/>
          </w:tcPr>
          <w:p w14:paraId="5FD479A8">
            <w:pPr>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930" w:type="dxa"/>
            <w:gridSpan w:val="2"/>
            <w:tcMar>
              <w:top w:w="15" w:type="dxa"/>
              <w:left w:w="15" w:type="dxa"/>
              <w:bottom w:w="15" w:type="dxa"/>
              <w:right w:w="15" w:type="dxa"/>
            </w:tcMar>
            <w:vAlign w:val="center"/>
          </w:tcPr>
          <w:p w14:paraId="23AA6880">
            <w:pPr>
              <w:rPr>
                <w:rFonts w:cs="仿宋" w:asciiTheme="majorEastAsia" w:hAnsiTheme="majorEastAsia" w:eastAsiaTheme="majorEastAsia"/>
                <w:color w:val="auto"/>
                <w:sz w:val="24"/>
                <w:highlight w:val="none"/>
              </w:rPr>
            </w:pPr>
          </w:p>
        </w:tc>
      </w:tr>
      <w:tr w14:paraId="0EAF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exact"/>
          <w:jc w:val="center"/>
        </w:trPr>
        <w:tc>
          <w:tcPr>
            <w:tcW w:w="1223" w:type="dxa"/>
            <w:vMerge w:val="continue"/>
            <w:tcMar>
              <w:top w:w="15" w:type="dxa"/>
              <w:left w:w="15" w:type="dxa"/>
              <w:bottom w:w="15" w:type="dxa"/>
              <w:right w:w="15" w:type="dxa"/>
            </w:tcMar>
            <w:vAlign w:val="center"/>
          </w:tcPr>
          <w:p w14:paraId="61CAF9FD">
            <w:pPr>
              <w:rPr>
                <w:rFonts w:cs="仿宋" w:asciiTheme="majorEastAsia" w:hAnsiTheme="majorEastAsia" w:eastAsiaTheme="majorEastAsia"/>
                <w:color w:val="auto"/>
                <w:sz w:val="24"/>
                <w:highlight w:val="none"/>
              </w:rPr>
            </w:pPr>
          </w:p>
        </w:tc>
        <w:tc>
          <w:tcPr>
            <w:tcW w:w="5804" w:type="dxa"/>
            <w:gridSpan w:val="4"/>
            <w:tcMar>
              <w:top w:w="15" w:type="dxa"/>
              <w:left w:w="15" w:type="dxa"/>
              <w:bottom w:w="15" w:type="dxa"/>
              <w:right w:w="15" w:type="dxa"/>
            </w:tcMar>
            <w:vAlign w:val="center"/>
          </w:tcPr>
          <w:p w14:paraId="1FAE56FC">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制定安全管理、卫生防疫、应急预案等相关制度及服务计划。 </w:t>
            </w:r>
          </w:p>
        </w:tc>
        <w:tc>
          <w:tcPr>
            <w:tcW w:w="877" w:type="dxa"/>
            <w:gridSpan w:val="2"/>
            <w:vAlign w:val="center"/>
          </w:tcPr>
          <w:p w14:paraId="7E163295">
            <w:pPr>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930" w:type="dxa"/>
            <w:gridSpan w:val="2"/>
            <w:tcMar>
              <w:top w:w="15" w:type="dxa"/>
              <w:left w:w="15" w:type="dxa"/>
              <w:bottom w:w="15" w:type="dxa"/>
              <w:right w:w="15" w:type="dxa"/>
            </w:tcMar>
            <w:vAlign w:val="center"/>
          </w:tcPr>
          <w:p w14:paraId="361E4BF0">
            <w:pPr>
              <w:rPr>
                <w:rFonts w:cs="仿宋" w:asciiTheme="majorEastAsia" w:hAnsiTheme="majorEastAsia" w:eastAsiaTheme="majorEastAsia"/>
                <w:color w:val="auto"/>
                <w:sz w:val="24"/>
                <w:highlight w:val="none"/>
              </w:rPr>
            </w:pPr>
          </w:p>
        </w:tc>
      </w:tr>
      <w:tr w14:paraId="19AB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exact"/>
          <w:jc w:val="center"/>
        </w:trPr>
        <w:tc>
          <w:tcPr>
            <w:tcW w:w="1223" w:type="dxa"/>
            <w:vMerge w:val="continue"/>
            <w:tcMar>
              <w:top w:w="15" w:type="dxa"/>
              <w:left w:w="15" w:type="dxa"/>
              <w:bottom w:w="15" w:type="dxa"/>
              <w:right w:w="15" w:type="dxa"/>
            </w:tcMar>
            <w:vAlign w:val="center"/>
          </w:tcPr>
          <w:p w14:paraId="3B4240F0">
            <w:pPr>
              <w:rPr>
                <w:rFonts w:cs="仿宋" w:asciiTheme="majorEastAsia" w:hAnsiTheme="majorEastAsia" w:eastAsiaTheme="majorEastAsia"/>
                <w:color w:val="auto"/>
                <w:sz w:val="24"/>
                <w:highlight w:val="none"/>
              </w:rPr>
            </w:pPr>
          </w:p>
        </w:tc>
        <w:tc>
          <w:tcPr>
            <w:tcW w:w="5804" w:type="dxa"/>
            <w:gridSpan w:val="4"/>
            <w:tcMar>
              <w:top w:w="15" w:type="dxa"/>
              <w:left w:w="15" w:type="dxa"/>
              <w:bottom w:w="15" w:type="dxa"/>
              <w:right w:w="15" w:type="dxa"/>
            </w:tcMar>
            <w:vAlign w:val="center"/>
          </w:tcPr>
          <w:p w14:paraId="0289B404">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制定服务项目、服务流程及收费标准，并进行公示；服务场所公示服务人员（照片、姓名、岗位、联系方式）、服务单位信息；制订每日工作、服务、活动计划并公示。</w:t>
            </w:r>
          </w:p>
        </w:tc>
        <w:tc>
          <w:tcPr>
            <w:tcW w:w="877" w:type="dxa"/>
            <w:gridSpan w:val="2"/>
            <w:vAlign w:val="center"/>
          </w:tcPr>
          <w:p w14:paraId="19F57252">
            <w:pPr>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930" w:type="dxa"/>
            <w:gridSpan w:val="2"/>
            <w:tcMar>
              <w:top w:w="15" w:type="dxa"/>
              <w:left w:w="15" w:type="dxa"/>
              <w:bottom w:w="15" w:type="dxa"/>
              <w:right w:w="15" w:type="dxa"/>
            </w:tcMar>
            <w:vAlign w:val="center"/>
          </w:tcPr>
          <w:p w14:paraId="5A1060F4">
            <w:pPr>
              <w:rPr>
                <w:rFonts w:cs="仿宋" w:asciiTheme="majorEastAsia" w:hAnsiTheme="majorEastAsia" w:eastAsiaTheme="majorEastAsia"/>
                <w:color w:val="auto"/>
                <w:sz w:val="24"/>
                <w:highlight w:val="none"/>
              </w:rPr>
            </w:pPr>
          </w:p>
        </w:tc>
      </w:tr>
      <w:tr w14:paraId="0DF5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exact"/>
          <w:jc w:val="center"/>
        </w:trPr>
        <w:tc>
          <w:tcPr>
            <w:tcW w:w="1223" w:type="dxa"/>
            <w:vMerge w:val="restart"/>
            <w:tcMar>
              <w:top w:w="15" w:type="dxa"/>
              <w:left w:w="15" w:type="dxa"/>
              <w:bottom w:w="15" w:type="dxa"/>
              <w:right w:w="15" w:type="dxa"/>
            </w:tcMar>
            <w:vAlign w:val="center"/>
          </w:tcPr>
          <w:p w14:paraId="20BDD75C">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内部管理</w:t>
            </w:r>
          </w:p>
          <w:p w14:paraId="74561DE0">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（3分）</w:t>
            </w:r>
          </w:p>
        </w:tc>
        <w:tc>
          <w:tcPr>
            <w:tcW w:w="5804" w:type="dxa"/>
            <w:gridSpan w:val="4"/>
            <w:tcMar>
              <w:top w:w="15" w:type="dxa"/>
              <w:left w:w="15" w:type="dxa"/>
              <w:bottom w:w="15" w:type="dxa"/>
              <w:right w:w="15" w:type="dxa"/>
            </w:tcMar>
            <w:vAlign w:val="center"/>
          </w:tcPr>
          <w:p w14:paraId="28BD2E58">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应用养老服务平台开展服务管理，接受区智慧养老服务中心管理和转介服务。</w:t>
            </w:r>
          </w:p>
        </w:tc>
        <w:tc>
          <w:tcPr>
            <w:tcW w:w="877" w:type="dxa"/>
            <w:gridSpan w:val="2"/>
            <w:vAlign w:val="center"/>
          </w:tcPr>
          <w:p w14:paraId="473EE41F">
            <w:pPr>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930" w:type="dxa"/>
            <w:gridSpan w:val="2"/>
            <w:tcMar>
              <w:top w:w="15" w:type="dxa"/>
              <w:left w:w="15" w:type="dxa"/>
              <w:bottom w:w="15" w:type="dxa"/>
              <w:right w:w="15" w:type="dxa"/>
            </w:tcMar>
            <w:vAlign w:val="center"/>
          </w:tcPr>
          <w:p w14:paraId="558D69D5">
            <w:pPr>
              <w:rPr>
                <w:rFonts w:cs="仿宋" w:asciiTheme="majorEastAsia" w:hAnsiTheme="majorEastAsia" w:eastAsiaTheme="majorEastAsia"/>
                <w:color w:val="auto"/>
                <w:sz w:val="24"/>
                <w:highlight w:val="none"/>
              </w:rPr>
            </w:pPr>
          </w:p>
        </w:tc>
      </w:tr>
      <w:tr w14:paraId="6A04B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exact"/>
          <w:jc w:val="center"/>
        </w:trPr>
        <w:tc>
          <w:tcPr>
            <w:tcW w:w="1223" w:type="dxa"/>
            <w:vMerge w:val="continue"/>
            <w:tcMar>
              <w:top w:w="15" w:type="dxa"/>
              <w:left w:w="15" w:type="dxa"/>
              <w:bottom w:w="15" w:type="dxa"/>
              <w:right w:w="15" w:type="dxa"/>
            </w:tcMar>
            <w:vAlign w:val="center"/>
          </w:tcPr>
          <w:p w14:paraId="5B07E4E5">
            <w:pPr>
              <w:rPr>
                <w:rFonts w:cs="仿宋" w:asciiTheme="majorEastAsia" w:hAnsiTheme="majorEastAsia" w:eastAsiaTheme="majorEastAsia"/>
                <w:color w:val="auto"/>
                <w:sz w:val="24"/>
                <w:highlight w:val="none"/>
              </w:rPr>
            </w:pPr>
          </w:p>
        </w:tc>
        <w:tc>
          <w:tcPr>
            <w:tcW w:w="5804" w:type="dxa"/>
            <w:gridSpan w:val="4"/>
            <w:tcMar>
              <w:top w:w="15" w:type="dxa"/>
              <w:left w:w="15" w:type="dxa"/>
              <w:bottom w:w="15" w:type="dxa"/>
              <w:right w:w="15" w:type="dxa"/>
            </w:tcMar>
            <w:vAlign w:val="center"/>
          </w:tcPr>
          <w:p w14:paraId="760B6279">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每天开展消防安全巡查和食品安全巡查，并有记录。</w:t>
            </w:r>
          </w:p>
        </w:tc>
        <w:tc>
          <w:tcPr>
            <w:tcW w:w="877" w:type="dxa"/>
            <w:gridSpan w:val="2"/>
            <w:vAlign w:val="center"/>
          </w:tcPr>
          <w:p w14:paraId="12535CBB">
            <w:pPr>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930" w:type="dxa"/>
            <w:gridSpan w:val="2"/>
            <w:tcMar>
              <w:top w:w="15" w:type="dxa"/>
              <w:left w:w="15" w:type="dxa"/>
              <w:bottom w:w="15" w:type="dxa"/>
              <w:right w:w="15" w:type="dxa"/>
            </w:tcMar>
            <w:vAlign w:val="center"/>
          </w:tcPr>
          <w:p w14:paraId="61C984D9">
            <w:pPr>
              <w:rPr>
                <w:rFonts w:cs="仿宋" w:asciiTheme="majorEastAsia" w:hAnsiTheme="majorEastAsia" w:eastAsiaTheme="majorEastAsia"/>
                <w:color w:val="auto"/>
                <w:sz w:val="24"/>
                <w:highlight w:val="none"/>
              </w:rPr>
            </w:pPr>
          </w:p>
        </w:tc>
      </w:tr>
      <w:tr w14:paraId="3E65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exact"/>
          <w:jc w:val="center"/>
        </w:trPr>
        <w:tc>
          <w:tcPr>
            <w:tcW w:w="1223" w:type="dxa"/>
            <w:vMerge w:val="continue"/>
            <w:tcMar>
              <w:top w:w="15" w:type="dxa"/>
              <w:left w:w="15" w:type="dxa"/>
              <w:bottom w:w="15" w:type="dxa"/>
              <w:right w:w="15" w:type="dxa"/>
            </w:tcMar>
            <w:vAlign w:val="center"/>
          </w:tcPr>
          <w:p w14:paraId="77A56BD1">
            <w:pPr>
              <w:rPr>
                <w:rFonts w:cs="仿宋" w:asciiTheme="majorEastAsia" w:hAnsiTheme="majorEastAsia" w:eastAsiaTheme="majorEastAsia"/>
                <w:color w:val="auto"/>
                <w:sz w:val="24"/>
                <w:highlight w:val="none"/>
              </w:rPr>
            </w:pPr>
          </w:p>
        </w:tc>
        <w:tc>
          <w:tcPr>
            <w:tcW w:w="5804" w:type="dxa"/>
            <w:gridSpan w:val="4"/>
            <w:tcMar>
              <w:top w:w="15" w:type="dxa"/>
              <w:left w:w="15" w:type="dxa"/>
              <w:bottom w:w="15" w:type="dxa"/>
              <w:right w:w="15" w:type="dxa"/>
            </w:tcMar>
            <w:vAlign w:val="center"/>
          </w:tcPr>
          <w:p w14:paraId="628B475F">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建立老年人信息档案、活动服务需求档案；规范各类服务台账；每月对中心服务和上门服务开展督导；每月开展服务人员培训教育；每季度形成优秀服务案例并上报；每季度与老年人代表、村社、镇街召开一次多方会议，反馈服务效果，听取意见建议，并有记录。</w:t>
            </w:r>
          </w:p>
        </w:tc>
        <w:tc>
          <w:tcPr>
            <w:tcW w:w="877" w:type="dxa"/>
            <w:gridSpan w:val="2"/>
            <w:vAlign w:val="center"/>
          </w:tcPr>
          <w:p w14:paraId="50AD1F62">
            <w:pPr>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930" w:type="dxa"/>
            <w:gridSpan w:val="2"/>
            <w:tcMar>
              <w:top w:w="15" w:type="dxa"/>
              <w:left w:w="15" w:type="dxa"/>
              <w:bottom w:w="15" w:type="dxa"/>
              <w:right w:w="15" w:type="dxa"/>
            </w:tcMar>
            <w:vAlign w:val="center"/>
          </w:tcPr>
          <w:p w14:paraId="1B643A56">
            <w:pPr>
              <w:rPr>
                <w:rFonts w:cs="仿宋" w:asciiTheme="majorEastAsia" w:hAnsiTheme="majorEastAsia" w:eastAsiaTheme="majorEastAsia"/>
                <w:color w:val="auto"/>
                <w:sz w:val="24"/>
                <w:highlight w:val="none"/>
              </w:rPr>
            </w:pPr>
          </w:p>
        </w:tc>
      </w:tr>
      <w:tr w14:paraId="7482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exact"/>
          <w:jc w:val="center"/>
        </w:trPr>
        <w:tc>
          <w:tcPr>
            <w:tcW w:w="1223" w:type="dxa"/>
            <w:vMerge w:val="restart"/>
            <w:tcMar>
              <w:top w:w="15" w:type="dxa"/>
              <w:left w:w="15" w:type="dxa"/>
              <w:bottom w:w="15" w:type="dxa"/>
              <w:right w:w="15" w:type="dxa"/>
            </w:tcMar>
            <w:vAlign w:val="center"/>
          </w:tcPr>
          <w:p w14:paraId="7650DBE3">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个性化服务质量要求（10）</w:t>
            </w:r>
          </w:p>
        </w:tc>
        <w:tc>
          <w:tcPr>
            <w:tcW w:w="5804" w:type="dxa"/>
            <w:gridSpan w:val="4"/>
            <w:tcMar>
              <w:top w:w="15" w:type="dxa"/>
              <w:left w:w="15" w:type="dxa"/>
              <w:bottom w:w="15" w:type="dxa"/>
              <w:right w:w="15" w:type="dxa"/>
            </w:tcMar>
            <w:vAlign w:val="center"/>
          </w:tcPr>
          <w:p w14:paraId="12EAADF7">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服务照片跟服务内容相符，照片清晰，能够体现具体服务内容，发现三张以上不符合要求照片，此项不得分</w:t>
            </w:r>
          </w:p>
        </w:tc>
        <w:tc>
          <w:tcPr>
            <w:tcW w:w="877" w:type="dxa"/>
            <w:gridSpan w:val="2"/>
            <w:vAlign w:val="center"/>
          </w:tcPr>
          <w:p w14:paraId="5EE69DFC">
            <w:pPr>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p>
        </w:tc>
        <w:tc>
          <w:tcPr>
            <w:tcW w:w="930" w:type="dxa"/>
            <w:gridSpan w:val="2"/>
            <w:tcMar>
              <w:top w:w="15" w:type="dxa"/>
              <w:left w:w="15" w:type="dxa"/>
              <w:bottom w:w="15" w:type="dxa"/>
              <w:right w:w="15" w:type="dxa"/>
            </w:tcMar>
            <w:vAlign w:val="center"/>
          </w:tcPr>
          <w:p w14:paraId="489601CA">
            <w:pPr>
              <w:rPr>
                <w:rFonts w:cs="仿宋" w:asciiTheme="majorEastAsia" w:hAnsiTheme="majorEastAsia" w:eastAsiaTheme="majorEastAsia"/>
                <w:color w:val="auto"/>
                <w:sz w:val="24"/>
                <w:highlight w:val="none"/>
              </w:rPr>
            </w:pPr>
          </w:p>
        </w:tc>
      </w:tr>
      <w:tr w14:paraId="67E1B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exact"/>
          <w:jc w:val="center"/>
        </w:trPr>
        <w:tc>
          <w:tcPr>
            <w:tcW w:w="1223" w:type="dxa"/>
            <w:vMerge w:val="continue"/>
            <w:tcMar>
              <w:top w:w="15" w:type="dxa"/>
              <w:left w:w="15" w:type="dxa"/>
              <w:bottom w:w="15" w:type="dxa"/>
              <w:right w:w="15" w:type="dxa"/>
            </w:tcMar>
            <w:vAlign w:val="center"/>
          </w:tcPr>
          <w:p w14:paraId="15D3F0A3">
            <w:pPr>
              <w:rPr>
                <w:rFonts w:cs="仿宋" w:asciiTheme="majorEastAsia" w:hAnsiTheme="majorEastAsia" w:eastAsiaTheme="majorEastAsia"/>
                <w:color w:val="auto"/>
                <w:sz w:val="24"/>
                <w:highlight w:val="none"/>
              </w:rPr>
            </w:pPr>
          </w:p>
        </w:tc>
        <w:tc>
          <w:tcPr>
            <w:tcW w:w="5804" w:type="dxa"/>
            <w:gridSpan w:val="4"/>
            <w:tcMar>
              <w:top w:w="15" w:type="dxa"/>
              <w:left w:w="15" w:type="dxa"/>
              <w:bottom w:w="15" w:type="dxa"/>
              <w:right w:w="15" w:type="dxa"/>
            </w:tcMar>
            <w:vAlign w:val="center"/>
          </w:tcPr>
          <w:p w14:paraId="757601C3">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出现一次有效投诉扣0.5分，扣完为止 </w:t>
            </w:r>
          </w:p>
        </w:tc>
        <w:tc>
          <w:tcPr>
            <w:tcW w:w="877" w:type="dxa"/>
            <w:gridSpan w:val="2"/>
            <w:vAlign w:val="center"/>
          </w:tcPr>
          <w:p w14:paraId="5DFB035D">
            <w:pPr>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930" w:type="dxa"/>
            <w:gridSpan w:val="2"/>
            <w:tcMar>
              <w:top w:w="15" w:type="dxa"/>
              <w:left w:w="15" w:type="dxa"/>
              <w:bottom w:w="15" w:type="dxa"/>
              <w:right w:w="15" w:type="dxa"/>
            </w:tcMar>
            <w:vAlign w:val="center"/>
          </w:tcPr>
          <w:p w14:paraId="035571D2">
            <w:pPr>
              <w:rPr>
                <w:rFonts w:cs="仿宋" w:asciiTheme="majorEastAsia" w:hAnsiTheme="majorEastAsia" w:eastAsiaTheme="majorEastAsia"/>
                <w:color w:val="auto"/>
                <w:sz w:val="24"/>
                <w:highlight w:val="none"/>
              </w:rPr>
            </w:pPr>
          </w:p>
        </w:tc>
      </w:tr>
      <w:tr w14:paraId="0823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exact"/>
          <w:jc w:val="center"/>
        </w:trPr>
        <w:tc>
          <w:tcPr>
            <w:tcW w:w="1223" w:type="dxa"/>
            <w:vMerge w:val="continue"/>
            <w:tcMar>
              <w:top w:w="15" w:type="dxa"/>
              <w:left w:w="15" w:type="dxa"/>
              <w:bottom w:w="15" w:type="dxa"/>
              <w:right w:w="15" w:type="dxa"/>
            </w:tcMar>
            <w:vAlign w:val="center"/>
          </w:tcPr>
          <w:p w14:paraId="38A17A6A">
            <w:pPr>
              <w:rPr>
                <w:rFonts w:cs="仿宋" w:asciiTheme="majorEastAsia" w:hAnsiTheme="majorEastAsia" w:eastAsiaTheme="majorEastAsia"/>
                <w:color w:val="auto"/>
                <w:sz w:val="24"/>
                <w:highlight w:val="none"/>
              </w:rPr>
            </w:pPr>
          </w:p>
        </w:tc>
        <w:tc>
          <w:tcPr>
            <w:tcW w:w="5804" w:type="dxa"/>
            <w:gridSpan w:val="4"/>
            <w:tcMar>
              <w:top w:w="15" w:type="dxa"/>
              <w:left w:w="15" w:type="dxa"/>
              <w:bottom w:w="15" w:type="dxa"/>
              <w:right w:w="15" w:type="dxa"/>
            </w:tcMar>
            <w:vAlign w:val="center"/>
          </w:tcPr>
          <w:p w14:paraId="2A169956">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出现虚假工单、刷单（服务时长、服务时间不符合常理，同一服务照片反复使用等），一条工单扣一分，扣完为止</w:t>
            </w:r>
          </w:p>
        </w:tc>
        <w:tc>
          <w:tcPr>
            <w:tcW w:w="877" w:type="dxa"/>
            <w:gridSpan w:val="2"/>
            <w:vAlign w:val="center"/>
          </w:tcPr>
          <w:p w14:paraId="687CFF98">
            <w:pPr>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w:t>
            </w:r>
          </w:p>
        </w:tc>
        <w:tc>
          <w:tcPr>
            <w:tcW w:w="930" w:type="dxa"/>
            <w:gridSpan w:val="2"/>
            <w:tcMar>
              <w:top w:w="15" w:type="dxa"/>
              <w:left w:w="15" w:type="dxa"/>
              <w:bottom w:w="15" w:type="dxa"/>
              <w:right w:w="15" w:type="dxa"/>
            </w:tcMar>
            <w:vAlign w:val="center"/>
          </w:tcPr>
          <w:p w14:paraId="6148B710">
            <w:pPr>
              <w:rPr>
                <w:rFonts w:cs="仿宋" w:asciiTheme="majorEastAsia" w:hAnsiTheme="majorEastAsia" w:eastAsiaTheme="majorEastAsia"/>
                <w:color w:val="auto"/>
                <w:sz w:val="24"/>
                <w:highlight w:val="none"/>
              </w:rPr>
            </w:pPr>
          </w:p>
        </w:tc>
      </w:tr>
      <w:tr w14:paraId="4661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exact"/>
          <w:jc w:val="center"/>
        </w:trPr>
        <w:tc>
          <w:tcPr>
            <w:tcW w:w="1223" w:type="dxa"/>
            <w:vMerge w:val="restart"/>
            <w:tcMar>
              <w:top w:w="15" w:type="dxa"/>
              <w:left w:w="15" w:type="dxa"/>
              <w:bottom w:w="15" w:type="dxa"/>
              <w:right w:w="15" w:type="dxa"/>
            </w:tcMar>
            <w:vAlign w:val="center"/>
          </w:tcPr>
          <w:p w14:paraId="3254A841">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满意度调查（4分）</w:t>
            </w:r>
          </w:p>
        </w:tc>
        <w:tc>
          <w:tcPr>
            <w:tcW w:w="5804" w:type="dxa"/>
            <w:gridSpan w:val="4"/>
            <w:tcMar>
              <w:top w:w="15" w:type="dxa"/>
              <w:left w:w="15" w:type="dxa"/>
              <w:bottom w:w="15" w:type="dxa"/>
              <w:right w:w="15" w:type="dxa"/>
            </w:tcMar>
            <w:vAlign w:val="center"/>
          </w:tcPr>
          <w:p w14:paraId="17588634">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抽样调查老年人或其家属满意度达到90%及以上</w:t>
            </w:r>
          </w:p>
        </w:tc>
        <w:tc>
          <w:tcPr>
            <w:tcW w:w="877" w:type="dxa"/>
            <w:gridSpan w:val="2"/>
            <w:vAlign w:val="center"/>
          </w:tcPr>
          <w:p w14:paraId="4B213C9B">
            <w:pPr>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930" w:type="dxa"/>
            <w:gridSpan w:val="2"/>
            <w:tcMar>
              <w:top w:w="15" w:type="dxa"/>
              <w:left w:w="15" w:type="dxa"/>
              <w:bottom w:w="15" w:type="dxa"/>
              <w:right w:w="15" w:type="dxa"/>
            </w:tcMar>
            <w:vAlign w:val="center"/>
          </w:tcPr>
          <w:p w14:paraId="700B5A77">
            <w:pPr>
              <w:rPr>
                <w:rFonts w:cs="仿宋" w:asciiTheme="majorEastAsia" w:hAnsiTheme="majorEastAsia" w:eastAsiaTheme="majorEastAsia"/>
                <w:color w:val="auto"/>
                <w:sz w:val="24"/>
                <w:highlight w:val="none"/>
              </w:rPr>
            </w:pPr>
          </w:p>
        </w:tc>
      </w:tr>
      <w:tr w14:paraId="751D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exact"/>
          <w:jc w:val="center"/>
        </w:trPr>
        <w:tc>
          <w:tcPr>
            <w:tcW w:w="1223" w:type="dxa"/>
            <w:vMerge w:val="continue"/>
            <w:tcMar>
              <w:top w:w="15" w:type="dxa"/>
              <w:left w:w="15" w:type="dxa"/>
              <w:bottom w:w="15" w:type="dxa"/>
              <w:right w:w="15" w:type="dxa"/>
            </w:tcMar>
            <w:vAlign w:val="center"/>
          </w:tcPr>
          <w:p w14:paraId="19F79A35">
            <w:pPr>
              <w:rPr>
                <w:rFonts w:cs="仿宋" w:asciiTheme="majorEastAsia" w:hAnsiTheme="majorEastAsia" w:eastAsiaTheme="majorEastAsia"/>
                <w:color w:val="auto"/>
                <w:sz w:val="24"/>
                <w:highlight w:val="none"/>
              </w:rPr>
            </w:pPr>
          </w:p>
        </w:tc>
        <w:tc>
          <w:tcPr>
            <w:tcW w:w="5804" w:type="dxa"/>
            <w:gridSpan w:val="4"/>
            <w:tcMar>
              <w:top w:w="15" w:type="dxa"/>
              <w:left w:w="15" w:type="dxa"/>
              <w:bottom w:w="15" w:type="dxa"/>
              <w:right w:w="15" w:type="dxa"/>
            </w:tcMar>
            <w:vAlign w:val="center"/>
          </w:tcPr>
          <w:p w14:paraId="04EF2943">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镇民政干部、村（社区）干部满意度达到90%及以上</w:t>
            </w:r>
          </w:p>
        </w:tc>
        <w:tc>
          <w:tcPr>
            <w:tcW w:w="877" w:type="dxa"/>
            <w:gridSpan w:val="2"/>
            <w:vAlign w:val="center"/>
          </w:tcPr>
          <w:p w14:paraId="506F3B8E">
            <w:pPr>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930" w:type="dxa"/>
            <w:gridSpan w:val="2"/>
            <w:tcMar>
              <w:top w:w="15" w:type="dxa"/>
              <w:left w:w="15" w:type="dxa"/>
              <w:bottom w:w="15" w:type="dxa"/>
              <w:right w:w="15" w:type="dxa"/>
            </w:tcMar>
            <w:vAlign w:val="center"/>
          </w:tcPr>
          <w:p w14:paraId="15BE0E30">
            <w:pPr>
              <w:rPr>
                <w:rFonts w:cs="仿宋" w:asciiTheme="majorEastAsia" w:hAnsiTheme="majorEastAsia" w:eastAsiaTheme="majorEastAsia"/>
                <w:color w:val="auto"/>
                <w:sz w:val="24"/>
                <w:highlight w:val="none"/>
              </w:rPr>
            </w:pPr>
          </w:p>
        </w:tc>
      </w:tr>
      <w:tr w14:paraId="7F81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exact"/>
          <w:jc w:val="center"/>
        </w:trPr>
        <w:tc>
          <w:tcPr>
            <w:tcW w:w="1223" w:type="dxa"/>
            <w:vMerge w:val="continue"/>
            <w:tcMar>
              <w:top w:w="15" w:type="dxa"/>
              <w:left w:w="15" w:type="dxa"/>
              <w:bottom w:w="15" w:type="dxa"/>
              <w:right w:w="15" w:type="dxa"/>
            </w:tcMar>
            <w:vAlign w:val="center"/>
          </w:tcPr>
          <w:p w14:paraId="7D635848">
            <w:pPr>
              <w:rPr>
                <w:rFonts w:cs="仿宋" w:asciiTheme="majorEastAsia" w:hAnsiTheme="majorEastAsia" w:eastAsiaTheme="majorEastAsia"/>
                <w:color w:val="auto"/>
                <w:sz w:val="24"/>
                <w:highlight w:val="none"/>
              </w:rPr>
            </w:pPr>
          </w:p>
        </w:tc>
        <w:tc>
          <w:tcPr>
            <w:tcW w:w="5804" w:type="dxa"/>
            <w:gridSpan w:val="4"/>
            <w:tcMar>
              <w:top w:w="15" w:type="dxa"/>
              <w:left w:w="15" w:type="dxa"/>
              <w:bottom w:w="15" w:type="dxa"/>
              <w:right w:w="15" w:type="dxa"/>
            </w:tcMar>
            <w:vAlign w:val="center"/>
          </w:tcPr>
          <w:p w14:paraId="7FDA3F50">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回访时发现服务对象的地址电话未及时更新的，发现一次扣0.2分，扣完为止。</w:t>
            </w:r>
          </w:p>
        </w:tc>
        <w:tc>
          <w:tcPr>
            <w:tcW w:w="877" w:type="dxa"/>
            <w:gridSpan w:val="2"/>
            <w:vAlign w:val="center"/>
          </w:tcPr>
          <w:p w14:paraId="79A158A7">
            <w:pPr>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p>
        </w:tc>
        <w:tc>
          <w:tcPr>
            <w:tcW w:w="930" w:type="dxa"/>
            <w:gridSpan w:val="2"/>
            <w:tcMar>
              <w:top w:w="15" w:type="dxa"/>
              <w:left w:w="15" w:type="dxa"/>
              <w:bottom w:w="15" w:type="dxa"/>
              <w:right w:w="15" w:type="dxa"/>
            </w:tcMar>
            <w:vAlign w:val="center"/>
          </w:tcPr>
          <w:p w14:paraId="4E7B024D">
            <w:pPr>
              <w:rPr>
                <w:rFonts w:cs="仿宋" w:asciiTheme="majorEastAsia" w:hAnsiTheme="majorEastAsia" w:eastAsiaTheme="majorEastAsia"/>
                <w:color w:val="auto"/>
                <w:sz w:val="24"/>
                <w:highlight w:val="none"/>
              </w:rPr>
            </w:pPr>
          </w:p>
        </w:tc>
      </w:tr>
      <w:tr w14:paraId="7ED0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7904" w:type="dxa"/>
            <w:gridSpan w:val="7"/>
            <w:tcMar>
              <w:top w:w="15" w:type="dxa"/>
              <w:left w:w="15" w:type="dxa"/>
              <w:bottom w:w="15" w:type="dxa"/>
              <w:right w:w="15" w:type="dxa"/>
            </w:tcMar>
            <w:vAlign w:val="center"/>
          </w:tcPr>
          <w:p w14:paraId="1DD2A740">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小计</w:t>
            </w:r>
          </w:p>
        </w:tc>
        <w:tc>
          <w:tcPr>
            <w:tcW w:w="930" w:type="dxa"/>
            <w:gridSpan w:val="2"/>
            <w:tcMar>
              <w:top w:w="15" w:type="dxa"/>
              <w:left w:w="15" w:type="dxa"/>
              <w:bottom w:w="15" w:type="dxa"/>
              <w:right w:w="15" w:type="dxa"/>
            </w:tcMar>
            <w:vAlign w:val="center"/>
          </w:tcPr>
          <w:p w14:paraId="340493D1">
            <w:pPr>
              <w:rPr>
                <w:rFonts w:cs="仿宋" w:asciiTheme="majorEastAsia" w:hAnsiTheme="majorEastAsia" w:eastAsiaTheme="majorEastAsia"/>
                <w:color w:val="auto"/>
                <w:sz w:val="24"/>
                <w:highlight w:val="none"/>
              </w:rPr>
            </w:pPr>
          </w:p>
        </w:tc>
      </w:tr>
      <w:tr w14:paraId="13D24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jc w:val="center"/>
        </w:trPr>
        <w:tc>
          <w:tcPr>
            <w:tcW w:w="0" w:type="auto"/>
            <w:gridSpan w:val="9"/>
            <w:tcMar>
              <w:top w:w="15" w:type="dxa"/>
              <w:left w:w="15" w:type="dxa"/>
              <w:bottom w:w="15" w:type="dxa"/>
              <w:right w:w="15" w:type="dxa"/>
            </w:tcMar>
            <w:vAlign w:val="center"/>
          </w:tcPr>
          <w:p w14:paraId="7D41E935">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考核总分</w:t>
            </w:r>
          </w:p>
        </w:tc>
      </w:tr>
      <w:tr w14:paraId="2B42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exact"/>
          <w:jc w:val="center"/>
        </w:trPr>
        <w:tc>
          <w:tcPr>
            <w:tcW w:w="2128" w:type="dxa"/>
            <w:gridSpan w:val="2"/>
            <w:tcMar>
              <w:top w:w="15" w:type="dxa"/>
              <w:left w:w="15" w:type="dxa"/>
              <w:bottom w:w="15" w:type="dxa"/>
              <w:right w:w="15" w:type="dxa"/>
            </w:tcMar>
            <w:vAlign w:val="center"/>
          </w:tcPr>
          <w:p w14:paraId="374D474C">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基础性服务</w:t>
            </w:r>
          </w:p>
        </w:tc>
        <w:tc>
          <w:tcPr>
            <w:tcW w:w="2103" w:type="dxa"/>
            <w:vAlign w:val="center"/>
          </w:tcPr>
          <w:p w14:paraId="39336F06">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个性化服务</w:t>
            </w:r>
          </w:p>
        </w:tc>
        <w:tc>
          <w:tcPr>
            <w:tcW w:w="2103" w:type="dxa"/>
            <w:vAlign w:val="center"/>
          </w:tcPr>
          <w:p w14:paraId="56E18091">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综合管理</w:t>
            </w:r>
          </w:p>
        </w:tc>
        <w:tc>
          <w:tcPr>
            <w:tcW w:w="2500" w:type="dxa"/>
            <w:gridSpan w:val="5"/>
            <w:tcMar>
              <w:top w:w="15" w:type="dxa"/>
              <w:left w:w="15" w:type="dxa"/>
              <w:bottom w:w="15" w:type="dxa"/>
              <w:right w:w="15" w:type="dxa"/>
            </w:tcMar>
            <w:vAlign w:val="center"/>
          </w:tcPr>
          <w:p w14:paraId="3178F226">
            <w:pP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合计</w:t>
            </w:r>
          </w:p>
        </w:tc>
      </w:tr>
      <w:tr w14:paraId="33AA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exact"/>
          <w:jc w:val="center"/>
        </w:trPr>
        <w:tc>
          <w:tcPr>
            <w:tcW w:w="2128" w:type="dxa"/>
            <w:gridSpan w:val="2"/>
            <w:tcMar>
              <w:top w:w="15" w:type="dxa"/>
              <w:left w:w="15" w:type="dxa"/>
              <w:bottom w:w="15" w:type="dxa"/>
              <w:right w:w="15" w:type="dxa"/>
            </w:tcMar>
            <w:vAlign w:val="center"/>
          </w:tcPr>
          <w:p w14:paraId="4F902EFE">
            <w:pPr>
              <w:rPr>
                <w:rFonts w:cs="仿宋" w:asciiTheme="majorEastAsia" w:hAnsiTheme="majorEastAsia" w:eastAsiaTheme="majorEastAsia"/>
                <w:color w:val="auto"/>
                <w:sz w:val="24"/>
                <w:highlight w:val="none"/>
              </w:rPr>
            </w:pPr>
          </w:p>
        </w:tc>
        <w:tc>
          <w:tcPr>
            <w:tcW w:w="2103" w:type="dxa"/>
            <w:vAlign w:val="center"/>
          </w:tcPr>
          <w:p w14:paraId="1741EBDC">
            <w:pPr>
              <w:rPr>
                <w:rFonts w:cs="仿宋" w:asciiTheme="majorEastAsia" w:hAnsiTheme="majorEastAsia" w:eastAsiaTheme="majorEastAsia"/>
                <w:color w:val="auto"/>
                <w:sz w:val="24"/>
                <w:highlight w:val="none"/>
              </w:rPr>
            </w:pPr>
          </w:p>
        </w:tc>
        <w:tc>
          <w:tcPr>
            <w:tcW w:w="2103" w:type="dxa"/>
            <w:vAlign w:val="center"/>
          </w:tcPr>
          <w:p w14:paraId="289BEAB0">
            <w:pPr>
              <w:rPr>
                <w:rFonts w:cs="仿宋" w:asciiTheme="majorEastAsia" w:hAnsiTheme="majorEastAsia" w:eastAsiaTheme="majorEastAsia"/>
                <w:color w:val="auto"/>
                <w:sz w:val="24"/>
                <w:highlight w:val="none"/>
              </w:rPr>
            </w:pPr>
          </w:p>
        </w:tc>
        <w:tc>
          <w:tcPr>
            <w:tcW w:w="2500" w:type="dxa"/>
            <w:gridSpan w:val="5"/>
            <w:tcMar>
              <w:top w:w="15" w:type="dxa"/>
              <w:left w:w="15" w:type="dxa"/>
              <w:bottom w:w="15" w:type="dxa"/>
              <w:right w:w="15" w:type="dxa"/>
            </w:tcMar>
            <w:vAlign w:val="center"/>
          </w:tcPr>
          <w:p w14:paraId="77C3C5D3">
            <w:pPr>
              <w:rPr>
                <w:rFonts w:cs="仿宋" w:asciiTheme="majorEastAsia" w:hAnsiTheme="majorEastAsia" w:eastAsiaTheme="majorEastAsia"/>
                <w:color w:val="auto"/>
                <w:sz w:val="24"/>
                <w:highlight w:val="none"/>
              </w:rPr>
            </w:pPr>
          </w:p>
        </w:tc>
      </w:tr>
    </w:tbl>
    <w:p w14:paraId="36A0B860">
      <w:pPr>
        <w:spacing w:line="560" w:lineRule="exact"/>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居家养老服务（照料）中心考核在项目实施过程中根据政策文件及实际服务情况适时调整，实际考核内容以每年考核办法为准。</w:t>
      </w:r>
    </w:p>
    <w:p w14:paraId="52D82294">
      <w:pPr>
        <w:pStyle w:val="2"/>
        <w:ind w:firstLine="240"/>
        <w:rPr>
          <w:rFonts w:asciiTheme="majorEastAsia" w:hAnsiTheme="majorEastAsia" w:eastAsiaTheme="majorEastAsia"/>
          <w:color w:val="auto"/>
          <w:highlight w:val="none"/>
        </w:rPr>
      </w:pPr>
    </w:p>
    <w:p w14:paraId="6A62D14A">
      <w:pPr>
        <w:pStyle w:val="2"/>
        <w:ind w:firstLine="480" w:firstLineChars="200"/>
        <w:rPr>
          <w:rFonts w:cs="仿宋_GB2312" w:asciiTheme="majorEastAsia" w:hAnsiTheme="majorEastAsia" w:eastAsiaTheme="majorEastAsia"/>
          <w:color w:val="auto"/>
          <w:highlight w:val="none"/>
          <w:shd w:val="clear" w:color="auto" w:fill="FFFFFF"/>
          <w:lang w:bidi="ar"/>
        </w:rPr>
      </w:pPr>
      <w:r>
        <w:rPr>
          <w:rFonts w:hint="eastAsia" w:cs="仿宋_GB2312" w:asciiTheme="majorEastAsia" w:hAnsiTheme="majorEastAsia" w:eastAsiaTheme="majorEastAsia"/>
          <w:color w:val="auto"/>
          <w:highlight w:val="none"/>
          <w:shd w:val="clear" w:color="auto" w:fill="FFFFFF"/>
          <w:lang w:bidi="ar"/>
        </w:rPr>
        <w:t>5.</w:t>
      </w:r>
      <w:r>
        <w:rPr>
          <w:rFonts w:hint="eastAsia" w:cs="仿宋_GB2312" w:asciiTheme="majorEastAsia" w:hAnsiTheme="majorEastAsia" w:eastAsiaTheme="majorEastAsia"/>
          <w:color w:val="auto"/>
          <w:highlight w:val="none"/>
        </w:rPr>
        <w:t>助联体运营要求。</w:t>
      </w:r>
      <w:r>
        <w:rPr>
          <w:rFonts w:hint="eastAsia" w:cs="仿宋_GB2312" w:asciiTheme="majorEastAsia" w:hAnsiTheme="majorEastAsia" w:eastAsiaTheme="majorEastAsia"/>
          <w:color w:val="auto"/>
          <w:highlight w:val="none"/>
          <w:shd w:val="clear" w:color="auto" w:fill="FFFFFF"/>
          <w:lang w:bidi="ar"/>
        </w:rPr>
        <w:t>需求排摸：根据日常工作并结合村（社区）探访关爱，做好困难群众需求排摸，汇总后按月上报区级助联体。资源链接：做好在地资源链接服务困难群众，每季度服务人数至少占在册对象的20%。项目落地：每个乡镇（街道）至少打造一个特色品牌项目，按照每季度至少20%执行量进行实施。日常工作：做好社会救助政策宣传、业务咨询与服务转介等工作、协助乡镇（街道）社会事务办工作人员做好“浙有众扶”系统相关操作、积极配合区级助联体工作。</w:t>
      </w:r>
    </w:p>
    <w:p w14:paraId="3693EFFE">
      <w:pPr>
        <w:pStyle w:val="2"/>
        <w:ind w:firstLine="240"/>
        <w:rPr>
          <w:rFonts w:cs="仿宋_GB2312" w:asciiTheme="majorEastAsia" w:hAnsiTheme="majorEastAsia" w:eastAsiaTheme="majorEastAsia"/>
          <w:color w:val="auto"/>
          <w:highlight w:val="none"/>
          <w:shd w:val="clear" w:color="auto" w:fill="FFFFFF"/>
          <w:lang w:bidi="ar"/>
        </w:rPr>
      </w:pPr>
    </w:p>
    <w:p w14:paraId="22E73C9C">
      <w:pPr>
        <w:pStyle w:val="2"/>
        <w:ind w:firstLine="240"/>
        <w:rPr>
          <w:rFonts w:cs="仿宋_GB2312" w:asciiTheme="majorEastAsia" w:hAnsiTheme="majorEastAsia" w:eastAsiaTheme="majorEastAsia"/>
          <w:color w:val="auto"/>
          <w:highlight w:val="none"/>
          <w:shd w:val="clear" w:color="auto" w:fill="FFFFFF"/>
          <w:lang w:bidi="ar"/>
        </w:rPr>
      </w:pPr>
    </w:p>
    <w:p w14:paraId="0A3757BC">
      <w:pPr>
        <w:pStyle w:val="2"/>
        <w:ind w:firstLine="240"/>
        <w:rPr>
          <w:rFonts w:cs="仿宋_GB2312" w:asciiTheme="majorEastAsia" w:hAnsiTheme="majorEastAsia" w:eastAsiaTheme="majorEastAsia"/>
          <w:color w:val="auto"/>
          <w:highlight w:val="none"/>
          <w:shd w:val="clear" w:color="auto" w:fill="FFFFFF"/>
          <w:lang w:bidi="ar"/>
        </w:rPr>
      </w:pPr>
    </w:p>
    <w:p w14:paraId="5427412C">
      <w:pPr>
        <w:pStyle w:val="2"/>
        <w:ind w:firstLine="240"/>
        <w:rPr>
          <w:rFonts w:cs="仿宋_GB2312" w:asciiTheme="majorEastAsia" w:hAnsiTheme="majorEastAsia" w:eastAsiaTheme="majorEastAsia"/>
          <w:color w:val="auto"/>
          <w:highlight w:val="none"/>
          <w:shd w:val="clear" w:color="auto" w:fill="FFFFFF"/>
          <w:lang w:bidi="ar"/>
        </w:rPr>
      </w:pPr>
      <w:r>
        <w:rPr>
          <w:rFonts w:hint="eastAsia" w:cs="仿宋_GB2312" w:asciiTheme="majorEastAsia" w:hAnsiTheme="majorEastAsia" w:eastAsiaTheme="majorEastAsia"/>
          <w:color w:val="auto"/>
          <w:highlight w:val="none"/>
          <w:shd w:val="clear" w:color="auto" w:fill="FFFFFF"/>
          <w:lang w:bidi="ar"/>
        </w:rPr>
        <w:t>助联体点位：</w:t>
      </w:r>
    </w:p>
    <w:tbl>
      <w:tblPr>
        <w:tblStyle w:val="27"/>
        <w:tblW w:w="8320" w:type="dxa"/>
        <w:tblInd w:w="93" w:type="dxa"/>
        <w:tblLayout w:type="autofit"/>
        <w:tblCellMar>
          <w:top w:w="0" w:type="dxa"/>
          <w:left w:w="108" w:type="dxa"/>
          <w:bottom w:w="0" w:type="dxa"/>
          <w:right w:w="108" w:type="dxa"/>
        </w:tblCellMar>
      </w:tblPr>
      <w:tblGrid>
        <w:gridCol w:w="1292"/>
        <w:gridCol w:w="2185"/>
        <w:gridCol w:w="4843"/>
      </w:tblGrid>
      <w:tr w14:paraId="0F88E1AF">
        <w:tblPrEx>
          <w:tblCellMar>
            <w:top w:w="0" w:type="dxa"/>
            <w:left w:w="108" w:type="dxa"/>
            <w:bottom w:w="0" w:type="dxa"/>
            <w:right w:w="108" w:type="dxa"/>
          </w:tblCellMar>
        </w:tblPrEx>
        <w:trPr>
          <w:trHeight w:val="685" w:hRule="atLeast"/>
        </w:trPr>
        <w:tc>
          <w:tcPr>
            <w:tcW w:w="8320" w:type="dxa"/>
            <w:gridSpan w:val="3"/>
            <w:tcBorders>
              <w:top w:val="nil"/>
              <w:left w:val="nil"/>
              <w:bottom w:val="nil"/>
              <w:right w:val="nil"/>
            </w:tcBorders>
            <w:noWrap/>
            <w:vAlign w:val="center"/>
          </w:tcPr>
          <w:p w14:paraId="1086BD6B">
            <w:pPr>
              <w:widowControl/>
              <w:jc w:val="center"/>
              <w:textAlignment w:val="center"/>
              <w:rPr>
                <w:rFonts w:cs="宋体" w:asciiTheme="majorEastAsia" w:hAnsiTheme="majorEastAsia" w:eastAsiaTheme="majorEastAsia"/>
                <w:b/>
                <w:bCs/>
                <w:color w:val="auto"/>
                <w:sz w:val="24"/>
                <w:highlight w:val="none"/>
              </w:rPr>
            </w:pPr>
            <w:r>
              <w:rPr>
                <w:rFonts w:hint="eastAsia" w:cs="宋体" w:asciiTheme="majorEastAsia" w:hAnsiTheme="majorEastAsia" w:eastAsiaTheme="majorEastAsia"/>
                <w:b/>
                <w:bCs/>
                <w:color w:val="auto"/>
                <w:kern w:val="0"/>
                <w:sz w:val="24"/>
                <w:highlight w:val="none"/>
                <w:lang w:bidi="ar"/>
              </w:rPr>
              <w:t>乡镇街道助联体服务站</w:t>
            </w:r>
          </w:p>
        </w:tc>
      </w:tr>
      <w:tr w14:paraId="7B69BFDA">
        <w:tblPrEx>
          <w:tblCellMar>
            <w:top w:w="0" w:type="dxa"/>
            <w:left w:w="108" w:type="dxa"/>
            <w:bottom w:w="0" w:type="dxa"/>
            <w:right w:w="108" w:type="dxa"/>
          </w:tblCellMar>
        </w:tblPrEx>
        <w:trPr>
          <w:trHeight w:val="6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C0F6878">
            <w:pPr>
              <w:widowControl/>
              <w:jc w:val="center"/>
              <w:textAlignment w:val="center"/>
              <w:rPr>
                <w:rFonts w:cs="宋体" w:asciiTheme="majorEastAsia" w:hAnsiTheme="majorEastAsia" w:eastAsiaTheme="majorEastAsia"/>
                <w:b/>
                <w:bCs/>
                <w:color w:val="auto"/>
                <w:sz w:val="24"/>
                <w:highlight w:val="none"/>
              </w:rPr>
            </w:pPr>
            <w:r>
              <w:rPr>
                <w:rFonts w:hint="eastAsia" w:cs="宋体" w:asciiTheme="majorEastAsia" w:hAnsiTheme="majorEastAsia" w:eastAsiaTheme="majorEastAsia"/>
                <w:b/>
                <w:bCs/>
                <w:color w:val="auto"/>
                <w:kern w:val="0"/>
                <w:sz w:val="24"/>
                <w:highlight w:val="none"/>
                <w:lang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2B5C50">
            <w:pPr>
              <w:widowControl/>
              <w:jc w:val="center"/>
              <w:textAlignment w:val="center"/>
              <w:rPr>
                <w:rFonts w:cs="宋体" w:asciiTheme="majorEastAsia" w:hAnsiTheme="majorEastAsia" w:eastAsiaTheme="majorEastAsia"/>
                <w:b/>
                <w:bCs/>
                <w:color w:val="auto"/>
                <w:sz w:val="24"/>
                <w:highlight w:val="none"/>
              </w:rPr>
            </w:pPr>
            <w:r>
              <w:rPr>
                <w:rFonts w:hint="eastAsia" w:cs="宋体" w:asciiTheme="majorEastAsia" w:hAnsiTheme="majorEastAsia" w:eastAsiaTheme="majorEastAsia"/>
                <w:b/>
                <w:bCs/>
                <w:color w:val="auto"/>
                <w:kern w:val="0"/>
                <w:sz w:val="24"/>
                <w:highlight w:val="none"/>
                <w:lang w:bidi="ar"/>
              </w:rPr>
              <w:t>行政区划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3DA049">
            <w:pPr>
              <w:widowControl/>
              <w:jc w:val="center"/>
              <w:textAlignment w:val="center"/>
              <w:rPr>
                <w:rFonts w:cs="宋体" w:asciiTheme="majorEastAsia" w:hAnsiTheme="majorEastAsia" w:eastAsiaTheme="majorEastAsia"/>
                <w:b/>
                <w:bCs/>
                <w:color w:val="auto"/>
                <w:sz w:val="24"/>
                <w:highlight w:val="none"/>
              </w:rPr>
            </w:pPr>
            <w:r>
              <w:rPr>
                <w:rFonts w:hint="eastAsia" w:cs="宋体" w:asciiTheme="majorEastAsia" w:hAnsiTheme="majorEastAsia" w:eastAsiaTheme="majorEastAsia"/>
                <w:b/>
                <w:bCs/>
                <w:color w:val="auto"/>
                <w:kern w:val="0"/>
                <w:sz w:val="24"/>
                <w:highlight w:val="none"/>
                <w:lang w:bidi="ar"/>
              </w:rPr>
              <w:t>站点名称</w:t>
            </w:r>
          </w:p>
        </w:tc>
      </w:tr>
      <w:tr w14:paraId="39EE0902">
        <w:tblPrEx>
          <w:tblCellMar>
            <w:top w:w="0" w:type="dxa"/>
            <w:left w:w="108" w:type="dxa"/>
            <w:bottom w:w="0" w:type="dxa"/>
            <w:right w:w="108" w:type="dxa"/>
          </w:tblCellMar>
        </w:tblPrEx>
        <w:trPr>
          <w:trHeight w:val="6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37FAE66">
            <w:pPr>
              <w:widowControl/>
              <w:jc w:val="center"/>
              <w:textAlignment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kern w:val="0"/>
                <w:sz w:val="24"/>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A91176">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月河街道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9729EE">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月河街道助联体服务站</w:t>
            </w:r>
          </w:p>
        </w:tc>
      </w:tr>
      <w:tr w14:paraId="35F41E68">
        <w:tblPrEx>
          <w:tblCellMar>
            <w:top w:w="0" w:type="dxa"/>
            <w:left w:w="108" w:type="dxa"/>
            <w:bottom w:w="0" w:type="dxa"/>
            <w:right w:w="108" w:type="dxa"/>
          </w:tblCellMar>
        </w:tblPrEx>
        <w:trPr>
          <w:trHeight w:val="6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AE0D868">
            <w:pPr>
              <w:widowControl/>
              <w:jc w:val="center"/>
              <w:textAlignment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kern w:val="0"/>
                <w:sz w:val="24"/>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4780F9">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朝阳街道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2F0009">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朝阳街道助联体服务站</w:t>
            </w:r>
          </w:p>
        </w:tc>
      </w:tr>
      <w:tr w14:paraId="523A6C6C">
        <w:tblPrEx>
          <w:tblCellMar>
            <w:top w:w="0" w:type="dxa"/>
            <w:left w:w="108" w:type="dxa"/>
            <w:bottom w:w="0" w:type="dxa"/>
            <w:right w:w="108" w:type="dxa"/>
          </w:tblCellMar>
        </w:tblPrEx>
        <w:trPr>
          <w:trHeight w:val="6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F2E1729">
            <w:pPr>
              <w:widowControl/>
              <w:jc w:val="center"/>
              <w:textAlignment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kern w:val="0"/>
                <w:sz w:val="24"/>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1E22D9">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爱山街道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FDE9EA">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爱山街道助联体服务站</w:t>
            </w:r>
          </w:p>
        </w:tc>
      </w:tr>
      <w:tr w14:paraId="618AAACF">
        <w:tblPrEx>
          <w:tblCellMar>
            <w:top w:w="0" w:type="dxa"/>
            <w:left w:w="108" w:type="dxa"/>
            <w:bottom w:w="0" w:type="dxa"/>
            <w:right w:w="108" w:type="dxa"/>
          </w:tblCellMar>
        </w:tblPrEx>
        <w:trPr>
          <w:trHeight w:val="6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6DBA9DF">
            <w:pPr>
              <w:widowControl/>
              <w:jc w:val="center"/>
              <w:textAlignment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kern w:val="0"/>
                <w:sz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8CDFCB">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飞英街道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A79D0A">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飞英街道助联体服务站</w:t>
            </w:r>
          </w:p>
        </w:tc>
      </w:tr>
      <w:tr w14:paraId="423F9FC2">
        <w:tblPrEx>
          <w:tblCellMar>
            <w:top w:w="0" w:type="dxa"/>
            <w:left w:w="108" w:type="dxa"/>
            <w:bottom w:w="0" w:type="dxa"/>
            <w:right w:w="108" w:type="dxa"/>
          </w:tblCellMar>
        </w:tblPrEx>
        <w:trPr>
          <w:trHeight w:val="6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E765E90">
            <w:pPr>
              <w:widowControl/>
              <w:jc w:val="center"/>
              <w:textAlignment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kern w:val="0"/>
                <w:sz w:val="24"/>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8BC0B9">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龙泉街道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EB4EBE">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龙泉街道助联体服务站</w:t>
            </w:r>
          </w:p>
        </w:tc>
      </w:tr>
      <w:tr w14:paraId="21BAE516">
        <w:tblPrEx>
          <w:tblCellMar>
            <w:top w:w="0" w:type="dxa"/>
            <w:left w:w="108" w:type="dxa"/>
            <w:bottom w:w="0" w:type="dxa"/>
            <w:right w:w="108" w:type="dxa"/>
          </w:tblCellMar>
        </w:tblPrEx>
        <w:trPr>
          <w:trHeight w:val="6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86B84DE">
            <w:pPr>
              <w:widowControl/>
              <w:jc w:val="center"/>
              <w:textAlignment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kern w:val="0"/>
                <w:sz w:val="24"/>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71C6A2">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织里镇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8A5FCB">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织里镇助联体服务站</w:t>
            </w:r>
          </w:p>
        </w:tc>
      </w:tr>
      <w:tr w14:paraId="0160BB2F">
        <w:tblPrEx>
          <w:tblCellMar>
            <w:top w:w="0" w:type="dxa"/>
            <w:left w:w="108" w:type="dxa"/>
            <w:bottom w:w="0" w:type="dxa"/>
            <w:right w:w="108" w:type="dxa"/>
          </w:tblCellMar>
        </w:tblPrEx>
        <w:trPr>
          <w:trHeight w:val="6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9030308">
            <w:pPr>
              <w:widowControl/>
              <w:jc w:val="center"/>
              <w:textAlignment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kern w:val="0"/>
                <w:sz w:val="24"/>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311961">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八里店镇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35BE26">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八里店镇助联体服务站</w:t>
            </w:r>
          </w:p>
        </w:tc>
      </w:tr>
      <w:tr w14:paraId="6E0194EE">
        <w:tblPrEx>
          <w:tblCellMar>
            <w:top w:w="0" w:type="dxa"/>
            <w:left w:w="108" w:type="dxa"/>
            <w:bottom w:w="0" w:type="dxa"/>
            <w:right w:w="108" w:type="dxa"/>
          </w:tblCellMar>
        </w:tblPrEx>
        <w:trPr>
          <w:trHeight w:val="6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810040">
            <w:pPr>
              <w:widowControl/>
              <w:jc w:val="center"/>
              <w:textAlignment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kern w:val="0"/>
                <w:sz w:val="24"/>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4B4A0B">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环渚街道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6AC1A0">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环渚街道助联体服务站</w:t>
            </w:r>
          </w:p>
        </w:tc>
      </w:tr>
      <w:tr w14:paraId="33B05B86">
        <w:tblPrEx>
          <w:tblCellMar>
            <w:top w:w="0" w:type="dxa"/>
            <w:left w:w="108" w:type="dxa"/>
            <w:bottom w:w="0" w:type="dxa"/>
            <w:right w:w="108" w:type="dxa"/>
          </w:tblCellMar>
        </w:tblPrEx>
        <w:trPr>
          <w:trHeight w:val="6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A077C7A">
            <w:pPr>
              <w:widowControl/>
              <w:jc w:val="center"/>
              <w:textAlignment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kern w:val="0"/>
                <w:sz w:val="24"/>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5F4D62">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道场乡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2A997D">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道场乡助联体服务站</w:t>
            </w:r>
          </w:p>
        </w:tc>
      </w:tr>
      <w:tr w14:paraId="0AECA919">
        <w:tblPrEx>
          <w:tblCellMar>
            <w:top w:w="0" w:type="dxa"/>
            <w:left w:w="108" w:type="dxa"/>
            <w:bottom w:w="0" w:type="dxa"/>
            <w:right w:w="108" w:type="dxa"/>
          </w:tblCellMar>
        </w:tblPrEx>
        <w:trPr>
          <w:trHeight w:val="6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308BEEA">
            <w:pPr>
              <w:widowControl/>
              <w:jc w:val="center"/>
              <w:textAlignment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kern w:val="0"/>
                <w:sz w:val="24"/>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A2D35C">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妙西镇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7254B2">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妙西镇助联体服务站</w:t>
            </w:r>
          </w:p>
        </w:tc>
      </w:tr>
      <w:tr w14:paraId="7EA45638">
        <w:tblPrEx>
          <w:tblCellMar>
            <w:top w:w="0" w:type="dxa"/>
            <w:left w:w="108" w:type="dxa"/>
            <w:bottom w:w="0" w:type="dxa"/>
            <w:right w:w="108" w:type="dxa"/>
          </w:tblCellMar>
        </w:tblPrEx>
        <w:trPr>
          <w:trHeight w:val="6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D98B86C">
            <w:pPr>
              <w:widowControl/>
              <w:jc w:val="center"/>
              <w:textAlignment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kern w:val="0"/>
                <w:sz w:val="24"/>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84D4DC">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东林镇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043CDA">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东林镇助联体服务站</w:t>
            </w:r>
          </w:p>
        </w:tc>
      </w:tr>
      <w:tr w14:paraId="2C011CD5">
        <w:tblPrEx>
          <w:tblCellMar>
            <w:top w:w="0" w:type="dxa"/>
            <w:left w:w="108" w:type="dxa"/>
            <w:bottom w:w="0" w:type="dxa"/>
            <w:right w:w="108" w:type="dxa"/>
          </w:tblCellMar>
        </w:tblPrEx>
        <w:trPr>
          <w:trHeight w:val="6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E2B90CC">
            <w:pPr>
              <w:widowControl/>
              <w:jc w:val="center"/>
              <w:textAlignment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kern w:val="0"/>
                <w:sz w:val="24"/>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23EB97">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埭溪镇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C77B8B">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埭溪镇助联体服务站</w:t>
            </w:r>
          </w:p>
        </w:tc>
      </w:tr>
      <w:tr w14:paraId="56DE6DDD">
        <w:tblPrEx>
          <w:tblCellMar>
            <w:top w:w="0" w:type="dxa"/>
            <w:left w:w="108" w:type="dxa"/>
            <w:bottom w:w="0" w:type="dxa"/>
            <w:right w:w="108" w:type="dxa"/>
          </w:tblCellMar>
        </w:tblPrEx>
        <w:trPr>
          <w:trHeight w:val="6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DF7DBCD">
            <w:pPr>
              <w:widowControl/>
              <w:jc w:val="center"/>
              <w:textAlignment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kern w:val="0"/>
                <w:sz w:val="24"/>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C7D308">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高新区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468CED">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高新区助联体服务站</w:t>
            </w:r>
          </w:p>
        </w:tc>
      </w:tr>
      <w:tr w14:paraId="118E26EE">
        <w:tblPrEx>
          <w:tblCellMar>
            <w:top w:w="0" w:type="dxa"/>
            <w:left w:w="108" w:type="dxa"/>
            <w:bottom w:w="0" w:type="dxa"/>
            <w:right w:w="108" w:type="dxa"/>
          </w:tblCellMar>
        </w:tblPrEx>
        <w:trPr>
          <w:trHeight w:val="64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5DE28B3">
            <w:pPr>
              <w:widowControl/>
              <w:jc w:val="center"/>
              <w:textAlignment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kern w:val="0"/>
                <w:sz w:val="24"/>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3CD56E">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湖东街道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063ABF">
            <w:pPr>
              <w:widowControl/>
              <w:jc w:val="center"/>
              <w:textAlignment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bidi="ar"/>
              </w:rPr>
              <w:t>湖东街道助联体服务站</w:t>
            </w:r>
          </w:p>
        </w:tc>
      </w:tr>
    </w:tbl>
    <w:p w14:paraId="60EEE42E">
      <w:pPr>
        <w:pStyle w:val="2"/>
        <w:ind w:firstLine="0" w:firstLineChars="0"/>
        <w:rPr>
          <w:rFonts w:ascii="仿宋" w:hAnsi="仿宋" w:eastAsia="仿宋" w:cs="仿宋"/>
          <w:color w:val="auto"/>
          <w:highlight w:val="none"/>
        </w:rPr>
      </w:pPr>
    </w:p>
    <w:p w14:paraId="413E0791">
      <w:pPr>
        <w:snapToGrid w:val="0"/>
        <w:spacing w:line="360" w:lineRule="auto"/>
        <w:ind w:firstLine="482" w:firstLineChars="200"/>
        <w:outlineLvl w:val="1"/>
        <w:rPr>
          <w:color w:val="auto"/>
          <w:highlight w:val="none"/>
        </w:rPr>
      </w:pPr>
      <w:r>
        <w:rPr>
          <w:rFonts w:hint="eastAsia" w:ascii="宋体" w:hAnsi="宋体"/>
          <w:b/>
          <w:color w:val="auto"/>
          <w:sz w:val="24"/>
          <w:highlight w:val="none"/>
        </w:rPr>
        <w:t>六、商务要求</w:t>
      </w:r>
    </w:p>
    <w:tbl>
      <w:tblPr>
        <w:tblStyle w:val="27"/>
        <w:tblW w:w="10252" w:type="dxa"/>
        <w:tblInd w:w="6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47"/>
        <w:gridCol w:w="8505"/>
      </w:tblGrid>
      <w:tr w14:paraId="20360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747" w:type="dxa"/>
            <w:tcBorders>
              <w:top w:val="single" w:color="auto" w:sz="4" w:space="0"/>
              <w:left w:val="single" w:color="auto" w:sz="4" w:space="0"/>
              <w:bottom w:val="single" w:color="auto" w:sz="4" w:space="0"/>
              <w:right w:val="single" w:color="auto" w:sz="4" w:space="0"/>
            </w:tcBorders>
            <w:vAlign w:val="center"/>
          </w:tcPr>
          <w:p w14:paraId="60A2AD86">
            <w:pPr>
              <w:spacing w:line="480" w:lineRule="exact"/>
              <w:jc w:val="center"/>
              <w:rPr>
                <w:rFonts w:cs="仿宋_GB2312" w:asciiTheme="majorEastAsia" w:hAnsiTheme="majorEastAsia" w:eastAsiaTheme="majorEastAsia"/>
                <w:color w:val="auto"/>
                <w:sz w:val="24"/>
                <w:highlight w:val="none"/>
              </w:rPr>
            </w:pPr>
            <w:bookmarkStart w:id="36" w:name="_Hlk192152381"/>
            <w:r>
              <w:rPr>
                <w:rFonts w:hint="eastAsia" w:cs="仿宋_GB2312" w:asciiTheme="majorEastAsia" w:hAnsiTheme="majorEastAsia" w:eastAsiaTheme="majorEastAsia"/>
                <w:color w:val="auto"/>
                <w:sz w:val="24"/>
                <w:highlight w:val="none"/>
              </w:rPr>
              <w:t>服务期及地点</w:t>
            </w:r>
          </w:p>
        </w:tc>
        <w:tc>
          <w:tcPr>
            <w:tcW w:w="8505" w:type="dxa"/>
            <w:tcBorders>
              <w:top w:val="single" w:color="auto" w:sz="4" w:space="0"/>
              <w:left w:val="single" w:color="auto" w:sz="4" w:space="0"/>
              <w:bottom w:val="single" w:color="auto" w:sz="4" w:space="0"/>
              <w:right w:val="single" w:color="auto" w:sz="4" w:space="0"/>
            </w:tcBorders>
          </w:tcPr>
          <w:p w14:paraId="78D6B86B">
            <w:pPr>
              <w:spacing w:line="560" w:lineRule="exac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▲服务期：3年（具体起始日期以合同签订为准）</w:t>
            </w:r>
          </w:p>
          <w:p w14:paraId="60A0BFB1">
            <w:pPr>
              <w:spacing w:line="560" w:lineRule="exac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地点：</w:t>
            </w:r>
            <w:bookmarkStart w:id="37" w:name="OLE_LINK127"/>
            <w:r>
              <w:rPr>
                <w:rFonts w:hint="eastAsia" w:cs="仿宋_GB2312" w:asciiTheme="majorEastAsia" w:hAnsiTheme="majorEastAsia" w:eastAsiaTheme="majorEastAsia"/>
                <w:color w:val="auto"/>
                <w:sz w:val="24"/>
                <w:highlight w:val="none"/>
              </w:rPr>
              <w:t>标项1：八里店镇、埭溪镇；标项2：高新区、东林镇、飞英街道；标项3：织里镇、朝阳街道、湖东街道；标项4：道场乡、龙泉街道、妙西镇；标项5：月河街道、爱山街道、环渚街道。</w:t>
            </w:r>
            <w:bookmarkEnd w:id="37"/>
          </w:p>
        </w:tc>
      </w:tr>
      <w:tr w14:paraId="075A3E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1747" w:type="dxa"/>
            <w:tcBorders>
              <w:top w:val="single" w:color="auto" w:sz="4" w:space="0"/>
              <w:left w:val="single" w:color="auto" w:sz="4" w:space="0"/>
              <w:bottom w:val="single" w:color="auto" w:sz="4" w:space="0"/>
              <w:right w:val="single" w:color="auto" w:sz="4" w:space="0"/>
            </w:tcBorders>
            <w:vAlign w:val="center"/>
          </w:tcPr>
          <w:p w14:paraId="3EDDC322">
            <w:pPr>
              <w:spacing w:line="480" w:lineRule="exact"/>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付款方式</w:t>
            </w:r>
          </w:p>
        </w:tc>
        <w:tc>
          <w:tcPr>
            <w:tcW w:w="8505" w:type="dxa"/>
            <w:tcBorders>
              <w:top w:val="single" w:color="auto" w:sz="4" w:space="0"/>
              <w:left w:val="single" w:color="auto" w:sz="4" w:space="0"/>
              <w:bottom w:val="single" w:color="auto" w:sz="4" w:space="0"/>
              <w:right w:val="single" w:color="auto" w:sz="4" w:space="0"/>
            </w:tcBorders>
          </w:tcPr>
          <w:p w14:paraId="62C9221B">
            <w:pPr>
              <w:spacing w:line="480" w:lineRule="exac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w:t>
            </w:r>
            <w:bookmarkStart w:id="38" w:name="OLE_LINK102"/>
            <w:r>
              <w:rPr>
                <w:rFonts w:cs="仿宋_GB2312" w:asciiTheme="majorEastAsia" w:hAnsiTheme="majorEastAsia" w:eastAsiaTheme="majorEastAsia"/>
                <w:color w:val="auto"/>
                <w:sz w:val="24"/>
                <w:highlight w:val="none"/>
              </w:rPr>
              <w:t>根据《保障中小企业款项支付条例》、省财政厅《</w:t>
            </w:r>
            <w:r>
              <w:rPr>
                <w:rFonts w:hint="eastAsia" w:cs="仿宋_GB2312" w:asciiTheme="majorEastAsia" w:hAnsiTheme="majorEastAsia" w:eastAsiaTheme="majorEastAsia"/>
                <w:color w:val="auto"/>
                <w:sz w:val="24"/>
                <w:highlight w:val="none"/>
              </w:rPr>
              <w:t>浙江省财政厅关于进一步发挥政府采购政策功能全力推动经济稳进提质的通知》（浙财采监【2022】3 号）要求，制定如下付款方式：合同生效以及具备实施条件后7个工作日支付首年合同金额的20%作为预付款；2025年度三季度支付至年度总资金的60%，后期每季度按考核结果进行结算。</w:t>
            </w:r>
          </w:p>
          <w:p w14:paraId="395010BE">
            <w:pPr>
              <w:tabs>
                <w:tab w:val="left" w:pos="8280"/>
              </w:tabs>
              <w:autoSpaceDE w:val="0"/>
              <w:autoSpaceDN w:val="0"/>
              <w:adjustRightInd w:val="0"/>
              <w:spacing w:line="480" w:lineRule="exact"/>
              <w:ind w:right="25"/>
              <w:rPr>
                <w:rFonts w:ascii="宋体" w:hAnsi="宋体"/>
                <w:color w:val="auto"/>
                <w:sz w:val="24"/>
                <w:highlight w:val="none"/>
              </w:rPr>
            </w:pPr>
            <w:r>
              <w:rPr>
                <w:rFonts w:hint="eastAsia" w:cs="仿宋_GB2312" w:asciiTheme="majorEastAsia" w:hAnsiTheme="majorEastAsia" w:eastAsiaTheme="majorEastAsia"/>
                <w:color w:val="auto"/>
                <w:sz w:val="24"/>
                <w:highlight w:val="none"/>
              </w:rPr>
              <w:t>注：</w:t>
            </w:r>
            <w:r>
              <w:rPr>
                <w:rFonts w:hint="eastAsia" w:ascii="宋体" w:hAnsi="宋体"/>
                <w:color w:val="auto"/>
                <w:sz w:val="24"/>
                <w:highlight w:val="none"/>
              </w:rPr>
              <w:t>1、中标供应商在采购人每次付款前需开具增值税发票。</w:t>
            </w:r>
          </w:p>
          <w:p w14:paraId="7F439C9D">
            <w:pPr>
              <w:tabs>
                <w:tab w:val="left" w:pos="8280"/>
              </w:tabs>
              <w:autoSpaceDE w:val="0"/>
              <w:autoSpaceDN w:val="0"/>
              <w:adjustRightInd w:val="0"/>
              <w:spacing w:line="480" w:lineRule="exact"/>
              <w:ind w:right="25"/>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2、若中标供应商明确表示无需预付款或者主动要求降低预付款比例的，采购人可不适用前述规定。</w:t>
            </w:r>
            <w:bookmarkEnd w:id="38"/>
          </w:p>
        </w:tc>
      </w:tr>
      <w:tr w14:paraId="2CDB9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1747" w:type="dxa"/>
            <w:tcBorders>
              <w:top w:val="single" w:color="auto" w:sz="4" w:space="0"/>
              <w:left w:val="single" w:color="auto" w:sz="4" w:space="0"/>
              <w:bottom w:val="single" w:color="auto" w:sz="4" w:space="0"/>
              <w:right w:val="single" w:color="auto" w:sz="4" w:space="0"/>
            </w:tcBorders>
            <w:vAlign w:val="center"/>
          </w:tcPr>
          <w:p w14:paraId="5651B2E7">
            <w:pPr>
              <w:spacing w:line="480" w:lineRule="exact"/>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其他</w:t>
            </w:r>
          </w:p>
        </w:tc>
        <w:tc>
          <w:tcPr>
            <w:tcW w:w="8505" w:type="dxa"/>
            <w:tcBorders>
              <w:top w:val="single" w:color="auto" w:sz="4" w:space="0"/>
              <w:left w:val="single" w:color="auto" w:sz="4" w:space="0"/>
              <w:bottom w:val="single" w:color="auto" w:sz="4" w:space="0"/>
              <w:right w:val="single" w:color="auto" w:sz="4" w:space="0"/>
            </w:tcBorders>
          </w:tcPr>
          <w:p w14:paraId="7D009B65">
            <w:pPr>
              <w:spacing w:line="460" w:lineRule="exac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1.合同签订：（1）合同一年一签，合同期满，中标供应商考核要求不合格的，采购单位有权终止合作，合同不续签。（2）各标项中标供应商与采购人签订合同后，由采购人牵头各标项中标供应商与各乡镇签署补充协议，具体内容以采购人为准。</w:t>
            </w:r>
          </w:p>
          <w:p w14:paraId="255A7536">
            <w:pPr>
              <w:spacing w:line="460" w:lineRule="exac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2.若后期需增加服务站点的，则根据本次招标中标折扣同比例计算总价，增加费用不能超过年度合同的10%。</w:t>
            </w:r>
          </w:p>
        </w:tc>
      </w:tr>
      <w:bookmarkEnd w:id="36"/>
    </w:tbl>
    <w:p w14:paraId="07DE86DB">
      <w:pPr>
        <w:spacing w:line="480" w:lineRule="exac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注：1、本项目</w:t>
      </w:r>
      <w:r>
        <w:rPr>
          <w:rFonts w:cs="仿宋_GB2312" w:asciiTheme="majorEastAsia" w:hAnsiTheme="majorEastAsia" w:eastAsiaTheme="majorEastAsia"/>
          <w:color w:val="auto"/>
          <w:sz w:val="24"/>
          <w:highlight w:val="none"/>
        </w:rPr>
        <w:t>采购标的对应的中小企业划分标准所属行业</w:t>
      </w:r>
      <w:r>
        <w:rPr>
          <w:rFonts w:hint="eastAsia" w:cs="仿宋_GB2312" w:asciiTheme="majorEastAsia" w:hAnsiTheme="majorEastAsia" w:eastAsiaTheme="majorEastAsia"/>
          <w:color w:val="auto"/>
          <w:sz w:val="24"/>
          <w:highlight w:val="none"/>
        </w:rPr>
        <w:t>为其他未列明行业。</w:t>
      </w:r>
    </w:p>
    <w:p w14:paraId="3623E9B8">
      <w:pPr>
        <w:spacing w:line="480" w:lineRule="exac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2.</w:t>
      </w:r>
      <w:r>
        <w:rPr>
          <w:rFonts w:cs="仿宋_GB2312" w:asciiTheme="majorEastAsia" w:hAnsiTheme="majorEastAsia" w:eastAsiaTheme="majorEastAsia"/>
          <w:color w:val="auto"/>
          <w:sz w:val="24"/>
          <w:highlight w:val="none"/>
        </w:rPr>
        <w:t>依据《</w:t>
      </w:r>
      <w:r>
        <w:rPr>
          <w:rFonts w:hint="eastAsia" w:cs="仿宋_GB2312" w:asciiTheme="majorEastAsia" w:hAnsiTheme="majorEastAsia" w:eastAsiaTheme="majorEastAsia"/>
          <w:color w:val="auto"/>
          <w:sz w:val="24"/>
          <w:highlight w:val="none"/>
        </w:rPr>
        <w:t>政府采购促进中小企业发展管理办法</w:t>
      </w:r>
      <w:r>
        <w:rPr>
          <w:rFonts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rPr>
        <w:t>（财库【2020】46号）</w:t>
      </w:r>
      <w:r>
        <w:rPr>
          <w:rFonts w:cs="仿宋_GB2312" w:asciiTheme="majorEastAsia" w:hAnsiTheme="majorEastAsia" w:eastAsiaTheme="majorEastAsia"/>
          <w:color w:val="auto"/>
          <w:sz w:val="24"/>
          <w:highlight w:val="none"/>
        </w:rPr>
        <w:t xml:space="preserve">规定享受扶持政策获得政府采购合同的，小微企业不得将合同分包给大中型企业，中型企业不得将合同分包给大型企业。 </w:t>
      </w:r>
    </w:p>
    <w:p w14:paraId="63C1FE73">
      <w:pPr>
        <w:pStyle w:val="11"/>
        <w:rPr>
          <w:color w:val="auto"/>
          <w:highlight w:val="none"/>
        </w:rPr>
      </w:pPr>
    </w:p>
    <w:p w14:paraId="1CB5A271">
      <w:pPr>
        <w:pStyle w:val="11"/>
        <w:rPr>
          <w:color w:val="auto"/>
          <w:highlight w:val="none"/>
        </w:rPr>
      </w:pPr>
      <w:r>
        <w:rPr>
          <w:color w:val="auto"/>
          <w:highlight w:val="none"/>
        </w:rPr>
        <w:br w:type="page"/>
      </w:r>
    </w:p>
    <w:p w14:paraId="5A4BB049">
      <w:pPr>
        <w:snapToGrid w:val="0"/>
        <w:spacing w:line="360" w:lineRule="auto"/>
        <w:jc w:val="center"/>
        <w:rPr>
          <w:rFonts w:ascii="黑体" w:hAnsi="宋体" w:eastAsia="黑体"/>
          <w:color w:val="auto"/>
          <w:sz w:val="30"/>
          <w:szCs w:val="30"/>
          <w:highlight w:val="none"/>
        </w:rPr>
      </w:pPr>
      <w:r>
        <w:rPr>
          <w:rFonts w:hint="eastAsia" w:ascii="黑体" w:hAnsi="宋体" w:eastAsia="黑体"/>
          <w:color w:val="auto"/>
          <w:sz w:val="30"/>
          <w:szCs w:val="30"/>
          <w:highlight w:val="none"/>
        </w:rPr>
        <w:t>第三章  投标人须知</w:t>
      </w:r>
    </w:p>
    <w:p w14:paraId="0DB223AD">
      <w:pPr>
        <w:snapToGrid w:val="0"/>
        <w:spacing w:line="360" w:lineRule="auto"/>
        <w:ind w:left="238"/>
        <w:jc w:val="center"/>
        <w:outlineLvl w:val="1"/>
        <w:rPr>
          <w:rFonts w:ascii="宋体" w:hAnsi="宋体"/>
          <w:b/>
          <w:color w:val="auto"/>
          <w:sz w:val="30"/>
          <w:szCs w:val="30"/>
          <w:highlight w:val="none"/>
        </w:rPr>
      </w:pPr>
      <w:r>
        <w:rPr>
          <w:rFonts w:hint="eastAsia" w:ascii="宋体" w:hAnsi="宋体"/>
          <w:b/>
          <w:color w:val="auto"/>
          <w:sz w:val="30"/>
          <w:szCs w:val="30"/>
          <w:highlight w:val="none"/>
        </w:rPr>
        <w:t>前附表</w:t>
      </w:r>
    </w:p>
    <w:tbl>
      <w:tblPr>
        <w:tblStyle w:val="27"/>
        <w:tblW w:w="9956"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9056"/>
      </w:tblGrid>
      <w:tr w14:paraId="4AB12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00" w:type="dxa"/>
            <w:tcBorders>
              <w:top w:val="single" w:color="auto" w:sz="4" w:space="0"/>
              <w:left w:val="single" w:color="auto" w:sz="4" w:space="0"/>
              <w:bottom w:val="single" w:color="auto" w:sz="4" w:space="0"/>
              <w:right w:val="single" w:color="auto" w:sz="4" w:space="0"/>
            </w:tcBorders>
            <w:vAlign w:val="center"/>
          </w:tcPr>
          <w:p w14:paraId="2DE18CBF">
            <w:pPr>
              <w:snapToGrid w:val="0"/>
              <w:spacing w:line="360" w:lineRule="auto"/>
              <w:jc w:val="center"/>
              <w:rPr>
                <w:rFonts w:ascii="宋体" w:hAnsi="宋体"/>
                <w:color w:val="auto"/>
                <w:sz w:val="24"/>
                <w:szCs w:val="20"/>
                <w:highlight w:val="none"/>
              </w:rPr>
            </w:pPr>
            <w:r>
              <w:rPr>
                <w:rFonts w:hint="eastAsia" w:ascii="宋体" w:hAnsi="宋体"/>
                <w:color w:val="auto"/>
                <w:sz w:val="24"/>
                <w:highlight w:val="none"/>
              </w:rPr>
              <w:t>序号</w:t>
            </w:r>
          </w:p>
        </w:tc>
        <w:tc>
          <w:tcPr>
            <w:tcW w:w="9056" w:type="dxa"/>
            <w:tcBorders>
              <w:top w:val="single" w:color="auto" w:sz="4" w:space="0"/>
              <w:left w:val="single" w:color="auto" w:sz="4" w:space="0"/>
              <w:bottom w:val="single" w:color="auto" w:sz="4" w:space="0"/>
              <w:right w:val="single" w:color="auto" w:sz="4" w:space="0"/>
            </w:tcBorders>
            <w:vAlign w:val="center"/>
          </w:tcPr>
          <w:p w14:paraId="547CE1DB">
            <w:pPr>
              <w:snapToGrid w:val="0"/>
              <w:spacing w:line="360" w:lineRule="auto"/>
              <w:jc w:val="center"/>
              <w:rPr>
                <w:rFonts w:ascii="宋体" w:hAnsi="宋体"/>
                <w:color w:val="auto"/>
                <w:sz w:val="24"/>
                <w:szCs w:val="20"/>
                <w:highlight w:val="none"/>
              </w:rPr>
            </w:pPr>
            <w:r>
              <w:rPr>
                <w:rFonts w:hint="eastAsia" w:ascii="宋体" w:hAnsi="宋体"/>
                <w:color w:val="auto"/>
                <w:sz w:val="24"/>
                <w:highlight w:val="none"/>
              </w:rPr>
              <w:t>内容、要求</w:t>
            </w:r>
          </w:p>
        </w:tc>
      </w:tr>
      <w:tr w14:paraId="39CE9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00" w:type="dxa"/>
            <w:tcBorders>
              <w:top w:val="single" w:color="auto" w:sz="4" w:space="0"/>
              <w:left w:val="single" w:color="auto" w:sz="4" w:space="0"/>
              <w:bottom w:val="single" w:color="auto" w:sz="4" w:space="0"/>
              <w:right w:val="single" w:color="auto" w:sz="4" w:space="0"/>
            </w:tcBorders>
            <w:vAlign w:val="center"/>
          </w:tcPr>
          <w:p w14:paraId="7CA5808A">
            <w:pPr>
              <w:snapToGrid w:val="0"/>
              <w:spacing w:line="360" w:lineRule="auto"/>
              <w:jc w:val="center"/>
              <w:rPr>
                <w:rFonts w:ascii="宋体" w:hAnsi="宋体"/>
                <w:color w:val="auto"/>
                <w:sz w:val="24"/>
                <w:szCs w:val="20"/>
                <w:highlight w:val="none"/>
              </w:rPr>
            </w:pPr>
            <w:r>
              <w:rPr>
                <w:rFonts w:ascii="宋体" w:hAnsi="宋体"/>
                <w:color w:val="auto"/>
                <w:sz w:val="24"/>
                <w:highlight w:val="none"/>
              </w:rPr>
              <w:t>1</w:t>
            </w:r>
          </w:p>
        </w:tc>
        <w:tc>
          <w:tcPr>
            <w:tcW w:w="9056" w:type="dxa"/>
            <w:tcBorders>
              <w:top w:val="single" w:color="auto" w:sz="4" w:space="0"/>
              <w:left w:val="single" w:color="auto" w:sz="4" w:space="0"/>
              <w:bottom w:val="single" w:color="auto" w:sz="4" w:space="0"/>
              <w:right w:val="single" w:color="auto" w:sz="4" w:space="0"/>
            </w:tcBorders>
            <w:vAlign w:val="center"/>
          </w:tcPr>
          <w:p w14:paraId="172131C7">
            <w:pPr>
              <w:widowControl/>
              <w:jc w:val="left"/>
              <w:rPr>
                <w:rFonts w:ascii="宋体" w:hAnsi="宋体"/>
                <w:color w:val="auto"/>
                <w:sz w:val="24"/>
                <w:highlight w:val="none"/>
              </w:rPr>
            </w:pPr>
            <w:r>
              <w:rPr>
                <w:rFonts w:hint="eastAsia" w:ascii="宋体" w:hAnsi="宋体"/>
                <w:color w:val="auto"/>
                <w:sz w:val="24"/>
                <w:highlight w:val="none"/>
              </w:rPr>
              <w:t>项目名称：2025-2028年度吴兴区居家养老服务（照料）中心运营项目</w:t>
            </w:r>
          </w:p>
        </w:tc>
      </w:tr>
      <w:tr w14:paraId="5E7DD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14:paraId="0DCB245A">
            <w:pPr>
              <w:snapToGrid w:val="0"/>
              <w:spacing w:line="360" w:lineRule="auto"/>
              <w:jc w:val="center"/>
              <w:rPr>
                <w:rFonts w:ascii="宋体" w:hAnsi="宋体"/>
                <w:color w:val="auto"/>
                <w:sz w:val="24"/>
                <w:szCs w:val="20"/>
                <w:highlight w:val="none"/>
              </w:rPr>
            </w:pPr>
            <w:r>
              <w:rPr>
                <w:rFonts w:ascii="宋体" w:hAnsi="宋体"/>
                <w:color w:val="auto"/>
                <w:sz w:val="24"/>
                <w:highlight w:val="none"/>
              </w:rPr>
              <w:t>2</w:t>
            </w:r>
          </w:p>
        </w:tc>
        <w:tc>
          <w:tcPr>
            <w:tcW w:w="9056" w:type="dxa"/>
            <w:tcBorders>
              <w:top w:val="single" w:color="auto" w:sz="4" w:space="0"/>
              <w:left w:val="single" w:color="auto" w:sz="4" w:space="0"/>
              <w:bottom w:val="single" w:color="auto" w:sz="4" w:space="0"/>
              <w:right w:val="single" w:color="auto" w:sz="4" w:space="0"/>
            </w:tcBorders>
            <w:vAlign w:val="center"/>
          </w:tcPr>
          <w:p w14:paraId="2903B3B2">
            <w:pPr>
              <w:widowControl/>
              <w:jc w:val="left"/>
              <w:rPr>
                <w:rFonts w:ascii="宋体" w:hAnsi="宋体"/>
                <w:color w:val="auto"/>
                <w:sz w:val="24"/>
                <w:highlight w:val="none"/>
              </w:rPr>
            </w:pPr>
            <w:r>
              <w:rPr>
                <w:rFonts w:hint="eastAsia" w:ascii="宋体" w:hAnsi="宋体"/>
                <w:color w:val="auto"/>
                <w:sz w:val="24"/>
                <w:highlight w:val="none"/>
              </w:rPr>
              <w:t>采购数量及单位：详见招标文件</w:t>
            </w:r>
          </w:p>
        </w:tc>
      </w:tr>
      <w:tr w14:paraId="77AAE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14:paraId="7CA2820B">
            <w:pPr>
              <w:snapToGrid w:val="0"/>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9056" w:type="dxa"/>
            <w:tcBorders>
              <w:top w:val="single" w:color="auto" w:sz="4" w:space="0"/>
              <w:left w:val="single" w:color="auto" w:sz="4" w:space="0"/>
              <w:bottom w:val="single" w:color="auto" w:sz="4" w:space="0"/>
              <w:right w:val="single" w:color="auto" w:sz="4" w:space="0"/>
            </w:tcBorders>
            <w:vAlign w:val="center"/>
          </w:tcPr>
          <w:p w14:paraId="4F5ECAE6">
            <w:pPr>
              <w:tabs>
                <w:tab w:val="left" w:pos="1418"/>
              </w:tabs>
              <w:snapToGrid w:val="0"/>
              <w:spacing w:before="50" w:after="50"/>
              <w:rPr>
                <w:rFonts w:ascii="宋体" w:hAnsi="宋体"/>
                <w:color w:val="auto"/>
                <w:sz w:val="24"/>
                <w:highlight w:val="none"/>
              </w:rPr>
            </w:pPr>
            <w:r>
              <w:rPr>
                <w:rFonts w:hint="eastAsia" w:ascii="宋体" w:hAnsi="宋体"/>
                <w:color w:val="auto"/>
                <w:sz w:val="24"/>
                <w:highlight w:val="none"/>
              </w:rPr>
              <w:t>投标报价及费用：</w:t>
            </w:r>
            <w:r>
              <w:rPr>
                <w:rFonts w:ascii="宋体" w:hAnsi="宋体"/>
                <w:color w:val="auto"/>
                <w:sz w:val="24"/>
                <w:highlight w:val="none"/>
              </w:rPr>
              <w:t>1</w:t>
            </w:r>
            <w:r>
              <w:rPr>
                <w:rFonts w:hint="eastAsia" w:ascii="宋体" w:hAnsi="宋体"/>
                <w:color w:val="auto"/>
                <w:sz w:val="24"/>
                <w:highlight w:val="none"/>
              </w:rPr>
              <w:t>.本项目投标应以人民币报价；2.不论投标结果如何，投标人均应自行承担所有与投标有关的全部费用。3.本项目招标代理服务费人民币壹拾贰万伍仟陆佰伍拾元整（￥125650 .00)，其中标项1:贰万柒仟伍佰壹柒伍元整（27517.00），标项2:贰万柒仟伍佰壹柒伍元整（27517.00），标项3:贰万陆仟捌佰捌拾玖元整（26889.00），标项4:贰万叁仟肆佰零玖元整（23409.00），标项5:贰万零叁佰壹拾捌元整（20318.00），由中标人全额支付在中标通知书发出后当日内一次性结清。</w:t>
            </w:r>
          </w:p>
        </w:tc>
      </w:tr>
      <w:tr w14:paraId="7D795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900" w:type="dxa"/>
            <w:tcBorders>
              <w:top w:val="single" w:color="auto" w:sz="4" w:space="0"/>
              <w:left w:val="single" w:color="auto" w:sz="4" w:space="0"/>
              <w:bottom w:val="single" w:color="auto" w:sz="4" w:space="0"/>
              <w:right w:val="single" w:color="auto" w:sz="4" w:space="0"/>
            </w:tcBorders>
            <w:vAlign w:val="center"/>
          </w:tcPr>
          <w:p w14:paraId="539E3902">
            <w:pPr>
              <w:snapToGrid w:val="0"/>
              <w:spacing w:line="360" w:lineRule="auto"/>
              <w:jc w:val="center"/>
              <w:rPr>
                <w:rFonts w:ascii="宋体" w:hAnsi="宋体"/>
                <w:color w:val="auto"/>
                <w:sz w:val="24"/>
                <w:szCs w:val="20"/>
                <w:highlight w:val="none"/>
              </w:rPr>
            </w:pPr>
            <w:r>
              <w:rPr>
                <w:rFonts w:ascii="宋体" w:hAnsi="宋体"/>
                <w:color w:val="auto"/>
                <w:sz w:val="24"/>
                <w:highlight w:val="none"/>
              </w:rPr>
              <w:t>4</w:t>
            </w:r>
          </w:p>
        </w:tc>
        <w:tc>
          <w:tcPr>
            <w:tcW w:w="9056" w:type="dxa"/>
            <w:tcBorders>
              <w:top w:val="single" w:color="auto" w:sz="4" w:space="0"/>
              <w:left w:val="single" w:color="auto" w:sz="4" w:space="0"/>
              <w:bottom w:val="single" w:color="auto" w:sz="4" w:space="0"/>
              <w:right w:val="single" w:color="auto" w:sz="4" w:space="0"/>
            </w:tcBorders>
            <w:vAlign w:val="center"/>
          </w:tcPr>
          <w:p w14:paraId="3FD9C748">
            <w:pPr>
              <w:widowControl/>
              <w:jc w:val="left"/>
              <w:rPr>
                <w:rFonts w:ascii="宋体" w:hAnsi="宋体"/>
                <w:color w:val="auto"/>
                <w:sz w:val="24"/>
                <w:highlight w:val="none"/>
              </w:rPr>
            </w:pPr>
            <w:r>
              <w:rPr>
                <w:rFonts w:hint="eastAsia" w:ascii="宋体" w:hAnsi="宋体"/>
                <w:color w:val="auto"/>
                <w:sz w:val="24"/>
                <w:highlight w:val="none"/>
              </w:rPr>
              <w:t>投标保证金：不缴纳</w:t>
            </w:r>
          </w:p>
        </w:tc>
      </w:tr>
      <w:tr w14:paraId="5C822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00" w:type="dxa"/>
            <w:tcBorders>
              <w:top w:val="single" w:color="auto" w:sz="4" w:space="0"/>
              <w:left w:val="single" w:color="auto" w:sz="4" w:space="0"/>
              <w:bottom w:val="single" w:color="auto" w:sz="4" w:space="0"/>
              <w:right w:val="single" w:color="auto" w:sz="4" w:space="0"/>
            </w:tcBorders>
            <w:vAlign w:val="center"/>
          </w:tcPr>
          <w:p w14:paraId="6670569F">
            <w:pPr>
              <w:snapToGrid w:val="0"/>
              <w:spacing w:line="360" w:lineRule="auto"/>
              <w:jc w:val="center"/>
              <w:rPr>
                <w:rFonts w:ascii="宋体" w:hAnsi="宋体"/>
                <w:color w:val="auto"/>
                <w:sz w:val="24"/>
                <w:szCs w:val="20"/>
                <w:highlight w:val="none"/>
              </w:rPr>
            </w:pPr>
            <w:r>
              <w:rPr>
                <w:rFonts w:ascii="宋体" w:hAnsi="宋体"/>
                <w:color w:val="auto"/>
                <w:sz w:val="24"/>
                <w:highlight w:val="none"/>
              </w:rPr>
              <w:t>5</w:t>
            </w:r>
          </w:p>
        </w:tc>
        <w:tc>
          <w:tcPr>
            <w:tcW w:w="9056" w:type="dxa"/>
            <w:tcBorders>
              <w:top w:val="single" w:color="auto" w:sz="4" w:space="0"/>
              <w:left w:val="single" w:color="auto" w:sz="4" w:space="0"/>
              <w:bottom w:val="single" w:color="auto" w:sz="4" w:space="0"/>
              <w:right w:val="single" w:color="auto" w:sz="4" w:space="0"/>
            </w:tcBorders>
            <w:vAlign w:val="center"/>
          </w:tcPr>
          <w:p w14:paraId="3FE238E3">
            <w:pPr>
              <w:widowControl/>
              <w:jc w:val="left"/>
              <w:rPr>
                <w:rFonts w:ascii="宋体" w:hAnsi="宋体"/>
                <w:color w:val="auto"/>
                <w:sz w:val="24"/>
                <w:highlight w:val="none"/>
              </w:rPr>
            </w:pPr>
            <w:r>
              <w:rPr>
                <w:rFonts w:hint="eastAsia" w:ascii="宋体" w:hAnsi="宋体"/>
                <w:color w:val="auto"/>
                <w:sz w:val="24"/>
                <w:highlight w:val="none"/>
              </w:rPr>
              <w:t>现场踏勘：不组织</w:t>
            </w:r>
          </w:p>
        </w:tc>
      </w:tr>
      <w:tr w14:paraId="67129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14:paraId="7CEF8DDE">
            <w:pPr>
              <w:snapToGrid w:val="0"/>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6</w:t>
            </w:r>
          </w:p>
        </w:tc>
        <w:tc>
          <w:tcPr>
            <w:tcW w:w="9056" w:type="dxa"/>
            <w:tcBorders>
              <w:top w:val="single" w:color="auto" w:sz="4" w:space="0"/>
              <w:left w:val="single" w:color="auto" w:sz="4" w:space="0"/>
              <w:bottom w:val="single" w:color="auto" w:sz="4" w:space="0"/>
              <w:right w:val="single" w:color="auto" w:sz="4" w:space="0"/>
            </w:tcBorders>
            <w:vAlign w:val="center"/>
          </w:tcPr>
          <w:p w14:paraId="62D5D6C7">
            <w:pPr>
              <w:pStyle w:val="11"/>
              <w:ind w:left="0" w:leftChars="0"/>
              <w:jc w:val="left"/>
              <w:rPr>
                <w:color w:val="auto"/>
                <w:highlight w:val="none"/>
              </w:rPr>
            </w:pPr>
            <w:r>
              <w:rPr>
                <w:rFonts w:hint="eastAsia" w:ascii="宋体" w:hAnsi="宋体"/>
                <w:color w:val="auto"/>
                <w:sz w:val="24"/>
                <w:highlight w:val="none"/>
              </w:rPr>
              <w:t>答疑与澄清：投标人如认为招标文件表述不清晰、存在歧视性或者其他违法内容的，可以在知道或者应知其权益受到损害之日起7个工作日内</w:t>
            </w:r>
            <w:r>
              <w:rPr>
                <w:rFonts w:hint="eastAsia" w:ascii="宋体" w:hAnsi="宋体" w:cs="仿宋"/>
                <w:color w:val="auto"/>
                <w:sz w:val="24"/>
                <w:highlight w:val="none"/>
              </w:rPr>
              <w:t>（公告期限届满后获取采购文件的，以公告期限届满之日为准）</w:t>
            </w:r>
            <w:r>
              <w:rPr>
                <w:rFonts w:hint="eastAsia" w:ascii="宋体" w:hAnsi="宋体"/>
                <w:color w:val="auto"/>
                <w:sz w:val="24"/>
                <w:highlight w:val="none"/>
              </w:rPr>
              <w:t>，以书面形式向采购人、采购代理机构提出质疑，根据《中华人民共和国财政部令第94号-政府采购质疑和投诉办法》第十条第二款规定，投标人在法定质疑期内须一次性提出针对同一采购程序环节的质疑，否则采购代理机构有权拒绝第一次质疑以外其他所有质疑。答疑内容是招标文件的组成部分，并将在网上发布补充（答疑、澄清）文件，潜在投标人应自行关注网站公告，采购人不再一一通知，投标人因自身贻误行为导致投标失效的，责任自负。质疑函范本、投诉书范本请到浙江政府采购网下载专区下载。</w:t>
            </w:r>
          </w:p>
        </w:tc>
      </w:tr>
      <w:tr w14:paraId="038B4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14:paraId="33B4AB14">
            <w:pPr>
              <w:snapToGrid w:val="0"/>
              <w:spacing w:line="360" w:lineRule="auto"/>
              <w:jc w:val="center"/>
              <w:rPr>
                <w:rFonts w:ascii="宋体" w:hAnsi="宋体"/>
                <w:color w:val="auto"/>
                <w:sz w:val="24"/>
                <w:highlight w:val="none"/>
              </w:rPr>
            </w:pPr>
            <w:r>
              <w:rPr>
                <w:rFonts w:hint="eastAsia" w:ascii="宋体" w:hAnsi="宋体"/>
                <w:color w:val="auto"/>
                <w:sz w:val="24"/>
                <w:highlight w:val="none"/>
              </w:rPr>
              <w:t>7</w:t>
            </w:r>
          </w:p>
        </w:tc>
        <w:tc>
          <w:tcPr>
            <w:tcW w:w="9056" w:type="dxa"/>
            <w:tcBorders>
              <w:top w:val="single" w:color="auto" w:sz="4" w:space="0"/>
              <w:left w:val="single" w:color="auto" w:sz="4" w:space="0"/>
              <w:bottom w:val="single" w:color="auto" w:sz="4" w:space="0"/>
              <w:right w:val="single" w:color="auto" w:sz="4" w:space="0"/>
            </w:tcBorders>
            <w:vAlign w:val="center"/>
          </w:tcPr>
          <w:p w14:paraId="0AC092E8">
            <w:pPr>
              <w:widowControl/>
              <w:jc w:val="left"/>
              <w:rPr>
                <w:rFonts w:ascii="宋体" w:hAnsi="宋体"/>
                <w:color w:val="auto"/>
                <w:sz w:val="24"/>
                <w:highlight w:val="none"/>
              </w:rPr>
            </w:pPr>
            <w:r>
              <w:rPr>
                <w:rFonts w:hint="eastAsia" w:ascii="宋体" w:hAnsi="宋体"/>
                <w:color w:val="auto"/>
                <w:sz w:val="24"/>
                <w:highlight w:val="none"/>
              </w:rPr>
              <w:t>投标文件组成：1、电子投标文件（包括“电子加密投标文件”和“备份投标文件”，在投标文件编制完成后同时生成）</w:t>
            </w:r>
          </w:p>
          <w:p w14:paraId="2777204F">
            <w:pPr>
              <w:widowControl/>
              <w:jc w:val="left"/>
              <w:rPr>
                <w:rFonts w:ascii="宋体" w:hAnsi="宋体"/>
                <w:color w:val="auto"/>
                <w:sz w:val="24"/>
                <w:highlight w:val="none"/>
              </w:rPr>
            </w:pPr>
            <w:r>
              <w:rPr>
                <w:rFonts w:hint="eastAsia" w:ascii="宋体" w:hAnsi="宋体"/>
                <w:color w:val="auto"/>
                <w:sz w:val="24"/>
                <w:highlight w:val="none"/>
              </w:rPr>
              <w:t>（1）“电子加密投标文件”是指通过“政采云电子交易客户端”完成投标文件编制后生成并加密的数据电文形式的投标文件。</w:t>
            </w:r>
          </w:p>
          <w:p w14:paraId="1BD67C22">
            <w:pPr>
              <w:widowControl/>
              <w:jc w:val="left"/>
              <w:rPr>
                <w:rFonts w:ascii="宋体" w:hAnsi="宋体"/>
                <w:color w:val="auto"/>
                <w:sz w:val="24"/>
                <w:highlight w:val="none"/>
              </w:rPr>
            </w:pPr>
            <w:r>
              <w:rPr>
                <w:rFonts w:hint="eastAsia" w:ascii="宋体" w:hAnsi="宋体"/>
                <w:color w:val="auto"/>
                <w:sz w:val="24"/>
                <w:highlight w:val="none"/>
              </w:rPr>
              <w:t>（2）“备份投标文件”是指与“电子加密投标文件”同时生成的数据电文形式的电子文件（备份标书），其他方式编制的备份投标文件视为无效备份投标文件。仅在出现解密异常情况下使用。</w:t>
            </w:r>
          </w:p>
          <w:p w14:paraId="6B364A36">
            <w:pPr>
              <w:widowControl/>
              <w:autoSpaceDE w:val="0"/>
              <w:autoSpaceDN w:val="0"/>
              <w:jc w:val="left"/>
              <w:textAlignment w:val="bottom"/>
              <w:rPr>
                <w:rFonts w:ascii="宋体" w:hAnsi="宋体"/>
                <w:color w:val="auto"/>
                <w:sz w:val="24"/>
                <w:highlight w:val="none"/>
              </w:rPr>
            </w:pPr>
            <w:r>
              <w:rPr>
                <w:rFonts w:hint="eastAsia" w:ascii="宋体" w:hAnsi="宋体"/>
                <w:color w:val="auto"/>
                <w:sz w:val="24"/>
                <w:highlight w:val="none"/>
              </w:rPr>
              <w:t>2、中标后，中标单位需在领取中标通知书时，向招标代理机构提交与投标时电子投标文件一致的纸质版本一式三份（按照招标文件要求签字盖章）。</w:t>
            </w:r>
          </w:p>
        </w:tc>
      </w:tr>
      <w:tr w14:paraId="391B68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900" w:type="dxa"/>
            <w:tcBorders>
              <w:top w:val="single" w:color="auto" w:sz="4" w:space="0"/>
              <w:left w:val="single" w:color="auto" w:sz="4" w:space="0"/>
              <w:bottom w:val="single" w:color="auto" w:sz="4" w:space="0"/>
              <w:right w:val="single" w:color="auto" w:sz="4" w:space="0"/>
            </w:tcBorders>
            <w:vAlign w:val="center"/>
          </w:tcPr>
          <w:p w14:paraId="2B79918D">
            <w:pPr>
              <w:snapToGrid w:val="0"/>
              <w:spacing w:line="360" w:lineRule="auto"/>
              <w:jc w:val="center"/>
              <w:rPr>
                <w:rFonts w:ascii="宋体" w:hAnsi="宋体"/>
                <w:color w:val="auto"/>
                <w:sz w:val="24"/>
                <w:highlight w:val="none"/>
              </w:rPr>
            </w:pPr>
            <w:r>
              <w:rPr>
                <w:rFonts w:hint="eastAsia" w:ascii="宋体" w:hAnsi="宋体"/>
                <w:color w:val="auto"/>
                <w:sz w:val="24"/>
                <w:highlight w:val="none"/>
              </w:rPr>
              <w:t>8</w:t>
            </w:r>
          </w:p>
        </w:tc>
        <w:tc>
          <w:tcPr>
            <w:tcW w:w="9056" w:type="dxa"/>
            <w:tcBorders>
              <w:top w:val="single" w:color="auto" w:sz="4" w:space="0"/>
              <w:left w:val="single" w:color="auto" w:sz="4" w:space="0"/>
              <w:bottom w:val="single" w:color="auto" w:sz="4" w:space="0"/>
              <w:right w:val="single" w:color="auto" w:sz="4" w:space="0"/>
            </w:tcBorders>
            <w:vAlign w:val="center"/>
          </w:tcPr>
          <w:p w14:paraId="43D0830D">
            <w:pPr>
              <w:widowControl/>
              <w:jc w:val="left"/>
              <w:rPr>
                <w:rFonts w:ascii="宋体" w:hAnsi="宋体"/>
                <w:color w:val="auto"/>
                <w:sz w:val="24"/>
                <w:highlight w:val="none"/>
              </w:rPr>
            </w:pPr>
            <w:r>
              <w:rPr>
                <w:rFonts w:hint="eastAsia" w:ascii="宋体" w:hAnsi="宋体"/>
                <w:color w:val="auto"/>
                <w:sz w:val="24"/>
                <w:highlight w:val="none"/>
              </w:rPr>
              <w:t>投标文件份数：1、“电子加密投标文件”：在线上传递交、一份。2、“备份投标文件”：一份。</w:t>
            </w:r>
            <w:r>
              <w:rPr>
                <w:rFonts w:ascii="宋体" w:hAnsi="宋体"/>
                <w:color w:val="auto"/>
                <w:sz w:val="24"/>
                <w:highlight w:val="none"/>
              </w:rPr>
              <w:t>以介质存储的数据电文形式的备份</w:t>
            </w:r>
            <w:r>
              <w:rPr>
                <w:rFonts w:hint="eastAsia" w:ascii="宋体" w:hAnsi="宋体"/>
                <w:color w:val="auto"/>
                <w:sz w:val="24"/>
                <w:highlight w:val="none"/>
              </w:rPr>
              <w:t>投标</w:t>
            </w:r>
            <w:r>
              <w:rPr>
                <w:rFonts w:ascii="宋体" w:hAnsi="宋体"/>
                <w:color w:val="auto"/>
                <w:sz w:val="24"/>
                <w:highlight w:val="none"/>
              </w:rPr>
              <w:t>文件</w:t>
            </w:r>
            <w:r>
              <w:rPr>
                <w:rFonts w:hint="eastAsia" w:ascii="宋体" w:hAnsi="宋体"/>
                <w:color w:val="auto"/>
                <w:sz w:val="24"/>
                <w:highlight w:val="none"/>
              </w:rPr>
              <w:t>（</w:t>
            </w:r>
            <w:r>
              <w:rPr>
                <w:rFonts w:ascii="宋体" w:hAnsi="宋体"/>
                <w:color w:val="auto"/>
                <w:sz w:val="24"/>
                <w:highlight w:val="none"/>
              </w:rPr>
              <w:t>BFBS格式)，按政采云平台项目采购-电子交易操作指南中上传的电子</w:t>
            </w:r>
            <w:r>
              <w:rPr>
                <w:rFonts w:hint="eastAsia" w:ascii="宋体" w:hAnsi="宋体"/>
                <w:color w:val="auto"/>
                <w:sz w:val="24"/>
                <w:highlight w:val="none"/>
              </w:rPr>
              <w:t>投标</w:t>
            </w:r>
            <w:r>
              <w:rPr>
                <w:rFonts w:ascii="宋体" w:hAnsi="宋体"/>
                <w:color w:val="auto"/>
                <w:sz w:val="24"/>
                <w:highlight w:val="none"/>
              </w:rPr>
              <w:t>文件格式，以U盘形式存储提供)。U盘盘面上粘贴标签，标注单位名称，装入一个外包封袋中进行邮寄</w:t>
            </w:r>
            <w:r>
              <w:rPr>
                <w:rFonts w:hint="eastAsia" w:ascii="宋体" w:hAnsi="宋体"/>
                <w:color w:val="auto"/>
                <w:sz w:val="24"/>
                <w:highlight w:val="none"/>
              </w:rPr>
              <w:t>。</w:t>
            </w:r>
            <w:r>
              <w:rPr>
                <w:rFonts w:ascii="宋体" w:hAnsi="宋体"/>
                <w:color w:val="auto"/>
                <w:sz w:val="24"/>
                <w:highlight w:val="none"/>
              </w:rPr>
              <w:t>邮寄时，总的外包封袋上可不注明单位名称，但应注明单位的联系人、联系电话及项目名称</w:t>
            </w:r>
            <w:r>
              <w:rPr>
                <w:rFonts w:hint="eastAsia" w:ascii="宋体" w:hAnsi="宋体"/>
                <w:color w:val="auto"/>
                <w:sz w:val="24"/>
                <w:highlight w:val="none"/>
              </w:rPr>
              <w:t>。邮寄地址为：浙江华耀建设咨询有限公司（湖州市静江公寓1单元1101室），联系人：张治中，联系电话：0572-2198738</w:t>
            </w:r>
            <w:r>
              <w:rPr>
                <w:color w:val="auto"/>
                <w:highlight w:val="none"/>
              </w:rPr>
              <w:fldChar w:fldCharType="begin"/>
            </w:r>
            <w:r>
              <w:rPr>
                <w:color w:val="auto"/>
                <w:highlight w:val="none"/>
              </w:rPr>
              <w:instrText xml:space="preserve"> HYPERLINK "mailto:huayaohz@163.com。供应商应于2020年9月" </w:instrText>
            </w:r>
            <w:r>
              <w:rPr>
                <w:color w:val="auto"/>
                <w:highlight w:val="none"/>
              </w:rPr>
              <w:fldChar w:fldCharType="separate"/>
            </w:r>
            <w:r>
              <w:rPr>
                <w:rFonts w:hint="eastAsia" w:ascii="宋体" w:hAnsi="宋体"/>
                <w:color w:val="auto"/>
                <w:sz w:val="24"/>
                <w:highlight w:val="none"/>
              </w:rPr>
              <w:t>。供应商应于202</w:t>
            </w:r>
            <w:r>
              <w:rPr>
                <w:rFonts w:ascii="宋体" w:hAnsi="宋体"/>
                <w:color w:val="auto"/>
                <w:sz w:val="24"/>
                <w:highlight w:val="none"/>
              </w:rPr>
              <w:t>5</w:t>
            </w:r>
            <w:r>
              <w:rPr>
                <w:rFonts w:hint="eastAsia" w:ascii="宋体" w:hAnsi="宋体"/>
                <w:color w:val="auto"/>
                <w:sz w:val="24"/>
                <w:highlight w:val="none"/>
              </w:rPr>
              <w:t>年</w:t>
            </w:r>
            <w:r>
              <w:rPr>
                <w:rFonts w:hint="eastAsia" w:ascii="宋体" w:hAnsi="宋体"/>
                <w:color w:val="auto"/>
                <w:sz w:val="24"/>
                <w:highlight w:val="none"/>
              </w:rPr>
              <w:fldChar w:fldCharType="end"/>
            </w:r>
            <w:r>
              <w:rPr>
                <w:rFonts w:hint="eastAsia" w:ascii="宋体" w:hAnsi="宋体"/>
                <w:color w:val="auto"/>
                <w:sz w:val="24"/>
                <w:highlight w:val="none"/>
              </w:rPr>
              <w:t xml:space="preserve"> 月 日17:00时前准时送达，拒绝到付。以收件人实际签收时间为准，逾期送达的将拒绝接收。</w:t>
            </w:r>
          </w:p>
        </w:tc>
      </w:tr>
      <w:tr w14:paraId="4CC51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00" w:type="dxa"/>
            <w:tcBorders>
              <w:top w:val="single" w:color="auto" w:sz="4" w:space="0"/>
              <w:left w:val="single" w:color="auto" w:sz="4" w:space="0"/>
              <w:bottom w:val="single" w:color="auto" w:sz="4" w:space="0"/>
              <w:right w:val="single" w:color="auto" w:sz="4" w:space="0"/>
            </w:tcBorders>
            <w:vAlign w:val="center"/>
          </w:tcPr>
          <w:p w14:paraId="2AD49792">
            <w:pPr>
              <w:snapToGrid w:val="0"/>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9</w:t>
            </w:r>
          </w:p>
        </w:tc>
        <w:tc>
          <w:tcPr>
            <w:tcW w:w="9056" w:type="dxa"/>
            <w:tcBorders>
              <w:top w:val="single" w:color="auto" w:sz="4" w:space="0"/>
              <w:left w:val="single" w:color="auto" w:sz="4" w:space="0"/>
              <w:bottom w:val="single" w:color="auto" w:sz="4" w:space="0"/>
              <w:right w:val="single" w:color="auto" w:sz="4" w:space="0"/>
            </w:tcBorders>
            <w:vAlign w:val="center"/>
          </w:tcPr>
          <w:p w14:paraId="6E2164CA">
            <w:pPr>
              <w:widowControl/>
              <w:jc w:val="left"/>
              <w:rPr>
                <w:rFonts w:ascii="宋体" w:hAnsi="宋体"/>
                <w:color w:val="auto"/>
                <w:sz w:val="24"/>
                <w:highlight w:val="none"/>
              </w:rPr>
            </w:pPr>
            <w:r>
              <w:rPr>
                <w:rFonts w:hint="eastAsia" w:ascii="宋体" w:hAnsi="宋体"/>
                <w:color w:val="auto"/>
                <w:sz w:val="24"/>
                <w:highlight w:val="none"/>
              </w:rPr>
              <w:t>电子加密投标文件的解密和异常情况处理：</w:t>
            </w:r>
          </w:p>
          <w:p w14:paraId="3E6F588A">
            <w:pPr>
              <w:widowControl/>
              <w:jc w:val="left"/>
              <w:rPr>
                <w:rFonts w:ascii="宋体" w:hAnsi="宋体"/>
                <w:color w:val="auto"/>
                <w:sz w:val="24"/>
                <w:highlight w:val="none"/>
              </w:rPr>
            </w:pPr>
            <w:r>
              <w:rPr>
                <w:rFonts w:hint="eastAsia" w:ascii="宋体" w:hAnsi="宋体"/>
                <w:color w:val="auto"/>
                <w:sz w:val="24"/>
                <w:highlight w:val="none"/>
              </w:rPr>
              <w:t>（1）开标后，采购组织机构将向各投标供应商发出“电子加密投标文件”的解密通知，各投标供应商代表应当在接到解密通知后30分钟内自行完成“电子加密投标文件”的在线解密。</w:t>
            </w:r>
          </w:p>
          <w:p w14:paraId="7FDA5110">
            <w:pPr>
              <w:widowControl/>
              <w:jc w:val="left"/>
              <w:rPr>
                <w:rFonts w:ascii="宋体" w:hAnsi="宋体"/>
                <w:color w:val="auto"/>
                <w:sz w:val="24"/>
                <w:highlight w:val="none"/>
              </w:rPr>
            </w:pPr>
            <w:r>
              <w:rPr>
                <w:rFonts w:hint="eastAsia" w:ascii="宋体" w:hAnsi="宋体"/>
                <w:color w:val="auto"/>
                <w:sz w:val="24"/>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0C44E292">
            <w:pPr>
              <w:widowControl/>
              <w:jc w:val="left"/>
              <w:rPr>
                <w:rFonts w:ascii="宋体" w:hAnsi="宋体"/>
                <w:color w:val="auto"/>
                <w:sz w:val="24"/>
                <w:highlight w:val="none"/>
              </w:rPr>
            </w:pPr>
            <w:r>
              <w:rPr>
                <w:rFonts w:hint="eastAsia" w:ascii="宋体" w:hAnsi="宋体"/>
                <w:color w:val="auto"/>
                <w:sz w:val="24"/>
                <w:highlight w:val="none"/>
              </w:rPr>
              <w:t>（3）投标截止时间前，投标供应商仅递交了“备份投标文件”而未将电子加密投标文件上传至“政府采购云平台”的，投标无效。</w:t>
            </w:r>
          </w:p>
        </w:tc>
      </w:tr>
      <w:tr w14:paraId="0C7C6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00" w:type="dxa"/>
            <w:tcBorders>
              <w:top w:val="single" w:color="auto" w:sz="4" w:space="0"/>
              <w:left w:val="single" w:color="auto" w:sz="4" w:space="0"/>
              <w:bottom w:val="single" w:color="auto" w:sz="4" w:space="0"/>
              <w:right w:val="single" w:color="auto" w:sz="4" w:space="0"/>
            </w:tcBorders>
            <w:vAlign w:val="center"/>
          </w:tcPr>
          <w:p w14:paraId="2C568E49">
            <w:pPr>
              <w:snapToGrid w:val="0"/>
              <w:spacing w:line="360" w:lineRule="auto"/>
              <w:jc w:val="center"/>
              <w:rPr>
                <w:rFonts w:ascii="宋体" w:hAnsi="宋体"/>
                <w:color w:val="auto"/>
                <w:sz w:val="24"/>
                <w:szCs w:val="20"/>
                <w:highlight w:val="none"/>
              </w:rPr>
            </w:pPr>
            <w:r>
              <w:rPr>
                <w:rFonts w:hint="eastAsia" w:ascii="宋体" w:hAnsi="宋体"/>
                <w:color w:val="auto"/>
                <w:sz w:val="24"/>
                <w:highlight w:val="none"/>
              </w:rPr>
              <w:t>10</w:t>
            </w:r>
          </w:p>
        </w:tc>
        <w:tc>
          <w:tcPr>
            <w:tcW w:w="9056" w:type="dxa"/>
            <w:tcBorders>
              <w:top w:val="single" w:color="auto" w:sz="4" w:space="0"/>
              <w:left w:val="single" w:color="auto" w:sz="4" w:space="0"/>
              <w:bottom w:val="single" w:color="auto" w:sz="4" w:space="0"/>
              <w:right w:val="single" w:color="auto" w:sz="4" w:space="0"/>
            </w:tcBorders>
            <w:vAlign w:val="center"/>
          </w:tcPr>
          <w:p w14:paraId="59535220">
            <w:pPr>
              <w:widowControl/>
              <w:jc w:val="left"/>
              <w:rPr>
                <w:rFonts w:ascii="宋体" w:hAnsi="宋体"/>
                <w:color w:val="auto"/>
                <w:sz w:val="24"/>
                <w:highlight w:val="none"/>
              </w:rPr>
            </w:pPr>
            <w:r>
              <w:rPr>
                <w:rFonts w:hint="eastAsia" w:ascii="宋体" w:hAnsi="宋体"/>
                <w:color w:val="auto"/>
                <w:sz w:val="24"/>
                <w:highlight w:val="none"/>
              </w:rPr>
              <w:t>开标时间及地点：2025年 月  日9：00时</w:t>
            </w:r>
          </w:p>
          <w:p w14:paraId="5C410F1E">
            <w:pPr>
              <w:widowControl/>
              <w:jc w:val="left"/>
              <w:rPr>
                <w:rFonts w:ascii="宋体" w:hAnsi="宋体"/>
                <w:color w:val="auto"/>
                <w:sz w:val="24"/>
                <w:highlight w:val="none"/>
              </w:rPr>
            </w:pPr>
            <w:r>
              <w:rPr>
                <w:rFonts w:hint="eastAsia" w:ascii="宋体" w:hAnsi="宋体" w:cs="宋体"/>
                <w:color w:val="auto"/>
                <w:kern w:val="0"/>
                <w:sz w:val="24"/>
                <w:highlight w:val="none"/>
              </w:rPr>
              <w:t>湖州市吴兴区公共资源交易中心（湖州市吴兴区区府路1188号总部自由港E幢4楼）开标室</w:t>
            </w:r>
            <w:r>
              <w:rPr>
                <w:rFonts w:hint="eastAsia" w:ascii="宋体" w:hAnsi="宋体"/>
                <w:color w:val="auto"/>
                <w:sz w:val="24"/>
                <w:highlight w:val="none"/>
              </w:rPr>
              <w:t>，供应商应在投标截止时间前登入“政府采购云平台（www.zcygov.cn）”在线参与开标，并完成CA锁在线解密投标文件等相关工作。</w:t>
            </w:r>
          </w:p>
        </w:tc>
      </w:tr>
      <w:tr w14:paraId="42986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00" w:type="dxa"/>
            <w:tcBorders>
              <w:top w:val="single" w:color="auto" w:sz="4" w:space="0"/>
              <w:left w:val="single" w:color="auto" w:sz="4" w:space="0"/>
              <w:bottom w:val="single" w:color="auto" w:sz="4" w:space="0"/>
              <w:right w:val="single" w:color="auto" w:sz="4" w:space="0"/>
            </w:tcBorders>
            <w:vAlign w:val="center"/>
          </w:tcPr>
          <w:p w14:paraId="4C856B04">
            <w:pPr>
              <w:snapToGrid w:val="0"/>
              <w:spacing w:line="360" w:lineRule="auto"/>
              <w:jc w:val="center"/>
              <w:rPr>
                <w:rFonts w:ascii="宋体" w:hAnsi="宋体"/>
                <w:color w:val="auto"/>
                <w:sz w:val="24"/>
                <w:szCs w:val="20"/>
                <w:highlight w:val="none"/>
              </w:rPr>
            </w:pPr>
            <w:r>
              <w:rPr>
                <w:rFonts w:ascii="宋体" w:hAnsi="宋体"/>
                <w:color w:val="auto"/>
                <w:sz w:val="24"/>
                <w:highlight w:val="none"/>
              </w:rPr>
              <w:t>10</w:t>
            </w:r>
          </w:p>
        </w:tc>
        <w:tc>
          <w:tcPr>
            <w:tcW w:w="9056" w:type="dxa"/>
            <w:tcBorders>
              <w:top w:val="single" w:color="auto" w:sz="4" w:space="0"/>
              <w:left w:val="single" w:color="auto" w:sz="4" w:space="0"/>
              <w:bottom w:val="single" w:color="auto" w:sz="4" w:space="0"/>
              <w:right w:val="single" w:color="auto" w:sz="4" w:space="0"/>
            </w:tcBorders>
            <w:vAlign w:val="center"/>
          </w:tcPr>
          <w:p w14:paraId="24CEB416">
            <w:pPr>
              <w:widowControl/>
              <w:jc w:val="left"/>
              <w:rPr>
                <w:rFonts w:ascii="宋体" w:hAnsi="宋体"/>
                <w:color w:val="auto"/>
                <w:sz w:val="24"/>
                <w:highlight w:val="none"/>
              </w:rPr>
            </w:pPr>
            <w:r>
              <w:rPr>
                <w:rFonts w:hint="eastAsia" w:ascii="宋体" w:hAnsi="宋体"/>
                <w:color w:val="auto"/>
                <w:sz w:val="24"/>
                <w:highlight w:val="none"/>
              </w:rPr>
              <w:t>评标办法及评分标准：详见招标文件</w:t>
            </w:r>
          </w:p>
        </w:tc>
      </w:tr>
      <w:tr w14:paraId="735FB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00" w:type="dxa"/>
            <w:tcBorders>
              <w:top w:val="single" w:color="auto" w:sz="4" w:space="0"/>
              <w:left w:val="single" w:color="auto" w:sz="4" w:space="0"/>
              <w:bottom w:val="single" w:color="auto" w:sz="4" w:space="0"/>
              <w:right w:val="single" w:color="auto" w:sz="4" w:space="0"/>
            </w:tcBorders>
            <w:vAlign w:val="center"/>
          </w:tcPr>
          <w:p w14:paraId="17AE302C">
            <w:pPr>
              <w:snapToGrid w:val="0"/>
              <w:spacing w:line="360" w:lineRule="auto"/>
              <w:jc w:val="center"/>
              <w:rPr>
                <w:rFonts w:ascii="宋体" w:hAnsi="宋体"/>
                <w:color w:val="auto"/>
                <w:sz w:val="24"/>
                <w:szCs w:val="20"/>
                <w:highlight w:val="none"/>
              </w:rPr>
            </w:pPr>
            <w:r>
              <w:rPr>
                <w:rFonts w:ascii="宋体" w:hAnsi="宋体"/>
                <w:color w:val="auto"/>
                <w:sz w:val="24"/>
                <w:highlight w:val="none"/>
              </w:rPr>
              <w:t>11</w:t>
            </w:r>
          </w:p>
        </w:tc>
        <w:tc>
          <w:tcPr>
            <w:tcW w:w="9056" w:type="dxa"/>
            <w:tcBorders>
              <w:top w:val="single" w:color="auto" w:sz="4" w:space="0"/>
              <w:left w:val="single" w:color="auto" w:sz="4" w:space="0"/>
              <w:bottom w:val="single" w:color="auto" w:sz="4" w:space="0"/>
              <w:right w:val="single" w:color="auto" w:sz="4" w:space="0"/>
            </w:tcBorders>
            <w:vAlign w:val="center"/>
          </w:tcPr>
          <w:p w14:paraId="4390CC8B">
            <w:pPr>
              <w:widowControl/>
              <w:jc w:val="left"/>
              <w:rPr>
                <w:rFonts w:ascii="宋体" w:hAnsi="宋体"/>
                <w:color w:val="auto"/>
                <w:sz w:val="24"/>
                <w:highlight w:val="none"/>
              </w:rPr>
            </w:pPr>
            <w:r>
              <w:rPr>
                <w:rFonts w:hint="eastAsia" w:ascii="宋体" w:hAnsi="宋体"/>
                <w:color w:val="auto"/>
                <w:sz w:val="24"/>
                <w:highlight w:val="none"/>
              </w:rPr>
              <w:t>中标公告：中标供应商确定后，中标公告于浙江省政府采购网：（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ascii="宋体" w:hAnsi="宋体"/>
                <w:color w:val="auto"/>
                <w:sz w:val="24"/>
                <w:highlight w:val="none"/>
              </w:rPr>
              <w:t>http://www.zjzfcg.gov.cn</w:t>
            </w:r>
            <w:r>
              <w:rPr>
                <w:rFonts w:ascii="宋体" w:hAnsi="宋体"/>
                <w:color w:val="auto"/>
                <w:sz w:val="24"/>
                <w:highlight w:val="none"/>
              </w:rPr>
              <w:fldChar w:fldCharType="end"/>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s="宋体"/>
                <w:color w:val="auto"/>
                <w:kern w:val="0"/>
                <w:sz w:val="24"/>
                <w:highlight w:val="none"/>
              </w:rPr>
              <w:t>吴兴区人民政府网http://www.wuxing.gov.cn/首页“吴兴区公共资源交易中心”专栏</w:t>
            </w:r>
            <w:r>
              <w:rPr>
                <w:rFonts w:hint="eastAsia" w:ascii="宋体" w:hAnsi="宋体"/>
                <w:color w:val="auto"/>
                <w:sz w:val="24"/>
                <w:highlight w:val="none"/>
              </w:rPr>
              <w:t>。</w:t>
            </w:r>
          </w:p>
        </w:tc>
      </w:tr>
      <w:tr w14:paraId="331C4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00" w:type="dxa"/>
            <w:tcBorders>
              <w:top w:val="single" w:color="auto" w:sz="4" w:space="0"/>
              <w:left w:val="single" w:color="auto" w:sz="4" w:space="0"/>
              <w:bottom w:val="single" w:color="auto" w:sz="4" w:space="0"/>
              <w:right w:val="single" w:color="auto" w:sz="4" w:space="0"/>
            </w:tcBorders>
            <w:vAlign w:val="center"/>
          </w:tcPr>
          <w:p w14:paraId="0E863F4C">
            <w:pPr>
              <w:snapToGrid w:val="0"/>
              <w:spacing w:line="360" w:lineRule="auto"/>
              <w:jc w:val="center"/>
              <w:rPr>
                <w:rFonts w:ascii="宋体" w:hAnsi="宋体"/>
                <w:color w:val="auto"/>
                <w:sz w:val="24"/>
                <w:szCs w:val="20"/>
                <w:highlight w:val="none"/>
              </w:rPr>
            </w:pPr>
            <w:r>
              <w:rPr>
                <w:rFonts w:ascii="宋体" w:hAnsi="宋体"/>
                <w:color w:val="auto"/>
                <w:sz w:val="24"/>
                <w:highlight w:val="none"/>
              </w:rPr>
              <w:t>12</w:t>
            </w:r>
          </w:p>
        </w:tc>
        <w:tc>
          <w:tcPr>
            <w:tcW w:w="9056" w:type="dxa"/>
            <w:tcBorders>
              <w:top w:val="single" w:color="auto" w:sz="4" w:space="0"/>
              <w:left w:val="single" w:color="auto" w:sz="4" w:space="0"/>
              <w:bottom w:val="single" w:color="auto" w:sz="4" w:space="0"/>
              <w:right w:val="single" w:color="auto" w:sz="4" w:space="0"/>
            </w:tcBorders>
            <w:vAlign w:val="center"/>
          </w:tcPr>
          <w:p w14:paraId="3DB7210A">
            <w:pPr>
              <w:widowControl/>
              <w:jc w:val="left"/>
              <w:rPr>
                <w:rFonts w:ascii="宋体" w:hAnsi="宋体"/>
                <w:color w:val="auto"/>
                <w:sz w:val="24"/>
                <w:highlight w:val="none"/>
              </w:rPr>
            </w:pPr>
            <w:r>
              <w:rPr>
                <w:rFonts w:hint="eastAsia" w:ascii="宋体" w:hAnsi="宋体"/>
                <w:color w:val="auto"/>
                <w:sz w:val="24"/>
                <w:highlight w:val="none"/>
              </w:rPr>
              <w:t>签订合同时间：中标通知书发出后30日内。</w:t>
            </w:r>
          </w:p>
        </w:tc>
      </w:tr>
      <w:tr w14:paraId="60BD2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00" w:type="dxa"/>
            <w:tcBorders>
              <w:top w:val="single" w:color="auto" w:sz="4" w:space="0"/>
              <w:left w:val="single" w:color="auto" w:sz="4" w:space="0"/>
              <w:bottom w:val="single" w:color="auto" w:sz="4" w:space="0"/>
              <w:right w:val="single" w:color="auto" w:sz="4" w:space="0"/>
            </w:tcBorders>
            <w:vAlign w:val="center"/>
          </w:tcPr>
          <w:p w14:paraId="074FBBF4">
            <w:pPr>
              <w:snapToGrid w:val="0"/>
              <w:spacing w:line="360" w:lineRule="auto"/>
              <w:jc w:val="center"/>
              <w:rPr>
                <w:rFonts w:ascii="宋体" w:hAnsi="宋体"/>
                <w:color w:val="auto"/>
                <w:sz w:val="24"/>
                <w:szCs w:val="20"/>
                <w:highlight w:val="none"/>
              </w:rPr>
            </w:pPr>
            <w:r>
              <w:rPr>
                <w:rFonts w:ascii="宋体" w:hAnsi="宋体"/>
                <w:color w:val="auto"/>
                <w:sz w:val="24"/>
                <w:highlight w:val="none"/>
              </w:rPr>
              <w:t>13</w:t>
            </w:r>
          </w:p>
        </w:tc>
        <w:tc>
          <w:tcPr>
            <w:tcW w:w="9056" w:type="dxa"/>
            <w:tcBorders>
              <w:top w:val="single" w:color="auto" w:sz="4" w:space="0"/>
              <w:left w:val="single" w:color="auto" w:sz="4" w:space="0"/>
              <w:bottom w:val="single" w:color="auto" w:sz="4" w:space="0"/>
              <w:right w:val="single" w:color="auto" w:sz="4" w:space="0"/>
            </w:tcBorders>
            <w:vAlign w:val="center"/>
          </w:tcPr>
          <w:p w14:paraId="1EA8B2DD">
            <w:pPr>
              <w:widowControl/>
              <w:jc w:val="left"/>
              <w:rPr>
                <w:rFonts w:ascii="宋体" w:hAnsi="宋体"/>
                <w:color w:val="auto"/>
                <w:sz w:val="24"/>
                <w:highlight w:val="none"/>
              </w:rPr>
            </w:pPr>
            <w:r>
              <w:rPr>
                <w:rFonts w:hint="eastAsia" w:ascii="宋体" w:hAnsi="宋体"/>
                <w:color w:val="auto"/>
                <w:sz w:val="24"/>
                <w:highlight w:val="none"/>
              </w:rPr>
              <w:t>本项目的履约保证金：无</w:t>
            </w:r>
          </w:p>
        </w:tc>
      </w:tr>
      <w:tr w14:paraId="2362E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0" w:type="dxa"/>
            <w:tcBorders>
              <w:top w:val="single" w:color="auto" w:sz="4" w:space="0"/>
              <w:left w:val="single" w:color="auto" w:sz="4" w:space="0"/>
              <w:bottom w:val="single" w:color="auto" w:sz="4" w:space="0"/>
              <w:right w:val="single" w:color="auto" w:sz="4" w:space="0"/>
            </w:tcBorders>
            <w:vAlign w:val="center"/>
          </w:tcPr>
          <w:p w14:paraId="252E164D">
            <w:pPr>
              <w:snapToGrid w:val="0"/>
              <w:spacing w:line="360" w:lineRule="auto"/>
              <w:jc w:val="center"/>
              <w:rPr>
                <w:rFonts w:ascii="宋体" w:hAnsi="宋体"/>
                <w:color w:val="auto"/>
                <w:sz w:val="24"/>
                <w:szCs w:val="20"/>
                <w:highlight w:val="none"/>
              </w:rPr>
            </w:pPr>
            <w:r>
              <w:rPr>
                <w:rFonts w:ascii="宋体" w:hAnsi="宋体"/>
                <w:color w:val="auto"/>
                <w:sz w:val="24"/>
                <w:highlight w:val="none"/>
              </w:rPr>
              <w:t>14</w:t>
            </w:r>
          </w:p>
        </w:tc>
        <w:tc>
          <w:tcPr>
            <w:tcW w:w="9056" w:type="dxa"/>
            <w:tcBorders>
              <w:top w:val="single" w:color="auto" w:sz="4" w:space="0"/>
              <w:left w:val="single" w:color="auto" w:sz="4" w:space="0"/>
              <w:bottom w:val="single" w:color="auto" w:sz="4" w:space="0"/>
              <w:right w:val="single" w:color="auto" w:sz="4" w:space="0"/>
            </w:tcBorders>
            <w:vAlign w:val="center"/>
          </w:tcPr>
          <w:p w14:paraId="79373811">
            <w:pPr>
              <w:widowControl/>
              <w:jc w:val="left"/>
              <w:rPr>
                <w:rFonts w:ascii="宋体" w:hAnsi="宋体"/>
                <w:color w:val="auto"/>
                <w:sz w:val="24"/>
                <w:highlight w:val="none"/>
              </w:rPr>
            </w:pPr>
            <w:r>
              <w:rPr>
                <w:rFonts w:hint="eastAsia" w:ascii="宋体" w:hAnsi="宋体"/>
                <w:color w:val="auto"/>
                <w:sz w:val="24"/>
                <w:highlight w:val="none"/>
              </w:rPr>
              <w:t>采购资金来源：财政资金</w:t>
            </w:r>
          </w:p>
        </w:tc>
      </w:tr>
      <w:tr w14:paraId="3FD99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900" w:type="dxa"/>
            <w:tcBorders>
              <w:top w:val="single" w:color="auto" w:sz="4" w:space="0"/>
              <w:left w:val="single" w:color="auto" w:sz="4" w:space="0"/>
              <w:bottom w:val="single" w:color="auto" w:sz="4" w:space="0"/>
              <w:right w:val="single" w:color="auto" w:sz="4" w:space="0"/>
            </w:tcBorders>
            <w:vAlign w:val="center"/>
          </w:tcPr>
          <w:p w14:paraId="1F5201CD">
            <w:pPr>
              <w:snapToGrid w:val="0"/>
              <w:spacing w:line="360" w:lineRule="auto"/>
              <w:jc w:val="center"/>
              <w:rPr>
                <w:rFonts w:ascii="宋体" w:hAnsi="宋体"/>
                <w:color w:val="auto"/>
                <w:sz w:val="24"/>
                <w:szCs w:val="20"/>
                <w:highlight w:val="none"/>
              </w:rPr>
            </w:pPr>
            <w:r>
              <w:rPr>
                <w:rFonts w:ascii="宋体" w:hAnsi="宋体"/>
                <w:color w:val="auto"/>
                <w:sz w:val="24"/>
                <w:highlight w:val="none"/>
              </w:rPr>
              <w:t>15</w:t>
            </w:r>
          </w:p>
        </w:tc>
        <w:tc>
          <w:tcPr>
            <w:tcW w:w="9056" w:type="dxa"/>
            <w:tcBorders>
              <w:top w:val="single" w:color="auto" w:sz="4" w:space="0"/>
              <w:left w:val="single" w:color="auto" w:sz="4" w:space="0"/>
              <w:bottom w:val="single" w:color="auto" w:sz="4" w:space="0"/>
              <w:right w:val="single" w:color="auto" w:sz="4" w:space="0"/>
            </w:tcBorders>
            <w:vAlign w:val="center"/>
          </w:tcPr>
          <w:p w14:paraId="2B9C3A2A">
            <w:pPr>
              <w:widowControl/>
              <w:jc w:val="left"/>
              <w:rPr>
                <w:rFonts w:ascii="宋体" w:hAnsi="宋体"/>
                <w:color w:val="auto"/>
                <w:sz w:val="24"/>
                <w:highlight w:val="none"/>
              </w:rPr>
            </w:pPr>
            <w:r>
              <w:rPr>
                <w:rFonts w:hint="eastAsia" w:ascii="宋体" w:hAnsi="宋体"/>
                <w:color w:val="auto"/>
                <w:sz w:val="24"/>
                <w:highlight w:val="none"/>
              </w:rPr>
              <w:t>付款方式：自行支付</w:t>
            </w:r>
          </w:p>
        </w:tc>
      </w:tr>
      <w:tr w14:paraId="673E5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900" w:type="dxa"/>
            <w:tcBorders>
              <w:top w:val="single" w:color="auto" w:sz="4" w:space="0"/>
              <w:left w:val="single" w:color="auto" w:sz="4" w:space="0"/>
              <w:bottom w:val="single" w:color="auto" w:sz="4" w:space="0"/>
              <w:right w:val="single" w:color="auto" w:sz="4" w:space="0"/>
            </w:tcBorders>
            <w:vAlign w:val="center"/>
          </w:tcPr>
          <w:p w14:paraId="35E263E9">
            <w:pPr>
              <w:snapToGrid w:val="0"/>
              <w:spacing w:line="360" w:lineRule="auto"/>
              <w:jc w:val="center"/>
              <w:rPr>
                <w:rFonts w:ascii="宋体" w:hAnsi="宋体"/>
                <w:color w:val="auto"/>
                <w:sz w:val="24"/>
                <w:highlight w:val="none"/>
              </w:rPr>
            </w:pPr>
            <w:r>
              <w:rPr>
                <w:rFonts w:ascii="宋体" w:hAnsi="宋体"/>
                <w:color w:val="auto"/>
                <w:sz w:val="24"/>
                <w:highlight w:val="none"/>
              </w:rPr>
              <w:t>16</w:t>
            </w:r>
          </w:p>
        </w:tc>
        <w:tc>
          <w:tcPr>
            <w:tcW w:w="9056" w:type="dxa"/>
            <w:tcBorders>
              <w:top w:val="single" w:color="auto" w:sz="4" w:space="0"/>
              <w:left w:val="single" w:color="auto" w:sz="4" w:space="0"/>
              <w:bottom w:val="single" w:color="auto" w:sz="4" w:space="0"/>
              <w:right w:val="single" w:color="auto" w:sz="4" w:space="0"/>
            </w:tcBorders>
            <w:vAlign w:val="center"/>
          </w:tcPr>
          <w:p w14:paraId="60F2ADC4">
            <w:pPr>
              <w:widowControl/>
              <w:jc w:val="left"/>
              <w:rPr>
                <w:rFonts w:ascii="宋体" w:hAnsi="宋体"/>
                <w:color w:val="auto"/>
                <w:sz w:val="24"/>
                <w:highlight w:val="none"/>
              </w:rPr>
            </w:pPr>
            <w:r>
              <w:rPr>
                <w:rFonts w:hint="eastAsia" w:ascii="宋体" w:hAnsi="宋体"/>
                <w:color w:val="auto"/>
                <w:sz w:val="24"/>
                <w:highlight w:val="none"/>
              </w:rPr>
              <w:t>投标文件有效期：120天</w:t>
            </w:r>
          </w:p>
        </w:tc>
      </w:tr>
      <w:tr w14:paraId="1AD4A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900" w:type="dxa"/>
            <w:tcBorders>
              <w:top w:val="single" w:color="auto" w:sz="4" w:space="0"/>
              <w:left w:val="single" w:color="auto" w:sz="4" w:space="0"/>
              <w:bottom w:val="single" w:color="auto" w:sz="4" w:space="0"/>
              <w:right w:val="single" w:color="auto" w:sz="4" w:space="0"/>
            </w:tcBorders>
            <w:vAlign w:val="center"/>
          </w:tcPr>
          <w:p w14:paraId="58A5D4CE">
            <w:pPr>
              <w:snapToGrid w:val="0"/>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17</w:t>
            </w:r>
          </w:p>
        </w:tc>
        <w:tc>
          <w:tcPr>
            <w:tcW w:w="9056" w:type="dxa"/>
            <w:tcBorders>
              <w:top w:val="single" w:color="auto" w:sz="4" w:space="0"/>
              <w:left w:val="single" w:color="auto" w:sz="4" w:space="0"/>
              <w:bottom w:val="single" w:color="auto" w:sz="4" w:space="0"/>
              <w:right w:val="single" w:color="auto" w:sz="4" w:space="0"/>
            </w:tcBorders>
            <w:vAlign w:val="center"/>
          </w:tcPr>
          <w:p w14:paraId="6760C90B">
            <w:pPr>
              <w:snapToGrid w:val="0"/>
              <w:spacing w:line="360" w:lineRule="auto"/>
              <w:rPr>
                <w:rFonts w:ascii="宋体" w:hAnsi="宋体" w:cs="Arial"/>
                <w:color w:val="auto"/>
                <w:sz w:val="24"/>
                <w:highlight w:val="none"/>
              </w:rPr>
            </w:pPr>
            <w:r>
              <w:rPr>
                <w:rFonts w:hint="eastAsia" w:ascii="宋体" w:hAnsi="宋体"/>
                <w:color w:val="auto"/>
                <w:sz w:val="24"/>
                <w:highlight w:val="none"/>
              </w:rPr>
              <w:t>招标单位：湖州市吴兴区民政局</w:t>
            </w:r>
          </w:p>
        </w:tc>
      </w:tr>
      <w:tr w14:paraId="2CAD2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00" w:type="dxa"/>
            <w:tcBorders>
              <w:top w:val="single" w:color="auto" w:sz="4" w:space="0"/>
              <w:left w:val="single" w:color="auto" w:sz="4" w:space="0"/>
              <w:bottom w:val="single" w:color="auto" w:sz="4" w:space="0"/>
              <w:right w:val="single" w:color="auto" w:sz="4" w:space="0"/>
            </w:tcBorders>
            <w:vAlign w:val="center"/>
          </w:tcPr>
          <w:p w14:paraId="664C81BC">
            <w:pPr>
              <w:snapToGrid w:val="0"/>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18</w:t>
            </w:r>
          </w:p>
        </w:tc>
        <w:tc>
          <w:tcPr>
            <w:tcW w:w="9056" w:type="dxa"/>
            <w:tcBorders>
              <w:top w:val="single" w:color="auto" w:sz="4" w:space="0"/>
              <w:left w:val="single" w:color="auto" w:sz="4" w:space="0"/>
              <w:bottom w:val="single" w:color="auto" w:sz="4" w:space="0"/>
              <w:right w:val="single" w:color="auto" w:sz="4" w:space="0"/>
            </w:tcBorders>
            <w:vAlign w:val="center"/>
          </w:tcPr>
          <w:p w14:paraId="0CAC4942">
            <w:pPr>
              <w:widowControl/>
              <w:jc w:val="left"/>
              <w:rPr>
                <w:rFonts w:ascii="宋体" w:hAnsi="宋体"/>
                <w:color w:val="auto"/>
                <w:sz w:val="24"/>
                <w:highlight w:val="none"/>
              </w:rPr>
            </w:pPr>
            <w:r>
              <w:rPr>
                <w:rFonts w:hint="eastAsia" w:ascii="宋体" w:hAnsi="宋体"/>
                <w:color w:val="auto"/>
                <w:sz w:val="24"/>
                <w:highlight w:val="none"/>
              </w:rPr>
              <w:t>解释：本招标文件的解释权属于招标采购单位</w:t>
            </w:r>
          </w:p>
        </w:tc>
      </w:tr>
    </w:tbl>
    <w:p w14:paraId="1DAF15A5">
      <w:pPr>
        <w:pStyle w:val="13"/>
        <w:snapToGrid w:val="0"/>
        <w:spacing w:beforeLines="0" w:afterLines="0" w:line="360" w:lineRule="auto"/>
        <w:ind w:firstLine="562" w:firstLineChars="200"/>
        <w:rPr>
          <w:rFonts w:hAnsi="宋体"/>
          <w:b/>
          <w:color w:val="auto"/>
          <w:sz w:val="28"/>
          <w:szCs w:val="28"/>
          <w:highlight w:val="none"/>
        </w:rPr>
      </w:pPr>
      <w:r>
        <w:rPr>
          <w:rFonts w:hint="eastAsia" w:hAnsi="宋体"/>
          <w:b/>
          <w:color w:val="auto"/>
          <w:sz w:val="28"/>
          <w:szCs w:val="28"/>
          <w:highlight w:val="none"/>
        </w:rPr>
        <w:t>一   总  则</w:t>
      </w:r>
    </w:p>
    <w:p w14:paraId="5C4EB635">
      <w:pPr>
        <w:snapToGrid w:val="0"/>
        <w:spacing w:line="360" w:lineRule="auto"/>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（一）</w:t>
      </w:r>
      <w:r>
        <w:rPr>
          <w:rFonts w:ascii="宋体" w:hAnsi="宋体"/>
          <w:b/>
          <w:color w:val="auto"/>
          <w:sz w:val="24"/>
          <w:highlight w:val="none"/>
        </w:rPr>
        <w:t xml:space="preserve"> 适用范围</w:t>
      </w:r>
    </w:p>
    <w:p w14:paraId="3C327EC9">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本招标文件适用于2025-2028年度吴兴区居家养老服务（照料）中心运营项目的招标、评标、定标、验收、合同履约、付款等（法律、法规另有规定的，从其规定）。</w:t>
      </w:r>
    </w:p>
    <w:p w14:paraId="2ADF55FB">
      <w:pPr>
        <w:snapToGrid w:val="0"/>
        <w:spacing w:line="360" w:lineRule="auto"/>
        <w:ind w:firstLine="354" w:firstLineChars="147"/>
        <w:jc w:val="left"/>
        <w:outlineLvl w:val="1"/>
        <w:rPr>
          <w:rFonts w:ascii="宋体" w:hAnsi="宋体"/>
          <w:b/>
          <w:color w:val="auto"/>
          <w:sz w:val="24"/>
          <w:szCs w:val="20"/>
          <w:highlight w:val="none"/>
        </w:rPr>
      </w:pPr>
      <w:r>
        <w:rPr>
          <w:rFonts w:hint="eastAsia" w:ascii="宋体" w:hAnsi="宋体"/>
          <w:b/>
          <w:color w:val="auto"/>
          <w:sz w:val="24"/>
          <w:highlight w:val="none"/>
        </w:rPr>
        <w:t>（二）定义</w:t>
      </w:r>
    </w:p>
    <w:p w14:paraId="351171F5">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招标采购单位系指组织本次招标的代理机构和采购单位</w:t>
      </w:r>
      <w:r>
        <w:rPr>
          <w:rFonts w:hint="eastAsia" w:ascii="宋体" w:hAnsi="宋体"/>
          <w:color w:val="auto"/>
          <w:sz w:val="24"/>
          <w:highlight w:val="none"/>
        </w:rPr>
        <w:t>（湖州市吴兴区民政局）</w:t>
      </w:r>
      <w:r>
        <w:rPr>
          <w:rFonts w:ascii="宋体" w:hAnsi="宋体"/>
          <w:color w:val="auto"/>
          <w:sz w:val="24"/>
          <w:highlight w:val="none"/>
        </w:rPr>
        <w:t>。</w:t>
      </w:r>
    </w:p>
    <w:p w14:paraId="1357D15B">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投标人”系指向招标方提交投标文件的单位或个人。</w:t>
      </w:r>
    </w:p>
    <w:p w14:paraId="310FE498">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“产品”系指供方按招标文件规定，须向采购人提供的一切设备、保险、税金、备品备件、工具、手册及其它有关技术资料和材料。</w:t>
      </w:r>
    </w:p>
    <w:p w14:paraId="441409C8">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“服务”系指招标文件规定投标人须承担的安装、调试、技术协助、校准、培训、技术指导以及其他类似的义务。</w:t>
      </w:r>
    </w:p>
    <w:p w14:paraId="545C0FD1">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“项目”系指投标人按招标文件规定向采购人提供的产品和服务。</w:t>
      </w:r>
    </w:p>
    <w:p w14:paraId="20B0E168">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“书面形式”包括信函、传真、电报等。</w:t>
      </w:r>
    </w:p>
    <w:p w14:paraId="1BB7ECFF">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7</w:t>
      </w:r>
      <w:r>
        <w:rPr>
          <w:rFonts w:hint="eastAsia" w:ascii="宋体" w:hAnsi="宋体"/>
          <w:color w:val="auto"/>
          <w:sz w:val="24"/>
          <w:highlight w:val="none"/>
        </w:rPr>
        <w:t>.</w:t>
      </w:r>
      <w:r>
        <w:rPr>
          <w:rFonts w:ascii="宋体" w:hAnsi="宋体"/>
          <w:color w:val="auto"/>
          <w:sz w:val="24"/>
          <w:highlight w:val="none"/>
        </w:rPr>
        <w:t>“▲”系指实质性要求条款。</w:t>
      </w:r>
    </w:p>
    <w:p w14:paraId="41623637">
      <w:pPr>
        <w:snapToGrid w:val="0"/>
        <w:spacing w:line="360" w:lineRule="auto"/>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（三）招标方式</w:t>
      </w:r>
    </w:p>
    <w:p w14:paraId="0A78679A">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本次招标采用公开招标方式进行。</w:t>
      </w:r>
    </w:p>
    <w:p w14:paraId="2521375E">
      <w:pPr>
        <w:snapToGrid w:val="0"/>
        <w:spacing w:line="360" w:lineRule="auto"/>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（四）投标委托</w:t>
      </w:r>
    </w:p>
    <w:p w14:paraId="4C97BC28">
      <w:pPr>
        <w:pStyle w:val="11"/>
        <w:snapToGrid w:val="0"/>
        <w:spacing w:line="360" w:lineRule="auto"/>
        <w:ind w:firstLine="600" w:firstLineChars="250"/>
        <w:jc w:val="left"/>
        <w:rPr>
          <w:rFonts w:hAnsi="宋体"/>
          <w:color w:val="auto"/>
          <w:sz w:val="24"/>
          <w:szCs w:val="24"/>
          <w:highlight w:val="none"/>
        </w:rPr>
      </w:pPr>
      <w:r>
        <w:rPr>
          <w:rFonts w:hAnsi="宋体"/>
          <w:color w:val="auto"/>
          <w:sz w:val="24"/>
          <w:szCs w:val="24"/>
          <w:highlight w:val="none"/>
        </w:rPr>
        <w:t>投标人代表须携带</w:t>
      </w:r>
      <w:r>
        <w:rPr>
          <w:rFonts w:hint="eastAsia" w:hAnsi="宋体"/>
          <w:color w:val="auto"/>
          <w:sz w:val="24"/>
          <w:szCs w:val="24"/>
          <w:highlight w:val="none"/>
        </w:rPr>
        <w:t>有效</w:t>
      </w:r>
      <w:r>
        <w:rPr>
          <w:rFonts w:hAnsi="宋体"/>
          <w:color w:val="auto"/>
          <w:sz w:val="24"/>
          <w:szCs w:val="24"/>
          <w:highlight w:val="none"/>
        </w:rPr>
        <w:t>身份证</w:t>
      </w:r>
      <w:r>
        <w:rPr>
          <w:rFonts w:hint="eastAsia" w:hAnsi="宋体"/>
          <w:color w:val="auto"/>
          <w:sz w:val="24"/>
          <w:szCs w:val="24"/>
          <w:highlight w:val="none"/>
        </w:rPr>
        <w:t>件</w:t>
      </w:r>
      <w:r>
        <w:rPr>
          <w:rFonts w:hAnsi="宋体"/>
          <w:color w:val="auto"/>
          <w:sz w:val="24"/>
          <w:szCs w:val="24"/>
          <w:highlight w:val="none"/>
        </w:rPr>
        <w:t>。如投标人代表不是法定代表人，须有法定代表人出具的授权委托书</w:t>
      </w:r>
      <w:r>
        <w:rPr>
          <w:rFonts w:hint="eastAsia" w:hAnsi="宋体"/>
          <w:color w:val="auto"/>
          <w:sz w:val="24"/>
          <w:szCs w:val="24"/>
          <w:highlight w:val="none"/>
        </w:rPr>
        <w:t>及近1个月的社保证明复印件加盖公章</w:t>
      </w:r>
      <w:r>
        <w:rPr>
          <w:rFonts w:hAnsi="宋体"/>
          <w:color w:val="auto"/>
          <w:sz w:val="24"/>
          <w:szCs w:val="24"/>
          <w:highlight w:val="none"/>
        </w:rPr>
        <w:t>（格式见第四部分）。</w:t>
      </w:r>
    </w:p>
    <w:p w14:paraId="30186071">
      <w:pPr>
        <w:snapToGrid w:val="0"/>
        <w:spacing w:line="360" w:lineRule="auto"/>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（五）投标费用</w:t>
      </w:r>
    </w:p>
    <w:p w14:paraId="4268E52B">
      <w:pPr>
        <w:snapToGrid w:val="0"/>
        <w:spacing w:line="360" w:lineRule="auto"/>
        <w:ind w:firstLine="600" w:firstLineChars="250"/>
        <w:jc w:val="left"/>
        <w:rPr>
          <w:rFonts w:ascii="宋体" w:hAnsi="宋体"/>
          <w:color w:val="auto"/>
          <w:sz w:val="24"/>
          <w:highlight w:val="none"/>
        </w:rPr>
      </w:pPr>
      <w:r>
        <w:rPr>
          <w:rFonts w:hint="eastAsia" w:ascii="宋体" w:hAnsi="宋体"/>
          <w:color w:val="auto"/>
          <w:sz w:val="24"/>
          <w:highlight w:val="none"/>
        </w:rPr>
        <w:t>1.不论投标结果如何，投标人均应自行承担所有与投标有关的全部费用（招标文件有相反规定除外）。</w:t>
      </w:r>
    </w:p>
    <w:p w14:paraId="11A78D1A">
      <w:pPr>
        <w:snapToGrid w:val="0"/>
        <w:spacing w:line="360" w:lineRule="auto"/>
        <w:ind w:firstLine="600" w:firstLineChars="250"/>
        <w:jc w:val="left"/>
        <w:rPr>
          <w:rFonts w:ascii="宋体" w:hAnsi="宋体"/>
          <w:color w:val="auto"/>
          <w:sz w:val="24"/>
          <w:highlight w:val="none"/>
        </w:rPr>
      </w:pPr>
      <w:r>
        <w:rPr>
          <w:rFonts w:hint="eastAsia" w:ascii="宋体" w:hAnsi="宋体"/>
          <w:color w:val="auto"/>
          <w:sz w:val="24"/>
          <w:highlight w:val="none"/>
        </w:rPr>
        <w:t>2.本项目招标代理服务费人民币壹拾贰万伍仟陆佰伍拾元整（￥125650 .00)，其中1:贰万柒仟伍佰壹柒伍元整（27517.00），标项2:贰万柒仟伍佰壹柒伍元整（27517.00），标项3:贰万陆仟捌佰捌拾玖元整（26889.00），标项4:贰万叁仟肆佰零玖元整（23409.00），标项5:贰万零叁佰壹拾捌元整（20318.00），由中标人全额支付。在中标通知书发出后当日内一次性结清。</w:t>
      </w:r>
    </w:p>
    <w:p w14:paraId="28093FC6">
      <w:pPr>
        <w:snapToGrid w:val="0"/>
        <w:spacing w:line="360" w:lineRule="auto"/>
        <w:ind w:firstLine="600" w:firstLineChars="250"/>
        <w:jc w:val="left"/>
        <w:rPr>
          <w:rFonts w:ascii="宋体" w:hAnsi="宋体"/>
          <w:color w:val="auto"/>
          <w:sz w:val="24"/>
          <w:highlight w:val="none"/>
        </w:rPr>
      </w:pPr>
      <w:r>
        <w:rPr>
          <w:rFonts w:hint="eastAsia" w:ascii="宋体" w:hAnsi="宋体"/>
          <w:color w:val="auto"/>
          <w:sz w:val="24"/>
          <w:highlight w:val="none"/>
        </w:rPr>
        <w:t>（六）联合体投标</w:t>
      </w:r>
    </w:p>
    <w:p w14:paraId="08DD2738">
      <w:pPr>
        <w:snapToGrid w:val="0"/>
        <w:spacing w:line="360" w:lineRule="auto"/>
        <w:ind w:firstLine="720" w:firstLineChars="300"/>
        <w:jc w:val="left"/>
        <w:rPr>
          <w:rFonts w:ascii="宋体" w:hAnsi="宋体" w:cs="Arial"/>
          <w:color w:val="auto"/>
          <w:sz w:val="24"/>
          <w:highlight w:val="none"/>
        </w:rPr>
      </w:pPr>
      <w:bookmarkStart w:id="39" w:name="OLE_LINK68"/>
      <w:bookmarkStart w:id="40" w:name="OLE_LINK69"/>
      <w:r>
        <w:rPr>
          <w:rFonts w:hint="eastAsia" w:ascii="宋体" w:hAnsi="宋体" w:cs="Arial"/>
          <w:color w:val="auto"/>
          <w:sz w:val="24"/>
          <w:highlight w:val="none"/>
        </w:rPr>
        <w:t>1.本项目接受联合体投标。</w:t>
      </w:r>
    </w:p>
    <w:p w14:paraId="5238A7D5">
      <w:pPr>
        <w:snapToGrid w:val="0"/>
        <w:spacing w:line="360" w:lineRule="auto"/>
        <w:ind w:firstLine="720" w:firstLineChars="300"/>
        <w:jc w:val="left"/>
        <w:rPr>
          <w:rFonts w:ascii="宋体" w:hAnsi="宋体"/>
          <w:color w:val="auto"/>
          <w:sz w:val="24"/>
          <w:highlight w:val="none"/>
        </w:rPr>
      </w:pPr>
      <w:r>
        <w:rPr>
          <w:rFonts w:hint="eastAsia" w:ascii="宋体" w:hAnsi="宋体"/>
          <w:color w:val="auto"/>
          <w:sz w:val="24"/>
          <w:highlight w:val="none"/>
        </w:rPr>
        <w:t>2.由两个以上的投标人组成一个联合体以一个投标人身份共同投标时，应符合下列要求：</w:t>
      </w:r>
    </w:p>
    <w:p w14:paraId="53CF9B7F">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1）投标人的投标文件及中标后签署的合同对联合体各方均具有法律约束力；</w:t>
      </w:r>
    </w:p>
    <w:p w14:paraId="7D65A9FB">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2）</w:t>
      </w:r>
      <w:bookmarkStart w:id="41" w:name="OLE_LINK124"/>
      <w:bookmarkStart w:id="42" w:name="OLE_LINK123"/>
      <w:r>
        <w:rPr>
          <w:rFonts w:hint="eastAsia" w:ascii="宋体" w:hAnsi="宋体"/>
          <w:color w:val="auto"/>
          <w:sz w:val="24"/>
          <w:highlight w:val="none"/>
        </w:rPr>
        <w:t>联合体各方</w:t>
      </w:r>
      <w:bookmarkEnd w:id="41"/>
      <w:bookmarkEnd w:id="42"/>
      <w:r>
        <w:rPr>
          <w:rFonts w:hint="eastAsia" w:ascii="宋体" w:hAnsi="宋体"/>
          <w:color w:val="auto"/>
          <w:sz w:val="24"/>
          <w:highlight w:val="none"/>
        </w:rPr>
        <w:t>应签订共同投标协议，明确约定各方拟承担的工作和责任，并将该共同投标协议随投标文件一并提交采购人；</w:t>
      </w:r>
    </w:p>
    <w:p w14:paraId="187C3B03">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3）联合体中标后，联合体各方应当共同与采购人签订合同，为履行合同向采购人承担连带责任；</w:t>
      </w:r>
    </w:p>
    <w:p w14:paraId="3880D469">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4）除非另有规定或说明，本须知中“投标人”一词亦指联合体各方。</w:t>
      </w:r>
      <w:bookmarkEnd w:id="39"/>
      <w:bookmarkEnd w:id="40"/>
    </w:p>
    <w:p w14:paraId="4D4F46C4">
      <w:pPr>
        <w:snapToGrid w:val="0"/>
        <w:spacing w:line="360" w:lineRule="auto"/>
        <w:ind w:firstLine="472" w:firstLineChars="196"/>
        <w:rPr>
          <w:rFonts w:ascii="宋体" w:hAnsi="宋体" w:cs="宋体"/>
          <w:b/>
          <w:color w:val="auto"/>
          <w:kern w:val="0"/>
          <w:sz w:val="24"/>
          <w:highlight w:val="none"/>
        </w:rPr>
      </w:pPr>
      <w:r>
        <w:rPr>
          <w:rFonts w:hint="eastAsia" w:ascii="宋体" w:hAnsi="宋体"/>
          <w:b/>
          <w:color w:val="auto"/>
          <w:sz w:val="24"/>
          <w:highlight w:val="none"/>
        </w:rPr>
        <w:t>（七）</w:t>
      </w:r>
      <w:r>
        <w:rPr>
          <w:rFonts w:hint="eastAsia" w:ascii="宋体" w:hAnsi="宋体" w:cs="宋体"/>
          <w:b/>
          <w:color w:val="auto"/>
          <w:kern w:val="0"/>
          <w:sz w:val="24"/>
          <w:highlight w:val="none"/>
        </w:rPr>
        <w:t>转包与分包</w:t>
      </w:r>
    </w:p>
    <w:p w14:paraId="2BC589B1">
      <w:pPr>
        <w:snapToGrid w:val="0"/>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w:t>
      </w:r>
      <w:r>
        <w:rPr>
          <w:rFonts w:ascii="宋体" w:hAnsi="宋体" w:cs="宋体"/>
          <w:color w:val="auto"/>
          <w:kern w:val="0"/>
          <w:sz w:val="24"/>
          <w:highlight w:val="none"/>
        </w:rPr>
        <w:t>本项目不允许转包。</w:t>
      </w:r>
    </w:p>
    <w:p w14:paraId="5D0BE6D2">
      <w:pPr>
        <w:snapToGrid w:val="0"/>
        <w:spacing w:line="360" w:lineRule="auto"/>
        <w:ind w:firstLine="480" w:firstLineChars="200"/>
        <w:rPr>
          <w:rFonts w:ascii="宋体" w:hAnsi="宋体"/>
          <w:color w:val="auto"/>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w:t>
      </w:r>
      <w:r>
        <w:rPr>
          <w:rFonts w:ascii="宋体" w:hAnsi="宋体" w:cs="宋体"/>
          <w:color w:val="auto"/>
          <w:kern w:val="0"/>
          <w:sz w:val="24"/>
          <w:highlight w:val="none"/>
        </w:rPr>
        <w:t>本项目</w:t>
      </w:r>
      <w:r>
        <w:rPr>
          <w:rFonts w:hint="eastAsia" w:ascii="宋体" w:hAnsi="宋体" w:cs="宋体"/>
          <w:color w:val="auto"/>
          <w:kern w:val="0"/>
          <w:sz w:val="24"/>
          <w:highlight w:val="none"/>
        </w:rPr>
        <w:t>不允许</w:t>
      </w:r>
      <w:r>
        <w:rPr>
          <w:rFonts w:ascii="宋体" w:hAnsi="宋体" w:cs="宋体"/>
          <w:color w:val="auto"/>
          <w:kern w:val="0"/>
          <w:sz w:val="24"/>
          <w:highlight w:val="none"/>
        </w:rPr>
        <w:t>分包</w:t>
      </w:r>
      <w:r>
        <w:rPr>
          <w:rFonts w:hint="eastAsia" w:ascii="宋体" w:hAnsi="宋体"/>
          <w:color w:val="auto"/>
          <w:sz w:val="24"/>
          <w:highlight w:val="none"/>
        </w:rPr>
        <w:t>。</w:t>
      </w:r>
    </w:p>
    <w:p w14:paraId="4D672AF7">
      <w:pPr>
        <w:snapToGrid w:val="0"/>
        <w:spacing w:line="360" w:lineRule="auto"/>
        <w:ind w:firstLine="472" w:firstLineChars="196"/>
        <w:jc w:val="left"/>
        <w:outlineLvl w:val="1"/>
        <w:rPr>
          <w:rFonts w:ascii="宋体" w:hAnsi="宋体"/>
          <w:b/>
          <w:color w:val="auto"/>
          <w:sz w:val="24"/>
          <w:highlight w:val="none"/>
        </w:rPr>
      </w:pPr>
      <w:r>
        <w:rPr>
          <w:rFonts w:hint="eastAsia" w:ascii="宋体" w:hAnsi="宋体"/>
          <w:b/>
          <w:color w:val="auto"/>
          <w:sz w:val="24"/>
          <w:highlight w:val="none"/>
        </w:rPr>
        <w:t>（八）特别说明：</w:t>
      </w:r>
    </w:p>
    <w:p w14:paraId="59433123">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1.提供相同品牌产品且通过资格审查、符合性审查的不同投标人参加本项目投标的，按一家投标人计算，评审后得分最高的同品牌投标人获得中标人推荐资格；评审得分相同的，由采购人或者采购人委托评标委员会确定报价最低的投标人获得中标人资格；当报价相同时，采取随机抽取方式确定，其他同品牌投标人不作为中标人。</w:t>
      </w:r>
    </w:p>
    <w:p w14:paraId="490C6968">
      <w:pPr>
        <w:pStyle w:val="13"/>
        <w:snapToGrid w:val="0"/>
        <w:spacing w:beforeLines="0" w:afterLines="0" w:line="360" w:lineRule="auto"/>
        <w:ind w:left="2" w:leftChars="1" w:firstLine="480" w:firstLineChars="200"/>
        <w:rPr>
          <w:rFonts w:hAnsi="宋体"/>
          <w:color w:val="auto"/>
          <w:sz w:val="24"/>
          <w:highlight w:val="none"/>
        </w:rPr>
      </w:pPr>
      <w:r>
        <w:rPr>
          <w:rFonts w:hAnsi="宋体"/>
          <w:color w:val="auto"/>
          <w:sz w:val="24"/>
          <w:highlight w:val="none"/>
        </w:rPr>
        <w:t>▲</w:t>
      </w:r>
      <w:r>
        <w:rPr>
          <w:rFonts w:hint="eastAsia" w:hAnsi="宋体"/>
          <w:color w:val="auto"/>
          <w:sz w:val="24"/>
          <w:highlight w:val="none"/>
        </w:rPr>
        <w:t>2.</w:t>
      </w:r>
      <w:r>
        <w:rPr>
          <w:rFonts w:hAnsi="宋体"/>
          <w:color w:val="auto"/>
          <w:sz w:val="24"/>
          <w:highlight w:val="none"/>
        </w:rPr>
        <w:t>投标人投标所使用的资格、信誉、荣誉、业绩与企业认证必须为本法人所拥有。投标人投标所使用的采购项目实施人员必须为本法人员工（或必须为本法人或控股公司正式员工）。</w:t>
      </w:r>
    </w:p>
    <w:p w14:paraId="07261F2D">
      <w:pPr>
        <w:pStyle w:val="13"/>
        <w:snapToGrid w:val="0"/>
        <w:spacing w:beforeLines="0" w:afterLines="0" w:line="360" w:lineRule="auto"/>
        <w:ind w:left="2" w:leftChars="1" w:firstLine="480" w:firstLineChars="200"/>
        <w:rPr>
          <w:rFonts w:hAnsi="宋体"/>
          <w:color w:val="auto"/>
          <w:sz w:val="24"/>
          <w:highlight w:val="none"/>
        </w:rPr>
      </w:pPr>
      <w:r>
        <w:rPr>
          <w:rFonts w:hAnsi="宋体"/>
          <w:color w:val="auto"/>
          <w:sz w:val="24"/>
          <w:highlight w:val="none"/>
        </w:rPr>
        <w:t>▲</w:t>
      </w:r>
      <w:r>
        <w:rPr>
          <w:rFonts w:hint="eastAsia" w:hAnsi="宋体"/>
          <w:color w:val="auto"/>
          <w:sz w:val="24"/>
          <w:highlight w:val="none"/>
        </w:rPr>
        <w:t>3.</w:t>
      </w:r>
      <w:r>
        <w:rPr>
          <w:rFonts w:hAnsi="宋体"/>
          <w:color w:val="auto"/>
          <w:sz w:val="24"/>
          <w:highlight w:val="none"/>
        </w:rPr>
        <w:t>投标人应仔细阅读招标文件的所有内容，按照招标文件的要求提交投标文件，并对所提供的全部资料的真实性承担法律责任。</w:t>
      </w:r>
    </w:p>
    <w:p w14:paraId="239C4CDA">
      <w:pPr>
        <w:pStyle w:val="13"/>
        <w:snapToGrid w:val="0"/>
        <w:spacing w:beforeLines="0" w:afterLines="0" w:line="360" w:lineRule="auto"/>
        <w:ind w:left="2" w:leftChars="1" w:firstLine="480" w:firstLineChars="200"/>
        <w:rPr>
          <w:rFonts w:hAnsi="宋体"/>
          <w:b/>
          <w:color w:val="auto"/>
          <w:sz w:val="24"/>
          <w:highlight w:val="none"/>
        </w:rPr>
      </w:pPr>
      <w:r>
        <w:rPr>
          <w:rFonts w:hAnsi="宋体"/>
          <w:color w:val="auto"/>
          <w:sz w:val="24"/>
          <w:highlight w:val="none"/>
        </w:rPr>
        <w:t>▲</w:t>
      </w:r>
      <w:r>
        <w:rPr>
          <w:rFonts w:hint="eastAsia" w:hAnsi="宋体"/>
          <w:color w:val="auto"/>
          <w:sz w:val="24"/>
          <w:highlight w:val="none"/>
        </w:rPr>
        <w:t>4.</w:t>
      </w:r>
      <w:r>
        <w:rPr>
          <w:rFonts w:hAnsi="宋体"/>
          <w:color w:val="auto"/>
          <w:sz w:val="24"/>
          <w:highlight w:val="none"/>
        </w:rPr>
        <w:t>投标人在投标活动中提供任何虚假材料</w:t>
      </w:r>
      <w:r>
        <w:rPr>
          <w:rFonts w:hint="eastAsia" w:hAnsi="宋体"/>
          <w:color w:val="auto"/>
          <w:sz w:val="24"/>
          <w:highlight w:val="none"/>
        </w:rPr>
        <w:t>，</w:t>
      </w:r>
      <w:r>
        <w:rPr>
          <w:rFonts w:hAnsi="宋体"/>
          <w:color w:val="auto"/>
          <w:sz w:val="24"/>
          <w:highlight w:val="none"/>
        </w:rPr>
        <w:t>其投标无效，并报监管部门查处；中标后发现的</w:t>
      </w:r>
      <w:r>
        <w:rPr>
          <w:rFonts w:hint="eastAsia" w:hAnsi="宋体"/>
          <w:color w:val="auto"/>
          <w:sz w:val="24"/>
          <w:highlight w:val="none"/>
        </w:rPr>
        <w:t>，</w:t>
      </w:r>
      <w:r>
        <w:rPr>
          <w:rFonts w:hAnsi="宋体"/>
          <w:color w:val="auto"/>
          <w:sz w:val="24"/>
          <w:highlight w:val="none"/>
        </w:rPr>
        <w:t>中标人须依照《中华人民共和国消费者权益保护法》第49条之规定双倍赔偿采购人</w:t>
      </w:r>
      <w:r>
        <w:rPr>
          <w:rFonts w:hint="eastAsia" w:hAnsi="宋体"/>
          <w:color w:val="auto"/>
          <w:sz w:val="24"/>
          <w:highlight w:val="none"/>
        </w:rPr>
        <w:t>，</w:t>
      </w:r>
      <w:r>
        <w:rPr>
          <w:rFonts w:hAnsi="宋体"/>
          <w:color w:val="auto"/>
          <w:sz w:val="24"/>
          <w:highlight w:val="none"/>
        </w:rPr>
        <w:t>且民事赔偿并不免除违法投标人的行政与刑事责任。</w:t>
      </w:r>
    </w:p>
    <w:p w14:paraId="3DFAA741">
      <w:pPr>
        <w:pStyle w:val="13"/>
        <w:snapToGrid w:val="0"/>
        <w:spacing w:beforeLines="0" w:afterLines="0" w:line="360" w:lineRule="auto"/>
        <w:ind w:firstLine="472" w:firstLineChars="196"/>
        <w:outlineLvl w:val="1"/>
        <w:rPr>
          <w:rFonts w:hAnsi="宋体"/>
          <w:b/>
          <w:bCs/>
          <w:color w:val="auto"/>
          <w:sz w:val="24"/>
          <w:highlight w:val="none"/>
        </w:rPr>
      </w:pPr>
      <w:r>
        <w:rPr>
          <w:rFonts w:hAnsi="宋体"/>
          <w:b/>
          <w:bCs/>
          <w:color w:val="auto"/>
          <w:sz w:val="24"/>
          <w:highlight w:val="none"/>
        </w:rPr>
        <w:t>（九）质疑和投诉</w:t>
      </w:r>
    </w:p>
    <w:p w14:paraId="7F21A3E3">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提出质疑的供应商应当是参与所质疑项目采购活动的供应商。潜在供应商已依法获取其可质疑的采购文件的，可以对该文件提出质疑。对采购文件提出质疑的，应当在获取采购文件或者采购文件公告期限届满之日起</w:t>
      </w:r>
      <w:r>
        <w:rPr>
          <w:rFonts w:hint="eastAsia" w:hAnsi="宋体" w:cs="仿宋"/>
          <w:color w:val="auto"/>
          <w:sz w:val="24"/>
          <w:highlight w:val="none"/>
        </w:rPr>
        <w:t>（公告期限届满后获取采购文件的，以公告期限届满之日为准）</w:t>
      </w:r>
      <w:r>
        <w:rPr>
          <w:rFonts w:hint="eastAsia" w:hAnsi="宋体"/>
          <w:color w:val="auto"/>
          <w:sz w:val="24"/>
          <w:highlight w:val="none"/>
        </w:rPr>
        <w:t>7个工作日内，</w:t>
      </w:r>
      <w:r>
        <w:rPr>
          <w:rFonts w:hAnsi="宋体"/>
          <w:color w:val="auto"/>
          <w:sz w:val="24"/>
          <w:highlight w:val="none"/>
        </w:rPr>
        <w:t>以书面形式向采购人、采购代理机构提出质疑</w:t>
      </w:r>
      <w:r>
        <w:rPr>
          <w:rFonts w:hint="eastAsia" w:hAnsi="宋体"/>
          <w:color w:val="auto"/>
          <w:sz w:val="24"/>
          <w:highlight w:val="none"/>
        </w:rPr>
        <w:t>，并电话联系代理公司，由代理公司书面回复“已知悉”，否则代理公司有权不予认可该质疑</w:t>
      </w:r>
      <w:r>
        <w:rPr>
          <w:rFonts w:hAnsi="宋体"/>
          <w:color w:val="auto"/>
          <w:sz w:val="24"/>
          <w:highlight w:val="none"/>
        </w:rPr>
        <w:t>。</w:t>
      </w:r>
    </w:p>
    <w:p w14:paraId="329DAD14">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供应商在法定质疑期内一次性提出针对同一采购程序环节的质疑。</w:t>
      </w:r>
    </w:p>
    <w:p w14:paraId="5CE8ECE3">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1.供应商认为采购文件、采购过程、中标或者成交结果使自己的权益受到损害的，可以在知道或者应知其权益受到损害之日起</w:t>
      </w:r>
      <w:r>
        <w:rPr>
          <w:rFonts w:hint="eastAsia" w:hAnsi="宋体" w:cs="仿宋"/>
          <w:color w:val="auto"/>
          <w:sz w:val="24"/>
          <w:highlight w:val="none"/>
        </w:rPr>
        <w:t>（公告期限届满后获取采购文件的，以公告期限届满之日为准）</w:t>
      </w:r>
      <w:r>
        <w:rPr>
          <w:rFonts w:hint="eastAsia" w:hAnsi="宋体"/>
          <w:color w:val="auto"/>
          <w:sz w:val="24"/>
          <w:highlight w:val="none"/>
        </w:rPr>
        <w:t>7个工作日内，以书面形式向采购人、采购代理机构提出质疑。供应商对招标采购单位的质疑答复不满意或者招标采购单位未在规定时间内作出答复的，可以在答复期满后十五个工作日内向同级采购监管部门提起投诉。</w:t>
      </w:r>
    </w:p>
    <w:p w14:paraId="2AB5EBF7">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2.供应商提出质疑应当提交质疑函和必要的证明材料。质疑函应当包括下列内容：</w:t>
      </w:r>
    </w:p>
    <w:p w14:paraId="292844D1">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1）供应商的姓名或者名称、地址、邮编、联系人及联系电话；</w:t>
      </w:r>
    </w:p>
    <w:p w14:paraId="130ED249">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2）质疑项目的名称、编号；</w:t>
      </w:r>
    </w:p>
    <w:p w14:paraId="1A8E18EF">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3）具体、明确的质疑事项和与质疑事项相关的请求；</w:t>
      </w:r>
    </w:p>
    <w:p w14:paraId="10D30E56">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4）事实依据；</w:t>
      </w:r>
    </w:p>
    <w:p w14:paraId="41CAD90E">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5）必要的法律依据；</w:t>
      </w:r>
    </w:p>
    <w:p w14:paraId="575083B3">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6）提出质疑的日期。</w:t>
      </w:r>
    </w:p>
    <w:p w14:paraId="6B05382E">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3.投诉人提起投诉应当符合下列条件：</w:t>
      </w:r>
    </w:p>
    <w:p w14:paraId="56F71232">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1）提起投诉前已依法进行质疑；</w:t>
      </w:r>
    </w:p>
    <w:p w14:paraId="4B2A1ECD">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2）投诉书内容符合本办法的规定；</w:t>
      </w:r>
    </w:p>
    <w:p w14:paraId="3483CF3B">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3）在投诉有效期限内提起投诉；</w:t>
      </w:r>
    </w:p>
    <w:p w14:paraId="4C7341A1">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4）同一投诉事项未经财政部门投诉处理；</w:t>
      </w:r>
    </w:p>
    <w:p w14:paraId="611E4EFF">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5）财政部规定的其他条件。</w:t>
      </w:r>
    </w:p>
    <w:p w14:paraId="71155B5F">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4.投诉人投诉时，应当提交投诉书和必要的证明材料，并按照被投诉采购人、采购代理机构和与投诉事项有关的供应商数量提供投诉书的副本。投诉书应当包括下列内容：</w:t>
      </w:r>
    </w:p>
    <w:p w14:paraId="5876A207">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1）投诉人和被投诉人的姓名或者名称、通讯地址、邮编、联系人及联系电话；</w:t>
      </w:r>
    </w:p>
    <w:p w14:paraId="244E9FEF">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2）质疑和质疑答复情况说明及相关证明材料；</w:t>
      </w:r>
    </w:p>
    <w:p w14:paraId="077F250F">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3）具体、明确的投诉事项和与投诉事项相关的投诉请求；</w:t>
      </w:r>
    </w:p>
    <w:p w14:paraId="1D4510C9">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4）事实依据；</w:t>
      </w:r>
    </w:p>
    <w:p w14:paraId="1EEE5EAB">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5）法律依据；</w:t>
      </w:r>
    </w:p>
    <w:p w14:paraId="40046892">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6）提起投诉的日期。</w:t>
      </w:r>
    </w:p>
    <w:p w14:paraId="41263729">
      <w:pPr>
        <w:pStyle w:val="13"/>
        <w:snapToGrid w:val="0"/>
        <w:spacing w:beforeLines="0" w:afterLines="0" w:line="360" w:lineRule="auto"/>
        <w:ind w:left="2" w:leftChars="1" w:firstLine="480" w:firstLineChars="200"/>
        <w:rPr>
          <w:rFonts w:hAnsi="宋体"/>
          <w:color w:val="auto"/>
          <w:sz w:val="24"/>
          <w:highlight w:val="none"/>
        </w:rPr>
      </w:pPr>
      <w:r>
        <w:rPr>
          <w:rFonts w:hAnsi="宋体"/>
          <w:color w:val="auto"/>
          <w:sz w:val="24"/>
          <w:highlight w:val="none"/>
        </w:rPr>
        <w:t>质疑供应商对采购人、采购代理机构的答复不满意，或者采购人、采购代理机构未在规定时间内作出答复的，可以在答复期满后15个工作日内向本办法第六条规定的财政部门提起投诉。</w:t>
      </w:r>
    </w:p>
    <w:p w14:paraId="74520733">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14:paraId="5AC59E08">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5.质疑函须采用财政部发布的政府采购供应商质疑函范本（参考样式可从</w:t>
      </w:r>
      <w:r>
        <w:rPr>
          <w:rFonts w:hAnsi="宋体"/>
          <w:color w:val="auto"/>
          <w:sz w:val="24"/>
          <w:highlight w:val="none"/>
        </w:rPr>
        <w:t>浙江政府采购网下载专区下载</w:t>
      </w:r>
      <w:r>
        <w:rPr>
          <w:rFonts w:hint="eastAsia" w:hAnsi="宋体"/>
          <w:color w:val="auto"/>
          <w:sz w:val="24"/>
          <w:highlight w:val="none"/>
        </w:rPr>
        <w:t>），否则采购代理机构有权要求质疑供应商改正后重新提出。</w:t>
      </w:r>
    </w:p>
    <w:p w14:paraId="7E74B2BC">
      <w:pPr>
        <w:pStyle w:val="13"/>
        <w:snapToGrid w:val="0"/>
        <w:spacing w:beforeLines="0" w:afterLines="0" w:line="360" w:lineRule="auto"/>
        <w:ind w:firstLine="472" w:firstLineChars="196"/>
        <w:outlineLvl w:val="0"/>
        <w:rPr>
          <w:rFonts w:hAnsi="宋体"/>
          <w:b/>
          <w:color w:val="auto"/>
          <w:sz w:val="24"/>
          <w:highlight w:val="none"/>
        </w:rPr>
      </w:pPr>
      <w:r>
        <w:rPr>
          <w:rFonts w:hAnsi="宋体"/>
          <w:b/>
          <w:color w:val="auto"/>
          <w:sz w:val="24"/>
          <w:highlight w:val="none"/>
        </w:rPr>
        <w:t>二  招标文件</w:t>
      </w:r>
    </w:p>
    <w:p w14:paraId="31FA062D">
      <w:pPr>
        <w:snapToGrid w:val="0"/>
        <w:spacing w:line="360" w:lineRule="auto"/>
        <w:ind w:firstLine="472" w:firstLineChars="196"/>
        <w:jc w:val="left"/>
        <w:rPr>
          <w:rFonts w:ascii="宋体" w:hAnsi="宋体"/>
          <w:b/>
          <w:color w:val="auto"/>
          <w:sz w:val="24"/>
          <w:highlight w:val="none"/>
        </w:rPr>
      </w:pPr>
      <w:r>
        <w:rPr>
          <w:rFonts w:hint="eastAsia" w:ascii="宋体" w:hAnsi="宋体"/>
          <w:b/>
          <w:color w:val="auto"/>
          <w:sz w:val="24"/>
          <w:highlight w:val="none"/>
        </w:rPr>
        <w:t>（一）招标文件的构成。本招标文件由以下部分组成：</w:t>
      </w:r>
    </w:p>
    <w:p w14:paraId="5C167BDC">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招标公告</w:t>
      </w:r>
    </w:p>
    <w:p w14:paraId="36F03AF1">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招标需求</w:t>
      </w:r>
    </w:p>
    <w:p w14:paraId="770EDC35">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投标人须知</w:t>
      </w:r>
    </w:p>
    <w:p w14:paraId="37E8F5B8">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评标办法及标准</w:t>
      </w:r>
    </w:p>
    <w:p w14:paraId="2F7DF988">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合同主要条款</w:t>
      </w:r>
    </w:p>
    <w:p w14:paraId="3DF8B580">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投标文件格式</w:t>
      </w:r>
    </w:p>
    <w:p w14:paraId="67FFA193">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7.本项目</w:t>
      </w:r>
      <w:r>
        <w:rPr>
          <w:rFonts w:ascii="宋体" w:hAnsi="宋体"/>
          <w:color w:val="auto"/>
          <w:sz w:val="24"/>
          <w:highlight w:val="none"/>
        </w:rPr>
        <w:t>招标文件</w:t>
      </w:r>
      <w:r>
        <w:rPr>
          <w:rFonts w:hint="eastAsia" w:ascii="宋体" w:hAnsi="宋体"/>
          <w:color w:val="auto"/>
          <w:sz w:val="24"/>
          <w:highlight w:val="none"/>
        </w:rPr>
        <w:t>的</w:t>
      </w:r>
      <w:r>
        <w:rPr>
          <w:rFonts w:ascii="宋体" w:hAnsi="宋体"/>
          <w:color w:val="auto"/>
          <w:sz w:val="24"/>
          <w:highlight w:val="none"/>
        </w:rPr>
        <w:t>澄清、答复、修改、补充的内容</w:t>
      </w:r>
    </w:p>
    <w:p w14:paraId="1C6405C8">
      <w:pPr>
        <w:snapToGrid w:val="0"/>
        <w:spacing w:line="360" w:lineRule="auto"/>
        <w:ind w:firstLine="472" w:firstLineChars="196"/>
        <w:jc w:val="left"/>
        <w:rPr>
          <w:rFonts w:ascii="宋体" w:hAnsi="宋体"/>
          <w:b/>
          <w:color w:val="auto"/>
          <w:sz w:val="24"/>
          <w:highlight w:val="none"/>
        </w:rPr>
      </w:pPr>
      <w:r>
        <w:rPr>
          <w:rFonts w:hint="eastAsia" w:ascii="宋体" w:hAnsi="宋体"/>
          <w:b/>
          <w:color w:val="auto"/>
          <w:sz w:val="24"/>
          <w:highlight w:val="none"/>
        </w:rPr>
        <w:t>（二）投标人的风险</w:t>
      </w:r>
    </w:p>
    <w:p w14:paraId="5B8986F2">
      <w:pPr>
        <w:pStyle w:val="21"/>
        <w:spacing w:line="360" w:lineRule="auto"/>
        <w:ind w:left="0" w:leftChars="0" w:firstLine="480" w:firstLineChars="200"/>
        <w:rPr>
          <w:rFonts w:ascii="宋体"/>
          <w:color w:val="auto"/>
          <w:sz w:val="24"/>
          <w:szCs w:val="24"/>
          <w:highlight w:val="none"/>
        </w:rPr>
      </w:pPr>
      <w:r>
        <w:rPr>
          <w:rFonts w:hint="eastAsia" w:ascii="宋体"/>
          <w:color w:val="auto"/>
          <w:sz w:val="24"/>
          <w:szCs w:val="24"/>
          <w:highlight w:val="none"/>
        </w:rPr>
        <w:t>投标人没有按照招标文件要求提供全部资料，或者投标人没有对招标文件在各方面作出实质性响应是投标人的风险，并可能导致其投标被拒绝。</w:t>
      </w:r>
    </w:p>
    <w:p w14:paraId="3A072247">
      <w:pPr>
        <w:pStyle w:val="7"/>
        <w:numPr>
          <w:ilvl w:val="0"/>
          <w:numId w:val="0"/>
        </w:numPr>
        <w:tabs>
          <w:tab w:val="left" w:pos="720"/>
        </w:tabs>
        <w:snapToGrid w:val="0"/>
        <w:spacing w:line="360" w:lineRule="auto"/>
        <w:ind w:left="413"/>
        <w:rPr>
          <w:rFonts w:ascii="宋体" w:hAnsi="宋体"/>
          <w:b/>
          <w:color w:val="auto"/>
          <w:highlight w:val="none"/>
        </w:rPr>
      </w:pPr>
      <w:r>
        <w:rPr>
          <w:rFonts w:hint="eastAsia" w:ascii="宋体" w:hAnsi="宋体"/>
          <w:b/>
          <w:color w:val="auto"/>
          <w:highlight w:val="none"/>
        </w:rPr>
        <w:t>（三）招标文件的澄清与修改</w:t>
      </w:r>
    </w:p>
    <w:p w14:paraId="489A2967">
      <w:pPr>
        <w:pStyle w:val="13"/>
        <w:snapToGrid w:val="0"/>
        <w:spacing w:before="120" w:after="120" w:line="360" w:lineRule="auto"/>
        <w:ind w:firstLine="480" w:firstLineChars="200"/>
        <w:rPr>
          <w:rFonts w:ascii="仿宋" w:hAnsi="仿宋" w:eastAsia="仿宋"/>
          <w:color w:val="auto"/>
          <w:sz w:val="24"/>
          <w:highlight w:val="none"/>
        </w:rPr>
      </w:pPr>
      <w:r>
        <w:rPr>
          <w:rFonts w:hAnsi="宋体"/>
          <w:color w:val="auto"/>
          <w:sz w:val="24"/>
          <w:highlight w:val="none"/>
        </w:rPr>
        <w:t>1</w:t>
      </w:r>
      <w:r>
        <w:rPr>
          <w:rFonts w:hint="eastAsia" w:hAnsi="宋体"/>
          <w:color w:val="auto"/>
          <w:sz w:val="24"/>
          <w:highlight w:val="none"/>
        </w:rPr>
        <w:t>.投标人应认真阅读本招标文件，发现其中有误或有不合理要求的，投标人应当在获取招标文件或者招标文件公告期限届满之日起七个工作日内</w:t>
      </w:r>
      <w:bookmarkStart w:id="43" w:name="OLE_LINK66"/>
      <w:bookmarkStart w:id="44" w:name="OLE_LINK67"/>
      <w:r>
        <w:rPr>
          <w:rFonts w:hint="eastAsia" w:hAnsi="宋体" w:cs="仿宋"/>
          <w:color w:val="auto"/>
          <w:sz w:val="24"/>
          <w:highlight w:val="none"/>
        </w:rPr>
        <w:t>（公告期限届满后获取采购文件的，以公告期限届满之日为准）</w:t>
      </w:r>
      <w:bookmarkEnd w:id="43"/>
      <w:bookmarkEnd w:id="44"/>
      <w:r>
        <w:rPr>
          <w:rFonts w:hint="eastAsia" w:hAnsi="宋体"/>
          <w:color w:val="auto"/>
          <w:sz w:val="24"/>
          <w:highlight w:val="none"/>
        </w:rPr>
        <w:t>提出，否则逾期视为默认。采购人对已发出的招标文件进行必要澄清、答复、修改或补充的，应当在招标文件要求提交投标文件截止时间十五日前，在财政部门指定的政府采购信息发布媒体上发布更正公告，并以书面形式通知所有招标文件收受人。</w:t>
      </w:r>
    </w:p>
    <w:p w14:paraId="1ACAF5B2">
      <w:pPr>
        <w:pStyle w:val="13"/>
        <w:snapToGrid w:val="0"/>
        <w:spacing w:beforeLines="0" w:afterLines="0"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w:t>
      </w:r>
      <w:r>
        <w:rPr>
          <w:rFonts w:hAnsi="宋体"/>
          <w:color w:val="auto"/>
          <w:sz w:val="24"/>
          <w:highlight w:val="none"/>
        </w:rPr>
        <w:t>采购代理机构必须以书面形式答复投标人要求澄清的问题，并将不包含问题来源的答复书面通知所有购买招标文件的投标人；除书面答复以外的其他澄清方式及澄清内容均无效。</w:t>
      </w:r>
    </w:p>
    <w:p w14:paraId="52A20890">
      <w:pPr>
        <w:pStyle w:val="13"/>
        <w:snapToGrid w:val="0"/>
        <w:spacing w:beforeLines="0" w:afterLines="0" w:line="360" w:lineRule="auto"/>
        <w:ind w:firstLine="480" w:firstLineChars="200"/>
        <w:rPr>
          <w:rFonts w:hAnsi="宋体"/>
          <w:color w:val="auto"/>
          <w:sz w:val="24"/>
          <w:highlight w:val="none"/>
        </w:rPr>
      </w:pPr>
      <w:r>
        <w:rPr>
          <w:rFonts w:hint="eastAsia" w:hAnsi="宋体"/>
          <w:color w:val="auto"/>
          <w:sz w:val="24"/>
          <w:highlight w:val="none"/>
        </w:rPr>
        <w:t>3.</w:t>
      </w:r>
      <w:r>
        <w:rPr>
          <w:rFonts w:hAnsi="宋体"/>
          <w:color w:val="auto"/>
          <w:sz w:val="24"/>
          <w:highlight w:val="none"/>
        </w:rPr>
        <w:t>招标文件澄清、答复、修改、补充的内容为招标文件的组成部分。当招标文件与招标文件的答复、澄清、修改、补充通知就同一内容的表述不一致时，以最后发出的书面文件为准。</w:t>
      </w:r>
    </w:p>
    <w:p w14:paraId="0CB5C940">
      <w:pPr>
        <w:pStyle w:val="13"/>
        <w:snapToGrid w:val="0"/>
        <w:spacing w:beforeLines="0" w:afterLines="0" w:line="360" w:lineRule="auto"/>
        <w:ind w:firstLine="480" w:firstLineChars="200"/>
        <w:rPr>
          <w:rFonts w:hAnsi="宋体"/>
          <w:color w:val="auto"/>
          <w:sz w:val="24"/>
          <w:highlight w:val="none"/>
        </w:rPr>
      </w:pPr>
      <w:r>
        <w:rPr>
          <w:rFonts w:hint="eastAsia" w:hAnsi="宋体"/>
          <w:color w:val="auto"/>
          <w:sz w:val="24"/>
          <w:highlight w:val="none"/>
        </w:rPr>
        <w:t>4.</w:t>
      </w:r>
      <w:r>
        <w:rPr>
          <w:rFonts w:hAnsi="宋体"/>
          <w:color w:val="auto"/>
          <w:sz w:val="24"/>
          <w:highlight w:val="none"/>
        </w:rPr>
        <w:t>招标文件的澄清、答复、修改或补充都应该通过本代理机构以法定形式发布，采购人非通过本机构，不得擅自澄清、答复、修改或补充招标文件。</w:t>
      </w:r>
    </w:p>
    <w:p w14:paraId="2FB1BC81">
      <w:pPr>
        <w:pStyle w:val="13"/>
        <w:snapToGrid w:val="0"/>
        <w:spacing w:beforeLines="0" w:afterLines="0" w:line="360" w:lineRule="auto"/>
        <w:ind w:firstLine="472" w:firstLineChars="196"/>
        <w:outlineLvl w:val="1"/>
        <w:rPr>
          <w:rFonts w:hAnsi="宋体"/>
          <w:b/>
          <w:color w:val="auto"/>
          <w:sz w:val="24"/>
          <w:highlight w:val="none"/>
        </w:rPr>
      </w:pPr>
      <w:r>
        <w:rPr>
          <w:rFonts w:hAnsi="宋体"/>
          <w:b/>
          <w:color w:val="auto"/>
          <w:sz w:val="24"/>
          <w:highlight w:val="none"/>
        </w:rPr>
        <w:t>三、投标文件的编制</w:t>
      </w:r>
    </w:p>
    <w:p w14:paraId="7CFE1C55">
      <w:pPr>
        <w:snapToGrid w:val="0"/>
        <w:spacing w:line="360" w:lineRule="auto"/>
        <w:ind w:firstLine="472" w:firstLineChars="196"/>
        <w:jc w:val="left"/>
        <w:outlineLvl w:val="0"/>
        <w:rPr>
          <w:rFonts w:ascii="宋体" w:hAnsi="宋体"/>
          <w:b/>
          <w:color w:val="auto"/>
          <w:sz w:val="24"/>
          <w:highlight w:val="none"/>
        </w:rPr>
      </w:pPr>
      <w:r>
        <w:rPr>
          <w:rFonts w:hint="eastAsia" w:ascii="宋体" w:hAnsi="宋体"/>
          <w:b/>
          <w:color w:val="auto"/>
          <w:sz w:val="24"/>
          <w:highlight w:val="none"/>
        </w:rPr>
        <w:t>（一）投标文件的组成</w:t>
      </w:r>
    </w:p>
    <w:p w14:paraId="07179C9C">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投标文件由</w:t>
      </w:r>
      <w:r>
        <w:rPr>
          <w:rFonts w:hint="eastAsia" w:ascii="宋体" w:hAnsi="宋体" w:cs="宋体"/>
          <w:color w:val="auto"/>
          <w:sz w:val="24"/>
          <w:highlight w:val="none"/>
        </w:rPr>
        <w:t>《</w:t>
      </w:r>
      <w:r>
        <w:rPr>
          <w:rFonts w:hint="eastAsia" w:ascii="宋体" w:hAnsi="宋体"/>
          <w:color w:val="auto"/>
          <w:sz w:val="24"/>
          <w:highlight w:val="none"/>
        </w:rPr>
        <w:t>资格文件</w:t>
      </w:r>
      <w:r>
        <w:rPr>
          <w:rFonts w:hint="eastAsia" w:ascii="宋体" w:hAnsi="宋体" w:cs="宋体"/>
          <w:color w:val="auto"/>
          <w:sz w:val="24"/>
          <w:highlight w:val="none"/>
        </w:rPr>
        <w:t>》</w:t>
      </w:r>
      <w:r>
        <w:rPr>
          <w:rFonts w:hint="eastAsia" w:ascii="宋体" w:hAnsi="宋体"/>
          <w:color w:val="auto"/>
          <w:sz w:val="24"/>
          <w:highlight w:val="none"/>
        </w:rPr>
        <w:t>、</w:t>
      </w:r>
      <w:r>
        <w:rPr>
          <w:rFonts w:hint="eastAsia" w:ascii="宋体" w:hAnsi="宋体" w:cs="宋体"/>
          <w:color w:val="auto"/>
          <w:sz w:val="24"/>
          <w:highlight w:val="none"/>
        </w:rPr>
        <w:t>《</w:t>
      </w:r>
      <w:r>
        <w:rPr>
          <w:rFonts w:hint="eastAsia" w:ascii="宋体" w:hAnsi="宋体"/>
          <w:color w:val="auto"/>
          <w:sz w:val="24"/>
          <w:highlight w:val="none"/>
        </w:rPr>
        <w:t>技术/资信/商务文件</w:t>
      </w:r>
      <w:r>
        <w:rPr>
          <w:rFonts w:hint="eastAsia" w:ascii="宋体" w:hAnsi="宋体" w:cs="宋体"/>
          <w:color w:val="auto"/>
          <w:sz w:val="24"/>
          <w:highlight w:val="none"/>
        </w:rPr>
        <w:t>》</w:t>
      </w:r>
      <w:r>
        <w:rPr>
          <w:rFonts w:hint="eastAsia" w:ascii="宋体" w:hAnsi="宋体"/>
          <w:color w:val="auto"/>
          <w:sz w:val="24"/>
          <w:highlight w:val="none"/>
        </w:rPr>
        <w:t>、</w:t>
      </w:r>
      <w:r>
        <w:rPr>
          <w:rFonts w:hint="eastAsia" w:ascii="宋体" w:hAnsi="宋体" w:cs="宋体"/>
          <w:color w:val="auto"/>
          <w:sz w:val="24"/>
          <w:highlight w:val="none"/>
        </w:rPr>
        <w:t>《</w:t>
      </w:r>
      <w:r>
        <w:rPr>
          <w:rFonts w:hint="eastAsia" w:ascii="宋体" w:hAnsi="宋体"/>
          <w:color w:val="auto"/>
          <w:sz w:val="24"/>
          <w:highlight w:val="none"/>
        </w:rPr>
        <w:t>投标报价</w:t>
      </w:r>
      <w:r>
        <w:rPr>
          <w:rFonts w:hint="eastAsia" w:ascii="宋体" w:hAnsi="宋体" w:cs="宋体"/>
          <w:color w:val="auto"/>
          <w:sz w:val="24"/>
          <w:highlight w:val="none"/>
        </w:rPr>
        <w:t>》</w:t>
      </w:r>
      <w:r>
        <w:rPr>
          <w:rFonts w:hint="eastAsia" w:ascii="宋体" w:hAnsi="宋体"/>
          <w:color w:val="auto"/>
          <w:sz w:val="24"/>
          <w:highlight w:val="none"/>
        </w:rPr>
        <w:t>文件三部分组成。（电子投标文件中所盖公章均采用CA签章）。</w:t>
      </w:r>
    </w:p>
    <w:p w14:paraId="2C80E461">
      <w:pPr>
        <w:snapToGrid w:val="0"/>
        <w:spacing w:line="360" w:lineRule="auto"/>
        <w:ind w:firstLine="482" w:firstLineChars="200"/>
        <w:jc w:val="left"/>
        <w:rPr>
          <w:rFonts w:ascii="宋体" w:hAnsi="宋体" w:cs="宋体"/>
          <w:b/>
          <w:bCs/>
          <w:color w:val="auto"/>
          <w:sz w:val="24"/>
          <w:highlight w:val="none"/>
        </w:rPr>
      </w:pPr>
      <w:bookmarkStart w:id="45" w:name="OLE_LINK128"/>
      <w:bookmarkStart w:id="46" w:name="OLE_LINK129"/>
      <w:r>
        <w:rPr>
          <w:rFonts w:hint="eastAsia" w:ascii="宋体" w:hAnsi="宋体" w:cs="宋体"/>
          <w:b/>
          <w:bCs/>
          <w:color w:val="auto"/>
          <w:sz w:val="24"/>
          <w:highlight w:val="none"/>
        </w:rPr>
        <w:t>1.资格文件</w:t>
      </w:r>
    </w:p>
    <w:p w14:paraId="1EFFDCD5">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（1）投标声明书（</w:t>
      </w:r>
      <w:r>
        <w:rPr>
          <w:rFonts w:ascii="宋体" w:hAnsi="宋体"/>
          <w:color w:val="auto"/>
          <w:sz w:val="24"/>
          <w:highlight w:val="none"/>
        </w:rPr>
        <w:t>格式见附件)；</w:t>
      </w:r>
      <w:bookmarkStart w:id="47" w:name="OLE_LINK121"/>
      <w:bookmarkStart w:id="48" w:name="OLE_LINK122"/>
      <w:r>
        <w:rPr>
          <w:rFonts w:hint="eastAsia" w:ascii="宋体" w:hAnsi="宋体" w:cs="宋体"/>
          <w:bCs/>
          <w:color w:val="auto"/>
          <w:sz w:val="24"/>
          <w:highlight w:val="none"/>
        </w:rPr>
        <w:t>（</w:t>
      </w:r>
      <w:r>
        <w:rPr>
          <w:rFonts w:hint="eastAsia" w:ascii="宋体" w:hAnsi="宋体"/>
          <w:color w:val="auto"/>
          <w:sz w:val="24"/>
          <w:highlight w:val="none"/>
        </w:rPr>
        <w:t>如</w:t>
      </w:r>
      <w:r>
        <w:rPr>
          <w:rFonts w:ascii="宋体" w:hAnsi="宋体"/>
          <w:color w:val="auto"/>
          <w:sz w:val="24"/>
          <w:highlight w:val="none"/>
        </w:rPr>
        <w:t>组成联合体</w:t>
      </w:r>
      <w:r>
        <w:rPr>
          <w:rFonts w:hint="eastAsia" w:ascii="宋体" w:hAnsi="宋体"/>
          <w:color w:val="auto"/>
          <w:sz w:val="24"/>
          <w:highlight w:val="none"/>
        </w:rPr>
        <w:t>投标</w:t>
      </w:r>
      <w:r>
        <w:rPr>
          <w:rFonts w:ascii="宋体" w:hAnsi="宋体"/>
          <w:color w:val="auto"/>
          <w:sz w:val="24"/>
          <w:highlight w:val="none"/>
        </w:rPr>
        <w:t>的，牵头供应商和</w:t>
      </w:r>
      <w:bookmarkStart w:id="49" w:name="OLE_LINK118"/>
      <w:bookmarkStart w:id="50" w:name="OLE_LINK119"/>
      <w:r>
        <w:rPr>
          <w:rFonts w:ascii="宋体" w:hAnsi="宋体"/>
          <w:color w:val="auto"/>
          <w:sz w:val="24"/>
          <w:highlight w:val="none"/>
        </w:rPr>
        <w:t>联合体</w:t>
      </w:r>
      <w:bookmarkEnd w:id="49"/>
      <w:bookmarkEnd w:id="50"/>
      <w:r>
        <w:rPr>
          <w:rFonts w:ascii="宋体" w:hAnsi="宋体"/>
          <w:color w:val="auto"/>
          <w:sz w:val="24"/>
          <w:highlight w:val="none"/>
        </w:rPr>
        <w:t>成员</w:t>
      </w:r>
      <w:r>
        <w:rPr>
          <w:rFonts w:hint="eastAsia" w:ascii="宋体" w:hAnsi="宋体"/>
          <w:color w:val="auto"/>
          <w:sz w:val="24"/>
          <w:highlight w:val="none"/>
        </w:rPr>
        <w:t>均需提供）</w:t>
      </w:r>
    </w:p>
    <w:bookmarkEnd w:id="47"/>
    <w:bookmarkEnd w:id="48"/>
    <w:p w14:paraId="5071D3D4">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（2）有效的营业执照、税务登记证、组织机构代码证或“三证合一”的营业执照或“五证合一”的营业执照（</w:t>
      </w:r>
      <w:r>
        <w:rPr>
          <w:rFonts w:hint="eastAsia" w:ascii="宋体" w:hAnsi="宋体"/>
          <w:bCs/>
          <w:color w:val="auto"/>
          <w:sz w:val="24"/>
          <w:highlight w:val="none"/>
        </w:rPr>
        <w:t>复印件各一份</w:t>
      </w:r>
      <w:r>
        <w:rPr>
          <w:rFonts w:hint="eastAsia" w:ascii="宋体" w:hAnsi="宋体"/>
          <w:color w:val="auto"/>
          <w:sz w:val="24"/>
          <w:highlight w:val="none"/>
        </w:rPr>
        <w:t>）；</w:t>
      </w:r>
      <w:r>
        <w:rPr>
          <w:rFonts w:hint="eastAsia" w:ascii="宋体" w:hAnsi="宋体" w:cs="宋体"/>
          <w:bCs/>
          <w:color w:val="auto"/>
          <w:sz w:val="24"/>
          <w:highlight w:val="none"/>
        </w:rPr>
        <w:t>（</w:t>
      </w:r>
      <w:r>
        <w:rPr>
          <w:rFonts w:hint="eastAsia" w:ascii="宋体" w:hAnsi="宋体"/>
          <w:color w:val="auto"/>
          <w:sz w:val="24"/>
          <w:highlight w:val="none"/>
        </w:rPr>
        <w:t>如组成联合体投标的，联合体各方均需提供）</w:t>
      </w:r>
    </w:p>
    <w:p w14:paraId="6241495C">
      <w:pPr>
        <w:spacing w:line="360" w:lineRule="auto"/>
        <w:ind w:firstLine="470" w:firstLineChars="196"/>
        <w:jc w:val="left"/>
        <w:rPr>
          <w:color w:val="auto"/>
          <w:highlight w:val="none"/>
        </w:rPr>
      </w:pPr>
      <w:r>
        <w:rPr>
          <w:rFonts w:hint="eastAsia" w:ascii="宋体" w:hAnsi="宋体"/>
          <w:color w:val="auto"/>
          <w:sz w:val="24"/>
          <w:highlight w:val="none"/>
        </w:rPr>
        <w:t>（3）法定代表人有效身份证明书或法定代表人授权书</w:t>
      </w:r>
      <w:r>
        <w:rPr>
          <w:rFonts w:ascii="宋体" w:hAnsi="宋体"/>
          <w:color w:val="auto"/>
          <w:sz w:val="24"/>
          <w:highlight w:val="none"/>
        </w:rPr>
        <w:t>及授权代理人社保证明复印件（社保机构出具的由本单位或分公司为其缴纳的</w:t>
      </w:r>
      <w:r>
        <w:rPr>
          <w:rFonts w:hint="eastAsia" w:ascii="宋体" w:hAnsi="宋体" w:cs="宋体"/>
          <w:color w:val="auto"/>
          <w:kern w:val="0"/>
          <w:sz w:val="24"/>
          <w:highlight w:val="none"/>
        </w:rPr>
        <w:t>最近一个月</w:t>
      </w:r>
      <w:r>
        <w:rPr>
          <w:rFonts w:ascii="宋体" w:hAnsi="宋体"/>
          <w:color w:val="auto"/>
          <w:sz w:val="24"/>
          <w:highlight w:val="none"/>
        </w:rPr>
        <w:t>的社保证明）</w:t>
      </w:r>
    </w:p>
    <w:p w14:paraId="1738D830">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（4）投标承诺书；</w:t>
      </w:r>
      <w:r>
        <w:rPr>
          <w:rFonts w:hint="eastAsia" w:ascii="宋体" w:hAnsi="宋体" w:cs="宋体"/>
          <w:bCs/>
          <w:color w:val="auto"/>
          <w:sz w:val="24"/>
          <w:highlight w:val="none"/>
        </w:rPr>
        <w:t>（</w:t>
      </w:r>
      <w:r>
        <w:rPr>
          <w:rFonts w:hint="eastAsia" w:ascii="宋体" w:hAnsi="宋体"/>
          <w:color w:val="auto"/>
          <w:sz w:val="24"/>
          <w:highlight w:val="none"/>
        </w:rPr>
        <w:t>如组成联合体投标的，联合体各方均需提供）</w:t>
      </w:r>
    </w:p>
    <w:p w14:paraId="19731C40">
      <w:pPr>
        <w:spacing w:line="360" w:lineRule="auto"/>
        <w:ind w:firstLine="470" w:firstLineChars="196"/>
        <w:jc w:val="left"/>
        <w:rPr>
          <w:rFonts w:ascii="宋体" w:hAnsi="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）信用承诺书；</w:t>
      </w:r>
      <w:r>
        <w:rPr>
          <w:rFonts w:hint="eastAsia" w:ascii="宋体" w:hAnsi="宋体" w:cs="宋体"/>
          <w:bCs/>
          <w:color w:val="auto"/>
          <w:sz w:val="24"/>
          <w:highlight w:val="none"/>
        </w:rPr>
        <w:t>（</w:t>
      </w:r>
      <w:r>
        <w:rPr>
          <w:rFonts w:hint="eastAsia" w:ascii="宋体" w:hAnsi="宋体"/>
          <w:color w:val="auto"/>
          <w:sz w:val="24"/>
          <w:highlight w:val="none"/>
        </w:rPr>
        <w:t>如组成联合体投标的，联合体各方均需提供）</w:t>
      </w:r>
    </w:p>
    <w:p w14:paraId="0555352A">
      <w:pPr>
        <w:spacing w:line="360" w:lineRule="auto"/>
        <w:ind w:firstLine="470" w:firstLineChars="196"/>
        <w:jc w:val="left"/>
        <w:rPr>
          <w:rFonts w:ascii="宋体" w:hAnsi="宋体"/>
          <w:color w:val="auto"/>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6</w:t>
      </w:r>
      <w:r>
        <w:rPr>
          <w:rFonts w:hint="eastAsia" w:ascii="宋体" w:hAnsi="宋体" w:cs="Arial"/>
          <w:color w:val="auto"/>
          <w:kern w:val="0"/>
          <w:sz w:val="24"/>
          <w:highlight w:val="none"/>
        </w:rPr>
        <w:t>）</w:t>
      </w:r>
      <w:r>
        <w:rPr>
          <w:rFonts w:hint="eastAsia" w:ascii="宋体" w:hAnsi="宋体"/>
          <w:color w:val="auto"/>
          <w:sz w:val="24"/>
          <w:highlight w:val="none"/>
        </w:rPr>
        <w:t>提供自招标公告发布之日起至投标截止日内任意时间的“信用中国”网站（www.creditchina.gov.cn）、中国政府采购网（www.ccgp.gov.cn）投标人信用查询网页截图（以开标当日采购人或由采购代理机构核实的查询结果为准）；</w:t>
      </w:r>
      <w:r>
        <w:rPr>
          <w:rFonts w:hint="eastAsia" w:ascii="宋体" w:hAnsi="宋体" w:cs="宋体"/>
          <w:bCs/>
          <w:color w:val="auto"/>
          <w:sz w:val="24"/>
          <w:highlight w:val="none"/>
        </w:rPr>
        <w:t>（</w:t>
      </w:r>
      <w:r>
        <w:rPr>
          <w:rFonts w:hint="eastAsia" w:ascii="宋体" w:hAnsi="宋体"/>
          <w:color w:val="auto"/>
          <w:sz w:val="24"/>
          <w:highlight w:val="none"/>
        </w:rPr>
        <w:t>如组成联合体投标的，联合体各方均需提供）</w:t>
      </w:r>
    </w:p>
    <w:p w14:paraId="0F1C24E2">
      <w:pPr>
        <w:widowControl/>
        <w:spacing w:line="360" w:lineRule="auto"/>
        <w:ind w:right="60"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）联合体各方共同投标协议（如有，格式自拟）。</w:t>
      </w:r>
    </w:p>
    <w:p w14:paraId="2003D9F1">
      <w:pPr>
        <w:spacing w:line="360" w:lineRule="auto"/>
        <w:ind w:firstLine="472" w:firstLineChars="196"/>
        <w:jc w:val="left"/>
        <w:rPr>
          <w:rFonts w:ascii="宋体" w:hAnsi="宋体"/>
          <w:b/>
          <w:bCs/>
          <w:color w:val="auto"/>
          <w:sz w:val="24"/>
          <w:highlight w:val="none"/>
        </w:rPr>
      </w:pPr>
      <w:r>
        <w:rPr>
          <w:rFonts w:hint="eastAsia" w:ascii="宋体" w:hAnsi="宋体"/>
          <w:b/>
          <w:color w:val="auto"/>
          <w:sz w:val="24"/>
          <w:highlight w:val="none"/>
        </w:rPr>
        <w:t>2.</w:t>
      </w:r>
      <w:r>
        <w:rPr>
          <w:rFonts w:ascii="宋体" w:hAnsi="宋体"/>
          <w:b/>
          <w:bCs/>
          <w:color w:val="auto"/>
          <w:sz w:val="24"/>
          <w:highlight w:val="none"/>
        </w:rPr>
        <w:t xml:space="preserve"> 技术文件</w:t>
      </w:r>
    </w:p>
    <w:p w14:paraId="7F77671E">
      <w:pPr>
        <w:snapToGrid w:val="0"/>
        <w:spacing w:line="360" w:lineRule="auto"/>
        <w:ind w:firstLine="480" w:firstLineChars="200"/>
        <w:jc w:val="left"/>
        <w:rPr>
          <w:rFonts w:ascii="宋体" w:hAnsi="宋体"/>
          <w:color w:val="auto"/>
          <w:sz w:val="24"/>
          <w:highlight w:val="none"/>
        </w:rPr>
      </w:pPr>
      <w:bookmarkStart w:id="51" w:name="OLE_LINK53"/>
      <w:bookmarkStart w:id="52" w:name="OLE_LINK50"/>
      <w:bookmarkStart w:id="53" w:name="OLE_LINK54"/>
      <w:bookmarkStart w:id="54" w:name="OLE_LINK49"/>
      <w:bookmarkStart w:id="55" w:name="OLE_LINK87"/>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实施方案；</w:t>
      </w:r>
    </w:p>
    <w:p w14:paraId="676CAE6E">
      <w:pPr>
        <w:snapToGrid w:val="0"/>
        <w:spacing w:line="360" w:lineRule="auto"/>
        <w:ind w:firstLine="480" w:firstLineChars="200"/>
        <w:jc w:val="left"/>
        <w:rPr>
          <w:rFonts w:hAnsi="宋体" w:cs="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hAnsi="宋体" w:cs="宋体"/>
          <w:color w:val="auto"/>
          <w:sz w:val="24"/>
          <w:highlight w:val="none"/>
        </w:rPr>
        <w:t>服务方案；</w:t>
      </w:r>
    </w:p>
    <w:p w14:paraId="788EB5FB">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配合协调方案</w:t>
      </w:r>
      <w:r>
        <w:rPr>
          <w:rFonts w:hint="eastAsia" w:ascii="宋体" w:hAnsi="宋体" w:cs="宋体"/>
          <w:color w:val="auto"/>
          <w:kern w:val="0"/>
          <w:sz w:val="24"/>
          <w:highlight w:val="none"/>
        </w:rPr>
        <w:t>；</w:t>
      </w:r>
    </w:p>
    <w:p w14:paraId="030367BB">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s="宋体"/>
          <w:color w:val="auto"/>
          <w:sz w:val="24"/>
          <w:highlight w:val="none"/>
        </w:rPr>
        <w:t>服务质量控制措施；</w:t>
      </w:r>
    </w:p>
    <w:p w14:paraId="3AECF174">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）项目实施人员一览表</w:t>
      </w:r>
      <w:r>
        <w:rPr>
          <w:rFonts w:hint="eastAsia" w:ascii="宋体" w:hAnsi="宋体"/>
          <w:color w:val="auto"/>
          <w:sz w:val="24"/>
          <w:highlight w:val="none"/>
        </w:rPr>
        <w:t>；</w:t>
      </w:r>
    </w:p>
    <w:p w14:paraId="6C64A06A">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w:t>
      </w:r>
      <w:r>
        <w:rPr>
          <w:rFonts w:hint="eastAsia" w:ascii="宋体" w:hAnsi="宋体"/>
          <w:color w:val="auto"/>
          <w:sz w:val="24"/>
          <w:highlight w:val="none"/>
        </w:rPr>
        <w:t>个性服务设备配置；</w:t>
      </w:r>
    </w:p>
    <w:p w14:paraId="08398D42">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hAnsi="宋体"/>
          <w:bCs/>
          <w:color w:val="auto"/>
          <w:sz w:val="24"/>
          <w:highlight w:val="none"/>
        </w:rPr>
        <w:t>数字化建设证明材料；</w:t>
      </w:r>
    </w:p>
    <w:p w14:paraId="32D802ED">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）投标人对本项目的合理化建议和改进措施</w:t>
      </w:r>
      <w:r>
        <w:rPr>
          <w:rFonts w:hint="eastAsia" w:ascii="宋体" w:hAnsi="宋体"/>
          <w:color w:val="auto"/>
          <w:sz w:val="24"/>
          <w:highlight w:val="none"/>
        </w:rPr>
        <w:t>；</w:t>
      </w:r>
    </w:p>
    <w:p w14:paraId="2B208069">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）投标人需要说明的其他文件和说明（格式略）</w:t>
      </w:r>
      <w:r>
        <w:rPr>
          <w:rFonts w:hint="eastAsia" w:ascii="宋体" w:hAnsi="宋体"/>
          <w:color w:val="auto"/>
          <w:sz w:val="24"/>
          <w:highlight w:val="none"/>
        </w:rPr>
        <w:t>；</w:t>
      </w:r>
    </w:p>
    <w:bookmarkEnd w:id="51"/>
    <w:bookmarkEnd w:id="52"/>
    <w:bookmarkEnd w:id="53"/>
    <w:p w14:paraId="5FD9C84E">
      <w:pPr>
        <w:spacing w:line="360" w:lineRule="auto"/>
        <w:ind w:firstLine="472" w:firstLineChars="196"/>
        <w:jc w:val="left"/>
        <w:rPr>
          <w:rFonts w:ascii="宋体" w:hAnsi="宋体"/>
          <w:b/>
          <w:color w:val="auto"/>
          <w:sz w:val="24"/>
          <w:highlight w:val="none"/>
        </w:rPr>
      </w:pPr>
      <w:r>
        <w:rPr>
          <w:rFonts w:ascii="宋体" w:hAnsi="宋体"/>
          <w:b/>
          <w:color w:val="auto"/>
          <w:sz w:val="24"/>
          <w:highlight w:val="none"/>
        </w:rPr>
        <w:t>资信文件：</w:t>
      </w:r>
    </w:p>
    <w:p w14:paraId="7CABA17B">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w:t>
      </w:r>
      <w:r>
        <w:rPr>
          <w:rFonts w:hint="eastAsia" w:ascii="宋体" w:hAnsi="宋体"/>
          <w:color w:val="auto"/>
          <w:sz w:val="24"/>
          <w:highlight w:val="none"/>
        </w:rPr>
        <w:t>类似案例成功的业绩（投标人同类项目实施情况一览表、合同复印件）；</w:t>
      </w:r>
    </w:p>
    <w:p w14:paraId="0CD3FFD7">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）权威认证证书；</w:t>
      </w:r>
    </w:p>
    <w:p w14:paraId="73ED0250">
      <w:pPr>
        <w:snapToGrid w:val="0"/>
        <w:spacing w:line="360" w:lineRule="auto"/>
        <w:ind w:firstLine="480" w:firstLineChars="200"/>
        <w:jc w:val="left"/>
        <w:rPr>
          <w:rFonts w:ascii="宋体" w:hAnsi="宋体"/>
          <w:color w:val="auto"/>
          <w:sz w:val="24"/>
          <w:highlight w:val="none"/>
        </w:rPr>
      </w:pPr>
      <w:bookmarkStart w:id="56" w:name="OLE_LINK86"/>
      <w:bookmarkStart w:id="57" w:name="OLE_LINK83"/>
      <w:r>
        <w:rPr>
          <w:rFonts w:hint="eastAsia" w:ascii="宋体" w:hAnsi="宋体"/>
          <w:color w:val="auto"/>
          <w:sz w:val="24"/>
          <w:highlight w:val="none"/>
        </w:rPr>
        <w:t>（12）</w:t>
      </w:r>
      <w:bookmarkEnd w:id="56"/>
      <w:bookmarkEnd w:id="57"/>
      <w:r>
        <w:rPr>
          <w:rFonts w:hint="eastAsia" w:hAnsi="宋体" w:cs="宋体"/>
          <w:color w:val="auto"/>
          <w:sz w:val="24"/>
          <w:highlight w:val="none"/>
        </w:rPr>
        <w:t>企业荣誉</w:t>
      </w:r>
      <w:r>
        <w:rPr>
          <w:rFonts w:ascii="宋体" w:hAnsi="宋体"/>
          <w:color w:val="auto"/>
          <w:sz w:val="24"/>
          <w:highlight w:val="none"/>
        </w:rPr>
        <w:t>证书</w:t>
      </w:r>
      <w:r>
        <w:rPr>
          <w:rFonts w:hint="eastAsia" w:hAnsi="宋体" w:cs="宋体"/>
          <w:color w:val="auto"/>
          <w:sz w:val="24"/>
          <w:highlight w:val="none"/>
        </w:rPr>
        <w:t>；</w:t>
      </w:r>
    </w:p>
    <w:p w14:paraId="702FB88C">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（13）其他特殊资质证书</w:t>
      </w:r>
      <w:r>
        <w:rPr>
          <w:rFonts w:ascii="宋体" w:hAnsi="宋体"/>
          <w:color w:val="auto"/>
          <w:sz w:val="24"/>
          <w:highlight w:val="none"/>
        </w:rPr>
        <w:t>（如</w:t>
      </w:r>
      <w:r>
        <w:rPr>
          <w:rFonts w:hint="eastAsia" w:ascii="宋体" w:hAnsi="宋体"/>
          <w:color w:val="auto"/>
          <w:sz w:val="24"/>
          <w:highlight w:val="none"/>
        </w:rPr>
        <w:t>本地化服务能力等）；</w:t>
      </w:r>
    </w:p>
    <w:p w14:paraId="5F94CA3B">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（14）投标人认为可以证明其能力或业绩的其他材料；</w:t>
      </w:r>
    </w:p>
    <w:p w14:paraId="09E0FA09">
      <w:pPr>
        <w:spacing w:line="360" w:lineRule="auto"/>
        <w:ind w:firstLine="472" w:firstLineChars="196"/>
        <w:jc w:val="left"/>
        <w:rPr>
          <w:rFonts w:ascii="宋体" w:hAnsi="宋体"/>
          <w:b/>
          <w:color w:val="auto"/>
          <w:sz w:val="24"/>
          <w:highlight w:val="none"/>
        </w:rPr>
      </w:pPr>
      <w:r>
        <w:rPr>
          <w:rFonts w:ascii="宋体" w:hAnsi="宋体"/>
          <w:b/>
          <w:color w:val="auto"/>
          <w:sz w:val="24"/>
          <w:highlight w:val="none"/>
        </w:rPr>
        <w:t>商务文件</w:t>
      </w:r>
    </w:p>
    <w:p w14:paraId="1059EFAC">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（15）商务响应表（格式见附件）；</w:t>
      </w:r>
    </w:p>
    <w:p w14:paraId="5D890DEF">
      <w:pPr>
        <w:snapToGrid w:val="0"/>
        <w:spacing w:line="360" w:lineRule="auto"/>
        <w:ind w:firstLine="480" w:firstLineChars="200"/>
        <w:jc w:val="left"/>
        <w:rPr>
          <w:color w:val="auto"/>
          <w:highlight w:val="none"/>
        </w:rPr>
      </w:pPr>
      <w:r>
        <w:rPr>
          <w:rFonts w:hint="eastAsia" w:ascii="宋体" w:hAnsi="宋体"/>
          <w:color w:val="auto"/>
          <w:sz w:val="24"/>
          <w:highlight w:val="none"/>
        </w:rPr>
        <w:t>（16</w:t>
      </w:r>
      <w:r>
        <w:rPr>
          <w:rFonts w:ascii="宋体" w:hAnsi="宋体"/>
          <w:color w:val="auto"/>
          <w:sz w:val="24"/>
          <w:highlight w:val="none"/>
        </w:rPr>
        <w:t>）服务承诺；</w:t>
      </w:r>
    </w:p>
    <w:p w14:paraId="282157E0">
      <w:pPr>
        <w:snapToGrid w:val="0"/>
        <w:spacing w:line="360" w:lineRule="auto"/>
        <w:ind w:firstLine="480" w:firstLineChars="200"/>
        <w:jc w:val="left"/>
        <w:rPr>
          <w:rFonts w:ascii="宋体" w:hAnsi="宋体"/>
          <w:color w:val="auto"/>
          <w:sz w:val="24"/>
          <w:highlight w:val="none"/>
        </w:rPr>
      </w:pPr>
      <w:bookmarkStart w:id="58" w:name="OLE_LINK41"/>
      <w:bookmarkStart w:id="59" w:name="OLE_LINK45"/>
      <w:r>
        <w:rPr>
          <w:rFonts w:hint="eastAsia" w:ascii="宋体" w:hAnsi="宋体"/>
          <w:color w:val="auto"/>
          <w:sz w:val="24"/>
          <w:highlight w:val="none"/>
        </w:rPr>
        <w:t>（17</w:t>
      </w:r>
      <w:r>
        <w:rPr>
          <w:rFonts w:ascii="宋体" w:hAnsi="宋体"/>
          <w:color w:val="auto"/>
          <w:sz w:val="24"/>
          <w:highlight w:val="none"/>
        </w:rPr>
        <w:t>）</w:t>
      </w:r>
      <w:bookmarkEnd w:id="58"/>
      <w:bookmarkEnd w:id="59"/>
      <w:r>
        <w:rPr>
          <w:rFonts w:hint="eastAsia" w:ascii="宋体" w:hAnsi="宋体"/>
          <w:color w:val="auto"/>
          <w:sz w:val="24"/>
          <w:highlight w:val="none"/>
        </w:rPr>
        <w:t>培训方案；</w:t>
      </w:r>
    </w:p>
    <w:p w14:paraId="468BA326">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w:t>
      </w:r>
      <w:r>
        <w:rPr>
          <w:rFonts w:ascii="宋体" w:hAnsi="宋体"/>
          <w:color w:val="auto"/>
          <w:sz w:val="24"/>
          <w:highlight w:val="none"/>
        </w:rPr>
        <w:t>）</w:t>
      </w:r>
      <w:r>
        <w:rPr>
          <w:rFonts w:hint="eastAsia" w:ascii="宋体" w:hAnsi="宋体"/>
          <w:color w:val="auto"/>
          <w:sz w:val="24"/>
          <w:highlight w:val="none"/>
        </w:rPr>
        <w:t>技术、商务、资信及其他分自评表。</w:t>
      </w:r>
    </w:p>
    <w:bookmarkEnd w:id="54"/>
    <w:bookmarkEnd w:id="55"/>
    <w:p w14:paraId="3763B3F0">
      <w:pPr>
        <w:spacing w:line="360" w:lineRule="auto"/>
        <w:ind w:firstLine="472" w:firstLineChars="196"/>
        <w:jc w:val="left"/>
        <w:rPr>
          <w:rFonts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报价文件：</w:t>
      </w:r>
    </w:p>
    <w:p w14:paraId="5713874C">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 xml:space="preserve">（1）投标函（格式见附件）； </w:t>
      </w:r>
    </w:p>
    <w:p w14:paraId="322F264C">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）报价明细表；</w:t>
      </w:r>
    </w:p>
    <w:p w14:paraId="70EA8173">
      <w:pPr>
        <w:spacing w:line="360" w:lineRule="auto"/>
        <w:ind w:firstLine="470" w:firstLineChars="196"/>
        <w:jc w:val="left"/>
        <w:rPr>
          <w:rFonts w:ascii="宋体" w:hAnsi="宋体" w:cs="仿宋"/>
          <w:color w:val="auto"/>
          <w:sz w:val="24"/>
          <w:highlight w:val="none"/>
        </w:rPr>
      </w:pPr>
      <w:r>
        <w:rPr>
          <w:rFonts w:hint="eastAsia" w:ascii="宋体" w:hAnsi="宋体" w:cs="仿宋"/>
          <w:color w:val="auto"/>
          <w:sz w:val="24"/>
          <w:highlight w:val="none"/>
        </w:rPr>
        <w:t>（3）</w:t>
      </w:r>
      <w:r>
        <w:rPr>
          <w:rFonts w:ascii="宋体" w:hAnsi="宋体"/>
          <w:color w:val="auto"/>
          <w:sz w:val="24"/>
          <w:highlight w:val="none"/>
        </w:rPr>
        <w:t>中小企业声明函</w:t>
      </w:r>
      <w:r>
        <w:rPr>
          <w:rFonts w:hint="eastAsia" w:ascii="宋体" w:hAnsi="宋体" w:cs="仿宋"/>
          <w:color w:val="auto"/>
          <w:sz w:val="24"/>
          <w:highlight w:val="none"/>
        </w:rPr>
        <w:t>（如有，格式见附件）；</w:t>
      </w:r>
    </w:p>
    <w:p w14:paraId="33537BB9">
      <w:pPr>
        <w:spacing w:line="360" w:lineRule="auto"/>
        <w:ind w:firstLine="470" w:firstLineChars="196"/>
        <w:jc w:val="left"/>
        <w:rPr>
          <w:rFonts w:ascii="宋体" w:hAnsi="宋体" w:cs="仿宋"/>
          <w:color w:val="auto"/>
          <w:sz w:val="24"/>
          <w:highlight w:val="none"/>
        </w:rPr>
      </w:pPr>
      <w:r>
        <w:rPr>
          <w:rFonts w:hint="eastAsia" w:ascii="宋体" w:hAnsi="宋体" w:cs="仿宋"/>
          <w:color w:val="auto"/>
          <w:sz w:val="24"/>
          <w:highlight w:val="none"/>
        </w:rPr>
        <w:t>（4）残疾人福利企业声明函</w:t>
      </w:r>
      <w:bookmarkStart w:id="60" w:name="OLE_LINK125"/>
      <w:bookmarkStart w:id="61" w:name="OLE_LINK126"/>
      <w:r>
        <w:rPr>
          <w:rFonts w:hint="eastAsia" w:ascii="宋体" w:hAnsi="宋体" w:cs="仿宋"/>
          <w:color w:val="auto"/>
          <w:sz w:val="24"/>
          <w:highlight w:val="none"/>
        </w:rPr>
        <w:t>（如有，格式见附件）；</w:t>
      </w:r>
      <w:bookmarkEnd w:id="60"/>
      <w:bookmarkEnd w:id="61"/>
      <w:r>
        <w:rPr>
          <w:rFonts w:hint="eastAsia" w:ascii="宋体" w:hAnsi="宋体" w:cs="仿宋"/>
          <w:color w:val="auto"/>
          <w:sz w:val="24"/>
          <w:highlight w:val="none"/>
        </w:rPr>
        <w:t xml:space="preserve"> </w:t>
      </w:r>
    </w:p>
    <w:p w14:paraId="4E740F1C">
      <w:pPr>
        <w:spacing w:line="360" w:lineRule="auto"/>
        <w:ind w:firstLine="470" w:firstLineChars="196"/>
        <w:jc w:val="left"/>
        <w:rPr>
          <w:rFonts w:ascii="宋体" w:hAnsi="宋体" w:cs="仿宋"/>
          <w:color w:val="auto"/>
          <w:sz w:val="24"/>
          <w:highlight w:val="none"/>
        </w:rPr>
      </w:pPr>
      <w:r>
        <w:rPr>
          <w:rFonts w:hint="eastAsia" w:ascii="宋体" w:hAnsi="宋体" w:cs="仿宋"/>
          <w:color w:val="auto"/>
          <w:sz w:val="24"/>
          <w:highlight w:val="none"/>
        </w:rPr>
        <w:t>（5）属于监狱企业的证明文件（如有）；</w:t>
      </w:r>
    </w:p>
    <w:p w14:paraId="5408DEAE">
      <w:pPr>
        <w:spacing w:line="360" w:lineRule="auto"/>
        <w:ind w:firstLine="470" w:firstLineChars="196"/>
        <w:jc w:val="left"/>
        <w:rPr>
          <w:rFonts w:ascii="宋体" w:hAnsi="宋体" w:cs="仿宋"/>
          <w:color w:val="auto"/>
          <w:sz w:val="24"/>
          <w:highlight w:val="none"/>
        </w:rPr>
      </w:pPr>
      <w:r>
        <w:rPr>
          <w:rFonts w:hint="eastAsia" w:ascii="宋体" w:hAnsi="宋体"/>
          <w:color w:val="auto"/>
          <w:sz w:val="24"/>
          <w:highlight w:val="none"/>
        </w:rPr>
        <w:t>（6）</w:t>
      </w:r>
      <w:bookmarkStart w:id="62" w:name="OLE_LINK13"/>
      <w:r>
        <w:rPr>
          <w:rFonts w:hint="eastAsia" w:ascii="宋体" w:hAnsi="宋体" w:cs="仿宋"/>
          <w:color w:val="auto"/>
          <w:sz w:val="24"/>
          <w:highlight w:val="none"/>
        </w:rPr>
        <w:t>联合体各方共同投标协议（如有，格式自拟）</w:t>
      </w:r>
      <w:bookmarkEnd w:id="62"/>
    </w:p>
    <w:p w14:paraId="0BF61F83">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（7）投标人针对报价需要说明的其他文件和说明（格式自拟）；</w:t>
      </w:r>
    </w:p>
    <w:p w14:paraId="3801EC63">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（8）招标代理费承诺函；</w:t>
      </w:r>
    </w:p>
    <w:p w14:paraId="019C4EB3">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（9）开标一览表（格式见附件）。</w:t>
      </w:r>
    </w:p>
    <w:bookmarkEnd w:id="45"/>
    <w:bookmarkEnd w:id="46"/>
    <w:p w14:paraId="683B382B">
      <w:pPr>
        <w:snapToGrid w:val="0"/>
        <w:spacing w:line="360" w:lineRule="auto"/>
        <w:ind w:firstLine="472" w:firstLineChars="196"/>
        <w:jc w:val="left"/>
        <w:outlineLvl w:val="0"/>
        <w:rPr>
          <w:rFonts w:ascii="宋体" w:hAnsi="宋体"/>
          <w:b/>
          <w:color w:val="auto"/>
          <w:sz w:val="24"/>
          <w:highlight w:val="none"/>
        </w:rPr>
      </w:pPr>
      <w:r>
        <w:rPr>
          <w:rFonts w:hint="eastAsia" w:ascii="宋体" w:hAnsi="宋体"/>
          <w:b/>
          <w:color w:val="auto"/>
          <w:sz w:val="24"/>
          <w:highlight w:val="none"/>
        </w:rPr>
        <w:t>（二）投标文件的语言及计量</w:t>
      </w:r>
    </w:p>
    <w:p w14:paraId="2FD1926E">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1D0C06F7">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14:paraId="0DA0F370">
      <w:pPr>
        <w:snapToGrid w:val="0"/>
        <w:spacing w:line="360" w:lineRule="auto"/>
        <w:ind w:firstLine="472" w:firstLineChars="196"/>
        <w:jc w:val="left"/>
        <w:outlineLvl w:val="0"/>
        <w:rPr>
          <w:rFonts w:ascii="宋体" w:hAnsi="宋体"/>
          <w:b/>
          <w:color w:val="auto"/>
          <w:kern w:val="0"/>
          <w:sz w:val="24"/>
          <w:highlight w:val="none"/>
        </w:rPr>
      </w:pPr>
      <w:r>
        <w:rPr>
          <w:rFonts w:hint="eastAsia" w:ascii="宋体" w:hAnsi="宋体"/>
          <w:b/>
          <w:color w:val="auto"/>
          <w:kern w:val="0"/>
          <w:sz w:val="24"/>
          <w:highlight w:val="none"/>
        </w:rPr>
        <w:t>（三）投标报价</w:t>
      </w:r>
    </w:p>
    <w:p w14:paraId="730A43A9">
      <w:pPr>
        <w:snapToGrid w:val="0"/>
        <w:spacing w:line="360" w:lineRule="auto"/>
        <w:ind w:firstLine="470" w:firstLineChars="196"/>
        <w:jc w:val="left"/>
        <w:outlineLvl w:val="0"/>
        <w:rPr>
          <w:rFonts w:ascii="宋体" w:hAnsi="宋体"/>
          <w:b/>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所有报价均应使用折扣（%）表示。</w:t>
      </w:r>
    </w:p>
    <w:p w14:paraId="08392324">
      <w:pPr>
        <w:snapToGrid w:val="0"/>
        <w:spacing w:line="360" w:lineRule="auto"/>
        <w:ind w:firstLine="470" w:firstLineChars="196"/>
        <w:jc w:val="left"/>
        <w:outlineLvl w:val="0"/>
        <w:rPr>
          <w:rFonts w:ascii="宋体" w:hAnsi="宋体"/>
          <w:color w:val="auto"/>
          <w:sz w:val="24"/>
          <w:highlight w:val="none"/>
        </w:rPr>
      </w:pPr>
      <w:r>
        <w:rPr>
          <w:rFonts w:hint="eastAsia" w:ascii="宋体" w:hAnsi="宋体"/>
          <w:color w:val="auto"/>
          <w:sz w:val="24"/>
          <w:highlight w:val="none"/>
        </w:rPr>
        <w:t>▲2.投标报价指完成服务的各种费用及必要的保险费用和各项税金等所有费用的总和，应为履行合同的最终价格，其市场风险由供应商承担。</w:t>
      </w:r>
    </w:p>
    <w:p w14:paraId="4BD98365">
      <w:pPr>
        <w:snapToGrid w:val="0"/>
        <w:spacing w:line="360" w:lineRule="auto"/>
        <w:ind w:firstLine="470" w:firstLineChars="196"/>
        <w:jc w:val="left"/>
        <w:outlineLvl w:val="0"/>
        <w:rPr>
          <w:rFonts w:ascii="宋体" w:hAnsi="宋体"/>
          <w:color w:val="auto"/>
          <w:sz w:val="24"/>
          <w:highlight w:val="none"/>
        </w:rPr>
      </w:pPr>
      <w:r>
        <w:rPr>
          <w:rFonts w:hint="eastAsia" w:ascii="宋体" w:hAnsi="宋体"/>
          <w:color w:val="auto"/>
          <w:sz w:val="24"/>
          <w:highlight w:val="none"/>
        </w:rPr>
        <w:t>▲3.投标文件只允许有一个报价，有选择的或有条件的报价将不予接受。</w:t>
      </w:r>
    </w:p>
    <w:p w14:paraId="4716758E">
      <w:pPr>
        <w:pStyle w:val="7"/>
        <w:numPr>
          <w:ilvl w:val="0"/>
          <w:numId w:val="0"/>
        </w:numPr>
        <w:tabs>
          <w:tab w:val="left" w:pos="720"/>
        </w:tabs>
        <w:snapToGrid w:val="0"/>
        <w:spacing w:line="360" w:lineRule="auto"/>
        <w:ind w:left="413"/>
        <w:rPr>
          <w:rFonts w:ascii="宋体" w:hAnsi="宋体"/>
          <w:b/>
          <w:color w:val="auto"/>
          <w:highlight w:val="none"/>
        </w:rPr>
      </w:pPr>
      <w:r>
        <w:rPr>
          <w:rFonts w:hint="eastAsia" w:ascii="宋体" w:hAnsi="宋体"/>
          <w:b/>
          <w:color w:val="auto"/>
          <w:highlight w:val="none"/>
        </w:rPr>
        <w:t>（四）投标文件的有效期</w:t>
      </w:r>
    </w:p>
    <w:p w14:paraId="14F6C500">
      <w:pPr>
        <w:pStyle w:val="7"/>
        <w:numPr>
          <w:ilvl w:val="0"/>
          <w:numId w:val="0"/>
        </w:numPr>
        <w:tabs>
          <w:tab w:val="left" w:pos="720"/>
        </w:tabs>
        <w:snapToGrid w:val="0"/>
        <w:spacing w:line="360" w:lineRule="auto"/>
        <w:ind w:left="42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自投标截止日起</w:t>
      </w:r>
      <w:r>
        <w:rPr>
          <w:rFonts w:hint="eastAsia" w:ascii="宋体" w:hAnsi="宋体" w:cs="宋体"/>
          <w:color w:val="auto"/>
          <w:sz w:val="24"/>
          <w:highlight w:val="none"/>
        </w:rPr>
        <w:t>120</w:t>
      </w:r>
      <w:r>
        <w:rPr>
          <w:rFonts w:ascii="宋体" w:hAnsi="宋体" w:cs="宋体"/>
          <w:color w:val="auto"/>
          <w:sz w:val="24"/>
          <w:highlight w:val="none"/>
        </w:rPr>
        <w:t>天投标</w:t>
      </w:r>
      <w:r>
        <w:rPr>
          <w:rFonts w:hint="eastAsia" w:ascii="宋体" w:hAnsi="宋体" w:cs="宋体"/>
          <w:color w:val="auto"/>
          <w:sz w:val="24"/>
          <w:highlight w:val="none"/>
        </w:rPr>
        <w:t>文件</w:t>
      </w:r>
      <w:r>
        <w:rPr>
          <w:rFonts w:ascii="宋体" w:hAnsi="宋体" w:cs="宋体"/>
          <w:color w:val="auto"/>
          <w:sz w:val="24"/>
          <w:highlight w:val="none"/>
        </w:rPr>
        <w:t>应保持有效。有效期</w:t>
      </w:r>
      <w:r>
        <w:rPr>
          <w:rFonts w:hint="eastAsia" w:ascii="宋体" w:hAnsi="宋体" w:cs="宋体"/>
          <w:color w:val="auto"/>
          <w:sz w:val="24"/>
          <w:highlight w:val="none"/>
        </w:rPr>
        <w:t>不足</w:t>
      </w:r>
      <w:r>
        <w:rPr>
          <w:rFonts w:ascii="宋体" w:hAnsi="宋体" w:cs="宋体"/>
          <w:color w:val="auto"/>
          <w:sz w:val="24"/>
          <w:highlight w:val="none"/>
        </w:rPr>
        <w:t>的投标</w:t>
      </w:r>
      <w:r>
        <w:rPr>
          <w:rFonts w:hint="eastAsia" w:ascii="宋体" w:hAnsi="宋体" w:cs="宋体"/>
          <w:color w:val="auto"/>
          <w:sz w:val="24"/>
          <w:highlight w:val="none"/>
        </w:rPr>
        <w:t>文件</w:t>
      </w:r>
      <w:r>
        <w:rPr>
          <w:rFonts w:ascii="宋体" w:hAnsi="宋体" w:cs="宋体"/>
          <w:color w:val="auto"/>
          <w:sz w:val="24"/>
          <w:highlight w:val="none"/>
        </w:rPr>
        <w:t>将被拒绝。</w:t>
      </w:r>
    </w:p>
    <w:p w14:paraId="0A0216AF">
      <w:pPr>
        <w:pStyle w:val="7"/>
        <w:numPr>
          <w:ilvl w:val="0"/>
          <w:numId w:val="0"/>
        </w:numPr>
        <w:tabs>
          <w:tab w:val="left" w:pos="720"/>
        </w:tabs>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w:t>
      </w:r>
      <w:r>
        <w:rPr>
          <w:rFonts w:ascii="宋体" w:hAnsi="宋体" w:cs="宋体"/>
          <w:color w:val="auto"/>
          <w:sz w:val="24"/>
          <w:highlight w:val="none"/>
        </w:rPr>
        <w:t>在特殊情况下，招标人可与投标人协商延长投标书的有效期，这种要求和答复均以书面形式进行。</w:t>
      </w:r>
    </w:p>
    <w:p w14:paraId="1D5702F5">
      <w:pPr>
        <w:pStyle w:val="7"/>
        <w:numPr>
          <w:ilvl w:val="0"/>
          <w:numId w:val="0"/>
        </w:numPr>
        <w:tabs>
          <w:tab w:val="left" w:pos="720"/>
        </w:tabs>
        <w:snapToGrid w:val="0"/>
        <w:spacing w:line="360" w:lineRule="auto"/>
        <w:ind w:left="42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w:t>
      </w:r>
      <w:r>
        <w:rPr>
          <w:rFonts w:ascii="宋体" w:hAnsi="宋体" w:cs="宋体"/>
          <w:color w:val="auto"/>
          <w:sz w:val="24"/>
          <w:highlight w:val="none"/>
        </w:rPr>
        <w:t>投标人可拒绝接受延期要求。同意延长有效期的投标人不能修改投标文件。</w:t>
      </w:r>
    </w:p>
    <w:p w14:paraId="555B7162">
      <w:pPr>
        <w:pStyle w:val="7"/>
        <w:numPr>
          <w:ilvl w:val="0"/>
          <w:numId w:val="0"/>
        </w:numPr>
        <w:tabs>
          <w:tab w:val="left" w:pos="720"/>
        </w:tabs>
        <w:snapToGrid w:val="0"/>
        <w:spacing w:line="360" w:lineRule="auto"/>
        <w:ind w:left="42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w:t>
      </w:r>
      <w:r>
        <w:rPr>
          <w:rFonts w:ascii="宋体" w:hAnsi="宋体" w:cs="宋体"/>
          <w:color w:val="auto"/>
          <w:sz w:val="24"/>
          <w:highlight w:val="none"/>
        </w:rPr>
        <w:t>中标人的投标文件自开标之日起至合同履行完毕止均应保持有效。</w:t>
      </w:r>
    </w:p>
    <w:p w14:paraId="6EEAB18B">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（五）投标文件的签署和份数</w:t>
      </w:r>
    </w:p>
    <w:p w14:paraId="329164A9">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本项目通过“政府采购云平台（www.zcygov.cn）”实行在线投标响应（电子投标）。供应商应通过“政采云电子交易客户端”，并按照本招标文件和“政府采购云平台”的要求编制并加密投标文件。</w:t>
      </w:r>
    </w:p>
    <w:p w14:paraId="2F9F8EF7">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1.投标供应商应当按照本章节 “投标文件组成”规定的内容及顺序在“政采云电子交易客户端”编制投标文件。其中《资格文件》和《技术/资信/商务文件》中不得出现本项目投标报价，如因投标人原因提前泄露投标报价，是投标人的责任。</w:t>
      </w:r>
    </w:p>
    <w:p w14:paraId="4BFB9B90">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2.本文件《第六章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投标文件格式》未提供格式的，请各投标单位自行拟定格式，并加盖单位公章并由法定代表人或其授权代表签署（签字或盖章），否则视为未提供。</w:t>
      </w:r>
    </w:p>
    <w:p w14:paraId="5F83DCA7">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3.投标文件内容不完整、编排混乱导致投标文件被误读、漏读或者查找不到相关内容的，是投标供应商的责任。</w:t>
      </w:r>
    </w:p>
    <w:p w14:paraId="64FB8269">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4.投标文件因字迹潦草或表达不清所引起的后果由投标供应商负责。</w:t>
      </w:r>
      <w:r>
        <w:rPr>
          <w:rFonts w:ascii="宋体" w:hAnsi="宋体"/>
          <w:color w:val="auto"/>
          <w:sz w:val="24"/>
          <w:highlight w:val="none"/>
        </w:rPr>
        <w:tab/>
      </w:r>
    </w:p>
    <w:p w14:paraId="7C928F07">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5.投标供应商没有按照本章节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14:paraId="644C4477">
      <w:pPr>
        <w:tabs>
          <w:tab w:val="left" w:pos="8460"/>
        </w:tabs>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（六）投标文件的签署</w:t>
      </w:r>
    </w:p>
    <w:p w14:paraId="5CB53CDC">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《投标文件》应由投标供应商法定代表人或其授权代表签字（或盖章），并加盖投标供应商公章。</w:t>
      </w:r>
    </w:p>
    <w:p w14:paraId="72997766">
      <w:pPr>
        <w:tabs>
          <w:tab w:val="left" w:pos="8460"/>
        </w:tabs>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（七）投标文件的形式</w:t>
      </w:r>
    </w:p>
    <w:p w14:paraId="735387E0">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1.投标文件的形式：见《前附表》；</w:t>
      </w:r>
    </w:p>
    <w:p w14:paraId="1E7021BF">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2.“电子加密投标文件”：“电子加密投标文件”是指通过“政采云电子交易客户端”完成投标文件编制后生成并加密的数据电文形式的投标文件。</w:t>
      </w:r>
    </w:p>
    <w:p w14:paraId="60993084">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3.“备份投标文件”：“备份投标文件”是指与“电子加密投标文件”同时生成的数据电文形式的电子文件（备份标书），其他方式编制的“备份投标文件”视为无效的“备份投标文件”。</w:t>
      </w:r>
    </w:p>
    <w:p w14:paraId="7508642B">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（八）投标文件的份数：见《前附表》。</w:t>
      </w:r>
    </w:p>
    <w:p w14:paraId="768F6EE2">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（九）投标文件的上传和递交：见《前附表》。</w:t>
      </w:r>
    </w:p>
    <w:p w14:paraId="00FB7D34">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（十）“电子加密投标文件”解密和异常情况处理：见《前附表》。</w:t>
      </w:r>
    </w:p>
    <w:p w14:paraId="23275F57">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（十一）投标文件的补充、修改或撤回</w:t>
      </w:r>
    </w:p>
    <w:p w14:paraId="7C049848">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6AE6298E">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2.投标截止时间后，投标供应商不得撤回、修改投标文件。</w:t>
      </w:r>
    </w:p>
    <w:p w14:paraId="61D2E5F3">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（十二）投标文件的备选方案</w:t>
      </w:r>
    </w:p>
    <w:p w14:paraId="7401245B">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投标供应商不得递交任何的投标备选（替代）方案，否则其投标文件将作无效标处理。与“电子加密投标文件”同时生成的“备份投标文件”不是投标备选（替代）方案。</w:t>
      </w:r>
    </w:p>
    <w:p w14:paraId="79BC910B">
      <w:pPr>
        <w:snapToGrid w:val="0"/>
        <w:spacing w:before="120" w:beforeLines="50" w:line="360" w:lineRule="auto"/>
        <w:ind w:firstLine="472" w:firstLineChars="196"/>
        <w:outlineLvl w:val="2"/>
        <w:rPr>
          <w:rFonts w:ascii="宋体" w:hAnsi="宋体"/>
          <w:b/>
          <w:color w:val="auto"/>
          <w:sz w:val="24"/>
          <w:highlight w:val="none"/>
        </w:rPr>
      </w:pPr>
      <w:r>
        <w:rPr>
          <w:rFonts w:hint="eastAsia" w:ascii="宋体" w:hAnsi="宋体"/>
          <w:b/>
          <w:color w:val="auto"/>
          <w:sz w:val="24"/>
          <w:highlight w:val="none"/>
        </w:rPr>
        <w:t>（十三）投标无效的情形</w:t>
      </w:r>
    </w:p>
    <w:p w14:paraId="00EACA95">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5EA6855E">
      <w:pPr>
        <w:snapToGrid w:val="0"/>
        <w:spacing w:line="360" w:lineRule="auto"/>
        <w:ind w:firstLine="472" w:firstLineChars="196"/>
        <w:rPr>
          <w:rFonts w:ascii="宋体" w:hAns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.在评标开始前，招标采购单位对投标人的资格进行审查，如发现下列情形之一的，投标文件将被视为无效，不再进行下一步评审：</w:t>
      </w:r>
    </w:p>
    <w:p w14:paraId="00097ED3">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（1）未提供有效的营业执照、税务登记证、组织机构代码证或未提供“三证合一”的营业执照或未提供“五证合一”的营业执照；</w:t>
      </w:r>
    </w:p>
    <w:p w14:paraId="6E85ED86">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（2）未提供法定代表人有效身份证明书及身份证或未提供法定代表人授权书及授权人身份证或与法定代表人授权委托人身份不符的；或未提供法定代表人授权委托人社保的；</w:t>
      </w:r>
    </w:p>
    <w:p w14:paraId="14E773E4">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（3）未提供投标承诺书的；</w:t>
      </w:r>
    </w:p>
    <w:p w14:paraId="78210639">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（4）未提供信用承诺书的；</w:t>
      </w:r>
    </w:p>
    <w:p w14:paraId="1661B9D5">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（5）未</w:t>
      </w:r>
      <w:r>
        <w:rPr>
          <w:rFonts w:hint="eastAsia" w:ascii="宋体" w:hAnsi="宋体"/>
          <w:color w:val="auto"/>
          <w:sz w:val="24"/>
          <w:highlight w:val="none"/>
        </w:rPr>
        <w:t>提供自招标公告发布之日起至投标截止日内任意时间的“信用中国”网站（www.creditchina.gov.cn）、中国政府采购网（www.ccgp.gov.cn）投标人信用查询网页截图</w:t>
      </w:r>
    </w:p>
    <w:p w14:paraId="74B7A585">
      <w:pPr>
        <w:snapToGrid w:val="0"/>
        <w:spacing w:line="360" w:lineRule="auto"/>
        <w:ind w:firstLine="470" w:firstLineChars="196"/>
        <w:rPr>
          <w:rFonts w:ascii="宋体" w:hAnsi="宋体"/>
          <w:bCs/>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w:t>
      </w:r>
      <w:r>
        <w:rPr>
          <w:rFonts w:hint="eastAsia" w:ascii="宋体" w:hAnsi="宋体"/>
          <w:bCs/>
          <w:color w:val="auto"/>
          <w:sz w:val="24"/>
          <w:highlight w:val="none"/>
        </w:rPr>
        <w:t>资格证明文件不全的，或者不符合招标文件标明的资格要求的。</w:t>
      </w:r>
    </w:p>
    <w:p w14:paraId="462B3548">
      <w:pPr>
        <w:snapToGrid w:val="0"/>
        <w:spacing w:line="360" w:lineRule="auto"/>
        <w:ind w:firstLine="472" w:firstLineChars="196"/>
        <w:rPr>
          <w:rFonts w:ascii="宋体" w:hAnsi="宋体"/>
          <w:b/>
          <w:bCs/>
          <w:color w:val="auto"/>
          <w:sz w:val="24"/>
          <w:highlight w:val="none"/>
        </w:rPr>
      </w:pPr>
      <w:r>
        <w:rPr>
          <w:rFonts w:hint="eastAsia" w:ascii="宋体" w:hAnsi="宋体"/>
          <w:b/>
          <w:bCs/>
          <w:color w:val="auto"/>
          <w:sz w:val="24"/>
          <w:highlight w:val="none"/>
        </w:rPr>
        <w:t>2</w:t>
      </w:r>
      <w:r>
        <w:rPr>
          <w:rFonts w:ascii="宋体" w:hAnsi="宋体"/>
          <w:b/>
          <w:bCs/>
          <w:color w:val="auto"/>
          <w:sz w:val="24"/>
          <w:highlight w:val="none"/>
        </w:rPr>
        <w:t>.在符合性审查和商务评审时，如发现下列情形之一的，投标文件将被视为无效：</w:t>
      </w:r>
    </w:p>
    <w:p w14:paraId="232D67E9">
      <w:pPr>
        <w:snapToGrid w:val="0"/>
        <w:spacing w:line="360" w:lineRule="auto"/>
        <w:ind w:firstLine="470" w:firstLineChars="196"/>
        <w:rPr>
          <w:rFonts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）投标文件未</w:t>
      </w:r>
      <w:r>
        <w:rPr>
          <w:rFonts w:hint="eastAsia" w:ascii="宋体" w:hAnsi="宋体"/>
          <w:bCs/>
          <w:color w:val="auto"/>
          <w:sz w:val="24"/>
          <w:highlight w:val="none"/>
        </w:rPr>
        <w:t>提供投标声明书或者填写项目不齐全的；</w:t>
      </w:r>
    </w:p>
    <w:p w14:paraId="05BA1F9C">
      <w:pPr>
        <w:snapToGrid w:val="0"/>
        <w:spacing w:line="360" w:lineRule="auto"/>
        <w:ind w:firstLine="470" w:firstLineChars="196"/>
        <w:rPr>
          <w:rFonts w:hAnsi="宋体"/>
          <w:bCs/>
          <w:color w:val="auto"/>
          <w:sz w:val="24"/>
          <w:highlight w:val="none"/>
        </w:rPr>
      </w:pPr>
      <w:r>
        <w:rPr>
          <w:rFonts w:hAnsi="宋体"/>
          <w:bCs/>
          <w:color w:val="auto"/>
          <w:sz w:val="24"/>
          <w:highlight w:val="none"/>
        </w:rPr>
        <w:t>（2）投标文件格式不规范、项目不齐全或者内容虚假的；</w:t>
      </w:r>
    </w:p>
    <w:p w14:paraId="6B90E704">
      <w:pPr>
        <w:snapToGrid w:val="0"/>
        <w:spacing w:line="360" w:lineRule="auto"/>
        <w:ind w:firstLine="470" w:firstLineChars="196"/>
        <w:rPr>
          <w:rFonts w:hAnsi="宋体"/>
          <w:bCs/>
          <w:color w:val="auto"/>
          <w:sz w:val="24"/>
          <w:highlight w:val="none"/>
        </w:rPr>
      </w:pPr>
      <w:r>
        <w:rPr>
          <w:rFonts w:hAnsi="宋体"/>
          <w:bCs/>
          <w:color w:val="auto"/>
          <w:sz w:val="24"/>
          <w:highlight w:val="none"/>
        </w:rPr>
        <w:t>（3）投标文件的实质性内容未使用中文表述、意思表述不明确、前后矛盾或者使用计量单位不符合招标文件要求的（经评标委员会认定</w:t>
      </w:r>
      <w:r>
        <w:rPr>
          <w:rFonts w:hint="eastAsia" w:hAnsi="宋体"/>
          <w:bCs/>
          <w:color w:val="auto"/>
          <w:sz w:val="24"/>
          <w:highlight w:val="none"/>
        </w:rPr>
        <w:t>并</w:t>
      </w:r>
      <w:r>
        <w:rPr>
          <w:rFonts w:hAnsi="宋体"/>
          <w:bCs/>
          <w:color w:val="auto"/>
          <w:sz w:val="24"/>
          <w:highlight w:val="none"/>
        </w:rPr>
        <w:t>允许其当场更正的笔误除外）</w:t>
      </w:r>
      <w:r>
        <w:rPr>
          <w:rFonts w:hint="eastAsia" w:hAnsi="宋体"/>
          <w:bCs/>
          <w:color w:val="auto"/>
          <w:sz w:val="24"/>
          <w:highlight w:val="none"/>
        </w:rPr>
        <w:t>；</w:t>
      </w:r>
    </w:p>
    <w:p w14:paraId="069A955E">
      <w:pPr>
        <w:snapToGrid w:val="0"/>
        <w:spacing w:line="360" w:lineRule="auto"/>
        <w:ind w:firstLine="470" w:firstLineChars="196"/>
        <w:rPr>
          <w:rFonts w:hAnsi="宋体"/>
          <w:bCs/>
          <w:color w:val="auto"/>
          <w:sz w:val="24"/>
          <w:highlight w:val="none"/>
        </w:rPr>
      </w:pPr>
      <w:r>
        <w:rPr>
          <w:rFonts w:hAnsi="宋体"/>
          <w:bCs/>
          <w:color w:val="auto"/>
          <w:sz w:val="24"/>
          <w:highlight w:val="none"/>
        </w:rPr>
        <w:t>（4）投标有效期、服务期等商务条款不能满足招标文件要求的；</w:t>
      </w:r>
    </w:p>
    <w:p w14:paraId="3010F992">
      <w:pPr>
        <w:snapToGrid w:val="0"/>
        <w:spacing w:line="360" w:lineRule="auto"/>
        <w:ind w:firstLine="470" w:firstLineChars="196"/>
        <w:rPr>
          <w:color w:val="auto"/>
          <w:sz w:val="24"/>
          <w:highlight w:val="none"/>
        </w:rPr>
      </w:pPr>
      <w:r>
        <w:rPr>
          <w:rFonts w:hAnsi="宋体"/>
          <w:bCs/>
          <w:color w:val="auto"/>
          <w:sz w:val="24"/>
          <w:highlight w:val="none"/>
        </w:rPr>
        <w:t>（5）</w:t>
      </w:r>
      <w:r>
        <w:rPr>
          <w:rFonts w:hint="eastAsia" w:hAnsi="宋体"/>
          <w:bCs/>
          <w:color w:val="auto"/>
          <w:sz w:val="24"/>
          <w:highlight w:val="none"/>
        </w:rPr>
        <w:t>未实质性</w:t>
      </w:r>
      <w:r>
        <w:rPr>
          <w:rFonts w:hAnsi="宋体"/>
          <w:bCs/>
          <w:color w:val="auto"/>
          <w:sz w:val="24"/>
          <w:highlight w:val="none"/>
        </w:rPr>
        <w:t>响应招标文件要求或者投标文件有招标方不能接受</w:t>
      </w:r>
      <w:r>
        <w:rPr>
          <w:color w:val="auto"/>
          <w:sz w:val="24"/>
          <w:highlight w:val="none"/>
        </w:rPr>
        <w:t>的附加条件的；</w:t>
      </w:r>
    </w:p>
    <w:p w14:paraId="12FD149D">
      <w:pPr>
        <w:snapToGrid w:val="0"/>
        <w:spacing w:line="360" w:lineRule="auto"/>
        <w:ind w:firstLine="472" w:firstLineChars="196"/>
        <w:rPr>
          <w:rFonts w:ascii="宋体" w:hAns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rPr>
        <w:t>.</w:t>
      </w:r>
      <w:r>
        <w:rPr>
          <w:rFonts w:ascii="宋体" w:hAnsi="宋体"/>
          <w:b/>
          <w:bCs/>
          <w:color w:val="auto"/>
          <w:sz w:val="24"/>
          <w:highlight w:val="none"/>
        </w:rPr>
        <w:t>在技术评审时，如发现下列情形之一的，投标文件将被视为无效：</w:t>
      </w:r>
    </w:p>
    <w:p w14:paraId="1E681782">
      <w:pPr>
        <w:snapToGrid w:val="0"/>
        <w:spacing w:line="360" w:lineRule="auto"/>
        <w:ind w:firstLine="472" w:firstLineChars="196"/>
        <w:rPr>
          <w:rFonts w:hAnsi="宋体"/>
          <w:color w:val="auto"/>
          <w:sz w:val="24"/>
          <w:highlight w:val="none"/>
        </w:rPr>
      </w:pPr>
      <w:r>
        <w:rPr>
          <w:rFonts w:hAnsi="宋体"/>
          <w:b/>
          <w:color w:val="auto"/>
          <w:sz w:val="24"/>
          <w:highlight w:val="none"/>
        </w:rPr>
        <w:t>（</w:t>
      </w:r>
      <w:r>
        <w:rPr>
          <w:rFonts w:hAnsi="宋体"/>
          <w:color w:val="auto"/>
          <w:sz w:val="24"/>
          <w:highlight w:val="none"/>
        </w:rPr>
        <w:t>1）未提供或未如实提供投标项目的技术参数，或者投标文件标明的响应或偏离与事实不符或虚假投标的；</w:t>
      </w:r>
    </w:p>
    <w:p w14:paraId="4C95C84F">
      <w:pPr>
        <w:snapToGrid w:val="0"/>
        <w:spacing w:line="360" w:lineRule="auto"/>
        <w:ind w:firstLine="470" w:firstLineChars="196"/>
        <w:rPr>
          <w:color w:val="auto"/>
          <w:sz w:val="24"/>
          <w:highlight w:val="none"/>
        </w:rPr>
      </w:pPr>
      <w:r>
        <w:rPr>
          <w:color w:val="auto"/>
          <w:sz w:val="24"/>
          <w:highlight w:val="none"/>
        </w:rPr>
        <w:t>（2）明显不符合招标文件</w:t>
      </w:r>
      <w:r>
        <w:rPr>
          <w:rFonts w:hint="eastAsia"/>
          <w:color w:val="auto"/>
          <w:sz w:val="24"/>
          <w:highlight w:val="none"/>
        </w:rPr>
        <w:t>要求</w:t>
      </w:r>
      <w:r>
        <w:rPr>
          <w:color w:val="auto"/>
          <w:sz w:val="24"/>
          <w:highlight w:val="none"/>
        </w:rPr>
        <w:t>的规格型号、质量标准，或者</w:t>
      </w:r>
      <w:r>
        <w:rPr>
          <w:rFonts w:hint="eastAsia"/>
          <w:color w:val="auto"/>
          <w:sz w:val="24"/>
          <w:highlight w:val="none"/>
        </w:rPr>
        <w:t>与</w:t>
      </w:r>
      <w:r>
        <w:rPr>
          <w:color w:val="auto"/>
          <w:sz w:val="24"/>
          <w:highlight w:val="none"/>
        </w:rPr>
        <w:t>招标文件中标“▲”的技术指标、主要功能项目发生实质性偏离的；</w:t>
      </w:r>
    </w:p>
    <w:p w14:paraId="0482544C">
      <w:pPr>
        <w:snapToGrid w:val="0"/>
        <w:spacing w:line="360" w:lineRule="auto"/>
        <w:ind w:firstLine="470" w:firstLineChars="196"/>
        <w:rPr>
          <w:color w:val="auto"/>
          <w:sz w:val="24"/>
          <w:highlight w:val="none"/>
        </w:rPr>
      </w:pPr>
      <w:r>
        <w:rPr>
          <w:color w:val="auto"/>
          <w:sz w:val="24"/>
          <w:highlight w:val="none"/>
        </w:rPr>
        <w:t>（3）投标技术方案不明确，存在一个或一个以上备选（替代）投标方案的；</w:t>
      </w:r>
    </w:p>
    <w:p w14:paraId="3482214E">
      <w:pPr>
        <w:snapToGrid w:val="0"/>
        <w:spacing w:line="360" w:lineRule="auto"/>
        <w:ind w:firstLine="470" w:firstLineChars="196"/>
        <w:rPr>
          <w:color w:val="auto"/>
          <w:sz w:val="24"/>
          <w:highlight w:val="none"/>
        </w:rPr>
      </w:pPr>
      <w:r>
        <w:rPr>
          <w:color w:val="auto"/>
          <w:sz w:val="24"/>
          <w:highlight w:val="none"/>
        </w:rPr>
        <w:t>（4）</w:t>
      </w:r>
      <w:r>
        <w:rPr>
          <w:rFonts w:hint="eastAsia"/>
          <w:color w:val="auto"/>
          <w:sz w:val="24"/>
          <w:highlight w:val="none"/>
        </w:rPr>
        <w:t>与其他参加本次投标供应商的投标文件（技术文件）的文字表述内容相同连续20行以上或者差错相同2处以上的；</w:t>
      </w:r>
    </w:p>
    <w:p w14:paraId="6C30ED14">
      <w:pPr>
        <w:snapToGrid w:val="0"/>
        <w:spacing w:line="360" w:lineRule="auto"/>
        <w:ind w:firstLine="472" w:firstLineChars="196"/>
        <w:rPr>
          <w:rFonts w:ascii="宋体" w:hAnsi="宋体"/>
          <w:b/>
          <w:bCs/>
          <w:color w:val="auto"/>
          <w:sz w:val="24"/>
          <w:highlight w:val="none"/>
        </w:rPr>
      </w:pPr>
      <w:r>
        <w:rPr>
          <w:rFonts w:ascii="宋体" w:hAnsi="宋体"/>
          <w:b/>
          <w:bCs/>
          <w:color w:val="auto"/>
          <w:sz w:val="24"/>
          <w:highlight w:val="none"/>
        </w:rPr>
        <w:t>4</w:t>
      </w:r>
      <w:r>
        <w:rPr>
          <w:rFonts w:hint="eastAsia" w:ascii="宋体" w:hAnsi="宋体"/>
          <w:b/>
          <w:bCs/>
          <w:color w:val="auto"/>
          <w:sz w:val="24"/>
          <w:highlight w:val="none"/>
        </w:rPr>
        <w:t>.</w:t>
      </w:r>
      <w:r>
        <w:rPr>
          <w:rFonts w:ascii="宋体" w:hAnsi="宋体"/>
          <w:b/>
          <w:bCs/>
          <w:color w:val="auto"/>
          <w:sz w:val="24"/>
          <w:highlight w:val="none"/>
        </w:rPr>
        <w:t>在报价评审时，如发现下列情形之一的，投标文件将被视为无效：</w:t>
      </w:r>
    </w:p>
    <w:p w14:paraId="31BDDF50">
      <w:pPr>
        <w:snapToGrid w:val="0"/>
        <w:spacing w:line="360" w:lineRule="auto"/>
        <w:ind w:firstLine="470" w:firstLineChars="196"/>
        <w:rPr>
          <w:color w:val="auto"/>
          <w:sz w:val="24"/>
          <w:highlight w:val="none"/>
        </w:rPr>
      </w:pPr>
      <w:r>
        <w:rPr>
          <w:color w:val="auto"/>
          <w:sz w:val="24"/>
          <w:highlight w:val="none"/>
        </w:rPr>
        <w:t>（1）未采用人民币报价或者未按照招标文件标明的币种报价的；</w:t>
      </w:r>
    </w:p>
    <w:p w14:paraId="6AE49465">
      <w:pPr>
        <w:snapToGrid w:val="0"/>
        <w:spacing w:line="360" w:lineRule="auto"/>
        <w:ind w:firstLine="470" w:firstLineChars="196"/>
        <w:rPr>
          <w:color w:val="auto"/>
          <w:sz w:val="24"/>
          <w:highlight w:val="none"/>
        </w:rPr>
      </w:pPr>
      <w:r>
        <w:rPr>
          <w:color w:val="auto"/>
          <w:sz w:val="24"/>
          <w:highlight w:val="none"/>
        </w:rPr>
        <w:t>（2）报价超出最高限价的</w:t>
      </w:r>
      <w:r>
        <w:rPr>
          <w:rFonts w:hint="eastAsia"/>
          <w:color w:val="auto"/>
          <w:sz w:val="24"/>
          <w:highlight w:val="none"/>
        </w:rPr>
        <w:t>；</w:t>
      </w:r>
    </w:p>
    <w:p w14:paraId="09B0CA88">
      <w:pPr>
        <w:snapToGrid w:val="0"/>
        <w:spacing w:line="360" w:lineRule="auto"/>
        <w:ind w:firstLine="470" w:firstLineChars="196"/>
        <w:rPr>
          <w:color w:val="auto"/>
          <w:sz w:val="24"/>
          <w:highlight w:val="none"/>
        </w:rPr>
      </w:pPr>
      <w:r>
        <w:rPr>
          <w:rFonts w:hint="eastAsia"/>
          <w:color w:val="auto"/>
          <w:sz w:val="24"/>
          <w:highlight w:val="none"/>
        </w:rPr>
        <w:t>（3）投标报价具有选择性，或者开标价格与投标文件承诺的优惠（折扣）价格不一致的；</w:t>
      </w:r>
    </w:p>
    <w:p w14:paraId="62EB81A9">
      <w:pPr>
        <w:snapToGrid w:val="0"/>
        <w:spacing w:line="360" w:lineRule="auto"/>
        <w:ind w:firstLine="472" w:firstLineChars="196"/>
        <w:rPr>
          <w:rFonts w:ascii="宋体" w:hAnsi="宋体"/>
          <w:b/>
          <w:bCs/>
          <w:color w:val="auto"/>
          <w:sz w:val="24"/>
          <w:highlight w:val="none"/>
        </w:rPr>
      </w:pPr>
      <w:r>
        <w:rPr>
          <w:rFonts w:ascii="宋体" w:hAnsi="宋体"/>
          <w:b/>
          <w:bCs/>
          <w:color w:val="auto"/>
          <w:sz w:val="24"/>
          <w:highlight w:val="none"/>
        </w:rPr>
        <w:t>5</w:t>
      </w:r>
      <w:r>
        <w:rPr>
          <w:rFonts w:hint="eastAsia" w:ascii="宋体" w:hAnsi="宋体"/>
          <w:b/>
          <w:bCs/>
          <w:color w:val="auto"/>
          <w:sz w:val="24"/>
          <w:highlight w:val="none"/>
        </w:rPr>
        <w:t>.</w:t>
      </w:r>
      <w:r>
        <w:rPr>
          <w:rFonts w:ascii="宋体" w:hAnsi="宋体"/>
          <w:b/>
          <w:bCs/>
          <w:color w:val="auto"/>
          <w:sz w:val="24"/>
          <w:highlight w:val="none"/>
        </w:rPr>
        <w:t>被拒绝的投标文件为无效</w:t>
      </w:r>
      <w:r>
        <w:rPr>
          <w:rFonts w:hint="eastAsia" w:ascii="宋体" w:hAnsi="宋体"/>
          <w:b/>
          <w:bCs/>
          <w:color w:val="auto"/>
          <w:sz w:val="24"/>
          <w:highlight w:val="none"/>
        </w:rPr>
        <w:t>；仅提供备份投标文件的无效。</w:t>
      </w:r>
    </w:p>
    <w:p w14:paraId="4D6D8363">
      <w:pPr>
        <w:snapToGrid w:val="0"/>
        <w:spacing w:line="360" w:lineRule="auto"/>
        <w:ind w:firstLine="472" w:firstLineChars="196"/>
        <w:rPr>
          <w:rFonts w:ascii="宋体" w:hAnsi="宋体"/>
          <w:b/>
          <w:bCs/>
          <w:color w:val="auto"/>
          <w:sz w:val="24"/>
          <w:highlight w:val="none"/>
        </w:rPr>
      </w:pPr>
      <w:r>
        <w:rPr>
          <w:rFonts w:hint="eastAsia" w:ascii="宋体" w:hAnsi="宋体"/>
          <w:b/>
          <w:bCs/>
          <w:color w:val="auto"/>
          <w:sz w:val="24"/>
          <w:highlight w:val="none"/>
        </w:rPr>
        <w:t>6.投标人存在下列情形之一且无法合理解释的，其投标（响应）文件无效：</w:t>
      </w:r>
    </w:p>
    <w:p w14:paraId="18538FE1">
      <w:pPr>
        <w:snapToGrid w:val="0"/>
        <w:spacing w:line="360" w:lineRule="auto"/>
        <w:ind w:firstLine="470" w:firstLineChars="196"/>
        <w:rPr>
          <w:color w:val="auto"/>
          <w:sz w:val="24"/>
          <w:highlight w:val="none"/>
        </w:rPr>
      </w:pPr>
      <w:r>
        <w:rPr>
          <w:rFonts w:hint="eastAsia"/>
          <w:color w:val="auto"/>
          <w:sz w:val="24"/>
          <w:highlight w:val="none"/>
        </w:rPr>
        <w:t>（1）不同供应商的电子投标（响应）文件上传计算机的网卡MAC地址或硬盘序列号等硬件信息相同的；</w:t>
      </w:r>
    </w:p>
    <w:p w14:paraId="477DA417">
      <w:pPr>
        <w:snapToGrid w:val="0"/>
        <w:spacing w:line="360" w:lineRule="auto"/>
        <w:ind w:firstLine="470" w:firstLineChars="196"/>
        <w:rPr>
          <w:color w:val="auto"/>
          <w:sz w:val="24"/>
          <w:highlight w:val="none"/>
        </w:rPr>
      </w:pPr>
      <w:r>
        <w:rPr>
          <w:rFonts w:hint="eastAsia"/>
          <w:color w:val="auto"/>
          <w:sz w:val="24"/>
          <w:highlight w:val="none"/>
        </w:rPr>
        <w:t>（2）上传的电子投标（响应）文件若出现使用本项目其他投标（响应）供应商的数字证书加密的，或者加盖本项目其他投标（响应）供应商的电子印章的；</w:t>
      </w:r>
    </w:p>
    <w:p w14:paraId="7DF070E1">
      <w:pPr>
        <w:snapToGrid w:val="0"/>
        <w:spacing w:line="360" w:lineRule="auto"/>
        <w:ind w:firstLine="470" w:firstLineChars="196"/>
        <w:rPr>
          <w:color w:val="auto"/>
          <w:sz w:val="24"/>
          <w:highlight w:val="none"/>
        </w:rPr>
      </w:pPr>
      <w:r>
        <w:rPr>
          <w:rFonts w:hint="eastAsia"/>
          <w:color w:val="auto"/>
          <w:sz w:val="24"/>
          <w:highlight w:val="none"/>
        </w:rPr>
        <w:t>（3）不同供应商的投标（响应）文件的内容存在3处（含）以上错误一致的；</w:t>
      </w:r>
    </w:p>
    <w:p w14:paraId="4DF03CFA">
      <w:pPr>
        <w:snapToGrid w:val="0"/>
        <w:spacing w:line="360" w:lineRule="auto"/>
        <w:ind w:firstLine="470" w:firstLineChars="196"/>
        <w:rPr>
          <w:color w:val="auto"/>
          <w:sz w:val="24"/>
          <w:highlight w:val="none"/>
        </w:rPr>
      </w:pPr>
      <w:r>
        <w:rPr>
          <w:rFonts w:hint="eastAsia"/>
          <w:color w:val="auto"/>
          <w:sz w:val="24"/>
          <w:highlight w:val="none"/>
        </w:rPr>
        <w:t>（4）不同供应商联系人为同一人或不同联系人的联系电话一致的。</w:t>
      </w:r>
    </w:p>
    <w:p w14:paraId="33027D8B">
      <w:pPr>
        <w:snapToGrid w:val="0"/>
        <w:spacing w:line="360" w:lineRule="auto"/>
        <w:ind w:firstLine="472" w:firstLineChars="196"/>
        <w:rPr>
          <w:rFonts w:ascii="宋体" w:hAnsi="宋体"/>
          <w:b/>
          <w:bCs/>
          <w:color w:val="auto"/>
          <w:sz w:val="24"/>
          <w:highlight w:val="none"/>
        </w:rPr>
      </w:pPr>
      <w:r>
        <w:rPr>
          <w:rFonts w:hint="eastAsia" w:ascii="宋体" w:hAnsi="宋体"/>
          <w:b/>
          <w:bCs/>
          <w:color w:val="auto"/>
          <w:sz w:val="24"/>
          <w:highlight w:val="none"/>
        </w:rPr>
        <w:t>7.投标人有下列情形之一的，属于恶意串通，其投标无效：</w:t>
      </w:r>
    </w:p>
    <w:p w14:paraId="64EF43C1">
      <w:pPr>
        <w:snapToGrid w:val="0"/>
        <w:spacing w:line="360" w:lineRule="auto"/>
        <w:ind w:firstLine="470" w:firstLineChars="196"/>
        <w:rPr>
          <w:color w:val="auto"/>
          <w:sz w:val="24"/>
          <w:highlight w:val="none"/>
        </w:rPr>
      </w:pPr>
      <w:r>
        <w:rPr>
          <w:rFonts w:hint="eastAsia"/>
          <w:color w:val="auto"/>
          <w:sz w:val="24"/>
          <w:highlight w:val="none"/>
        </w:rPr>
        <w:t>（1）投标人直接或者间接从采购人或者采购代理机构处获得其他投标人的相关情况并修改其投标（响应）文件；</w:t>
      </w:r>
    </w:p>
    <w:p w14:paraId="40A1A225">
      <w:pPr>
        <w:snapToGrid w:val="0"/>
        <w:spacing w:line="360" w:lineRule="auto"/>
        <w:ind w:firstLine="470" w:firstLineChars="196"/>
        <w:rPr>
          <w:color w:val="auto"/>
          <w:sz w:val="24"/>
          <w:highlight w:val="none"/>
        </w:rPr>
      </w:pPr>
      <w:r>
        <w:rPr>
          <w:rFonts w:hint="eastAsia"/>
          <w:color w:val="auto"/>
          <w:sz w:val="24"/>
          <w:highlight w:val="none"/>
        </w:rPr>
        <w:t>（2）投标人按照采购人或者采购代理机构的授意撤换、修改投标（响应）文件；</w:t>
      </w:r>
    </w:p>
    <w:p w14:paraId="440CF819">
      <w:pPr>
        <w:snapToGrid w:val="0"/>
        <w:spacing w:line="360" w:lineRule="auto"/>
        <w:ind w:firstLine="470" w:firstLineChars="196"/>
        <w:rPr>
          <w:color w:val="auto"/>
          <w:sz w:val="24"/>
          <w:highlight w:val="none"/>
        </w:rPr>
      </w:pPr>
      <w:r>
        <w:rPr>
          <w:rFonts w:hint="eastAsia"/>
          <w:color w:val="auto"/>
          <w:sz w:val="24"/>
          <w:highlight w:val="none"/>
        </w:rPr>
        <w:t>（3）投标人之间协商报价、技术方案等投标（响应）文件的实质性内容；</w:t>
      </w:r>
    </w:p>
    <w:p w14:paraId="2F26F80E">
      <w:pPr>
        <w:snapToGrid w:val="0"/>
        <w:spacing w:line="360" w:lineRule="auto"/>
        <w:ind w:firstLine="470" w:firstLineChars="196"/>
        <w:rPr>
          <w:color w:val="auto"/>
          <w:sz w:val="24"/>
          <w:highlight w:val="none"/>
        </w:rPr>
      </w:pPr>
      <w:r>
        <w:rPr>
          <w:rFonts w:hint="eastAsia"/>
          <w:color w:val="auto"/>
          <w:sz w:val="24"/>
          <w:highlight w:val="none"/>
        </w:rPr>
        <w:t>（4）属于同一集团、协会、商会等组织成员的投标人按照该组织要求协同参加政府采购活动；</w:t>
      </w:r>
    </w:p>
    <w:p w14:paraId="36F71FB1">
      <w:pPr>
        <w:snapToGrid w:val="0"/>
        <w:spacing w:line="360" w:lineRule="auto"/>
        <w:ind w:firstLine="470" w:firstLineChars="196"/>
        <w:rPr>
          <w:color w:val="auto"/>
          <w:sz w:val="24"/>
          <w:highlight w:val="none"/>
        </w:rPr>
      </w:pPr>
      <w:r>
        <w:rPr>
          <w:rFonts w:hint="eastAsia"/>
          <w:color w:val="auto"/>
          <w:sz w:val="24"/>
          <w:highlight w:val="none"/>
        </w:rPr>
        <w:t>（5）投标人之间事先约定由某一特定投标人中标、成交；</w:t>
      </w:r>
    </w:p>
    <w:p w14:paraId="26EA2B05">
      <w:pPr>
        <w:snapToGrid w:val="0"/>
        <w:spacing w:line="360" w:lineRule="auto"/>
        <w:ind w:firstLine="470" w:firstLineChars="196"/>
        <w:rPr>
          <w:color w:val="auto"/>
          <w:sz w:val="24"/>
          <w:highlight w:val="none"/>
        </w:rPr>
      </w:pPr>
      <w:r>
        <w:rPr>
          <w:rFonts w:hint="eastAsia"/>
          <w:color w:val="auto"/>
          <w:sz w:val="24"/>
          <w:highlight w:val="none"/>
        </w:rPr>
        <w:t>（6）投标人之间商定部分投标人放弃参加政府采购活动或者放弃中标、成交；</w:t>
      </w:r>
    </w:p>
    <w:p w14:paraId="485D4EBB">
      <w:pPr>
        <w:snapToGrid w:val="0"/>
        <w:spacing w:line="360" w:lineRule="auto"/>
        <w:ind w:firstLine="470" w:firstLineChars="196"/>
        <w:rPr>
          <w:color w:val="auto"/>
          <w:sz w:val="24"/>
          <w:highlight w:val="none"/>
        </w:rPr>
      </w:pPr>
      <w:r>
        <w:rPr>
          <w:rFonts w:hint="eastAsia"/>
          <w:color w:val="auto"/>
          <w:sz w:val="24"/>
          <w:highlight w:val="none"/>
        </w:rPr>
        <w:t>（7）投标人与采购人或者采购代理机构之间、投标人相互之间，为谋求特定投标人中标、成交或者排斥其他投标人的其他串通行为。</w:t>
      </w:r>
    </w:p>
    <w:p w14:paraId="0E592902">
      <w:pPr>
        <w:snapToGrid w:val="0"/>
        <w:spacing w:line="360" w:lineRule="auto"/>
        <w:ind w:firstLine="472" w:firstLineChars="196"/>
        <w:rPr>
          <w:rFonts w:hAnsi="宋体"/>
          <w:b/>
          <w:color w:val="auto"/>
          <w:sz w:val="24"/>
          <w:highlight w:val="none"/>
        </w:rPr>
      </w:pPr>
      <w:r>
        <w:rPr>
          <w:rFonts w:hint="eastAsia" w:hAnsi="宋体"/>
          <w:b/>
          <w:color w:val="auto"/>
          <w:sz w:val="24"/>
          <w:highlight w:val="none"/>
        </w:rPr>
        <w:t>四、开标</w:t>
      </w:r>
    </w:p>
    <w:p w14:paraId="1825BED2">
      <w:pPr>
        <w:snapToGrid w:val="0"/>
        <w:spacing w:line="360" w:lineRule="auto"/>
        <w:ind w:firstLine="472" w:firstLineChars="196"/>
        <w:rPr>
          <w:rFonts w:hAnsi="宋体"/>
          <w:b/>
          <w:color w:val="auto"/>
          <w:sz w:val="24"/>
          <w:highlight w:val="none"/>
        </w:rPr>
      </w:pPr>
      <w:r>
        <w:rPr>
          <w:rFonts w:hAnsi="宋体"/>
          <w:b/>
          <w:color w:val="auto"/>
          <w:sz w:val="24"/>
          <w:highlight w:val="none"/>
        </w:rPr>
        <w:t>（一）开标准备</w:t>
      </w:r>
    </w:p>
    <w:p w14:paraId="590D8352">
      <w:pPr>
        <w:snapToGrid w:val="0"/>
        <w:spacing w:line="360" w:lineRule="auto"/>
        <w:ind w:firstLine="470" w:firstLineChars="196"/>
        <w:rPr>
          <w:rFonts w:hAnsi="宋体"/>
          <w:color w:val="auto"/>
          <w:sz w:val="24"/>
          <w:highlight w:val="none"/>
        </w:rPr>
      </w:pPr>
      <w:r>
        <w:rPr>
          <w:rFonts w:hint="eastAsia" w:hAnsi="宋体"/>
          <w:color w:val="auto"/>
          <w:sz w:val="24"/>
          <w:highlight w:val="none"/>
        </w:rPr>
        <w:t>1.组织机构将按照招标文件规定的时间通过“政府采购云平台”组织开标、开启投标文件，所有供应商均应当准时在线参加。</w:t>
      </w:r>
    </w:p>
    <w:p w14:paraId="3D585A21">
      <w:pPr>
        <w:snapToGrid w:val="0"/>
        <w:spacing w:line="360" w:lineRule="auto"/>
        <w:ind w:firstLine="470" w:firstLineChars="196"/>
        <w:rPr>
          <w:rFonts w:hAnsi="宋体"/>
          <w:color w:val="auto"/>
          <w:sz w:val="24"/>
          <w:highlight w:val="none"/>
        </w:rPr>
      </w:pPr>
      <w:r>
        <w:rPr>
          <w:rFonts w:hint="eastAsia" w:hAnsi="宋体"/>
          <w:color w:val="auto"/>
          <w:sz w:val="24"/>
          <w:highlight w:val="none"/>
        </w:rPr>
        <w:t>2.按照“不见面、少接触”的原则，本项目原则上采取“不见面”形式进行开评标活动，法定代表人或其授权代表无须到场，在线响应即可（通过指定的电子邮箱、传真等），但也允许供应商派授权代表出席开标会议。</w:t>
      </w:r>
    </w:p>
    <w:p w14:paraId="557AA087">
      <w:pPr>
        <w:snapToGrid w:val="0"/>
        <w:spacing w:line="360" w:lineRule="auto"/>
        <w:ind w:firstLine="472" w:firstLineChars="196"/>
        <w:rPr>
          <w:rFonts w:hAnsi="宋体"/>
          <w:b/>
          <w:color w:val="auto"/>
          <w:sz w:val="24"/>
          <w:highlight w:val="none"/>
        </w:rPr>
      </w:pPr>
      <w:r>
        <w:rPr>
          <w:rFonts w:hAnsi="宋体"/>
          <w:b/>
          <w:color w:val="auto"/>
          <w:sz w:val="24"/>
          <w:highlight w:val="none"/>
        </w:rPr>
        <w:t>（二） 开标程序：</w:t>
      </w:r>
    </w:p>
    <w:p w14:paraId="4E815483">
      <w:pPr>
        <w:snapToGrid w:val="0"/>
        <w:spacing w:line="360" w:lineRule="auto"/>
        <w:ind w:firstLine="470" w:firstLineChars="196"/>
        <w:rPr>
          <w:rFonts w:hAnsi="宋体"/>
          <w:color w:val="auto"/>
          <w:sz w:val="24"/>
          <w:highlight w:val="none"/>
        </w:rPr>
      </w:pPr>
      <w:r>
        <w:rPr>
          <w:rFonts w:hint="eastAsia" w:hAnsi="宋体"/>
          <w:color w:val="auto"/>
          <w:sz w:val="24"/>
          <w:highlight w:val="none"/>
        </w:rPr>
        <w:t>1.开标的准备工作由采购组织机构负责落实；</w:t>
      </w:r>
    </w:p>
    <w:p w14:paraId="5F32F13E">
      <w:pPr>
        <w:snapToGrid w:val="0"/>
        <w:spacing w:line="360" w:lineRule="auto"/>
        <w:ind w:firstLine="470" w:firstLineChars="196"/>
        <w:rPr>
          <w:rFonts w:hAnsi="宋体"/>
          <w:color w:val="auto"/>
          <w:sz w:val="24"/>
          <w:highlight w:val="none"/>
        </w:rPr>
      </w:pPr>
      <w:r>
        <w:rPr>
          <w:rFonts w:hint="eastAsia" w:hAnsi="宋体"/>
          <w:color w:val="auto"/>
          <w:sz w:val="24"/>
          <w:highlight w:val="none"/>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65FE7136">
      <w:pPr>
        <w:snapToGrid w:val="0"/>
        <w:spacing w:line="360" w:lineRule="auto"/>
        <w:ind w:firstLine="472" w:firstLineChars="196"/>
        <w:rPr>
          <w:rFonts w:hAnsi="宋体"/>
          <w:b/>
          <w:color w:val="auto"/>
          <w:sz w:val="24"/>
          <w:highlight w:val="none"/>
        </w:rPr>
      </w:pPr>
      <w:r>
        <w:rPr>
          <w:rFonts w:hint="eastAsia" w:hAnsi="宋体"/>
          <w:b/>
          <w:color w:val="auto"/>
          <w:sz w:val="24"/>
          <w:highlight w:val="none"/>
        </w:rPr>
        <w:t>（三）开标流程</w:t>
      </w:r>
    </w:p>
    <w:p w14:paraId="6263AEC9">
      <w:pPr>
        <w:snapToGrid w:val="0"/>
        <w:spacing w:line="360" w:lineRule="auto"/>
        <w:ind w:firstLine="470" w:firstLineChars="196"/>
        <w:rPr>
          <w:rFonts w:hAnsi="宋体"/>
          <w:color w:val="auto"/>
          <w:sz w:val="24"/>
          <w:highlight w:val="none"/>
        </w:rPr>
      </w:pPr>
      <w:r>
        <w:rPr>
          <w:rFonts w:hint="eastAsia" w:hAnsi="宋体"/>
          <w:color w:val="auto"/>
          <w:sz w:val="24"/>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000E3AE9">
      <w:pPr>
        <w:snapToGrid w:val="0"/>
        <w:spacing w:line="360" w:lineRule="auto"/>
        <w:ind w:firstLine="470" w:firstLineChars="196"/>
        <w:rPr>
          <w:rFonts w:hAnsi="宋体"/>
          <w:color w:val="auto"/>
          <w:sz w:val="24"/>
          <w:highlight w:val="none"/>
        </w:rPr>
      </w:pPr>
      <w:r>
        <w:rPr>
          <w:rFonts w:hint="eastAsia" w:hAnsi="宋体"/>
          <w:color w:val="auto"/>
          <w:sz w:val="24"/>
          <w:highlight w:val="none"/>
        </w:rPr>
        <w:t>2.投标文件解密结束；</w:t>
      </w:r>
    </w:p>
    <w:p w14:paraId="1EE2D77A">
      <w:pPr>
        <w:snapToGrid w:val="0"/>
        <w:spacing w:line="360" w:lineRule="auto"/>
        <w:ind w:firstLine="470" w:firstLineChars="196"/>
        <w:rPr>
          <w:rFonts w:hAnsi="宋体"/>
          <w:color w:val="auto"/>
          <w:sz w:val="24"/>
          <w:highlight w:val="none"/>
        </w:rPr>
      </w:pPr>
      <w:r>
        <w:rPr>
          <w:rFonts w:hint="eastAsia" w:hAnsi="宋体"/>
          <w:color w:val="auto"/>
          <w:sz w:val="24"/>
          <w:highlight w:val="none"/>
        </w:rPr>
        <w:t>3.开启投标文件，进入资格审查；</w:t>
      </w:r>
    </w:p>
    <w:p w14:paraId="554B73D5">
      <w:pPr>
        <w:snapToGrid w:val="0"/>
        <w:spacing w:line="360" w:lineRule="auto"/>
        <w:ind w:firstLine="470" w:firstLineChars="196"/>
        <w:rPr>
          <w:rFonts w:hAnsi="宋体"/>
          <w:color w:val="auto"/>
          <w:sz w:val="24"/>
          <w:highlight w:val="none"/>
        </w:rPr>
      </w:pPr>
      <w:r>
        <w:rPr>
          <w:rFonts w:hint="eastAsia" w:hAnsi="宋体"/>
          <w:color w:val="auto"/>
          <w:sz w:val="24"/>
          <w:highlight w:val="none"/>
        </w:rPr>
        <w:t>4.开启资格审查通过的投标供应商的商务技术文件进入符合性审查、商务技术评审；</w:t>
      </w:r>
    </w:p>
    <w:p w14:paraId="0FB1C627">
      <w:pPr>
        <w:snapToGrid w:val="0"/>
        <w:spacing w:line="360" w:lineRule="auto"/>
        <w:ind w:firstLine="470" w:firstLineChars="196"/>
        <w:rPr>
          <w:rFonts w:hAnsi="宋体"/>
          <w:color w:val="auto"/>
          <w:sz w:val="24"/>
          <w:highlight w:val="none"/>
        </w:rPr>
      </w:pPr>
      <w:r>
        <w:rPr>
          <w:rFonts w:hint="eastAsia" w:hAnsi="宋体"/>
          <w:color w:val="auto"/>
          <w:sz w:val="24"/>
          <w:highlight w:val="none"/>
        </w:rPr>
        <w:t>1）符合性审查、商务技术评审结束后，公布符合性审查、商务技术评审无效供应商名称及理由；公布经商务技术评审后有效投标供应商的名单，同时公布其商务技术部分得分情况。</w:t>
      </w:r>
    </w:p>
    <w:p w14:paraId="3334DEA3">
      <w:pPr>
        <w:snapToGrid w:val="0"/>
        <w:spacing w:line="360" w:lineRule="auto"/>
        <w:ind w:firstLine="470" w:firstLineChars="196"/>
        <w:rPr>
          <w:rFonts w:hAnsi="宋体"/>
          <w:color w:val="auto"/>
          <w:sz w:val="24"/>
          <w:highlight w:val="none"/>
        </w:rPr>
      </w:pPr>
      <w:r>
        <w:rPr>
          <w:rFonts w:hint="eastAsia" w:hAnsi="宋体"/>
          <w:color w:val="auto"/>
          <w:sz w:val="24"/>
          <w:highlight w:val="none"/>
        </w:rPr>
        <w:t>2）开启符合性审查、商务技术评审有效投标供应商的《报价文件》，公布开标一览表有关内容，同时当场制作开标记录表，唱标结束后，由评标委员会对报价的合理性、准确性等进行审查核实。</w:t>
      </w:r>
    </w:p>
    <w:p w14:paraId="4BE95604">
      <w:pPr>
        <w:snapToGrid w:val="0"/>
        <w:spacing w:line="360" w:lineRule="auto"/>
        <w:ind w:firstLine="470" w:firstLineChars="196"/>
        <w:rPr>
          <w:rFonts w:hAnsi="宋体"/>
          <w:color w:val="auto"/>
          <w:sz w:val="24"/>
          <w:highlight w:val="none"/>
        </w:rPr>
      </w:pPr>
      <w:r>
        <w:rPr>
          <w:rFonts w:hint="eastAsia" w:hAnsi="宋体"/>
          <w:color w:val="auto"/>
          <w:sz w:val="24"/>
          <w:highlight w:val="none"/>
        </w:rPr>
        <w:t>3）公布报价部分得分情况；</w:t>
      </w:r>
    </w:p>
    <w:p w14:paraId="6B4450AF">
      <w:pPr>
        <w:snapToGrid w:val="0"/>
        <w:spacing w:line="360" w:lineRule="auto"/>
        <w:ind w:firstLine="470" w:firstLineChars="196"/>
        <w:rPr>
          <w:rFonts w:hAnsi="宋体"/>
          <w:color w:val="auto"/>
          <w:sz w:val="24"/>
          <w:highlight w:val="none"/>
        </w:rPr>
      </w:pPr>
      <w:r>
        <w:rPr>
          <w:rFonts w:hint="eastAsia" w:hAnsi="宋体"/>
          <w:color w:val="auto"/>
          <w:sz w:val="24"/>
          <w:highlight w:val="none"/>
        </w:rPr>
        <w:t>4）评审结束后，公布中标（成交）候选供应商名单等。</w:t>
      </w:r>
    </w:p>
    <w:p w14:paraId="702586E9">
      <w:pPr>
        <w:snapToGrid w:val="0"/>
        <w:spacing w:line="360" w:lineRule="auto"/>
        <w:ind w:firstLine="470" w:firstLineChars="196"/>
        <w:rPr>
          <w:rFonts w:hAnsi="宋体"/>
          <w:color w:val="auto"/>
          <w:sz w:val="24"/>
          <w:highlight w:val="none"/>
        </w:rPr>
      </w:pPr>
      <w:r>
        <w:rPr>
          <w:rFonts w:hint="eastAsia" w:hAnsi="宋体"/>
          <w:color w:val="auto"/>
          <w:sz w:val="24"/>
          <w:highlight w:val="none"/>
        </w:rPr>
        <w:t>5）开标结束。</w:t>
      </w:r>
    </w:p>
    <w:p w14:paraId="12AA52EB">
      <w:pPr>
        <w:snapToGrid w:val="0"/>
        <w:spacing w:line="360" w:lineRule="auto"/>
        <w:ind w:firstLine="470" w:firstLineChars="196"/>
        <w:rPr>
          <w:rFonts w:hAnsi="宋体"/>
          <w:color w:val="auto"/>
          <w:sz w:val="24"/>
          <w:highlight w:val="none"/>
        </w:rPr>
      </w:pPr>
      <w:r>
        <w:rPr>
          <w:rFonts w:hint="eastAsia" w:hAnsi="宋体"/>
          <w:color w:val="auto"/>
          <w:sz w:val="24"/>
          <w:highlight w:val="none"/>
        </w:rPr>
        <w:t>特别说明：如遇“政府采购云平台”电子化开标或评审程序调整的，按调整后程序执行。</w:t>
      </w:r>
      <w:bookmarkStart w:id="63" w:name="_Toc33194393"/>
      <w:bookmarkStart w:id="64" w:name="_Toc24550037"/>
    </w:p>
    <w:p w14:paraId="556B400F">
      <w:pPr>
        <w:snapToGrid w:val="0"/>
        <w:spacing w:line="360" w:lineRule="auto"/>
        <w:ind w:firstLine="472" w:firstLineChars="196"/>
        <w:rPr>
          <w:rFonts w:hAnsi="宋体"/>
          <w:b/>
          <w:color w:val="auto"/>
          <w:sz w:val="24"/>
          <w:highlight w:val="none"/>
        </w:rPr>
      </w:pPr>
      <w:r>
        <w:rPr>
          <w:rFonts w:hint="eastAsia" w:hAnsi="宋体"/>
          <w:b/>
          <w:color w:val="auto"/>
          <w:sz w:val="24"/>
          <w:highlight w:val="none"/>
        </w:rPr>
        <w:t>（四）投标供应商资格审查</w:t>
      </w:r>
      <w:bookmarkEnd w:id="63"/>
      <w:bookmarkEnd w:id="64"/>
    </w:p>
    <w:p w14:paraId="279BF3D3">
      <w:pPr>
        <w:snapToGrid w:val="0"/>
        <w:spacing w:line="360" w:lineRule="auto"/>
        <w:ind w:firstLine="470" w:firstLineChars="196"/>
        <w:rPr>
          <w:rFonts w:hAnsi="宋体"/>
          <w:color w:val="auto"/>
          <w:sz w:val="24"/>
          <w:highlight w:val="none"/>
        </w:rPr>
      </w:pPr>
      <w:r>
        <w:rPr>
          <w:rFonts w:hint="eastAsia" w:hAnsi="宋体"/>
          <w:color w:val="auto"/>
          <w:sz w:val="24"/>
          <w:highlight w:val="none"/>
        </w:rPr>
        <w:t>1.开标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183781FD">
      <w:pPr>
        <w:pStyle w:val="13"/>
        <w:snapToGrid w:val="0"/>
        <w:spacing w:beforeLines="0" w:afterLines="0" w:line="360" w:lineRule="auto"/>
        <w:ind w:firstLine="480" w:firstLineChars="200"/>
        <w:rPr>
          <w:rFonts w:hAnsi="宋体"/>
          <w:color w:val="auto"/>
          <w:sz w:val="24"/>
          <w:highlight w:val="none"/>
        </w:rPr>
      </w:pPr>
      <w:r>
        <w:rPr>
          <w:rFonts w:hint="eastAsia" w:hAnsi="宋体"/>
          <w:color w:val="auto"/>
          <w:sz w:val="24"/>
          <w:highlight w:val="none"/>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4BDA467D">
      <w:pPr>
        <w:pStyle w:val="13"/>
        <w:snapToGrid w:val="0"/>
        <w:spacing w:beforeLines="0" w:afterLines="0" w:line="360" w:lineRule="auto"/>
        <w:ind w:firstLine="480" w:firstLineChars="200"/>
        <w:rPr>
          <w:rFonts w:hAnsi="宋体"/>
          <w:bCs/>
          <w:color w:val="auto"/>
          <w:sz w:val="24"/>
          <w:highlight w:val="none"/>
        </w:rPr>
      </w:pPr>
      <w:r>
        <w:rPr>
          <w:rFonts w:hint="eastAsia" w:hAnsi="宋体"/>
          <w:color w:val="auto"/>
          <w:sz w:val="24"/>
          <w:highlight w:val="none"/>
        </w:rPr>
        <w:t>3.单位负责人为同一人或者存在直接控股、管理关系的不同供应商参加同一合同项下的政府采购活动的，相关投标供应商均作资格无效处理。</w:t>
      </w:r>
    </w:p>
    <w:p w14:paraId="4547BF85">
      <w:pPr>
        <w:pStyle w:val="13"/>
        <w:snapToGrid w:val="0"/>
        <w:spacing w:beforeLines="0" w:afterLines="0" w:line="360" w:lineRule="auto"/>
        <w:ind w:left="802" w:leftChars="267" w:hanging="241" w:hangingChars="100"/>
        <w:outlineLvl w:val="1"/>
        <w:rPr>
          <w:rFonts w:hAnsi="宋体"/>
          <w:b/>
          <w:color w:val="auto"/>
          <w:sz w:val="24"/>
          <w:highlight w:val="none"/>
        </w:rPr>
      </w:pPr>
      <w:r>
        <w:rPr>
          <w:rFonts w:hint="eastAsia" w:hAnsi="宋体"/>
          <w:b/>
          <w:color w:val="auto"/>
          <w:sz w:val="24"/>
          <w:highlight w:val="none"/>
        </w:rPr>
        <w:t>五、评标</w:t>
      </w:r>
    </w:p>
    <w:p w14:paraId="7C4399EE">
      <w:pPr>
        <w:pStyle w:val="13"/>
        <w:snapToGrid w:val="0"/>
        <w:spacing w:beforeLines="0" w:afterLines="0" w:line="360" w:lineRule="auto"/>
        <w:ind w:left="720" w:leftChars="228" w:hanging="241" w:hangingChars="100"/>
        <w:rPr>
          <w:rFonts w:hAnsi="宋体"/>
          <w:b/>
          <w:color w:val="auto"/>
          <w:sz w:val="24"/>
          <w:highlight w:val="none"/>
        </w:rPr>
      </w:pPr>
      <w:r>
        <w:rPr>
          <w:rFonts w:hAnsi="宋体"/>
          <w:b/>
          <w:color w:val="auto"/>
          <w:sz w:val="24"/>
          <w:highlight w:val="none"/>
        </w:rPr>
        <w:t>（一）组建评标委员会</w:t>
      </w:r>
    </w:p>
    <w:p w14:paraId="4FC93A51">
      <w:pPr>
        <w:pStyle w:val="13"/>
        <w:snapToGrid w:val="0"/>
        <w:spacing w:beforeLines="0" w:afterLines="0" w:line="360" w:lineRule="auto"/>
        <w:ind w:firstLine="480" w:firstLineChars="200"/>
        <w:rPr>
          <w:rFonts w:hAnsi="宋体"/>
          <w:color w:val="auto"/>
          <w:sz w:val="24"/>
          <w:highlight w:val="none"/>
        </w:rPr>
      </w:pPr>
      <w:r>
        <w:rPr>
          <w:rFonts w:hAnsi="宋体"/>
          <w:color w:val="auto"/>
          <w:sz w:val="24"/>
          <w:highlight w:val="none"/>
        </w:rPr>
        <w:t>本项目评标委员会由政府</w:t>
      </w:r>
      <w:r>
        <w:rPr>
          <w:rFonts w:hint="eastAsia" w:hAnsi="宋体"/>
          <w:color w:val="auto"/>
          <w:sz w:val="24"/>
          <w:highlight w:val="none"/>
        </w:rPr>
        <w:t>采购评审专家</w:t>
      </w:r>
      <w:r>
        <w:rPr>
          <w:rFonts w:hAnsi="宋体"/>
          <w:color w:val="auto"/>
          <w:sz w:val="24"/>
          <w:highlight w:val="none"/>
        </w:rPr>
        <w:t>5</w:t>
      </w:r>
      <w:r>
        <w:rPr>
          <w:rFonts w:hint="eastAsia" w:hAnsi="宋体"/>
          <w:color w:val="auto"/>
          <w:sz w:val="24"/>
          <w:highlight w:val="none"/>
        </w:rPr>
        <w:t>人，采购人</w:t>
      </w:r>
      <w:r>
        <w:rPr>
          <w:rFonts w:hAnsi="宋体"/>
          <w:color w:val="auto"/>
          <w:sz w:val="24"/>
          <w:highlight w:val="none"/>
        </w:rPr>
        <w:t>2</w:t>
      </w:r>
      <w:r>
        <w:rPr>
          <w:rFonts w:hint="eastAsia" w:hAnsi="宋体"/>
          <w:color w:val="auto"/>
          <w:sz w:val="24"/>
          <w:highlight w:val="none"/>
        </w:rPr>
        <w:t>人，共7人组成。</w:t>
      </w:r>
    </w:p>
    <w:p w14:paraId="28CD4A69">
      <w:pPr>
        <w:pStyle w:val="13"/>
        <w:snapToGrid w:val="0"/>
        <w:spacing w:beforeLines="0" w:afterLines="0" w:line="360" w:lineRule="auto"/>
        <w:ind w:firstLine="482" w:firstLineChars="200"/>
        <w:rPr>
          <w:rFonts w:hAnsi="宋体"/>
          <w:b/>
          <w:color w:val="auto"/>
          <w:sz w:val="24"/>
          <w:highlight w:val="none"/>
        </w:rPr>
      </w:pPr>
      <w:r>
        <w:rPr>
          <w:rFonts w:hAnsi="宋体"/>
          <w:b/>
          <w:color w:val="auto"/>
          <w:sz w:val="24"/>
          <w:highlight w:val="none"/>
        </w:rPr>
        <w:t>（二）评标的方式</w:t>
      </w:r>
    </w:p>
    <w:p w14:paraId="11172D61">
      <w:pPr>
        <w:pStyle w:val="13"/>
        <w:snapToGrid w:val="0"/>
        <w:spacing w:beforeLines="0" w:afterLines="0" w:line="360" w:lineRule="auto"/>
        <w:ind w:left="719" w:leftChars="228" w:hanging="240" w:hangingChars="100"/>
        <w:rPr>
          <w:rFonts w:hAnsi="宋体"/>
          <w:color w:val="auto"/>
          <w:sz w:val="24"/>
          <w:highlight w:val="none"/>
        </w:rPr>
      </w:pPr>
      <w:r>
        <w:rPr>
          <w:rFonts w:hAnsi="宋体"/>
          <w:color w:val="auto"/>
          <w:sz w:val="24"/>
          <w:highlight w:val="none"/>
        </w:rPr>
        <w:t>本项目采用不公开方式评标，评标的依据为招标文件和投标文件。</w:t>
      </w:r>
    </w:p>
    <w:p w14:paraId="7E49ACCE">
      <w:pPr>
        <w:pStyle w:val="13"/>
        <w:snapToGrid w:val="0"/>
        <w:spacing w:beforeLines="0" w:afterLines="0" w:line="360" w:lineRule="auto"/>
        <w:ind w:left="720" w:leftChars="228" w:hanging="241" w:hangingChars="100"/>
        <w:rPr>
          <w:rFonts w:hAnsi="宋体"/>
          <w:b/>
          <w:bCs/>
          <w:color w:val="auto"/>
          <w:sz w:val="24"/>
          <w:highlight w:val="none"/>
        </w:rPr>
      </w:pPr>
      <w:r>
        <w:rPr>
          <w:rFonts w:hAnsi="宋体"/>
          <w:b/>
          <w:color w:val="auto"/>
          <w:sz w:val="24"/>
          <w:highlight w:val="none"/>
        </w:rPr>
        <w:t>（三）</w:t>
      </w:r>
      <w:r>
        <w:rPr>
          <w:rFonts w:hAnsi="宋体"/>
          <w:b/>
          <w:bCs/>
          <w:color w:val="auto"/>
          <w:sz w:val="24"/>
          <w:highlight w:val="none"/>
        </w:rPr>
        <w:t>评标程序</w:t>
      </w:r>
    </w:p>
    <w:p w14:paraId="0F03D507">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1.对所有通过资格审查的投标供应商的投标文件进行初步审查，审查、评价投标文件是否符合招标文件的商务、技术、服务等实质性要求。</w:t>
      </w:r>
    </w:p>
    <w:p w14:paraId="0CAA8FB6">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2.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14:paraId="67432F6A">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3.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14:paraId="0A7F3FC2">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（四）澄清问题的形式</w:t>
      </w:r>
    </w:p>
    <w:p w14:paraId="2CE0A64C">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23C860D4">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4F0B5056">
      <w:pPr>
        <w:snapToGrid w:val="0"/>
        <w:spacing w:line="360" w:lineRule="auto"/>
        <w:ind w:firstLine="482" w:firstLineChars="200"/>
        <w:rPr>
          <w:rFonts w:ascii="宋体" w:hAnsi="宋体"/>
          <w:b/>
          <w:color w:val="auto"/>
          <w:sz w:val="24"/>
          <w:highlight w:val="none"/>
        </w:rPr>
      </w:pPr>
      <w:r>
        <w:rPr>
          <w:rFonts w:ascii="宋体" w:hAnsi="宋体"/>
          <w:b/>
          <w:color w:val="auto"/>
          <w:sz w:val="24"/>
          <w:highlight w:val="none"/>
        </w:rPr>
        <w:t>（五）错误修正</w:t>
      </w:r>
    </w:p>
    <w:p w14:paraId="3A568C1C">
      <w:pPr>
        <w:pStyle w:val="13"/>
        <w:snapToGrid w:val="0"/>
        <w:spacing w:beforeLines="0" w:afterLines="0" w:line="360" w:lineRule="auto"/>
        <w:ind w:firstLine="470" w:firstLineChars="196"/>
        <w:rPr>
          <w:rFonts w:hAnsi="宋体"/>
          <w:color w:val="auto"/>
          <w:sz w:val="24"/>
          <w:highlight w:val="none"/>
        </w:rPr>
      </w:pPr>
      <w:r>
        <w:rPr>
          <w:rFonts w:hAnsi="宋体"/>
          <w:color w:val="auto"/>
          <w:sz w:val="24"/>
          <w:highlight w:val="none"/>
        </w:rPr>
        <w:t>投标文件如果出现计算或表达上的错误，修正错误的原则如下：</w:t>
      </w:r>
    </w:p>
    <w:p w14:paraId="680370FE">
      <w:pPr>
        <w:pStyle w:val="13"/>
        <w:snapToGrid w:val="0"/>
        <w:spacing w:beforeLines="0" w:afterLines="0" w:line="360" w:lineRule="auto"/>
        <w:ind w:firstLine="470" w:firstLineChars="196"/>
        <w:rPr>
          <w:rFonts w:hAnsi="宋体"/>
          <w:color w:val="auto"/>
          <w:sz w:val="24"/>
          <w:highlight w:val="none"/>
        </w:rPr>
      </w:pPr>
      <w:r>
        <w:rPr>
          <w:rFonts w:hAnsi="宋体"/>
          <w:color w:val="auto"/>
          <w:sz w:val="24"/>
          <w:highlight w:val="none"/>
        </w:rPr>
        <w:t>1</w:t>
      </w:r>
      <w:r>
        <w:rPr>
          <w:rFonts w:hint="eastAsia" w:hAnsi="宋体"/>
          <w:color w:val="auto"/>
          <w:sz w:val="24"/>
          <w:highlight w:val="none"/>
        </w:rPr>
        <w:t>.开标一览表总价与投标报价明细表汇总数不一致的，以开标一览表为准；</w:t>
      </w:r>
    </w:p>
    <w:p w14:paraId="6E2B620F">
      <w:pPr>
        <w:pStyle w:val="13"/>
        <w:snapToGrid w:val="0"/>
        <w:spacing w:beforeLines="0" w:afterLines="0" w:line="360" w:lineRule="auto"/>
        <w:ind w:firstLine="470" w:firstLineChars="196"/>
        <w:rPr>
          <w:rFonts w:hAnsi="宋体"/>
          <w:color w:val="auto"/>
          <w:sz w:val="24"/>
          <w:highlight w:val="none"/>
        </w:rPr>
      </w:pPr>
      <w:r>
        <w:rPr>
          <w:rFonts w:hAnsi="宋体"/>
          <w:color w:val="auto"/>
          <w:sz w:val="24"/>
          <w:highlight w:val="none"/>
        </w:rPr>
        <w:t>2</w:t>
      </w:r>
      <w:r>
        <w:rPr>
          <w:rFonts w:hint="eastAsia" w:hAnsi="宋体"/>
          <w:color w:val="auto"/>
          <w:sz w:val="24"/>
          <w:highlight w:val="none"/>
        </w:rPr>
        <w:t>.</w:t>
      </w:r>
      <w:r>
        <w:rPr>
          <w:rFonts w:hAnsi="宋体"/>
          <w:color w:val="auto"/>
          <w:sz w:val="24"/>
          <w:highlight w:val="none"/>
        </w:rPr>
        <w:t>投标文件的大写金额和小写金额不一致的，以大写金额为准；</w:t>
      </w:r>
    </w:p>
    <w:p w14:paraId="1B0B82D0">
      <w:pPr>
        <w:pStyle w:val="13"/>
        <w:snapToGrid w:val="0"/>
        <w:spacing w:beforeLines="0" w:afterLines="0" w:line="360" w:lineRule="auto"/>
        <w:ind w:firstLine="470" w:firstLineChars="196"/>
        <w:rPr>
          <w:rFonts w:hAnsi="宋体"/>
          <w:color w:val="auto"/>
          <w:sz w:val="24"/>
          <w:highlight w:val="none"/>
        </w:rPr>
      </w:pPr>
      <w:r>
        <w:rPr>
          <w:rFonts w:hAnsi="宋体"/>
          <w:color w:val="auto"/>
          <w:sz w:val="24"/>
          <w:highlight w:val="none"/>
        </w:rPr>
        <w:t>3</w:t>
      </w:r>
      <w:r>
        <w:rPr>
          <w:rFonts w:hint="eastAsia" w:hAnsi="宋体"/>
          <w:color w:val="auto"/>
          <w:sz w:val="24"/>
          <w:highlight w:val="none"/>
        </w:rPr>
        <w:t>.</w:t>
      </w:r>
      <w:r>
        <w:rPr>
          <w:rFonts w:hAnsi="宋体"/>
          <w:color w:val="auto"/>
          <w:sz w:val="24"/>
          <w:highlight w:val="none"/>
        </w:rPr>
        <w:t>总价金额与按单价汇总金额不一致的，以单价金额计算结果为准；</w:t>
      </w:r>
    </w:p>
    <w:p w14:paraId="423717DF">
      <w:pPr>
        <w:pStyle w:val="13"/>
        <w:snapToGrid w:val="0"/>
        <w:spacing w:beforeLines="0" w:afterLines="0" w:line="360" w:lineRule="auto"/>
        <w:ind w:firstLine="470" w:firstLineChars="196"/>
        <w:rPr>
          <w:rFonts w:hAnsi="宋体"/>
          <w:color w:val="auto"/>
          <w:sz w:val="24"/>
          <w:highlight w:val="none"/>
        </w:rPr>
      </w:pPr>
      <w:r>
        <w:rPr>
          <w:rFonts w:hAnsi="宋体"/>
          <w:color w:val="auto"/>
          <w:sz w:val="24"/>
          <w:highlight w:val="none"/>
        </w:rPr>
        <w:t>4</w:t>
      </w:r>
      <w:r>
        <w:rPr>
          <w:rFonts w:hint="eastAsia" w:hAnsi="宋体"/>
          <w:color w:val="auto"/>
          <w:sz w:val="24"/>
          <w:highlight w:val="none"/>
        </w:rPr>
        <w:t>.</w:t>
      </w:r>
      <w:r>
        <w:rPr>
          <w:rFonts w:hAnsi="宋体"/>
          <w:color w:val="auto"/>
          <w:sz w:val="24"/>
          <w:highlight w:val="none"/>
        </w:rPr>
        <w:t>对不同文字文本投标文件的解释发生异议的，以中文文本为准。</w:t>
      </w:r>
    </w:p>
    <w:p w14:paraId="723A1EFD">
      <w:pPr>
        <w:pStyle w:val="13"/>
        <w:snapToGrid w:val="0"/>
        <w:spacing w:beforeLines="0" w:afterLines="0" w:line="360" w:lineRule="auto"/>
        <w:ind w:firstLine="482" w:firstLineChars="200"/>
        <w:rPr>
          <w:rFonts w:hAnsi="宋体"/>
          <w:b/>
          <w:bCs/>
          <w:color w:val="auto"/>
          <w:sz w:val="24"/>
          <w:highlight w:val="none"/>
        </w:rPr>
      </w:pPr>
      <w:r>
        <w:rPr>
          <w:rFonts w:hAnsi="宋体"/>
          <w:b/>
          <w:bCs/>
          <w:color w:val="auto"/>
          <w:sz w:val="24"/>
          <w:highlight w:val="none"/>
        </w:rPr>
        <w:t>按上述修正错误的原则及方法调整或修正投标文件的投标报价，投标人同意</w:t>
      </w:r>
      <w:r>
        <w:rPr>
          <w:rFonts w:hint="eastAsia" w:hAnsi="宋体"/>
          <w:b/>
          <w:bCs/>
          <w:color w:val="auto"/>
          <w:sz w:val="24"/>
          <w:highlight w:val="none"/>
        </w:rPr>
        <w:t>并签字确认</w:t>
      </w:r>
      <w:r>
        <w:rPr>
          <w:rFonts w:hAnsi="宋体"/>
          <w:b/>
          <w:bCs/>
          <w:color w:val="auto"/>
          <w:sz w:val="24"/>
          <w:highlight w:val="none"/>
        </w:rPr>
        <w:t>后，调整后的投标报价对投标人具有约束作用。如果投标人不接受修正后的报价，则其投标将</w:t>
      </w:r>
      <w:r>
        <w:rPr>
          <w:rFonts w:hint="eastAsia" w:hAnsi="宋体"/>
          <w:b/>
          <w:bCs/>
          <w:color w:val="auto"/>
          <w:sz w:val="24"/>
          <w:highlight w:val="none"/>
        </w:rPr>
        <w:t>作为无效投标处理</w:t>
      </w:r>
      <w:r>
        <w:rPr>
          <w:rFonts w:hAnsi="宋体"/>
          <w:b/>
          <w:bCs/>
          <w:color w:val="auto"/>
          <w:sz w:val="24"/>
          <w:highlight w:val="none"/>
        </w:rPr>
        <w:t>。</w:t>
      </w:r>
    </w:p>
    <w:p w14:paraId="4EAB5BA0">
      <w:pPr>
        <w:pStyle w:val="13"/>
        <w:tabs>
          <w:tab w:val="left" w:pos="630"/>
        </w:tabs>
        <w:snapToGrid w:val="0"/>
        <w:spacing w:beforeLines="0" w:afterLines="0" w:line="360" w:lineRule="auto"/>
        <w:ind w:firstLine="472" w:firstLineChars="196"/>
        <w:rPr>
          <w:rFonts w:hAnsi="宋体"/>
          <w:b/>
          <w:color w:val="auto"/>
          <w:sz w:val="24"/>
          <w:highlight w:val="none"/>
        </w:rPr>
      </w:pPr>
      <w:r>
        <w:rPr>
          <w:rFonts w:hAnsi="宋体"/>
          <w:b/>
          <w:color w:val="auto"/>
          <w:sz w:val="24"/>
          <w:highlight w:val="none"/>
        </w:rPr>
        <w:t>（六）评标原则和评标办法</w:t>
      </w:r>
    </w:p>
    <w:p w14:paraId="78814DD3">
      <w:pPr>
        <w:pStyle w:val="13"/>
        <w:snapToGrid w:val="0"/>
        <w:spacing w:beforeLines="0" w:afterLines="0" w:line="360" w:lineRule="auto"/>
        <w:ind w:firstLine="470" w:firstLineChars="196"/>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D96A26C">
      <w:pPr>
        <w:pStyle w:val="13"/>
        <w:snapToGrid w:val="0"/>
        <w:spacing w:beforeLines="0" w:afterLines="0" w:line="360" w:lineRule="auto"/>
        <w:ind w:firstLine="470" w:firstLineChars="196"/>
        <w:rPr>
          <w:rFonts w:hAnsi="宋体"/>
          <w:color w:val="auto"/>
          <w:sz w:val="24"/>
          <w:highlight w:val="none"/>
        </w:rPr>
      </w:pPr>
      <w:r>
        <w:rPr>
          <w:rFonts w:hAnsi="宋体"/>
          <w:color w:val="auto"/>
          <w:sz w:val="24"/>
          <w:highlight w:val="none"/>
        </w:rPr>
        <w:t>2</w:t>
      </w:r>
      <w:r>
        <w:rPr>
          <w:rFonts w:hint="eastAsia" w:hAnsi="宋体"/>
          <w:color w:val="auto"/>
          <w:sz w:val="24"/>
          <w:highlight w:val="none"/>
        </w:rPr>
        <w:t>.</w:t>
      </w:r>
      <w:r>
        <w:rPr>
          <w:rFonts w:hAnsi="宋体"/>
          <w:color w:val="auto"/>
          <w:sz w:val="24"/>
          <w:highlight w:val="none"/>
        </w:rPr>
        <w:t>评标办法。本项目评标办法是本项目采取综合评分法，具体评标内容及评分标准等详见《第四章：评标办法及评分标准》。</w:t>
      </w:r>
    </w:p>
    <w:p w14:paraId="4D167C2B">
      <w:pPr>
        <w:pStyle w:val="13"/>
        <w:snapToGrid w:val="0"/>
        <w:spacing w:beforeLines="0" w:afterLines="0" w:line="360" w:lineRule="auto"/>
        <w:ind w:firstLine="482" w:firstLineChars="200"/>
        <w:rPr>
          <w:rFonts w:hAnsi="宋体"/>
          <w:b/>
          <w:color w:val="auto"/>
          <w:sz w:val="24"/>
          <w:highlight w:val="none"/>
        </w:rPr>
      </w:pPr>
      <w:r>
        <w:rPr>
          <w:rFonts w:hint="eastAsia" w:hAnsi="宋体"/>
          <w:b/>
          <w:color w:val="auto"/>
          <w:sz w:val="24"/>
          <w:highlight w:val="none"/>
        </w:rPr>
        <w:t>（七）废标</w:t>
      </w:r>
    </w:p>
    <w:p w14:paraId="6369F02A">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在采购中，出现下列情形之一的，应予废标：</w:t>
      </w:r>
    </w:p>
    <w:p w14:paraId="1D3D34BB">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1.符合专业条件的供应商或者对招标文件作实质响应的供应商不足3家的；</w:t>
      </w:r>
    </w:p>
    <w:p w14:paraId="4E72E168">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2.出现影响采购公正的违法、违规行为的；</w:t>
      </w:r>
    </w:p>
    <w:p w14:paraId="115D7ED4">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3.报价均超过预算，不能支付的；</w:t>
      </w:r>
    </w:p>
    <w:p w14:paraId="1234308B">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4.因重大变故，采购任务取消的。</w:t>
      </w:r>
    </w:p>
    <w:p w14:paraId="5F4B8238">
      <w:pPr>
        <w:pStyle w:val="13"/>
        <w:snapToGrid w:val="0"/>
        <w:spacing w:beforeLines="0" w:afterLines="0" w:line="360" w:lineRule="auto"/>
        <w:ind w:firstLine="482" w:firstLineChars="200"/>
        <w:rPr>
          <w:rFonts w:hAnsi="宋体"/>
          <w:b/>
          <w:color w:val="auto"/>
          <w:sz w:val="24"/>
          <w:highlight w:val="none"/>
        </w:rPr>
      </w:pPr>
      <w:r>
        <w:rPr>
          <w:rFonts w:hint="eastAsia" w:hAnsi="宋体"/>
          <w:b/>
          <w:color w:val="auto"/>
          <w:sz w:val="24"/>
          <w:highlight w:val="none"/>
        </w:rPr>
        <w:t>（八）可中止电子交易活动的情形</w:t>
      </w:r>
    </w:p>
    <w:p w14:paraId="12CE9F70">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采购过程中出现以下情形，导致电子交易平台无法正常运行，或者无法保证电子交易的公平、公正和安全时，采购组织机构可中止电子交易活动：</w:t>
      </w:r>
    </w:p>
    <w:p w14:paraId="7F3AB090">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1、电子交易平台发生故障而无法登录访问的；</w:t>
      </w:r>
    </w:p>
    <w:p w14:paraId="08D1B41B">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2、电子交易平台应用或数据库出现错误，不能进行正常操作的；</w:t>
      </w:r>
    </w:p>
    <w:p w14:paraId="119510D0">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3、电子交易平台发现严重安全漏洞，有潜在泄密危险的；</w:t>
      </w:r>
    </w:p>
    <w:p w14:paraId="00B328DB">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4、病毒发作导致不能进行正常操作的；</w:t>
      </w:r>
    </w:p>
    <w:p w14:paraId="15FE9445">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5、其他无法保证电子交易的公平、公正和安全的情况。</w:t>
      </w:r>
    </w:p>
    <w:p w14:paraId="3546502E">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出现前款规定情形，不影响采购公平、公正性的，采购组织机构可以待上述情形消除后继续组织电子交易活动；影响或可能影响采购公平、公正性的，应当重新采购。</w:t>
      </w:r>
    </w:p>
    <w:p w14:paraId="6127303E">
      <w:pPr>
        <w:pStyle w:val="13"/>
        <w:snapToGrid w:val="0"/>
        <w:spacing w:beforeLines="0" w:afterLines="0" w:line="360" w:lineRule="auto"/>
        <w:ind w:firstLine="472" w:firstLineChars="196"/>
        <w:outlineLvl w:val="1"/>
        <w:rPr>
          <w:rFonts w:hAnsi="宋体"/>
          <w:b/>
          <w:color w:val="auto"/>
          <w:sz w:val="24"/>
          <w:highlight w:val="none"/>
        </w:rPr>
      </w:pPr>
      <w:r>
        <w:rPr>
          <w:rFonts w:hint="eastAsia" w:hAnsi="宋体"/>
          <w:b/>
          <w:color w:val="auto"/>
          <w:sz w:val="24"/>
          <w:highlight w:val="none"/>
        </w:rPr>
        <w:t>六、定标</w:t>
      </w:r>
    </w:p>
    <w:p w14:paraId="537D44C7">
      <w:pPr>
        <w:pStyle w:val="13"/>
        <w:snapToGrid w:val="0"/>
        <w:spacing w:beforeLines="0" w:afterLines="0" w:line="360" w:lineRule="auto"/>
        <w:ind w:firstLine="472" w:firstLineChars="196"/>
        <w:rPr>
          <w:rFonts w:hAnsi="宋体"/>
          <w:b/>
          <w:bCs/>
          <w:color w:val="auto"/>
          <w:sz w:val="24"/>
          <w:highlight w:val="none"/>
        </w:rPr>
      </w:pPr>
      <w:r>
        <w:rPr>
          <w:rFonts w:hint="eastAsia" w:hAnsi="宋体"/>
          <w:b/>
          <w:bCs/>
          <w:color w:val="auto"/>
          <w:sz w:val="24"/>
          <w:highlight w:val="none"/>
        </w:rPr>
        <w:t>（一）确定中标人。</w:t>
      </w:r>
      <w:r>
        <w:rPr>
          <w:rFonts w:hint="eastAsia" w:hAnsi="宋体"/>
          <w:b/>
          <w:color w:val="auto"/>
          <w:sz w:val="24"/>
          <w:highlight w:val="none"/>
        </w:rPr>
        <w:t>本项目由采购人授权评标委员会确定中标人。</w:t>
      </w:r>
    </w:p>
    <w:p w14:paraId="02428874">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1.采购人在收到评标报告后五个工作日内，依法确认中标供应商。</w:t>
      </w:r>
    </w:p>
    <w:p w14:paraId="184A189F">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2.中标供应商确定后，中标结果在财政部门指定的政府采购信息发布媒体上公告。</w:t>
      </w:r>
    </w:p>
    <w:p w14:paraId="233D9FBA">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3.在发布公告的同时，招标采购单位向中标供应商发出中标通知书，中标通知书对采购人和中标供应商具有同等法律效力。</w:t>
      </w:r>
    </w:p>
    <w:p w14:paraId="14FB8758">
      <w:pPr>
        <w:pStyle w:val="13"/>
        <w:snapToGrid w:val="0"/>
        <w:spacing w:beforeLines="0" w:afterLines="0" w:line="360" w:lineRule="auto"/>
        <w:ind w:firstLine="472" w:firstLineChars="196"/>
        <w:rPr>
          <w:rFonts w:hAnsi="宋体"/>
          <w:b/>
          <w:color w:val="auto"/>
          <w:sz w:val="24"/>
          <w:highlight w:val="none"/>
        </w:rPr>
      </w:pPr>
      <w:r>
        <w:rPr>
          <w:rFonts w:hint="eastAsia" w:hAnsi="宋体"/>
          <w:b/>
          <w:color w:val="auto"/>
          <w:sz w:val="24"/>
          <w:highlight w:val="none"/>
        </w:rPr>
        <w:t>4根据浙江省财政厅《</w:t>
      </w:r>
      <w:r>
        <w:rPr>
          <w:rFonts w:hAnsi="宋体"/>
          <w:b/>
          <w:color w:val="auto"/>
          <w:sz w:val="24"/>
          <w:highlight w:val="none"/>
        </w:rPr>
        <w:t>关于印发浙江省政府采购供应商注册及诚信管理暂行办法的通知</w:t>
      </w:r>
      <w:r>
        <w:rPr>
          <w:rFonts w:hint="eastAsia" w:hAnsi="宋体"/>
          <w:b/>
          <w:color w:val="auto"/>
          <w:sz w:val="24"/>
          <w:highlight w:val="none"/>
        </w:rPr>
        <w:t>》[</w:t>
      </w:r>
      <w:r>
        <w:rPr>
          <w:rFonts w:hAnsi="宋体"/>
          <w:b/>
          <w:color w:val="auto"/>
          <w:sz w:val="24"/>
          <w:highlight w:val="none"/>
        </w:rPr>
        <w:t>浙财采监字〔2009〕28号</w:t>
      </w:r>
      <w:r>
        <w:rPr>
          <w:rFonts w:hint="eastAsia" w:hAnsi="宋体"/>
          <w:b/>
          <w:color w:val="auto"/>
          <w:sz w:val="24"/>
          <w:highlight w:val="none"/>
        </w:rPr>
        <w:t>]精神，中标供应商在领取中标通知书前，必须在《浙江省政府采购网》上完成供应商的注册工作，经初审、终审及公示后方可正式领取中标通知书。</w:t>
      </w:r>
    </w:p>
    <w:p w14:paraId="0ED40D48">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5.中标通知书发出后，采购人改变中标结果，或者中标供应商放弃中标，应当承担相应的法律责任。</w:t>
      </w:r>
    </w:p>
    <w:p w14:paraId="5BF6DE71">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6.替补说明：根据《中华人民共和国政府采购法实施条例》第四十九项规定，中标或者成交供应商拒绝（包含放弃成交结果的）与采购人签订合同的，采购人可以按照评审报告推荐的中标或者成交候选人名单排序，确定下一候选人为中标或者成交供应商，也可以重新开展政府采购活动。</w:t>
      </w:r>
    </w:p>
    <w:p w14:paraId="47806668">
      <w:pPr>
        <w:pStyle w:val="13"/>
        <w:snapToGrid w:val="0"/>
        <w:spacing w:beforeLines="0" w:afterLines="0" w:line="360" w:lineRule="auto"/>
        <w:ind w:firstLine="472" w:firstLineChars="196"/>
        <w:rPr>
          <w:rFonts w:hAnsi="宋体"/>
          <w:b/>
          <w:color w:val="auto"/>
          <w:sz w:val="24"/>
          <w:highlight w:val="none"/>
        </w:rPr>
      </w:pPr>
      <w:r>
        <w:rPr>
          <w:rFonts w:hint="eastAsia" w:hAnsi="宋体"/>
          <w:b/>
          <w:color w:val="auto"/>
          <w:sz w:val="24"/>
          <w:highlight w:val="none"/>
        </w:rPr>
        <w:t>（二）中标通知书</w:t>
      </w:r>
    </w:p>
    <w:p w14:paraId="70F4EC8F">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1.确定中标供应商后，招标采购单位将以书面形式发出中标通知书，通知中标的投标人其投标被接受。</w:t>
      </w:r>
    </w:p>
    <w:p w14:paraId="218AC494">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2.中标通知书为双方签订合同的依据。</w:t>
      </w:r>
    </w:p>
    <w:p w14:paraId="474D858B">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3.中标供应商应根据中标通知书中规定的时间内，由法定代表人或其授权代理人与采购人签订合同。</w:t>
      </w:r>
    </w:p>
    <w:p w14:paraId="698530FD">
      <w:pPr>
        <w:pStyle w:val="13"/>
        <w:snapToGrid w:val="0"/>
        <w:spacing w:beforeLines="0" w:afterLines="0" w:line="360" w:lineRule="auto"/>
        <w:ind w:firstLine="472" w:firstLineChars="196"/>
        <w:outlineLvl w:val="1"/>
        <w:rPr>
          <w:rFonts w:hAnsi="宋体"/>
          <w:b/>
          <w:color w:val="auto"/>
          <w:sz w:val="24"/>
          <w:highlight w:val="none"/>
        </w:rPr>
      </w:pPr>
      <w:r>
        <w:rPr>
          <w:rFonts w:hint="eastAsia" w:hAnsi="宋体"/>
          <w:b/>
          <w:color w:val="auto"/>
          <w:sz w:val="24"/>
          <w:highlight w:val="none"/>
        </w:rPr>
        <w:t>七、合同授予</w:t>
      </w:r>
    </w:p>
    <w:p w14:paraId="6B73D359">
      <w:pPr>
        <w:snapToGrid w:val="0"/>
        <w:spacing w:line="360" w:lineRule="auto"/>
        <w:ind w:firstLine="472" w:firstLineChars="196"/>
        <w:rPr>
          <w:rFonts w:ascii="宋体" w:hAnsi="宋体"/>
          <w:b/>
          <w:bCs/>
          <w:color w:val="auto"/>
          <w:sz w:val="24"/>
          <w:highlight w:val="none"/>
        </w:rPr>
      </w:pPr>
      <w:r>
        <w:rPr>
          <w:rFonts w:hint="eastAsia" w:ascii="宋体" w:hAnsi="宋体"/>
          <w:b/>
          <w:bCs/>
          <w:color w:val="auto"/>
          <w:sz w:val="24"/>
          <w:highlight w:val="none"/>
        </w:rPr>
        <w:t>（一）签订合同</w:t>
      </w:r>
    </w:p>
    <w:p w14:paraId="28D15078">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.采购人与</w:t>
      </w:r>
      <w:r>
        <w:rPr>
          <w:rFonts w:ascii="宋体" w:hAnsi="宋体"/>
          <w:color w:val="auto"/>
          <w:sz w:val="24"/>
          <w:highlight w:val="none"/>
        </w:rPr>
        <w:t>中标人应</w:t>
      </w:r>
      <w:r>
        <w:rPr>
          <w:rFonts w:hint="eastAsia" w:ascii="宋体" w:hAnsi="宋体"/>
          <w:color w:val="auto"/>
          <w:sz w:val="24"/>
          <w:highlight w:val="none"/>
        </w:rPr>
        <w:t>当在《</w:t>
      </w:r>
      <w:r>
        <w:rPr>
          <w:rFonts w:ascii="宋体" w:hAnsi="宋体"/>
          <w:color w:val="auto"/>
          <w:sz w:val="24"/>
          <w:highlight w:val="none"/>
        </w:rPr>
        <w:t>中标通知书</w:t>
      </w:r>
      <w:r>
        <w:rPr>
          <w:rFonts w:hint="eastAsia" w:ascii="宋体" w:hAnsi="宋体"/>
          <w:color w:val="auto"/>
          <w:sz w:val="24"/>
          <w:highlight w:val="none"/>
        </w:rPr>
        <w:t>》发出之日起30日内签订政府采购合同。同时，采购代理机构对合同内容进行审查，如发现与采购结果和投标承诺内容不一致的，应予以纠正。</w:t>
      </w:r>
    </w:p>
    <w:p w14:paraId="15A9CD88">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中标人拖延、拒签合同的</w:t>
      </w:r>
      <w:r>
        <w:rPr>
          <w:rFonts w:hint="eastAsia" w:ascii="宋体" w:hAnsi="宋体"/>
          <w:color w:val="auto"/>
          <w:sz w:val="24"/>
          <w:highlight w:val="none"/>
        </w:rPr>
        <w:t>，</w:t>
      </w:r>
      <w:r>
        <w:rPr>
          <w:rFonts w:ascii="宋体" w:hAnsi="宋体"/>
          <w:color w:val="auto"/>
          <w:sz w:val="24"/>
          <w:highlight w:val="none"/>
        </w:rPr>
        <w:t>将被取消中标资格。</w:t>
      </w:r>
    </w:p>
    <w:p w14:paraId="7EFE9D02">
      <w:pPr>
        <w:pStyle w:val="13"/>
        <w:snapToGrid w:val="0"/>
        <w:spacing w:beforeLines="0" w:afterLines="0" w:line="360" w:lineRule="auto"/>
        <w:ind w:firstLine="472" w:firstLineChars="196"/>
        <w:rPr>
          <w:rFonts w:hAnsi="宋体"/>
          <w:b/>
          <w:color w:val="auto"/>
          <w:sz w:val="24"/>
          <w:highlight w:val="none"/>
        </w:rPr>
      </w:pPr>
      <w:r>
        <w:rPr>
          <w:rFonts w:hAnsi="宋体"/>
          <w:b/>
          <w:color w:val="auto"/>
          <w:sz w:val="24"/>
          <w:highlight w:val="none"/>
        </w:rPr>
        <w:t>（二）履约保证金</w:t>
      </w:r>
    </w:p>
    <w:p w14:paraId="5FA99EDA">
      <w:pPr>
        <w:pStyle w:val="13"/>
        <w:snapToGrid w:val="0"/>
        <w:spacing w:beforeLines="0" w:afterLines="0" w:line="360" w:lineRule="auto"/>
        <w:ind w:firstLine="470" w:firstLineChars="196"/>
        <w:outlineLvl w:val="1"/>
        <w:rPr>
          <w:rFonts w:hAnsi="宋体"/>
          <w:color w:val="auto"/>
          <w:sz w:val="24"/>
          <w:highlight w:val="none"/>
        </w:rPr>
      </w:pPr>
      <w:r>
        <w:rPr>
          <w:rFonts w:hint="eastAsia" w:hAnsi="宋体"/>
          <w:color w:val="auto"/>
          <w:sz w:val="24"/>
          <w:highlight w:val="none"/>
        </w:rPr>
        <w:t>无</w:t>
      </w:r>
    </w:p>
    <w:p w14:paraId="6122DE51">
      <w:pPr>
        <w:pStyle w:val="13"/>
        <w:snapToGrid w:val="0"/>
        <w:spacing w:beforeLines="0" w:afterLines="0" w:line="360" w:lineRule="auto"/>
        <w:ind w:firstLine="472" w:firstLineChars="196"/>
        <w:outlineLvl w:val="1"/>
        <w:rPr>
          <w:rFonts w:hAnsi="宋体"/>
          <w:b/>
          <w:color w:val="auto"/>
          <w:sz w:val="24"/>
          <w:highlight w:val="none"/>
        </w:rPr>
      </w:pPr>
      <w:r>
        <w:rPr>
          <w:rFonts w:hint="eastAsia" w:hAnsi="宋体"/>
          <w:b/>
          <w:color w:val="auto"/>
          <w:sz w:val="24"/>
          <w:highlight w:val="none"/>
        </w:rPr>
        <w:t>（三)其他</w:t>
      </w:r>
    </w:p>
    <w:p w14:paraId="406C87F8">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供应商有下列情形之一的，自愿接受取消投标资格；如已中标的，自动放弃中标资格，并承担全部法律责任；给采购人造成损失的，依法承担赔偿责任：</w:t>
      </w:r>
    </w:p>
    <w:p w14:paraId="4815E6E6">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（1）供应商在投标有效期内撤回投标文件的；</w:t>
      </w:r>
    </w:p>
    <w:p w14:paraId="79649B16">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（2）供应商在投标过程中弄虚作假，提供虚假材料的；</w:t>
      </w:r>
    </w:p>
    <w:p w14:paraId="772D642D">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（3）中标供应商无正当理由不与采购人签订合同的；</w:t>
      </w:r>
    </w:p>
    <w:p w14:paraId="0AB1A069">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（4）将中标项目转让给他人或者在投标文件中未说明且未经招标采购人同意，将中标项目分包给他人的；</w:t>
      </w:r>
    </w:p>
    <w:p w14:paraId="0CEB2C61">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（5）拒绝履行合同义务的；</w:t>
      </w:r>
    </w:p>
    <w:p w14:paraId="35D2A61A">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（6）其他严重扰乱招投标程序的。</w:t>
      </w:r>
    </w:p>
    <w:p w14:paraId="1DD11E03">
      <w:pPr>
        <w:pStyle w:val="11"/>
        <w:rPr>
          <w:color w:val="auto"/>
          <w:highlight w:val="none"/>
        </w:rPr>
      </w:pPr>
      <w:r>
        <w:rPr>
          <w:color w:val="auto"/>
          <w:highlight w:val="none"/>
        </w:rPr>
        <w:br w:type="page"/>
      </w:r>
    </w:p>
    <w:p w14:paraId="0D7BADC7">
      <w:pPr>
        <w:pStyle w:val="13"/>
        <w:snapToGrid w:val="0"/>
        <w:spacing w:beforeLines="0" w:afterLines="0" w:line="360" w:lineRule="auto"/>
        <w:jc w:val="center"/>
        <w:rPr>
          <w:rFonts w:ascii="黑体" w:hAnsi="宋体" w:eastAsia="黑体"/>
          <w:color w:val="auto"/>
          <w:sz w:val="30"/>
          <w:szCs w:val="30"/>
          <w:highlight w:val="none"/>
        </w:rPr>
      </w:pPr>
      <w:r>
        <w:rPr>
          <w:rFonts w:hint="eastAsia" w:ascii="黑体" w:hAnsi="宋体" w:eastAsia="黑体"/>
          <w:color w:val="auto"/>
          <w:sz w:val="30"/>
          <w:szCs w:val="30"/>
          <w:highlight w:val="none"/>
        </w:rPr>
        <w:t>第四章  评标办法及评分标准</w:t>
      </w:r>
    </w:p>
    <w:p w14:paraId="463C19F0">
      <w:pPr>
        <w:spacing w:line="360" w:lineRule="auto"/>
        <w:ind w:firstLine="420"/>
        <w:rPr>
          <w:rFonts w:ascii="宋体" w:hAnsi="宋体"/>
          <w:color w:val="auto"/>
          <w:sz w:val="24"/>
          <w:highlight w:val="none"/>
        </w:rPr>
      </w:pPr>
      <w:r>
        <w:rPr>
          <w:rFonts w:hint="eastAsia" w:ascii="宋体" w:hAnsi="宋体"/>
          <w:color w:val="auto"/>
          <w:sz w:val="24"/>
          <w:highlight w:val="none"/>
        </w:rPr>
        <w:t>为公正、公平、科学地选择中标人，根据《中华人民共和国政府采购法》等有关法律法规的规定和《</w:t>
      </w:r>
      <w:r>
        <w:rPr>
          <w:rFonts w:hint="eastAsia"/>
          <w:color w:val="auto"/>
          <w:sz w:val="24"/>
          <w:highlight w:val="none"/>
        </w:rPr>
        <w:t>2025-2028年度吴兴区居家养老服务（照料）中心运营项目</w:t>
      </w:r>
      <w:r>
        <w:rPr>
          <w:rFonts w:hint="eastAsia" w:ascii="宋体" w:hAnsi="宋体"/>
          <w:color w:val="auto"/>
          <w:sz w:val="24"/>
          <w:highlight w:val="none"/>
        </w:rPr>
        <w:t>》</w:t>
      </w:r>
      <w:r>
        <w:rPr>
          <w:rFonts w:hint="eastAsia"/>
          <w:color w:val="auto"/>
          <w:sz w:val="24"/>
          <w:highlight w:val="none"/>
        </w:rPr>
        <w:t>采购文件</w:t>
      </w:r>
      <w:r>
        <w:rPr>
          <w:rFonts w:hint="eastAsia" w:ascii="宋体" w:hAnsi="宋体"/>
          <w:color w:val="auto"/>
          <w:sz w:val="24"/>
          <w:highlight w:val="none"/>
        </w:rPr>
        <w:t>规定，并结合本项目的实际，制定本办法。</w:t>
      </w:r>
    </w:p>
    <w:p w14:paraId="616DDF84">
      <w:pPr>
        <w:spacing w:line="360" w:lineRule="auto"/>
        <w:ind w:firstLine="420"/>
        <w:rPr>
          <w:rFonts w:ascii="宋体" w:hAnsi="宋体"/>
          <w:bCs/>
          <w:color w:val="auto"/>
          <w:sz w:val="24"/>
          <w:szCs w:val="48"/>
          <w:highlight w:val="none"/>
        </w:rPr>
      </w:pPr>
      <w:r>
        <w:rPr>
          <w:rFonts w:hint="eastAsia" w:ascii="宋体" w:hAnsi="宋体"/>
          <w:color w:val="auto"/>
          <w:sz w:val="24"/>
          <w:highlight w:val="none"/>
        </w:rPr>
        <w:t>本办法适用于</w:t>
      </w:r>
      <w:r>
        <w:rPr>
          <w:rFonts w:hint="eastAsia"/>
          <w:b/>
          <w:color w:val="auto"/>
          <w:sz w:val="24"/>
          <w:highlight w:val="none"/>
        </w:rPr>
        <w:t>2025-2028年度吴兴区居家养老服务（照料）中心运营项目</w:t>
      </w:r>
      <w:r>
        <w:rPr>
          <w:rFonts w:hint="eastAsia" w:ascii="宋体" w:hAnsi="宋体"/>
          <w:bCs/>
          <w:color w:val="auto"/>
          <w:sz w:val="24"/>
          <w:szCs w:val="48"/>
          <w:highlight w:val="none"/>
        </w:rPr>
        <w:t>的评标。</w:t>
      </w:r>
    </w:p>
    <w:p w14:paraId="742E7259">
      <w:pPr>
        <w:spacing w:line="360" w:lineRule="auto"/>
        <w:ind w:firstLine="551" w:firstLineChars="196"/>
        <w:rPr>
          <w:rFonts w:ascii="宋体" w:hAnsi="宋体"/>
          <w:b/>
          <w:color w:val="auto"/>
          <w:sz w:val="28"/>
          <w:szCs w:val="28"/>
          <w:highlight w:val="none"/>
        </w:rPr>
      </w:pPr>
      <w:r>
        <w:rPr>
          <w:rFonts w:hint="eastAsia" w:ascii="宋体" w:hAnsi="宋体"/>
          <w:b/>
          <w:color w:val="auto"/>
          <w:sz w:val="28"/>
          <w:szCs w:val="28"/>
          <w:highlight w:val="none"/>
        </w:rPr>
        <w:t>一、总则</w:t>
      </w:r>
    </w:p>
    <w:p w14:paraId="4122C00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本次评标采用综合评分法，</w:t>
      </w:r>
      <w:r>
        <w:rPr>
          <w:rFonts w:hint="eastAsia" w:ascii="宋体" w:hAnsi="宋体"/>
          <w:b/>
          <w:color w:val="auto"/>
          <w:sz w:val="24"/>
          <w:highlight w:val="none"/>
        </w:rPr>
        <w:t>总分为100分，包含：价格分（10分）、技术、商务、资信及其他分（90分）</w:t>
      </w:r>
      <w:r>
        <w:rPr>
          <w:rFonts w:hint="eastAsia" w:ascii="宋体" w:hAnsi="宋体"/>
          <w:color w:val="auto"/>
          <w:sz w:val="24"/>
          <w:highlight w:val="none"/>
        </w:rPr>
        <w:t>。合格投标人的评标得分为各项目汇总得分，按评标得分由高到低顺序排列，得分相同的，按投标报价由低到高顺序排列；得分且投标报价相同的，按技术得分由高到低顺序排列。</w:t>
      </w:r>
    </w:p>
    <w:p w14:paraId="4D84F25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本项目分为5个标项，投标人可根据自身能力选择一个或</w:t>
      </w:r>
      <w:bookmarkStart w:id="65" w:name="OLE_LINK95"/>
      <w:bookmarkStart w:id="66" w:name="OLE_LINK92"/>
      <w:r>
        <w:rPr>
          <w:rFonts w:hint="eastAsia" w:ascii="宋体" w:hAnsi="宋体" w:cs="宋体"/>
          <w:color w:val="auto"/>
          <w:kern w:val="0"/>
          <w:sz w:val="24"/>
          <w:highlight w:val="none"/>
        </w:rPr>
        <w:t>多个</w:t>
      </w:r>
      <w:bookmarkEnd w:id="65"/>
      <w:bookmarkEnd w:id="66"/>
      <w:r>
        <w:rPr>
          <w:rFonts w:hint="eastAsia" w:ascii="宋体" w:hAnsi="宋体" w:cs="宋体"/>
          <w:color w:val="auto"/>
          <w:kern w:val="0"/>
          <w:sz w:val="24"/>
          <w:highlight w:val="none"/>
        </w:rPr>
        <w:t>标项参与投标，且</w:t>
      </w:r>
      <w:r>
        <w:rPr>
          <w:rFonts w:hint="eastAsia" w:ascii="宋体" w:hAnsi="宋体" w:cs="宋体"/>
          <w:color w:val="auto"/>
          <w:sz w:val="24"/>
          <w:highlight w:val="none"/>
        </w:rPr>
        <w:t>可以同时参与</w:t>
      </w:r>
      <w:r>
        <w:rPr>
          <w:rFonts w:hint="eastAsia" w:ascii="宋体" w:hAnsi="宋体" w:cs="宋体"/>
          <w:color w:val="auto"/>
          <w:kern w:val="0"/>
          <w:sz w:val="24"/>
          <w:highlight w:val="none"/>
        </w:rPr>
        <w:t>多</w:t>
      </w:r>
      <w:r>
        <w:rPr>
          <w:rFonts w:hint="eastAsia" w:ascii="宋体" w:hAnsi="宋体" w:cs="宋体"/>
          <w:color w:val="auto"/>
          <w:sz w:val="24"/>
          <w:highlight w:val="none"/>
        </w:rPr>
        <w:t>个标项的评审，但一个</w:t>
      </w:r>
      <w:r>
        <w:rPr>
          <w:rFonts w:hint="eastAsia" w:ascii="宋体" w:hAnsi="宋体"/>
          <w:color w:val="auto"/>
          <w:sz w:val="24"/>
          <w:highlight w:val="none"/>
        </w:rPr>
        <w:t>投标人</w:t>
      </w:r>
      <w:r>
        <w:rPr>
          <w:rFonts w:hint="eastAsia" w:ascii="宋体" w:hAnsi="宋体" w:cs="宋体"/>
          <w:color w:val="auto"/>
          <w:sz w:val="24"/>
          <w:highlight w:val="none"/>
        </w:rPr>
        <w:t>只能中标一个标项（</w:t>
      </w:r>
      <w:r>
        <w:rPr>
          <w:rFonts w:hint="eastAsia" w:ascii="宋体" w:hAnsi="宋体" w:cs="宋体"/>
          <w:color w:val="auto"/>
          <w:kern w:val="0"/>
          <w:sz w:val="24"/>
          <w:highlight w:val="none"/>
        </w:rPr>
        <w:t>按标项1、标项2、</w:t>
      </w:r>
      <w:bookmarkStart w:id="67" w:name="OLE_LINK82"/>
      <w:bookmarkStart w:id="68" w:name="OLE_LINK72"/>
      <w:r>
        <w:rPr>
          <w:rFonts w:hint="eastAsia" w:ascii="宋体" w:hAnsi="宋体" w:cs="宋体"/>
          <w:color w:val="auto"/>
          <w:kern w:val="0"/>
          <w:sz w:val="24"/>
          <w:highlight w:val="none"/>
        </w:rPr>
        <w:t>标项3</w:t>
      </w:r>
      <w:bookmarkEnd w:id="67"/>
      <w:bookmarkEnd w:id="68"/>
      <w:r>
        <w:rPr>
          <w:rFonts w:hint="eastAsia" w:ascii="宋体" w:hAnsi="宋体" w:cs="宋体"/>
          <w:color w:val="auto"/>
          <w:kern w:val="0"/>
          <w:sz w:val="24"/>
          <w:highlight w:val="none"/>
        </w:rPr>
        <w:t>、标项4、标项5的顺序确定中标人，</w:t>
      </w:r>
      <w:r>
        <w:rPr>
          <w:rFonts w:hint="eastAsia" w:ascii="宋体" w:hAnsi="宋体" w:cs="宋体"/>
          <w:color w:val="auto"/>
          <w:sz w:val="24"/>
          <w:highlight w:val="none"/>
        </w:rPr>
        <w:t>已中标的</w:t>
      </w:r>
      <w:r>
        <w:rPr>
          <w:rFonts w:hint="eastAsia" w:ascii="宋体" w:hAnsi="宋体"/>
          <w:color w:val="auto"/>
          <w:sz w:val="24"/>
          <w:highlight w:val="none"/>
        </w:rPr>
        <w:t>投标人</w:t>
      </w:r>
      <w:r>
        <w:rPr>
          <w:rFonts w:hint="eastAsia" w:ascii="宋体" w:hAnsi="宋体" w:cs="宋体"/>
          <w:color w:val="auto"/>
          <w:sz w:val="24"/>
          <w:highlight w:val="none"/>
        </w:rPr>
        <w:t>仍然进入下一标项的评审，但不再确定为中标人。）</w:t>
      </w:r>
    </w:p>
    <w:p w14:paraId="4E394C97">
      <w:pPr>
        <w:spacing w:line="360" w:lineRule="auto"/>
        <w:ind w:firstLine="480" w:firstLineChars="200"/>
        <w:rPr>
          <w:color w:val="auto"/>
          <w:highlight w:val="none"/>
        </w:rPr>
      </w:pPr>
      <w:r>
        <w:rPr>
          <w:rFonts w:hint="eastAsia" w:ascii="宋体" w:hAnsi="宋体"/>
          <w:color w:val="auto"/>
          <w:sz w:val="24"/>
          <w:highlight w:val="none"/>
        </w:rPr>
        <w:t>本项目由采购人授权评标委员会直接确定中标人。</w:t>
      </w:r>
      <w:r>
        <w:rPr>
          <w:rFonts w:hint="eastAsia" w:ascii="宋体" w:hAnsi="宋体"/>
          <w:bCs/>
          <w:color w:val="auto"/>
          <w:sz w:val="24"/>
          <w:highlight w:val="none"/>
        </w:rPr>
        <w:t>评分过程中采用四舍五入法，并保留小数2位。</w:t>
      </w:r>
    </w:p>
    <w:p w14:paraId="43FAFFEE">
      <w:pPr>
        <w:spacing w:line="360" w:lineRule="auto"/>
        <w:ind w:firstLine="562" w:firstLineChars="200"/>
        <w:rPr>
          <w:rFonts w:ascii="宋体" w:hAnsi="宋体"/>
          <w:b/>
          <w:color w:val="auto"/>
          <w:sz w:val="28"/>
          <w:szCs w:val="28"/>
          <w:highlight w:val="none"/>
        </w:rPr>
      </w:pPr>
      <w:r>
        <w:rPr>
          <w:rFonts w:hint="eastAsia" w:ascii="宋体" w:hAnsi="宋体"/>
          <w:b/>
          <w:color w:val="auto"/>
          <w:sz w:val="28"/>
          <w:szCs w:val="28"/>
          <w:highlight w:val="none"/>
        </w:rPr>
        <w:t>二、评标内容及标准</w:t>
      </w:r>
    </w:p>
    <w:p w14:paraId="7E0BEE9A">
      <w:pPr>
        <w:pStyle w:val="11"/>
        <w:spacing w:line="360" w:lineRule="auto"/>
        <w:rPr>
          <w:rFonts w:ascii="宋体" w:hAnsi="宋体"/>
          <w:b/>
          <w:color w:val="auto"/>
          <w:kern w:val="2"/>
          <w:sz w:val="24"/>
          <w:szCs w:val="24"/>
          <w:highlight w:val="none"/>
        </w:rPr>
      </w:pPr>
      <w:r>
        <w:rPr>
          <w:rFonts w:hint="eastAsia" w:ascii="宋体" w:hAnsi="宋体"/>
          <w:b/>
          <w:color w:val="auto"/>
          <w:kern w:val="2"/>
          <w:sz w:val="24"/>
          <w:szCs w:val="24"/>
          <w:highlight w:val="none"/>
        </w:rPr>
        <w:t>（一）价格分（10分）</w:t>
      </w:r>
    </w:p>
    <w:p w14:paraId="22FEBE09">
      <w:pPr>
        <w:pStyle w:val="11"/>
        <w:spacing w:line="360" w:lineRule="auto"/>
        <w:ind w:left="0" w:leftChars="0" w:firstLine="480" w:firstLineChars="200"/>
        <w:rPr>
          <w:rFonts w:hAnsi="宋体"/>
          <w:bCs/>
          <w:color w:val="auto"/>
          <w:sz w:val="24"/>
          <w:szCs w:val="24"/>
          <w:highlight w:val="none"/>
        </w:rPr>
      </w:pPr>
      <w:r>
        <w:rPr>
          <w:rFonts w:hint="eastAsia" w:hAnsi="宋体"/>
          <w:bCs/>
          <w:color w:val="auto"/>
          <w:sz w:val="24"/>
          <w:highlight w:val="none"/>
        </w:rPr>
        <w:t>价格分</w:t>
      </w:r>
      <w:r>
        <w:rPr>
          <w:rFonts w:hint="eastAsia" w:hAnsi="宋体"/>
          <w:bCs/>
          <w:color w:val="auto"/>
          <w:sz w:val="24"/>
          <w:szCs w:val="24"/>
          <w:highlight w:val="none"/>
        </w:rPr>
        <w:t>采用低价优先法计算，即满足招标文件要求且投标价格最低的投标报价</w:t>
      </w:r>
      <w:r>
        <w:rPr>
          <w:rFonts w:hint="eastAsia" w:hAnsi="宋体"/>
          <w:b/>
          <w:bCs/>
          <w:color w:val="auto"/>
          <w:sz w:val="24"/>
          <w:szCs w:val="24"/>
          <w:highlight w:val="none"/>
        </w:rPr>
        <w:t>（折扣：%）</w:t>
      </w:r>
      <w:r>
        <w:rPr>
          <w:rFonts w:hint="eastAsia" w:hAnsi="宋体"/>
          <w:bCs/>
          <w:color w:val="auto"/>
          <w:sz w:val="24"/>
          <w:szCs w:val="24"/>
          <w:highlight w:val="none"/>
        </w:rPr>
        <w:t>为评标基准价，其他投标人的价格分按照下列公式计算：</w:t>
      </w:r>
    </w:p>
    <w:p w14:paraId="20B7091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价格分=（评标基准价/投标报价）×10%×100</w:t>
      </w:r>
    </w:p>
    <w:p w14:paraId="07863C56">
      <w:pPr>
        <w:spacing w:line="360" w:lineRule="auto"/>
        <w:ind w:firstLine="457" w:firstLineChars="196"/>
        <w:jc w:val="left"/>
        <w:rPr>
          <w:rFonts w:ascii="宋体" w:hAnsi="宋体"/>
          <w:b/>
          <w:bCs/>
          <w:color w:val="auto"/>
          <w:spacing w:val="-4"/>
          <w:sz w:val="24"/>
          <w:highlight w:val="none"/>
        </w:rPr>
      </w:pPr>
      <w:bookmarkStart w:id="69" w:name="OLE_LINK18"/>
      <w:bookmarkStart w:id="70" w:name="OLE_LINK19"/>
      <w:r>
        <w:rPr>
          <w:rFonts w:hint="eastAsia" w:ascii="宋体" w:hAnsi="宋体"/>
          <w:b/>
          <w:bCs/>
          <w:color w:val="auto"/>
          <w:spacing w:val="-4"/>
          <w:sz w:val="24"/>
          <w:highlight w:val="none"/>
        </w:rPr>
        <w:t>1.符合财政部、工业和信息化部制定的《政府采购促进中小企业发展管理办法》（财库【2020】46号）第二条、第四条规定的供应商，根据《浙江省财政厅关于进一步发挥政府采购政策功能全力推动经济稳进提质的通知》（浙财采监[2022]3号），对小微企业报价给予10%的扣除，用扣除后的价格参加评审。</w:t>
      </w:r>
    </w:p>
    <w:p w14:paraId="52304256">
      <w:pPr>
        <w:spacing w:line="360" w:lineRule="auto"/>
        <w:ind w:firstLine="466" w:firstLineChars="200"/>
        <w:rPr>
          <w:rFonts w:ascii="宋体" w:hAnsi="宋体"/>
          <w:bCs/>
          <w:color w:val="auto"/>
          <w:spacing w:val="-4"/>
          <w:sz w:val="24"/>
          <w:highlight w:val="none"/>
        </w:rPr>
      </w:pPr>
      <w:r>
        <w:rPr>
          <w:rFonts w:hint="eastAsia" w:ascii="宋体" w:hAnsi="宋体"/>
          <w:b/>
          <w:bCs/>
          <w:color w:val="auto"/>
          <w:spacing w:val="-4"/>
          <w:sz w:val="24"/>
          <w:highlight w:val="none"/>
        </w:rPr>
        <w:t>2.本项目划分的行业为</w:t>
      </w:r>
      <w:bookmarkStart w:id="71" w:name="OLE_LINK47"/>
      <w:bookmarkStart w:id="72" w:name="OLE_LINK48"/>
      <w:bookmarkStart w:id="73" w:name="OLE_LINK61"/>
      <w:r>
        <w:rPr>
          <w:rFonts w:hint="eastAsia" w:ascii="宋体" w:hAnsi="宋体"/>
          <w:b/>
          <w:bCs/>
          <w:color w:val="auto"/>
          <w:spacing w:val="-4"/>
          <w:sz w:val="24"/>
          <w:highlight w:val="none"/>
        </w:rPr>
        <w:t>其他未列明行业</w:t>
      </w:r>
      <w:bookmarkEnd w:id="71"/>
      <w:bookmarkEnd w:id="72"/>
      <w:bookmarkEnd w:id="73"/>
      <w:r>
        <w:rPr>
          <w:rFonts w:hint="eastAsia" w:ascii="宋体" w:hAnsi="宋体"/>
          <w:bCs/>
          <w:color w:val="auto"/>
          <w:spacing w:val="-4"/>
          <w:sz w:val="24"/>
          <w:highlight w:val="none"/>
        </w:rPr>
        <w:t>。投标人应自行根据《关于印发中小企业划型标准规定的通知》（工信部联企业〔2011〕300 号），确定：货物采购项目的货物是否</w:t>
      </w:r>
      <w:r>
        <w:rPr>
          <w:rFonts w:ascii="宋体" w:hAnsi="宋体"/>
          <w:bCs/>
          <w:color w:val="auto"/>
          <w:spacing w:val="-4"/>
          <w:sz w:val="24"/>
          <w:highlight w:val="none"/>
        </w:rPr>
        <w:t>全部由符合政策要求的中小企业承接。</w:t>
      </w:r>
      <w:r>
        <w:rPr>
          <w:rFonts w:hint="eastAsia" w:ascii="宋体" w:hAnsi="宋体"/>
          <w:bCs/>
          <w:color w:val="auto"/>
          <w:spacing w:val="-4"/>
          <w:sz w:val="24"/>
          <w:highlight w:val="none"/>
        </w:rPr>
        <w:t>投标人根据实际情况填写《中小企业声明函》（格式见附件），作为供应商是否享受本项目价格扣除政策的依据。</w:t>
      </w:r>
    </w:p>
    <w:p w14:paraId="1D60813E">
      <w:pPr>
        <w:spacing w:line="360" w:lineRule="auto"/>
        <w:ind w:firstLine="464" w:firstLineChars="200"/>
        <w:rPr>
          <w:rFonts w:ascii="宋体" w:hAnsi="宋体"/>
          <w:bCs/>
          <w:color w:val="auto"/>
          <w:spacing w:val="-4"/>
          <w:sz w:val="24"/>
          <w:highlight w:val="none"/>
        </w:rPr>
      </w:pPr>
      <w:r>
        <w:rPr>
          <w:rFonts w:ascii="宋体" w:hAnsi="宋体"/>
          <w:bCs/>
          <w:color w:val="auto"/>
          <w:spacing w:val="-4"/>
          <w:sz w:val="24"/>
          <w:highlight w:val="none"/>
        </w:rPr>
        <w:t>3</w:t>
      </w:r>
      <w:r>
        <w:rPr>
          <w:rFonts w:hint="eastAsia" w:ascii="宋体" w:hAnsi="宋体"/>
          <w:bCs/>
          <w:color w:val="auto"/>
          <w:spacing w:val="-4"/>
          <w:sz w:val="24"/>
          <w:highlight w:val="none"/>
        </w:rPr>
        <w:t>.根据《政府采购促进中小企业发展管理办法》（财库【2020】46号）第二十条规定，投标人</w:t>
      </w:r>
      <w:r>
        <w:rPr>
          <w:rFonts w:ascii="宋体" w:hAnsi="宋体"/>
          <w:bCs/>
          <w:color w:val="auto"/>
          <w:spacing w:val="-4"/>
          <w:sz w:val="24"/>
          <w:highlight w:val="none"/>
        </w:rPr>
        <w:t>按照</w:t>
      </w:r>
      <w:r>
        <w:rPr>
          <w:rFonts w:hint="eastAsia" w:ascii="宋体" w:hAnsi="宋体"/>
          <w:bCs/>
          <w:color w:val="auto"/>
          <w:spacing w:val="-4"/>
          <w:sz w:val="24"/>
          <w:highlight w:val="none"/>
        </w:rPr>
        <w:t>该</w:t>
      </w:r>
      <w:r>
        <w:rPr>
          <w:rFonts w:ascii="宋体" w:hAnsi="宋体"/>
          <w:bCs/>
          <w:color w:val="auto"/>
          <w:spacing w:val="-4"/>
          <w:sz w:val="24"/>
          <w:highlight w:val="none"/>
        </w:rPr>
        <w:t>办法规定提供声明函内容不实的，属于提供虚假材料谋取中标、成交，依照《中华人民共和国政府采购法》等国家有关规定追究相应责任。适用招标投标法的政府采购工程建设项目，投标人按照</w:t>
      </w:r>
      <w:r>
        <w:rPr>
          <w:rFonts w:hint="eastAsia" w:ascii="宋体" w:hAnsi="宋体"/>
          <w:bCs/>
          <w:color w:val="auto"/>
          <w:spacing w:val="-4"/>
          <w:sz w:val="24"/>
          <w:highlight w:val="none"/>
        </w:rPr>
        <w:t>该</w:t>
      </w:r>
      <w:r>
        <w:rPr>
          <w:rFonts w:ascii="宋体" w:hAnsi="宋体"/>
          <w:bCs/>
          <w:color w:val="auto"/>
          <w:spacing w:val="-4"/>
          <w:sz w:val="24"/>
          <w:highlight w:val="none"/>
        </w:rPr>
        <w:t>办法规定提供声明函内容不实的，属于弄虚作假骗取中标，依照《中华人民共和国招标投标法》等国家有关规定追究相应责任。</w:t>
      </w:r>
    </w:p>
    <w:p w14:paraId="298FD220">
      <w:pPr>
        <w:spacing w:line="360" w:lineRule="auto"/>
        <w:ind w:firstLine="464" w:firstLineChars="200"/>
        <w:rPr>
          <w:rFonts w:ascii="宋体" w:hAnsi="宋体"/>
          <w:bCs/>
          <w:color w:val="auto"/>
          <w:spacing w:val="-4"/>
          <w:sz w:val="24"/>
          <w:highlight w:val="none"/>
        </w:rPr>
      </w:pPr>
      <w:r>
        <w:rPr>
          <w:rFonts w:hint="eastAsia" w:ascii="宋体" w:hAnsi="宋体"/>
          <w:bCs/>
          <w:color w:val="auto"/>
          <w:spacing w:val="-4"/>
          <w:sz w:val="24"/>
          <w:highlight w:val="none"/>
        </w:rPr>
        <w:t>4.监狱企业参加政府采购提供《监狱企业声明函》</w:t>
      </w:r>
      <w:r>
        <w:rPr>
          <w:rFonts w:ascii="宋体" w:hAnsi="宋体"/>
          <w:bCs/>
          <w:color w:val="auto"/>
          <w:spacing w:val="-4"/>
          <w:sz w:val="24"/>
          <w:highlight w:val="none"/>
        </w:rPr>
        <w:t>（</w:t>
      </w:r>
      <w:r>
        <w:rPr>
          <w:rFonts w:hint="eastAsia" w:ascii="宋体" w:hAnsi="宋体"/>
          <w:bCs/>
          <w:color w:val="auto"/>
          <w:spacing w:val="-4"/>
          <w:sz w:val="24"/>
          <w:highlight w:val="none"/>
        </w:rPr>
        <w:t>格式自拟</w:t>
      </w:r>
      <w:r>
        <w:rPr>
          <w:rFonts w:ascii="宋体" w:hAnsi="宋体"/>
          <w:bCs/>
          <w:color w:val="auto"/>
          <w:spacing w:val="-4"/>
          <w:sz w:val="24"/>
          <w:highlight w:val="none"/>
        </w:rPr>
        <w:t>）</w:t>
      </w:r>
      <w:r>
        <w:rPr>
          <w:rFonts w:hint="eastAsia" w:ascii="宋体" w:hAnsi="宋体"/>
          <w:bCs/>
          <w:color w:val="auto"/>
          <w:spacing w:val="-4"/>
          <w:sz w:val="24"/>
          <w:highlight w:val="none"/>
        </w:rPr>
        <w:t>及其相关的充分的证明材料的，视为小型、微型企业，享受小微企业政策扶持；监狱企业属于小型、微型企业的，不重复享受政策。</w:t>
      </w:r>
    </w:p>
    <w:p w14:paraId="1675EA3A">
      <w:pPr>
        <w:spacing w:line="360" w:lineRule="auto"/>
        <w:ind w:firstLine="464" w:firstLineChars="200"/>
        <w:rPr>
          <w:rFonts w:ascii="宋体" w:hAnsi="宋体"/>
          <w:bCs/>
          <w:color w:val="auto"/>
          <w:spacing w:val="-4"/>
          <w:sz w:val="24"/>
          <w:highlight w:val="none"/>
        </w:rPr>
      </w:pPr>
      <w:r>
        <w:rPr>
          <w:rFonts w:hint="eastAsia" w:ascii="宋体" w:hAnsi="宋体"/>
          <w:bCs/>
          <w:color w:val="auto"/>
          <w:spacing w:val="-4"/>
          <w:sz w:val="24"/>
          <w:highlight w:val="none"/>
        </w:rPr>
        <w:t>5.残疾人福利性单位参加政府采购提供《残疾人福利性单位声明函》</w:t>
      </w:r>
      <w:r>
        <w:rPr>
          <w:rFonts w:ascii="宋体" w:hAnsi="宋体"/>
          <w:bCs/>
          <w:color w:val="auto"/>
          <w:spacing w:val="-4"/>
          <w:sz w:val="24"/>
          <w:highlight w:val="none"/>
        </w:rPr>
        <w:t>（</w:t>
      </w:r>
      <w:r>
        <w:rPr>
          <w:rFonts w:hint="eastAsia" w:ascii="宋体" w:hAnsi="宋体"/>
          <w:bCs/>
          <w:color w:val="auto"/>
          <w:spacing w:val="-4"/>
          <w:sz w:val="24"/>
          <w:highlight w:val="none"/>
        </w:rPr>
        <w:t>格式自拟</w:t>
      </w:r>
      <w:r>
        <w:rPr>
          <w:rFonts w:ascii="宋体" w:hAnsi="宋体"/>
          <w:bCs/>
          <w:color w:val="auto"/>
          <w:spacing w:val="-4"/>
          <w:sz w:val="24"/>
          <w:highlight w:val="none"/>
        </w:rPr>
        <w:t>）</w:t>
      </w:r>
      <w:r>
        <w:rPr>
          <w:rFonts w:hint="eastAsia" w:ascii="宋体" w:hAnsi="宋体"/>
          <w:bCs/>
          <w:color w:val="auto"/>
          <w:spacing w:val="-4"/>
          <w:sz w:val="24"/>
          <w:highlight w:val="none"/>
        </w:rPr>
        <w:t>，视为小型、微型企业，享受小微企业政策扶持；残疾人福利性单位属于小型、微型企业的，不重复享受政策。</w:t>
      </w:r>
    </w:p>
    <w:p w14:paraId="052D6180">
      <w:pPr>
        <w:spacing w:line="360" w:lineRule="auto"/>
        <w:ind w:firstLine="466" w:firstLineChars="200"/>
        <w:rPr>
          <w:rFonts w:ascii="宋体" w:hAnsi="宋体"/>
          <w:bCs/>
          <w:color w:val="auto"/>
          <w:sz w:val="24"/>
          <w:highlight w:val="none"/>
        </w:rPr>
      </w:pPr>
      <w:r>
        <w:rPr>
          <w:rFonts w:hint="eastAsia" w:ascii="宋体" w:hAnsi="宋体"/>
          <w:b/>
          <w:bCs/>
          <w:color w:val="auto"/>
          <w:spacing w:val="-4"/>
          <w:sz w:val="24"/>
          <w:highlight w:val="none"/>
        </w:rPr>
        <w:t>上述计算扣除不累计</w:t>
      </w:r>
      <w:r>
        <w:rPr>
          <w:rFonts w:hint="eastAsia" w:ascii="宋体" w:hAnsi="宋体"/>
          <w:bCs/>
          <w:color w:val="auto"/>
          <w:spacing w:val="-4"/>
          <w:sz w:val="24"/>
          <w:highlight w:val="none"/>
        </w:rPr>
        <w:t>计算，最高扣除10%；未提供以上相关</w:t>
      </w:r>
      <w:r>
        <w:rPr>
          <w:rFonts w:hint="eastAsia" w:ascii="宋体" w:hAnsi="宋体"/>
          <w:bCs/>
          <w:color w:val="auto"/>
          <w:sz w:val="24"/>
          <w:highlight w:val="none"/>
        </w:rPr>
        <w:t>材料的，均不给予价格计算扣除。</w:t>
      </w:r>
    </w:p>
    <w:bookmarkEnd w:id="69"/>
    <w:bookmarkEnd w:id="70"/>
    <w:p w14:paraId="56C9B982">
      <w:pPr>
        <w:spacing w:line="360" w:lineRule="auto"/>
        <w:ind w:left="9094" w:leftChars="200" w:hanging="8674" w:hangingChars="3600"/>
        <w:jc w:val="left"/>
        <w:rPr>
          <w:rFonts w:ascii="宋体" w:hAnsi="宋体"/>
          <w:b/>
          <w:color w:val="auto"/>
          <w:sz w:val="24"/>
          <w:highlight w:val="none"/>
        </w:rPr>
      </w:pPr>
      <w:r>
        <w:rPr>
          <w:rFonts w:hint="eastAsia" w:ascii="宋体" w:hAnsi="宋体"/>
          <w:b/>
          <w:bCs/>
          <w:color w:val="auto"/>
          <w:sz w:val="24"/>
          <w:highlight w:val="none"/>
        </w:rPr>
        <w:t>（二）</w:t>
      </w:r>
      <w:r>
        <w:rPr>
          <w:rFonts w:hint="eastAsia" w:ascii="宋体" w:hAnsi="宋体"/>
          <w:b/>
          <w:color w:val="auto"/>
          <w:sz w:val="24"/>
          <w:highlight w:val="none"/>
        </w:rPr>
        <w:t>技术分、商务、资信及其他分（90分）</w:t>
      </w:r>
      <w:bookmarkStart w:id="74" w:name="OLE_LINK44"/>
    </w:p>
    <w:tbl>
      <w:tblPr>
        <w:tblStyle w:val="27"/>
        <w:tblW w:w="102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42"/>
        <w:gridCol w:w="7938"/>
        <w:gridCol w:w="850"/>
      </w:tblGrid>
      <w:tr w14:paraId="66BD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277" w:type="dxa"/>
            <w:vAlign w:val="center"/>
          </w:tcPr>
          <w:p w14:paraId="0EA7F308">
            <w:pPr>
              <w:pStyle w:val="11"/>
              <w:spacing w:before="120" w:beforeLines="50" w:afterLines="50" w:line="360" w:lineRule="auto"/>
              <w:ind w:left="0" w:leftChars="0"/>
              <w:rPr>
                <w:rFonts w:hAnsi="宋体"/>
                <w:color w:val="auto"/>
                <w:sz w:val="24"/>
                <w:szCs w:val="21"/>
                <w:highlight w:val="none"/>
              </w:rPr>
            </w:pPr>
            <w:r>
              <w:rPr>
                <w:rFonts w:hint="eastAsia" w:hAnsi="宋体"/>
                <w:color w:val="auto"/>
                <w:sz w:val="24"/>
                <w:szCs w:val="21"/>
                <w:highlight w:val="none"/>
              </w:rPr>
              <w:t>评定项目</w:t>
            </w:r>
          </w:p>
        </w:tc>
        <w:tc>
          <w:tcPr>
            <w:tcW w:w="8080" w:type="dxa"/>
            <w:gridSpan w:val="2"/>
            <w:vAlign w:val="center"/>
          </w:tcPr>
          <w:p w14:paraId="79A65C1A">
            <w:pPr>
              <w:pStyle w:val="11"/>
              <w:spacing w:after="0" w:line="360" w:lineRule="auto"/>
              <w:ind w:left="0" w:leftChars="0"/>
              <w:jc w:val="center"/>
              <w:rPr>
                <w:rFonts w:hAnsi="宋体"/>
                <w:color w:val="auto"/>
                <w:sz w:val="24"/>
                <w:szCs w:val="21"/>
                <w:highlight w:val="none"/>
              </w:rPr>
            </w:pPr>
            <w:r>
              <w:rPr>
                <w:rFonts w:hint="eastAsia" w:hAnsi="宋体"/>
                <w:color w:val="auto"/>
                <w:sz w:val="24"/>
                <w:szCs w:val="21"/>
                <w:highlight w:val="none"/>
              </w:rPr>
              <w:t>评定内容</w:t>
            </w:r>
          </w:p>
        </w:tc>
        <w:tc>
          <w:tcPr>
            <w:tcW w:w="850" w:type="dxa"/>
            <w:vAlign w:val="center"/>
          </w:tcPr>
          <w:p w14:paraId="4297FD93">
            <w:pPr>
              <w:pStyle w:val="11"/>
              <w:spacing w:before="120" w:beforeLines="50" w:afterLines="50" w:line="360" w:lineRule="auto"/>
              <w:ind w:left="0" w:leftChars="0"/>
              <w:rPr>
                <w:rFonts w:hAnsi="宋体"/>
                <w:color w:val="auto"/>
                <w:sz w:val="24"/>
                <w:szCs w:val="21"/>
                <w:highlight w:val="none"/>
              </w:rPr>
            </w:pPr>
            <w:r>
              <w:rPr>
                <w:rFonts w:hint="eastAsia" w:hAnsi="宋体"/>
                <w:color w:val="auto"/>
                <w:sz w:val="24"/>
                <w:szCs w:val="21"/>
                <w:highlight w:val="none"/>
              </w:rPr>
              <w:t>分值范围</w:t>
            </w:r>
          </w:p>
        </w:tc>
      </w:tr>
      <w:tr w14:paraId="0B3E4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357" w:type="dxa"/>
            <w:gridSpan w:val="3"/>
            <w:vAlign w:val="center"/>
          </w:tcPr>
          <w:p w14:paraId="02FC03A2">
            <w:pPr>
              <w:pStyle w:val="11"/>
              <w:spacing w:after="0" w:line="360" w:lineRule="auto"/>
              <w:ind w:left="0" w:leftChars="0"/>
              <w:jc w:val="center"/>
              <w:rPr>
                <w:rFonts w:hAnsi="宋体"/>
                <w:bCs/>
                <w:color w:val="auto"/>
                <w:sz w:val="24"/>
                <w:szCs w:val="24"/>
                <w:highlight w:val="none"/>
              </w:rPr>
            </w:pPr>
            <w:r>
              <w:rPr>
                <w:rFonts w:hint="eastAsia" w:hAnsi="宋体"/>
                <w:bCs/>
                <w:color w:val="auto"/>
                <w:sz w:val="24"/>
                <w:szCs w:val="24"/>
                <w:highlight w:val="none"/>
              </w:rPr>
              <w:t>技术部分</w:t>
            </w:r>
          </w:p>
        </w:tc>
        <w:tc>
          <w:tcPr>
            <w:tcW w:w="850" w:type="dxa"/>
            <w:vAlign w:val="center"/>
          </w:tcPr>
          <w:p w14:paraId="4168CCFC">
            <w:pPr>
              <w:pStyle w:val="11"/>
              <w:spacing w:before="120" w:beforeLines="50" w:afterLines="50" w:line="360" w:lineRule="auto"/>
              <w:ind w:left="0" w:leftChars="0"/>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77分</w:t>
            </w:r>
          </w:p>
        </w:tc>
      </w:tr>
      <w:tr w14:paraId="651C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19" w:type="dxa"/>
            <w:gridSpan w:val="2"/>
            <w:vAlign w:val="center"/>
          </w:tcPr>
          <w:p w14:paraId="754FD747">
            <w:pPr>
              <w:tabs>
                <w:tab w:val="left" w:pos="1080"/>
              </w:tabs>
              <w:spacing w:line="400" w:lineRule="atLeast"/>
              <w:jc w:val="center"/>
              <w:rPr>
                <w:rFonts w:cs="仿宋" w:asciiTheme="majorEastAsia" w:hAnsiTheme="majorEastAsia" w:eastAsiaTheme="majorEastAsia"/>
                <w:b/>
                <w:color w:val="auto"/>
                <w:sz w:val="24"/>
                <w:highlight w:val="none"/>
              </w:rPr>
            </w:pPr>
            <w:bookmarkStart w:id="75" w:name="OLE_LINK52"/>
            <w:bookmarkStart w:id="76" w:name="OLE_LINK55"/>
            <w:bookmarkStart w:id="77" w:name="OLE_LINK51"/>
            <w:r>
              <w:rPr>
                <w:rFonts w:cs="仿宋" w:asciiTheme="majorEastAsia" w:hAnsiTheme="majorEastAsia" w:eastAsiaTheme="majorEastAsia"/>
                <w:bCs/>
                <w:color w:val="auto"/>
                <w:sz w:val="24"/>
                <w:highlight w:val="none"/>
              </w:rPr>
              <w:t>实施方案</w:t>
            </w:r>
            <w:bookmarkEnd w:id="75"/>
            <w:bookmarkEnd w:id="76"/>
            <w:bookmarkEnd w:id="77"/>
          </w:p>
        </w:tc>
        <w:tc>
          <w:tcPr>
            <w:tcW w:w="7938" w:type="dxa"/>
            <w:vAlign w:val="center"/>
          </w:tcPr>
          <w:p w14:paraId="22508450">
            <w:pPr>
              <w:spacing w:line="400" w:lineRule="atLeas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针对本项目的特点提供整体实施方案，包括详细的基本服务实施方案、个性服务实施服务。方案内容是否完整齐全、表述准确、条理清晰，无前后矛盾，符合并满足本项目采购各项需求。按下面服务方案划分，具体如下：</w:t>
            </w:r>
          </w:p>
          <w:p w14:paraId="452CFB0D">
            <w:pPr>
              <w:spacing w:line="400" w:lineRule="atLeas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 xml:space="preserve">一、基础性服务方案（16分）， </w:t>
            </w:r>
          </w:p>
          <w:p w14:paraId="0BEA729C">
            <w:pPr>
              <w:spacing w:line="400" w:lineRule="atLeast"/>
              <w:rPr>
                <w:rFonts w:hAnsi="宋体"/>
                <w:bCs/>
                <w:color w:val="auto"/>
                <w:sz w:val="24"/>
                <w:highlight w:val="none"/>
              </w:rPr>
            </w:pPr>
            <w:r>
              <w:rPr>
                <w:rFonts w:hint="eastAsia" w:cs="仿宋" w:asciiTheme="majorEastAsia" w:hAnsiTheme="majorEastAsia" w:eastAsiaTheme="majorEastAsia"/>
                <w:bCs/>
                <w:color w:val="auto"/>
                <w:sz w:val="24"/>
                <w:highlight w:val="none"/>
              </w:rPr>
              <w:t>1.居家养老服务（照料)中心对辖区内长者信息采集方案：</w:t>
            </w:r>
            <w:bookmarkStart w:id="78" w:name="OLE_LINK84"/>
            <w:bookmarkStart w:id="79" w:name="OLE_LINK46"/>
            <w:bookmarkStart w:id="80" w:name="OLE_LINK85"/>
            <w:r>
              <w:rPr>
                <w:rFonts w:hint="eastAsia" w:cs="仿宋" w:asciiTheme="majorEastAsia" w:hAnsiTheme="majorEastAsia" w:eastAsiaTheme="majorEastAsia"/>
                <w:bCs/>
                <w:color w:val="auto"/>
                <w:sz w:val="24"/>
                <w:highlight w:val="none"/>
              </w:rPr>
              <w:t>方案</w:t>
            </w:r>
            <w:bookmarkEnd w:id="78"/>
            <w:bookmarkEnd w:id="79"/>
            <w:bookmarkEnd w:id="80"/>
            <w:r>
              <w:rPr>
                <w:rFonts w:hint="eastAsia" w:cs="仿宋" w:asciiTheme="majorEastAsia" w:hAnsiTheme="majorEastAsia" w:eastAsiaTheme="majorEastAsia"/>
                <w:bCs/>
                <w:color w:val="auto"/>
                <w:sz w:val="24"/>
                <w:highlight w:val="none"/>
              </w:rPr>
              <w:t>科学合理且可行性高，</w:t>
            </w:r>
            <w:r>
              <w:rPr>
                <w:rFonts w:hint="eastAsia" w:hAnsi="宋体"/>
                <w:bCs/>
                <w:color w:val="auto"/>
                <w:sz w:val="24"/>
                <w:highlight w:val="none"/>
              </w:rPr>
              <w:t>有针对性解释说明：</w:t>
            </w:r>
            <w:bookmarkStart w:id="81" w:name="OLE_LINK21"/>
            <w:bookmarkStart w:id="82" w:name="OLE_LINK22"/>
            <w:r>
              <w:rPr>
                <w:rFonts w:hAnsi="宋体"/>
                <w:bCs/>
                <w:color w:val="auto"/>
                <w:sz w:val="24"/>
                <w:highlight w:val="none"/>
              </w:rPr>
              <w:t>4</w:t>
            </w:r>
            <w:r>
              <w:rPr>
                <w:rFonts w:hint="eastAsia" w:hAnsi="宋体"/>
                <w:bCs/>
                <w:color w:val="auto"/>
                <w:sz w:val="24"/>
                <w:highlight w:val="none"/>
              </w:rPr>
              <w:t>分；提供的方案基本全面，有针对性解释说明：</w:t>
            </w:r>
            <w:r>
              <w:rPr>
                <w:rFonts w:hAnsi="宋体"/>
                <w:bCs/>
                <w:color w:val="auto"/>
                <w:sz w:val="24"/>
                <w:highlight w:val="none"/>
              </w:rPr>
              <w:t>3</w:t>
            </w:r>
            <w:r>
              <w:rPr>
                <w:rFonts w:hint="eastAsia" w:hAnsi="宋体"/>
                <w:bCs/>
                <w:color w:val="auto"/>
                <w:sz w:val="24"/>
                <w:highlight w:val="none"/>
              </w:rPr>
              <w:t>分；提供方案的不全面，有针对性有解释说明</w:t>
            </w:r>
            <w:r>
              <w:rPr>
                <w:rFonts w:hAnsi="宋体"/>
                <w:bCs/>
                <w:color w:val="auto"/>
                <w:sz w:val="24"/>
                <w:highlight w:val="none"/>
              </w:rPr>
              <w:t>2</w:t>
            </w:r>
            <w:r>
              <w:rPr>
                <w:rFonts w:hint="eastAsia" w:hAnsi="宋体"/>
                <w:bCs/>
                <w:color w:val="auto"/>
                <w:sz w:val="24"/>
                <w:highlight w:val="none"/>
              </w:rPr>
              <w:t>分；提供的方案不全面，没有针对性解释说明：</w:t>
            </w:r>
            <w:r>
              <w:rPr>
                <w:rFonts w:hAnsi="宋体"/>
                <w:bCs/>
                <w:color w:val="auto"/>
                <w:sz w:val="24"/>
                <w:highlight w:val="none"/>
              </w:rPr>
              <w:t>1</w:t>
            </w:r>
            <w:r>
              <w:rPr>
                <w:rFonts w:hint="eastAsia" w:hAnsi="宋体"/>
                <w:bCs/>
                <w:color w:val="auto"/>
                <w:sz w:val="24"/>
                <w:highlight w:val="none"/>
              </w:rPr>
              <w:t>分；未提供不得分。</w:t>
            </w:r>
            <w:bookmarkEnd w:id="81"/>
            <w:bookmarkEnd w:id="82"/>
          </w:p>
          <w:p w14:paraId="20C91F59">
            <w:pPr>
              <w:spacing w:line="400" w:lineRule="atLeast"/>
              <w:rPr>
                <w:rFonts w:hAnsi="宋体"/>
                <w:bCs/>
                <w:color w:val="auto"/>
                <w:sz w:val="24"/>
                <w:highlight w:val="none"/>
              </w:rPr>
            </w:pPr>
            <w:r>
              <w:rPr>
                <w:rFonts w:hint="eastAsia" w:hAnsi="宋体"/>
                <w:bCs/>
                <w:color w:val="auto"/>
                <w:sz w:val="24"/>
                <w:highlight w:val="none"/>
              </w:rPr>
              <w:t>2.居家养老</w:t>
            </w:r>
            <w:r>
              <w:rPr>
                <w:rFonts w:hint="eastAsia" w:cs="仿宋" w:asciiTheme="majorEastAsia" w:hAnsiTheme="majorEastAsia" w:eastAsiaTheme="majorEastAsia"/>
                <w:bCs/>
                <w:color w:val="auto"/>
                <w:sz w:val="24"/>
                <w:highlight w:val="none"/>
              </w:rPr>
              <w:t>服务（照料)中心对辖区内长者探访方案：方案科学合理且可行性高，</w:t>
            </w:r>
            <w:r>
              <w:rPr>
                <w:rFonts w:hint="eastAsia" w:hAnsi="宋体"/>
                <w:bCs/>
                <w:color w:val="auto"/>
                <w:sz w:val="24"/>
                <w:highlight w:val="none"/>
              </w:rPr>
              <w:t>有针对性解释说明：</w:t>
            </w:r>
            <w:r>
              <w:rPr>
                <w:rFonts w:hAnsi="宋体"/>
                <w:bCs/>
                <w:color w:val="auto"/>
                <w:sz w:val="24"/>
                <w:highlight w:val="none"/>
              </w:rPr>
              <w:t>4</w:t>
            </w:r>
            <w:r>
              <w:rPr>
                <w:rFonts w:hint="eastAsia" w:hAnsi="宋体"/>
                <w:bCs/>
                <w:color w:val="auto"/>
                <w:sz w:val="24"/>
                <w:highlight w:val="none"/>
              </w:rPr>
              <w:t>分；提供的方案基本全面，有针对性解释说明：</w:t>
            </w:r>
            <w:r>
              <w:rPr>
                <w:rFonts w:hAnsi="宋体"/>
                <w:bCs/>
                <w:color w:val="auto"/>
                <w:sz w:val="24"/>
                <w:highlight w:val="none"/>
              </w:rPr>
              <w:t>3</w:t>
            </w:r>
            <w:r>
              <w:rPr>
                <w:rFonts w:hint="eastAsia" w:hAnsi="宋体"/>
                <w:bCs/>
                <w:color w:val="auto"/>
                <w:sz w:val="24"/>
                <w:highlight w:val="none"/>
              </w:rPr>
              <w:t>分；提供方案的不全面，有针对性有解释说明</w:t>
            </w:r>
            <w:r>
              <w:rPr>
                <w:rFonts w:hAnsi="宋体"/>
                <w:bCs/>
                <w:color w:val="auto"/>
                <w:sz w:val="24"/>
                <w:highlight w:val="none"/>
              </w:rPr>
              <w:t>2</w:t>
            </w:r>
            <w:r>
              <w:rPr>
                <w:rFonts w:hint="eastAsia" w:hAnsi="宋体"/>
                <w:bCs/>
                <w:color w:val="auto"/>
                <w:sz w:val="24"/>
                <w:highlight w:val="none"/>
              </w:rPr>
              <w:t>分；提供的方案不全面，没有针对性解释说明：</w:t>
            </w:r>
            <w:r>
              <w:rPr>
                <w:rFonts w:hAnsi="宋体"/>
                <w:bCs/>
                <w:color w:val="auto"/>
                <w:sz w:val="24"/>
                <w:highlight w:val="none"/>
              </w:rPr>
              <w:t>1</w:t>
            </w:r>
            <w:r>
              <w:rPr>
                <w:rFonts w:hint="eastAsia" w:hAnsi="宋体"/>
                <w:bCs/>
                <w:color w:val="auto"/>
                <w:sz w:val="24"/>
                <w:highlight w:val="none"/>
              </w:rPr>
              <w:t>分；未提供不得分。</w:t>
            </w:r>
          </w:p>
          <w:p w14:paraId="12F02354">
            <w:pPr>
              <w:spacing w:line="400" w:lineRule="atLeast"/>
              <w:rPr>
                <w:rFonts w:hAnsi="宋体"/>
                <w:bCs/>
                <w:color w:val="auto"/>
                <w:sz w:val="24"/>
                <w:highlight w:val="none"/>
              </w:rPr>
            </w:pPr>
            <w:r>
              <w:rPr>
                <w:rFonts w:hint="eastAsia" w:cs="仿宋" w:asciiTheme="majorEastAsia" w:hAnsiTheme="majorEastAsia" w:eastAsiaTheme="majorEastAsia"/>
                <w:bCs/>
                <w:color w:val="auto"/>
                <w:sz w:val="24"/>
                <w:highlight w:val="none"/>
              </w:rPr>
              <w:t>3.居家养老服务（照料)中心日常管理方案：方案科学合理且可行性高，</w:t>
            </w:r>
            <w:r>
              <w:rPr>
                <w:rFonts w:hint="eastAsia" w:hAnsi="宋体"/>
                <w:bCs/>
                <w:color w:val="auto"/>
                <w:sz w:val="24"/>
                <w:highlight w:val="none"/>
              </w:rPr>
              <w:t>有针对性解释说明</w:t>
            </w:r>
            <w:r>
              <w:rPr>
                <w:rFonts w:hAnsi="宋体"/>
                <w:bCs/>
                <w:color w:val="auto"/>
                <w:sz w:val="24"/>
                <w:highlight w:val="none"/>
              </w:rPr>
              <w:t>4</w:t>
            </w:r>
            <w:r>
              <w:rPr>
                <w:rFonts w:hint="eastAsia" w:hAnsi="宋体"/>
                <w:bCs/>
                <w:color w:val="auto"/>
                <w:sz w:val="24"/>
                <w:highlight w:val="none"/>
              </w:rPr>
              <w:t>分；提供的方案基本全面，有针对性解释说明：</w:t>
            </w:r>
            <w:r>
              <w:rPr>
                <w:rFonts w:hAnsi="宋体"/>
                <w:bCs/>
                <w:color w:val="auto"/>
                <w:sz w:val="24"/>
                <w:highlight w:val="none"/>
              </w:rPr>
              <w:t>3</w:t>
            </w:r>
            <w:r>
              <w:rPr>
                <w:rFonts w:hint="eastAsia" w:hAnsi="宋体"/>
                <w:bCs/>
                <w:color w:val="auto"/>
                <w:sz w:val="24"/>
                <w:highlight w:val="none"/>
              </w:rPr>
              <w:t>分；提供方案的不全面，有针对性有解释说明</w:t>
            </w:r>
            <w:r>
              <w:rPr>
                <w:rFonts w:hAnsi="宋体"/>
                <w:bCs/>
                <w:color w:val="auto"/>
                <w:sz w:val="24"/>
                <w:highlight w:val="none"/>
              </w:rPr>
              <w:t>2</w:t>
            </w:r>
            <w:r>
              <w:rPr>
                <w:rFonts w:hint="eastAsia" w:hAnsi="宋体"/>
                <w:bCs/>
                <w:color w:val="auto"/>
                <w:sz w:val="24"/>
                <w:highlight w:val="none"/>
              </w:rPr>
              <w:t>分；提供的方案不全面，没有针对性解释说明：</w:t>
            </w:r>
            <w:r>
              <w:rPr>
                <w:rFonts w:hAnsi="宋体"/>
                <w:bCs/>
                <w:color w:val="auto"/>
                <w:sz w:val="24"/>
                <w:highlight w:val="none"/>
              </w:rPr>
              <w:t>1</w:t>
            </w:r>
            <w:r>
              <w:rPr>
                <w:rFonts w:hint="eastAsia" w:hAnsi="宋体"/>
                <w:bCs/>
                <w:color w:val="auto"/>
                <w:sz w:val="24"/>
                <w:highlight w:val="none"/>
              </w:rPr>
              <w:t>分；未提供不得分。</w:t>
            </w:r>
          </w:p>
          <w:p w14:paraId="3546B15A">
            <w:pPr>
              <w:spacing w:line="400" w:lineRule="atLeast"/>
              <w:rPr>
                <w:rFonts w:hAnsi="宋体"/>
                <w:bCs/>
                <w:color w:val="auto"/>
                <w:sz w:val="24"/>
                <w:highlight w:val="none"/>
              </w:rPr>
            </w:pPr>
            <w:r>
              <w:rPr>
                <w:rFonts w:hint="eastAsia" w:cs="仿宋" w:asciiTheme="majorEastAsia" w:hAnsiTheme="majorEastAsia" w:eastAsiaTheme="majorEastAsia"/>
                <w:bCs/>
                <w:color w:val="auto"/>
                <w:sz w:val="24"/>
                <w:highlight w:val="none"/>
              </w:rPr>
              <w:t>4.居家养老服务（照料)中心社会资源整合方案：方案科学合理且可行性高，</w:t>
            </w:r>
            <w:r>
              <w:rPr>
                <w:rFonts w:hint="eastAsia" w:hAnsi="宋体"/>
                <w:bCs/>
                <w:color w:val="auto"/>
                <w:sz w:val="24"/>
                <w:highlight w:val="none"/>
              </w:rPr>
              <w:t>有针对性解释说明：</w:t>
            </w:r>
            <w:r>
              <w:rPr>
                <w:rFonts w:hAnsi="宋体"/>
                <w:bCs/>
                <w:color w:val="auto"/>
                <w:sz w:val="24"/>
                <w:highlight w:val="none"/>
              </w:rPr>
              <w:t>4</w:t>
            </w:r>
            <w:r>
              <w:rPr>
                <w:rFonts w:hint="eastAsia" w:hAnsi="宋体"/>
                <w:bCs/>
                <w:color w:val="auto"/>
                <w:sz w:val="24"/>
                <w:highlight w:val="none"/>
              </w:rPr>
              <w:t>分；提供的方案基本全面，有针对性解释说明：</w:t>
            </w:r>
            <w:r>
              <w:rPr>
                <w:rFonts w:hAnsi="宋体"/>
                <w:bCs/>
                <w:color w:val="auto"/>
                <w:sz w:val="24"/>
                <w:highlight w:val="none"/>
              </w:rPr>
              <w:t>3</w:t>
            </w:r>
            <w:r>
              <w:rPr>
                <w:rFonts w:hint="eastAsia" w:hAnsi="宋体"/>
                <w:bCs/>
                <w:color w:val="auto"/>
                <w:sz w:val="24"/>
                <w:highlight w:val="none"/>
              </w:rPr>
              <w:t>分；提供方案的不全面，有针对性有解释说明</w:t>
            </w:r>
            <w:r>
              <w:rPr>
                <w:rFonts w:hAnsi="宋体"/>
                <w:bCs/>
                <w:color w:val="auto"/>
                <w:sz w:val="24"/>
                <w:highlight w:val="none"/>
              </w:rPr>
              <w:t>2</w:t>
            </w:r>
            <w:r>
              <w:rPr>
                <w:rFonts w:hint="eastAsia" w:hAnsi="宋体"/>
                <w:bCs/>
                <w:color w:val="auto"/>
                <w:sz w:val="24"/>
                <w:highlight w:val="none"/>
              </w:rPr>
              <w:t>分；提供的方案不全面，没有针对性解释说明：</w:t>
            </w:r>
            <w:r>
              <w:rPr>
                <w:rFonts w:hAnsi="宋体"/>
                <w:bCs/>
                <w:color w:val="auto"/>
                <w:sz w:val="24"/>
                <w:highlight w:val="none"/>
              </w:rPr>
              <w:t>1</w:t>
            </w:r>
            <w:r>
              <w:rPr>
                <w:rFonts w:hint="eastAsia" w:hAnsi="宋体"/>
                <w:bCs/>
                <w:color w:val="auto"/>
                <w:sz w:val="24"/>
                <w:highlight w:val="none"/>
              </w:rPr>
              <w:t>分；未提供不得分。</w:t>
            </w:r>
          </w:p>
          <w:p w14:paraId="7E89D34C">
            <w:pPr>
              <w:spacing w:line="400" w:lineRule="atLeas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二、个性服务方案（12分）；</w:t>
            </w:r>
          </w:p>
          <w:p w14:paraId="2C497114">
            <w:pPr>
              <w:spacing w:line="400" w:lineRule="atLeast"/>
              <w:rPr>
                <w:rFonts w:hAnsi="宋体"/>
                <w:bCs/>
                <w:color w:val="auto"/>
                <w:sz w:val="24"/>
                <w:highlight w:val="none"/>
              </w:rPr>
            </w:pPr>
            <w:r>
              <w:rPr>
                <w:rFonts w:hint="eastAsia" w:cs="仿宋" w:asciiTheme="majorEastAsia" w:hAnsiTheme="majorEastAsia" w:eastAsiaTheme="majorEastAsia"/>
                <w:bCs/>
                <w:color w:val="auto"/>
                <w:sz w:val="24"/>
                <w:highlight w:val="none"/>
              </w:rPr>
              <w:t>（1）上门服务人员配置方案：方案科学合理且可行性高，</w:t>
            </w:r>
            <w:r>
              <w:rPr>
                <w:rFonts w:hint="eastAsia" w:hAnsi="宋体"/>
                <w:bCs/>
                <w:color w:val="auto"/>
                <w:sz w:val="24"/>
                <w:highlight w:val="none"/>
              </w:rPr>
              <w:t>有针对性解释说明：</w:t>
            </w:r>
            <w:r>
              <w:rPr>
                <w:rFonts w:hAnsi="宋体"/>
                <w:bCs/>
                <w:color w:val="auto"/>
                <w:sz w:val="24"/>
                <w:highlight w:val="none"/>
              </w:rPr>
              <w:t>3</w:t>
            </w:r>
            <w:r>
              <w:rPr>
                <w:rFonts w:hint="eastAsia" w:hAnsi="宋体"/>
                <w:bCs/>
                <w:color w:val="auto"/>
                <w:sz w:val="24"/>
                <w:highlight w:val="none"/>
              </w:rPr>
              <w:t>分；提供的方案基本全面，有针对性解释说明：</w:t>
            </w:r>
            <w:r>
              <w:rPr>
                <w:rFonts w:hAnsi="宋体"/>
                <w:bCs/>
                <w:color w:val="auto"/>
                <w:sz w:val="24"/>
                <w:highlight w:val="none"/>
              </w:rPr>
              <w:t>2.5</w:t>
            </w:r>
            <w:r>
              <w:rPr>
                <w:rFonts w:hint="eastAsia" w:hAnsi="宋体"/>
                <w:bCs/>
                <w:color w:val="auto"/>
                <w:sz w:val="24"/>
                <w:highlight w:val="none"/>
              </w:rPr>
              <w:t>分；提供方案的不够全面，有针对性有解释说明</w:t>
            </w:r>
            <w:r>
              <w:rPr>
                <w:rFonts w:hAnsi="宋体"/>
                <w:bCs/>
                <w:color w:val="auto"/>
                <w:sz w:val="24"/>
                <w:highlight w:val="none"/>
              </w:rPr>
              <w:t>2</w:t>
            </w:r>
            <w:r>
              <w:rPr>
                <w:rFonts w:hint="eastAsia" w:hAnsi="宋体"/>
                <w:bCs/>
                <w:color w:val="auto"/>
                <w:sz w:val="24"/>
                <w:highlight w:val="none"/>
              </w:rPr>
              <w:t>分；提供的方案不全面，有针对性解释说明：</w:t>
            </w:r>
            <w:r>
              <w:rPr>
                <w:rFonts w:hAnsi="宋体"/>
                <w:bCs/>
                <w:color w:val="auto"/>
                <w:sz w:val="24"/>
                <w:highlight w:val="none"/>
              </w:rPr>
              <w:t>1.5</w:t>
            </w:r>
            <w:r>
              <w:rPr>
                <w:rFonts w:hint="eastAsia" w:hAnsi="宋体"/>
                <w:bCs/>
                <w:color w:val="auto"/>
                <w:sz w:val="24"/>
                <w:highlight w:val="none"/>
              </w:rPr>
              <w:t>分；提供的方案不全面，没有针对性有解释说明：</w:t>
            </w:r>
            <w:r>
              <w:rPr>
                <w:rFonts w:hAnsi="宋体"/>
                <w:bCs/>
                <w:color w:val="auto"/>
                <w:sz w:val="24"/>
                <w:highlight w:val="none"/>
              </w:rPr>
              <w:t>1</w:t>
            </w:r>
            <w:r>
              <w:rPr>
                <w:rFonts w:hint="eastAsia" w:hAnsi="宋体"/>
                <w:bCs/>
                <w:color w:val="auto"/>
                <w:sz w:val="24"/>
                <w:highlight w:val="none"/>
              </w:rPr>
              <w:t>分；未提供不得分。</w:t>
            </w:r>
          </w:p>
          <w:p w14:paraId="1C7FD08A">
            <w:pPr>
              <w:spacing w:line="400" w:lineRule="atLeast"/>
              <w:rPr>
                <w:rFonts w:hAnsi="宋体"/>
                <w:bCs/>
                <w:color w:val="auto"/>
                <w:sz w:val="24"/>
                <w:highlight w:val="none"/>
              </w:rPr>
            </w:pPr>
            <w:r>
              <w:rPr>
                <w:rFonts w:hint="eastAsia" w:cs="仿宋" w:asciiTheme="majorEastAsia" w:hAnsiTheme="majorEastAsia" w:eastAsiaTheme="majorEastAsia"/>
                <w:bCs/>
                <w:color w:val="auto"/>
                <w:sz w:val="24"/>
                <w:highlight w:val="none"/>
              </w:rPr>
              <w:t>（2）个性化服务清单设置方案：方案科学合理且可行性高，</w:t>
            </w:r>
            <w:r>
              <w:rPr>
                <w:rFonts w:hint="eastAsia" w:hAnsi="宋体"/>
                <w:bCs/>
                <w:color w:val="auto"/>
                <w:sz w:val="24"/>
                <w:highlight w:val="none"/>
              </w:rPr>
              <w:t>有针对性解释说明：</w:t>
            </w:r>
            <w:bookmarkStart w:id="83" w:name="OLE_LINK36"/>
            <w:bookmarkStart w:id="84" w:name="OLE_LINK35"/>
            <w:r>
              <w:rPr>
                <w:rFonts w:hAnsi="宋体"/>
                <w:bCs/>
                <w:color w:val="auto"/>
                <w:sz w:val="24"/>
                <w:highlight w:val="none"/>
              </w:rPr>
              <w:t>3</w:t>
            </w:r>
            <w:r>
              <w:rPr>
                <w:rFonts w:hint="eastAsia" w:hAnsi="宋体"/>
                <w:bCs/>
                <w:color w:val="auto"/>
                <w:sz w:val="24"/>
                <w:highlight w:val="none"/>
              </w:rPr>
              <w:t>分；提供的方案基本全面，有针对性解释说明：</w:t>
            </w:r>
            <w:r>
              <w:rPr>
                <w:rFonts w:hAnsi="宋体"/>
                <w:bCs/>
                <w:color w:val="auto"/>
                <w:sz w:val="24"/>
                <w:highlight w:val="none"/>
              </w:rPr>
              <w:t>2.5</w:t>
            </w:r>
            <w:r>
              <w:rPr>
                <w:rFonts w:hint="eastAsia" w:hAnsi="宋体"/>
                <w:bCs/>
                <w:color w:val="auto"/>
                <w:sz w:val="24"/>
                <w:highlight w:val="none"/>
              </w:rPr>
              <w:t>分；提供方案的不够全面，有针对性有解释说明</w:t>
            </w:r>
            <w:r>
              <w:rPr>
                <w:rFonts w:hAnsi="宋体"/>
                <w:bCs/>
                <w:color w:val="auto"/>
                <w:sz w:val="24"/>
                <w:highlight w:val="none"/>
              </w:rPr>
              <w:t>2</w:t>
            </w:r>
            <w:r>
              <w:rPr>
                <w:rFonts w:hint="eastAsia" w:hAnsi="宋体"/>
                <w:bCs/>
                <w:color w:val="auto"/>
                <w:sz w:val="24"/>
                <w:highlight w:val="none"/>
              </w:rPr>
              <w:t>分；提供的方案不全面，有针对性解释说明：</w:t>
            </w:r>
            <w:r>
              <w:rPr>
                <w:rFonts w:hAnsi="宋体"/>
                <w:bCs/>
                <w:color w:val="auto"/>
                <w:sz w:val="24"/>
                <w:highlight w:val="none"/>
              </w:rPr>
              <w:t>1.5</w:t>
            </w:r>
            <w:r>
              <w:rPr>
                <w:rFonts w:hint="eastAsia" w:hAnsi="宋体"/>
                <w:bCs/>
                <w:color w:val="auto"/>
                <w:sz w:val="24"/>
                <w:highlight w:val="none"/>
              </w:rPr>
              <w:t>分；提供的方案不全面，没有针对性有解释说明：</w:t>
            </w:r>
            <w:r>
              <w:rPr>
                <w:rFonts w:hAnsi="宋体"/>
                <w:bCs/>
                <w:color w:val="auto"/>
                <w:sz w:val="24"/>
                <w:highlight w:val="none"/>
              </w:rPr>
              <w:t>1</w:t>
            </w:r>
            <w:r>
              <w:rPr>
                <w:rFonts w:hint="eastAsia" w:hAnsi="宋体"/>
                <w:bCs/>
                <w:color w:val="auto"/>
                <w:sz w:val="24"/>
                <w:highlight w:val="none"/>
              </w:rPr>
              <w:t>分；未提供不得分。</w:t>
            </w:r>
          </w:p>
          <w:bookmarkEnd w:id="83"/>
          <w:bookmarkEnd w:id="84"/>
          <w:p w14:paraId="0D5F7DDF">
            <w:pPr>
              <w:spacing w:line="400" w:lineRule="atLeast"/>
              <w:rPr>
                <w:rFonts w:hAnsi="宋体"/>
                <w:bCs/>
                <w:color w:val="auto"/>
                <w:sz w:val="24"/>
                <w:highlight w:val="none"/>
              </w:rPr>
            </w:pPr>
            <w:r>
              <w:rPr>
                <w:rFonts w:hint="eastAsia" w:cs="仿宋" w:asciiTheme="majorEastAsia" w:hAnsiTheme="majorEastAsia" w:eastAsiaTheme="majorEastAsia"/>
                <w:bCs/>
                <w:color w:val="auto"/>
                <w:sz w:val="24"/>
                <w:highlight w:val="none"/>
              </w:rPr>
              <w:t>（3）个性化服务应急预案：方案科学合理且可行性高，</w:t>
            </w:r>
            <w:r>
              <w:rPr>
                <w:rFonts w:hint="eastAsia" w:hAnsi="宋体"/>
                <w:bCs/>
                <w:color w:val="auto"/>
                <w:sz w:val="24"/>
                <w:highlight w:val="none"/>
              </w:rPr>
              <w:t>有针对性解释说明：</w:t>
            </w:r>
            <w:r>
              <w:rPr>
                <w:rFonts w:hAnsi="宋体"/>
                <w:bCs/>
                <w:color w:val="auto"/>
                <w:sz w:val="24"/>
                <w:highlight w:val="none"/>
              </w:rPr>
              <w:t>3</w:t>
            </w:r>
            <w:r>
              <w:rPr>
                <w:rFonts w:hint="eastAsia" w:hAnsi="宋体"/>
                <w:bCs/>
                <w:color w:val="auto"/>
                <w:sz w:val="24"/>
                <w:highlight w:val="none"/>
              </w:rPr>
              <w:t>分；提供的方案基本全面，有针对性解释说明：</w:t>
            </w:r>
            <w:r>
              <w:rPr>
                <w:rFonts w:hAnsi="宋体"/>
                <w:bCs/>
                <w:color w:val="auto"/>
                <w:sz w:val="24"/>
                <w:highlight w:val="none"/>
              </w:rPr>
              <w:t>2.5</w:t>
            </w:r>
            <w:r>
              <w:rPr>
                <w:rFonts w:hint="eastAsia" w:hAnsi="宋体"/>
                <w:bCs/>
                <w:color w:val="auto"/>
                <w:sz w:val="24"/>
                <w:highlight w:val="none"/>
              </w:rPr>
              <w:t>分；提供方案的不够全面，有针对性有解释说明</w:t>
            </w:r>
            <w:r>
              <w:rPr>
                <w:rFonts w:hAnsi="宋体"/>
                <w:bCs/>
                <w:color w:val="auto"/>
                <w:sz w:val="24"/>
                <w:highlight w:val="none"/>
              </w:rPr>
              <w:t>2</w:t>
            </w:r>
            <w:r>
              <w:rPr>
                <w:rFonts w:hint="eastAsia" w:hAnsi="宋体"/>
                <w:bCs/>
                <w:color w:val="auto"/>
                <w:sz w:val="24"/>
                <w:highlight w:val="none"/>
              </w:rPr>
              <w:t>分；提供的方案不全面，有针对性解释说明：</w:t>
            </w:r>
            <w:r>
              <w:rPr>
                <w:rFonts w:hAnsi="宋体"/>
                <w:bCs/>
                <w:color w:val="auto"/>
                <w:sz w:val="24"/>
                <w:highlight w:val="none"/>
              </w:rPr>
              <w:t>1.5</w:t>
            </w:r>
            <w:r>
              <w:rPr>
                <w:rFonts w:hint="eastAsia" w:hAnsi="宋体"/>
                <w:bCs/>
                <w:color w:val="auto"/>
                <w:sz w:val="24"/>
                <w:highlight w:val="none"/>
              </w:rPr>
              <w:t>分；提供的方案不全面，没有针对性有解释说明：</w:t>
            </w:r>
            <w:r>
              <w:rPr>
                <w:rFonts w:hAnsi="宋体"/>
                <w:bCs/>
                <w:color w:val="auto"/>
                <w:sz w:val="24"/>
                <w:highlight w:val="none"/>
              </w:rPr>
              <w:t>1</w:t>
            </w:r>
            <w:r>
              <w:rPr>
                <w:rFonts w:hint="eastAsia" w:hAnsi="宋体"/>
                <w:bCs/>
                <w:color w:val="auto"/>
                <w:sz w:val="24"/>
                <w:highlight w:val="none"/>
              </w:rPr>
              <w:t>分；未提供不得分。</w:t>
            </w:r>
          </w:p>
          <w:p w14:paraId="0D0DFA1A">
            <w:pPr>
              <w:spacing w:line="400" w:lineRule="atLeast"/>
              <w:rPr>
                <w:rFonts w:hAnsi="宋体"/>
                <w:bCs/>
                <w:color w:val="auto"/>
                <w:sz w:val="24"/>
                <w:highlight w:val="none"/>
              </w:rPr>
            </w:pPr>
            <w:r>
              <w:rPr>
                <w:rFonts w:hint="eastAsia" w:cs="仿宋" w:asciiTheme="majorEastAsia" w:hAnsiTheme="majorEastAsia" w:eastAsiaTheme="majorEastAsia"/>
                <w:bCs/>
                <w:color w:val="auto"/>
                <w:sz w:val="24"/>
                <w:highlight w:val="none"/>
              </w:rPr>
              <w:t>（4）个性服务内容社会资源链接方案：方案科学合理且可行性高，</w:t>
            </w:r>
            <w:r>
              <w:rPr>
                <w:rFonts w:hint="eastAsia" w:hAnsi="宋体"/>
                <w:bCs/>
                <w:color w:val="auto"/>
                <w:sz w:val="24"/>
                <w:highlight w:val="none"/>
              </w:rPr>
              <w:t>有针对性解释说明：</w:t>
            </w:r>
            <w:bookmarkStart w:id="85" w:name="OLE_LINK38"/>
            <w:bookmarkStart w:id="86" w:name="OLE_LINK37"/>
            <w:r>
              <w:rPr>
                <w:rFonts w:hAnsi="宋体"/>
                <w:bCs/>
                <w:color w:val="auto"/>
                <w:sz w:val="24"/>
                <w:highlight w:val="none"/>
              </w:rPr>
              <w:t>3</w:t>
            </w:r>
            <w:r>
              <w:rPr>
                <w:rFonts w:hint="eastAsia" w:hAnsi="宋体"/>
                <w:bCs/>
                <w:color w:val="auto"/>
                <w:sz w:val="24"/>
                <w:highlight w:val="none"/>
              </w:rPr>
              <w:t>分；提供的方案基本全面，有针对性解释说明：</w:t>
            </w:r>
            <w:r>
              <w:rPr>
                <w:rFonts w:hAnsi="宋体"/>
                <w:bCs/>
                <w:color w:val="auto"/>
                <w:sz w:val="24"/>
                <w:highlight w:val="none"/>
              </w:rPr>
              <w:t>2.5</w:t>
            </w:r>
            <w:r>
              <w:rPr>
                <w:rFonts w:hint="eastAsia" w:hAnsi="宋体"/>
                <w:bCs/>
                <w:color w:val="auto"/>
                <w:sz w:val="24"/>
                <w:highlight w:val="none"/>
              </w:rPr>
              <w:t>分；提供方案的不够全面，有针对性有解释说明</w:t>
            </w:r>
            <w:r>
              <w:rPr>
                <w:rFonts w:hAnsi="宋体"/>
                <w:bCs/>
                <w:color w:val="auto"/>
                <w:sz w:val="24"/>
                <w:highlight w:val="none"/>
              </w:rPr>
              <w:t>2</w:t>
            </w:r>
            <w:r>
              <w:rPr>
                <w:rFonts w:hint="eastAsia" w:hAnsi="宋体"/>
                <w:bCs/>
                <w:color w:val="auto"/>
                <w:sz w:val="24"/>
                <w:highlight w:val="none"/>
              </w:rPr>
              <w:t>分；提供的方案不全面，有针对性解释说明：</w:t>
            </w:r>
            <w:r>
              <w:rPr>
                <w:rFonts w:hAnsi="宋体"/>
                <w:bCs/>
                <w:color w:val="auto"/>
                <w:sz w:val="24"/>
                <w:highlight w:val="none"/>
              </w:rPr>
              <w:t>1.5</w:t>
            </w:r>
            <w:r>
              <w:rPr>
                <w:rFonts w:hint="eastAsia" w:hAnsi="宋体"/>
                <w:bCs/>
                <w:color w:val="auto"/>
                <w:sz w:val="24"/>
                <w:highlight w:val="none"/>
              </w:rPr>
              <w:t>分；提供的方案不全面，没有针对性有解释说明：</w:t>
            </w:r>
            <w:r>
              <w:rPr>
                <w:rFonts w:hAnsi="宋体"/>
                <w:bCs/>
                <w:color w:val="auto"/>
                <w:sz w:val="24"/>
                <w:highlight w:val="none"/>
              </w:rPr>
              <w:t>1</w:t>
            </w:r>
            <w:r>
              <w:rPr>
                <w:rFonts w:hint="eastAsia" w:hAnsi="宋体"/>
                <w:bCs/>
                <w:color w:val="auto"/>
                <w:sz w:val="24"/>
                <w:highlight w:val="none"/>
              </w:rPr>
              <w:t>分；未提供不得分。</w:t>
            </w:r>
            <w:bookmarkEnd w:id="85"/>
            <w:bookmarkEnd w:id="86"/>
          </w:p>
        </w:tc>
        <w:tc>
          <w:tcPr>
            <w:tcW w:w="850" w:type="dxa"/>
            <w:vAlign w:val="center"/>
          </w:tcPr>
          <w:p w14:paraId="1C708C42">
            <w:pPr>
              <w:pStyle w:val="6"/>
              <w:rPr>
                <w:rFonts w:ascii="宋体" w:hAnsi="宋体" w:cs="宋体" w:eastAsiaTheme="minorEastAsia"/>
                <w:b w:val="0"/>
                <w:color w:val="auto"/>
                <w:kern w:val="2"/>
                <w:sz w:val="24"/>
                <w:szCs w:val="20"/>
                <w:highlight w:val="none"/>
              </w:rPr>
            </w:pPr>
            <w:r>
              <w:rPr>
                <w:rFonts w:hint="eastAsia" w:ascii="宋体" w:hAnsi="宋体" w:cs="宋体" w:eastAsiaTheme="minorEastAsia"/>
                <w:b w:val="0"/>
                <w:color w:val="auto"/>
                <w:kern w:val="2"/>
                <w:sz w:val="24"/>
                <w:szCs w:val="20"/>
                <w:highlight w:val="none"/>
              </w:rPr>
              <w:t>28分</w:t>
            </w:r>
          </w:p>
        </w:tc>
      </w:tr>
      <w:tr w14:paraId="773BE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1419" w:type="dxa"/>
            <w:gridSpan w:val="2"/>
            <w:vAlign w:val="center"/>
          </w:tcPr>
          <w:p w14:paraId="3C3A6A99">
            <w:pPr>
              <w:pStyle w:val="11"/>
              <w:spacing w:before="120" w:beforeLines="50" w:afterLines="50" w:line="360" w:lineRule="auto"/>
              <w:ind w:left="0" w:leftChars="0"/>
              <w:jc w:val="left"/>
              <w:rPr>
                <w:rFonts w:hAnsi="宋体"/>
                <w:bCs/>
                <w:color w:val="auto"/>
                <w:sz w:val="24"/>
                <w:szCs w:val="24"/>
                <w:highlight w:val="none"/>
              </w:rPr>
            </w:pPr>
            <w:r>
              <w:rPr>
                <w:rFonts w:hAnsi="宋体"/>
                <w:bCs/>
                <w:color w:val="auto"/>
                <w:sz w:val="24"/>
                <w:szCs w:val="24"/>
                <w:highlight w:val="none"/>
              </w:rPr>
              <w:t>服务方案</w:t>
            </w:r>
          </w:p>
        </w:tc>
        <w:tc>
          <w:tcPr>
            <w:tcW w:w="7938" w:type="dxa"/>
          </w:tcPr>
          <w:p w14:paraId="61EDE20C">
            <w:pPr>
              <w:spacing w:line="400" w:lineRule="atLeast"/>
              <w:rPr>
                <w:rFonts w:hAnsi="宋体"/>
                <w:bCs/>
                <w:color w:val="auto"/>
                <w:sz w:val="24"/>
                <w:highlight w:val="none"/>
              </w:rPr>
            </w:pPr>
            <w:r>
              <w:rPr>
                <w:rFonts w:hint="eastAsia" w:cs="仿宋" w:asciiTheme="majorEastAsia" w:hAnsiTheme="majorEastAsia" w:eastAsiaTheme="majorEastAsia"/>
                <w:bCs/>
                <w:color w:val="auto"/>
                <w:sz w:val="24"/>
                <w:highlight w:val="none"/>
              </w:rPr>
              <w:t>针对本项目的特点制定与本地老人方言和习俗沟通交流方案、针对不同类型的老人（重度残疾人、高龄、失能（半失能）或重病老人等）实际情况合理制定适合的服务方案：方案内容完整齐全、表述准确、条理清晰，无前后矛盾，符合并满足本项目采购各项需求，详细合理且可行性高</w:t>
            </w:r>
            <w:bookmarkStart w:id="87" w:name="OLE_LINK73"/>
            <w:r>
              <w:rPr>
                <w:rFonts w:hint="eastAsia" w:cs="仿宋" w:asciiTheme="majorEastAsia" w:hAnsiTheme="majorEastAsia" w:eastAsiaTheme="majorEastAsia"/>
                <w:bCs/>
                <w:color w:val="auto"/>
                <w:sz w:val="24"/>
                <w:highlight w:val="none"/>
              </w:rPr>
              <w:t>，</w:t>
            </w:r>
            <w:r>
              <w:rPr>
                <w:rFonts w:hint="eastAsia" w:hAnsi="宋体"/>
                <w:bCs/>
                <w:color w:val="auto"/>
                <w:sz w:val="24"/>
                <w:highlight w:val="none"/>
              </w:rPr>
              <w:t>有针对性解释说明：</w:t>
            </w:r>
            <w:r>
              <w:rPr>
                <w:rFonts w:hAnsi="宋体"/>
                <w:bCs/>
                <w:color w:val="auto"/>
                <w:kern w:val="0"/>
                <w:sz w:val="24"/>
                <w:highlight w:val="none"/>
              </w:rPr>
              <w:t>4</w:t>
            </w:r>
            <w:r>
              <w:rPr>
                <w:rFonts w:hint="eastAsia" w:hAnsi="宋体"/>
                <w:bCs/>
                <w:color w:val="auto"/>
                <w:kern w:val="0"/>
                <w:sz w:val="24"/>
                <w:highlight w:val="none"/>
              </w:rPr>
              <w:t>分；提供的方案基本全面，有针对性解释说明：</w:t>
            </w:r>
            <w:r>
              <w:rPr>
                <w:rFonts w:hAnsi="宋体"/>
                <w:bCs/>
                <w:color w:val="auto"/>
                <w:kern w:val="0"/>
                <w:sz w:val="24"/>
                <w:highlight w:val="none"/>
              </w:rPr>
              <w:t>3</w:t>
            </w:r>
            <w:r>
              <w:rPr>
                <w:rFonts w:hint="eastAsia" w:hAnsi="宋体"/>
                <w:bCs/>
                <w:color w:val="auto"/>
                <w:kern w:val="0"/>
                <w:sz w:val="24"/>
                <w:highlight w:val="none"/>
              </w:rPr>
              <w:t>分；提供方案的不全面，有针对性有解释说明</w:t>
            </w:r>
            <w:r>
              <w:rPr>
                <w:rFonts w:hAnsi="宋体"/>
                <w:bCs/>
                <w:color w:val="auto"/>
                <w:kern w:val="0"/>
                <w:sz w:val="24"/>
                <w:highlight w:val="none"/>
              </w:rPr>
              <w:t>2</w:t>
            </w:r>
            <w:r>
              <w:rPr>
                <w:rFonts w:hint="eastAsia" w:hAnsi="宋体"/>
                <w:bCs/>
                <w:color w:val="auto"/>
                <w:kern w:val="0"/>
                <w:sz w:val="24"/>
                <w:highlight w:val="none"/>
              </w:rPr>
              <w:t>分；提供的方案不全面，没有针对性解释说明：</w:t>
            </w:r>
            <w:r>
              <w:rPr>
                <w:rFonts w:hAnsi="宋体"/>
                <w:bCs/>
                <w:color w:val="auto"/>
                <w:kern w:val="0"/>
                <w:sz w:val="24"/>
                <w:highlight w:val="none"/>
              </w:rPr>
              <w:t>1</w:t>
            </w:r>
            <w:r>
              <w:rPr>
                <w:rFonts w:hint="eastAsia" w:hAnsi="宋体"/>
                <w:bCs/>
                <w:color w:val="auto"/>
                <w:kern w:val="0"/>
                <w:sz w:val="24"/>
                <w:highlight w:val="none"/>
              </w:rPr>
              <w:t>分；未提供不得分。</w:t>
            </w:r>
            <w:bookmarkEnd w:id="87"/>
          </w:p>
        </w:tc>
        <w:tc>
          <w:tcPr>
            <w:tcW w:w="850" w:type="dxa"/>
            <w:vAlign w:val="center"/>
          </w:tcPr>
          <w:p w14:paraId="026BE412">
            <w:pPr>
              <w:pStyle w:val="11"/>
              <w:spacing w:before="120" w:beforeLines="50" w:afterLines="50" w:line="360" w:lineRule="auto"/>
              <w:ind w:left="0" w:leftChars="0"/>
              <w:jc w:val="left"/>
              <w:rPr>
                <w:rFonts w:ascii="新宋体" w:hAnsi="新宋体" w:eastAsia="新宋体" w:cs="新宋体"/>
                <w:color w:val="auto"/>
                <w:sz w:val="24"/>
                <w:highlight w:val="none"/>
              </w:rPr>
            </w:pPr>
            <w:r>
              <w:rPr>
                <w:rFonts w:hint="eastAsia" w:cs="仿宋" w:asciiTheme="majorEastAsia" w:hAnsiTheme="majorEastAsia" w:eastAsiaTheme="majorEastAsia"/>
                <w:color w:val="auto"/>
                <w:sz w:val="24"/>
                <w:szCs w:val="24"/>
                <w:highlight w:val="none"/>
              </w:rPr>
              <w:t>4分</w:t>
            </w:r>
          </w:p>
        </w:tc>
      </w:tr>
      <w:tr w14:paraId="0B44F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19" w:type="dxa"/>
            <w:gridSpan w:val="2"/>
            <w:vAlign w:val="center"/>
          </w:tcPr>
          <w:p w14:paraId="66A858B3">
            <w:pPr>
              <w:pStyle w:val="11"/>
              <w:spacing w:before="120" w:beforeLines="50" w:afterLines="50" w:line="360" w:lineRule="auto"/>
              <w:ind w:left="0" w:leftChars="0"/>
              <w:jc w:val="left"/>
              <w:rPr>
                <w:rFonts w:hAnsi="宋体"/>
                <w:bCs/>
                <w:color w:val="auto"/>
                <w:sz w:val="24"/>
                <w:szCs w:val="24"/>
                <w:highlight w:val="none"/>
              </w:rPr>
            </w:pPr>
            <w:r>
              <w:rPr>
                <w:rFonts w:hAnsi="宋体"/>
                <w:bCs/>
                <w:color w:val="auto"/>
                <w:sz w:val="24"/>
                <w:szCs w:val="24"/>
                <w:highlight w:val="none"/>
              </w:rPr>
              <w:t>配合协调方案</w:t>
            </w:r>
          </w:p>
        </w:tc>
        <w:tc>
          <w:tcPr>
            <w:tcW w:w="7938" w:type="dxa"/>
            <w:vAlign w:val="center"/>
          </w:tcPr>
          <w:p w14:paraId="1CDD4FD0">
            <w:pPr>
              <w:spacing w:line="400" w:lineRule="atLeast"/>
              <w:rPr>
                <w:rFonts w:hAnsi="宋体"/>
                <w:bCs/>
                <w:color w:val="auto"/>
                <w:sz w:val="24"/>
                <w:highlight w:val="none"/>
              </w:rPr>
            </w:pPr>
            <w:bookmarkStart w:id="88" w:name="OLE_LINK70"/>
            <w:bookmarkStart w:id="89" w:name="OLE_LINK65"/>
            <w:r>
              <w:rPr>
                <w:rFonts w:hint="eastAsia" w:cs="仿宋" w:asciiTheme="majorEastAsia" w:hAnsiTheme="majorEastAsia" w:eastAsiaTheme="majorEastAsia"/>
                <w:bCs/>
                <w:color w:val="auto"/>
                <w:sz w:val="24"/>
                <w:highlight w:val="none"/>
              </w:rPr>
              <w:t>针对本项目的特点</w:t>
            </w:r>
            <w:bookmarkEnd w:id="88"/>
            <w:bookmarkEnd w:id="89"/>
            <w:r>
              <w:rPr>
                <w:rFonts w:hint="eastAsia" w:cs="仿宋" w:asciiTheme="majorEastAsia" w:hAnsiTheme="majorEastAsia" w:eastAsiaTheme="majorEastAsia"/>
                <w:bCs/>
                <w:color w:val="auto"/>
                <w:sz w:val="24"/>
                <w:highlight w:val="none"/>
              </w:rPr>
              <w:t>制定与民政部门、镇街、村社沟通协调方案、与居家养老服务（照料）中心监管方协调沟通方案的：方案内容完整齐全、表述准确、条理清晰，无前后矛盾，符合并满足本项目采购各项需求，详细合理且可行性高，</w:t>
            </w:r>
            <w:bookmarkStart w:id="90" w:name="OLE_LINK77"/>
            <w:bookmarkStart w:id="91" w:name="OLE_LINK76"/>
            <w:r>
              <w:rPr>
                <w:rFonts w:hint="eastAsia" w:hAnsi="宋体"/>
                <w:bCs/>
                <w:color w:val="auto"/>
                <w:sz w:val="24"/>
                <w:highlight w:val="none"/>
              </w:rPr>
              <w:t>有针对性解释说明：</w:t>
            </w:r>
            <w:r>
              <w:rPr>
                <w:rFonts w:hAnsi="宋体"/>
                <w:bCs/>
                <w:color w:val="auto"/>
                <w:kern w:val="0"/>
                <w:sz w:val="24"/>
                <w:highlight w:val="none"/>
              </w:rPr>
              <w:t>4</w:t>
            </w:r>
            <w:r>
              <w:rPr>
                <w:rFonts w:hint="eastAsia" w:hAnsi="宋体"/>
                <w:bCs/>
                <w:color w:val="auto"/>
                <w:kern w:val="0"/>
                <w:sz w:val="24"/>
                <w:highlight w:val="none"/>
              </w:rPr>
              <w:t>分；提供的方案基本全面，有针对性解释说明：</w:t>
            </w:r>
            <w:r>
              <w:rPr>
                <w:rFonts w:hAnsi="宋体"/>
                <w:bCs/>
                <w:color w:val="auto"/>
                <w:kern w:val="0"/>
                <w:sz w:val="24"/>
                <w:highlight w:val="none"/>
              </w:rPr>
              <w:t>3</w:t>
            </w:r>
            <w:r>
              <w:rPr>
                <w:rFonts w:hint="eastAsia" w:hAnsi="宋体"/>
                <w:bCs/>
                <w:color w:val="auto"/>
                <w:kern w:val="0"/>
                <w:sz w:val="24"/>
                <w:highlight w:val="none"/>
              </w:rPr>
              <w:t>分；提供方案的不全面，有针对性有解释说明</w:t>
            </w:r>
            <w:r>
              <w:rPr>
                <w:rFonts w:hAnsi="宋体"/>
                <w:bCs/>
                <w:color w:val="auto"/>
                <w:kern w:val="0"/>
                <w:sz w:val="24"/>
                <w:highlight w:val="none"/>
              </w:rPr>
              <w:t>2</w:t>
            </w:r>
            <w:r>
              <w:rPr>
                <w:rFonts w:hint="eastAsia" w:hAnsi="宋体"/>
                <w:bCs/>
                <w:color w:val="auto"/>
                <w:kern w:val="0"/>
                <w:sz w:val="24"/>
                <w:highlight w:val="none"/>
              </w:rPr>
              <w:t>分；提供的方案不全面，没有针对性解释说明：</w:t>
            </w:r>
            <w:r>
              <w:rPr>
                <w:rFonts w:hAnsi="宋体"/>
                <w:bCs/>
                <w:color w:val="auto"/>
                <w:kern w:val="0"/>
                <w:sz w:val="24"/>
                <w:highlight w:val="none"/>
              </w:rPr>
              <w:t>1</w:t>
            </w:r>
            <w:r>
              <w:rPr>
                <w:rFonts w:hint="eastAsia" w:hAnsi="宋体"/>
                <w:bCs/>
                <w:color w:val="auto"/>
                <w:kern w:val="0"/>
                <w:sz w:val="24"/>
                <w:highlight w:val="none"/>
              </w:rPr>
              <w:t>分；未提供不得分。</w:t>
            </w:r>
            <w:bookmarkEnd w:id="90"/>
            <w:bookmarkEnd w:id="91"/>
          </w:p>
        </w:tc>
        <w:tc>
          <w:tcPr>
            <w:tcW w:w="850" w:type="dxa"/>
            <w:vAlign w:val="center"/>
          </w:tcPr>
          <w:p w14:paraId="655EFD84">
            <w:pPr>
              <w:pStyle w:val="13"/>
              <w:spacing w:before="120" w:after="120" w:line="400" w:lineRule="atLeast"/>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4分</w:t>
            </w:r>
          </w:p>
        </w:tc>
      </w:tr>
      <w:tr w14:paraId="3897E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19" w:type="dxa"/>
            <w:gridSpan w:val="2"/>
            <w:vAlign w:val="center"/>
          </w:tcPr>
          <w:p w14:paraId="386E10EC">
            <w:pPr>
              <w:pStyle w:val="11"/>
              <w:spacing w:before="120" w:beforeLines="50" w:afterLines="50" w:line="360" w:lineRule="auto"/>
              <w:ind w:left="0" w:leftChars="0"/>
              <w:jc w:val="left"/>
              <w:rPr>
                <w:rFonts w:hAnsi="宋体"/>
                <w:bCs/>
                <w:color w:val="auto"/>
                <w:sz w:val="24"/>
                <w:szCs w:val="24"/>
                <w:highlight w:val="none"/>
              </w:rPr>
            </w:pPr>
            <w:r>
              <w:rPr>
                <w:rFonts w:hint="eastAsia" w:cs="仿宋" w:asciiTheme="majorEastAsia" w:hAnsiTheme="majorEastAsia" w:eastAsiaTheme="majorEastAsia"/>
                <w:bCs/>
                <w:color w:val="auto"/>
                <w:sz w:val="24"/>
                <w:highlight w:val="none"/>
              </w:rPr>
              <w:t>服务质量控制措施</w:t>
            </w:r>
          </w:p>
        </w:tc>
        <w:tc>
          <w:tcPr>
            <w:tcW w:w="7938" w:type="dxa"/>
            <w:vAlign w:val="center"/>
          </w:tcPr>
          <w:p w14:paraId="5E9E39AA">
            <w:pPr>
              <w:spacing w:line="400" w:lineRule="atLeast"/>
              <w:rPr>
                <w:rFonts w:hAnsi="宋体"/>
                <w:bCs/>
                <w:color w:val="auto"/>
                <w:sz w:val="24"/>
                <w:highlight w:val="none"/>
              </w:rPr>
            </w:pPr>
            <w:r>
              <w:rPr>
                <w:rFonts w:hint="eastAsia" w:cs="仿宋" w:asciiTheme="majorEastAsia" w:hAnsiTheme="majorEastAsia" w:eastAsiaTheme="majorEastAsia"/>
                <w:bCs/>
                <w:color w:val="auto"/>
                <w:sz w:val="24"/>
                <w:highlight w:val="none"/>
              </w:rPr>
              <w:t>1.激励奖惩制度和激励</w:t>
            </w:r>
            <w:bookmarkStart w:id="92" w:name="OLE_LINK43"/>
            <w:bookmarkStart w:id="93" w:name="OLE_LINK42"/>
            <w:r>
              <w:rPr>
                <w:rFonts w:hint="eastAsia" w:cs="仿宋" w:asciiTheme="majorEastAsia" w:hAnsiTheme="majorEastAsia" w:eastAsiaTheme="majorEastAsia"/>
                <w:bCs/>
                <w:color w:val="auto"/>
                <w:sz w:val="24"/>
                <w:highlight w:val="none"/>
              </w:rPr>
              <w:t>措施</w:t>
            </w:r>
            <w:bookmarkEnd w:id="92"/>
            <w:bookmarkEnd w:id="93"/>
            <w:r>
              <w:rPr>
                <w:rFonts w:hint="eastAsia" w:cs="仿宋" w:asciiTheme="majorEastAsia" w:hAnsiTheme="majorEastAsia" w:eastAsiaTheme="majorEastAsia"/>
                <w:bCs/>
                <w:color w:val="auto"/>
                <w:sz w:val="24"/>
                <w:highlight w:val="none"/>
              </w:rPr>
              <w:t>：建立护理员考评方案、在线学习和工作打卡奖惩机制，出台护理员技能提升激励措施，每季度对护理员进行一次考评。制度措施详细可行性高</w:t>
            </w:r>
            <w:bookmarkStart w:id="94" w:name="OLE_LINK78"/>
            <w:bookmarkStart w:id="95" w:name="OLE_LINK79"/>
            <w:r>
              <w:rPr>
                <w:rFonts w:hint="eastAsia" w:cs="仿宋" w:asciiTheme="majorEastAsia" w:hAnsiTheme="majorEastAsia" w:eastAsiaTheme="majorEastAsia"/>
                <w:bCs/>
                <w:color w:val="auto"/>
                <w:sz w:val="24"/>
                <w:highlight w:val="none"/>
              </w:rPr>
              <w:t>，</w:t>
            </w:r>
            <w:r>
              <w:rPr>
                <w:rFonts w:hint="eastAsia" w:hAnsi="宋体"/>
                <w:bCs/>
                <w:color w:val="auto"/>
                <w:sz w:val="24"/>
                <w:highlight w:val="none"/>
              </w:rPr>
              <w:t>有针对性解释说明：</w:t>
            </w:r>
            <w:bookmarkEnd w:id="94"/>
            <w:bookmarkEnd w:id="95"/>
            <w:bookmarkStart w:id="96" w:name="OLE_LINK27"/>
            <w:bookmarkStart w:id="97" w:name="OLE_LINK28"/>
            <w:r>
              <w:rPr>
                <w:rFonts w:hint="eastAsia" w:hAnsi="宋体"/>
                <w:bCs/>
                <w:color w:val="auto"/>
                <w:sz w:val="24"/>
                <w:highlight w:val="none"/>
              </w:rPr>
              <w:t>2分；提供的</w:t>
            </w:r>
            <w:r>
              <w:rPr>
                <w:rFonts w:hint="eastAsia" w:cs="仿宋" w:asciiTheme="majorEastAsia" w:hAnsiTheme="majorEastAsia" w:eastAsiaTheme="majorEastAsia"/>
                <w:bCs/>
                <w:color w:val="auto"/>
                <w:sz w:val="24"/>
                <w:highlight w:val="none"/>
              </w:rPr>
              <w:t>措施</w:t>
            </w:r>
            <w:r>
              <w:rPr>
                <w:rFonts w:hint="eastAsia" w:hAnsi="宋体"/>
                <w:bCs/>
                <w:color w:val="auto"/>
                <w:sz w:val="24"/>
                <w:highlight w:val="none"/>
              </w:rPr>
              <w:t>基本全面，有针对性解释说明：1.5分；提供</w:t>
            </w:r>
            <w:r>
              <w:rPr>
                <w:rFonts w:hint="eastAsia" w:cs="仿宋" w:asciiTheme="majorEastAsia" w:hAnsiTheme="majorEastAsia" w:eastAsiaTheme="majorEastAsia"/>
                <w:bCs/>
                <w:color w:val="auto"/>
                <w:sz w:val="24"/>
                <w:highlight w:val="none"/>
              </w:rPr>
              <w:t>措施</w:t>
            </w:r>
            <w:r>
              <w:rPr>
                <w:rFonts w:hint="eastAsia" w:hAnsi="宋体"/>
                <w:bCs/>
                <w:color w:val="auto"/>
                <w:sz w:val="24"/>
                <w:highlight w:val="none"/>
              </w:rPr>
              <w:t>的不全面，有针对性有解释说明1分；提供的</w:t>
            </w:r>
            <w:r>
              <w:rPr>
                <w:rFonts w:hint="eastAsia" w:cs="仿宋" w:asciiTheme="majorEastAsia" w:hAnsiTheme="majorEastAsia" w:eastAsiaTheme="majorEastAsia"/>
                <w:bCs/>
                <w:color w:val="auto"/>
                <w:sz w:val="24"/>
                <w:highlight w:val="none"/>
              </w:rPr>
              <w:t>措施</w:t>
            </w:r>
            <w:r>
              <w:rPr>
                <w:rFonts w:hint="eastAsia" w:hAnsi="宋体"/>
                <w:bCs/>
                <w:color w:val="auto"/>
                <w:sz w:val="24"/>
                <w:highlight w:val="none"/>
              </w:rPr>
              <w:t>不全面，没有针对性解释说明：0.5分；未提供不得分。</w:t>
            </w:r>
            <w:bookmarkEnd w:id="96"/>
            <w:bookmarkEnd w:id="97"/>
          </w:p>
          <w:p w14:paraId="6ACEA9A5">
            <w:pPr>
              <w:spacing w:line="400" w:lineRule="atLeas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2.服务质量制度：有内部服务质量管控制度和规范化流程、服务标准等，可行性高</w:t>
            </w:r>
            <w:bookmarkStart w:id="98" w:name="OLE_LINK81"/>
            <w:bookmarkStart w:id="99" w:name="OLE_LINK80"/>
            <w:r>
              <w:rPr>
                <w:rFonts w:hint="eastAsia" w:cs="仿宋" w:asciiTheme="majorEastAsia" w:hAnsiTheme="majorEastAsia" w:eastAsiaTheme="majorEastAsia"/>
                <w:bCs/>
                <w:color w:val="auto"/>
                <w:sz w:val="24"/>
                <w:highlight w:val="none"/>
              </w:rPr>
              <w:t>，</w:t>
            </w:r>
            <w:r>
              <w:rPr>
                <w:rFonts w:hint="eastAsia" w:hAnsi="宋体"/>
                <w:bCs/>
                <w:color w:val="auto"/>
                <w:sz w:val="24"/>
                <w:highlight w:val="none"/>
              </w:rPr>
              <w:t>有针对性解释说明：</w:t>
            </w:r>
            <w:r>
              <w:rPr>
                <w:rFonts w:hAnsi="宋体"/>
                <w:bCs/>
                <w:color w:val="auto"/>
                <w:sz w:val="24"/>
                <w:highlight w:val="none"/>
              </w:rPr>
              <w:t>2</w:t>
            </w:r>
            <w:r>
              <w:rPr>
                <w:rFonts w:hint="eastAsia" w:hAnsi="宋体"/>
                <w:bCs/>
                <w:color w:val="auto"/>
                <w:sz w:val="24"/>
                <w:highlight w:val="none"/>
              </w:rPr>
              <w:t>分；提供的</w:t>
            </w:r>
            <w:r>
              <w:rPr>
                <w:rFonts w:hint="eastAsia" w:cs="仿宋" w:asciiTheme="majorEastAsia" w:hAnsiTheme="majorEastAsia" w:eastAsiaTheme="majorEastAsia"/>
                <w:bCs/>
                <w:color w:val="auto"/>
                <w:sz w:val="24"/>
                <w:highlight w:val="none"/>
              </w:rPr>
              <w:t>措施</w:t>
            </w:r>
            <w:r>
              <w:rPr>
                <w:rFonts w:hint="eastAsia" w:hAnsi="宋体"/>
                <w:bCs/>
                <w:color w:val="auto"/>
                <w:sz w:val="24"/>
                <w:highlight w:val="none"/>
              </w:rPr>
              <w:t>基本全面，有针对性解释说明：</w:t>
            </w:r>
            <w:r>
              <w:rPr>
                <w:rFonts w:hAnsi="宋体"/>
                <w:bCs/>
                <w:color w:val="auto"/>
                <w:sz w:val="24"/>
                <w:highlight w:val="none"/>
              </w:rPr>
              <w:t>1.5</w:t>
            </w:r>
            <w:r>
              <w:rPr>
                <w:rFonts w:hint="eastAsia" w:hAnsi="宋体"/>
                <w:bCs/>
                <w:color w:val="auto"/>
                <w:sz w:val="24"/>
                <w:highlight w:val="none"/>
              </w:rPr>
              <w:t>分；提供</w:t>
            </w:r>
            <w:r>
              <w:rPr>
                <w:rFonts w:hint="eastAsia" w:cs="仿宋" w:asciiTheme="majorEastAsia" w:hAnsiTheme="majorEastAsia" w:eastAsiaTheme="majorEastAsia"/>
                <w:bCs/>
                <w:color w:val="auto"/>
                <w:sz w:val="24"/>
                <w:highlight w:val="none"/>
              </w:rPr>
              <w:t>措施</w:t>
            </w:r>
            <w:r>
              <w:rPr>
                <w:rFonts w:hint="eastAsia" w:hAnsi="宋体"/>
                <w:bCs/>
                <w:color w:val="auto"/>
                <w:sz w:val="24"/>
                <w:highlight w:val="none"/>
              </w:rPr>
              <w:t>的不全面，有针对性有解释说明</w:t>
            </w:r>
            <w:r>
              <w:rPr>
                <w:rFonts w:hAnsi="宋体"/>
                <w:bCs/>
                <w:color w:val="auto"/>
                <w:sz w:val="24"/>
                <w:highlight w:val="none"/>
              </w:rPr>
              <w:t>1</w:t>
            </w:r>
            <w:r>
              <w:rPr>
                <w:rFonts w:hint="eastAsia" w:hAnsi="宋体"/>
                <w:bCs/>
                <w:color w:val="auto"/>
                <w:sz w:val="24"/>
                <w:highlight w:val="none"/>
              </w:rPr>
              <w:t>分；提供的</w:t>
            </w:r>
            <w:r>
              <w:rPr>
                <w:rFonts w:hint="eastAsia" w:cs="仿宋" w:asciiTheme="majorEastAsia" w:hAnsiTheme="majorEastAsia" w:eastAsiaTheme="majorEastAsia"/>
                <w:bCs/>
                <w:color w:val="auto"/>
                <w:sz w:val="24"/>
                <w:highlight w:val="none"/>
              </w:rPr>
              <w:t>措施</w:t>
            </w:r>
            <w:r>
              <w:rPr>
                <w:rFonts w:hint="eastAsia" w:hAnsi="宋体"/>
                <w:bCs/>
                <w:color w:val="auto"/>
                <w:sz w:val="24"/>
                <w:highlight w:val="none"/>
              </w:rPr>
              <w:t>不全面，没有针对性解释说明：</w:t>
            </w:r>
            <w:r>
              <w:rPr>
                <w:rFonts w:hAnsi="宋体"/>
                <w:bCs/>
                <w:color w:val="auto"/>
                <w:sz w:val="24"/>
                <w:highlight w:val="none"/>
              </w:rPr>
              <w:t>0.5</w:t>
            </w:r>
            <w:r>
              <w:rPr>
                <w:rFonts w:hint="eastAsia" w:hAnsi="宋体"/>
                <w:bCs/>
                <w:color w:val="auto"/>
                <w:sz w:val="24"/>
                <w:highlight w:val="none"/>
              </w:rPr>
              <w:t>分；未提供不得分。</w:t>
            </w:r>
          </w:p>
          <w:bookmarkEnd w:id="98"/>
          <w:bookmarkEnd w:id="99"/>
          <w:p w14:paraId="2D409715">
            <w:pPr>
              <w:spacing w:line="400" w:lineRule="atLeast"/>
              <w:rPr>
                <w:rFonts w:hAnsi="宋体"/>
                <w:bCs/>
                <w:color w:val="auto"/>
                <w:sz w:val="24"/>
                <w:highlight w:val="none"/>
              </w:rPr>
            </w:pPr>
            <w:r>
              <w:rPr>
                <w:rFonts w:hint="eastAsia" w:cs="仿宋" w:asciiTheme="majorEastAsia" w:hAnsiTheme="majorEastAsia" w:eastAsiaTheme="majorEastAsia"/>
                <w:bCs/>
                <w:color w:val="auto"/>
                <w:sz w:val="24"/>
                <w:highlight w:val="none"/>
              </w:rPr>
              <w:t>3.制度建设：结合相关规章制度和服务规范制定突发事件（包括公共卫生事件、灾害事故等）应急方案并能付诸实施，</w:t>
            </w:r>
            <w:r>
              <w:rPr>
                <w:rFonts w:hint="eastAsia" w:hAnsi="宋体"/>
                <w:bCs/>
                <w:color w:val="auto"/>
                <w:sz w:val="24"/>
                <w:highlight w:val="none"/>
              </w:rPr>
              <w:t>有针对性解释说明：</w:t>
            </w:r>
            <w:r>
              <w:rPr>
                <w:rFonts w:hAnsi="宋体"/>
                <w:bCs/>
                <w:color w:val="auto"/>
                <w:sz w:val="24"/>
                <w:highlight w:val="none"/>
              </w:rPr>
              <w:t>2</w:t>
            </w:r>
            <w:r>
              <w:rPr>
                <w:rFonts w:hint="eastAsia" w:hAnsi="宋体"/>
                <w:bCs/>
                <w:color w:val="auto"/>
                <w:sz w:val="24"/>
                <w:highlight w:val="none"/>
              </w:rPr>
              <w:t>分；提供的</w:t>
            </w:r>
            <w:r>
              <w:rPr>
                <w:rFonts w:hint="eastAsia" w:cs="仿宋" w:asciiTheme="majorEastAsia" w:hAnsiTheme="majorEastAsia" w:eastAsiaTheme="majorEastAsia"/>
                <w:bCs/>
                <w:color w:val="auto"/>
                <w:sz w:val="24"/>
                <w:highlight w:val="none"/>
              </w:rPr>
              <w:t>措施</w:t>
            </w:r>
            <w:r>
              <w:rPr>
                <w:rFonts w:hint="eastAsia" w:hAnsi="宋体"/>
                <w:bCs/>
                <w:color w:val="auto"/>
                <w:sz w:val="24"/>
                <w:highlight w:val="none"/>
              </w:rPr>
              <w:t>基本全面，有针对性解释说明：</w:t>
            </w:r>
            <w:r>
              <w:rPr>
                <w:rFonts w:hAnsi="宋体"/>
                <w:bCs/>
                <w:color w:val="auto"/>
                <w:sz w:val="24"/>
                <w:highlight w:val="none"/>
              </w:rPr>
              <w:t>1.5</w:t>
            </w:r>
            <w:r>
              <w:rPr>
                <w:rFonts w:hint="eastAsia" w:hAnsi="宋体"/>
                <w:bCs/>
                <w:color w:val="auto"/>
                <w:sz w:val="24"/>
                <w:highlight w:val="none"/>
              </w:rPr>
              <w:t>分；提供</w:t>
            </w:r>
            <w:r>
              <w:rPr>
                <w:rFonts w:hint="eastAsia" w:cs="仿宋" w:asciiTheme="majorEastAsia" w:hAnsiTheme="majorEastAsia" w:eastAsiaTheme="majorEastAsia"/>
                <w:bCs/>
                <w:color w:val="auto"/>
                <w:sz w:val="24"/>
                <w:highlight w:val="none"/>
              </w:rPr>
              <w:t>措施</w:t>
            </w:r>
            <w:r>
              <w:rPr>
                <w:rFonts w:hint="eastAsia" w:hAnsi="宋体"/>
                <w:bCs/>
                <w:color w:val="auto"/>
                <w:sz w:val="24"/>
                <w:highlight w:val="none"/>
              </w:rPr>
              <w:t>的不全面，有针对性有解释说明</w:t>
            </w:r>
            <w:r>
              <w:rPr>
                <w:rFonts w:hAnsi="宋体"/>
                <w:bCs/>
                <w:color w:val="auto"/>
                <w:sz w:val="24"/>
                <w:highlight w:val="none"/>
              </w:rPr>
              <w:t>1</w:t>
            </w:r>
            <w:r>
              <w:rPr>
                <w:rFonts w:hint="eastAsia" w:hAnsi="宋体"/>
                <w:bCs/>
                <w:color w:val="auto"/>
                <w:sz w:val="24"/>
                <w:highlight w:val="none"/>
              </w:rPr>
              <w:t>分；提供的</w:t>
            </w:r>
            <w:r>
              <w:rPr>
                <w:rFonts w:hint="eastAsia" w:cs="仿宋" w:asciiTheme="majorEastAsia" w:hAnsiTheme="majorEastAsia" w:eastAsiaTheme="majorEastAsia"/>
                <w:bCs/>
                <w:color w:val="auto"/>
                <w:sz w:val="24"/>
                <w:highlight w:val="none"/>
              </w:rPr>
              <w:t>措施</w:t>
            </w:r>
            <w:r>
              <w:rPr>
                <w:rFonts w:hint="eastAsia" w:hAnsi="宋体"/>
                <w:bCs/>
                <w:color w:val="auto"/>
                <w:sz w:val="24"/>
                <w:highlight w:val="none"/>
              </w:rPr>
              <w:t>不全面，没有针对性解释说明：</w:t>
            </w:r>
            <w:r>
              <w:rPr>
                <w:rFonts w:hAnsi="宋体"/>
                <w:bCs/>
                <w:color w:val="auto"/>
                <w:sz w:val="24"/>
                <w:highlight w:val="none"/>
              </w:rPr>
              <w:t>0.5</w:t>
            </w:r>
            <w:r>
              <w:rPr>
                <w:rFonts w:hint="eastAsia" w:hAnsi="宋体"/>
                <w:bCs/>
                <w:color w:val="auto"/>
                <w:sz w:val="24"/>
                <w:highlight w:val="none"/>
              </w:rPr>
              <w:t>分；未提供不得分。</w:t>
            </w:r>
          </w:p>
          <w:p w14:paraId="6FDFF9E7">
            <w:pPr>
              <w:spacing w:line="400" w:lineRule="atLeast"/>
              <w:rPr>
                <w:rFonts w:hAnsi="宋体"/>
                <w:bCs/>
                <w:color w:val="auto"/>
                <w:sz w:val="24"/>
                <w:highlight w:val="none"/>
              </w:rPr>
            </w:pPr>
            <w:r>
              <w:rPr>
                <w:rFonts w:hint="eastAsia" w:cs="仿宋" w:asciiTheme="majorEastAsia" w:hAnsiTheme="majorEastAsia" w:eastAsiaTheme="majorEastAsia"/>
                <w:bCs/>
                <w:color w:val="auto"/>
                <w:sz w:val="24"/>
                <w:highlight w:val="none"/>
              </w:rPr>
              <w:t>4.服务宣传方案：投标人建有网站或微信公众号等宣传平台，承诺每月对服务内容、服务情况信息公布，加强企业文化宣传，</w:t>
            </w:r>
            <w:r>
              <w:rPr>
                <w:rFonts w:hint="eastAsia" w:hAnsi="宋体"/>
                <w:bCs/>
                <w:color w:val="auto"/>
                <w:sz w:val="24"/>
                <w:highlight w:val="none"/>
              </w:rPr>
              <w:t>有针对性解释说明：</w:t>
            </w:r>
            <w:r>
              <w:rPr>
                <w:rFonts w:hAnsi="宋体"/>
                <w:bCs/>
                <w:color w:val="auto"/>
                <w:sz w:val="24"/>
                <w:highlight w:val="none"/>
              </w:rPr>
              <w:t>2</w:t>
            </w:r>
            <w:r>
              <w:rPr>
                <w:rFonts w:hint="eastAsia" w:hAnsi="宋体"/>
                <w:bCs/>
                <w:color w:val="auto"/>
                <w:sz w:val="24"/>
                <w:highlight w:val="none"/>
              </w:rPr>
              <w:t>分；提供的</w:t>
            </w:r>
            <w:r>
              <w:rPr>
                <w:rFonts w:hint="eastAsia" w:cs="仿宋" w:asciiTheme="majorEastAsia" w:hAnsiTheme="majorEastAsia" w:eastAsiaTheme="majorEastAsia"/>
                <w:bCs/>
                <w:color w:val="auto"/>
                <w:sz w:val="24"/>
                <w:highlight w:val="none"/>
              </w:rPr>
              <w:t>措施</w:t>
            </w:r>
            <w:r>
              <w:rPr>
                <w:rFonts w:hint="eastAsia" w:hAnsi="宋体"/>
                <w:bCs/>
                <w:color w:val="auto"/>
                <w:sz w:val="24"/>
                <w:highlight w:val="none"/>
              </w:rPr>
              <w:t>基本全面，有针对性解释说明：</w:t>
            </w:r>
            <w:r>
              <w:rPr>
                <w:rFonts w:hAnsi="宋体"/>
                <w:bCs/>
                <w:color w:val="auto"/>
                <w:sz w:val="24"/>
                <w:highlight w:val="none"/>
              </w:rPr>
              <w:t>1.5</w:t>
            </w:r>
            <w:r>
              <w:rPr>
                <w:rFonts w:hint="eastAsia" w:hAnsi="宋体"/>
                <w:bCs/>
                <w:color w:val="auto"/>
                <w:sz w:val="24"/>
                <w:highlight w:val="none"/>
              </w:rPr>
              <w:t>分；提供</w:t>
            </w:r>
            <w:r>
              <w:rPr>
                <w:rFonts w:hint="eastAsia" w:cs="仿宋" w:asciiTheme="majorEastAsia" w:hAnsiTheme="majorEastAsia" w:eastAsiaTheme="majorEastAsia"/>
                <w:bCs/>
                <w:color w:val="auto"/>
                <w:sz w:val="24"/>
                <w:highlight w:val="none"/>
              </w:rPr>
              <w:t>措施</w:t>
            </w:r>
            <w:r>
              <w:rPr>
                <w:rFonts w:hint="eastAsia" w:hAnsi="宋体"/>
                <w:bCs/>
                <w:color w:val="auto"/>
                <w:sz w:val="24"/>
                <w:highlight w:val="none"/>
              </w:rPr>
              <w:t>的不全面，有针对性有解释说明</w:t>
            </w:r>
            <w:r>
              <w:rPr>
                <w:rFonts w:hAnsi="宋体"/>
                <w:bCs/>
                <w:color w:val="auto"/>
                <w:sz w:val="24"/>
                <w:highlight w:val="none"/>
              </w:rPr>
              <w:t>1</w:t>
            </w:r>
            <w:r>
              <w:rPr>
                <w:rFonts w:hint="eastAsia" w:hAnsi="宋体"/>
                <w:bCs/>
                <w:color w:val="auto"/>
                <w:sz w:val="24"/>
                <w:highlight w:val="none"/>
              </w:rPr>
              <w:t>分；提供的</w:t>
            </w:r>
            <w:r>
              <w:rPr>
                <w:rFonts w:hint="eastAsia" w:cs="仿宋" w:asciiTheme="majorEastAsia" w:hAnsiTheme="majorEastAsia" w:eastAsiaTheme="majorEastAsia"/>
                <w:bCs/>
                <w:color w:val="auto"/>
                <w:sz w:val="24"/>
                <w:highlight w:val="none"/>
              </w:rPr>
              <w:t>措施</w:t>
            </w:r>
            <w:r>
              <w:rPr>
                <w:rFonts w:hint="eastAsia" w:hAnsi="宋体"/>
                <w:bCs/>
                <w:color w:val="auto"/>
                <w:sz w:val="24"/>
                <w:highlight w:val="none"/>
              </w:rPr>
              <w:t>不全面，没有针对性解释说明：</w:t>
            </w:r>
            <w:r>
              <w:rPr>
                <w:rFonts w:hAnsi="宋体"/>
                <w:bCs/>
                <w:color w:val="auto"/>
                <w:sz w:val="24"/>
                <w:highlight w:val="none"/>
              </w:rPr>
              <w:t>0.5</w:t>
            </w:r>
            <w:r>
              <w:rPr>
                <w:rFonts w:hint="eastAsia" w:hAnsi="宋体"/>
                <w:bCs/>
                <w:color w:val="auto"/>
                <w:sz w:val="24"/>
                <w:highlight w:val="none"/>
              </w:rPr>
              <w:t>分；未提供不得分。</w:t>
            </w:r>
          </w:p>
          <w:p w14:paraId="6FCDF627">
            <w:pPr>
              <w:spacing w:line="400" w:lineRule="atLeas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5.其他宣传方案：体现自购服务推广、“爱心卡”推广等内容方案科学合理且可行性高，</w:t>
            </w:r>
            <w:r>
              <w:rPr>
                <w:rFonts w:hint="eastAsia" w:hAnsi="宋体"/>
                <w:bCs/>
                <w:color w:val="auto"/>
                <w:sz w:val="24"/>
                <w:highlight w:val="none"/>
              </w:rPr>
              <w:t>有针对性解释说明：</w:t>
            </w:r>
            <w:r>
              <w:rPr>
                <w:rFonts w:hAnsi="宋体"/>
                <w:bCs/>
                <w:color w:val="auto"/>
                <w:sz w:val="24"/>
                <w:highlight w:val="none"/>
              </w:rPr>
              <w:t>2</w:t>
            </w:r>
            <w:r>
              <w:rPr>
                <w:rFonts w:hint="eastAsia" w:hAnsi="宋体"/>
                <w:bCs/>
                <w:color w:val="auto"/>
                <w:sz w:val="24"/>
                <w:highlight w:val="none"/>
              </w:rPr>
              <w:t>分；提供的</w:t>
            </w:r>
            <w:r>
              <w:rPr>
                <w:rFonts w:hint="eastAsia" w:cs="仿宋" w:asciiTheme="majorEastAsia" w:hAnsiTheme="majorEastAsia" w:eastAsiaTheme="majorEastAsia"/>
                <w:bCs/>
                <w:color w:val="auto"/>
                <w:sz w:val="24"/>
                <w:highlight w:val="none"/>
              </w:rPr>
              <w:t>措施</w:t>
            </w:r>
            <w:r>
              <w:rPr>
                <w:rFonts w:hint="eastAsia" w:hAnsi="宋体"/>
                <w:bCs/>
                <w:color w:val="auto"/>
                <w:sz w:val="24"/>
                <w:highlight w:val="none"/>
              </w:rPr>
              <w:t>基本全面，有针对性解释说明：</w:t>
            </w:r>
            <w:r>
              <w:rPr>
                <w:rFonts w:hAnsi="宋体"/>
                <w:bCs/>
                <w:color w:val="auto"/>
                <w:sz w:val="24"/>
                <w:highlight w:val="none"/>
              </w:rPr>
              <w:t>1.5</w:t>
            </w:r>
            <w:r>
              <w:rPr>
                <w:rFonts w:hint="eastAsia" w:hAnsi="宋体"/>
                <w:bCs/>
                <w:color w:val="auto"/>
                <w:sz w:val="24"/>
                <w:highlight w:val="none"/>
              </w:rPr>
              <w:t>分；提供</w:t>
            </w:r>
            <w:r>
              <w:rPr>
                <w:rFonts w:hint="eastAsia" w:cs="仿宋" w:asciiTheme="majorEastAsia" w:hAnsiTheme="majorEastAsia" w:eastAsiaTheme="majorEastAsia"/>
                <w:bCs/>
                <w:color w:val="auto"/>
                <w:sz w:val="24"/>
                <w:highlight w:val="none"/>
              </w:rPr>
              <w:t>措施</w:t>
            </w:r>
            <w:r>
              <w:rPr>
                <w:rFonts w:hint="eastAsia" w:hAnsi="宋体"/>
                <w:bCs/>
                <w:color w:val="auto"/>
                <w:sz w:val="24"/>
                <w:highlight w:val="none"/>
              </w:rPr>
              <w:t>的不全面，有针对性有解释说明</w:t>
            </w:r>
            <w:r>
              <w:rPr>
                <w:rFonts w:hAnsi="宋体"/>
                <w:bCs/>
                <w:color w:val="auto"/>
                <w:sz w:val="24"/>
                <w:highlight w:val="none"/>
              </w:rPr>
              <w:t>1</w:t>
            </w:r>
            <w:r>
              <w:rPr>
                <w:rFonts w:hint="eastAsia" w:hAnsi="宋体"/>
                <w:bCs/>
                <w:color w:val="auto"/>
                <w:sz w:val="24"/>
                <w:highlight w:val="none"/>
              </w:rPr>
              <w:t>分；提供的</w:t>
            </w:r>
            <w:r>
              <w:rPr>
                <w:rFonts w:hint="eastAsia" w:cs="仿宋" w:asciiTheme="majorEastAsia" w:hAnsiTheme="majorEastAsia" w:eastAsiaTheme="majorEastAsia"/>
                <w:bCs/>
                <w:color w:val="auto"/>
                <w:sz w:val="24"/>
                <w:highlight w:val="none"/>
              </w:rPr>
              <w:t>措施</w:t>
            </w:r>
            <w:r>
              <w:rPr>
                <w:rFonts w:hint="eastAsia" w:hAnsi="宋体"/>
                <w:bCs/>
                <w:color w:val="auto"/>
                <w:sz w:val="24"/>
                <w:highlight w:val="none"/>
              </w:rPr>
              <w:t>不全面，没有针对性解释说明：</w:t>
            </w:r>
            <w:r>
              <w:rPr>
                <w:rFonts w:hAnsi="宋体"/>
                <w:bCs/>
                <w:color w:val="auto"/>
                <w:sz w:val="24"/>
                <w:highlight w:val="none"/>
              </w:rPr>
              <w:t>0.5</w:t>
            </w:r>
            <w:r>
              <w:rPr>
                <w:rFonts w:hint="eastAsia" w:hAnsi="宋体"/>
                <w:bCs/>
                <w:color w:val="auto"/>
                <w:sz w:val="24"/>
                <w:highlight w:val="none"/>
              </w:rPr>
              <w:t>分；未提供不得分。</w:t>
            </w:r>
          </w:p>
        </w:tc>
        <w:tc>
          <w:tcPr>
            <w:tcW w:w="850" w:type="dxa"/>
            <w:vAlign w:val="center"/>
          </w:tcPr>
          <w:p w14:paraId="025CBF21">
            <w:pPr>
              <w:pStyle w:val="13"/>
              <w:spacing w:before="120" w:after="120" w:line="400" w:lineRule="atLeast"/>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10分</w:t>
            </w:r>
          </w:p>
        </w:tc>
      </w:tr>
      <w:tr w14:paraId="6F6A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19" w:type="dxa"/>
            <w:gridSpan w:val="2"/>
            <w:vAlign w:val="center"/>
          </w:tcPr>
          <w:p w14:paraId="4A2A4503">
            <w:pPr>
              <w:pStyle w:val="11"/>
              <w:spacing w:before="120" w:beforeLines="50" w:afterLines="50" w:line="360" w:lineRule="auto"/>
              <w:ind w:left="0" w:leftChars="0"/>
              <w:jc w:val="left"/>
              <w:rPr>
                <w:rFonts w:hAnsi="宋体"/>
                <w:bCs/>
                <w:color w:val="auto"/>
                <w:sz w:val="24"/>
                <w:szCs w:val="24"/>
                <w:highlight w:val="none"/>
              </w:rPr>
            </w:pPr>
            <w:bookmarkStart w:id="100" w:name="_Hlk191998245"/>
            <w:r>
              <w:rPr>
                <w:rFonts w:hint="eastAsia" w:hAnsi="宋体"/>
                <w:bCs/>
                <w:color w:val="auto"/>
                <w:sz w:val="24"/>
                <w:szCs w:val="24"/>
                <w:highlight w:val="none"/>
              </w:rPr>
              <w:t>拟投入本项目人员</w:t>
            </w:r>
          </w:p>
        </w:tc>
        <w:tc>
          <w:tcPr>
            <w:tcW w:w="7938" w:type="dxa"/>
          </w:tcPr>
          <w:p w14:paraId="574990FF">
            <w:pPr>
              <w:shd w:val="clear" w:color="auto" w:fill="FFFFFF"/>
              <w:spacing w:line="400" w:lineRule="atLeast"/>
              <w:rPr>
                <w:rFonts w:hAnsi="宋体"/>
                <w:bCs/>
                <w:color w:val="auto"/>
                <w:kern w:val="0"/>
                <w:sz w:val="24"/>
                <w:highlight w:val="none"/>
              </w:rPr>
            </w:pPr>
            <w:bookmarkStart w:id="101" w:name="OLE_LINK71"/>
            <w:bookmarkStart w:id="102" w:name="OLE_LINK96"/>
            <w:r>
              <w:rPr>
                <w:rFonts w:hint="eastAsia" w:hAnsi="宋体"/>
                <w:bCs/>
                <w:color w:val="auto"/>
                <w:kern w:val="0"/>
                <w:sz w:val="24"/>
                <w:highlight w:val="none"/>
              </w:rPr>
              <w:t>1.</w:t>
            </w:r>
            <w:r>
              <w:rPr>
                <w:rFonts w:hint="eastAsia" w:hAnsi="宋体"/>
                <w:bCs/>
                <w:color w:val="auto"/>
                <w:kern w:val="0"/>
                <w:sz w:val="24"/>
                <w:highlight w:val="none"/>
              </w:rPr>
              <w:t>派驻</w:t>
            </w:r>
            <w:bookmarkStart w:id="103" w:name="OLE_LINK74"/>
            <w:bookmarkStart w:id="104" w:name="OLE_LINK75"/>
            <w:r>
              <w:rPr>
                <w:rFonts w:hint="eastAsia" w:hAnsi="宋体"/>
                <w:bCs/>
                <w:color w:val="auto"/>
                <w:kern w:val="0"/>
                <w:sz w:val="24"/>
                <w:highlight w:val="none"/>
              </w:rPr>
              <w:t>本项目</w:t>
            </w:r>
            <w:bookmarkEnd w:id="103"/>
            <w:bookmarkEnd w:id="104"/>
            <w:r>
              <w:rPr>
                <w:rFonts w:hint="eastAsia" w:hAnsi="宋体"/>
                <w:bCs/>
                <w:color w:val="auto"/>
                <w:kern w:val="0"/>
                <w:sz w:val="24"/>
                <w:highlight w:val="none"/>
              </w:rPr>
              <w:t>负责人</w:t>
            </w:r>
            <w:r>
              <w:rPr>
                <w:rFonts w:hint="eastAsia" w:hAnsi="宋体"/>
                <w:bCs/>
                <w:color w:val="auto"/>
                <w:kern w:val="0"/>
                <w:sz w:val="24"/>
                <w:highlight w:val="none"/>
              </w:rPr>
              <w:t>：具有中级及以上养老护理员等级证书得1分；具有中级及以上社会工作师或心理咨询师证书得1分；获得市级及以上养老或社会组织领军人才的得1分；获得省级及以上政府或职能部门颁发的个人荣誉的得1分；具有3年以上居家养老服务运营经验得1分（提供社保及合同证明材料）；最高得5分。</w:t>
            </w:r>
          </w:p>
          <w:p w14:paraId="405E104C">
            <w:pPr>
              <w:shd w:val="clear" w:color="auto" w:fill="FFFFFF"/>
              <w:spacing w:line="400" w:lineRule="atLeast"/>
              <w:rPr>
                <w:rFonts w:hAnsi="宋体"/>
                <w:bCs/>
                <w:color w:val="auto"/>
                <w:kern w:val="0"/>
                <w:sz w:val="24"/>
                <w:highlight w:val="none"/>
              </w:rPr>
            </w:pPr>
            <w:r>
              <w:rPr>
                <w:rFonts w:hint="eastAsia" w:hAnsi="宋体"/>
                <w:bCs/>
                <w:color w:val="auto"/>
                <w:kern w:val="0"/>
                <w:sz w:val="24"/>
                <w:highlight w:val="none"/>
              </w:rPr>
              <w:t>2.派驻</w:t>
            </w:r>
            <w:r>
              <w:rPr>
                <w:rFonts w:hint="eastAsia" w:hAnsi="宋体"/>
                <w:bCs/>
                <w:color w:val="auto"/>
                <w:kern w:val="0"/>
                <w:sz w:val="24"/>
                <w:highlight w:val="none"/>
              </w:rPr>
              <w:t>本</w:t>
            </w:r>
            <w:r>
              <w:rPr>
                <w:rFonts w:hint="eastAsia" w:hAnsi="宋体"/>
                <w:bCs/>
                <w:color w:val="auto"/>
                <w:kern w:val="0"/>
                <w:sz w:val="24"/>
                <w:highlight w:val="none"/>
              </w:rPr>
              <w:t xml:space="preserve">项目管理人员：具有全日制本科及以上学历且年龄在45周岁及以下得1分；具有中级及以上养老护理员等级证书得1分；具有老年人能力评估师或健康管理师的得1分；中级及以上社会工作师证书得1分；具有3年以上居家养老服务运营经验得1分（提供社保及合同证明材料）；最高得5分。 </w:t>
            </w:r>
          </w:p>
          <w:p w14:paraId="2742D0D1">
            <w:pPr>
              <w:shd w:val="clear" w:color="auto" w:fill="FFFFFF"/>
              <w:spacing w:line="400" w:lineRule="atLeast"/>
              <w:rPr>
                <w:rFonts w:hAnsi="宋体"/>
                <w:bCs/>
                <w:color w:val="auto"/>
                <w:kern w:val="0"/>
                <w:sz w:val="24"/>
                <w:highlight w:val="none"/>
              </w:rPr>
            </w:pPr>
            <w:r>
              <w:rPr>
                <w:rFonts w:hint="eastAsia" w:hAnsi="宋体"/>
                <w:bCs/>
                <w:color w:val="auto"/>
                <w:kern w:val="0"/>
                <w:sz w:val="24"/>
                <w:highlight w:val="none"/>
              </w:rPr>
              <w:t>3.</w:t>
            </w:r>
            <w:bookmarkStart w:id="105" w:name="OLE_LINK113"/>
            <w:r>
              <w:rPr>
                <w:rFonts w:hint="eastAsia" w:hAnsi="宋体"/>
                <w:bCs/>
                <w:color w:val="auto"/>
                <w:kern w:val="0"/>
                <w:sz w:val="24"/>
                <w:highlight w:val="none"/>
              </w:rPr>
              <w:t>服务团队</w:t>
            </w:r>
            <w:bookmarkEnd w:id="105"/>
            <w:r>
              <w:rPr>
                <w:rFonts w:hint="eastAsia" w:hAnsi="宋体"/>
                <w:bCs/>
                <w:color w:val="auto"/>
                <w:kern w:val="0"/>
                <w:sz w:val="24"/>
                <w:highlight w:val="none"/>
              </w:rPr>
              <w:t>实力（不含</w:t>
            </w:r>
            <w:bookmarkStart w:id="106" w:name="OLE_LINK29"/>
            <w:bookmarkStart w:id="107" w:name="OLE_LINK30"/>
            <w:r>
              <w:rPr>
                <w:rFonts w:hint="eastAsia" w:hAnsi="宋体"/>
                <w:bCs/>
                <w:color w:val="auto"/>
                <w:kern w:val="0"/>
                <w:sz w:val="24"/>
                <w:highlight w:val="none"/>
              </w:rPr>
              <w:t>项目负责人</w:t>
            </w:r>
            <w:bookmarkEnd w:id="106"/>
            <w:bookmarkEnd w:id="107"/>
            <w:r>
              <w:rPr>
                <w:rFonts w:hint="eastAsia" w:hAnsi="宋体"/>
                <w:bCs/>
                <w:color w:val="auto"/>
                <w:kern w:val="0"/>
                <w:sz w:val="24"/>
                <w:highlight w:val="none"/>
              </w:rPr>
              <w:t>及管理人员）：投标人拟派项目服务人员须达到40人（含）以上，未达到40人不得分。其中持证护理员35人（含）以上的，得4分；持证护理员26-34人得3分；持证护理员16-25人得2分；持证护理员15人以下不得分。</w:t>
            </w:r>
          </w:p>
          <w:p w14:paraId="35CB70C7">
            <w:pPr>
              <w:shd w:val="clear" w:color="auto" w:fill="FFFFFF"/>
              <w:spacing w:line="400" w:lineRule="atLeast"/>
              <w:rPr>
                <w:rFonts w:hAnsi="宋体"/>
                <w:bCs/>
                <w:color w:val="auto"/>
                <w:kern w:val="0"/>
                <w:sz w:val="24"/>
                <w:highlight w:val="none"/>
              </w:rPr>
            </w:pPr>
            <w:r>
              <w:rPr>
                <w:rFonts w:hint="eastAsia" w:hAnsi="宋体"/>
                <w:bCs/>
                <w:color w:val="auto"/>
                <w:kern w:val="0"/>
                <w:sz w:val="24"/>
                <w:highlight w:val="none"/>
              </w:rPr>
              <w:t>4.个性化服务中上门服务护理人员专业水平（不含</w:t>
            </w:r>
            <w:bookmarkStart w:id="108" w:name="OLE_LINK33"/>
            <w:bookmarkStart w:id="109" w:name="OLE_LINK34"/>
            <w:bookmarkStart w:id="110" w:name="OLE_LINK32"/>
            <w:bookmarkStart w:id="111" w:name="OLE_LINK31"/>
            <w:r>
              <w:rPr>
                <w:rFonts w:hint="eastAsia" w:hAnsi="宋体"/>
                <w:bCs/>
                <w:color w:val="auto"/>
                <w:kern w:val="0"/>
                <w:sz w:val="24"/>
                <w:highlight w:val="none"/>
              </w:rPr>
              <w:t>项目</w:t>
            </w:r>
            <w:bookmarkEnd w:id="108"/>
            <w:bookmarkEnd w:id="109"/>
            <w:r>
              <w:rPr>
                <w:rFonts w:hint="eastAsia" w:hAnsi="宋体"/>
                <w:bCs/>
                <w:color w:val="auto"/>
                <w:kern w:val="0"/>
                <w:sz w:val="24"/>
                <w:highlight w:val="none"/>
              </w:rPr>
              <w:t>负责人</w:t>
            </w:r>
            <w:bookmarkEnd w:id="110"/>
            <w:bookmarkEnd w:id="111"/>
            <w:r>
              <w:rPr>
                <w:rFonts w:hint="eastAsia" w:hAnsi="宋体"/>
                <w:bCs/>
                <w:color w:val="auto"/>
                <w:kern w:val="0"/>
                <w:sz w:val="24"/>
                <w:highlight w:val="none"/>
              </w:rPr>
              <w:t>及管理人员）：投标人派驻本项目护理人员年龄60周岁（含）以下占80%得2分；</w:t>
            </w:r>
          </w:p>
          <w:p w14:paraId="4DD12CBA">
            <w:pPr>
              <w:shd w:val="clear" w:color="auto" w:fill="FFFFFF"/>
              <w:spacing w:line="400" w:lineRule="atLeast"/>
              <w:rPr>
                <w:rFonts w:hAnsi="宋体"/>
                <w:bCs/>
                <w:color w:val="auto"/>
                <w:kern w:val="0"/>
                <w:sz w:val="24"/>
                <w:highlight w:val="none"/>
              </w:rPr>
            </w:pPr>
            <w:r>
              <w:rPr>
                <w:rFonts w:hint="eastAsia" w:hAnsi="宋体"/>
                <w:bCs/>
                <w:color w:val="auto"/>
                <w:kern w:val="0"/>
                <w:sz w:val="24"/>
                <w:highlight w:val="none"/>
              </w:rPr>
              <w:t>具备高级护理员或中级社会工作师</w:t>
            </w:r>
            <w:r>
              <w:rPr>
                <w:rFonts w:hint="eastAsia" w:hAnsi="宋体"/>
                <w:bCs/>
                <w:color w:val="auto"/>
                <w:kern w:val="0"/>
                <w:sz w:val="24"/>
                <w:highlight w:val="none"/>
              </w:rPr>
              <w:t>及以上</w:t>
            </w:r>
            <w:r>
              <w:rPr>
                <w:rFonts w:hint="eastAsia" w:hAnsi="宋体"/>
                <w:bCs/>
                <w:color w:val="auto"/>
                <w:kern w:val="0"/>
                <w:sz w:val="24"/>
                <w:highlight w:val="none"/>
              </w:rPr>
              <w:t>的，每提供1人得0.5分，最高得2分；具备中级护理员或助理社会工作师的，每提供1人得0.25分，最高得2分；</w:t>
            </w:r>
          </w:p>
          <w:p w14:paraId="4ACE233D">
            <w:pPr>
              <w:shd w:val="clear" w:color="auto" w:fill="FFFFFF"/>
              <w:spacing w:line="400" w:lineRule="atLeast"/>
              <w:rPr>
                <w:rFonts w:hAnsi="宋体"/>
                <w:bCs/>
                <w:color w:val="auto"/>
                <w:kern w:val="0"/>
                <w:sz w:val="24"/>
                <w:highlight w:val="none"/>
              </w:rPr>
            </w:pPr>
            <w:r>
              <w:rPr>
                <w:rFonts w:hint="eastAsia" w:hAnsi="宋体"/>
                <w:bCs/>
                <w:color w:val="auto"/>
                <w:kern w:val="0"/>
                <w:sz w:val="24"/>
                <w:highlight w:val="none"/>
              </w:rPr>
              <w:t>5.工作人员其他特殊专业水平（不含</w:t>
            </w:r>
            <w:bookmarkStart w:id="112" w:name="OLE_LINK107"/>
            <w:bookmarkStart w:id="113" w:name="OLE_LINK108"/>
            <w:r>
              <w:rPr>
                <w:rFonts w:hint="eastAsia" w:hAnsi="宋体"/>
                <w:bCs/>
                <w:color w:val="auto"/>
                <w:kern w:val="0"/>
                <w:sz w:val="24"/>
                <w:highlight w:val="none"/>
              </w:rPr>
              <w:t>项目负责人及管理人员</w:t>
            </w:r>
            <w:bookmarkEnd w:id="112"/>
            <w:bookmarkEnd w:id="113"/>
            <w:r>
              <w:rPr>
                <w:rFonts w:hint="eastAsia" w:hAnsi="宋体"/>
                <w:bCs/>
                <w:color w:val="auto"/>
                <w:kern w:val="0"/>
                <w:sz w:val="24"/>
                <w:highlight w:val="none"/>
              </w:rPr>
              <w:t>，含护理人员）：投标人单位派驻本项目具有康复师（包含康复治疗师、康复理疗师）证书的得1分；具有其他医护证书的得1分；具有心理咨询师证书的或具有老年人能力评估师的得1分；最高得3分。</w:t>
            </w:r>
          </w:p>
          <w:p w14:paraId="273B3C74">
            <w:pPr>
              <w:shd w:val="clear" w:color="auto" w:fill="FFFFFF"/>
              <w:spacing w:line="400" w:lineRule="atLeast"/>
              <w:rPr>
                <w:rFonts w:hAnsi="宋体"/>
                <w:bCs/>
                <w:color w:val="auto"/>
                <w:kern w:val="0"/>
                <w:sz w:val="24"/>
                <w:highlight w:val="none"/>
              </w:rPr>
            </w:pPr>
            <w:r>
              <w:rPr>
                <w:rFonts w:hint="eastAsia" w:hAnsi="宋体"/>
                <w:bCs/>
                <w:color w:val="auto"/>
                <w:kern w:val="0"/>
                <w:sz w:val="24"/>
                <w:highlight w:val="none"/>
              </w:rPr>
              <w:t>注：需提供相关人员人社部门或行业主管部门或其他协会组织获得授权的资质证书复印件和本单位或分公司为其缴纳的近一个月社保证明【如服务团队人员（不含项目负责人及管理人员）</w:t>
            </w:r>
            <w:bookmarkStart w:id="114" w:name="OLE_LINK116"/>
            <w:r>
              <w:rPr>
                <w:rFonts w:hint="eastAsia" w:hAnsi="宋体"/>
                <w:bCs/>
                <w:color w:val="auto"/>
                <w:kern w:val="0"/>
                <w:sz w:val="24"/>
                <w:highlight w:val="none"/>
              </w:rPr>
              <w:t>为退休人员，</w:t>
            </w:r>
            <w:bookmarkStart w:id="115" w:name="OLE_LINK114"/>
            <w:bookmarkStart w:id="116" w:name="OLE_LINK115"/>
            <w:r>
              <w:rPr>
                <w:rFonts w:hint="eastAsia" w:hAnsi="宋体"/>
                <w:bCs/>
                <w:color w:val="auto"/>
                <w:kern w:val="0"/>
                <w:sz w:val="24"/>
                <w:highlight w:val="none"/>
              </w:rPr>
              <w:t>需提供退休证明材料及返聘合同</w:t>
            </w:r>
            <w:bookmarkEnd w:id="114"/>
            <w:bookmarkEnd w:id="115"/>
            <w:bookmarkEnd w:id="116"/>
            <w:r>
              <w:rPr>
                <w:rFonts w:hint="eastAsia" w:hAnsi="宋体"/>
                <w:bCs/>
                <w:color w:val="auto"/>
                <w:kern w:val="0"/>
                <w:sz w:val="24"/>
                <w:highlight w:val="none"/>
              </w:rPr>
              <w:t>）】；未提供不得分。</w:t>
            </w:r>
            <w:bookmarkEnd w:id="101"/>
            <w:bookmarkEnd w:id="102"/>
          </w:p>
        </w:tc>
        <w:tc>
          <w:tcPr>
            <w:tcW w:w="850" w:type="dxa"/>
            <w:vAlign w:val="center"/>
          </w:tcPr>
          <w:p w14:paraId="60C9B158">
            <w:pPr>
              <w:pStyle w:val="13"/>
              <w:spacing w:before="120" w:after="120" w:line="400" w:lineRule="atLeast"/>
              <w:jc w:val="center"/>
              <w:rPr>
                <w:rFonts w:ascii="Times New Roman" w:hAnsi="宋体" w:cs="Times New Roman"/>
                <w:bCs/>
                <w:color w:val="auto"/>
                <w:sz w:val="24"/>
                <w:highlight w:val="none"/>
              </w:rPr>
            </w:pPr>
            <w:r>
              <w:rPr>
                <w:rFonts w:hint="eastAsia" w:ascii="Times New Roman" w:hAnsi="宋体" w:cs="Times New Roman"/>
                <w:bCs/>
                <w:color w:val="auto"/>
                <w:sz w:val="24"/>
                <w:highlight w:val="none"/>
              </w:rPr>
              <w:t>23分</w:t>
            </w:r>
          </w:p>
        </w:tc>
      </w:tr>
      <w:bookmarkEnd w:id="100"/>
      <w:tr w14:paraId="65A1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19" w:type="dxa"/>
            <w:gridSpan w:val="2"/>
            <w:vAlign w:val="center"/>
          </w:tcPr>
          <w:p w14:paraId="32B70149">
            <w:pPr>
              <w:tabs>
                <w:tab w:val="left" w:pos="1080"/>
              </w:tabs>
              <w:spacing w:line="400" w:lineRule="atLeast"/>
              <w:jc w:val="center"/>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个性服务设备配置</w:t>
            </w:r>
          </w:p>
        </w:tc>
        <w:tc>
          <w:tcPr>
            <w:tcW w:w="7938" w:type="dxa"/>
            <w:vAlign w:val="center"/>
          </w:tcPr>
          <w:p w14:paraId="63DAF442">
            <w:pPr>
              <w:spacing w:line="400" w:lineRule="atLeas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1.配备1辆及以上助老服务交通工具</w:t>
            </w:r>
            <w:r>
              <w:rPr>
                <w:rStyle w:val="31"/>
                <w:rFonts w:hint="eastAsia" w:ascii="Calibri" w:hAnsi="Calibri"/>
                <w:color w:val="auto"/>
                <w:highlight w:val="none"/>
              </w:rPr>
              <w:t>（机动车）</w:t>
            </w:r>
            <w:r>
              <w:rPr>
                <w:rFonts w:hint="eastAsia" w:cs="仿宋" w:asciiTheme="majorEastAsia" w:hAnsiTheme="majorEastAsia" w:eastAsiaTheme="majorEastAsia"/>
                <w:bCs/>
                <w:color w:val="auto"/>
                <w:sz w:val="24"/>
                <w:highlight w:val="none"/>
              </w:rPr>
              <w:t>的，得2分；</w:t>
            </w:r>
          </w:p>
          <w:p w14:paraId="7355C0EB">
            <w:pPr>
              <w:spacing w:line="400" w:lineRule="atLeas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2.配备上门助浴专用设施设备的，得1分；</w:t>
            </w:r>
          </w:p>
          <w:p w14:paraId="179FEEED">
            <w:pPr>
              <w:spacing w:line="400" w:lineRule="atLeas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3.配备便携式上门健康检测一体机（具备血压、血氧、体温、血糖等检测功能）的，得1分；</w:t>
            </w:r>
          </w:p>
          <w:p w14:paraId="57A56049">
            <w:pPr>
              <w:pStyle w:val="2"/>
              <w:ind w:firstLine="0" w:firstLineChars="0"/>
              <w:rPr>
                <w:rFonts w:eastAsiaTheme="majorEastAsia"/>
                <w:color w:val="auto"/>
                <w:highlight w:val="none"/>
              </w:rPr>
            </w:pPr>
            <w:r>
              <w:rPr>
                <w:rFonts w:hint="eastAsia" w:cs="仿宋" w:asciiTheme="majorEastAsia" w:hAnsiTheme="majorEastAsia" w:eastAsiaTheme="majorEastAsia"/>
                <w:bCs/>
                <w:color w:val="auto"/>
                <w:highlight w:val="none"/>
              </w:rPr>
              <w:t>4.投标人或其下属公司具备护理院或与医疗单位建立合作关系的得1分。（提供医疗机构许可证书复印件或合作协议并加盖公章，未提供不得分。）</w:t>
            </w:r>
          </w:p>
          <w:p w14:paraId="09C0C0E9">
            <w:pPr>
              <w:spacing w:line="400" w:lineRule="atLeas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
                <w:color w:val="auto"/>
                <w:sz w:val="24"/>
                <w:highlight w:val="none"/>
              </w:rPr>
              <w:t>注：需提供的证明材料：（1）若为自有（已有或租赁）提供设备清单和图片、与投标人主体相对应的购置发票（若为租赁的还须提供租赁合同）；或（2）若无，提供承诺中标后在签订合同前配置（若自己配备提供清单和发票；若为租赁的提供租赁合同及设备清单）。</w:t>
            </w:r>
          </w:p>
        </w:tc>
        <w:tc>
          <w:tcPr>
            <w:tcW w:w="850" w:type="dxa"/>
            <w:vAlign w:val="center"/>
          </w:tcPr>
          <w:p w14:paraId="47264B3F">
            <w:pPr>
              <w:pStyle w:val="13"/>
              <w:spacing w:before="120" w:after="120" w:line="400" w:lineRule="atLeast"/>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5分</w:t>
            </w:r>
          </w:p>
        </w:tc>
      </w:tr>
      <w:tr w14:paraId="1670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19" w:type="dxa"/>
            <w:gridSpan w:val="2"/>
            <w:vAlign w:val="center"/>
          </w:tcPr>
          <w:p w14:paraId="7D065785">
            <w:pPr>
              <w:pStyle w:val="11"/>
              <w:spacing w:before="120" w:beforeLines="50" w:afterLines="50" w:line="360" w:lineRule="auto"/>
              <w:ind w:left="0" w:leftChars="0"/>
              <w:jc w:val="left"/>
              <w:rPr>
                <w:rFonts w:hAnsi="宋体"/>
                <w:bCs/>
                <w:color w:val="auto"/>
                <w:sz w:val="24"/>
                <w:szCs w:val="24"/>
                <w:highlight w:val="none"/>
              </w:rPr>
            </w:pPr>
            <w:bookmarkStart w:id="117" w:name="OLE_LINK40"/>
            <w:bookmarkStart w:id="118" w:name="OLE_LINK39"/>
            <w:r>
              <w:rPr>
                <w:rFonts w:hint="eastAsia" w:hAnsi="宋体"/>
                <w:bCs/>
                <w:color w:val="auto"/>
                <w:sz w:val="24"/>
                <w:szCs w:val="24"/>
                <w:highlight w:val="none"/>
              </w:rPr>
              <w:t>数字化建设</w:t>
            </w:r>
            <w:bookmarkEnd w:id="117"/>
            <w:bookmarkEnd w:id="118"/>
          </w:p>
        </w:tc>
        <w:tc>
          <w:tcPr>
            <w:tcW w:w="7938" w:type="dxa"/>
            <w:vAlign w:val="center"/>
          </w:tcPr>
          <w:p w14:paraId="6ED2DF54">
            <w:pPr>
              <w:pStyle w:val="11"/>
              <w:spacing w:after="0" w:line="400" w:lineRule="exact"/>
              <w:ind w:left="0" w:leftChars="0"/>
              <w:jc w:val="left"/>
              <w:rPr>
                <w:rFonts w:hAnsi="宋体"/>
                <w:bCs/>
                <w:color w:val="auto"/>
                <w:sz w:val="24"/>
                <w:szCs w:val="24"/>
                <w:highlight w:val="none"/>
              </w:rPr>
            </w:pPr>
            <w:r>
              <w:rPr>
                <w:rFonts w:hint="eastAsia" w:hAnsi="宋体"/>
                <w:bCs/>
                <w:color w:val="auto"/>
                <w:sz w:val="24"/>
                <w:szCs w:val="24"/>
                <w:highlight w:val="none"/>
              </w:rPr>
              <w:t>投标人具有国家版权局颁发的养老服务方面计算机软件著作权登记证书或通过购买服务具有养老服务管理系统的，得2分。</w:t>
            </w:r>
          </w:p>
          <w:p w14:paraId="2218E4D7">
            <w:pPr>
              <w:pStyle w:val="11"/>
              <w:spacing w:after="0" w:line="400" w:lineRule="exact"/>
              <w:ind w:left="0" w:leftChars="0"/>
              <w:jc w:val="left"/>
              <w:rPr>
                <w:rFonts w:hAnsi="宋体"/>
                <w:bCs/>
                <w:color w:val="auto"/>
                <w:sz w:val="24"/>
                <w:szCs w:val="24"/>
                <w:highlight w:val="none"/>
              </w:rPr>
            </w:pPr>
            <w:r>
              <w:rPr>
                <w:rFonts w:hint="eastAsia" w:hAnsi="宋体"/>
                <w:bCs/>
                <w:color w:val="auto"/>
                <w:sz w:val="24"/>
                <w:szCs w:val="24"/>
                <w:highlight w:val="none"/>
              </w:rPr>
              <w:t>注：需提供的证明材料：（1）国家版权局颁发的养老服务方面计算机软件著作权登记证书或（2）养老系统建设购买服务合同，并提供资金支付凭证及发票。</w:t>
            </w:r>
          </w:p>
        </w:tc>
        <w:tc>
          <w:tcPr>
            <w:tcW w:w="850" w:type="dxa"/>
            <w:vAlign w:val="center"/>
          </w:tcPr>
          <w:p w14:paraId="6BBA090F">
            <w:pPr>
              <w:pStyle w:val="13"/>
              <w:spacing w:before="120" w:after="120" w:line="400" w:lineRule="atLeast"/>
              <w:jc w:val="center"/>
              <w:rPr>
                <w:rFonts w:ascii="Times New Roman" w:hAnsi="宋体" w:cs="Times New Roman"/>
                <w:bCs/>
                <w:color w:val="auto"/>
                <w:sz w:val="24"/>
                <w:highlight w:val="none"/>
              </w:rPr>
            </w:pPr>
            <w:r>
              <w:rPr>
                <w:rFonts w:hint="eastAsia" w:cs="仿宋" w:asciiTheme="majorEastAsia" w:hAnsiTheme="majorEastAsia" w:eastAsiaTheme="majorEastAsia"/>
                <w:color w:val="auto"/>
                <w:sz w:val="24"/>
                <w:highlight w:val="none"/>
              </w:rPr>
              <w:t>2分</w:t>
            </w:r>
          </w:p>
        </w:tc>
      </w:tr>
      <w:tr w14:paraId="43CA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19" w:type="dxa"/>
            <w:gridSpan w:val="2"/>
            <w:vAlign w:val="center"/>
          </w:tcPr>
          <w:p w14:paraId="2A15ED64">
            <w:pPr>
              <w:pStyle w:val="11"/>
              <w:spacing w:before="120" w:beforeLines="50" w:afterLines="50" w:line="360" w:lineRule="auto"/>
              <w:ind w:left="0" w:leftChars="0"/>
              <w:jc w:val="left"/>
              <w:rPr>
                <w:rFonts w:hAnsi="宋体"/>
                <w:bCs/>
                <w:color w:val="auto"/>
                <w:sz w:val="24"/>
                <w:szCs w:val="24"/>
                <w:highlight w:val="none"/>
              </w:rPr>
            </w:pPr>
            <w:r>
              <w:rPr>
                <w:rFonts w:hint="eastAsia" w:hAnsi="宋体"/>
                <w:bCs/>
                <w:color w:val="auto"/>
                <w:sz w:val="24"/>
                <w:szCs w:val="24"/>
                <w:highlight w:val="none"/>
              </w:rPr>
              <w:t>合理化建议</w:t>
            </w:r>
          </w:p>
        </w:tc>
        <w:tc>
          <w:tcPr>
            <w:tcW w:w="7938" w:type="dxa"/>
            <w:vAlign w:val="center"/>
          </w:tcPr>
          <w:p w14:paraId="111F7475">
            <w:pPr>
              <w:pStyle w:val="11"/>
              <w:spacing w:after="0" w:line="400" w:lineRule="exact"/>
              <w:ind w:left="0" w:leftChars="0"/>
              <w:jc w:val="left"/>
              <w:rPr>
                <w:rFonts w:hAnsi="宋体"/>
                <w:bCs/>
                <w:color w:val="auto"/>
                <w:sz w:val="24"/>
                <w:szCs w:val="24"/>
                <w:highlight w:val="none"/>
              </w:rPr>
            </w:pPr>
            <w:r>
              <w:rPr>
                <w:rFonts w:hint="eastAsia" w:hAnsi="宋体"/>
                <w:bCs/>
                <w:color w:val="auto"/>
                <w:sz w:val="24"/>
                <w:szCs w:val="24"/>
                <w:highlight w:val="none"/>
              </w:rPr>
              <w:t>投标人能够对除采购文件中规定的服务要求外，针对本项目提出合理化建议，每提出一条合理的建议得0.5分，最高得1分。</w:t>
            </w:r>
          </w:p>
        </w:tc>
        <w:tc>
          <w:tcPr>
            <w:tcW w:w="850" w:type="dxa"/>
            <w:vAlign w:val="center"/>
          </w:tcPr>
          <w:p w14:paraId="0819389E">
            <w:pPr>
              <w:pStyle w:val="13"/>
              <w:spacing w:before="120" w:after="120" w:line="400" w:lineRule="atLeast"/>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1分</w:t>
            </w:r>
          </w:p>
        </w:tc>
      </w:tr>
      <w:tr w14:paraId="72E0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357" w:type="dxa"/>
            <w:gridSpan w:val="3"/>
            <w:vAlign w:val="center"/>
          </w:tcPr>
          <w:p w14:paraId="6870AA85">
            <w:pPr>
              <w:pStyle w:val="11"/>
              <w:spacing w:after="0" w:line="360" w:lineRule="auto"/>
              <w:ind w:left="0" w:leftChars="0"/>
              <w:jc w:val="center"/>
              <w:rPr>
                <w:rFonts w:ascii="宋体" w:hAnsi="宋体" w:cs="宋体" w:eastAsiaTheme="minorEastAsia"/>
                <w:bCs/>
                <w:color w:val="auto"/>
                <w:sz w:val="24"/>
                <w:highlight w:val="none"/>
              </w:rPr>
            </w:pPr>
            <w:r>
              <w:rPr>
                <w:rFonts w:hint="eastAsia" w:ascii="宋体" w:hAnsi="宋体" w:cs="宋体" w:eastAsiaTheme="minorEastAsia"/>
                <w:bCs/>
                <w:color w:val="auto"/>
                <w:sz w:val="24"/>
                <w:highlight w:val="none"/>
              </w:rPr>
              <w:t>资信、商务及其他部分</w:t>
            </w:r>
          </w:p>
        </w:tc>
        <w:tc>
          <w:tcPr>
            <w:tcW w:w="850" w:type="dxa"/>
            <w:vAlign w:val="center"/>
          </w:tcPr>
          <w:p w14:paraId="2A3A32EC">
            <w:pPr>
              <w:pStyle w:val="11"/>
              <w:spacing w:before="120" w:beforeLines="50" w:afterLines="50" w:line="360" w:lineRule="auto"/>
              <w:ind w:left="0" w:leftChars="0"/>
              <w:jc w:val="left"/>
              <w:rPr>
                <w:rFonts w:ascii="宋体" w:hAnsi="宋体" w:cs="宋体" w:eastAsiaTheme="minorEastAsia"/>
                <w:bCs/>
                <w:color w:val="auto"/>
                <w:sz w:val="24"/>
                <w:highlight w:val="none"/>
              </w:rPr>
            </w:pPr>
            <w:r>
              <w:rPr>
                <w:rFonts w:hint="eastAsia" w:ascii="宋体" w:hAnsi="宋体" w:cs="宋体" w:eastAsiaTheme="minorEastAsia"/>
                <w:bCs/>
                <w:color w:val="auto"/>
                <w:sz w:val="24"/>
                <w:highlight w:val="none"/>
              </w:rPr>
              <w:t>13分</w:t>
            </w:r>
          </w:p>
        </w:tc>
      </w:tr>
      <w:tr w14:paraId="2530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419" w:type="dxa"/>
            <w:gridSpan w:val="2"/>
            <w:vAlign w:val="center"/>
          </w:tcPr>
          <w:p w14:paraId="23F25FAD">
            <w:pPr>
              <w:pStyle w:val="11"/>
              <w:spacing w:before="120" w:beforeLines="50" w:afterLines="50" w:line="360" w:lineRule="auto"/>
              <w:ind w:left="0" w:leftChars="0"/>
              <w:jc w:val="left"/>
              <w:rPr>
                <w:rFonts w:hAnsi="宋体"/>
                <w:bCs/>
                <w:color w:val="auto"/>
                <w:sz w:val="24"/>
                <w:szCs w:val="24"/>
                <w:highlight w:val="none"/>
              </w:rPr>
            </w:pPr>
            <w:r>
              <w:rPr>
                <w:rFonts w:hint="eastAsia" w:hAnsi="宋体"/>
                <w:bCs/>
                <w:color w:val="auto"/>
                <w:sz w:val="24"/>
                <w:szCs w:val="24"/>
                <w:highlight w:val="none"/>
              </w:rPr>
              <w:t>企业业绩</w:t>
            </w:r>
          </w:p>
        </w:tc>
        <w:tc>
          <w:tcPr>
            <w:tcW w:w="7938" w:type="dxa"/>
            <w:vAlign w:val="center"/>
          </w:tcPr>
          <w:p w14:paraId="790C8A78">
            <w:pPr>
              <w:pStyle w:val="11"/>
              <w:spacing w:after="0" w:line="400" w:lineRule="exact"/>
              <w:ind w:left="0" w:leftChars="0"/>
              <w:jc w:val="left"/>
              <w:rPr>
                <w:rFonts w:hAnsi="宋体"/>
                <w:bCs/>
                <w:color w:val="auto"/>
                <w:sz w:val="24"/>
                <w:szCs w:val="24"/>
                <w:highlight w:val="none"/>
              </w:rPr>
            </w:pPr>
            <w:r>
              <w:rPr>
                <w:rFonts w:hint="eastAsia" w:hAnsi="宋体"/>
                <w:bCs/>
                <w:color w:val="auto"/>
                <w:sz w:val="24"/>
                <w:szCs w:val="24"/>
                <w:highlight w:val="none"/>
              </w:rPr>
              <w:t>投标人2022年1月1日至今（以合同签订时间为准）同类项目业绩，每提供1个合同的得1分，最高得1分，未提供采购项目合同复印件的不得分。</w:t>
            </w:r>
          </w:p>
        </w:tc>
        <w:tc>
          <w:tcPr>
            <w:tcW w:w="850" w:type="dxa"/>
            <w:vAlign w:val="center"/>
          </w:tcPr>
          <w:p w14:paraId="1783276B">
            <w:pPr>
              <w:pStyle w:val="11"/>
              <w:spacing w:before="120" w:beforeLines="50" w:afterLines="50" w:line="360" w:lineRule="auto"/>
              <w:ind w:left="0" w:leftChars="0"/>
              <w:jc w:val="left"/>
              <w:rPr>
                <w:rFonts w:hAnsi="宋体"/>
                <w:bCs/>
                <w:color w:val="auto"/>
                <w:sz w:val="24"/>
                <w:szCs w:val="24"/>
                <w:highlight w:val="none"/>
              </w:rPr>
            </w:pPr>
            <w:r>
              <w:rPr>
                <w:rFonts w:hint="eastAsia" w:hAnsi="宋体"/>
                <w:bCs/>
                <w:color w:val="auto"/>
                <w:sz w:val="24"/>
                <w:szCs w:val="24"/>
                <w:highlight w:val="none"/>
              </w:rPr>
              <w:t>1分</w:t>
            </w:r>
          </w:p>
        </w:tc>
      </w:tr>
      <w:tr w14:paraId="1346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419" w:type="dxa"/>
            <w:gridSpan w:val="2"/>
            <w:vAlign w:val="center"/>
          </w:tcPr>
          <w:p w14:paraId="6BF2BE15">
            <w:pPr>
              <w:pStyle w:val="11"/>
              <w:spacing w:before="120" w:beforeLines="50" w:afterLines="50" w:line="360" w:lineRule="auto"/>
              <w:ind w:left="0" w:leftChars="0"/>
              <w:jc w:val="left"/>
              <w:rPr>
                <w:rFonts w:hAnsi="宋体"/>
                <w:bCs/>
                <w:color w:val="auto"/>
                <w:sz w:val="24"/>
                <w:szCs w:val="24"/>
                <w:highlight w:val="none"/>
              </w:rPr>
            </w:pPr>
            <w:r>
              <w:rPr>
                <w:rFonts w:hint="eastAsia" w:hAnsi="宋体"/>
                <w:bCs/>
                <w:color w:val="auto"/>
                <w:sz w:val="24"/>
                <w:szCs w:val="24"/>
                <w:highlight w:val="none"/>
              </w:rPr>
              <w:t>权威认证</w:t>
            </w:r>
          </w:p>
        </w:tc>
        <w:tc>
          <w:tcPr>
            <w:tcW w:w="7938" w:type="dxa"/>
            <w:vAlign w:val="center"/>
          </w:tcPr>
          <w:p w14:paraId="42837B55">
            <w:pPr>
              <w:pStyle w:val="11"/>
              <w:spacing w:after="0" w:line="400" w:lineRule="exact"/>
              <w:ind w:left="0" w:leftChars="0"/>
              <w:jc w:val="left"/>
              <w:rPr>
                <w:rFonts w:hAnsi="宋体"/>
                <w:bCs/>
                <w:color w:val="auto"/>
                <w:sz w:val="24"/>
                <w:szCs w:val="24"/>
                <w:highlight w:val="none"/>
              </w:rPr>
            </w:pPr>
            <w:r>
              <w:rPr>
                <w:rFonts w:hint="eastAsia" w:hAnsi="宋体"/>
                <w:bCs/>
                <w:color w:val="auto"/>
                <w:sz w:val="24"/>
                <w:szCs w:val="24"/>
                <w:highlight w:val="none"/>
              </w:rPr>
              <w:t>投标人具有有效期内的质量管理体系认证证书、环境管理体系认证证书、职业健康安全认证证书的，每项得1分，最高得3分。注：提供认证证书复印件及全国认证认可信息公共服务平台网站截图，未提供不得分。</w:t>
            </w:r>
          </w:p>
        </w:tc>
        <w:tc>
          <w:tcPr>
            <w:tcW w:w="850" w:type="dxa"/>
            <w:vAlign w:val="center"/>
          </w:tcPr>
          <w:p w14:paraId="6533288D">
            <w:pPr>
              <w:pStyle w:val="11"/>
              <w:spacing w:before="120" w:beforeLines="50" w:afterLines="50" w:line="360" w:lineRule="auto"/>
              <w:ind w:left="0" w:leftChars="0"/>
              <w:jc w:val="left"/>
              <w:rPr>
                <w:rFonts w:hAnsi="宋体"/>
                <w:bCs/>
                <w:color w:val="auto"/>
                <w:sz w:val="24"/>
                <w:szCs w:val="24"/>
                <w:highlight w:val="none"/>
              </w:rPr>
            </w:pPr>
            <w:r>
              <w:rPr>
                <w:rFonts w:hint="eastAsia" w:hAnsi="宋体"/>
                <w:bCs/>
                <w:color w:val="auto"/>
                <w:sz w:val="24"/>
                <w:szCs w:val="24"/>
                <w:highlight w:val="none"/>
              </w:rPr>
              <w:t>3分</w:t>
            </w:r>
          </w:p>
        </w:tc>
      </w:tr>
      <w:tr w14:paraId="2F35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419" w:type="dxa"/>
            <w:gridSpan w:val="2"/>
            <w:vAlign w:val="center"/>
          </w:tcPr>
          <w:p w14:paraId="5F760686">
            <w:pPr>
              <w:pStyle w:val="11"/>
              <w:spacing w:before="120" w:beforeLines="50" w:afterLines="50" w:line="360" w:lineRule="auto"/>
              <w:ind w:left="0" w:leftChars="0"/>
              <w:jc w:val="left"/>
              <w:rPr>
                <w:rFonts w:hAnsi="宋体"/>
                <w:bCs/>
                <w:color w:val="auto"/>
                <w:sz w:val="24"/>
                <w:szCs w:val="24"/>
                <w:highlight w:val="none"/>
              </w:rPr>
            </w:pPr>
            <w:r>
              <w:rPr>
                <w:rFonts w:hint="eastAsia" w:hAnsi="宋体"/>
                <w:bCs/>
                <w:color w:val="auto"/>
                <w:sz w:val="24"/>
                <w:szCs w:val="24"/>
                <w:highlight w:val="none"/>
              </w:rPr>
              <w:t>企业荣誉</w:t>
            </w:r>
          </w:p>
        </w:tc>
        <w:tc>
          <w:tcPr>
            <w:tcW w:w="7938" w:type="dxa"/>
            <w:vAlign w:val="center"/>
          </w:tcPr>
          <w:p w14:paraId="44FB92A6">
            <w:pPr>
              <w:pStyle w:val="11"/>
              <w:spacing w:after="0" w:line="400" w:lineRule="exact"/>
              <w:ind w:left="0" w:leftChars="0"/>
              <w:jc w:val="left"/>
              <w:rPr>
                <w:rFonts w:hAnsi="宋体"/>
                <w:bCs/>
                <w:color w:val="auto"/>
                <w:sz w:val="24"/>
                <w:szCs w:val="24"/>
                <w:highlight w:val="none"/>
              </w:rPr>
            </w:pPr>
            <w:r>
              <w:rPr>
                <w:rFonts w:hint="eastAsia" w:hAnsi="宋体"/>
                <w:bCs/>
                <w:color w:val="auto"/>
                <w:sz w:val="24"/>
                <w:szCs w:val="24"/>
                <w:highlight w:val="none"/>
              </w:rPr>
              <w:t>投标人提供的2022年1月1日至今政府行政职能部门授予的</w:t>
            </w:r>
            <w:bookmarkStart w:id="119" w:name="OLE_LINK24"/>
            <w:bookmarkStart w:id="120" w:name="OLE_LINK23"/>
            <w:r>
              <w:rPr>
                <w:rFonts w:hint="eastAsia" w:hAnsi="宋体"/>
                <w:bCs/>
                <w:color w:val="auto"/>
                <w:sz w:val="24"/>
                <w:szCs w:val="24"/>
                <w:highlight w:val="none"/>
              </w:rPr>
              <w:t>养老服务方面（含智慧养老）荣誉的</w:t>
            </w:r>
            <w:bookmarkEnd w:id="119"/>
            <w:bookmarkEnd w:id="120"/>
            <w:r>
              <w:rPr>
                <w:rFonts w:hint="eastAsia" w:hAnsi="宋体"/>
                <w:bCs/>
                <w:color w:val="auto"/>
                <w:sz w:val="24"/>
                <w:szCs w:val="24"/>
                <w:highlight w:val="none"/>
              </w:rPr>
              <w:t>：国家级，包含国务院所属的部、委、办、局授予的荣誉的得3分；省级，包含省政府所属的部、委、办、局（厅）授予的荣誉的得2分；市级，包含市政府所属的部、委、办、局或区、县政府授予的荣誉的得1分。分值不重复计算；未提供不得分（证书上未体现单位名称或有效期的，请提供相应证明文件，否则不计分）。</w:t>
            </w:r>
          </w:p>
        </w:tc>
        <w:tc>
          <w:tcPr>
            <w:tcW w:w="850" w:type="dxa"/>
            <w:vAlign w:val="center"/>
          </w:tcPr>
          <w:p w14:paraId="4900E715">
            <w:pPr>
              <w:pStyle w:val="11"/>
              <w:spacing w:before="120" w:beforeLines="50" w:afterLines="50" w:line="360" w:lineRule="auto"/>
              <w:ind w:left="0" w:leftChars="0"/>
              <w:jc w:val="left"/>
              <w:rPr>
                <w:rFonts w:hAnsi="宋体"/>
                <w:bCs/>
                <w:color w:val="auto"/>
                <w:sz w:val="24"/>
                <w:szCs w:val="24"/>
                <w:highlight w:val="none"/>
              </w:rPr>
            </w:pPr>
            <w:r>
              <w:rPr>
                <w:rFonts w:hint="eastAsia" w:hAnsi="宋体"/>
                <w:bCs/>
                <w:color w:val="auto"/>
                <w:sz w:val="24"/>
                <w:szCs w:val="24"/>
                <w:highlight w:val="none"/>
              </w:rPr>
              <w:t>3分</w:t>
            </w:r>
          </w:p>
        </w:tc>
      </w:tr>
      <w:tr w14:paraId="37BA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19" w:type="dxa"/>
            <w:gridSpan w:val="2"/>
            <w:vAlign w:val="center"/>
          </w:tcPr>
          <w:p w14:paraId="0360D69E">
            <w:pPr>
              <w:pStyle w:val="11"/>
              <w:spacing w:before="120" w:beforeLines="50" w:afterLines="50" w:line="360" w:lineRule="auto"/>
              <w:ind w:left="0" w:leftChars="0"/>
              <w:jc w:val="left"/>
              <w:rPr>
                <w:rFonts w:hAnsi="宋体"/>
                <w:bCs/>
                <w:color w:val="auto"/>
                <w:sz w:val="24"/>
                <w:szCs w:val="24"/>
                <w:highlight w:val="none"/>
              </w:rPr>
            </w:pPr>
            <w:r>
              <w:rPr>
                <w:rFonts w:hint="eastAsia" w:hAnsi="宋体"/>
                <w:bCs/>
                <w:color w:val="auto"/>
                <w:sz w:val="24"/>
                <w:szCs w:val="24"/>
                <w:highlight w:val="none"/>
              </w:rPr>
              <w:t>服务承诺</w:t>
            </w:r>
          </w:p>
        </w:tc>
        <w:tc>
          <w:tcPr>
            <w:tcW w:w="7938" w:type="dxa"/>
            <w:vAlign w:val="center"/>
          </w:tcPr>
          <w:p w14:paraId="1146DE10">
            <w:pPr>
              <w:spacing w:line="400" w:lineRule="atLeast"/>
              <w:rPr>
                <w:rFonts w:hAnsi="宋体"/>
                <w:bCs/>
                <w:color w:val="auto"/>
                <w:kern w:val="0"/>
                <w:sz w:val="24"/>
                <w:highlight w:val="none"/>
              </w:rPr>
            </w:pPr>
            <w:r>
              <w:rPr>
                <w:rFonts w:hint="eastAsia" w:hAnsi="宋体"/>
                <w:bCs/>
                <w:color w:val="auto"/>
                <w:kern w:val="0"/>
                <w:sz w:val="24"/>
                <w:highlight w:val="none"/>
              </w:rPr>
              <w:t>1.投标人承诺个性化服务补贴用于发放个性化服务人员薪资占比不低于50%得1分；</w:t>
            </w:r>
          </w:p>
          <w:p w14:paraId="48498E88">
            <w:pPr>
              <w:spacing w:line="400" w:lineRule="atLeast"/>
              <w:rPr>
                <w:rFonts w:hAnsi="宋体"/>
                <w:bCs/>
                <w:color w:val="auto"/>
                <w:kern w:val="0"/>
                <w:sz w:val="24"/>
                <w:highlight w:val="none"/>
              </w:rPr>
            </w:pPr>
            <w:r>
              <w:rPr>
                <w:rFonts w:hint="eastAsia" w:hAnsi="宋体"/>
                <w:bCs/>
                <w:color w:val="auto"/>
                <w:kern w:val="0"/>
                <w:sz w:val="24"/>
                <w:highlight w:val="none"/>
              </w:rPr>
              <w:t>2.投标人承诺每年投入不少于1万元维修金用于区域内居家养老服务（照料）中心阵地及相关设备维护的得1分。</w:t>
            </w:r>
          </w:p>
          <w:p w14:paraId="18867304">
            <w:pPr>
              <w:spacing w:line="400" w:lineRule="atLeast"/>
              <w:rPr>
                <w:rFonts w:hAnsi="宋体"/>
                <w:bCs/>
                <w:color w:val="auto"/>
                <w:kern w:val="0"/>
                <w:sz w:val="24"/>
                <w:highlight w:val="none"/>
              </w:rPr>
            </w:pPr>
            <w:r>
              <w:rPr>
                <w:rFonts w:hint="eastAsia" w:hAnsi="宋体"/>
                <w:bCs/>
                <w:color w:val="auto"/>
                <w:kern w:val="0"/>
                <w:sz w:val="24"/>
                <w:highlight w:val="none"/>
              </w:rPr>
              <w:t>提供承诺书；未提供不得分。</w:t>
            </w:r>
          </w:p>
        </w:tc>
        <w:tc>
          <w:tcPr>
            <w:tcW w:w="850" w:type="dxa"/>
            <w:vAlign w:val="center"/>
          </w:tcPr>
          <w:p w14:paraId="3B29D2E7">
            <w:pPr>
              <w:pStyle w:val="11"/>
              <w:spacing w:before="120" w:beforeLines="50" w:afterLines="50" w:line="360" w:lineRule="auto"/>
              <w:ind w:left="0" w:leftChars="0"/>
              <w:jc w:val="left"/>
              <w:rPr>
                <w:rFonts w:hAnsi="宋体"/>
                <w:bCs/>
                <w:color w:val="auto"/>
                <w:sz w:val="24"/>
                <w:szCs w:val="24"/>
                <w:highlight w:val="none"/>
              </w:rPr>
            </w:pPr>
            <w:r>
              <w:rPr>
                <w:rFonts w:hint="eastAsia" w:hAnsi="宋体"/>
                <w:bCs/>
                <w:color w:val="auto"/>
                <w:sz w:val="24"/>
                <w:szCs w:val="24"/>
                <w:highlight w:val="none"/>
              </w:rPr>
              <w:t>2分</w:t>
            </w:r>
          </w:p>
        </w:tc>
      </w:tr>
      <w:tr w14:paraId="70CA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19" w:type="dxa"/>
            <w:gridSpan w:val="2"/>
            <w:vAlign w:val="center"/>
          </w:tcPr>
          <w:p w14:paraId="29ED0F96">
            <w:pPr>
              <w:pStyle w:val="11"/>
              <w:spacing w:before="120" w:beforeLines="50" w:afterLines="50" w:line="360" w:lineRule="auto"/>
              <w:ind w:left="0" w:leftChars="0"/>
              <w:jc w:val="left"/>
              <w:rPr>
                <w:rFonts w:hAnsi="宋体"/>
                <w:bCs/>
                <w:color w:val="auto"/>
                <w:sz w:val="24"/>
                <w:szCs w:val="24"/>
                <w:highlight w:val="none"/>
              </w:rPr>
            </w:pPr>
            <w:r>
              <w:rPr>
                <w:rFonts w:hint="eastAsia" w:hAnsi="宋体"/>
                <w:bCs/>
                <w:color w:val="auto"/>
                <w:sz w:val="24"/>
                <w:szCs w:val="24"/>
                <w:highlight w:val="none"/>
              </w:rPr>
              <w:t>培训方案</w:t>
            </w:r>
          </w:p>
        </w:tc>
        <w:tc>
          <w:tcPr>
            <w:tcW w:w="7938" w:type="dxa"/>
            <w:vAlign w:val="center"/>
          </w:tcPr>
          <w:p w14:paraId="26118487">
            <w:pPr>
              <w:spacing w:line="400" w:lineRule="atLeast"/>
              <w:rPr>
                <w:rFonts w:hAnsi="宋体"/>
                <w:bCs/>
                <w:color w:val="auto"/>
                <w:kern w:val="0"/>
                <w:sz w:val="24"/>
                <w:highlight w:val="none"/>
              </w:rPr>
            </w:pPr>
            <w:r>
              <w:rPr>
                <w:rFonts w:hint="eastAsia" w:hAnsi="宋体"/>
                <w:bCs/>
                <w:color w:val="auto"/>
                <w:kern w:val="0"/>
                <w:sz w:val="24"/>
                <w:highlight w:val="none"/>
              </w:rPr>
              <w:t>针对本项目的特点制定的方案，含基本服务和个性服务：包括智能设备和服务系统使用培训方案、工单管理培训方案、服务技能提升培训、工作人员行为规范等培训方案内容完整、科学合理、切实可行的，有针对性解释说明的</w:t>
            </w:r>
            <w:bookmarkStart w:id="121" w:name="OLE_LINK10"/>
            <w:bookmarkStart w:id="122" w:name="OLE_LINK11"/>
            <w:r>
              <w:rPr>
                <w:rFonts w:hint="eastAsia" w:hAnsi="宋体"/>
                <w:bCs/>
                <w:color w:val="auto"/>
                <w:kern w:val="0"/>
                <w:sz w:val="24"/>
                <w:highlight w:val="none"/>
              </w:rPr>
              <w:t>得</w:t>
            </w:r>
            <w:bookmarkStart w:id="123" w:name="OLE_LINK17"/>
            <w:bookmarkStart w:id="124" w:name="OLE_LINK20"/>
            <w:r>
              <w:rPr>
                <w:rFonts w:hint="eastAsia" w:hAnsi="宋体"/>
                <w:bCs/>
                <w:color w:val="auto"/>
                <w:kern w:val="0"/>
                <w:sz w:val="24"/>
                <w:highlight w:val="none"/>
              </w:rPr>
              <w:t>4分；提供的方案基本全面，有针对性解释说明：3分；提供方案的不全面，有针对性有解释说明</w:t>
            </w:r>
            <w:r>
              <w:rPr>
                <w:rFonts w:hAnsi="宋体"/>
                <w:bCs/>
                <w:color w:val="auto"/>
                <w:kern w:val="0"/>
                <w:sz w:val="24"/>
                <w:highlight w:val="none"/>
              </w:rPr>
              <w:t>2</w:t>
            </w:r>
            <w:r>
              <w:rPr>
                <w:rFonts w:hint="eastAsia" w:hAnsi="宋体"/>
                <w:bCs/>
                <w:color w:val="auto"/>
                <w:kern w:val="0"/>
                <w:sz w:val="24"/>
                <w:highlight w:val="none"/>
              </w:rPr>
              <w:t>分；提供的方案不全面，没有针对性解释说明：</w:t>
            </w:r>
            <w:r>
              <w:rPr>
                <w:rFonts w:hAnsi="宋体"/>
                <w:bCs/>
                <w:color w:val="auto"/>
                <w:kern w:val="0"/>
                <w:sz w:val="24"/>
                <w:highlight w:val="none"/>
              </w:rPr>
              <w:t>1</w:t>
            </w:r>
            <w:r>
              <w:rPr>
                <w:rFonts w:hint="eastAsia" w:hAnsi="宋体"/>
                <w:bCs/>
                <w:color w:val="auto"/>
                <w:kern w:val="0"/>
                <w:sz w:val="24"/>
                <w:highlight w:val="none"/>
              </w:rPr>
              <w:t>分；未提供不得分。</w:t>
            </w:r>
            <w:bookmarkEnd w:id="121"/>
            <w:bookmarkEnd w:id="122"/>
            <w:bookmarkEnd w:id="123"/>
            <w:bookmarkEnd w:id="124"/>
          </w:p>
        </w:tc>
        <w:tc>
          <w:tcPr>
            <w:tcW w:w="850" w:type="dxa"/>
            <w:vAlign w:val="center"/>
          </w:tcPr>
          <w:p w14:paraId="65A17ED1">
            <w:pPr>
              <w:pStyle w:val="11"/>
              <w:spacing w:before="120" w:beforeLines="50" w:afterLines="50" w:line="360" w:lineRule="auto"/>
              <w:ind w:left="0" w:leftChars="0"/>
              <w:jc w:val="left"/>
              <w:rPr>
                <w:rFonts w:hAnsi="宋体"/>
                <w:bCs/>
                <w:color w:val="auto"/>
                <w:sz w:val="24"/>
                <w:szCs w:val="24"/>
                <w:highlight w:val="none"/>
              </w:rPr>
            </w:pPr>
            <w:r>
              <w:rPr>
                <w:rFonts w:hint="eastAsia" w:hAnsi="宋体"/>
                <w:bCs/>
                <w:color w:val="auto"/>
                <w:sz w:val="24"/>
                <w:szCs w:val="24"/>
                <w:highlight w:val="none"/>
              </w:rPr>
              <w:t>4分</w:t>
            </w:r>
          </w:p>
        </w:tc>
      </w:tr>
    </w:tbl>
    <w:p w14:paraId="6AEDDC07">
      <w:pPr>
        <w:spacing w:line="360" w:lineRule="auto"/>
        <w:ind w:left="9094" w:leftChars="200" w:hanging="8674" w:hangingChars="3600"/>
        <w:jc w:val="left"/>
        <w:rPr>
          <w:rFonts w:ascii="宋体" w:hAnsi="宋体"/>
          <w:b/>
          <w:bCs/>
          <w:color w:val="auto"/>
          <w:sz w:val="24"/>
          <w:highlight w:val="none"/>
        </w:rPr>
      </w:pPr>
      <w:r>
        <w:rPr>
          <w:rFonts w:hint="eastAsia" w:ascii="宋体" w:hAnsi="宋体"/>
          <w:b/>
          <w:bCs/>
          <w:color w:val="auto"/>
          <w:sz w:val="24"/>
          <w:highlight w:val="none"/>
        </w:rPr>
        <w:t>（四）技术、商务、资信及其他分的计算</w:t>
      </w:r>
    </w:p>
    <w:bookmarkEnd w:id="74"/>
    <w:p w14:paraId="25C54E04">
      <w:pPr>
        <w:spacing w:before="120" w:beforeLines="50" w:after="120" w:afterLines="50" w:line="360" w:lineRule="auto"/>
        <w:ind w:firstLine="480" w:firstLineChars="200"/>
        <w:rPr>
          <w:color w:val="auto"/>
          <w:highlight w:val="none"/>
        </w:rPr>
      </w:pPr>
      <w:r>
        <w:rPr>
          <w:rFonts w:hint="eastAsia" w:ascii="宋体" w:hAnsi="宋体"/>
          <w:color w:val="auto"/>
          <w:sz w:val="24"/>
          <w:highlight w:val="none"/>
        </w:rPr>
        <w:t>技术、商务、资信及其他分按照评标委员会成员的独立评分结果汇总数的算术平均分计算，计算公式为：技术商务资信分=（评标委员会所有成员评分合计数）/（评标委员会组成人员数）</w:t>
      </w:r>
    </w:p>
    <w:p w14:paraId="309665ED">
      <w:pPr>
        <w:pStyle w:val="11"/>
        <w:rPr>
          <w:color w:val="auto"/>
          <w:highlight w:val="none"/>
        </w:rPr>
      </w:pPr>
      <w:r>
        <w:rPr>
          <w:color w:val="auto"/>
          <w:highlight w:val="none"/>
        </w:rPr>
        <w:br w:type="page"/>
      </w:r>
    </w:p>
    <w:p w14:paraId="4D5A0C41">
      <w:pPr>
        <w:adjustRightInd w:val="0"/>
        <w:spacing w:line="360" w:lineRule="auto"/>
        <w:jc w:val="center"/>
        <w:rPr>
          <w:rFonts w:ascii="黑体" w:hAnsi="宋体" w:eastAsia="黑体"/>
          <w:bCs/>
          <w:color w:val="auto"/>
          <w:sz w:val="30"/>
          <w:szCs w:val="30"/>
          <w:highlight w:val="none"/>
        </w:rPr>
      </w:pPr>
      <w:r>
        <w:rPr>
          <w:rFonts w:hint="eastAsia" w:ascii="黑体" w:hAnsi="宋体" w:eastAsia="黑体"/>
          <w:color w:val="auto"/>
          <w:sz w:val="30"/>
          <w:szCs w:val="30"/>
          <w:highlight w:val="none"/>
        </w:rPr>
        <w:t xml:space="preserve">第五章  </w:t>
      </w:r>
      <w:r>
        <w:rPr>
          <w:rFonts w:hint="eastAsia" w:ascii="黑体" w:hAnsi="宋体" w:eastAsia="黑体"/>
          <w:bCs/>
          <w:color w:val="auto"/>
          <w:sz w:val="30"/>
          <w:szCs w:val="30"/>
          <w:highlight w:val="none"/>
        </w:rPr>
        <w:t xml:space="preserve">合同主要条款（供参考）                           </w:t>
      </w:r>
    </w:p>
    <w:p w14:paraId="16BFCD2C">
      <w:pPr>
        <w:snapToGrid w:val="0"/>
        <w:spacing w:line="360" w:lineRule="auto"/>
        <w:jc w:val="center"/>
        <w:outlineLvl w:val="0"/>
        <w:rPr>
          <w:rFonts w:ascii="宋体" w:hAnsi="宋体"/>
          <w:b/>
          <w:bCs/>
          <w:color w:val="auto"/>
          <w:sz w:val="30"/>
          <w:szCs w:val="20"/>
          <w:highlight w:val="none"/>
        </w:rPr>
      </w:pPr>
      <w:r>
        <w:rPr>
          <w:rFonts w:hint="eastAsia" w:ascii="宋体" w:hAnsi="宋体"/>
          <w:b/>
          <w:color w:val="auto"/>
          <w:sz w:val="30"/>
          <w:highlight w:val="none"/>
        </w:rPr>
        <w:t>浙江省政府采购合同指引</w:t>
      </w:r>
    </w:p>
    <w:p w14:paraId="5D5AABA6">
      <w:pPr>
        <w:spacing w:line="460" w:lineRule="exact"/>
        <w:rPr>
          <w:rFonts w:ascii="宋体"/>
          <w:color w:val="auto"/>
          <w:sz w:val="24"/>
          <w:highlight w:val="none"/>
        </w:rPr>
      </w:pPr>
      <w:r>
        <w:rPr>
          <w:rFonts w:hint="eastAsia" w:ascii="宋体" w:hAnsi="宋体" w:cs="宋体"/>
          <w:b/>
          <w:bCs/>
          <w:color w:val="auto"/>
          <w:sz w:val="24"/>
          <w:highlight w:val="none"/>
        </w:rPr>
        <w:t>项目名称：                                   项目编号：</w:t>
      </w:r>
    </w:p>
    <w:p w14:paraId="0C2B51B9">
      <w:pPr>
        <w:spacing w:line="460" w:lineRule="exact"/>
        <w:rPr>
          <w:rFonts w:ascii="宋体"/>
          <w:color w:val="auto"/>
          <w:sz w:val="24"/>
          <w:highlight w:val="none"/>
        </w:rPr>
      </w:pPr>
      <w:r>
        <w:rPr>
          <w:rFonts w:hint="eastAsia" w:ascii="宋体" w:hAnsi="宋体" w:cs="宋体"/>
          <w:color w:val="auto"/>
          <w:sz w:val="24"/>
          <w:highlight w:val="none"/>
        </w:rPr>
        <w:t>甲方：（采购人）</w:t>
      </w:r>
    </w:p>
    <w:p w14:paraId="0BED7D5B">
      <w:pPr>
        <w:spacing w:line="460" w:lineRule="exact"/>
        <w:rPr>
          <w:rFonts w:ascii="宋体"/>
          <w:color w:val="auto"/>
          <w:sz w:val="24"/>
          <w:highlight w:val="none"/>
        </w:rPr>
      </w:pPr>
      <w:r>
        <w:rPr>
          <w:rFonts w:hint="eastAsia" w:ascii="宋体" w:hAnsi="宋体" w:cs="宋体"/>
          <w:color w:val="auto"/>
          <w:sz w:val="24"/>
          <w:highlight w:val="none"/>
        </w:rPr>
        <w:t>乙方：（中标供应商）</w:t>
      </w:r>
    </w:p>
    <w:p w14:paraId="098B40F9">
      <w:pPr>
        <w:spacing w:line="460" w:lineRule="exact"/>
        <w:ind w:left="165" w:firstLine="480" w:firstLineChars="200"/>
        <w:rPr>
          <w:rFonts w:ascii="宋体"/>
          <w:color w:val="auto"/>
          <w:sz w:val="24"/>
          <w:highlight w:val="none"/>
        </w:rPr>
      </w:pPr>
      <w:r>
        <w:rPr>
          <w:rFonts w:hint="eastAsia" w:ascii="宋体" w:hAnsi="宋体" w:cs="宋体"/>
          <w:color w:val="auto"/>
          <w:sz w:val="24"/>
          <w:highlight w:val="none"/>
        </w:rPr>
        <w:t>乙双方根据</w:t>
      </w:r>
      <w:r>
        <w:rPr>
          <w:rFonts w:hint="eastAsia" w:ascii="宋体" w:hAnsi="宋体" w:cs="宋体"/>
          <w:color w:val="auto"/>
          <w:sz w:val="24"/>
          <w:highlight w:val="none"/>
          <w:u w:val="single"/>
        </w:rPr>
        <w:t>浙江华耀建设咨询有限公司</w:t>
      </w:r>
      <w:r>
        <w:rPr>
          <w:rFonts w:hint="eastAsia" w:ascii="宋体" w:hAnsi="宋体" w:cs="宋体"/>
          <w:color w:val="auto"/>
          <w:sz w:val="24"/>
          <w:highlight w:val="none"/>
        </w:rPr>
        <w:t>关于</w:t>
      </w:r>
      <w:r>
        <w:rPr>
          <w:rFonts w:hint="eastAsia" w:ascii="宋体" w:hAnsi="宋体" w:cs="宋体"/>
          <w:color w:val="auto"/>
          <w:spacing w:val="-4"/>
          <w:sz w:val="24"/>
          <w:highlight w:val="none"/>
          <w:u w:val="single"/>
        </w:rPr>
        <w:t>2025-2028年度吴兴区居家养老服务（照料）中心运营项目  公开招标</w:t>
      </w:r>
      <w:r>
        <w:rPr>
          <w:rFonts w:hint="eastAsia" w:ascii="宋体" w:hAnsi="宋体" w:cs="宋体"/>
          <w:color w:val="auto"/>
          <w:sz w:val="24"/>
          <w:highlight w:val="none"/>
        </w:rPr>
        <w:t>的结果，签署本合同。</w:t>
      </w:r>
    </w:p>
    <w:p w14:paraId="68E410DE">
      <w:pPr>
        <w:spacing w:line="460" w:lineRule="exact"/>
        <w:ind w:firstLine="482" w:firstLineChars="200"/>
        <w:rPr>
          <w:rFonts w:ascii="宋体"/>
          <w:b/>
          <w:bCs/>
          <w:color w:val="auto"/>
          <w:sz w:val="24"/>
          <w:highlight w:val="none"/>
        </w:rPr>
      </w:pPr>
      <w:r>
        <w:rPr>
          <w:rFonts w:hint="eastAsia" w:ascii="宋体" w:hAnsi="宋体" w:cs="宋体"/>
          <w:b/>
          <w:bCs/>
          <w:color w:val="auto"/>
          <w:sz w:val="24"/>
          <w:highlight w:val="none"/>
        </w:rPr>
        <w:t>一、服务内容</w:t>
      </w:r>
    </w:p>
    <w:p w14:paraId="4D395BB9">
      <w:pPr>
        <w:spacing w:line="460" w:lineRule="exact"/>
        <w:ind w:firstLine="464" w:firstLineChars="200"/>
        <w:rPr>
          <w:rFonts w:ascii="宋体" w:hAnsi="宋体" w:cs="宋体"/>
          <w:color w:val="auto"/>
          <w:spacing w:val="-4"/>
          <w:sz w:val="24"/>
          <w:highlight w:val="none"/>
        </w:rPr>
      </w:pPr>
      <w:r>
        <w:rPr>
          <w:rFonts w:hint="eastAsia" w:ascii="宋体" w:hAnsi="宋体" w:cs="宋体"/>
          <w:color w:val="auto"/>
          <w:spacing w:val="-4"/>
          <w:sz w:val="24"/>
          <w:highlight w:val="none"/>
        </w:rPr>
        <w:t xml:space="preserve">2025-2028年度吴兴区居家养老服务（照料）中心运营项目  </w:t>
      </w:r>
    </w:p>
    <w:p w14:paraId="3F876D1F">
      <w:pPr>
        <w:spacing w:line="460" w:lineRule="exact"/>
        <w:ind w:firstLine="482" w:firstLineChars="200"/>
        <w:rPr>
          <w:rFonts w:ascii="宋体"/>
          <w:b/>
          <w:bCs/>
          <w:color w:val="auto"/>
          <w:sz w:val="24"/>
          <w:highlight w:val="none"/>
        </w:rPr>
      </w:pPr>
      <w:r>
        <w:rPr>
          <w:rFonts w:hint="eastAsia" w:ascii="宋体" w:hAnsi="宋体" w:cs="宋体"/>
          <w:b/>
          <w:bCs/>
          <w:color w:val="auto"/>
          <w:sz w:val="24"/>
          <w:highlight w:val="none"/>
        </w:rPr>
        <w:t>二、合同金额</w:t>
      </w:r>
    </w:p>
    <w:p w14:paraId="406E4BAD">
      <w:pPr>
        <w:spacing w:line="460" w:lineRule="exact"/>
        <w:ind w:firstLine="480" w:firstLineChars="200"/>
        <w:rPr>
          <w:rFonts w:hAnsi="宋体"/>
          <w:color w:val="auto"/>
          <w:sz w:val="24"/>
          <w:highlight w:val="none"/>
        </w:rPr>
      </w:pPr>
      <w:r>
        <w:rPr>
          <w:rFonts w:hint="eastAsia" w:hAnsi="宋体" w:cs="宋体"/>
          <w:color w:val="auto"/>
          <w:sz w:val="24"/>
          <w:highlight w:val="none"/>
        </w:rPr>
        <w:t>本合同金额为（大写）：</w:t>
      </w:r>
      <w:r>
        <w:rPr>
          <w:rFonts w:hAnsi="宋体"/>
          <w:color w:val="auto"/>
          <w:sz w:val="24"/>
          <w:highlight w:val="none"/>
        </w:rPr>
        <w:t>_________________________________</w:t>
      </w:r>
      <w:r>
        <w:rPr>
          <w:rFonts w:hint="eastAsia" w:hAnsi="宋体" w:cs="宋体"/>
          <w:color w:val="auto"/>
          <w:sz w:val="24"/>
          <w:highlight w:val="none"/>
        </w:rPr>
        <w:t>元（￥</w:t>
      </w:r>
      <w:r>
        <w:rPr>
          <w:rFonts w:hAnsi="宋体"/>
          <w:color w:val="auto"/>
          <w:sz w:val="24"/>
          <w:highlight w:val="none"/>
        </w:rPr>
        <w:t>_______________</w:t>
      </w:r>
      <w:r>
        <w:rPr>
          <w:rFonts w:hint="eastAsia" w:hAnsi="宋体" w:cs="宋体"/>
          <w:color w:val="auto"/>
          <w:sz w:val="24"/>
          <w:highlight w:val="none"/>
        </w:rPr>
        <w:t>元）人民币。</w:t>
      </w:r>
    </w:p>
    <w:p w14:paraId="1553652F">
      <w:pPr>
        <w:spacing w:line="460" w:lineRule="exact"/>
        <w:ind w:firstLine="482" w:firstLineChars="200"/>
        <w:rPr>
          <w:rFonts w:ascii="宋体"/>
          <w:color w:val="auto"/>
          <w:sz w:val="24"/>
          <w:highlight w:val="none"/>
        </w:rPr>
      </w:pPr>
      <w:r>
        <w:rPr>
          <w:rFonts w:hint="eastAsia" w:ascii="宋体" w:hAnsi="宋体" w:cs="宋体"/>
          <w:b/>
          <w:bCs/>
          <w:color w:val="auto"/>
          <w:sz w:val="24"/>
          <w:highlight w:val="none"/>
        </w:rPr>
        <w:t>三、技术资料</w:t>
      </w:r>
    </w:p>
    <w:p w14:paraId="4E514436">
      <w:pPr>
        <w:spacing w:line="460" w:lineRule="exact"/>
        <w:ind w:firstLine="480" w:firstLineChars="200"/>
        <w:rPr>
          <w:rFonts w:ascii="宋体"/>
          <w:color w:val="auto"/>
          <w:sz w:val="24"/>
          <w:highlight w:val="none"/>
        </w:rPr>
      </w:pPr>
      <w:r>
        <w:rPr>
          <w:rFonts w:ascii="宋体" w:hAnsi="宋体" w:cs="宋体"/>
          <w:color w:val="auto"/>
          <w:sz w:val="24"/>
          <w:highlight w:val="none"/>
        </w:rPr>
        <w:t>1</w:t>
      </w:r>
      <w:r>
        <w:rPr>
          <w:rFonts w:ascii="宋体" w:cs="宋体"/>
          <w:color w:val="auto"/>
          <w:sz w:val="24"/>
          <w:highlight w:val="none"/>
        </w:rPr>
        <w:t>.</w:t>
      </w:r>
      <w:r>
        <w:rPr>
          <w:rFonts w:hint="eastAsia" w:ascii="宋体" w:hAnsi="宋体" w:cs="宋体"/>
          <w:color w:val="auto"/>
          <w:sz w:val="24"/>
          <w:highlight w:val="none"/>
        </w:rPr>
        <w:t>乙方应按招标文件规定的时间向甲方提供有关技术资料。</w:t>
      </w:r>
    </w:p>
    <w:p w14:paraId="5EF28BB8">
      <w:pPr>
        <w:spacing w:line="460" w:lineRule="exact"/>
        <w:ind w:firstLine="480" w:firstLineChars="200"/>
        <w:rPr>
          <w:rFonts w:ascii="宋体"/>
          <w:color w:val="auto"/>
          <w:sz w:val="24"/>
          <w:highlight w:val="none"/>
        </w:rPr>
      </w:pPr>
      <w:r>
        <w:rPr>
          <w:rFonts w:ascii="宋体" w:hAnsi="宋体" w:cs="宋体"/>
          <w:color w:val="auto"/>
          <w:sz w:val="24"/>
          <w:highlight w:val="none"/>
        </w:rPr>
        <w:t>2</w:t>
      </w:r>
      <w:r>
        <w:rPr>
          <w:rFonts w:ascii="宋体" w:cs="宋体"/>
          <w:color w:val="auto"/>
          <w:sz w:val="24"/>
          <w:highlight w:val="none"/>
        </w:rPr>
        <w:t>.</w:t>
      </w:r>
      <w:r>
        <w:rPr>
          <w:rFonts w:hint="eastAsia" w:ascii="宋体" w:hAnsi="宋体" w:cs="宋体"/>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41DE474">
      <w:pPr>
        <w:spacing w:line="460" w:lineRule="exact"/>
        <w:ind w:firstLine="482" w:firstLineChars="200"/>
        <w:rPr>
          <w:rFonts w:ascii="宋体"/>
          <w:b/>
          <w:bCs/>
          <w:color w:val="auto"/>
          <w:sz w:val="24"/>
          <w:highlight w:val="none"/>
        </w:rPr>
      </w:pPr>
      <w:r>
        <w:rPr>
          <w:rFonts w:hint="eastAsia" w:ascii="宋体" w:hAnsi="宋体" w:cs="宋体"/>
          <w:b/>
          <w:bCs/>
          <w:color w:val="auto"/>
          <w:sz w:val="24"/>
          <w:highlight w:val="none"/>
        </w:rPr>
        <w:t>四、知识产权</w:t>
      </w:r>
    </w:p>
    <w:p w14:paraId="0BAD9109">
      <w:pPr>
        <w:spacing w:line="460" w:lineRule="exact"/>
        <w:ind w:firstLine="480" w:firstLineChars="200"/>
        <w:rPr>
          <w:rFonts w:ascii="宋体"/>
          <w:color w:val="auto"/>
          <w:sz w:val="24"/>
          <w:highlight w:val="none"/>
        </w:rPr>
      </w:pPr>
      <w:r>
        <w:rPr>
          <w:rFonts w:hint="eastAsia" w:ascii="宋体" w:hAnsi="宋体" w:cs="宋体"/>
          <w:color w:val="auto"/>
          <w:sz w:val="24"/>
          <w:highlight w:val="none"/>
        </w:rPr>
        <w:t>乙方应保证提供服务过程中不会侵犯任何第三方的知识产权。</w:t>
      </w:r>
    </w:p>
    <w:p w14:paraId="6E88FBCC">
      <w:pPr>
        <w:spacing w:line="460" w:lineRule="exact"/>
        <w:ind w:firstLine="482" w:firstLineChars="200"/>
        <w:rPr>
          <w:rFonts w:ascii="宋体"/>
          <w:b/>
          <w:bCs/>
          <w:color w:val="auto"/>
          <w:sz w:val="24"/>
          <w:highlight w:val="none"/>
        </w:rPr>
      </w:pPr>
      <w:r>
        <w:rPr>
          <w:rFonts w:hint="eastAsia" w:ascii="宋体" w:hAnsi="宋体" w:cs="宋体"/>
          <w:b/>
          <w:bCs/>
          <w:color w:val="auto"/>
          <w:sz w:val="24"/>
          <w:highlight w:val="none"/>
        </w:rPr>
        <w:t>五、转包或分包</w:t>
      </w:r>
    </w:p>
    <w:p w14:paraId="0F404193">
      <w:pPr>
        <w:spacing w:line="460" w:lineRule="exact"/>
        <w:ind w:firstLine="480" w:firstLineChars="200"/>
        <w:rPr>
          <w:rFonts w:ascii="宋体" w:hAnsi="宋体" w:cs="宋体"/>
          <w:color w:val="auto"/>
          <w:sz w:val="24"/>
          <w:highlight w:val="none"/>
        </w:rPr>
      </w:pPr>
      <w:r>
        <w:rPr>
          <w:rFonts w:ascii="宋体" w:hAnsi="宋体" w:cs="宋体"/>
          <w:color w:val="auto"/>
          <w:sz w:val="24"/>
          <w:highlight w:val="none"/>
        </w:rPr>
        <w:t>1</w:t>
      </w:r>
      <w:r>
        <w:rPr>
          <w:rFonts w:ascii="宋体" w:cs="宋体"/>
          <w:color w:val="auto"/>
          <w:sz w:val="24"/>
          <w:highlight w:val="none"/>
        </w:rPr>
        <w:t>.</w:t>
      </w:r>
      <w:r>
        <w:rPr>
          <w:rFonts w:hint="eastAsia" w:ascii="宋体" w:hAnsi="宋体" w:cs="宋体"/>
          <w:color w:val="auto"/>
          <w:sz w:val="24"/>
          <w:highlight w:val="none"/>
        </w:rPr>
        <w:t>本合同范围的服务，应由乙方直接供应，不得转让他人供应。</w:t>
      </w:r>
    </w:p>
    <w:p w14:paraId="074F17A2">
      <w:pPr>
        <w:spacing w:line="460" w:lineRule="exact"/>
        <w:ind w:firstLine="480" w:firstLineChars="200"/>
        <w:rPr>
          <w:rFonts w:ascii="宋体" w:hAnsi="宋体" w:cs="宋体"/>
          <w:color w:val="auto"/>
          <w:sz w:val="24"/>
          <w:highlight w:val="none"/>
        </w:rPr>
      </w:pPr>
      <w:r>
        <w:rPr>
          <w:rFonts w:ascii="宋体" w:hAnsi="宋体" w:cs="宋体"/>
          <w:color w:val="auto"/>
          <w:sz w:val="24"/>
          <w:highlight w:val="none"/>
        </w:rPr>
        <w:t>2.本项目</w:t>
      </w:r>
      <w:r>
        <w:rPr>
          <w:rFonts w:hint="eastAsia" w:ascii="宋体" w:hAnsi="宋体" w:cs="宋体"/>
          <w:color w:val="auto"/>
          <w:sz w:val="24"/>
          <w:highlight w:val="none"/>
        </w:rPr>
        <w:t>不得</w:t>
      </w:r>
      <w:r>
        <w:rPr>
          <w:rFonts w:ascii="宋体" w:hAnsi="宋体" w:cs="宋体"/>
          <w:color w:val="auto"/>
          <w:sz w:val="24"/>
          <w:highlight w:val="none"/>
        </w:rPr>
        <w:t>分包</w:t>
      </w:r>
      <w:r>
        <w:rPr>
          <w:rFonts w:hint="eastAsia" w:ascii="宋体" w:hAnsi="宋体" w:cs="宋体"/>
          <w:color w:val="auto"/>
          <w:sz w:val="24"/>
          <w:highlight w:val="none"/>
        </w:rPr>
        <w:t>。</w:t>
      </w:r>
    </w:p>
    <w:p w14:paraId="19C9355D">
      <w:pPr>
        <w:spacing w:line="460" w:lineRule="exact"/>
        <w:ind w:firstLine="480" w:firstLineChars="200"/>
        <w:rPr>
          <w:rFonts w:ascii="宋体"/>
          <w:color w:val="auto"/>
          <w:sz w:val="24"/>
          <w:highlight w:val="none"/>
        </w:rPr>
      </w:pPr>
      <w:r>
        <w:rPr>
          <w:rFonts w:ascii="宋体" w:hAnsi="宋体" w:cs="宋体"/>
          <w:color w:val="auto"/>
          <w:sz w:val="24"/>
          <w:highlight w:val="none"/>
        </w:rPr>
        <w:t>3</w:t>
      </w:r>
      <w:r>
        <w:rPr>
          <w:rFonts w:ascii="宋体" w:cs="宋体"/>
          <w:color w:val="auto"/>
          <w:sz w:val="24"/>
          <w:highlight w:val="none"/>
        </w:rPr>
        <w:t>.</w:t>
      </w:r>
      <w:r>
        <w:rPr>
          <w:rFonts w:hint="eastAsia" w:ascii="宋体" w:hAnsi="宋体" w:cs="宋体"/>
          <w:color w:val="auto"/>
          <w:sz w:val="24"/>
          <w:highlight w:val="none"/>
        </w:rPr>
        <w:t>如有转让，甲方有权解除合同并追究乙方的违约责任。</w:t>
      </w:r>
    </w:p>
    <w:p w14:paraId="6924D619">
      <w:pPr>
        <w:spacing w:line="4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六、合同履行时间</w:t>
      </w:r>
    </w:p>
    <w:p w14:paraId="05B6DBEA">
      <w:pPr>
        <w:spacing w:line="460" w:lineRule="exact"/>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履行时间：3年</w:t>
      </w:r>
    </w:p>
    <w:p w14:paraId="38631CF2">
      <w:pPr>
        <w:spacing w:line="460" w:lineRule="exact"/>
        <w:ind w:firstLine="482" w:firstLineChars="200"/>
        <w:rPr>
          <w:rFonts w:hAnsi="宋体" w:cs="宋体"/>
          <w:b/>
          <w:bCs/>
          <w:color w:val="auto"/>
          <w:sz w:val="24"/>
          <w:highlight w:val="none"/>
        </w:rPr>
      </w:pPr>
      <w:r>
        <w:rPr>
          <w:rFonts w:hint="eastAsia" w:hAnsi="宋体" w:cs="宋体"/>
          <w:b/>
          <w:bCs/>
          <w:color w:val="auto"/>
          <w:sz w:val="24"/>
          <w:highlight w:val="none"/>
        </w:rPr>
        <w:t>七、履约保证金</w:t>
      </w:r>
    </w:p>
    <w:p w14:paraId="4229DDAD">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无</w:t>
      </w:r>
    </w:p>
    <w:p w14:paraId="050265FE">
      <w:pPr>
        <w:spacing w:line="4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八、款项支付</w:t>
      </w:r>
    </w:p>
    <w:p w14:paraId="4055F09B">
      <w:pPr>
        <w:spacing w:line="480" w:lineRule="exact"/>
        <w:rPr>
          <w:rFonts w:cs="仿宋_GB2312" w:asciiTheme="majorEastAsia" w:hAnsiTheme="majorEastAsia" w:eastAsiaTheme="majorEastAsia"/>
          <w:color w:val="auto"/>
          <w:sz w:val="24"/>
          <w:highlight w:val="none"/>
        </w:rPr>
      </w:pPr>
      <w:r>
        <w:rPr>
          <w:rFonts w:hint="eastAsia" w:ascii="宋体" w:hAnsi="宋体" w:cs="仿宋_GB2312"/>
          <w:color w:val="auto"/>
          <w:sz w:val="24"/>
          <w:highlight w:val="none"/>
        </w:rPr>
        <w:t>1</w:t>
      </w:r>
      <w:r>
        <w:rPr>
          <w:rFonts w:ascii="宋体" w:hAnsi="宋体" w:cs="仿宋_GB2312"/>
          <w:color w:val="auto"/>
          <w:sz w:val="24"/>
          <w:highlight w:val="none"/>
        </w:rPr>
        <w:t>.</w:t>
      </w:r>
      <w:r>
        <w:rPr>
          <w:rFonts w:hint="eastAsia" w:cs="仿宋_GB2312" w:asciiTheme="majorEastAsia" w:hAnsiTheme="majorEastAsia" w:eastAsiaTheme="majorEastAsia"/>
          <w:color w:val="auto"/>
          <w:sz w:val="24"/>
          <w:highlight w:val="none"/>
        </w:rPr>
        <w:t>根据《保障中小企业款项支付条例》、省财政厅《浙江省财政厅关于进一步发挥政府采购政策功能全力推动经济稳进提质的通知》（浙财采监【2022】3 号）要求，制定如下付款方式：合同生效以及具备实施条件后7个工作日支付首年合同金额的20%作为预付款；2025年度三季度支付至年度总资金的60%，2026年度三季度支付2025年度清算剩余资金、2026年度至2028年度每季度按实结算。</w:t>
      </w:r>
    </w:p>
    <w:p w14:paraId="52F14682">
      <w:pPr>
        <w:tabs>
          <w:tab w:val="left" w:pos="8280"/>
        </w:tabs>
        <w:autoSpaceDE w:val="0"/>
        <w:autoSpaceDN w:val="0"/>
        <w:adjustRightInd w:val="0"/>
        <w:spacing w:line="480" w:lineRule="exact"/>
        <w:ind w:right="25"/>
        <w:rPr>
          <w:rFonts w:ascii="宋体" w:hAnsi="宋体"/>
          <w:color w:val="auto"/>
          <w:sz w:val="24"/>
          <w:highlight w:val="none"/>
        </w:rPr>
      </w:pPr>
      <w:r>
        <w:rPr>
          <w:rFonts w:hint="eastAsia" w:cs="仿宋_GB2312" w:asciiTheme="majorEastAsia" w:hAnsiTheme="majorEastAsia" w:eastAsiaTheme="majorEastAsia"/>
          <w:color w:val="auto"/>
          <w:sz w:val="24"/>
          <w:highlight w:val="none"/>
        </w:rPr>
        <w:t>注：</w:t>
      </w:r>
      <w:r>
        <w:rPr>
          <w:rFonts w:hint="eastAsia" w:ascii="宋体" w:hAnsi="宋体"/>
          <w:color w:val="auto"/>
          <w:sz w:val="24"/>
          <w:highlight w:val="none"/>
        </w:rPr>
        <w:t>1、中标供应商在采购人每次付款前需开具增值税发票。</w:t>
      </w:r>
    </w:p>
    <w:p w14:paraId="083C4B46">
      <w:pPr>
        <w:spacing w:line="460" w:lineRule="exact"/>
        <w:ind w:firstLine="480" w:firstLineChars="200"/>
        <w:rPr>
          <w:rFonts w:ascii="宋体" w:hAnsi="宋体" w:cs="仿宋_GB2312"/>
          <w:color w:val="auto"/>
          <w:sz w:val="24"/>
          <w:highlight w:val="none"/>
        </w:rPr>
      </w:pPr>
      <w:r>
        <w:rPr>
          <w:rFonts w:hint="eastAsia" w:cs="仿宋_GB2312" w:asciiTheme="majorEastAsia" w:hAnsiTheme="majorEastAsia" w:eastAsiaTheme="majorEastAsia"/>
          <w:color w:val="auto"/>
          <w:sz w:val="24"/>
          <w:highlight w:val="none"/>
        </w:rPr>
        <w:t>2、若中标供应商明确表示无需预付款或者主动要求降低预付款比例的，采购人可不适用前述规定。</w:t>
      </w:r>
    </w:p>
    <w:p w14:paraId="46F7FC8E">
      <w:pPr>
        <w:pStyle w:val="36"/>
        <w:numPr>
          <w:ilvl w:val="0"/>
          <w:numId w:val="0"/>
        </w:numPr>
        <w:tabs>
          <w:tab w:val="left" w:pos="900"/>
          <w:tab w:val="left" w:pos="980"/>
          <w:tab w:val="left" w:pos="1710"/>
        </w:tabs>
        <w:spacing w:before="120" w:after="120" w:line="360" w:lineRule="auto"/>
        <w:ind w:left="2"/>
        <w:rPr>
          <w:rFonts w:ascii="宋体" w:hAnsi="宋体" w:cs="宋体"/>
          <w:b/>
          <w:bCs/>
          <w:color w:val="auto"/>
          <w:sz w:val="24"/>
          <w:highlight w:val="none"/>
        </w:rPr>
      </w:pPr>
      <w:r>
        <w:rPr>
          <w:rFonts w:hint="eastAsia" w:ascii="宋体" w:hAnsi="宋体" w:cs="宋体"/>
          <w:b/>
          <w:bCs/>
          <w:color w:val="auto"/>
          <w:sz w:val="24"/>
          <w:highlight w:val="none"/>
        </w:rPr>
        <w:t>九、税费</w:t>
      </w:r>
    </w:p>
    <w:p w14:paraId="4EF1FDEE">
      <w:pPr>
        <w:spacing w:line="360" w:lineRule="auto"/>
        <w:ind w:firstLine="480" w:firstLineChars="200"/>
        <w:rPr>
          <w:rFonts w:ascii="宋体"/>
          <w:color w:val="auto"/>
          <w:sz w:val="24"/>
          <w:highlight w:val="none"/>
        </w:rPr>
      </w:pPr>
      <w:r>
        <w:rPr>
          <w:rFonts w:hint="eastAsia" w:ascii="宋体" w:hAnsi="宋体" w:cs="宋体"/>
          <w:color w:val="auto"/>
          <w:sz w:val="24"/>
          <w:highlight w:val="none"/>
        </w:rPr>
        <w:t>本合同执行中相关的一切税费均由乙方负担。</w:t>
      </w:r>
    </w:p>
    <w:p w14:paraId="0E2C0112">
      <w:pPr>
        <w:spacing w:line="360" w:lineRule="auto"/>
        <w:rPr>
          <w:rFonts w:ascii="宋体"/>
          <w:b/>
          <w:bCs/>
          <w:color w:val="auto"/>
          <w:sz w:val="24"/>
          <w:highlight w:val="none"/>
        </w:rPr>
      </w:pPr>
      <w:r>
        <w:rPr>
          <w:rFonts w:hint="eastAsia" w:ascii="宋体" w:hAnsi="宋体" w:cs="宋体"/>
          <w:b/>
          <w:bCs/>
          <w:color w:val="auto"/>
          <w:sz w:val="24"/>
          <w:highlight w:val="none"/>
        </w:rPr>
        <w:t>十、质量保证及后续服务</w:t>
      </w:r>
    </w:p>
    <w:p w14:paraId="0AB5FCC5">
      <w:pPr>
        <w:spacing w:line="460" w:lineRule="exact"/>
        <w:ind w:firstLine="480" w:firstLineChars="200"/>
        <w:rPr>
          <w:rFonts w:ascii="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．乙方应按磋商文件规定向甲方提供服务。</w:t>
      </w:r>
    </w:p>
    <w:p w14:paraId="79E33924">
      <w:pPr>
        <w:spacing w:line="460" w:lineRule="exact"/>
        <w:ind w:firstLine="480" w:firstLineChars="200"/>
        <w:rPr>
          <w:rFonts w:ascii="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．乙方提供的服务不到要求者，根据实际情况，经双方协商，可按以下办法处理：</w:t>
      </w:r>
    </w:p>
    <w:p w14:paraId="23360CBF">
      <w:pPr>
        <w:spacing w:line="460" w:lineRule="exact"/>
        <w:ind w:firstLine="480" w:firstLineChars="200"/>
        <w:rPr>
          <w:rFonts w:ascii="宋体"/>
          <w:color w:val="auto"/>
          <w:sz w:val="24"/>
          <w:highlight w:val="none"/>
        </w:rPr>
      </w:pPr>
      <w:r>
        <w:rPr>
          <w:rFonts w:hint="eastAsia" w:ascii="宋体" w:cs="宋体"/>
          <w:color w:val="auto"/>
          <w:sz w:val="24"/>
          <w:highlight w:val="none"/>
        </w:rPr>
        <w:t>⑴</w:t>
      </w:r>
      <w:r>
        <w:rPr>
          <w:rFonts w:hint="eastAsia" w:ascii="宋体" w:hAnsi="宋体" w:cs="宋体"/>
          <w:color w:val="auto"/>
          <w:sz w:val="24"/>
          <w:highlight w:val="none"/>
        </w:rPr>
        <w:t>重做：由乙方承担所发生的全部费用。</w:t>
      </w:r>
    </w:p>
    <w:p w14:paraId="129E38EA">
      <w:pPr>
        <w:spacing w:line="460" w:lineRule="exact"/>
        <w:ind w:firstLine="480" w:firstLineChars="200"/>
        <w:rPr>
          <w:rFonts w:ascii="宋体"/>
          <w:color w:val="auto"/>
          <w:sz w:val="24"/>
          <w:highlight w:val="none"/>
        </w:rPr>
      </w:pPr>
      <w:r>
        <w:rPr>
          <w:rFonts w:hint="eastAsia" w:ascii="宋体" w:cs="宋体"/>
          <w:color w:val="auto"/>
          <w:sz w:val="24"/>
          <w:highlight w:val="none"/>
        </w:rPr>
        <w:t>⑵</w:t>
      </w:r>
      <w:r>
        <w:rPr>
          <w:rFonts w:hint="eastAsia" w:ascii="宋体" w:hAnsi="宋体" w:cs="宋体"/>
          <w:color w:val="auto"/>
          <w:sz w:val="24"/>
          <w:highlight w:val="none"/>
        </w:rPr>
        <w:t>贬值处理：由甲乙双方合议定价。</w:t>
      </w:r>
    </w:p>
    <w:p w14:paraId="491D725B">
      <w:pPr>
        <w:spacing w:line="460" w:lineRule="exact"/>
        <w:ind w:firstLine="480" w:firstLineChars="200"/>
        <w:rPr>
          <w:rFonts w:ascii="宋体"/>
          <w:color w:val="auto"/>
          <w:sz w:val="24"/>
          <w:highlight w:val="none"/>
        </w:rPr>
      </w:pPr>
      <w:r>
        <w:rPr>
          <w:rFonts w:hint="eastAsia" w:ascii="宋体" w:cs="宋体"/>
          <w:color w:val="auto"/>
          <w:sz w:val="24"/>
          <w:highlight w:val="none"/>
        </w:rPr>
        <w:t>⑶</w:t>
      </w:r>
      <w:r>
        <w:rPr>
          <w:rFonts w:hint="eastAsia" w:ascii="宋体" w:hAnsi="宋体" w:cs="宋体"/>
          <w:color w:val="auto"/>
          <w:sz w:val="24"/>
          <w:highlight w:val="none"/>
        </w:rPr>
        <w:t>解除合同。</w:t>
      </w:r>
    </w:p>
    <w:p w14:paraId="68BA7BF7">
      <w:pPr>
        <w:spacing w:line="460" w:lineRule="exact"/>
        <w:rPr>
          <w:rFonts w:ascii="宋体"/>
          <w:b/>
          <w:bCs/>
          <w:color w:val="auto"/>
          <w:sz w:val="24"/>
          <w:highlight w:val="none"/>
        </w:rPr>
      </w:pPr>
      <w:r>
        <w:rPr>
          <w:rFonts w:hint="eastAsia" w:ascii="宋体" w:hAnsi="宋体" w:cs="宋体"/>
          <w:b/>
          <w:bCs/>
          <w:color w:val="auto"/>
          <w:sz w:val="24"/>
          <w:highlight w:val="none"/>
        </w:rPr>
        <w:t>十一、违约责任</w:t>
      </w:r>
    </w:p>
    <w:p w14:paraId="78055B7F">
      <w:pPr>
        <w:spacing w:line="460" w:lineRule="exact"/>
        <w:ind w:firstLine="480" w:firstLineChars="200"/>
        <w:rPr>
          <w:rFonts w:ascii="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．甲方无正当理由拒绝接受服务的，甲方向乙方偿付合同款项百分之五作为违约金。</w:t>
      </w:r>
    </w:p>
    <w:p w14:paraId="49E513FB">
      <w:pPr>
        <w:spacing w:line="460" w:lineRule="exact"/>
        <w:ind w:firstLine="480" w:firstLineChars="200"/>
        <w:rPr>
          <w:rFonts w:ascii="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．甲方无故逾期验收和办理款项支付手续的，甲方应按逾期付款总额每日万分之五向乙方支付违约金。</w:t>
      </w:r>
    </w:p>
    <w:p w14:paraId="62DF760F">
      <w:pPr>
        <w:spacing w:line="460" w:lineRule="exact"/>
        <w:ind w:firstLine="480" w:firstLineChars="200"/>
        <w:rPr>
          <w:rFonts w:ascii="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．乙方未能如期提供服务的，每日向甲方支付合同款项的千分之六作为违约金。乙方超过约定日期</w:t>
      </w:r>
      <w:r>
        <w:rPr>
          <w:rFonts w:ascii="宋体" w:hAnsi="宋体" w:cs="宋体"/>
          <w:color w:val="auto"/>
          <w:sz w:val="24"/>
          <w:highlight w:val="none"/>
        </w:rPr>
        <w:t>10</w:t>
      </w:r>
      <w:r>
        <w:rPr>
          <w:rFonts w:hint="eastAsia" w:ascii="宋体" w:hAnsi="宋体" w:cs="宋体"/>
          <w:color w:val="auto"/>
          <w:sz w:val="24"/>
          <w:highlight w:val="none"/>
        </w:rPr>
        <w:t>个工作日仍不能提供服务的，甲方可解除本合同。乙方因未能如期提供服务或因其他违约行为导致甲方解除合同的，乙方应向甲方支付合同总值</w:t>
      </w:r>
      <w:r>
        <w:rPr>
          <w:rFonts w:ascii="宋体" w:hAnsi="宋体" w:cs="宋体"/>
          <w:color w:val="auto"/>
          <w:sz w:val="24"/>
          <w:highlight w:val="none"/>
        </w:rPr>
        <w:t>5%</w:t>
      </w:r>
      <w:r>
        <w:rPr>
          <w:rFonts w:hint="eastAsia" w:ascii="宋体" w:hAnsi="宋体" w:cs="宋体"/>
          <w:color w:val="auto"/>
          <w:sz w:val="24"/>
          <w:highlight w:val="none"/>
        </w:rPr>
        <w:t>的违约金，如造成甲方损失超过违约金的，超出部分由乙方继续承担赔偿责任。</w:t>
      </w:r>
    </w:p>
    <w:p w14:paraId="3E5E4F8C">
      <w:pPr>
        <w:spacing w:line="460" w:lineRule="exact"/>
        <w:rPr>
          <w:rFonts w:ascii="宋体"/>
          <w:b/>
          <w:bCs/>
          <w:color w:val="auto"/>
          <w:sz w:val="24"/>
          <w:highlight w:val="none"/>
        </w:rPr>
      </w:pPr>
      <w:r>
        <w:rPr>
          <w:rFonts w:hint="eastAsia" w:ascii="宋体" w:hAnsi="宋体" w:cs="宋体"/>
          <w:b/>
          <w:bCs/>
          <w:color w:val="auto"/>
          <w:sz w:val="24"/>
          <w:highlight w:val="none"/>
        </w:rPr>
        <w:t>十二、不可抗力事件处理</w:t>
      </w:r>
    </w:p>
    <w:p w14:paraId="23B926E4">
      <w:pPr>
        <w:spacing w:line="460" w:lineRule="exact"/>
        <w:ind w:firstLine="480" w:firstLineChars="200"/>
        <w:rPr>
          <w:rFonts w:ascii="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．在合同有效期内，任何一方因不可抗力事件导致不能履行合同，则合同履行期可延长，其延长期与不可抗力影响期相同。</w:t>
      </w:r>
    </w:p>
    <w:p w14:paraId="54B9C40D">
      <w:pPr>
        <w:spacing w:line="460" w:lineRule="exact"/>
        <w:ind w:firstLine="480" w:firstLineChars="200"/>
        <w:rPr>
          <w:rFonts w:ascii="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．不可抗力事件发生后，应立即通知对方，并寄送有关权威机构出具的证明。</w:t>
      </w:r>
    </w:p>
    <w:p w14:paraId="03ED8B9B">
      <w:pPr>
        <w:spacing w:line="460" w:lineRule="exact"/>
        <w:ind w:firstLine="480" w:firstLineChars="200"/>
        <w:rPr>
          <w:rFonts w:ascii="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．不可抗力事件延续</w:t>
      </w:r>
      <w:r>
        <w:rPr>
          <w:rFonts w:ascii="宋体" w:hAnsi="宋体" w:cs="宋体"/>
          <w:color w:val="auto"/>
          <w:sz w:val="24"/>
          <w:highlight w:val="none"/>
        </w:rPr>
        <w:t>120</w:t>
      </w:r>
      <w:r>
        <w:rPr>
          <w:rFonts w:hint="eastAsia" w:ascii="宋体" w:hAnsi="宋体" w:cs="宋体"/>
          <w:color w:val="auto"/>
          <w:sz w:val="24"/>
          <w:highlight w:val="none"/>
        </w:rPr>
        <w:t>天以上，双方应通过友好协商，确定是否继续履行合同。</w:t>
      </w:r>
    </w:p>
    <w:p w14:paraId="7052E7B2">
      <w:pPr>
        <w:spacing w:line="460" w:lineRule="exact"/>
        <w:rPr>
          <w:rFonts w:ascii="宋体"/>
          <w:b/>
          <w:bCs/>
          <w:color w:val="auto"/>
          <w:sz w:val="24"/>
          <w:highlight w:val="none"/>
        </w:rPr>
      </w:pPr>
      <w:r>
        <w:rPr>
          <w:rFonts w:hint="eastAsia" w:ascii="宋体" w:hAnsi="宋体" w:cs="宋体"/>
          <w:b/>
          <w:bCs/>
          <w:color w:val="auto"/>
          <w:sz w:val="24"/>
          <w:highlight w:val="none"/>
        </w:rPr>
        <w:t>十三、诉讼</w:t>
      </w:r>
    </w:p>
    <w:p w14:paraId="5C0A240D">
      <w:pPr>
        <w:spacing w:line="460" w:lineRule="exact"/>
        <w:ind w:firstLine="480" w:firstLineChars="200"/>
        <w:rPr>
          <w:rFonts w:ascii="宋体"/>
          <w:color w:val="auto"/>
          <w:sz w:val="24"/>
          <w:highlight w:val="none"/>
        </w:rPr>
      </w:pPr>
      <w:r>
        <w:rPr>
          <w:rFonts w:hint="eastAsia" w:ascii="宋体" w:hAnsi="宋体" w:cs="宋体"/>
          <w:color w:val="auto"/>
          <w:sz w:val="24"/>
          <w:highlight w:val="none"/>
        </w:rPr>
        <w:t>双方在执行合同中所发生的一切争议，应通过协商解决。如协商不成，可向甲方所在地法院起诉。</w:t>
      </w:r>
    </w:p>
    <w:p w14:paraId="1F359856">
      <w:pPr>
        <w:spacing w:line="460" w:lineRule="exact"/>
        <w:rPr>
          <w:rFonts w:ascii="宋体"/>
          <w:b/>
          <w:bCs/>
          <w:color w:val="auto"/>
          <w:sz w:val="24"/>
          <w:highlight w:val="none"/>
        </w:rPr>
      </w:pPr>
      <w:r>
        <w:rPr>
          <w:rFonts w:hint="eastAsia" w:ascii="宋体" w:hAnsi="宋体" w:cs="宋体"/>
          <w:b/>
          <w:bCs/>
          <w:color w:val="auto"/>
          <w:sz w:val="24"/>
          <w:highlight w:val="none"/>
        </w:rPr>
        <w:t>十四、合同生效及其它</w:t>
      </w:r>
    </w:p>
    <w:p w14:paraId="736767A9">
      <w:pPr>
        <w:spacing w:line="460" w:lineRule="exact"/>
        <w:ind w:firstLine="480" w:firstLineChars="200"/>
        <w:rPr>
          <w:rFonts w:ascii="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．合同经双方法定代表人或授权代表签字并加盖单位公章后生效。</w:t>
      </w:r>
    </w:p>
    <w:p w14:paraId="45A10854">
      <w:pPr>
        <w:spacing w:line="460" w:lineRule="exact"/>
        <w:ind w:firstLine="480" w:firstLineChars="200"/>
        <w:rPr>
          <w:rFonts w:ascii="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．合同执行中涉及采购资金和采购内容修改或补充的，须经财政部门审批，并签书面补充协议报政府采购监督管理部门备案，方可作为主合同不可分割的一部分。</w:t>
      </w:r>
    </w:p>
    <w:p w14:paraId="5C4824E8">
      <w:pPr>
        <w:spacing w:line="460" w:lineRule="exact"/>
        <w:ind w:firstLine="480" w:firstLineChars="200"/>
        <w:rPr>
          <w:rFonts w:ascii="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．本合同未尽事宜，遵照《中华人民共和国民法典》有关条文执行。</w:t>
      </w:r>
    </w:p>
    <w:p w14:paraId="5044BD34">
      <w:pPr>
        <w:spacing w:line="460" w:lineRule="exact"/>
        <w:ind w:firstLine="480" w:firstLineChars="200"/>
        <w:rPr>
          <w:rFonts w:ascii="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．合同正本一式五份，甲乙双方各执两份，</w:t>
      </w:r>
      <w:r>
        <w:rPr>
          <w:rFonts w:hint="eastAsia" w:ascii="宋体" w:hAnsi="宋体" w:cs="宋体"/>
          <w:color w:val="auto"/>
          <w:kern w:val="0"/>
          <w:sz w:val="24"/>
          <w:highlight w:val="none"/>
        </w:rPr>
        <w:t>浙江华耀建设咨询有限公司</w:t>
      </w:r>
      <w:r>
        <w:rPr>
          <w:rFonts w:hint="eastAsia" w:ascii="宋体" w:hAnsi="宋体" w:cs="宋体"/>
          <w:color w:val="auto"/>
          <w:sz w:val="24"/>
          <w:highlight w:val="none"/>
        </w:rPr>
        <w:t>（招标代理机构）执一份备案。</w:t>
      </w:r>
    </w:p>
    <w:p w14:paraId="57D22E1E">
      <w:pPr>
        <w:spacing w:line="460" w:lineRule="exact"/>
        <w:ind w:firstLine="482" w:firstLineChars="200"/>
        <w:rPr>
          <w:rFonts w:ascii="宋体"/>
          <w:b/>
          <w:bCs/>
          <w:color w:val="auto"/>
          <w:sz w:val="24"/>
          <w:highlight w:val="none"/>
        </w:rPr>
      </w:pPr>
    </w:p>
    <w:p w14:paraId="0791682F">
      <w:pPr>
        <w:spacing w:line="460" w:lineRule="exact"/>
        <w:rPr>
          <w:rFonts w:ascii="宋体"/>
          <w:b/>
          <w:bCs/>
          <w:color w:val="auto"/>
          <w:sz w:val="24"/>
          <w:highlight w:val="none"/>
        </w:rPr>
      </w:pPr>
      <w:r>
        <w:rPr>
          <w:rFonts w:hint="eastAsia" w:ascii="宋体" w:hAnsi="宋体" w:cs="宋体"/>
          <w:b/>
          <w:bCs/>
          <w:color w:val="auto"/>
          <w:sz w:val="24"/>
          <w:highlight w:val="none"/>
        </w:rPr>
        <w:t>十五、补充条款</w:t>
      </w:r>
    </w:p>
    <w:p w14:paraId="458972AC">
      <w:pPr>
        <w:spacing w:line="460" w:lineRule="exact"/>
        <w:rPr>
          <w:rFonts w:ascii="宋体"/>
          <w:color w:val="auto"/>
          <w:sz w:val="24"/>
          <w:highlight w:val="none"/>
        </w:rPr>
      </w:pPr>
    </w:p>
    <w:p w14:paraId="5AB39ACA">
      <w:pPr>
        <w:tabs>
          <w:tab w:val="left" w:pos="1440"/>
        </w:tabs>
        <w:spacing w:line="460" w:lineRule="exact"/>
        <w:rPr>
          <w:rFonts w:ascii="宋体"/>
          <w:color w:val="auto"/>
          <w:sz w:val="24"/>
          <w:highlight w:val="none"/>
        </w:rPr>
      </w:pPr>
    </w:p>
    <w:p w14:paraId="6A26BB73">
      <w:pPr>
        <w:tabs>
          <w:tab w:val="left" w:pos="1440"/>
        </w:tabs>
        <w:spacing w:line="460" w:lineRule="exact"/>
        <w:rPr>
          <w:rFonts w:ascii="宋体"/>
          <w:color w:val="auto"/>
          <w:sz w:val="24"/>
          <w:highlight w:val="none"/>
        </w:rPr>
      </w:pPr>
      <w:r>
        <w:rPr>
          <w:rFonts w:hint="eastAsia" w:ascii="宋体" w:hAnsi="宋体" w:cs="宋体"/>
          <w:color w:val="auto"/>
          <w:sz w:val="24"/>
          <w:highlight w:val="none"/>
        </w:rPr>
        <w:t>甲方：                         乙方：</w:t>
      </w:r>
    </w:p>
    <w:p w14:paraId="2FCEE46F">
      <w:pPr>
        <w:tabs>
          <w:tab w:val="left" w:pos="1440"/>
        </w:tabs>
        <w:spacing w:line="460" w:lineRule="exact"/>
        <w:rPr>
          <w:rFonts w:ascii="宋体"/>
          <w:color w:val="auto"/>
          <w:sz w:val="24"/>
          <w:highlight w:val="none"/>
        </w:rPr>
      </w:pPr>
      <w:r>
        <w:rPr>
          <w:rFonts w:hint="eastAsia" w:ascii="宋体" w:hAnsi="宋体" w:cs="宋体"/>
          <w:color w:val="auto"/>
          <w:sz w:val="24"/>
          <w:highlight w:val="none"/>
        </w:rPr>
        <w:t>地址：                         地址：</w:t>
      </w:r>
    </w:p>
    <w:p w14:paraId="556A0DE4">
      <w:pPr>
        <w:tabs>
          <w:tab w:val="left" w:pos="1440"/>
        </w:tabs>
        <w:spacing w:line="460" w:lineRule="exact"/>
        <w:rPr>
          <w:rFonts w:ascii="宋体"/>
          <w:color w:val="auto"/>
          <w:sz w:val="24"/>
          <w:highlight w:val="none"/>
        </w:rPr>
      </w:pPr>
      <w:r>
        <w:rPr>
          <w:rFonts w:hint="eastAsia" w:ascii="宋体" w:hAnsi="宋体" w:cs="宋体"/>
          <w:color w:val="auto"/>
          <w:sz w:val="24"/>
          <w:highlight w:val="none"/>
        </w:rPr>
        <w:t>法定（授权）代表人：           法定（授权）代表人：</w:t>
      </w:r>
    </w:p>
    <w:p w14:paraId="342A72EE">
      <w:pPr>
        <w:tabs>
          <w:tab w:val="left" w:pos="1440"/>
        </w:tabs>
        <w:spacing w:line="460" w:lineRule="exact"/>
        <w:rPr>
          <w:rFonts w:ascii="宋体"/>
          <w:color w:val="auto"/>
          <w:sz w:val="24"/>
          <w:highlight w:val="none"/>
        </w:rPr>
      </w:pPr>
      <w:r>
        <w:rPr>
          <w:rFonts w:hint="eastAsia" w:ascii="宋体" w:hAnsi="宋体" w:cs="宋体"/>
          <w:color w:val="auto"/>
          <w:sz w:val="24"/>
          <w:highlight w:val="none"/>
        </w:rPr>
        <w:t>邮编：                         邮编：</w:t>
      </w:r>
    </w:p>
    <w:p w14:paraId="2D6DC6E3">
      <w:pPr>
        <w:spacing w:line="460" w:lineRule="exact"/>
        <w:ind w:right="420" w:rightChars="200"/>
        <w:rPr>
          <w:rFonts w:ascii="宋体"/>
          <w:color w:val="auto"/>
          <w:sz w:val="24"/>
          <w:highlight w:val="none"/>
        </w:rPr>
      </w:pPr>
      <w:r>
        <w:rPr>
          <w:rFonts w:hint="eastAsia" w:ascii="宋体" w:hAnsi="宋体" w:cs="宋体"/>
          <w:color w:val="auto"/>
          <w:sz w:val="24"/>
          <w:highlight w:val="none"/>
        </w:rPr>
        <w:t>日期：                         日期：</w:t>
      </w:r>
    </w:p>
    <w:p w14:paraId="61119691">
      <w:pPr>
        <w:pStyle w:val="13"/>
        <w:snapToGrid w:val="0"/>
        <w:spacing w:beforeLines="0" w:afterLines="0" w:line="360" w:lineRule="auto"/>
        <w:rPr>
          <w:color w:val="auto"/>
          <w:highlight w:val="none"/>
        </w:rPr>
      </w:pPr>
    </w:p>
    <w:p w14:paraId="6867BCB6">
      <w:pPr>
        <w:pStyle w:val="13"/>
        <w:snapToGrid w:val="0"/>
        <w:spacing w:beforeLines="0" w:afterLines="0" w:line="360" w:lineRule="auto"/>
        <w:rPr>
          <w:color w:val="auto"/>
          <w:highlight w:val="none"/>
        </w:rPr>
      </w:pPr>
    </w:p>
    <w:p w14:paraId="47063488">
      <w:pPr>
        <w:pStyle w:val="13"/>
        <w:snapToGrid w:val="0"/>
        <w:spacing w:beforeLines="0" w:afterLines="0" w:line="360" w:lineRule="auto"/>
        <w:rPr>
          <w:color w:val="auto"/>
          <w:highlight w:val="none"/>
        </w:rPr>
      </w:pPr>
    </w:p>
    <w:p w14:paraId="1EB00EC5">
      <w:pPr>
        <w:pStyle w:val="13"/>
        <w:snapToGrid w:val="0"/>
        <w:spacing w:beforeLines="0" w:afterLines="0" w:line="360" w:lineRule="auto"/>
        <w:rPr>
          <w:color w:val="auto"/>
          <w:highlight w:val="none"/>
        </w:rPr>
      </w:pPr>
    </w:p>
    <w:p w14:paraId="754F7C5B">
      <w:pPr>
        <w:pStyle w:val="13"/>
        <w:snapToGrid w:val="0"/>
        <w:spacing w:beforeLines="0" w:afterLines="0" w:line="360" w:lineRule="auto"/>
        <w:rPr>
          <w:color w:val="auto"/>
          <w:highlight w:val="none"/>
        </w:rPr>
      </w:pPr>
    </w:p>
    <w:p w14:paraId="2BD87280">
      <w:pPr>
        <w:pStyle w:val="13"/>
        <w:snapToGrid w:val="0"/>
        <w:spacing w:beforeLines="0" w:afterLines="0" w:line="360" w:lineRule="auto"/>
        <w:rPr>
          <w:color w:val="auto"/>
          <w:highlight w:val="none"/>
        </w:rPr>
      </w:pPr>
    </w:p>
    <w:p w14:paraId="2EA45B44">
      <w:pPr>
        <w:pStyle w:val="13"/>
        <w:snapToGrid w:val="0"/>
        <w:spacing w:beforeLines="0" w:afterLines="0" w:line="360" w:lineRule="auto"/>
        <w:rPr>
          <w:color w:val="auto"/>
          <w:highlight w:val="none"/>
        </w:rPr>
      </w:pPr>
    </w:p>
    <w:p w14:paraId="01FBB4F4">
      <w:pPr>
        <w:pStyle w:val="13"/>
        <w:snapToGrid w:val="0"/>
        <w:spacing w:beforeLines="0" w:afterLines="0" w:line="360" w:lineRule="auto"/>
        <w:rPr>
          <w:color w:val="auto"/>
          <w:highlight w:val="none"/>
        </w:rPr>
      </w:pPr>
    </w:p>
    <w:p w14:paraId="2741498F">
      <w:pPr>
        <w:pStyle w:val="13"/>
        <w:snapToGrid w:val="0"/>
        <w:spacing w:beforeLines="0" w:afterLines="0" w:line="360" w:lineRule="auto"/>
        <w:rPr>
          <w:color w:val="auto"/>
          <w:highlight w:val="none"/>
        </w:rPr>
      </w:pPr>
    </w:p>
    <w:p w14:paraId="0604A894">
      <w:pPr>
        <w:pStyle w:val="13"/>
        <w:snapToGrid w:val="0"/>
        <w:spacing w:beforeLines="0" w:afterLines="0" w:line="360" w:lineRule="auto"/>
        <w:rPr>
          <w:color w:val="auto"/>
          <w:highlight w:val="none"/>
        </w:rPr>
      </w:pPr>
    </w:p>
    <w:p w14:paraId="53628D61">
      <w:pPr>
        <w:pStyle w:val="13"/>
        <w:snapToGrid w:val="0"/>
        <w:spacing w:beforeLines="0" w:afterLines="0" w:line="360" w:lineRule="auto"/>
        <w:rPr>
          <w:color w:val="auto"/>
          <w:highlight w:val="none"/>
        </w:rPr>
      </w:pPr>
    </w:p>
    <w:p w14:paraId="6C5C0C8D">
      <w:pPr>
        <w:pStyle w:val="13"/>
        <w:snapToGrid w:val="0"/>
        <w:spacing w:beforeLines="0" w:afterLines="0" w:line="360" w:lineRule="auto"/>
        <w:rPr>
          <w:color w:val="auto"/>
          <w:highlight w:val="none"/>
        </w:rPr>
      </w:pPr>
    </w:p>
    <w:p w14:paraId="1949637D">
      <w:pPr>
        <w:pStyle w:val="13"/>
        <w:snapToGrid w:val="0"/>
        <w:spacing w:beforeLines="0" w:afterLines="0" w:line="360" w:lineRule="auto"/>
        <w:rPr>
          <w:color w:val="auto"/>
          <w:highlight w:val="none"/>
        </w:rPr>
      </w:pPr>
    </w:p>
    <w:p w14:paraId="41944CA2">
      <w:pPr>
        <w:pStyle w:val="13"/>
        <w:snapToGrid w:val="0"/>
        <w:spacing w:beforeLines="0" w:afterLines="0" w:line="360" w:lineRule="auto"/>
        <w:rPr>
          <w:color w:val="auto"/>
          <w:highlight w:val="none"/>
        </w:rPr>
      </w:pPr>
    </w:p>
    <w:p w14:paraId="2C936D44">
      <w:pPr>
        <w:pStyle w:val="13"/>
        <w:snapToGrid w:val="0"/>
        <w:spacing w:beforeLines="0" w:afterLines="0" w:line="360" w:lineRule="auto"/>
        <w:rPr>
          <w:color w:val="auto"/>
          <w:highlight w:val="none"/>
        </w:rPr>
      </w:pPr>
    </w:p>
    <w:p w14:paraId="313ADC16">
      <w:pPr>
        <w:snapToGrid w:val="0"/>
        <w:spacing w:line="360" w:lineRule="auto"/>
        <w:jc w:val="center"/>
        <w:rPr>
          <w:color w:val="auto"/>
          <w:sz w:val="30"/>
          <w:szCs w:val="30"/>
          <w:highlight w:val="none"/>
        </w:rPr>
      </w:pPr>
      <w:r>
        <w:rPr>
          <w:rFonts w:hint="eastAsia"/>
          <w:color w:val="auto"/>
          <w:sz w:val="30"/>
          <w:szCs w:val="30"/>
          <w:highlight w:val="none"/>
        </w:rPr>
        <w:t>第六章　投标文件格式</w:t>
      </w:r>
    </w:p>
    <w:p w14:paraId="71E4F552">
      <w:pPr>
        <w:snapToGrid w:val="0"/>
        <w:spacing w:line="360" w:lineRule="auto"/>
        <w:jc w:val="center"/>
        <w:outlineLvl w:val="1"/>
        <w:rPr>
          <w:rFonts w:ascii="宋体" w:hAnsi="宋体"/>
          <w:b/>
          <w:bCs/>
          <w:color w:val="auto"/>
          <w:sz w:val="24"/>
          <w:highlight w:val="none"/>
        </w:rPr>
      </w:pPr>
      <w:r>
        <w:rPr>
          <w:rFonts w:hint="eastAsia" w:ascii="宋体" w:hAnsi="宋体"/>
          <w:b/>
          <w:bCs/>
          <w:color w:val="auto"/>
          <w:sz w:val="24"/>
          <w:highlight w:val="none"/>
        </w:rPr>
        <w:t>一、资格文件格式</w:t>
      </w:r>
    </w:p>
    <w:p w14:paraId="7275427F">
      <w:pPr>
        <w:snapToGrid w:val="0"/>
        <w:spacing w:line="360" w:lineRule="auto"/>
        <w:jc w:val="center"/>
        <w:rPr>
          <w:rFonts w:ascii="宋体" w:hAnsi="宋体"/>
          <w:color w:val="auto"/>
          <w:sz w:val="24"/>
          <w:szCs w:val="20"/>
          <w:highlight w:val="none"/>
        </w:rPr>
      </w:pPr>
    </w:p>
    <w:p w14:paraId="0891A973">
      <w:pPr>
        <w:snapToGrid w:val="0"/>
        <w:spacing w:line="360" w:lineRule="auto"/>
        <w:rPr>
          <w:rFonts w:ascii="宋体" w:hAnsi="宋体"/>
          <w:color w:val="auto"/>
          <w:sz w:val="24"/>
          <w:szCs w:val="20"/>
          <w:highlight w:val="none"/>
        </w:rPr>
      </w:pPr>
      <w:r>
        <w:rPr>
          <w:rFonts w:hint="eastAsia" w:ascii="宋体" w:hAnsi="宋体"/>
          <w:color w:val="auto"/>
          <w:sz w:val="24"/>
          <w:highlight w:val="none"/>
        </w:rPr>
        <w:t>1.资格文件封面格式：</w:t>
      </w:r>
    </w:p>
    <w:p w14:paraId="4E8C5269">
      <w:pPr>
        <w:snapToGrid w:val="0"/>
        <w:spacing w:line="360" w:lineRule="auto"/>
        <w:jc w:val="center"/>
        <w:rPr>
          <w:rFonts w:ascii="宋体" w:hAnsi="宋体"/>
          <w:bCs/>
          <w:color w:val="auto"/>
          <w:sz w:val="24"/>
          <w:szCs w:val="20"/>
          <w:highlight w:val="none"/>
        </w:rPr>
      </w:pPr>
      <w:r>
        <w:rPr>
          <w:rFonts w:hint="eastAsia" w:ascii="宋体" w:hAnsi="宋体"/>
          <w:bCs/>
          <w:color w:val="auto"/>
          <w:sz w:val="24"/>
          <w:highlight w:val="none"/>
        </w:rPr>
        <w:t>资 格 文件</w:t>
      </w:r>
    </w:p>
    <w:p w14:paraId="78AE6636">
      <w:pPr>
        <w:snapToGrid w:val="0"/>
        <w:spacing w:line="360" w:lineRule="auto"/>
        <w:rPr>
          <w:rFonts w:ascii="宋体" w:hAnsi="宋体"/>
          <w:bCs/>
          <w:color w:val="auto"/>
          <w:sz w:val="24"/>
          <w:szCs w:val="20"/>
          <w:highlight w:val="none"/>
        </w:rPr>
      </w:pPr>
    </w:p>
    <w:p w14:paraId="6EA128D0">
      <w:pPr>
        <w:snapToGrid w:val="0"/>
        <w:spacing w:line="360" w:lineRule="auto"/>
        <w:ind w:left="1918" w:leftChars="456" w:hanging="960" w:hangingChars="400"/>
        <w:rPr>
          <w:rFonts w:ascii="宋体" w:hAnsi="宋体"/>
          <w:bCs/>
          <w:color w:val="auto"/>
          <w:sz w:val="24"/>
          <w:szCs w:val="20"/>
          <w:highlight w:val="none"/>
        </w:rPr>
      </w:pPr>
      <w:r>
        <w:rPr>
          <w:rFonts w:hint="eastAsia" w:ascii="宋体" w:hAnsi="宋体"/>
          <w:bCs/>
          <w:color w:val="auto"/>
          <w:sz w:val="24"/>
          <w:highlight w:val="none"/>
        </w:rPr>
        <w:t>项目名称：</w:t>
      </w:r>
      <w:r>
        <w:rPr>
          <w:rFonts w:hint="eastAsia" w:ascii="宋体" w:hAnsi="宋体"/>
          <w:color w:val="auto"/>
          <w:spacing w:val="-20"/>
          <w:sz w:val="24"/>
          <w:highlight w:val="none"/>
        </w:rPr>
        <w:t>2025-2028年度吴兴区居家养老服务（照料）中心运营项目</w:t>
      </w:r>
    </w:p>
    <w:p w14:paraId="288D9719">
      <w:pPr>
        <w:snapToGrid w:val="0"/>
        <w:spacing w:line="360" w:lineRule="auto"/>
        <w:ind w:firstLine="960" w:firstLineChars="400"/>
        <w:rPr>
          <w:rFonts w:ascii="宋体" w:hAnsi="宋体"/>
          <w:bCs/>
          <w:color w:val="auto"/>
          <w:sz w:val="24"/>
          <w:szCs w:val="20"/>
          <w:highlight w:val="none"/>
        </w:rPr>
      </w:pPr>
      <w:r>
        <w:rPr>
          <w:rFonts w:hint="eastAsia" w:ascii="宋体" w:hAnsi="宋体"/>
          <w:bCs/>
          <w:color w:val="auto"/>
          <w:sz w:val="24"/>
          <w:highlight w:val="none"/>
        </w:rPr>
        <w:t>项目编号：</w:t>
      </w:r>
      <w:r>
        <w:rPr>
          <w:rFonts w:hint="eastAsia" w:ascii="宋体" w:hAnsi="宋体"/>
          <w:color w:val="auto"/>
          <w:sz w:val="24"/>
          <w:highlight w:val="none"/>
        </w:rPr>
        <w:t>HYHZ2025-19</w:t>
      </w:r>
    </w:p>
    <w:p w14:paraId="51E5C97A">
      <w:pPr>
        <w:pStyle w:val="8"/>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投标人名称：</w:t>
      </w:r>
    </w:p>
    <w:p w14:paraId="438AA3EC">
      <w:pPr>
        <w:pStyle w:val="8"/>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投标人地址：</w:t>
      </w:r>
    </w:p>
    <w:p w14:paraId="18A9503F">
      <w:pPr>
        <w:snapToGrid w:val="0"/>
        <w:spacing w:line="360" w:lineRule="auto"/>
        <w:ind w:firstLine="645"/>
        <w:jc w:val="center"/>
        <w:rPr>
          <w:rFonts w:ascii="宋体" w:hAnsi="宋体"/>
          <w:color w:val="auto"/>
          <w:sz w:val="24"/>
          <w:szCs w:val="20"/>
          <w:highlight w:val="none"/>
        </w:rPr>
      </w:pPr>
      <w:r>
        <w:rPr>
          <w:rFonts w:hint="eastAsia" w:ascii="宋体" w:hAnsi="宋体"/>
          <w:color w:val="auto"/>
          <w:sz w:val="24"/>
          <w:highlight w:val="none"/>
        </w:rPr>
        <w:t>年月日</w:t>
      </w:r>
    </w:p>
    <w:p w14:paraId="72CC09CA">
      <w:pPr>
        <w:snapToGrid w:val="0"/>
        <w:spacing w:line="360" w:lineRule="auto"/>
        <w:rPr>
          <w:rFonts w:ascii="宋体" w:hAnsi="宋体"/>
          <w:b/>
          <w:bCs/>
          <w:color w:val="auto"/>
          <w:sz w:val="24"/>
          <w:highlight w:val="none"/>
        </w:rPr>
      </w:pPr>
      <w:r>
        <w:rPr>
          <w:rFonts w:hint="eastAsia" w:ascii="宋体" w:hAnsi="宋体"/>
          <w:color w:val="auto"/>
          <w:sz w:val="24"/>
          <w:highlight w:val="none"/>
        </w:rPr>
        <w:t>2.</w:t>
      </w:r>
      <w:r>
        <w:rPr>
          <w:rFonts w:hint="eastAsia" w:ascii="宋体" w:hAnsi="宋体"/>
          <w:b/>
          <w:bCs/>
          <w:color w:val="auto"/>
          <w:sz w:val="24"/>
          <w:highlight w:val="none"/>
        </w:rPr>
        <w:t>资格文件目录</w:t>
      </w:r>
    </w:p>
    <w:p w14:paraId="10CDBEC9">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）投标声明书————————（页码）</w:t>
      </w:r>
    </w:p>
    <w:p w14:paraId="1E4CE557">
      <w:pPr>
        <w:snapToGrid w:val="0"/>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）有效的营业执照、税务登记证、组织机构代码证或“三证合一”的营业执照或“五证合一”的营业执照————————</w:t>
      </w:r>
    </w:p>
    <w:p w14:paraId="1823F676">
      <w:pPr>
        <w:snapToGrid w:val="0"/>
        <w:spacing w:line="360" w:lineRule="auto"/>
        <w:jc w:val="left"/>
        <w:rPr>
          <w:rFonts w:ascii="宋体" w:hAnsi="宋体"/>
          <w:color w:val="auto"/>
          <w:sz w:val="24"/>
          <w:highlight w:val="none"/>
        </w:rPr>
      </w:pPr>
      <w:r>
        <w:rPr>
          <w:rFonts w:hint="eastAsia" w:ascii="宋体" w:hAnsi="宋体"/>
          <w:color w:val="auto"/>
          <w:sz w:val="24"/>
          <w:highlight w:val="none"/>
        </w:rPr>
        <w:t>（3）法定代表人有效身份证明书或法定代表人授权书</w:t>
      </w:r>
      <w:r>
        <w:rPr>
          <w:rFonts w:ascii="宋体" w:hAnsi="宋体"/>
          <w:color w:val="auto"/>
          <w:sz w:val="24"/>
          <w:highlight w:val="none"/>
        </w:rPr>
        <w:t>及授权代理人社保证明复印件（社保机构出具的由本单位或分公司为其缴纳的</w:t>
      </w:r>
      <w:r>
        <w:rPr>
          <w:rFonts w:hint="eastAsia" w:ascii="宋体" w:hAnsi="宋体" w:cs="宋体"/>
          <w:color w:val="auto"/>
          <w:kern w:val="0"/>
          <w:sz w:val="24"/>
          <w:highlight w:val="none"/>
        </w:rPr>
        <w:t>最近一个月</w:t>
      </w:r>
      <w:r>
        <w:rPr>
          <w:rFonts w:ascii="宋体" w:hAnsi="宋体"/>
          <w:color w:val="auto"/>
          <w:sz w:val="24"/>
          <w:highlight w:val="none"/>
        </w:rPr>
        <w:t>的社保证明）</w:t>
      </w:r>
      <w:r>
        <w:rPr>
          <w:rFonts w:hint="eastAsia" w:ascii="宋体" w:hAnsi="宋体"/>
          <w:color w:val="auto"/>
          <w:sz w:val="24"/>
          <w:highlight w:val="none"/>
        </w:rPr>
        <w:t>————————</w:t>
      </w:r>
    </w:p>
    <w:p w14:paraId="17A40DAD">
      <w:pPr>
        <w:snapToGrid w:val="0"/>
        <w:spacing w:line="360" w:lineRule="auto"/>
        <w:jc w:val="left"/>
        <w:rPr>
          <w:rFonts w:ascii="宋体" w:hAnsi="宋体"/>
          <w:color w:val="auto"/>
          <w:sz w:val="24"/>
          <w:highlight w:val="none"/>
        </w:rPr>
      </w:pPr>
      <w:r>
        <w:rPr>
          <w:rFonts w:hint="eastAsia" w:ascii="宋体" w:hAnsi="宋体"/>
          <w:color w:val="auto"/>
          <w:sz w:val="24"/>
          <w:highlight w:val="none"/>
        </w:rPr>
        <w:t>（4）投标承诺书———————</w:t>
      </w:r>
    </w:p>
    <w:p w14:paraId="6626AF02">
      <w:pPr>
        <w:snapToGrid w:val="0"/>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w:t>
      </w:r>
      <w:r>
        <w:rPr>
          <w:rFonts w:hint="eastAsia" w:ascii="宋体" w:hAnsi="宋体" w:cs="宋体"/>
          <w:color w:val="auto"/>
          <w:sz w:val="24"/>
          <w:highlight w:val="none"/>
        </w:rPr>
        <w:t>信用承诺书</w:t>
      </w:r>
      <w:r>
        <w:rPr>
          <w:rFonts w:hint="eastAsia" w:ascii="宋体" w:hAnsi="宋体"/>
          <w:color w:val="auto"/>
          <w:sz w:val="24"/>
          <w:highlight w:val="none"/>
        </w:rPr>
        <w:t>———————</w:t>
      </w:r>
    </w:p>
    <w:p w14:paraId="49BD51FA">
      <w:pPr>
        <w:snapToGrid w:val="0"/>
        <w:spacing w:line="360" w:lineRule="auto"/>
        <w:jc w:val="left"/>
        <w:rPr>
          <w:rFonts w:ascii="宋体" w:hAnsi="宋体"/>
          <w:color w:val="auto"/>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6</w:t>
      </w:r>
      <w:r>
        <w:rPr>
          <w:rFonts w:hint="eastAsia" w:ascii="宋体" w:hAnsi="宋体" w:cs="Arial"/>
          <w:color w:val="auto"/>
          <w:kern w:val="0"/>
          <w:sz w:val="24"/>
          <w:highlight w:val="none"/>
        </w:rPr>
        <w:t>）</w:t>
      </w:r>
      <w:r>
        <w:rPr>
          <w:rFonts w:hint="eastAsia" w:ascii="宋体" w:hAnsi="宋体"/>
          <w:color w:val="auto"/>
          <w:sz w:val="24"/>
          <w:highlight w:val="none"/>
        </w:rPr>
        <w:t>提供自招标公告发布之日起至投标截止日内任意时间的“信用中国”网站（www.creditchina.gov.cn）、中国政府采购网（www.ccgp.gov.cn）投标人信用查询网页截图————————</w:t>
      </w:r>
    </w:p>
    <w:p w14:paraId="30F44C55">
      <w:pPr>
        <w:snapToGrid w:val="0"/>
        <w:spacing w:line="360" w:lineRule="auto"/>
        <w:jc w:val="left"/>
        <w:rPr>
          <w:rFonts w:ascii="宋体" w:hAnsi="宋体"/>
          <w:color w:val="auto"/>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7</w:t>
      </w:r>
      <w:r>
        <w:rPr>
          <w:rFonts w:hint="eastAsia" w:ascii="宋体" w:hAnsi="宋体" w:cs="Arial"/>
          <w:color w:val="auto"/>
          <w:kern w:val="0"/>
          <w:sz w:val="24"/>
          <w:highlight w:val="none"/>
        </w:rPr>
        <w:t>）</w:t>
      </w:r>
      <w:r>
        <w:rPr>
          <w:rFonts w:hint="eastAsia" w:ascii="宋体" w:hAnsi="宋体"/>
          <w:color w:val="auto"/>
          <w:sz w:val="24"/>
          <w:highlight w:val="none"/>
        </w:rPr>
        <w:t>联合体各方共同投标协议（如有，格式自拟）————————</w:t>
      </w:r>
    </w:p>
    <w:p w14:paraId="534E911F">
      <w:pPr>
        <w:pStyle w:val="3"/>
        <w:rPr>
          <w:color w:val="auto"/>
          <w:highlight w:val="none"/>
        </w:rPr>
      </w:pPr>
    </w:p>
    <w:p w14:paraId="0A68C42A">
      <w:pPr>
        <w:rPr>
          <w:color w:val="auto"/>
          <w:highlight w:val="none"/>
        </w:rPr>
      </w:pPr>
    </w:p>
    <w:p w14:paraId="0068C2C7">
      <w:pPr>
        <w:snapToGrid w:val="0"/>
        <w:spacing w:line="360" w:lineRule="auto"/>
        <w:jc w:val="left"/>
        <w:rPr>
          <w:rFonts w:ascii="宋体" w:hAnsi="宋体"/>
          <w:color w:val="auto"/>
          <w:highlight w:val="none"/>
        </w:rPr>
      </w:pPr>
    </w:p>
    <w:p w14:paraId="7CD293C8">
      <w:pPr>
        <w:snapToGrid w:val="0"/>
        <w:spacing w:line="360" w:lineRule="auto"/>
        <w:jc w:val="left"/>
        <w:rPr>
          <w:rFonts w:ascii="宋体" w:hAnsi="宋体"/>
          <w:color w:val="auto"/>
          <w:highlight w:val="none"/>
        </w:rPr>
      </w:pPr>
    </w:p>
    <w:p w14:paraId="7A228AD3">
      <w:pPr>
        <w:snapToGrid w:val="0"/>
        <w:spacing w:line="360" w:lineRule="auto"/>
        <w:jc w:val="left"/>
        <w:rPr>
          <w:rFonts w:ascii="宋体" w:hAnsi="宋体"/>
          <w:color w:val="auto"/>
          <w:highlight w:val="none"/>
        </w:rPr>
      </w:pPr>
    </w:p>
    <w:p w14:paraId="0F1D2D30">
      <w:pPr>
        <w:snapToGrid w:val="0"/>
        <w:spacing w:line="360" w:lineRule="auto"/>
        <w:jc w:val="left"/>
        <w:rPr>
          <w:rFonts w:ascii="宋体" w:hAnsi="宋体"/>
          <w:color w:val="auto"/>
          <w:highlight w:val="none"/>
        </w:rPr>
      </w:pPr>
    </w:p>
    <w:p w14:paraId="42F48DE3">
      <w:pPr>
        <w:snapToGrid w:val="0"/>
        <w:spacing w:line="360" w:lineRule="auto"/>
        <w:jc w:val="left"/>
        <w:rPr>
          <w:rFonts w:ascii="宋体" w:hAnsi="宋体"/>
          <w:color w:val="auto"/>
          <w:highlight w:val="none"/>
        </w:rPr>
      </w:pPr>
    </w:p>
    <w:p w14:paraId="75EA4158">
      <w:pPr>
        <w:snapToGrid w:val="0"/>
        <w:spacing w:line="360" w:lineRule="auto"/>
        <w:jc w:val="left"/>
        <w:rPr>
          <w:rFonts w:ascii="宋体" w:hAnsi="宋体"/>
          <w:color w:val="auto"/>
          <w:highlight w:val="none"/>
        </w:rPr>
      </w:pPr>
    </w:p>
    <w:p w14:paraId="64D6C3A6">
      <w:pPr>
        <w:spacing w:line="360" w:lineRule="auto"/>
        <w:jc w:val="left"/>
        <w:rPr>
          <w:rFonts w:ascii="宋体" w:hAnsi="宋体"/>
          <w:color w:val="auto"/>
          <w:sz w:val="24"/>
          <w:highlight w:val="none"/>
        </w:rPr>
      </w:pPr>
      <w:r>
        <w:rPr>
          <w:rFonts w:hint="eastAsia" w:ascii="宋体" w:hAnsi="宋体"/>
          <w:color w:val="auto"/>
          <w:sz w:val="24"/>
          <w:highlight w:val="none"/>
        </w:rPr>
        <w:t>3.投标声明书格式：</w:t>
      </w:r>
      <w:bookmarkStart w:id="125" w:name="OLE_LINK136"/>
      <w:bookmarkStart w:id="126" w:name="OLE_LINK135"/>
      <w:r>
        <w:rPr>
          <w:rFonts w:hint="eastAsia" w:ascii="宋体" w:hAnsi="宋体"/>
          <w:color w:val="auto"/>
          <w:sz w:val="24"/>
          <w:highlight w:val="none"/>
        </w:rPr>
        <w:t>（如组成联合体投标的，联合体各方均需提供）</w:t>
      </w:r>
      <w:bookmarkEnd w:id="125"/>
      <w:bookmarkEnd w:id="126"/>
    </w:p>
    <w:p w14:paraId="349C0FF4">
      <w:pPr>
        <w:snapToGrid w:val="0"/>
        <w:spacing w:line="360" w:lineRule="auto"/>
        <w:jc w:val="center"/>
        <w:rPr>
          <w:rFonts w:ascii="宋体" w:hAnsi="宋体"/>
          <w:color w:val="auto"/>
          <w:sz w:val="24"/>
          <w:szCs w:val="20"/>
          <w:highlight w:val="none"/>
        </w:rPr>
      </w:pPr>
      <w:r>
        <w:rPr>
          <w:rFonts w:hint="eastAsia" w:ascii="宋体" w:hAnsi="宋体"/>
          <w:color w:val="auto"/>
          <w:sz w:val="30"/>
          <w:highlight w:val="none"/>
        </w:rPr>
        <w:t>投标声明书</w:t>
      </w:r>
    </w:p>
    <w:p w14:paraId="19209E17">
      <w:pPr>
        <w:snapToGrid w:val="0"/>
        <w:spacing w:line="360" w:lineRule="auto"/>
        <w:rPr>
          <w:rFonts w:ascii="宋体" w:hAnsi="宋体"/>
          <w:color w:val="auto"/>
          <w:sz w:val="24"/>
          <w:szCs w:val="20"/>
          <w:highlight w:val="none"/>
        </w:rPr>
      </w:pPr>
      <w:r>
        <w:rPr>
          <w:rFonts w:hint="eastAsia" w:ascii="宋体" w:hAnsi="宋体"/>
          <w:color w:val="auto"/>
          <w:sz w:val="24"/>
          <w:highlight w:val="none"/>
        </w:rPr>
        <w:t>致：</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（招标采购单位名称）：</w:t>
      </w:r>
    </w:p>
    <w:p w14:paraId="51FB8783">
      <w:pPr>
        <w:snapToGrid w:val="0"/>
        <w:spacing w:line="360" w:lineRule="auto"/>
        <w:ind w:firstLine="720" w:firstLineChars="300"/>
        <w:rPr>
          <w:rFonts w:ascii="宋体" w:hAnsi="宋体"/>
          <w:color w:val="auto"/>
          <w:sz w:val="24"/>
          <w:szCs w:val="20"/>
          <w:highlight w:val="none"/>
        </w:rPr>
      </w:pP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（投标人名称）系中华人民共和国合法企业，经营地址。</w:t>
      </w:r>
    </w:p>
    <w:p w14:paraId="6AADDD22">
      <w:pPr>
        <w:snapToGrid w:val="0"/>
        <w:spacing w:line="360" w:lineRule="auto"/>
        <w:ind w:firstLine="645"/>
        <w:rPr>
          <w:rFonts w:ascii="宋体" w:hAnsi="宋体"/>
          <w:color w:val="auto"/>
          <w:sz w:val="24"/>
          <w:szCs w:val="20"/>
          <w:highlight w:val="none"/>
        </w:rPr>
      </w:pPr>
      <w:r>
        <w:rPr>
          <w:rFonts w:hint="eastAsia" w:ascii="宋体" w:hAnsi="宋体"/>
          <w:color w:val="auto"/>
          <w:sz w:val="24"/>
          <w:highlight w:val="none"/>
        </w:rPr>
        <w:t>我</w:t>
      </w:r>
      <w:r>
        <w:rPr>
          <w:rFonts w:ascii="宋体" w:hAnsi="宋体"/>
          <w:color w:val="auto"/>
          <w:sz w:val="24"/>
          <w:highlight w:val="none"/>
        </w:rPr>
        <w:t>___</w:t>
      </w:r>
      <w:r>
        <w:rPr>
          <w:rFonts w:ascii="宋体" w:hAnsi="宋体"/>
          <w:color w:val="auto"/>
          <w:sz w:val="24"/>
          <w:highlight w:val="none"/>
          <w:u w:val="single"/>
        </w:rPr>
        <w:t xml:space="preserve">    _</w:t>
      </w:r>
      <w:r>
        <w:rPr>
          <w:rFonts w:ascii="宋体" w:hAnsi="宋体"/>
          <w:color w:val="auto"/>
          <w:sz w:val="24"/>
          <w:highlight w:val="none"/>
        </w:rPr>
        <w:t>_</w:t>
      </w:r>
      <w:r>
        <w:rPr>
          <w:rFonts w:hint="eastAsia" w:ascii="宋体" w:hAnsi="宋体"/>
          <w:color w:val="auto"/>
          <w:sz w:val="24"/>
          <w:highlight w:val="none"/>
        </w:rPr>
        <w:t>（姓名）系</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（投标人名称）的法定代表人，我方愿意参加贵方组织的</w:t>
      </w:r>
      <w:r>
        <w:rPr>
          <w:rFonts w:ascii="宋体" w:hAnsi="宋体"/>
          <w:color w:val="auto"/>
          <w:sz w:val="24"/>
          <w:highlight w:val="none"/>
        </w:rPr>
        <w:t>_____</w:t>
      </w:r>
      <w:r>
        <w:rPr>
          <w:rFonts w:ascii="宋体" w:hAnsi="宋体"/>
          <w:color w:val="auto"/>
          <w:sz w:val="24"/>
          <w:highlight w:val="none"/>
          <w:u w:val="single"/>
        </w:rPr>
        <w:t>_              _     _</w:t>
      </w:r>
      <w:r>
        <w:rPr>
          <w:rFonts w:ascii="宋体" w:hAnsi="宋体"/>
          <w:color w:val="auto"/>
          <w:sz w:val="24"/>
          <w:highlight w:val="none"/>
        </w:rPr>
        <w:t>_</w:t>
      </w:r>
      <w:r>
        <w:rPr>
          <w:rFonts w:hint="eastAsia" w:ascii="宋体" w:hAnsi="宋体"/>
          <w:color w:val="auto"/>
          <w:sz w:val="24"/>
          <w:highlight w:val="none"/>
        </w:rPr>
        <w:t>项目的投标，为便于贵方公正、择优地确定中标人及其投标产品和服务，我方就本次投标有关事项郑重声明如下：</w:t>
      </w:r>
    </w:p>
    <w:p w14:paraId="37C056B1">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我方向贵方提交的所有投标文件、资料都是准确的和真实的</w:t>
      </w:r>
      <w:r>
        <w:rPr>
          <w:rFonts w:hint="eastAsia" w:ascii="宋体" w:hAnsi="宋体"/>
          <w:color w:val="auto"/>
          <w:sz w:val="24"/>
          <w:highlight w:val="none"/>
        </w:rPr>
        <w:t>。</w:t>
      </w:r>
    </w:p>
    <w:p w14:paraId="6E57F0CD">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我方不是采购人的附属机构；在获知本项目采购信息后，与采购人聘请的为此项目提供咨询服务的公司及其附属机构没有任何联系。</w:t>
      </w:r>
    </w:p>
    <w:p w14:paraId="0D1D0D0E">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.我方及由本人担任法定代表人的其他机构</w:t>
      </w:r>
      <w:r>
        <w:rPr>
          <w:rFonts w:ascii="宋体" w:hAnsi="宋体"/>
          <w:color w:val="auto"/>
          <w:sz w:val="24"/>
          <w:highlight w:val="none"/>
        </w:rPr>
        <w:t>最近三年内被</w:t>
      </w:r>
      <w:r>
        <w:rPr>
          <w:rFonts w:hint="eastAsia" w:ascii="宋体" w:hAnsi="宋体"/>
          <w:color w:val="auto"/>
          <w:sz w:val="24"/>
          <w:highlight w:val="none"/>
        </w:rPr>
        <w:t>通报或者被处罚的</w:t>
      </w:r>
      <w:r>
        <w:rPr>
          <w:rFonts w:ascii="宋体" w:hAnsi="宋体"/>
          <w:color w:val="auto"/>
          <w:sz w:val="24"/>
          <w:highlight w:val="none"/>
        </w:rPr>
        <w:t>违法行为有：</w:t>
      </w:r>
    </w:p>
    <w:p w14:paraId="0AE76220">
      <w:pPr>
        <w:snapToGrid w:val="0"/>
        <w:spacing w:line="360" w:lineRule="auto"/>
        <w:ind w:firstLine="480" w:firstLineChars="200"/>
        <w:rPr>
          <w:rFonts w:ascii="宋体" w:hAnsi="宋体"/>
          <w:color w:val="auto"/>
          <w:sz w:val="24"/>
          <w:szCs w:val="20"/>
          <w:highlight w:val="none"/>
          <w:u w:val="single"/>
        </w:rPr>
      </w:pPr>
      <w:bookmarkStart w:id="127" w:name="OLE_LINK88"/>
      <w:bookmarkStart w:id="128" w:name="OLE_LINK89"/>
      <w:r>
        <w:rPr>
          <w:rFonts w:hint="eastAsia" w:ascii="宋体" w:hAnsi="宋体"/>
          <w:color w:val="auto"/>
          <w:sz w:val="24"/>
          <w:highlight w:val="none"/>
          <w:u w:val="single"/>
        </w:rPr>
        <w:t xml:space="preserve"> </w:t>
      </w:r>
      <w:bookmarkStart w:id="129" w:name="OLE_LINK91"/>
      <w:bookmarkStart w:id="130" w:name="OLE_LINK90"/>
      <w:r>
        <w:rPr>
          <w:rFonts w:hint="eastAsia" w:ascii="宋体" w:hAnsi="宋体"/>
          <w:color w:val="auto"/>
          <w:sz w:val="24"/>
          <w:highlight w:val="none"/>
          <w:u w:val="single"/>
        </w:rPr>
        <w:t xml:space="preserve">                                                     </w:t>
      </w:r>
      <w:bookmarkEnd w:id="129"/>
      <w:bookmarkEnd w:id="130"/>
    </w:p>
    <w:bookmarkEnd w:id="127"/>
    <w:bookmarkEnd w:id="128"/>
    <w:p w14:paraId="5C104F95">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 xml:space="preserve">                                                     </w:t>
      </w:r>
    </w:p>
    <w:p w14:paraId="1CB7C54C">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4.以上事项如有虚假或隐瞒，我方愿意承担一切后果，并不再寻求任何旨在减轻或免除法律责任的辩解。</w:t>
      </w:r>
    </w:p>
    <w:p w14:paraId="31E2F812">
      <w:pPr>
        <w:pStyle w:val="37"/>
        <w:snapToGrid w:val="0"/>
        <w:spacing w:line="360" w:lineRule="auto"/>
        <w:ind w:firstLine="220"/>
        <w:rPr>
          <w:rFonts w:ascii="宋体" w:hAnsi="宋体"/>
          <w:color w:val="auto"/>
          <w:highlight w:val="none"/>
        </w:rPr>
      </w:pPr>
    </w:p>
    <w:p w14:paraId="786DE4CC">
      <w:pPr>
        <w:snapToGrid w:val="0"/>
        <w:spacing w:line="360" w:lineRule="auto"/>
        <w:ind w:firstLine="200"/>
        <w:rPr>
          <w:rFonts w:ascii="宋体" w:hAnsi="宋体"/>
          <w:color w:val="auto"/>
          <w:sz w:val="24"/>
          <w:szCs w:val="20"/>
          <w:highlight w:val="none"/>
          <w:u w:val="single"/>
        </w:rPr>
      </w:pPr>
      <w:r>
        <w:rPr>
          <w:rFonts w:hint="eastAsia" w:ascii="宋体" w:hAnsi="宋体"/>
          <w:color w:val="auto"/>
          <w:sz w:val="24"/>
          <w:highlight w:val="none"/>
        </w:rPr>
        <w:t>法定代表人签名：</w:t>
      </w:r>
    </w:p>
    <w:p w14:paraId="7E88E5C6">
      <w:pPr>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投标人公章：</w:t>
      </w:r>
      <w:r>
        <w:rPr>
          <w:rFonts w:ascii="宋体" w:hAnsi="宋体"/>
          <w:color w:val="auto"/>
          <w:sz w:val="24"/>
          <w:highlight w:val="none"/>
        </w:rPr>
        <w:t xml:space="preserve">                      年    月    日</w:t>
      </w:r>
    </w:p>
    <w:p w14:paraId="5F3B3A92">
      <w:pPr>
        <w:pStyle w:val="3"/>
        <w:rPr>
          <w:color w:val="auto"/>
          <w:highlight w:val="none"/>
        </w:rPr>
      </w:pPr>
    </w:p>
    <w:p w14:paraId="1DEDAE1E">
      <w:pPr>
        <w:pStyle w:val="38"/>
        <w:rPr>
          <w:color w:val="auto"/>
          <w:highlight w:val="none"/>
        </w:rPr>
      </w:pPr>
    </w:p>
    <w:p w14:paraId="3BA0BDAB">
      <w:pPr>
        <w:pStyle w:val="38"/>
        <w:rPr>
          <w:color w:val="auto"/>
          <w:highlight w:val="none"/>
        </w:rPr>
      </w:pPr>
    </w:p>
    <w:p w14:paraId="58E74962">
      <w:pPr>
        <w:snapToGrid w:val="0"/>
        <w:spacing w:line="360" w:lineRule="auto"/>
        <w:rPr>
          <w:rFonts w:ascii="宋体" w:hAnsi="宋体"/>
          <w:color w:val="auto"/>
          <w:sz w:val="24"/>
          <w:szCs w:val="20"/>
          <w:highlight w:val="none"/>
        </w:rPr>
      </w:pPr>
    </w:p>
    <w:p w14:paraId="2CFBD007">
      <w:pPr>
        <w:snapToGrid w:val="0"/>
        <w:spacing w:line="360" w:lineRule="auto"/>
        <w:rPr>
          <w:rFonts w:ascii="宋体" w:hAnsi="宋体"/>
          <w:color w:val="auto"/>
          <w:sz w:val="24"/>
          <w:highlight w:val="none"/>
        </w:rPr>
      </w:pPr>
      <w:r>
        <w:rPr>
          <w:rFonts w:hint="eastAsia" w:ascii="宋体" w:hAnsi="宋体"/>
          <w:color w:val="auto"/>
          <w:sz w:val="24"/>
          <w:highlight w:val="none"/>
        </w:rPr>
        <w:t>4. 有效的营业执照、税务登记证、组织机构代码证或“三证合一”的营业执照或“五证合一”的营业执照复印件（如组成联合体投标的，联合体各方均需提供）</w:t>
      </w:r>
    </w:p>
    <w:p w14:paraId="6E0C7893">
      <w:pPr>
        <w:pStyle w:val="11"/>
        <w:rPr>
          <w:color w:val="auto"/>
          <w:highlight w:val="none"/>
        </w:rPr>
      </w:pPr>
    </w:p>
    <w:p w14:paraId="00B70140">
      <w:pPr>
        <w:snapToGrid w:val="0"/>
        <w:spacing w:line="360" w:lineRule="auto"/>
        <w:rPr>
          <w:rFonts w:ascii="宋体" w:hAnsi="宋体"/>
          <w:color w:val="auto"/>
          <w:sz w:val="24"/>
          <w:highlight w:val="none"/>
        </w:rPr>
      </w:pPr>
    </w:p>
    <w:p w14:paraId="4651D89A">
      <w:pPr>
        <w:pStyle w:val="2"/>
        <w:ind w:firstLine="240"/>
        <w:rPr>
          <w:color w:val="auto"/>
          <w:highlight w:val="none"/>
        </w:rPr>
      </w:pPr>
    </w:p>
    <w:p w14:paraId="06DC20E4">
      <w:pPr>
        <w:pStyle w:val="2"/>
        <w:ind w:firstLine="240"/>
        <w:rPr>
          <w:color w:val="auto"/>
          <w:highlight w:val="none"/>
        </w:rPr>
      </w:pPr>
    </w:p>
    <w:p w14:paraId="137C6D40">
      <w:pPr>
        <w:pStyle w:val="2"/>
        <w:ind w:firstLine="240"/>
        <w:rPr>
          <w:color w:val="auto"/>
          <w:highlight w:val="none"/>
        </w:rPr>
      </w:pPr>
    </w:p>
    <w:p w14:paraId="3768B4B8">
      <w:pPr>
        <w:spacing w:line="500" w:lineRule="exact"/>
        <w:rPr>
          <w:rFonts w:ascii="宋体" w:hAnsi="宋体"/>
          <w:color w:val="auto"/>
          <w:sz w:val="24"/>
          <w:highlight w:val="none"/>
        </w:rPr>
      </w:pPr>
      <w:r>
        <w:rPr>
          <w:rFonts w:hint="eastAsia" w:ascii="宋体" w:hAnsi="宋体"/>
          <w:color w:val="auto"/>
          <w:sz w:val="24"/>
          <w:highlight w:val="none"/>
        </w:rPr>
        <w:t>5.法定代表人有效身份证明书格式：</w:t>
      </w:r>
    </w:p>
    <w:p w14:paraId="3CD7A90F">
      <w:pPr>
        <w:snapToGrid w:val="0"/>
        <w:spacing w:line="360" w:lineRule="auto"/>
        <w:rPr>
          <w:rFonts w:ascii="宋体" w:hAnsi="宋体"/>
          <w:color w:val="auto"/>
          <w:sz w:val="24"/>
          <w:highlight w:val="none"/>
        </w:rPr>
      </w:pPr>
    </w:p>
    <w:p w14:paraId="7F935C7D">
      <w:pPr>
        <w:snapToGrid w:val="0"/>
        <w:spacing w:line="360" w:lineRule="auto"/>
        <w:jc w:val="center"/>
        <w:rPr>
          <w:rFonts w:ascii="宋体" w:hAnsi="宋体"/>
          <w:color w:val="auto"/>
          <w:sz w:val="24"/>
          <w:highlight w:val="none"/>
        </w:rPr>
      </w:pPr>
      <w:r>
        <w:rPr>
          <w:rFonts w:hint="eastAsia" w:ascii="宋体" w:hAnsi="宋体"/>
          <w:color w:val="auto"/>
          <w:sz w:val="24"/>
          <w:highlight w:val="none"/>
        </w:rPr>
        <w:t>法定代表人有效身份证明书</w:t>
      </w:r>
    </w:p>
    <w:p w14:paraId="6B66B03C">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（姓名）是（投标人全称）的法定代表人，身份证号码为 ______________。</w:t>
      </w:r>
    </w:p>
    <w:p w14:paraId="0B98C679">
      <w:pPr>
        <w:spacing w:line="500" w:lineRule="exact"/>
        <w:ind w:firstLine="480" w:firstLineChars="200"/>
        <w:jc w:val="left"/>
        <w:rPr>
          <w:rFonts w:ascii="宋体" w:hAnsi="宋体"/>
          <w:color w:val="auto"/>
          <w:sz w:val="24"/>
          <w:highlight w:val="none"/>
        </w:rPr>
      </w:pPr>
      <w:r>
        <w:rPr>
          <w:rFonts w:hint="eastAsia" w:ascii="宋体" w:hAnsi="宋体"/>
          <w:color w:val="auto"/>
          <w:sz w:val="24"/>
          <w:highlight w:val="none"/>
        </w:rPr>
        <w:t>特此证明。</w:t>
      </w:r>
    </w:p>
    <w:p w14:paraId="3BDC306C">
      <w:pPr>
        <w:spacing w:line="500" w:lineRule="exact"/>
        <w:jc w:val="left"/>
        <w:rPr>
          <w:rFonts w:ascii="宋体" w:hAnsi="宋体"/>
          <w:color w:val="auto"/>
          <w:sz w:val="24"/>
          <w:highlight w:val="none"/>
        </w:rPr>
      </w:pPr>
    </w:p>
    <w:p w14:paraId="7965606D">
      <w:pPr>
        <w:spacing w:line="500" w:lineRule="exact"/>
        <w:jc w:val="left"/>
        <w:rPr>
          <w:rFonts w:ascii="宋体" w:hAnsi="宋体"/>
          <w:color w:val="auto"/>
          <w:sz w:val="24"/>
          <w:highlight w:val="none"/>
        </w:rPr>
      </w:pPr>
    </w:p>
    <w:p w14:paraId="3F537054">
      <w:pPr>
        <w:snapToGrid w:val="0"/>
        <w:spacing w:line="360" w:lineRule="auto"/>
        <w:rPr>
          <w:rFonts w:ascii="宋体" w:hAnsi="宋体"/>
          <w:color w:val="auto"/>
          <w:sz w:val="24"/>
          <w:highlight w:val="none"/>
        </w:rPr>
      </w:pPr>
      <w:r>
        <w:rPr>
          <w:rFonts w:hint="eastAsia" w:ascii="宋体" w:hAnsi="宋体"/>
          <w:color w:val="auto"/>
          <w:sz w:val="24"/>
          <w:highlight w:val="none"/>
        </w:rPr>
        <w:t>投标人公章：</w:t>
      </w:r>
    </w:p>
    <w:p w14:paraId="2366D461">
      <w:pPr>
        <w:spacing w:line="500" w:lineRule="exact"/>
        <w:jc w:val="left"/>
        <w:rPr>
          <w:rFonts w:ascii="宋体" w:hAnsi="宋体"/>
          <w:color w:val="auto"/>
          <w:sz w:val="24"/>
          <w:highlight w:val="none"/>
        </w:rPr>
      </w:pPr>
      <w:r>
        <w:rPr>
          <w:rFonts w:hint="eastAsia" w:ascii="宋体" w:hAnsi="宋体"/>
          <w:color w:val="auto"/>
          <w:sz w:val="24"/>
          <w:highlight w:val="none"/>
        </w:rPr>
        <w:t>法定代表人（签名）：</w:t>
      </w:r>
    </w:p>
    <w:p w14:paraId="7DBCD00F">
      <w:pPr>
        <w:spacing w:line="500" w:lineRule="exact"/>
        <w:jc w:val="left"/>
        <w:rPr>
          <w:rFonts w:ascii="宋体" w:hAnsi="宋体"/>
          <w:color w:val="auto"/>
          <w:sz w:val="24"/>
          <w:highlight w:val="none"/>
        </w:rPr>
      </w:pPr>
    </w:p>
    <w:p w14:paraId="2B71E791">
      <w:pPr>
        <w:spacing w:line="500" w:lineRule="exact"/>
        <w:jc w:val="left"/>
        <w:rPr>
          <w:rFonts w:ascii="宋体" w:hAnsi="宋体"/>
          <w:color w:val="auto"/>
          <w:sz w:val="24"/>
          <w:highlight w:val="none"/>
        </w:rPr>
      </w:pPr>
      <w:r>
        <w:rPr>
          <w:rFonts w:hint="eastAsia" w:ascii="宋体" w:hAnsi="宋体"/>
          <w:color w:val="auto"/>
          <w:sz w:val="24"/>
          <w:highlight w:val="none"/>
        </w:rPr>
        <w:t>日期：      年   月   日</w:t>
      </w:r>
    </w:p>
    <w:p w14:paraId="138B1D8F">
      <w:pPr>
        <w:spacing w:line="500" w:lineRule="exact"/>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p w14:paraId="4E7431E1">
      <w:pPr>
        <w:spacing w:line="500" w:lineRule="exact"/>
        <w:jc w:val="center"/>
        <w:rPr>
          <w:rFonts w:ascii="仿宋" w:hAnsi="仿宋" w:eastAsia="仿宋" w:cs="宋体"/>
          <w:color w:val="auto"/>
          <w:kern w:val="0"/>
          <w:sz w:val="24"/>
          <w:highlight w:val="none"/>
        </w:rPr>
      </w:pPr>
    </w:p>
    <w:p w14:paraId="6C68B438">
      <w:pPr>
        <w:spacing w:line="500" w:lineRule="exact"/>
        <w:jc w:val="center"/>
        <w:rPr>
          <w:rFonts w:ascii="宋体" w:hAnsi="宋体"/>
          <w:color w:val="auto"/>
          <w:sz w:val="24"/>
          <w:highlight w:val="none"/>
        </w:rPr>
      </w:pPr>
      <w:r>
        <w:rPr>
          <w:rFonts w:hint="eastAsia" w:ascii="宋体" w:hAnsi="宋体"/>
          <w:color w:val="auto"/>
          <w:sz w:val="24"/>
          <w:highlight w:val="none"/>
        </w:rPr>
        <w:t>有效身份证明复印件粘贴处</w:t>
      </w:r>
    </w:p>
    <w:p w14:paraId="2A20514B">
      <w:pPr>
        <w:spacing w:line="500" w:lineRule="exact"/>
        <w:rPr>
          <w:rFonts w:ascii="宋体" w:hAnsi="宋体"/>
          <w:color w:val="auto"/>
          <w:sz w:val="24"/>
          <w:highlight w:val="none"/>
        </w:rPr>
      </w:pPr>
    </w:p>
    <w:p w14:paraId="2B583ED7">
      <w:pPr>
        <w:spacing w:line="500" w:lineRule="exact"/>
        <w:rPr>
          <w:rFonts w:ascii="宋体" w:hAnsi="宋体"/>
          <w:color w:val="auto"/>
          <w:sz w:val="24"/>
          <w:highlight w:val="none"/>
        </w:rPr>
      </w:pPr>
    </w:p>
    <w:p w14:paraId="124A8688">
      <w:pPr>
        <w:spacing w:line="500" w:lineRule="exac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w:t>
      </w:r>
      <w:r>
        <w:rPr>
          <w:rFonts w:hint="eastAsia" w:ascii="宋体" w:hAnsi="宋体"/>
          <w:color w:val="auto"/>
          <w:sz w:val="24"/>
          <w:highlight w:val="none"/>
        </w:rPr>
        <w:t>法定代表人授权委托书格式：</w:t>
      </w:r>
    </w:p>
    <w:p w14:paraId="6A85659F">
      <w:pPr>
        <w:snapToGrid w:val="0"/>
        <w:spacing w:line="360" w:lineRule="auto"/>
        <w:jc w:val="center"/>
        <w:rPr>
          <w:rFonts w:ascii="宋体" w:hAnsi="宋体"/>
          <w:b/>
          <w:color w:val="auto"/>
          <w:sz w:val="24"/>
          <w:szCs w:val="20"/>
          <w:highlight w:val="none"/>
        </w:rPr>
      </w:pPr>
      <w:r>
        <w:rPr>
          <w:rFonts w:hint="eastAsia" w:ascii="宋体" w:hAnsi="宋体"/>
          <w:b/>
          <w:color w:val="auto"/>
          <w:sz w:val="24"/>
          <w:highlight w:val="none"/>
        </w:rPr>
        <w:t>法定代表人授权委托书</w:t>
      </w:r>
    </w:p>
    <w:p w14:paraId="7B844EBE">
      <w:pPr>
        <w:snapToGrid w:val="0"/>
        <w:spacing w:line="360" w:lineRule="auto"/>
        <w:rPr>
          <w:rFonts w:ascii="宋体" w:hAnsi="宋体"/>
          <w:b/>
          <w:bCs/>
          <w:color w:val="auto"/>
          <w:sz w:val="24"/>
          <w:szCs w:val="20"/>
          <w:highlight w:val="none"/>
        </w:rPr>
      </w:pPr>
      <w:r>
        <w:rPr>
          <w:rFonts w:hint="eastAsia" w:ascii="宋体" w:hAnsi="宋体"/>
          <w:bCs/>
          <w:color w:val="auto"/>
          <w:sz w:val="24"/>
          <w:highlight w:val="none"/>
        </w:rPr>
        <w:t>致：</w:t>
      </w:r>
      <w:r>
        <w:rPr>
          <w:rFonts w:ascii="宋体" w:hAnsi="宋体"/>
          <w:color w:val="auto"/>
          <w:sz w:val="24"/>
          <w:highlight w:val="none"/>
        </w:rPr>
        <w:t>_____</w:t>
      </w:r>
      <w:r>
        <w:rPr>
          <w:rFonts w:hint="eastAsia" w:ascii="宋体" w:hAnsi="宋体"/>
          <w:color w:val="auto"/>
          <w:sz w:val="24"/>
          <w:highlight w:val="none"/>
        </w:rPr>
        <w:t>______（招标采购单位名称）：</w:t>
      </w:r>
    </w:p>
    <w:p w14:paraId="0F5FADAF">
      <w:pPr>
        <w:snapToGrid w:val="0"/>
        <w:spacing w:line="360" w:lineRule="auto"/>
        <w:ind w:firstLine="720" w:firstLineChars="300"/>
        <w:rPr>
          <w:rFonts w:ascii="宋体" w:hAnsi="宋体"/>
          <w:color w:val="auto"/>
          <w:sz w:val="24"/>
          <w:szCs w:val="20"/>
          <w:highlight w:val="none"/>
        </w:rPr>
      </w:pPr>
      <w:r>
        <w:rPr>
          <w:rFonts w:hint="eastAsia" w:ascii="宋体" w:hAnsi="宋体"/>
          <w:color w:val="auto"/>
          <w:sz w:val="24"/>
          <w:highlight w:val="none"/>
        </w:rPr>
        <w:t>我</w:t>
      </w:r>
      <w:bookmarkStart w:id="131" w:name="OLE_LINK57"/>
      <w:bookmarkStart w:id="132" w:name="OLE_LINK58"/>
      <w:r>
        <w:rPr>
          <w:rFonts w:ascii="宋体" w:hAnsi="宋体"/>
          <w:color w:val="auto"/>
          <w:sz w:val="24"/>
          <w:highlight w:val="none"/>
        </w:rPr>
        <w:t>______</w:t>
      </w:r>
      <w:bookmarkEnd w:id="131"/>
      <w:bookmarkEnd w:id="132"/>
      <w:r>
        <w:rPr>
          <w:rFonts w:hint="eastAsia" w:ascii="宋体" w:hAnsi="宋体"/>
          <w:color w:val="auto"/>
          <w:sz w:val="24"/>
          <w:highlight w:val="none"/>
        </w:rPr>
        <w:t>______（姓名）系</w:t>
      </w:r>
      <w:r>
        <w:rPr>
          <w:rFonts w:ascii="宋体" w:hAnsi="宋体"/>
          <w:color w:val="auto"/>
          <w:sz w:val="24"/>
          <w:highlight w:val="none"/>
        </w:rPr>
        <w:t>______</w:t>
      </w:r>
      <w:r>
        <w:rPr>
          <w:rFonts w:hint="eastAsia" w:ascii="宋体" w:hAnsi="宋体"/>
          <w:color w:val="auto"/>
          <w:sz w:val="24"/>
          <w:highlight w:val="none"/>
        </w:rPr>
        <w:t>______（投标人名称）的法定代表人，现授权委托____________单位在职职工______（姓名）以我方的名义参加</w:t>
      </w:r>
      <w:r>
        <w:rPr>
          <w:rFonts w:hint="eastAsia" w:ascii="宋体" w:hAnsi="宋体"/>
          <w:color w:val="auto"/>
          <w:spacing w:val="-20"/>
          <w:sz w:val="24"/>
          <w:highlight w:val="none"/>
          <w:u w:val="single"/>
        </w:rPr>
        <w:t>2025-2028年度吴兴区居家养老服务（照料）中心运营项目</w:t>
      </w:r>
      <w:r>
        <w:rPr>
          <w:rFonts w:hint="eastAsia" w:ascii="宋体" w:hAnsi="宋体"/>
          <w:color w:val="auto"/>
          <w:sz w:val="24"/>
          <w:highlight w:val="none"/>
        </w:rPr>
        <w:t>的投标活动，并代表我方全权办理针对上述项目的投标、开标、评标、签约等具体事务和签署相关文件。</w:t>
      </w:r>
    </w:p>
    <w:p w14:paraId="7A317B9F">
      <w:pPr>
        <w:snapToGrid w:val="0"/>
        <w:spacing w:line="360" w:lineRule="auto"/>
        <w:rPr>
          <w:rFonts w:ascii="宋体" w:hAnsi="宋体"/>
          <w:color w:val="auto"/>
          <w:sz w:val="24"/>
          <w:szCs w:val="20"/>
          <w:highlight w:val="none"/>
        </w:rPr>
      </w:pPr>
      <w:r>
        <w:rPr>
          <w:rFonts w:hint="eastAsia" w:ascii="宋体" w:hAnsi="宋体"/>
          <w:color w:val="auto"/>
          <w:sz w:val="24"/>
          <w:highlight w:val="none"/>
        </w:rPr>
        <w:t>我方对被授权人的签名事项负全部责任。</w:t>
      </w:r>
    </w:p>
    <w:p w14:paraId="2C72C30C">
      <w:pPr>
        <w:snapToGrid w:val="0"/>
        <w:spacing w:line="360" w:lineRule="auto"/>
        <w:ind w:firstLine="480"/>
        <w:rPr>
          <w:rFonts w:ascii="宋体" w:hAnsi="宋体"/>
          <w:color w:val="auto"/>
          <w:sz w:val="24"/>
          <w:szCs w:val="20"/>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14:paraId="563E615C">
      <w:pPr>
        <w:snapToGrid w:val="0"/>
        <w:spacing w:line="360" w:lineRule="auto"/>
        <w:ind w:firstLine="480"/>
        <w:rPr>
          <w:rFonts w:ascii="宋体" w:hAnsi="宋体"/>
          <w:color w:val="auto"/>
          <w:sz w:val="24"/>
          <w:szCs w:val="20"/>
          <w:highlight w:val="none"/>
        </w:rPr>
      </w:pPr>
      <w:r>
        <w:rPr>
          <w:rFonts w:hint="eastAsia" w:ascii="宋体" w:hAnsi="宋体"/>
          <w:color w:val="auto"/>
          <w:sz w:val="24"/>
          <w:highlight w:val="none"/>
        </w:rPr>
        <w:t>被授权人无转委托权，特此委托。</w:t>
      </w:r>
    </w:p>
    <w:p w14:paraId="6C7A91E2">
      <w:pPr>
        <w:snapToGrid w:val="0"/>
        <w:spacing w:line="360" w:lineRule="auto"/>
        <w:rPr>
          <w:rFonts w:ascii="宋体" w:hAnsi="宋体"/>
          <w:color w:val="auto"/>
          <w:sz w:val="24"/>
          <w:szCs w:val="20"/>
          <w:highlight w:val="none"/>
        </w:rPr>
      </w:pPr>
    </w:p>
    <w:p w14:paraId="2ADB3E5A">
      <w:pPr>
        <w:snapToGrid w:val="0"/>
        <w:spacing w:line="360" w:lineRule="auto"/>
        <w:rPr>
          <w:rFonts w:ascii="宋体" w:hAnsi="宋体"/>
          <w:color w:val="auto"/>
          <w:sz w:val="24"/>
          <w:szCs w:val="20"/>
          <w:highlight w:val="none"/>
          <w:u w:val="single"/>
        </w:rPr>
      </w:pPr>
      <w:r>
        <w:rPr>
          <w:rFonts w:hint="eastAsia" w:ascii="宋体" w:hAnsi="宋体"/>
          <w:color w:val="auto"/>
          <w:sz w:val="24"/>
          <w:highlight w:val="none"/>
        </w:rPr>
        <w:t xml:space="preserve">被授权人签名： </w:t>
      </w:r>
      <w:r>
        <w:rPr>
          <w:rFonts w:ascii="宋体" w:hAnsi="宋体"/>
          <w:color w:val="auto"/>
          <w:sz w:val="24"/>
          <w:highlight w:val="none"/>
        </w:rPr>
        <w:t xml:space="preserve">                   </w:t>
      </w:r>
      <w:r>
        <w:rPr>
          <w:rFonts w:hint="eastAsia" w:ascii="宋体" w:hAnsi="宋体"/>
          <w:color w:val="auto"/>
          <w:sz w:val="24"/>
          <w:highlight w:val="none"/>
        </w:rPr>
        <w:t>法定代表人签名：</w:t>
      </w:r>
    </w:p>
    <w:p w14:paraId="14D5928E">
      <w:pPr>
        <w:snapToGrid w:val="0"/>
        <w:spacing w:line="360" w:lineRule="auto"/>
        <w:ind w:firstLine="960" w:firstLineChars="400"/>
        <w:rPr>
          <w:rFonts w:ascii="宋体" w:hAnsi="宋体"/>
          <w:color w:val="auto"/>
          <w:sz w:val="24"/>
          <w:szCs w:val="20"/>
          <w:highlight w:val="none"/>
        </w:rPr>
      </w:pPr>
      <w:r>
        <w:rPr>
          <w:rFonts w:hint="eastAsia" w:ascii="宋体" w:hAnsi="宋体"/>
          <w:color w:val="auto"/>
          <w:sz w:val="24"/>
          <w:highlight w:val="none"/>
        </w:rPr>
        <w:t xml:space="preserve">职务： </w:t>
      </w:r>
      <w:r>
        <w:rPr>
          <w:rFonts w:ascii="宋体" w:hAnsi="宋体"/>
          <w:color w:val="auto"/>
          <w:sz w:val="24"/>
          <w:highlight w:val="none"/>
        </w:rPr>
        <w:t xml:space="preserve">                    </w:t>
      </w:r>
      <w:r>
        <w:rPr>
          <w:rFonts w:hint="eastAsia" w:ascii="宋体" w:hAnsi="宋体"/>
          <w:color w:val="auto"/>
          <w:sz w:val="24"/>
          <w:highlight w:val="none"/>
        </w:rPr>
        <w:t>职务：</w:t>
      </w:r>
    </w:p>
    <w:p w14:paraId="25D2E6EE">
      <w:pPr>
        <w:snapToGrid w:val="0"/>
        <w:spacing w:line="360" w:lineRule="auto"/>
        <w:rPr>
          <w:rFonts w:ascii="宋体" w:hAnsi="宋体"/>
          <w:color w:val="auto"/>
          <w:sz w:val="24"/>
          <w:szCs w:val="20"/>
          <w:highlight w:val="none"/>
        </w:rPr>
      </w:pPr>
      <w:r>
        <w:rPr>
          <w:rFonts w:hint="eastAsia" w:ascii="宋体" w:hAnsi="宋体"/>
          <w:color w:val="auto"/>
          <w:sz w:val="24"/>
          <w:highlight w:val="none"/>
        </w:rPr>
        <w:t>被授权人身份证号码：</w:t>
      </w:r>
    </w:p>
    <w:p w14:paraId="40DE9BE6">
      <w:pPr>
        <w:snapToGrid w:val="0"/>
        <w:spacing w:line="360" w:lineRule="auto"/>
        <w:rPr>
          <w:rFonts w:ascii="宋体" w:hAnsi="宋体"/>
          <w:color w:val="auto"/>
          <w:sz w:val="24"/>
          <w:highlight w:val="none"/>
        </w:rPr>
      </w:pPr>
      <w:r>
        <w:rPr>
          <w:rFonts w:hint="eastAsia" w:ascii="宋体" w:hAnsi="宋体"/>
          <w:color w:val="auto"/>
          <w:sz w:val="24"/>
          <w:highlight w:val="none"/>
        </w:rPr>
        <w:t>投标人公章：</w:t>
      </w:r>
    </w:p>
    <w:p w14:paraId="2F6A6CA0">
      <w:pPr>
        <w:pStyle w:val="8"/>
        <w:spacing w:line="360" w:lineRule="auto"/>
        <w:ind w:firstLine="374" w:firstLineChars="156"/>
        <w:rPr>
          <w:rFonts w:ascii="宋体" w:hAnsi="宋体"/>
          <w:color w:val="auto"/>
          <w:sz w:val="24"/>
          <w:szCs w:val="24"/>
          <w:highlight w:val="none"/>
        </w:rPr>
      </w:pPr>
      <w:r>
        <w:rPr>
          <w:rFonts w:hint="eastAsia" w:ascii="宋体" w:hAnsi="宋体"/>
          <w:color w:val="auto"/>
          <w:sz w:val="24"/>
          <w:szCs w:val="24"/>
          <w:highlight w:val="none"/>
        </w:rPr>
        <w:t>————————————————————-----------</w:t>
      </w:r>
    </w:p>
    <w:p w14:paraId="2463051F">
      <w:pPr>
        <w:pStyle w:val="8"/>
        <w:spacing w:line="360" w:lineRule="auto"/>
        <w:ind w:firstLine="374" w:firstLineChars="156"/>
        <w:jc w:val="center"/>
        <w:rPr>
          <w:rFonts w:ascii="宋体" w:hAnsi="宋体"/>
          <w:color w:val="auto"/>
          <w:sz w:val="24"/>
          <w:szCs w:val="24"/>
          <w:highlight w:val="none"/>
        </w:rPr>
      </w:pPr>
    </w:p>
    <w:p w14:paraId="6D150FC2">
      <w:pPr>
        <w:pStyle w:val="8"/>
        <w:spacing w:line="360" w:lineRule="auto"/>
        <w:ind w:firstLine="374" w:firstLineChars="156"/>
        <w:jc w:val="center"/>
        <w:rPr>
          <w:rFonts w:ascii="宋体" w:hAnsi="宋体"/>
          <w:color w:val="auto"/>
          <w:sz w:val="24"/>
          <w:szCs w:val="24"/>
          <w:highlight w:val="none"/>
        </w:rPr>
      </w:pPr>
      <w:r>
        <w:rPr>
          <w:rFonts w:hint="eastAsia" w:ascii="宋体" w:hAnsi="宋体"/>
          <w:color w:val="auto"/>
          <w:sz w:val="24"/>
          <w:szCs w:val="24"/>
          <w:highlight w:val="none"/>
        </w:rPr>
        <w:t>授权代理人有效身份证明复印件粘贴处</w:t>
      </w:r>
    </w:p>
    <w:p w14:paraId="49D5E10D">
      <w:pPr>
        <w:snapToGrid w:val="0"/>
        <w:spacing w:line="360" w:lineRule="auto"/>
        <w:rPr>
          <w:rFonts w:ascii="宋体" w:hAnsi="宋体"/>
          <w:color w:val="auto"/>
          <w:sz w:val="24"/>
          <w:highlight w:val="none"/>
        </w:rPr>
      </w:pPr>
    </w:p>
    <w:p w14:paraId="519DAE53">
      <w:pPr>
        <w:snapToGrid w:val="0"/>
        <w:spacing w:line="360" w:lineRule="auto"/>
        <w:rPr>
          <w:rFonts w:ascii="宋体" w:hAnsi="宋体"/>
          <w:color w:val="auto"/>
          <w:sz w:val="24"/>
          <w:highlight w:val="none"/>
        </w:rPr>
      </w:pPr>
    </w:p>
    <w:p w14:paraId="177CD6B1">
      <w:pPr>
        <w:snapToGrid w:val="0"/>
        <w:spacing w:line="360" w:lineRule="auto"/>
        <w:jc w:val="center"/>
        <w:rPr>
          <w:rFonts w:ascii="宋体" w:hAnsi="宋体"/>
          <w:color w:val="auto"/>
          <w:sz w:val="24"/>
          <w:highlight w:val="none"/>
        </w:rPr>
      </w:pPr>
      <w:r>
        <w:rPr>
          <w:rFonts w:hint="eastAsia" w:ascii="宋体" w:hAnsi="宋体"/>
          <w:color w:val="auto"/>
          <w:sz w:val="24"/>
          <w:highlight w:val="none"/>
        </w:rPr>
        <w:t>年月日</w:t>
      </w:r>
    </w:p>
    <w:p w14:paraId="1B74451F">
      <w:pPr>
        <w:snapToGrid w:val="0"/>
        <w:spacing w:before="120" w:beforeLines="50" w:after="50"/>
        <w:rPr>
          <w:color w:val="auto"/>
          <w:sz w:val="24"/>
          <w:highlight w:val="none"/>
        </w:rPr>
      </w:pPr>
      <w:r>
        <w:rPr>
          <w:rFonts w:hint="eastAsia"/>
          <w:color w:val="auto"/>
          <w:sz w:val="24"/>
          <w:highlight w:val="none"/>
        </w:rPr>
        <w:t>附：</w:t>
      </w:r>
      <w:r>
        <w:rPr>
          <w:color w:val="auto"/>
          <w:sz w:val="24"/>
          <w:highlight w:val="none"/>
        </w:rPr>
        <w:t>授权代理人社保证明复印件</w:t>
      </w:r>
      <w:r>
        <w:rPr>
          <w:rFonts w:hint="eastAsia"/>
          <w:color w:val="auto"/>
          <w:sz w:val="24"/>
          <w:highlight w:val="none"/>
        </w:rPr>
        <w:t>（</w:t>
      </w:r>
      <w:r>
        <w:rPr>
          <w:color w:val="auto"/>
          <w:sz w:val="24"/>
          <w:highlight w:val="none"/>
        </w:rPr>
        <w:t>社保机构出具的由本单位或分公司为其缴纳的近1个月的社保证明</w:t>
      </w:r>
      <w:r>
        <w:rPr>
          <w:rFonts w:hint="eastAsia"/>
          <w:color w:val="auto"/>
          <w:sz w:val="24"/>
          <w:highlight w:val="none"/>
        </w:rPr>
        <w:t>）</w:t>
      </w:r>
    </w:p>
    <w:p w14:paraId="15C05115">
      <w:pPr>
        <w:snapToGrid w:val="0"/>
        <w:spacing w:line="360" w:lineRule="auto"/>
        <w:rPr>
          <w:rFonts w:ascii="宋体" w:hAnsi="宋体"/>
          <w:color w:val="auto"/>
          <w:highlight w:val="none"/>
        </w:rPr>
      </w:pPr>
    </w:p>
    <w:p w14:paraId="1A4F083D">
      <w:pPr>
        <w:rPr>
          <w:color w:val="auto"/>
          <w:highlight w:val="none"/>
        </w:rPr>
      </w:pPr>
    </w:p>
    <w:p w14:paraId="1B6A0FE7">
      <w:pPr>
        <w:snapToGrid w:val="0"/>
        <w:spacing w:line="560" w:lineRule="exact"/>
        <w:rPr>
          <w:color w:val="auto"/>
          <w:sz w:val="24"/>
          <w:highlight w:val="none"/>
        </w:rPr>
      </w:pPr>
      <w:r>
        <w:rPr>
          <w:rFonts w:ascii="宋体" w:hAnsi="宋体"/>
          <w:color w:val="auto"/>
          <w:sz w:val="24"/>
          <w:highlight w:val="none"/>
        </w:rPr>
        <w:t>7.</w:t>
      </w:r>
      <w:r>
        <w:rPr>
          <w:rFonts w:hint="eastAsia"/>
          <w:color w:val="auto"/>
          <w:sz w:val="24"/>
          <w:highlight w:val="none"/>
        </w:rPr>
        <w:t>投标承诺书</w:t>
      </w:r>
      <w:r>
        <w:rPr>
          <w:rFonts w:hint="eastAsia" w:ascii="宋体" w:hAnsi="宋体"/>
          <w:color w:val="auto"/>
          <w:sz w:val="24"/>
          <w:highlight w:val="none"/>
        </w:rPr>
        <w:t>（如组成联合体投标的，联合体各方均需提供）</w:t>
      </w:r>
    </w:p>
    <w:p w14:paraId="00AC3F16">
      <w:pPr>
        <w:snapToGrid w:val="0"/>
        <w:spacing w:before="120" w:beforeLines="50" w:after="50" w:line="500" w:lineRule="exact"/>
        <w:rPr>
          <w:color w:val="auto"/>
          <w:sz w:val="24"/>
          <w:highlight w:val="none"/>
        </w:rPr>
      </w:pPr>
      <w:r>
        <w:rPr>
          <w:rFonts w:hint="eastAsia"/>
          <w:color w:val="auto"/>
          <w:sz w:val="24"/>
          <w:highlight w:val="none"/>
        </w:rPr>
        <w:t>（投标人）现参加               （项目名称）政府采购活动，我单位承诺如下：</w:t>
      </w:r>
    </w:p>
    <w:p w14:paraId="0256E265">
      <w:pPr>
        <w:numPr>
          <w:ilvl w:val="0"/>
          <w:numId w:val="3"/>
        </w:numPr>
        <w:snapToGrid w:val="0"/>
        <w:spacing w:before="120" w:beforeLines="50" w:after="50" w:line="500" w:lineRule="exact"/>
        <w:ind w:firstLine="480" w:firstLineChars="200"/>
        <w:rPr>
          <w:color w:val="auto"/>
          <w:sz w:val="24"/>
          <w:highlight w:val="none"/>
        </w:rPr>
      </w:pPr>
      <w:r>
        <w:rPr>
          <w:rFonts w:hint="eastAsia"/>
          <w:color w:val="auto"/>
          <w:sz w:val="24"/>
          <w:highlight w:val="none"/>
        </w:rPr>
        <w:t>符合参与政府采购活动的资格条件（符合《中华人民共和国政府采购法》第二十二条规定和浙财采监【2013】24号《关于规范政府采购投标人资格设定及资格审查的通知》第六条规定；未被“信用中国”（www.creditchina.gov.cn）、“中国政府采购网”（www.ccgp.gov.cn）列入失信被执行人、重大税收违法案件当事人名单、政府采购严重违法失信行为记录名单）。</w:t>
      </w:r>
    </w:p>
    <w:p w14:paraId="268C6945">
      <w:pPr>
        <w:numPr>
          <w:ilvl w:val="0"/>
          <w:numId w:val="3"/>
        </w:numPr>
        <w:snapToGrid w:val="0"/>
        <w:spacing w:before="120" w:beforeLines="50" w:after="50" w:line="500" w:lineRule="exact"/>
        <w:ind w:firstLine="480" w:firstLineChars="200"/>
        <w:rPr>
          <w:color w:val="auto"/>
          <w:sz w:val="24"/>
          <w:highlight w:val="none"/>
        </w:rPr>
      </w:pPr>
      <w:r>
        <w:rPr>
          <w:rFonts w:hint="eastAsia"/>
          <w:color w:val="auto"/>
          <w:sz w:val="24"/>
          <w:highlight w:val="none"/>
        </w:rPr>
        <w:t>没有税收缴纳、社会保障等方面的失信记录，若违背以上承诺的，我单位愿意承担相应法律后果和责任，并依法依规列入严重失信名单。</w:t>
      </w:r>
    </w:p>
    <w:p w14:paraId="2C944621">
      <w:pPr>
        <w:snapToGrid w:val="0"/>
        <w:spacing w:before="120" w:beforeLines="50" w:after="50" w:line="500" w:lineRule="exact"/>
        <w:rPr>
          <w:color w:val="auto"/>
          <w:sz w:val="24"/>
          <w:highlight w:val="none"/>
        </w:rPr>
      </w:pPr>
    </w:p>
    <w:p w14:paraId="73D21802">
      <w:pPr>
        <w:snapToGrid w:val="0"/>
        <w:spacing w:before="120" w:beforeLines="50" w:after="50" w:line="500" w:lineRule="exact"/>
        <w:rPr>
          <w:color w:val="auto"/>
          <w:sz w:val="24"/>
          <w:highlight w:val="none"/>
        </w:rPr>
      </w:pPr>
      <w:r>
        <w:rPr>
          <w:rFonts w:hint="eastAsia"/>
          <w:color w:val="auto"/>
          <w:sz w:val="24"/>
          <w:highlight w:val="none"/>
        </w:rPr>
        <w:t xml:space="preserve">   </w:t>
      </w:r>
    </w:p>
    <w:p w14:paraId="0D0E3CF2">
      <w:pPr>
        <w:snapToGrid w:val="0"/>
        <w:spacing w:line="360" w:lineRule="auto"/>
        <w:rPr>
          <w:rFonts w:ascii="宋体" w:hAnsi="宋体"/>
          <w:color w:val="auto"/>
          <w:sz w:val="24"/>
          <w:highlight w:val="none"/>
        </w:rPr>
      </w:pPr>
      <w:r>
        <w:rPr>
          <w:rFonts w:hint="eastAsia" w:ascii="宋体" w:hAnsi="宋体"/>
          <w:color w:val="auto"/>
          <w:sz w:val="24"/>
          <w:highlight w:val="none"/>
        </w:rPr>
        <w:t>投标人公章：</w:t>
      </w:r>
    </w:p>
    <w:p w14:paraId="67B6488E">
      <w:pPr>
        <w:snapToGrid w:val="0"/>
        <w:spacing w:before="120" w:beforeLines="50" w:after="50" w:line="500" w:lineRule="exact"/>
        <w:rPr>
          <w:color w:val="auto"/>
          <w:sz w:val="24"/>
          <w:highlight w:val="none"/>
        </w:rPr>
      </w:pPr>
      <w:r>
        <w:rPr>
          <w:rFonts w:hint="eastAsia"/>
          <w:color w:val="auto"/>
          <w:sz w:val="24"/>
          <w:highlight w:val="none"/>
        </w:rPr>
        <w:t>时  间：     年     月    日</w:t>
      </w:r>
    </w:p>
    <w:p w14:paraId="3941A8E9">
      <w:pPr>
        <w:snapToGrid w:val="0"/>
        <w:spacing w:line="360" w:lineRule="auto"/>
        <w:rPr>
          <w:color w:val="auto"/>
          <w:sz w:val="24"/>
          <w:highlight w:val="none"/>
        </w:rPr>
      </w:pPr>
      <w:r>
        <w:rPr>
          <w:color w:val="auto"/>
          <w:sz w:val="24"/>
          <w:highlight w:val="none"/>
        </w:rPr>
        <w:br w:type="page"/>
      </w:r>
    </w:p>
    <w:p w14:paraId="4FCD2958">
      <w:pPr>
        <w:snapToGrid w:val="0"/>
        <w:spacing w:line="360" w:lineRule="auto"/>
        <w:jc w:val="left"/>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.信用承诺书（如组成联合体投标的，联合体各方均需提供）</w:t>
      </w:r>
    </w:p>
    <w:p w14:paraId="404ED4BB">
      <w:pPr>
        <w:tabs>
          <w:tab w:val="left" w:pos="1650"/>
        </w:tabs>
        <w:spacing w:line="360" w:lineRule="auto"/>
        <w:jc w:val="center"/>
        <w:rPr>
          <w:rFonts w:ascii="宋体" w:hAnsi="宋体"/>
          <w:color w:val="auto"/>
          <w:sz w:val="44"/>
          <w:szCs w:val="44"/>
          <w:highlight w:val="none"/>
        </w:rPr>
      </w:pPr>
      <w:r>
        <w:rPr>
          <w:rFonts w:hint="eastAsia" w:ascii="宋体" w:hAnsi="宋体"/>
          <w:color w:val="auto"/>
          <w:sz w:val="44"/>
          <w:szCs w:val="44"/>
          <w:highlight w:val="none"/>
        </w:rPr>
        <w:t>信用承诺书</w:t>
      </w:r>
    </w:p>
    <w:p w14:paraId="411404A5">
      <w:pPr>
        <w:tabs>
          <w:tab w:val="left" w:pos="1650"/>
        </w:tabs>
        <w:spacing w:line="360" w:lineRule="auto"/>
        <w:jc w:val="left"/>
        <w:rPr>
          <w:rFonts w:ascii="宋体" w:hAnsi="宋体"/>
          <w:color w:val="auto"/>
          <w:sz w:val="24"/>
          <w:highlight w:val="none"/>
        </w:rPr>
      </w:pPr>
      <w:r>
        <w:rPr>
          <w:rFonts w:hint="eastAsia" w:ascii="宋体" w:hAnsi="宋体"/>
          <w:color w:val="auto"/>
          <w:sz w:val="24"/>
          <w:highlight w:val="none"/>
        </w:rPr>
        <w:t>（投标单位）现参加（采购项目）政府采购活动，郑重承诺如下：</w:t>
      </w:r>
    </w:p>
    <w:p w14:paraId="7EBBA2CE">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对所提供的资料合法性、真实性、准确性和有效性负责；</w:t>
      </w:r>
    </w:p>
    <w:p w14:paraId="1DD0A7F2">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严格按照国家法律、法规和规章，依法开展相关经济活动，全面履行应尽的责任和义务；</w:t>
      </w:r>
    </w:p>
    <w:p w14:paraId="792F794D">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加强自我约束、自我规范、自我管理，不制假售假、不虚假宣传、不违约毁约、不恶意逃债、不偷税漏税，诚信依法经营；</w:t>
      </w:r>
    </w:p>
    <w:p w14:paraId="4F892D42">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自愿接受行政主管部门的依法检查、违背承诺约定将自愿承担违约责任，并接受法律法规和相关部门规章制度的惩戒和约束；</w:t>
      </w:r>
    </w:p>
    <w:p w14:paraId="066F8F13">
      <w:pPr>
        <w:tabs>
          <w:tab w:val="left" w:pos="1650"/>
        </w:tabs>
        <w:spacing w:line="360" w:lineRule="auto"/>
        <w:ind w:firstLine="630"/>
        <w:rPr>
          <w:rFonts w:ascii="宋体" w:hAnsi="宋体"/>
          <w:color w:val="auto"/>
          <w:sz w:val="24"/>
          <w:highlight w:val="none"/>
        </w:rPr>
      </w:pPr>
      <w:r>
        <w:rPr>
          <w:rFonts w:hint="eastAsia" w:ascii="宋体" w:hAnsi="宋体"/>
          <w:color w:val="auto"/>
          <w:kern w:val="0"/>
          <w:sz w:val="24"/>
          <w:highlight w:val="none"/>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74EE86FB">
      <w:pPr>
        <w:pStyle w:val="41"/>
        <w:spacing w:before="0" w:beforeAutospacing="0" w:after="0" w:afterAutospacing="0" w:line="360" w:lineRule="auto"/>
        <w:ind w:firstLine="600" w:firstLineChars="250"/>
        <w:rPr>
          <w:rFonts w:cs="Times New Roman"/>
          <w:color w:val="auto"/>
          <w:kern w:val="2"/>
          <w:highlight w:val="none"/>
        </w:rPr>
      </w:pPr>
      <w:r>
        <w:rPr>
          <w:rFonts w:hint="eastAsia" w:cs="Times New Roman"/>
          <w:color w:val="auto"/>
          <w:kern w:val="2"/>
          <w:highlight w:val="none"/>
        </w:rPr>
        <w:t>统一社会信用代码：</w:t>
      </w:r>
    </w:p>
    <w:p w14:paraId="03508AC0">
      <w:pPr>
        <w:pStyle w:val="41"/>
        <w:spacing w:before="0" w:beforeAutospacing="0" w:after="0" w:afterAutospacing="0" w:line="360" w:lineRule="auto"/>
        <w:ind w:firstLine="600" w:firstLineChars="250"/>
        <w:rPr>
          <w:rFonts w:cs="Times New Roman"/>
          <w:color w:val="auto"/>
          <w:kern w:val="2"/>
          <w:highlight w:val="none"/>
        </w:rPr>
      </w:pPr>
    </w:p>
    <w:p w14:paraId="26806146">
      <w:pPr>
        <w:pStyle w:val="41"/>
        <w:spacing w:before="0" w:beforeAutospacing="0" w:after="0" w:afterAutospacing="0" w:line="360" w:lineRule="auto"/>
        <w:ind w:firstLine="565" w:firstLineChars="250"/>
        <w:rPr>
          <w:rFonts w:cs="Times New Roman"/>
          <w:color w:val="auto"/>
          <w:spacing w:val="-7"/>
          <w:highlight w:val="none"/>
        </w:rPr>
      </w:pPr>
    </w:p>
    <w:p w14:paraId="391B6F48">
      <w:pPr>
        <w:pStyle w:val="41"/>
        <w:spacing w:before="0" w:beforeAutospacing="0" w:after="0" w:afterAutospacing="0" w:line="360" w:lineRule="auto"/>
        <w:ind w:firstLine="3240" w:firstLineChars="1350"/>
        <w:rPr>
          <w:rFonts w:cs="Times New Roman"/>
          <w:color w:val="auto"/>
          <w:kern w:val="2"/>
          <w:highlight w:val="none"/>
        </w:rPr>
      </w:pPr>
      <w:r>
        <w:rPr>
          <w:rFonts w:hint="eastAsia" w:cs="Times New Roman"/>
          <w:color w:val="auto"/>
          <w:kern w:val="2"/>
          <w:highlight w:val="none"/>
        </w:rPr>
        <w:t>承诺单位</w:t>
      </w:r>
      <w:r>
        <w:rPr>
          <w:rFonts w:cs="Times New Roman"/>
          <w:color w:val="auto"/>
          <w:kern w:val="2"/>
          <w:highlight w:val="none"/>
        </w:rPr>
        <w:t>/</w:t>
      </w:r>
      <w:r>
        <w:rPr>
          <w:rFonts w:hint="eastAsia" w:cs="Times New Roman"/>
          <w:color w:val="auto"/>
          <w:kern w:val="2"/>
          <w:highlight w:val="none"/>
        </w:rPr>
        <w:t>个人（盖章</w:t>
      </w:r>
      <w:r>
        <w:rPr>
          <w:rFonts w:cs="Times New Roman"/>
          <w:color w:val="auto"/>
          <w:kern w:val="2"/>
          <w:highlight w:val="none"/>
        </w:rPr>
        <w:t>/</w:t>
      </w:r>
      <w:r>
        <w:rPr>
          <w:rFonts w:hint="eastAsia" w:cs="Times New Roman"/>
          <w:color w:val="auto"/>
          <w:kern w:val="2"/>
          <w:highlight w:val="none"/>
        </w:rPr>
        <w:t>签名）</w:t>
      </w:r>
    </w:p>
    <w:p w14:paraId="315079DE">
      <w:pPr>
        <w:spacing w:line="360" w:lineRule="auto"/>
        <w:ind w:firstLine="3480" w:firstLineChars="1450"/>
        <w:rPr>
          <w:rFonts w:ascii="宋体" w:hAnsi="宋体"/>
          <w:color w:val="auto"/>
          <w:sz w:val="24"/>
          <w:highlight w:val="none"/>
        </w:rPr>
      </w:pPr>
      <w:r>
        <w:rPr>
          <w:rFonts w:hint="eastAsia" w:ascii="宋体" w:hAnsi="宋体"/>
          <w:color w:val="auto"/>
          <w:sz w:val="24"/>
          <w:highlight w:val="none"/>
        </w:rPr>
        <w:t>时间：</w:t>
      </w:r>
      <w:r>
        <w:rPr>
          <w:rFonts w:ascii="宋体" w:hAnsi="宋体"/>
          <w:color w:val="auto"/>
          <w:sz w:val="24"/>
          <w:highlight w:val="none"/>
        </w:rPr>
        <w:t>2025年</w:t>
      </w:r>
      <w:r>
        <w:rPr>
          <w:rFonts w:hint="eastAsia" w:ascii="宋体" w:hAnsi="宋体"/>
          <w:color w:val="auto"/>
          <w:sz w:val="24"/>
          <w:highlight w:val="none"/>
        </w:rPr>
        <w:t xml:space="preserve"> 月 日</w:t>
      </w:r>
    </w:p>
    <w:p w14:paraId="4DE7338E">
      <w:pPr>
        <w:pStyle w:val="3"/>
        <w:rPr>
          <w:color w:val="auto"/>
          <w:highlight w:val="none"/>
        </w:rPr>
      </w:pPr>
    </w:p>
    <w:p w14:paraId="16916304">
      <w:pPr>
        <w:pStyle w:val="14"/>
        <w:rPr>
          <w:color w:val="auto"/>
          <w:highlight w:val="none"/>
        </w:rPr>
      </w:pPr>
    </w:p>
    <w:p w14:paraId="0F5A0C66">
      <w:pPr>
        <w:rPr>
          <w:color w:val="auto"/>
          <w:highlight w:val="none"/>
        </w:rPr>
      </w:pPr>
    </w:p>
    <w:p w14:paraId="4BA3E989">
      <w:pPr>
        <w:pStyle w:val="3"/>
        <w:rPr>
          <w:color w:val="auto"/>
          <w:highlight w:val="none"/>
        </w:rPr>
      </w:pPr>
    </w:p>
    <w:p w14:paraId="04647B4E">
      <w:pPr>
        <w:rPr>
          <w:color w:val="auto"/>
          <w:highlight w:val="none"/>
        </w:rPr>
      </w:pPr>
      <w:r>
        <w:rPr>
          <w:rFonts w:hint="eastAsia" w:ascii="宋体" w:hAnsi="宋体"/>
          <w:color w:val="auto"/>
          <w:sz w:val="24"/>
          <w:highlight w:val="none"/>
        </w:rPr>
        <w:t>9.提供自招标公告发布之日起至投标截止日内任意时间的“信用中国”网站（www.creditchina.gov.cn）、中国政府采购网（www.ccgp.gov.cn）投标人信用查询网页截图（如组成联合体投标的，联合体各方均需提供）</w:t>
      </w:r>
    </w:p>
    <w:p w14:paraId="432C038B">
      <w:pPr>
        <w:pStyle w:val="11"/>
        <w:rPr>
          <w:color w:val="auto"/>
          <w:highlight w:val="none"/>
        </w:rPr>
      </w:pPr>
    </w:p>
    <w:p w14:paraId="498F8DBB">
      <w:pPr>
        <w:pStyle w:val="11"/>
        <w:rPr>
          <w:color w:val="auto"/>
          <w:highlight w:val="none"/>
        </w:rPr>
      </w:pPr>
    </w:p>
    <w:p w14:paraId="427DDB37">
      <w:pPr>
        <w:pStyle w:val="11"/>
        <w:rPr>
          <w:color w:val="auto"/>
          <w:highlight w:val="none"/>
        </w:rPr>
      </w:pPr>
    </w:p>
    <w:p w14:paraId="50329C66">
      <w:pPr>
        <w:pStyle w:val="20"/>
        <w:rPr>
          <w:color w:val="auto"/>
          <w:highlight w:val="none"/>
        </w:rPr>
      </w:pPr>
    </w:p>
    <w:p w14:paraId="42D3BFD2">
      <w:pPr>
        <w:snapToGrid w:val="0"/>
        <w:spacing w:line="360" w:lineRule="auto"/>
        <w:jc w:val="left"/>
        <w:rPr>
          <w:rFonts w:ascii="宋体" w:hAnsi="宋体"/>
          <w:color w:val="auto"/>
          <w:sz w:val="24"/>
          <w:highlight w:val="none"/>
        </w:rPr>
      </w:pPr>
      <w:r>
        <w:rPr>
          <w:rFonts w:hint="eastAsia" w:ascii="宋体" w:hAnsi="宋体"/>
          <w:color w:val="auto"/>
          <w:sz w:val="24"/>
          <w:highlight w:val="none"/>
        </w:rPr>
        <w:t>10.联合体各方共同投标协议（如有，格式自拟）</w:t>
      </w:r>
    </w:p>
    <w:p w14:paraId="35578B90">
      <w:pPr>
        <w:pStyle w:val="3"/>
        <w:rPr>
          <w:color w:val="auto"/>
          <w:highlight w:val="none"/>
        </w:rPr>
      </w:pPr>
    </w:p>
    <w:p w14:paraId="0A3DF5E7">
      <w:pPr>
        <w:rPr>
          <w:color w:val="auto"/>
          <w:highlight w:val="none"/>
        </w:rPr>
      </w:pPr>
    </w:p>
    <w:p w14:paraId="7F10EDD0">
      <w:pPr>
        <w:pStyle w:val="11"/>
        <w:rPr>
          <w:color w:val="auto"/>
          <w:highlight w:val="none"/>
        </w:rPr>
      </w:pPr>
    </w:p>
    <w:p w14:paraId="32CD8E27">
      <w:pPr>
        <w:pStyle w:val="11"/>
        <w:rPr>
          <w:color w:val="auto"/>
          <w:highlight w:val="none"/>
        </w:rPr>
      </w:pPr>
    </w:p>
    <w:p w14:paraId="0C4867DF">
      <w:pPr>
        <w:snapToGrid w:val="0"/>
        <w:spacing w:line="360" w:lineRule="auto"/>
        <w:jc w:val="center"/>
        <w:outlineLvl w:val="1"/>
        <w:rPr>
          <w:rFonts w:ascii="宋体" w:hAnsi="宋体"/>
          <w:b/>
          <w:bCs/>
          <w:color w:val="auto"/>
          <w:sz w:val="24"/>
          <w:highlight w:val="none"/>
        </w:rPr>
      </w:pPr>
      <w:r>
        <w:rPr>
          <w:rFonts w:hint="eastAsia" w:ascii="宋体" w:hAnsi="宋体"/>
          <w:b/>
          <w:bCs/>
          <w:color w:val="auto"/>
          <w:sz w:val="24"/>
          <w:highlight w:val="none"/>
        </w:rPr>
        <w:t>二、技术/资信/商务文件格式</w:t>
      </w:r>
    </w:p>
    <w:p w14:paraId="025FAC7E">
      <w:pPr>
        <w:snapToGrid w:val="0"/>
        <w:spacing w:line="360" w:lineRule="auto"/>
        <w:jc w:val="center"/>
        <w:rPr>
          <w:rFonts w:ascii="宋体" w:hAnsi="宋体"/>
          <w:color w:val="auto"/>
          <w:sz w:val="24"/>
          <w:szCs w:val="20"/>
          <w:highlight w:val="none"/>
        </w:rPr>
      </w:pPr>
    </w:p>
    <w:p w14:paraId="4488F3C8">
      <w:pPr>
        <w:snapToGrid w:val="0"/>
        <w:spacing w:line="360" w:lineRule="auto"/>
        <w:rPr>
          <w:rFonts w:ascii="宋体" w:hAnsi="宋体"/>
          <w:color w:val="auto"/>
          <w:sz w:val="24"/>
          <w:szCs w:val="20"/>
          <w:highlight w:val="none"/>
        </w:rPr>
      </w:pPr>
      <w:r>
        <w:rPr>
          <w:rFonts w:hint="eastAsia" w:ascii="宋体" w:hAnsi="宋体"/>
          <w:color w:val="auto"/>
          <w:sz w:val="24"/>
          <w:highlight w:val="none"/>
        </w:rPr>
        <w:t>11.技术/资信/商务文件封面格式：</w:t>
      </w:r>
    </w:p>
    <w:p w14:paraId="66EC1D68">
      <w:pPr>
        <w:snapToGrid w:val="0"/>
        <w:spacing w:line="360" w:lineRule="auto"/>
        <w:jc w:val="center"/>
        <w:rPr>
          <w:rFonts w:ascii="宋体" w:hAnsi="宋体"/>
          <w:bCs/>
          <w:color w:val="auto"/>
          <w:sz w:val="24"/>
          <w:szCs w:val="20"/>
          <w:highlight w:val="none"/>
        </w:rPr>
      </w:pPr>
    </w:p>
    <w:p w14:paraId="642C46CB">
      <w:pPr>
        <w:snapToGrid w:val="0"/>
        <w:spacing w:line="360" w:lineRule="auto"/>
        <w:jc w:val="center"/>
        <w:rPr>
          <w:rFonts w:ascii="宋体" w:hAnsi="宋体"/>
          <w:bCs/>
          <w:color w:val="auto"/>
          <w:sz w:val="24"/>
          <w:szCs w:val="20"/>
          <w:highlight w:val="none"/>
        </w:rPr>
      </w:pPr>
      <w:r>
        <w:rPr>
          <w:rFonts w:hint="eastAsia" w:ascii="宋体" w:hAnsi="宋体"/>
          <w:bCs/>
          <w:color w:val="auto"/>
          <w:sz w:val="24"/>
          <w:highlight w:val="none"/>
        </w:rPr>
        <w:t>技术/资信/商务文件</w:t>
      </w:r>
    </w:p>
    <w:p w14:paraId="2EB5FB76">
      <w:pPr>
        <w:snapToGrid w:val="0"/>
        <w:spacing w:line="360" w:lineRule="auto"/>
        <w:rPr>
          <w:rFonts w:ascii="宋体" w:hAnsi="宋体"/>
          <w:bCs/>
          <w:color w:val="auto"/>
          <w:sz w:val="24"/>
          <w:szCs w:val="20"/>
          <w:highlight w:val="none"/>
        </w:rPr>
      </w:pPr>
    </w:p>
    <w:p w14:paraId="55B1AC52">
      <w:pPr>
        <w:snapToGrid w:val="0"/>
        <w:spacing w:line="360" w:lineRule="auto"/>
        <w:ind w:left="1918" w:leftChars="456" w:hanging="960" w:hangingChars="400"/>
        <w:rPr>
          <w:rFonts w:ascii="宋体" w:hAnsi="宋体"/>
          <w:bCs/>
          <w:color w:val="auto"/>
          <w:sz w:val="24"/>
          <w:szCs w:val="20"/>
          <w:highlight w:val="none"/>
        </w:rPr>
      </w:pPr>
      <w:r>
        <w:rPr>
          <w:rFonts w:hint="eastAsia" w:ascii="宋体" w:hAnsi="宋体"/>
          <w:bCs/>
          <w:color w:val="auto"/>
          <w:sz w:val="24"/>
          <w:highlight w:val="none"/>
        </w:rPr>
        <w:t>项目名称：</w:t>
      </w:r>
      <w:r>
        <w:rPr>
          <w:rFonts w:hint="eastAsia" w:ascii="宋体" w:hAnsi="宋体"/>
          <w:color w:val="auto"/>
          <w:spacing w:val="-20"/>
          <w:sz w:val="24"/>
          <w:highlight w:val="none"/>
        </w:rPr>
        <w:t>2025-2028年度吴兴区居家养老服务（照料）中心运营项目</w:t>
      </w:r>
    </w:p>
    <w:p w14:paraId="52A06185">
      <w:pPr>
        <w:snapToGrid w:val="0"/>
        <w:spacing w:line="360" w:lineRule="auto"/>
        <w:ind w:firstLine="960" w:firstLineChars="400"/>
        <w:rPr>
          <w:rFonts w:ascii="宋体" w:hAnsi="宋体"/>
          <w:bCs/>
          <w:color w:val="auto"/>
          <w:sz w:val="24"/>
          <w:szCs w:val="20"/>
          <w:highlight w:val="none"/>
        </w:rPr>
      </w:pPr>
      <w:r>
        <w:rPr>
          <w:rFonts w:hint="eastAsia" w:ascii="宋体" w:hAnsi="宋体"/>
          <w:bCs/>
          <w:color w:val="auto"/>
          <w:sz w:val="24"/>
          <w:highlight w:val="none"/>
        </w:rPr>
        <w:t>项目编号：</w:t>
      </w:r>
      <w:r>
        <w:rPr>
          <w:rFonts w:hint="eastAsia" w:ascii="宋体" w:hAnsi="宋体"/>
          <w:color w:val="auto"/>
          <w:sz w:val="24"/>
          <w:highlight w:val="none"/>
        </w:rPr>
        <w:t>HYHZ2025-19</w:t>
      </w:r>
    </w:p>
    <w:p w14:paraId="24CD7247">
      <w:pPr>
        <w:pStyle w:val="8"/>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投标人名称：</w:t>
      </w:r>
    </w:p>
    <w:p w14:paraId="76F7D555">
      <w:pPr>
        <w:pStyle w:val="8"/>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投标人地址：</w:t>
      </w:r>
    </w:p>
    <w:p w14:paraId="3B521D5F">
      <w:pPr>
        <w:snapToGrid w:val="0"/>
        <w:spacing w:line="360" w:lineRule="auto"/>
        <w:ind w:firstLine="645"/>
        <w:jc w:val="center"/>
        <w:rPr>
          <w:rFonts w:ascii="宋体" w:hAnsi="宋体"/>
          <w:color w:val="auto"/>
          <w:sz w:val="24"/>
          <w:highlight w:val="none"/>
        </w:rPr>
      </w:pPr>
      <w:r>
        <w:rPr>
          <w:rFonts w:hint="eastAsia" w:ascii="宋体" w:hAnsi="宋体"/>
          <w:color w:val="auto"/>
          <w:sz w:val="24"/>
          <w:highlight w:val="none"/>
        </w:rPr>
        <w:t>年月日</w:t>
      </w:r>
    </w:p>
    <w:p w14:paraId="742E8925">
      <w:pPr>
        <w:snapToGrid w:val="0"/>
        <w:spacing w:line="360" w:lineRule="auto"/>
        <w:ind w:firstLine="645"/>
        <w:jc w:val="center"/>
        <w:rPr>
          <w:rFonts w:ascii="宋体" w:hAnsi="宋体"/>
          <w:color w:val="auto"/>
          <w:sz w:val="24"/>
          <w:highlight w:val="none"/>
        </w:rPr>
      </w:pPr>
    </w:p>
    <w:p w14:paraId="2C7209C8">
      <w:pPr>
        <w:pStyle w:val="3"/>
        <w:rPr>
          <w:color w:val="auto"/>
          <w:highlight w:val="none"/>
        </w:rPr>
      </w:pPr>
    </w:p>
    <w:p w14:paraId="3AE3D26C">
      <w:pPr>
        <w:snapToGrid w:val="0"/>
        <w:spacing w:line="360" w:lineRule="auto"/>
        <w:rPr>
          <w:rFonts w:ascii="宋体" w:hAnsi="宋体"/>
          <w:color w:val="auto"/>
          <w:sz w:val="24"/>
          <w:highlight w:val="none"/>
        </w:rPr>
      </w:pPr>
      <w:r>
        <w:rPr>
          <w:rFonts w:hint="eastAsia" w:ascii="宋体" w:hAnsi="宋体"/>
          <w:color w:val="auto"/>
          <w:sz w:val="24"/>
          <w:highlight w:val="none"/>
        </w:rPr>
        <w:t>12.</w:t>
      </w:r>
      <w:r>
        <w:rPr>
          <w:rFonts w:hint="eastAsia" w:ascii="宋体" w:hAnsi="宋体"/>
          <w:b/>
          <w:bCs/>
          <w:color w:val="auto"/>
          <w:sz w:val="24"/>
          <w:highlight w:val="none"/>
        </w:rPr>
        <w:t>技术/资信/商务文件目录</w:t>
      </w:r>
    </w:p>
    <w:p w14:paraId="22A3C4EC">
      <w:pPr>
        <w:snapToGrid w:val="0"/>
        <w:spacing w:line="360" w:lineRule="auto"/>
        <w:rPr>
          <w:rFonts w:ascii="宋体" w:hAnsi="宋体"/>
          <w:color w:val="auto"/>
          <w:sz w:val="24"/>
          <w:highlight w:val="none"/>
        </w:rPr>
      </w:pPr>
      <w:r>
        <w:rPr>
          <w:rFonts w:hint="eastAsia" w:ascii="宋体" w:hAnsi="宋体"/>
          <w:color w:val="auto"/>
          <w:sz w:val="24"/>
          <w:highlight w:val="none"/>
        </w:rPr>
        <w:t>技术：</w:t>
      </w:r>
    </w:p>
    <w:p w14:paraId="2E88BC2B">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）实施方案————————（页码）</w:t>
      </w:r>
    </w:p>
    <w:p w14:paraId="5CD94B0D">
      <w:pPr>
        <w:snapToGrid w:val="0"/>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hint="eastAsia" w:hAnsi="宋体" w:cs="宋体"/>
          <w:color w:val="auto"/>
          <w:sz w:val="24"/>
          <w:highlight w:val="none"/>
        </w:rPr>
        <w:t>服务方案</w:t>
      </w:r>
      <w:r>
        <w:rPr>
          <w:rFonts w:hint="eastAsia" w:ascii="宋体" w:hAnsi="宋体"/>
          <w:color w:val="auto"/>
          <w:sz w:val="24"/>
          <w:highlight w:val="none"/>
        </w:rPr>
        <w:t>————————</w:t>
      </w:r>
    </w:p>
    <w:p w14:paraId="5C3191E1">
      <w:pPr>
        <w:snapToGrid w:val="0"/>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）配合协调方案————————</w:t>
      </w:r>
    </w:p>
    <w:p w14:paraId="17BFE300">
      <w:pPr>
        <w:pStyle w:val="3"/>
        <w:rPr>
          <w:color w:val="auto"/>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w:t>
      </w:r>
      <w:r>
        <w:rPr>
          <w:rFonts w:hint="eastAsia" w:ascii="宋体" w:hAnsi="宋体" w:cs="宋体"/>
          <w:color w:val="auto"/>
          <w:sz w:val="24"/>
          <w:highlight w:val="none"/>
        </w:rPr>
        <w:t>服务质量控制措施</w:t>
      </w:r>
      <w:r>
        <w:rPr>
          <w:rFonts w:hint="eastAsia" w:ascii="宋体" w:hAnsi="宋体"/>
          <w:color w:val="auto"/>
          <w:sz w:val="24"/>
          <w:highlight w:val="none"/>
        </w:rPr>
        <w:t>————————</w:t>
      </w:r>
    </w:p>
    <w:p w14:paraId="35205990">
      <w:pPr>
        <w:snapToGrid w:val="0"/>
        <w:spacing w:line="360" w:lineRule="auto"/>
        <w:jc w:val="left"/>
        <w:rPr>
          <w:rFonts w:hAnsi="宋体" w:cs="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）项目实施人员一览表————————</w:t>
      </w:r>
    </w:p>
    <w:p w14:paraId="64E4E414">
      <w:pPr>
        <w:snapToGrid w:val="0"/>
        <w:spacing w:line="360" w:lineRule="auto"/>
        <w:jc w:val="left"/>
        <w:rPr>
          <w:rFonts w:hAnsi="宋体" w:cs="宋体"/>
          <w:color w:val="auto"/>
          <w:sz w:val="24"/>
          <w:highlight w:val="none"/>
        </w:rPr>
      </w:pPr>
      <w:r>
        <w:rPr>
          <w:rFonts w:hint="eastAsia" w:ascii="宋体" w:hAnsi="宋体"/>
          <w:color w:val="auto"/>
          <w:sz w:val="24"/>
          <w:highlight w:val="none"/>
        </w:rPr>
        <w:t>（6）个性服务设备配置————————</w:t>
      </w:r>
    </w:p>
    <w:p w14:paraId="3E085341">
      <w:pPr>
        <w:snapToGrid w:val="0"/>
        <w:spacing w:line="360" w:lineRule="auto"/>
        <w:jc w:val="left"/>
        <w:rPr>
          <w:rFonts w:hAnsi="宋体" w:cs="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hAnsi="宋体"/>
          <w:bCs/>
          <w:color w:val="auto"/>
          <w:sz w:val="24"/>
          <w:highlight w:val="none"/>
        </w:rPr>
        <w:t>数字化建设证明材料</w:t>
      </w:r>
      <w:r>
        <w:rPr>
          <w:rFonts w:hint="eastAsia" w:ascii="宋体" w:hAnsi="宋体"/>
          <w:color w:val="auto"/>
          <w:sz w:val="24"/>
          <w:highlight w:val="none"/>
        </w:rPr>
        <w:t>————————</w:t>
      </w:r>
    </w:p>
    <w:p w14:paraId="6590D30B">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（8）投标人对本项目的合理化建议和改进措施————————</w:t>
      </w:r>
    </w:p>
    <w:p w14:paraId="60A478C5">
      <w:pPr>
        <w:snapToGrid w:val="0"/>
        <w:spacing w:line="360" w:lineRule="auto"/>
        <w:jc w:val="left"/>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投标人需要说明的其他文件和说明</w:t>
      </w:r>
      <w:r>
        <w:rPr>
          <w:rFonts w:hint="eastAsia" w:ascii="宋体" w:hAnsi="宋体"/>
          <w:color w:val="auto"/>
          <w:sz w:val="24"/>
          <w:highlight w:val="none"/>
        </w:rPr>
        <w:t>————————</w:t>
      </w:r>
    </w:p>
    <w:p w14:paraId="538A119B">
      <w:pPr>
        <w:snapToGrid w:val="0"/>
        <w:spacing w:line="360" w:lineRule="auto"/>
        <w:rPr>
          <w:rFonts w:ascii="宋体" w:hAnsi="宋体"/>
          <w:color w:val="auto"/>
          <w:sz w:val="24"/>
          <w:highlight w:val="none"/>
        </w:rPr>
      </w:pPr>
      <w:r>
        <w:rPr>
          <w:rFonts w:hint="eastAsia" w:ascii="宋体" w:hAnsi="宋体"/>
          <w:color w:val="auto"/>
          <w:sz w:val="24"/>
          <w:highlight w:val="none"/>
        </w:rPr>
        <w:t>资信：</w:t>
      </w:r>
    </w:p>
    <w:p w14:paraId="1C334C6A">
      <w:pPr>
        <w:snapToGrid w:val="0"/>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10</w:t>
      </w:r>
      <w:r>
        <w:rPr>
          <w:rFonts w:hint="eastAsia" w:ascii="宋体" w:hAnsi="宋体"/>
          <w:color w:val="auto"/>
          <w:sz w:val="24"/>
          <w:highlight w:val="none"/>
        </w:rPr>
        <w:t>）类似成功案例的业绩证明（投标人同类项目实施情况一览表、合同复印件）————————</w:t>
      </w:r>
    </w:p>
    <w:p w14:paraId="1CB1057F">
      <w:pPr>
        <w:snapToGrid w:val="0"/>
        <w:spacing w:line="360" w:lineRule="auto"/>
        <w:jc w:val="lef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1</w:t>
      </w:r>
      <w:r>
        <w:rPr>
          <w:rFonts w:hint="eastAsia" w:ascii="宋体" w:hAnsi="宋体"/>
          <w:color w:val="auto"/>
          <w:sz w:val="24"/>
          <w:highlight w:val="none"/>
        </w:rPr>
        <w:t>）权威认证证书————————</w:t>
      </w:r>
    </w:p>
    <w:p w14:paraId="3EB754E8">
      <w:pPr>
        <w:pStyle w:val="3"/>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2</w:t>
      </w:r>
      <w:r>
        <w:rPr>
          <w:rFonts w:hint="eastAsia" w:ascii="宋体" w:hAnsi="宋体"/>
          <w:color w:val="auto"/>
          <w:sz w:val="24"/>
          <w:highlight w:val="none"/>
        </w:rPr>
        <w:t>）</w:t>
      </w:r>
      <w:r>
        <w:rPr>
          <w:rFonts w:hint="eastAsia" w:hAnsi="宋体" w:cs="宋体"/>
          <w:color w:val="auto"/>
          <w:sz w:val="24"/>
          <w:szCs w:val="24"/>
          <w:highlight w:val="none"/>
        </w:rPr>
        <w:t>企业荣誉</w:t>
      </w:r>
      <w:r>
        <w:rPr>
          <w:rFonts w:ascii="宋体" w:hAnsi="宋体"/>
          <w:color w:val="auto"/>
          <w:sz w:val="24"/>
          <w:highlight w:val="none"/>
        </w:rPr>
        <w:t>证书</w:t>
      </w:r>
      <w:r>
        <w:rPr>
          <w:rFonts w:hint="eastAsia" w:ascii="宋体" w:hAnsi="宋体"/>
          <w:color w:val="auto"/>
          <w:sz w:val="24"/>
          <w:highlight w:val="none"/>
        </w:rPr>
        <w:t>————————</w:t>
      </w:r>
    </w:p>
    <w:p w14:paraId="0A094AD3">
      <w:pPr>
        <w:pStyle w:val="3"/>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3</w:t>
      </w:r>
      <w:r>
        <w:rPr>
          <w:rFonts w:hint="eastAsia" w:ascii="宋体" w:hAnsi="宋体"/>
          <w:color w:val="auto"/>
          <w:sz w:val="24"/>
          <w:highlight w:val="none"/>
        </w:rPr>
        <w:t>）其他特殊资质证书</w:t>
      </w:r>
      <w:r>
        <w:rPr>
          <w:rFonts w:ascii="宋体" w:hAnsi="宋体"/>
          <w:color w:val="auto"/>
          <w:sz w:val="24"/>
          <w:highlight w:val="none"/>
        </w:rPr>
        <w:t>（如</w:t>
      </w:r>
      <w:r>
        <w:rPr>
          <w:rFonts w:hint="eastAsia" w:ascii="宋体" w:hAnsi="宋体"/>
          <w:color w:val="auto"/>
          <w:sz w:val="24"/>
          <w:highlight w:val="none"/>
        </w:rPr>
        <w:t>本地化服务能力等）（格式可自拟）—————</w:t>
      </w:r>
    </w:p>
    <w:p w14:paraId="74F7C0B4">
      <w:pPr>
        <w:snapToGrid w:val="0"/>
        <w:spacing w:line="360" w:lineRule="auto"/>
        <w:jc w:val="lef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4</w:t>
      </w:r>
      <w:r>
        <w:rPr>
          <w:rFonts w:hint="eastAsia" w:ascii="宋体" w:hAnsi="宋体"/>
          <w:color w:val="auto"/>
          <w:sz w:val="24"/>
          <w:highlight w:val="none"/>
        </w:rPr>
        <w:t>）投标人认为可以证明其能力或业绩的其他材料————————</w:t>
      </w:r>
    </w:p>
    <w:p w14:paraId="7C8BC1AF">
      <w:pPr>
        <w:snapToGrid w:val="0"/>
        <w:spacing w:line="360" w:lineRule="auto"/>
        <w:rPr>
          <w:rFonts w:ascii="宋体" w:hAnsi="宋体"/>
          <w:color w:val="auto"/>
          <w:sz w:val="24"/>
          <w:highlight w:val="none"/>
        </w:rPr>
      </w:pPr>
      <w:r>
        <w:rPr>
          <w:rFonts w:hint="eastAsia" w:ascii="宋体" w:hAnsi="宋体"/>
          <w:color w:val="auto"/>
          <w:sz w:val="24"/>
          <w:highlight w:val="none"/>
        </w:rPr>
        <w:t>商务：</w:t>
      </w:r>
    </w:p>
    <w:p w14:paraId="617315E6">
      <w:pPr>
        <w:snapToGrid w:val="0"/>
        <w:spacing w:line="360" w:lineRule="auto"/>
        <w:jc w:val="lef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5</w:t>
      </w:r>
      <w:r>
        <w:rPr>
          <w:rFonts w:hint="eastAsia" w:ascii="宋体" w:hAnsi="宋体"/>
          <w:color w:val="auto"/>
          <w:sz w:val="24"/>
          <w:highlight w:val="none"/>
        </w:rPr>
        <w:t>）商务响应表————————</w:t>
      </w:r>
    </w:p>
    <w:p w14:paraId="46CA7F28">
      <w:pPr>
        <w:snapToGrid w:val="0"/>
        <w:spacing w:line="360" w:lineRule="auto"/>
        <w:jc w:val="lef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服务</w:t>
      </w:r>
      <w:r>
        <w:rPr>
          <w:rFonts w:hint="eastAsia" w:ascii="宋体" w:hAnsi="宋体"/>
          <w:color w:val="auto"/>
          <w:sz w:val="24"/>
          <w:highlight w:val="none"/>
        </w:rPr>
        <w:t>承诺————————</w:t>
      </w:r>
    </w:p>
    <w:p w14:paraId="4D2B3E55">
      <w:pPr>
        <w:snapToGrid w:val="0"/>
        <w:spacing w:line="360" w:lineRule="auto"/>
        <w:jc w:val="left"/>
        <w:rPr>
          <w:rFonts w:ascii="宋体" w:hAnsi="宋体"/>
          <w:color w:val="auto"/>
          <w:sz w:val="24"/>
          <w:highlight w:val="none"/>
        </w:rPr>
      </w:pPr>
      <w:bookmarkStart w:id="133" w:name="OLE_LINK59"/>
      <w:bookmarkStart w:id="134" w:name="OLE_LINK60"/>
      <w:r>
        <w:rPr>
          <w:rFonts w:hint="eastAsia" w:ascii="宋体" w:hAnsi="宋体"/>
          <w:color w:val="auto"/>
          <w:sz w:val="24"/>
          <w:highlight w:val="none"/>
        </w:rPr>
        <w:t>（</w:t>
      </w:r>
      <w:r>
        <w:rPr>
          <w:rFonts w:ascii="宋体" w:hAnsi="宋体"/>
          <w:color w:val="auto"/>
          <w:sz w:val="24"/>
          <w:highlight w:val="none"/>
        </w:rPr>
        <w:t>17</w:t>
      </w:r>
      <w:r>
        <w:rPr>
          <w:rFonts w:hint="eastAsia" w:ascii="宋体" w:hAnsi="宋体"/>
          <w:color w:val="auto"/>
          <w:sz w:val="24"/>
          <w:highlight w:val="none"/>
        </w:rPr>
        <w:t>）</w:t>
      </w:r>
      <w:bookmarkEnd w:id="133"/>
      <w:bookmarkEnd w:id="134"/>
      <w:r>
        <w:rPr>
          <w:rFonts w:hint="eastAsia" w:ascii="宋体" w:hAnsi="宋体"/>
          <w:color w:val="auto"/>
          <w:sz w:val="24"/>
          <w:highlight w:val="none"/>
        </w:rPr>
        <w:t>培训方案————————</w:t>
      </w:r>
    </w:p>
    <w:p w14:paraId="2AFA182B">
      <w:pPr>
        <w:snapToGrid w:val="0"/>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8）技术、商务、资信及其他分自评表————————</w:t>
      </w:r>
    </w:p>
    <w:p w14:paraId="1835F3D9">
      <w:pPr>
        <w:snapToGrid w:val="0"/>
        <w:spacing w:line="360" w:lineRule="auto"/>
        <w:jc w:val="left"/>
        <w:rPr>
          <w:color w:val="auto"/>
          <w:highlight w:val="none"/>
        </w:rPr>
      </w:pPr>
    </w:p>
    <w:p w14:paraId="0EAB2647">
      <w:pPr>
        <w:pStyle w:val="3"/>
        <w:rPr>
          <w:color w:val="auto"/>
          <w:highlight w:val="none"/>
        </w:rPr>
      </w:pPr>
    </w:p>
    <w:p w14:paraId="624CD7D3">
      <w:pPr>
        <w:rPr>
          <w:color w:val="auto"/>
          <w:highlight w:val="none"/>
        </w:rPr>
      </w:pPr>
    </w:p>
    <w:p w14:paraId="6CA3ECCD">
      <w:pPr>
        <w:pStyle w:val="11"/>
        <w:rPr>
          <w:color w:val="auto"/>
          <w:highlight w:val="none"/>
        </w:rPr>
      </w:pPr>
    </w:p>
    <w:p w14:paraId="7BBEEC3B">
      <w:pPr>
        <w:rPr>
          <w:color w:val="auto"/>
          <w:highlight w:val="none"/>
        </w:rPr>
      </w:pPr>
    </w:p>
    <w:p w14:paraId="32E51169">
      <w:pPr>
        <w:snapToGrid w:val="0"/>
        <w:spacing w:line="360" w:lineRule="auto"/>
        <w:jc w:val="left"/>
        <w:rPr>
          <w:rFonts w:ascii="宋体" w:hAnsi="宋体"/>
          <w:color w:val="auto"/>
          <w:sz w:val="24"/>
          <w:highlight w:val="none"/>
        </w:rPr>
      </w:pPr>
      <w:r>
        <w:rPr>
          <w:rFonts w:hint="eastAsia" w:ascii="宋体" w:hAnsi="宋体"/>
          <w:color w:val="auto"/>
          <w:sz w:val="24"/>
          <w:highlight w:val="none"/>
        </w:rPr>
        <w:t>13.实施方案（格式自拟）</w:t>
      </w:r>
    </w:p>
    <w:p w14:paraId="3CBAD717">
      <w:pPr>
        <w:rPr>
          <w:color w:val="auto"/>
          <w:highlight w:val="none"/>
        </w:rPr>
      </w:pPr>
    </w:p>
    <w:p w14:paraId="08B10379">
      <w:pPr>
        <w:rPr>
          <w:color w:val="auto"/>
          <w:highlight w:val="none"/>
        </w:rPr>
      </w:pPr>
    </w:p>
    <w:p w14:paraId="703847AE">
      <w:pPr>
        <w:pStyle w:val="3"/>
        <w:rPr>
          <w:color w:val="auto"/>
          <w:highlight w:val="none"/>
        </w:rPr>
      </w:pPr>
    </w:p>
    <w:p w14:paraId="67DBCF12">
      <w:pPr>
        <w:rPr>
          <w:color w:val="auto"/>
          <w:highlight w:val="none"/>
        </w:rPr>
      </w:pPr>
    </w:p>
    <w:p w14:paraId="42503CC2">
      <w:pPr>
        <w:pStyle w:val="11"/>
        <w:rPr>
          <w:color w:val="auto"/>
          <w:highlight w:val="none"/>
        </w:rPr>
      </w:pPr>
    </w:p>
    <w:p w14:paraId="12226FF8">
      <w:pPr>
        <w:rPr>
          <w:color w:val="auto"/>
          <w:highlight w:val="none"/>
        </w:rPr>
      </w:pPr>
    </w:p>
    <w:p w14:paraId="5D489069">
      <w:pPr>
        <w:snapToGrid w:val="0"/>
        <w:spacing w:line="360" w:lineRule="auto"/>
        <w:jc w:val="left"/>
        <w:rPr>
          <w:rFonts w:ascii="宋体" w:hAnsi="宋体"/>
          <w:color w:val="auto"/>
          <w:sz w:val="24"/>
          <w:highlight w:val="none"/>
        </w:rPr>
      </w:pPr>
      <w:r>
        <w:rPr>
          <w:rFonts w:hint="eastAsia" w:ascii="宋体" w:hAnsi="宋体"/>
          <w:color w:val="auto"/>
          <w:sz w:val="24"/>
          <w:highlight w:val="none"/>
        </w:rPr>
        <w:t>14.服务方案（格式自拟）</w:t>
      </w:r>
    </w:p>
    <w:p w14:paraId="1A7B0265">
      <w:pPr>
        <w:pStyle w:val="3"/>
        <w:rPr>
          <w:color w:val="auto"/>
          <w:highlight w:val="none"/>
        </w:rPr>
      </w:pPr>
    </w:p>
    <w:p w14:paraId="5DABB078">
      <w:pPr>
        <w:snapToGrid w:val="0"/>
        <w:spacing w:line="360" w:lineRule="auto"/>
        <w:jc w:val="left"/>
        <w:rPr>
          <w:rFonts w:ascii="宋体" w:hAnsi="宋体"/>
          <w:color w:val="auto"/>
          <w:sz w:val="24"/>
          <w:szCs w:val="20"/>
          <w:highlight w:val="none"/>
        </w:rPr>
      </w:pPr>
    </w:p>
    <w:p w14:paraId="756C6B80">
      <w:pPr>
        <w:pStyle w:val="11"/>
        <w:rPr>
          <w:color w:val="auto"/>
          <w:highlight w:val="none"/>
        </w:rPr>
      </w:pPr>
    </w:p>
    <w:p w14:paraId="54669735">
      <w:pPr>
        <w:pStyle w:val="11"/>
        <w:rPr>
          <w:color w:val="auto"/>
          <w:highlight w:val="none"/>
        </w:rPr>
      </w:pPr>
    </w:p>
    <w:p w14:paraId="406FE3F6">
      <w:pPr>
        <w:pStyle w:val="3"/>
        <w:rPr>
          <w:color w:val="auto"/>
          <w:highlight w:val="none"/>
        </w:rPr>
      </w:pPr>
    </w:p>
    <w:p w14:paraId="1B3018F7">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15.配合协调方案（格式自拟）</w:t>
      </w:r>
    </w:p>
    <w:p w14:paraId="21877AE3">
      <w:pPr>
        <w:pStyle w:val="3"/>
        <w:rPr>
          <w:color w:val="auto"/>
          <w:highlight w:val="none"/>
        </w:rPr>
      </w:pPr>
    </w:p>
    <w:p w14:paraId="2AEC1080">
      <w:pPr>
        <w:rPr>
          <w:color w:val="auto"/>
          <w:highlight w:val="none"/>
        </w:rPr>
      </w:pPr>
    </w:p>
    <w:p w14:paraId="791DEF32">
      <w:pPr>
        <w:pStyle w:val="11"/>
        <w:rPr>
          <w:color w:val="auto"/>
          <w:highlight w:val="none"/>
        </w:rPr>
      </w:pPr>
    </w:p>
    <w:p w14:paraId="1C5BCCAD">
      <w:pPr>
        <w:rPr>
          <w:color w:val="auto"/>
          <w:highlight w:val="none"/>
        </w:rPr>
      </w:pPr>
    </w:p>
    <w:p w14:paraId="3D7E13C6">
      <w:pPr>
        <w:pStyle w:val="3"/>
        <w:rPr>
          <w:color w:val="auto"/>
          <w:highlight w:val="none"/>
        </w:rPr>
      </w:pPr>
    </w:p>
    <w:p w14:paraId="07E8E7B0">
      <w:pPr>
        <w:rPr>
          <w:color w:val="auto"/>
          <w:highlight w:val="none"/>
        </w:rPr>
      </w:pPr>
    </w:p>
    <w:p w14:paraId="0EC3E665">
      <w:pPr>
        <w:pStyle w:val="38"/>
        <w:rPr>
          <w:rFonts w:hAnsi="宋体" w:cs="Times New Roman"/>
          <w:color w:val="auto"/>
          <w:kern w:val="2"/>
          <w:highlight w:val="none"/>
        </w:rPr>
      </w:pPr>
      <w:r>
        <w:rPr>
          <w:rFonts w:hint="eastAsia" w:hAnsi="宋体" w:cs="Times New Roman"/>
          <w:color w:val="auto"/>
          <w:kern w:val="2"/>
          <w:highlight w:val="none"/>
        </w:rPr>
        <w:t>16.服务质量控制措施（格式自拟）</w:t>
      </w:r>
    </w:p>
    <w:p w14:paraId="04631C42">
      <w:pPr>
        <w:pStyle w:val="39"/>
        <w:rPr>
          <w:color w:val="auto"/>
          <w:highlight w:val="none"/>
        </w:rPr>
      </w:pPr>
    </w:p>
    <w:p w14:paraId="488F17D5">
      <w:pPr>
        <w:rPr>
          <w:color w:val="auto"/>
          <w:highlight w:val="none"/>
        </w:rPr>
      </w:pPr>
    </w:p>
    <w:p w14:paraId="4EB1A88D">
      <w:pPr>
        <w:rPr>
          <w:color w:val="auto"/>
          <w:highlight w:val="none"/>
        </w:rPr>
      </w:pPr>
    </w:p>
    <w:p w14:paraId="47FC6A2F">
      <w:pPr>
        <w:pStyle w:val="11"/>
        <w:rPr>
          <w:color w:val="auto"/>
          <w:highlight w:val="none"/>
        </w:rPr>
      </w:pPr>
    </w:p>
    <w:p w14:paraId="67D50043">
      <w:pPr>
        <w:pStyle w:val="11"/>
        <w:rPr>
          <w:color w:val="auto"/>
          <w:highlight w:val="none"/>
        </w:rPr>
      </w:pPr>
    </w:p>
    <w:p w14:paraId="16BFDD02">
      <w:pPr>
        <w:pStyle w:val="11"/>
        <w:rPr>
          <w:color w:val="auto"/>
          <w:highlight w:val="none"/>
        </w:rPr>
      </w:pPr>
    </w:p>
    <w:p w14:paraId="6AD387BA">
      <w:pPr>
        <w:pStyle w:val="11"/>
        <w:rPr>
          <w:color w:val="auto"/>
          <w:highlight w:val="none"/>
        </w:rPr>
      </w:pPr>
    </w:p>
    <w:p w14:paraId="0C5042E8">
      <w:pPr>
        <w:pStyle w:val="11"/>
        <w:rPr>
          <w:color w:val="auto"/>
          <w:highlight w:val="none"/>
        </w:rPr>
      </w:pPr>
    </w:p>
    <w:p w14:paraId="0218015D">
      <w:pPr>
        <w:pStyle w:val="11"/>
        <w:rPr>
          <w:color w:val="auto"/>
          <w:highlight w:val="none"/>
        </w:rPr>
      </w:pPr>
    </w:p>
    <w:p w14:paraId="79603D21">
      <w:pPr>
        <w:pStyle w:val="3"/>
        <w:rPr>
          <w:color w:val="auto"/>
          <w:highlight w:val="none"/>
        </w:rPr>
      </w:pPr>
    </w:p>
    <w:p w14:paraId="009D7D25">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17.项目实施人员一览表格式：</w:t>
      </w:r>
    </w:p>
    <w:p w14:paraId="37D6A88B">
      <w:pPr>
        <w:snapToGrid w:val="0"/>
        <w:spacing w:line="360" w:lineRule="auto"/>
        <w:jc w:val="center"/>
        <w:rPr>
          <w:rFonts w:ascii="宋体" w:hAnsi="宋体"/>
          <w:b/>
          <w:color w:val="auto"/>
          <w:sz w:val="24"/>
          <w:szCs w:val="20"/>
          <w:highlight w:val="none"/>
        </w:rPr>
      </w:pPr>
      <w:r>
        <w:rPr>
          <w:rFonts w:hint="eastAsia" w:ascii="宋体" w:hAnsi="宋体"/>
          <w:b/>
          <w:color w:val="auto"/>
          <w:sz w:val="24"/>
          <w:highlight w:val="none"/>
        </w:rPr>
        <w:t>项目实施人员（主要从业人员及其技术资格）一览表</w:t>
      </w:r>
    </w:p>
    <w:p w14:paraId="63246C9F">
      <w:pPr>
        <w:snapToGrid w:val="0"/>
        <w:spacing w:line="360" w:lineRule="auto"/>
        <w:rPr>
          <w:rFonts w:ascii="宋体" w:hAnsi="宋体"/>
          <w:color w:val="auto"/>
          <w:sz w:val="24"/>
          <w:szCs w:val="20"/>
          <w:highlight w:val="none"/>
        </w:rPr>
      </w:pPr>
      <w:r>
        <w:rPr>
          <w:rFonts w:hint="eastAsia" w:ascii="宋体" w:hAnsi="宋体"/>
          <w:color w:val="auto"/>
          <w:highlight w:val="none"/>
        </w:rPr>
        <w:t>项目名称：</w:t>
      </w:r>
    </w:p>
    <w:tbl>
      <w:tblPr>
        <w:tblStyle w:val="27"/>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14:paraId="3B8BC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14:paraId="3A5A7F32">
            <w:pPr>
              <w:snapToGrid w:val="0"/>
              <w:spacing w:line="360" w:lineRule="auto"/>
              <w:rPr>
                <w:rFonts w:ascii="宋体" w:hAnsi="宋体"/>
                <w:color w:val="auto"/>
                <w:sz w:val="24"/>
                <w:szCs w:val="20"/>
                <w:highlight w:val="none"/>
              </w:rPr>
            </w:pPr>
            <w:r>
              <w:rPr>
                <w:rFonts w:hint="eastAsia" w:ascii="宋体" w:hAnsi="宋体"/>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209FFBB2">
            <w:pPr>
              <w:snapToGrid w:val="0"/>
              <w:spacing w:line="360" w:lineRule="auto"/>
              <w:rPr>
                <w:rFonts w:ascii="宋体" w:hAnsi="宋体"/>
                <w:color w:val="auto"/>
                <w:sz w:val="24"/>
                <w:szCs w:val="20"/>
                <w:highlight w:val="none"/>
              </w:rPr>
            </w:pPr>
            <w:r>
              <w:rPr>
                <w:rFonts w:hint="eastAsia" w:ascii="宋体" w:hAnsi="宋体"/>
                <w:color w:val="auto"/>
                <w:sz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bottom"/>
          </w:tcPr>
          <w:p w14:paraId="21144EC6">
            <w:pPr>
              <w:snapToGrid w:val="0"/>
              <w:spacing w:line="360" w:lineRule="auto"/>
              <w:jc w:val="center"/>
              <w:rPr>
                <w:rFonts w:ascii="宋体" w:hAnsi="宋体"/>
                <w:color w:val="auto"/>
                <w:sz w:val="24"/>
                <w:szCs w:val="20"/>
                <w:highlight w:val="none"/>
              </w:rPr>
            </w:pPr>
            <w:r>
              <w:rPr>
                <w:rFonts w:hint="eastAsia" w:ascii="宋体" w:hAnsi="宋体"/>
                <w:color w:val="auto"/>
                <w:sz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3CF1CF9E">
            <w:pPr>
              <w:snapToGrid w:val="0"/>
              <w:spacing w:line="360" w:lineRule="auto"/>
              <w:rPr>
                <w:rFonts w:ascii="宋体" w:hAnsi="宋体"/>
                <w:color w:val="auto"/>
                <w:sz w:val="24"/>
                <w:szCs w:val="20"/>
                <w:highlight w:val="none"/>
              </w:rPr>
            </w:pPr>
            <w:r>
              <w:rPr>
                <w:rFonts w:hint="eastAsia" w:ascii="宋体" w:hAnsi="宋体"/>
                <w:color w:val="auto"/>
                <w:sz w:val="24"/>
                <w:highlight w:val="none"/>
              </w:rPr>
              <w:t>证书编号</w:t>
            </w:r>
          </w:p>
        </w:tc>
        <w:tc>
          <w:tcPr>
            <w:tcW w:w="1620" w:type="dxa"/>
            <w:tcBorders>
              <w:top w:val="single" w:color="auto" w:sz="4" w:space="0"/>
              <w:left w:val="single" w:color="auto" w:sz="4" w:space="0"/>
              <w:bottom w:val="single" w:color="auto" w:sz="4" w:space="0"/>
              <w:right w:val="single" w:color="auto" w:sz="4" w:space="0"/>
            </w:tcBorders>
            <w:vAlign w:val="bottom"/>
          </w:tcPr>
          <w:p w14:paraId="0AC78F6A">
            <w:pPr>
              <w:snapToGrid w:val="0"/>
              <w:spacing w:line="360" w:lineRule="auto"/>
              <w:rPr>
                <w:rFonts w:ascii="宋体" w:hAnsi="宋体"/>
                <w:bCs/>
                <w:color w:val="auto"/>
                <w:sz w:val="24"/>
                <w:szCs w:val="20"/>
                <w:highlight w:val="none"/>
              </w:rPr>
            </w:pPr>
            <w:r>
              <w:rPr>
                <w:rFonts w:hint="eastAsia" w:ascii="宋体" w:hAnsi="宋体"/>
                <w:bCs/>
                <w:color w:val="auto"/>
                <w:sz w:val="24"/>
                <w:highlight w:val="none"/>
              </w:rPr>
              <w:t>参加本单位工作时间</w:t>
            </w:r>
          </w:p>
        </w:tc>
        <w:tc>
          <w:tcPr>
            <w:tcW w:w="1980" w:type="dxa"/>
            <w:tcBorders>
              <w:top w:val="single" w:color="auto" w:sz="4" w:space="0"/>
              <w:left w:val="single" w:color="auto" w:sz="4" w:space="0"/>
              <w:bottom w:val="single" w:color="auto" w:sz="4" w:space="0"/>
              <w:right w:val="single" w:color="auto" w:sz="4" w:space="0"/>
            </w:tcBorders>
            <w:vAlign w:val="bottom"/>
          </w:tcPr>
          <w:p w14:paraId="52AE053D">
            <w:pPr>
              <w:snapToGrid w:val="0"/>
              <w:spacing w:line="360" w:lineRule="auto"/>
              <w:rPr>
                <w:rFonts w:ascii="宋体" w:hAnsi="宋体"/>
                <w:bCs/>
                <w:color w:val="auto"/>
                <w:sz w:val="24"/>
                <w:szCs w:val="20"/>
                <w:highlight w:val="none"/>
              </w:rPr>
            </w:pPr>
            <w:r>
              <w:rPr>
                <w:rFonts w:hint="eastAsia" w:ascii="宋体" w:hAnsi="宋体"/>
                <w:bCs/>
                <w:color w:val="auto"/>
                <w:sz w:val="24"/>
                <w:highlight w:val="none"/>
              </w:rPr>
              <w:t>劳动合同编号</w:t>
            </w:r>
          </w:p>
        </w:tc>
      </w:tr>
      <w:tr w14:paraId="1A630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BB94041">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78D6C7A">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0F24E8F0">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4E2D065D">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167D6794">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05A8D303">
            <w:pPr>
              <w:snapToGrid w:val="0"/>
              <w:spacing w:line="360" w:lineRule="auto"/>
              <w:rPr>
                <w:rFonts w:ascii="宋体" w:hAnsi="宋体"/>
                <w:color w:val="auto"/>
                <w:sz w:val="24"/>
                <w:szCs w:val="20"/>
                <w:highlight w:val="none"/>
              </w:rPr>
            </w:pPr>
          </w:p>
        </w:tc>
      </w:tr>
      <w:tr w14:paraId="6C4E9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D833EB8">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1061258">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0E429063">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7CFA1DC3">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7FBFD33D">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36DA22D3">
            <w:pPr>
              <w:snapToGrid w:val="0"/>
              <w:spacing w:line="360" w:lineRule="auto"/>
              <w:rPr>
                <w:rFonts w:ascii="宋体" w:hAnsi="宋体"/>
                <w:color w:val="auto"/>
                <w:sz w:val="24"/>
                <w:szCs w:val="20"/>
                <w:highlight w:val="none"/>
              </w:rPr>
            </w:pPr>
          </w:p>
        </w:tc>
      </w:tr>
      <w:tr w14:paraId="7297D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C8D4A01">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6A8E9579">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76906F76">
            <w:pPr>
              <w:pStyle w:val="15"/>
              <w:snapToGrid w:val="0"/>
              <w:spacing w:line="360" w:lineRule="auto"/>
              <w:ind w:left="5250"/>
              <w:rPr>
                <w:rFonts w:ascii="宋体" w:hAns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110DB3E">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4C451FF8">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50302D9E">
            <w:pPr>
              <w:snapToGrid w:val="0"/>
              <w:spacing w:line="360" w:lineRule="auto"/>
              <w:rPr>
                <w:rFonts w:ascii="宋体" w:hAnsi="宋体"/>
                <w:color w:val="auto"/>
                <w:sz w:val="24"/>
                <w:szCs w:val="20"/>
                <w:highlight w:val="none"/>
              </w:rPr>
            </w:pPr>
          </w:p>
        </w:tc>
      </w:tr>
      <w:tr w14:paraId="3A14E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8828AE8">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88BAF3C">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75782C6F">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2DDB43D9">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6CBAF012">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71DBF7A5">
            <w:pPr>
              <w:snapToGrid w:val="0"/>
              <w:spacing w:line="360" w:lineRule="auto"/>
              <w:rPr>
                <w:rFonts w:ascii="宋体" w:hAnsi="宋体"/>
                <w:color w:val="auto"/>
                <w:sz w:val="24"/>
                <w:szCs w:val="20"/>
                <w:highlight w:val="none"/>
              </w:rPr>
            </w:pPr>
          </w:p>
        </w:tc>
      </w:tr>
      <w:tr w14:paraId="3224F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EA9C9E9">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6B22D1F1">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000F1AB8">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42DB0D16">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7A750C47">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660A6174">
            <w:pPr>
              <w:snapToGrid w:val="0"/>
              <w:spacing w:line="360" w:lineRule="auto"/>
              <w:rPr>
                <w:rFonts w:ascii="宋体" w:hAnsi="宋体"/>
                <w:color w:val="auto"/>
                <w:sz w:val="24"/>
                <w:szCs w:val="20"/>
                <w:highlight w:val="none"/>
              </w:rPr>
            </w:pPr>
          </w:p>
        </w:tc>
      </w:tr>
      <w:tr w14:paraId="700D3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450A722">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33E2FCD">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0DB2EFD5">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2C9EA13E">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4A0C87D8">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4B08E7D1">
            <w:pPr>
              <w:snapToGrid w:val="0"/>
              <w:spacing w:line="360" w:lineRule="auto"/>
              <w:rPr>
                <w:rFonts w:ascii="宋体" w:hAnsi="宋体"/>
                <w:color w:val="auto"/>
                <w:sz w:val="24"/>
                <w:szCs w:val="20"/>
                <w:highlight w:val="none"/>
              </w:rPr>
            </w:pPr>
          </w:p>
        </w:tc>
      </w:tr>
      <w:tr w14:paraId="1AD342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8D985A9">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5205E76">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5E03951A">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0CAFED2E">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6FD0B1A3">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5903B998">
            <w:pPr>
              <w:snapToGrid w:val="0"/>
              <w:spacing w:line="360" w:lineRule="auto"/>
              <w:rPr>
                <w:rFonts w:ascii="宋体" w:hAnsi="宋体"/>
                <w:color w:val="auto"/>
                <w:sz w:val="24"/>
                <w:szCs w:val="20"/>
                <w:highlight w:val="none"/>
              </w:rPr>
            </w:pPr>
          </w:p>
        </w:tc>
      </w:tr>
      <w:tr w14:paraId="2F66C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B30D189">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59DC277">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2C562EC4">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55F779ED">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591CF3AA">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09328087">
            <w:pPr>
              <w:snapToGrid w:val="0"/>
              <w:spacing w:line="360" w:lineRule="auto"/>
              <w:rPr>
                <w:rFonts w:ascii="宋体" w:hAnsi="宋体"/>
                <w:color w:val="auto"/>
                <w:sz w:val="24"/>
                <w:szCs w:val="20"/>
                <w:highlight w:val="none"/>
              </w:rPr>
            </w:pPr>
          </w:p>
        </w:tc>
      </w:tr>
      <w:tr w14:paraId="0E559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916A7FC">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344BD9A">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12CD613E">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34271600">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50F87E1D">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56804833">
            <w:pPr>
              <w:snapToGrid w:val="0"/>
              <w:spacing w:line="360" w:lineRule="auto"/>
              <w:rPr>
                <w:rFonts w:ascii="宋体" w:hAnsi="宋体"/>
                <w:color w:val="auto"/>
                <w:sz w:val="24"/>
                <w:szCs w:val="20"/>
                <w:highlight w:val="none"/>
              </w:rPr>
            </w:pPr>
          </w:p>
        </w:tc>
      </w:tr>
    </w:tbl>
    <w:p w14:paraId="4B4EFE18">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注：在填写时，如本表格不适合投标单位的实际情况，可根据本表格式自行划表填写。</w:t>
      </w:r>
    </w:p>
    <w:p w14:paraId="4E08B522">
      <w:pPr>
        <w:snapToGrid w:val="0"/>
        <w:spacing w:line="360" w:lineRule="auto"/>
        <w:rPr>
          <w:rFonts w:ascii="宋体" w:hAnsi="宋体"/>
          <w:color w:val="auto"/>
          <w:spacing w:val="20"/>
          <w:sz w:val="24"/>
          <w:szCs w:val="20"/>
          <w:highlight w:val="none"/>
          <w:u w:val="single"/>
        </w:rPr>
      </w:pPr>
      <w:bookmarkStart w:id="135" w:name="OLE_LINK131"/>
      <w:bookmarkStart w:id="136" w:name="OLE_LINK130"/>
      <w:r>
        <w:rPr>
          <w:rFonts w:hint="eastAsia" w:ascii="宋体" w:hAnsi="宋体"/>
          <w:color w:val="auto"/>
          <w:spacing w:val="20"/>
          <w:sz w:val="24"/>
          <w:highlight w:val="none"/>
        </w:rPr>
        <w:t>授权代表签名：</w:t>
      </w:r>
    </w:p>
    <w:bookmarkEnd w:id="135"/>
    <w:bookmarkEnd w:id="136"/>
    <w:p w14:paraId="50AB09F0">
      <w:pPr>
        <w:snapToGrid w:val="0"/>
        <w:spacing w:line="360" w:lineRule="auto"/>
        <w:jc w:val="left"/>
        <w:rPr>
          <w:rFonts w:ascii="宋体" w:hAnsi="宋体"/>
          <w:color w:val="auto"/>
          <w:spacing w:val="20"/>
          <w:sz w:val="24"/>
          <w:szCs w:val="20"/>
          <w:highlight w:val="none"/>
          <w:u w:val="single"/>
        </w:rPr>
      </w:pPr>
      <w:r>
        <w:rPr>
          <w:rFonts w:hint="eastAsia" w:ascii="宋体" w:hAnsi="宋体"/>
          <w:color w:val="auto"/>
          <w:spacing w:val="20"/>
          <w:sz w:val="24"/>
          <w:highlight w:val="none"/>
        </w:rPr>
        <w:t>投标人盖章：日期：</w:t>
      </w:r>
    </w:p>
    <w:p w14:paraId="194BE680">
      <w:pPr>
        <w:rPr>
          <w:color w:val="auto"/>
          <w:highlight w:val="none"/>
        </w:rPr>
      </w:pPr>
    </w:p>
    <w:p w14:paraId="0B5B215C">
      <w:pPr>
        <w:snapToGrid w:val="0"/>
        <w:spacing w:line="360" w:lineRule="auto"/>
        <w:jc w:val="left"/>
        <w:rPr>
          <w:rFonts w:ascii="宋体" w:hAnsi="宋体"/>
          <w:color w:val="auto"/>
          <w:sz w:val="24"/>
          <w:highlight w:val="none"/>
        </w:rPr>
      </w:pPr>
    </w:p>
    <w:p w14:paraId="64475F84">
      <w:pPr>
        <w:snapToGrid w:val="0"/>
        <w:spacing w:line="360" w:lineRule="auto"/>
        <w:jc w:val="left"/>
        <w:rPr>
          <w:rFonts w:ascii="宋体" w:hAnsi="宋体"/>
          <w:color w:val="auto"/>
          <w:sz w:val="24"/>
          <w:highlight w:val="none"/>
        </w:rPr>
      </w:pPr>
      <w:r>
        <w:rPr>
          <w:rFonts w:hint="eastAsia" w:ascii="宋体" w:hAnsi="宋体"/>
          <w:color w:val="auto"/>
          <w:sz w:val="24"/>
          <w:highlight w:val="none"/>
        </w:rPr>
        <w:t>18.个性服务设备配置</w:t>
      </w:r>
      <w:bookmarkStart w:id="137" w:name="OLE_LINK64"/>
      <w:bookmarkStart w:id="138" w:name="OLE_LINK63"/>
      <w:r>
        <w:rPr>
          <w:rFonts w:hint="eastAsia" w:ascii="宋体" w:hAnsi="宋体"/>
          <w:color w:val="auto"/>
          <w:sz w:val="24"/>
          <w:highlight w:val="none"/>
        </w:rPr>
        <w:t>（格式自拟）</w:t>
      </w:r>
    </w:p>
    <w:bookmarkEnd w:id="137"/>
    <w:bookmarkEnd w:id="138"/>
    <w:p w14:paraId="69424B49">
      <w:pPr>
        <w:snapToGrid w:val="0"/>
        <w:spacing w:line="360" w:lineRule="auto"/>
        <w:jc w:val="left"/>
        <w:rPr>
          <w:rFonts w:ascii="宋体" w:hAnsi="宋体"/>
          <w:color w:val="auto"/>
          <w:sz w:val="24"/>
          <w:highlight w:val="none"/>
        </w:rPr>
      </w:pPr>
    </w:p>
    <w:p w14:paraId="67A62F94">
      <w:pPr>
        <w:snapToGrid w:val="0"/>
        <w:spacing w:line="360" w:lineRule="auto"/>
        <w:jc w:val="left"/>
        <w:rPr>
          <w:rFonts w:ascii="宋体" w:hAnsi="宋体"/>
          <w:color w:val="auto"/>
          <w:sz w:val="24"/>
          <w:highlight w:val="none"/>
        </w:rPr>
      </w:pPr>
    </w:p>
    <w:p w14:paraId="35CCF26B">
      <w:pPr>
        <w:snapToGrid w:val="0"/>
        <w:spacing w:line="360" w:lineRule="auto"/>
        <w:jc w:val="left"/>
        <w:rPr>
          <w:rFonts w:ascii="宋体" w:hAnsi="宋体"/>
          <w:color w:val="auto"/>
          <w:sz w:val="24"/>
          <w:highlight w:val="none"/>
        </w:rPr>
      </w:pPr>
    </w:p>
    <w:p w14:paraId="6BA965F1">
      <w:pPr>
        <w:snapToGrid w:val="0"/>
        <w:spacing w:line="360" w:lineRule="auto"/>
        <w:jc w:val="left"/>
        <w:rPr>
          <w:rFonts w:ascii="宋体" w:hAnsi="宋体"/>
          <w:color w:val="auto"/>
          <w:sz w:val="24"/>
          <w:highlight w:val="none"/>
        </w:rPr>
      </w:pPr>
      <w:r>
        <w:rPr>
          <w:rFonts w:hint="eastAsia" w:ascii="宋体" w:hAnsi="宋体"/>
          <w:color w:val="auto"/>
          <w:sz w:val="24"/>
          <w:highlight w:val="none"/>
        </w:rPr>
        <w:t>19.</w:t>
      </w:r>
      <w:bookmarkStart w:id="139" w:name="OLE_LINK56"/>
      <w:r>
        <w:rPr>
          <w:rFonts w:hint="eastAsia" w:hAnsi="宋体"/>
          <w:bCs/>
          <w:color w:val="auto"/>
          <w:sz w:val="24"/>
          <w:highlight w:val="none"/>
        </w:rPr>
        <w:t>数字化建设证明材料</w:t>
      </w:r>
      <w:bookmarkEnd w:id="139"/>
      <w:r>
        <w:rPr>
          <w:rFonts w:hint="eastAsia" w:ascii="宋体" w:hAnsi="宋体"/>
          <w:color w:val="auto"/>
          <w:sz w:val="24"/>
          <w:highlight w:val="none"/>
        </w:rPr>
        <w:t>（格式自拟）</w:t>
      </w:r>
    </w:p>
    <w:p w14:paraId="58B8138A">
      <w:pPr>
        <w:pStyle w:val="11"/>
        <w:rPr>
          <w:color w:val="auto"/>
          <w:highlight w:val="none"/>
        </w:rPr>
      </w:pPr>
    </w:p>
    <w:p w14:paraId="4DA34919">
      <w:pPr>
        <w:pStyle w:val="11"/>
        <w:rPr>
          <w:color w:val="auto"/>
          <w:highlight w:val="none"/>
        </w:rPr>
      </w:pPr>
    </w:p>
    <w:p w14:paraId="5971035B">
      <w:pPr>
        <w:pStyle w:val="11"/>
        <w:rPr>
          <w:color w:val="auto"/>
          <w:highlight w:val="none"/>
        </w:rPr>
      </w:pPr>
    </w:p>
    <w:p w14:paraId="3AD25602">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20.投标人对本项目的合理化建议和改进措施</w:t>
      </w:r>
      <w:bookmarkStart w:id="140" w:name="OLE_LINK94"/>
      <w:bookmarkStart w:id="141" w:name="OLE_LINK93"/>
      <w:r>
        <w:rPr>
          <w:rFonts w:hint="eastAsia" w:ascii="宋体" w:hAnsi="宋体"/>
          <w:color w:val="auto"/>
          <w:sz w:val="24"/>
          <w:highlight w:val="none"/>
        </w:rPr>
        <w:t>（格式自拟）</w:t>
      </w:r>
      <w:bookmarkEnd w:id="140"/>
      <w:bookmarkEnd w:id="141"/>
    </w:p>
    <w:p w14:paraId="170D1EC5">
      <w:pPr>
        <w:snapToGrid w:val="0"/>
        <w:spacing w:line="360" w:lineRule="auto"/>
        <w:jc w:val="left"/>
        <w:rPr>
          <w:rFonts w:ascii="宋体" w:hAnsi="宋体"/>
          <w:color w:val="auto"/>
          <w:sz w:val="24"/>
          <w:szCs w:val="20"/>
          <w:highlight w:val="none"/>
        </w:rPr>
      </w:pPr>
    </w:p>
    <w:p w14:paraId="5D318B10">
      <w:pPr>
        <w:pStyle w:val="11"/>
        <w:rPr>
          <w:color w:val="auto"/>
          <w:highlight w:val="none"/>
        </w:rPr>
      </w:pPr>
    </w:p>
    <w:p w14:paraId="3574976D">
      <w:pPr>
        <w:pStyle w:val="3"/>
        <w:rPr>
          <w:color w:val="auto"/>
          <w:highlight w:val="none"/>
        </w:rPr>
      </w:pPr>
    </w:p>
    <w:p w14:paraId="6021EF8E">
      <w:pPr>
        <w:snapToGrid w:val="0"/>
        <w:spacing w:line="360" w:lineRule="auto"/>
        <w:jc w:val="left"/>
        <w:rPr>
          <w:rFonts w:ascii="宋体" w:hAnsi="宋体"/>
          <w:color w:val="auto"/>
          <w:sz w:val="24"/>
          <w:highlight w:val="none"/>
        </w:rPr>
      </w:pPr>
      <w:r>
        <w:rPr>
          <w:rFonts w:hint="eastAsia" w:ascii="宋体" w:hAnsi="宋体"/>
          <w:color w:val="auto"/>
          <w:sz w:val="24"/>
          <w:highlight w:val="none"/>
        </w:rPr>
        <w:t>21</w:t>
      </w:r>
      <w:r>
        <w:rPr>
          <w:rFonts w:ascii="宋体" w:hAnsi="宋体"/>
          <w:color w:val="auto"/>
          <w:sz w:val="24"/>
          <w:highlight w:val="none"/>
        </w:rPr>
        <w:t>.</w:t>
      </w:r>
      <w:r>
        <w:rPr>
          <w:rFonts w:hint="eastAsia" w:ascii="宋体" w:hAnsi="宋体"/>
          <w:color w:val="auto"/>
          <w:sz w:val="24"/>
          <w:highlight w:val="none"/>
        </w:rPr>
        <w:t>投标人需要说明的其他文件和说明（格式自拟）</w:t>
      </w:r>
    </w:p>
    <w:p w14:paraId="620613A7">
      <w:pPr>
        <w:pStyle w:val="3"/>
        <w:rPr>
          <w:color w:val="auto"/>
          <w:highlight w:val="none"/>
        </w:rPr>
        <w:sectPr>
          <w:pgSz w:w="11906" w:h="16838"/>
          <w:pgMar w:top="1361" w:right="1247" w:bottom="1361" w:left="1247" w:header="851" w:footer="851" w:gutter="0"/>
          <w:cols w:space="720" w:num="1"/>
          <w:docGrid w:linePitch="312" w:charSpace="0"/>
        </w:sectPr>
      </w:pPr>
    </w:p>
    <w:p w14:paraId="2E4D957E">
      <w:pPr>
        <w:snapToGrid w:val="0"/>
        <w:spacing w:line="360" w:lineRule="auto"/>
        <w:jc w:val="left"/>
        <w:rPr>
          <w:rFonts w:ascii="宋体" w:hAnsi="宋体"/>
          <w:color w:val="auto"/>
          <w:sz w:val="24"/>
          <w:highlight w:val="none"/>
        </w:rPr>
      </w:pPr>
      <w:r>
        <w:rPr>
          <w:rFonts w:hint="eastAsia" w:ascii="宋体" w:hAnsi="宋体"/>
          <w:color w:val="auto"/>
          <w:sz w:val="24"/>
          <w:highlight w:val="none"/>
        </w:rPr>
        <w:t>22</w:t>
      </w:r>
      <w:r>
        <w:rPr>
          <w:rFonts w:ascii="宋体" w:hAnsi="宋体"/>
          <w:color w:val="auto"/>
          <w:sz w:val="24"/>
          <w:highlight w:val="none"/>
        </w:rPr>
        <w:t>.</w:t>
      </w:r>
      <w:r>
        <w:rPr>
          <w:rFonts w:hint="eastAsia" w:ascii="宋体" w:hAnsi="宋体"/>
          <w:color w:val="auto"/>
          <w:sz w:val="24"/>
          <w:highlight w:val="none"/>
        </w:rPr>
        <w:t>投标人的类似成功案例的业绩证明文件：</w:t>
      </w:r>
    </w:p>
    <w:p w14:paraId="747D912F">
      <w:pPr>
        <w:pStyle w:val="19"/>
        <w:snapToGrid w:val="0"/>
        <w:spacing w:line="360" w:lineRule="auto"/>
        <w:ind w:left="480" w:hanging="480"/>
        <w:rPr>
          <w:rFonts w:ascii="宋体" w:hAnsi="宋体"/>
          <w:color w:val="auto"/>
          <w:sz w:val="24"/>
          <w:highlight w:val="none"/>
        </w:rPr>
      </w:pPr>
      <w:r>
        <w:rPr>
          <w:rFonts w:ascii="宋体" w:hAnsi="宋体"/>
          <w:color w:val="auto"/>
          <w:sz w:val="24"/>
          <w:highlight w:val="none"/>
        </w:rPr>
        <w:t>投标人同类项目实施情况一览表格式：（投标人同类项目合同复印件）</w:t>
      </w:r>
    </w:p>
    <w:tbl>
      <w:tblPr>
        <w:tblStyle w:val="27"/>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800"/>
        <w:gridCol w:w="1800"/>
        <w:gridCol w:w="2160"/>
      </w:tblGrid>
      <w:tr w14:paraId="490C8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79CF348C">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2642CB89">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10F5AF5">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采购</w:t>
            </w:r>
          </w:p>
          <w:p w14:paraId="33042EF6">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C0566EC">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单价</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14:paraId="4D902539">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合同</w:t>
            </w:r>
          </w:p>
          <w:p w14:paraId="1BDEF00F">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金额</w:t>
            </w:r>
          </w:p>
          <w:p w14:paraId="644CB75E">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（万元）</w:t>
            </w:r>
          </w:p>
        </w:tc>
        <w:tc>
          <w:tcPr>
            <w:tcW w:w="1800" w:type="dxa"/>
            <w:tcBorders>
              <w:top w:val="single" w:color="auto" w:sz="4" w:space="0"/>
              <w:left w:val="single" w:color="auto" w:sz="4" w:space="0"/>
              <w:bottom w:val="single" w:color="auto" w:sz="4" w:space="0"/>
              <w:right w:val="single" w:color="auto" w:sz="4" w:space="0"/>
            </w:tcBorders>
            <w:vAlign w:val="center"/>
          </w:tcPr>
          <w:p w14:paraId="148473EA">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3EC4772D">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采购单位联系人及</w:t>
            </w:r>
          </w:p>
          <w:p w14:paraId="166000F7">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联系电话</w:t>
            </w:r>
          </w:p>
        </w:tc>
      </w:tr>
      <w:tr w14:paraId="7DAFF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283F94B6">
            <w:pPr>
              <w:widowControl/>
              <w:spacing w:line="360" w:lineRule="auto"/>
              <w:jc w:val="left"/>
              <w:rPr>
                <w:rFonts w:ascii="宋体" w:hAnsi="宋体"/>
                <w:color w:val="auto"/>
                <w:sz w:val="18"/>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599BAB57">
            <w:pPr>
              <w:widowControl/>
              <w:spacing w:line="360" w:lineRule="auto"/>
              <w:jc w:val="left"/>
              <w:rPr>
                <w:rFonts w:ascii="宋体" w:hAnsi="宋体"/>
                <w:color w:val="auto"/>
                <w:sz w:val="18"/>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4252DDB">
            <w:pPr>
              <w:widowControl/>
              <w:spacing w:line="360" w:lineRule="auto"/>
              <w:jc w:val="left"/>
              <w:rPr>
                <w:rFonts w:ascii="宋体" w:hAnsi="宋体"/>
                <w:color w:val="auto"/>
                <w:sz w:val="18"/>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62E407E">
            <w:pPr>
              <w:widowControl/>
              <w:spacing w:line="360" w:lineRule="auto"/>
              <w:jc w:val="left"/>
              <w:rPr>
                <w:rFonts w:ascii="宋体" w:hAnsi="宋体"/>
                <w:color w:val="auto"/>
                <w:sz w:val="18"/>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682ACF6A">
            <w:pPr>
              <w:widowControl/>
              <w:spacing w:line="360" w:lineRule="auto"/>
              <w:jc w:val="left"/>
              <w:rPr>
                <w:rFonts w:ascii="宋体" w:hAnsi="宋体"/>
                <w:color w:val="auto"/>
                <w:sz w:val="1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23E75047">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069D1462">
            <w:pPr>
              <w:widowControl/>
              <w:spacing w:line="360" w:lineRule="auto"/>
              <w:jc w:val="left"/>
              <w:rPr>
                <w:rFonts w:ascii="宋体" w:hAnsi="宋体"/>
                <w:color w:val="auto"/>
                <w:sz w:val="18"/>
                <w:highlight w:val="none"/>
              </w:rPr>
            </w:pPr>
          </w:p>
        </w:tc>
      </w:tr>
      <w:tr w14:paraId="2A9AE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61BE8405">
            <w:pPr>
              <w:snapToGrid w:val="0"/>
              <w:spacing w:line="360" w:lineRule="auto"/>
              <w:jc w:val="left"/>
              <w:rPr>
                <w:rFonts w:ascii="宋体" w:hAnsi="宋体"/>
                <w:color w:val="auto"/>
                <w:sz w:val="18"/>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365B99A7">
            <w:pPr>
              <w:snapToGrid w:val="0"/>
              <w:spacing w:line="360" w:lineRule="auto"/>
              <w:jc w:val="left"/>
              <w:rPr>
                <w:rFonts w:ascii="宋体" w:hAnsi="宋体"/>
                <w:color w:val="auto"/>
                <w:sz w:val="18"/>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5FBE819D">
            <w:pPr>
              <w:snapToGrid w:val="0"/>
              <w:spacing w:line="360" w:lineRule="auto"/>
              <w:jc w:val="left"/>
              <w:rPr>
                <w:rFonts w:ascii="宋体" w:hAnsi="宋体"/>
                <w:color w:val="auto"/>
                <w:sz w:val="18"/>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27539957">
            <w:pPr>
              <w:snapToGrid w:val="0"/>
              <w:spacing w:line="360" w:lineRule="auto"/>
              <w:jc w:val="left"/>
              <w:rPr>
                <w:rFonts w:ascii="宋体" w:hAnsi="宋体"/>
                <w:color w:val="auto"/>
                <w:sz w:val="18"/>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4FF50B81">
            <w:pPr>
              <w:snapToGrid w:val="0"/>
              <w:spacing w:line="360" w:lineRule="auto"/>
              <w:jc w:val="left"/>
              <w:rPr>
                <w:rFonts w:ascii="宋体" w:hAnsi="宋体"/>
                <w:color w:val="auto"/>
                <w:sz w:val="18"/>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60D2E154">
            <w:pPr>
              <w:snapToGrid w:val="0"/>
              <w:spacing w:line="360" w:lineRule="auto"/>
              <w:jc w:val="left"/>
              <w:rPr>
                <w:rFonts w:ascii="宋体" w:hAnsi="宋体"/>
                <w:color w:val="auto"/>
                <w:sz w:val="18"/>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71B380E8">
            <w:pPr>
              <w:snapToGrid w:val="0"/>
              <w:spacing w:line="360" w:lineRule="auto"/>
              <w:jc w:val="left"/>
              <w:rPr>
                <w:rFonts w:ascii="宋体" w:hAnsi="宋体"/>
                <w:color w:val="auto"/>
                <w:sz w:val="18"/>
                <w:szCs w:val="20"/>
                <w:highlight w:val="none"/>
              </w:rPr>
            </w:pPr>
          </w:p>
        </w:tc>
      </w:tr>
      <w:tr w14:paraId="05E28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02DADEC">
            <w:pPr>
              <w:snapToGrid w:val="0"/>
              <w:spacing w:line="360" w:lineRule="auto"/>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3B7D5D2C">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4F9702A6">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43358FF8">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40E3D32C">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1E06B747">
            <w:pPr>
              <w:snapToGrid w:val="0"/>
              <w:spacing w:line="360" w:lineRule="auto"/>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3CBB5234">
            <w:pPr>
              <w:snapToGrid w:val="0"/>
              <w:spacing w:line="360" w:lineRule="auto"/>
              <w:jc w:val="left"/>
              <w:rPr>
                <w:rFonts w:ascii="宋体" w:hAnsi="宋体"/>
                <w:color w:val="auto"/>
                <w:sz w:val="24"/>
                <w:szCs w:val="20"/>
                <w:highlight w:val="none"/>
              </w:rPr>
            </w:pPr>
          </w:p>
        </w:tc>
      </w:tr>
      <w:tr w14:paraId="2F6A95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54A0D506">
            <w:pPr>
              <w:snapToGrid w:val="0"/>
              <w:spacing w:line="360" w:lineRule="auto"/>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7E1BF736">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26ACD0D3">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7B6557E5">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07D593D2">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7B170AA9">
            <w:pPr>
              <w:snapToGrid w:val="0"/>
              <w:spacing w:line="360" w:lineRule="auto"/>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28FEFE28">
            <w:pPr>
              <w:snapToGrid w:val="0"/>
              <w:spacing w:line="360" w:lineRule="auto"/>
              <w:jc w:val="left"/>
              <w:rPr>
                <w:rFonts w:ascii="宋体" w:hAnsi="宋体"/>
                <w:color w:val="auto"/>
                <w:sz w:val="24"/>
                <w:szCs w:val="20"/>
                <w:highlight w:val="none"/>
              </w:rPr>
            </w:pPr>
          </w:p>
        </w:tc>
      </w:tr>
      <w:tr w14:paraId="66B66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067B699">
            <w:pPr>
              <w:snapToGrid w:val="0"/>
              <w:spacing w:line="360" w:lineRule="auto"/>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613ABE4A">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1700FA3F">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43A4E7F7">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790DFA21">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56516874">
            <w:pPr>
              <w:snapToGrid w:val="0"/>
              <w:spacing w:line="360" w:lineRule="auto"/>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254C0FAE">
            <w:pPr>
              <w:snapToGrid w:val="0"/>
              <w:spacing w:line="360" w:lineRule="auto"/>
              <w:jc w:val="left"/>
              <w:rPr>
                <w:rFonts w:ascii="宋体" w:hAnsi="宋体"/>
                <w:color w:val="auto"/>
                <w:sz w:val="24"/>
                <w:szCs w:val="20"/>
                <w:highlight w:val="none"/>
              </w:rPr>
            </w:pPr>
          </w:p>
        </w:tc>
      </w:tr>
      <w:tr w14:paraId="3755D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862AB22">
            <w:pPr>
              <w:snapToGrid w:val="0"/>
              <w:spacing w:line="360" w:lineRule="auto"/>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0DB0AB68">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7D7739C4">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73A3A540">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049DFAE2">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734E8C1E">
            <w:pPr>
              <w:snapToGrid w:val="0"/>
              <w:spacing w:line="360" w:lineRule="auto"/>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2D78E2D3">
            <w:pPr>
              <w:snapToGrid w:val="0"/>
              <w:spacing w:line="360" w:lineRule="auto"/>
              <w:jc w:val="left"/>
              <w:rPr>
                <w:rFonts w:ascii="宋体" w:hAnsi="宋体"/>
                <w:color w:val="auto"/>
                <w:sz w:val="24"/>
                <w:szCs w:val="20"/>
                <w:highlight w:val="none"/>
              </w:rPr>
            </w:pPr>
          </w:p>
        </w:tc>
      </w:tr>
    </w:tbl>
    <w:p w14:paraId="0D3E49ED">
      <w:pPr>
        <w:pStyle w:val="9"/>
        <w:snapToGrid w:val="0"/>
        <w:spacing w:line="360" w:lineRule="auto"/>
        <w:rPr>
          <w:rFonts w:ascii="宋体" w:hAnsi="宋体" w:eastAsia="宋体"/>
          <w:color w:val="auto"/>
          <w:sz w:val="24"/>
          <w:highlight w:val="none"/>
        </w:rPr>
      </w:pPr>
    </w:p>
    <w:p w14:paraId="34665012">
      <w:pPr>
        <w:snapToGrid w:val="0"/>
        <w:spacing w:line="360" w:lineRule="auto"/>
        <w:ind w:firstLine="560" w:firstLineChars="200"/>
        <w:rPr>
          <w:rFonts w:ascii="宋体" w:hAnsi="宋体"/>
          <w:color w:val="auto"/>
          <w:sz w:val="24"/>
          <w:highlight w:val="none"/>
          <w:u w:val="single"/>
        </w:rPr>
      </w:pPr>
      <w:r>
        <w:rPr>
          <w:rFonts w:hint="eastAsia" w:ascii="宋体" w:hAnsi="宋体"/>
          <w:color w:val="auto"/>
          <w:spacing w:val="20"/>
          <w:sz w:val="24"/>
          <w:highlight w:val="none"/>
        </w:rPr>
        <w:t>授权代表签名：</w:t>
      </w:r>
      <w:r>
        <w:rPr>
          <w:rFonts w:hint="eastAsia" w:ascii="宋体" w:hAnsi="宋体"/>
          <w:color w:val="auto"/>
          <w:sz w:val="24"/>
          <w:highlight w:val="none"/>
          <w:u w:val="single"/>
        </w:rPr>
        <w:t>　　　　　</w:t>
      </w:r>
    </w:p>
    <w:p w14:paraId="5799481A">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投标人公章：年月日</w:t>
      </w:r>
    </w:p>
    <w:p w14:paraId="3D006DB4">
      <w:pPr>
        <w:snapToGrid w:val="0"/>
        <w:spacing w:line="360" w:lineRule="auto"/>
        <w:ind w:firstLine="480" w:firstLineChars="200"/>
        <w:jc w:val="left"/>
        <w:rPr>
          <w:rFonts w:ascii="仿宋_GB2312" w:eastAsia="仿宋_GB2312"/>
          <w:color w:val="auto"/>
          <w:sz w:val="24"/>
          <w:highlight w:val="none"/>
        </w:rPr>
      </w:pPr>
    </w:p>
    <w:p w14:paraId="0241FA77">
      <w:pPr>
        <w:snapToGrid w:val="0"/>
        <w:spacing w:line="360" w:lineRule="auto"/>
        <w:jc w:val="left"/>
        <w:rPr>
          <w:rFonts w:ascii="宋体" w:hAnsi="宋体"/>
          <w:color w:val="auto"/>
          <w:sz w:val="24"/>
          <w:highlight w:val="none"/>
        </w:rPr>
        <w:sectPr>
          <w:pgSz w:w="16838" w:h="11906" w:orient="landscape"/>
          <w:pgMar w:top="1797" w:right="1474" w:bottom="1797" w:left="1247" w:header="851" w:footer="851" w:gutter="0"/>
          <w:cols w:space="720" w:num="1"/>
          <w:docGrid w:linePitch="312" w:charSpace="0"/>
        </w:sectPr>
      </w:pPr>
    </w:p>
    <w:p w14:paraId="0DDFA06D">
      <w:pPr>
        <w:snapToGrid w:val="0"/>
        <w:spacing w:line="360" w:lineRule="auto"/>
        <w:jc w:val="left"/>
        <w:rPr>
          <w:rFonts w:ascii="宋体" w:hAnsi="宋体"/>
          <w:color w:val="auto"/>
          <w:sz w:val="24"/>
          <w:highlight w:val="none"/>
        </w:rPr>
      </w:pPr>
      <w:r>
        <w:rPr>
          <w:rFonts w:hint="eastAsia" w:ascii="宋体" w:hAnsi="宋体"/>
          <w:color w:val="auto"/>
          <w:sz w:val="24"/>
          <w:highlight w:val="none"/>
        </w:rPr>
        <w:t>23.</w:t>
      </w:r>
      <w:r>
        <w:rPr>
          <w:rFonts w:ascii="宋体" w:hAnsi="宋体"/>
          <w:color w:val="auto"/>
          <w:sz w:val="24"/>
          <w:highlight w:val="none"/>
        </w:rPr>
        <w:t>权威认证证书复印件</w:t>
      </w:r>
    </w:p>
    <w:p w14:paraId="7661D0F5">
      <w:pPr>
        <w:pStyle w:val="3"/>
        <w:rPr>
          <w:color w:val="auto"/>
          <w:highlight w:val="none"/>
        </w:rPr>
      </w:pPr>
    </w:p>
    <w:p w14:paraId="740A543E">
      <w:pPr>
        <w:rPr>
          <w:color w:val="auto"/>
          <w:highlight w:val="none"/>
        </w:rPr>
      </w:pPr>
    </w:p>
    <w:p w14:paraId="0DB8C586">
      <w:pPr>
        <w:pStyle w:val="3"/>
        <w:rPr>
          <w:rFonts w:ascii="宋体" w:hAnsi="宋体"/>
          <w:color w:val="auto"/>
          <w:kern w:val="2"/>
          <w:sz w:val="24"/>
          <w:szCs w:val="24"/>
          <w:highlight w:val="none"/>
        </w:rPr>
      </w:pPr>
    </w:p>
    <w:p w14:paraId="0A71F837">
      <w:pPr>
        <w:rPr>
          <w:color w:val="auto"/>
          <w:highlight w:val="none"/>
        </w:rPr>
      </w:pPr>
    </w:p>
    <w:p w14:paraId="7923CCAF">
      <w:pPr>
        <w:pStyle w:val="3"/>
        <w:rPr>
          <w:rFonts w:ascii="宋体" w:hAnsi="宋体"/>
          <w:color w:val="auto"/>
          <w:kern w:val="2"/>
          <w:sz w:val="24"/>
          <w:szCs w:val="24"/>
          <w:highlight w:val="none"/>
        </w:rPr>
      </w:pPr>
      <w:r>
        <w:rPr>
          <w:rFonts w:hint="eastAsia" w:ascii="宋体" w:hAnsi="宋体"/>
          <w:color w:val="auto"/>
          <w:kern w:val="2"/>
          <w:sz w:val="24"/>
          <w:szCs w:val="24"/>
          <w:highlight w:val="none"/>
        </w:rPr>
        <w:t>24.企业荣誉</w:t>
      </w:r>
      <w:r>
        <w:rPr>
          <w:rFonts w:ascii="宋体" w:hAnsi="宋体"/>
          <w:color w:val="auto"/>
          <w:kern w:val="2"/>
          <w:sz w:val="24"/>
          <w:szCs w:val="24"/>
          <w:highlight w:val="none"/>
        </w:rPr>
        <w:t>证书复印件</w:t>
      </w:r>
    </w:p>
    <w:p w14:paraId="4494A962">
      <w:pPr>
        <w:rPr>
          <w:color w:val="auto"/>
          <w:highlight w:val="none"/>
        </w:rPr>
      </w:pPr>
    </w:p>
    <w:p w14:paraId="556457A0">
      <w:pPr>
        <w:pStyle w:val="11"/>
        <w:rPr>
          <w:color w:val="auto"/>
          <w:highlight w:val="none"/>
        </w:rPr>
      </w:pPr>
    </w:p>
    <w:p w14:paraId="32378280">
      <w:pPr>
        <w:pStyle w:val="11"/>
        <w:rPr>
          <w:color w:val="auto"/>
          <w:highlight w:val="none"/>
        </w:rPr>
      </w:pPr>
    </w:p>
    <w:p w14:paraId="191949B1">
      <w:pPr>
        <w:pStyle w:val="3"/>
        <w:rPr>
          <w:color w:val="auto"/>
          <w:highlight w:val="none"/>
        </w:rPr>
      </w:pPr>
    </w:p>
    <w:p w14:paraId="378CEFB6">
      <w:pPr>
        <w:pStyle w:val="11"/>
        <w:rPr>
          <w:color w:val="auto"/>
          <w:highlight w:val="none"/>
        </w:rPr>
      </w:pPr>
    </w:p>
    <w:p w14:paraId="3D2C0393">
      <w:pPr>
        <w:snapToGrid w:val="0"/>
        <w:spacing w:line="360" w:lineRule="auto"/>
        <w:jc w:val="left"/>
        <w:rPr>
          <w:rFonts w:ascii="宋体" w:hAnsi="宋体"/>
          <w:color w:val="auto"/>
          <w:sz w:val="24"/>
          <w:highlight w:val="none"/>
        </w:rPr>
      </w:pPr>
      <w:r>
        <w:rPr>
          <w:rFonts w:hint="eastAsia" w:ascii="宋体" w:hAnsi="宋体"/>
          <w:color w:val="auto"/>
          <w:sz w:val="24"/>
          <w:highlight w:val="none"/>
        </w:rPr>
        <w:t>25.其他特殊资质证书</w:t>
      </w:r>
      <w:r>
        <w:rPr>
          <w:rFonts w:ascii="宋体" w:hAnsi="宋体"/>
          <w:color w:val="auto"/>
          <w:sz w:val="24"/>
          <w:highlight w:val="none"/>
        </w:rPr>
        <w:t>（如</w:t>
      </w:r>
      <w:r>
        <w:rPr>
          <w:rFonts w:hint="eastAsia" w:ascii="宋体" w:hAnsi="宋体"/>
          <w:color w:val="auto"/>
          <w:sz w:val="24"/>
          <w:highlight w:val="none"/>
        </w:rPr>
        <w:t>本地化服务能力等）（格式可自拟）</w:t>
      </w:r>
    </w:p>
    <w:p w14:paraId="6D3A048D">
      <w:pPr>
        <w:snapToGrid w:val="0"/>
        <w:spacing w:line="360" w:lineRule="auto"/>
        <w:jc w:val="left"/>
        <w:rPr>
          <w:rFonts w:ascii="宋体" w:hAnsi="宋体"/>
          <w:color w:val="auto"/>
          <w:sz w:val="24"/>
          <w:highlight w:val="none"/>
        </w:rPr>
      </w:pPr>
    </w:p>
    <w:p w14:paraId="6BA41A59">
      <w:pPr>
        <w:pStyle w:val="11"/>
        <w:rPr>
          <w:color w:val="auto"/>
          <w:highlight w:val="none"/>
        </w:rPr>
      </w:pPr>
    </w:p>
    <w:p w14:paraId="4CF9A2C0">
      <w:pPr>
        <w:pStyle w:val="11"/>
        <w:rPr>
          <w:color w:val="auto"/>
          <w:highlight w:val="none"/>
        </w:rPr>
      </w:pPr>
    </w:p>
    <w:p w14:paraId="0DF58034">
      <w:pPr>
        <w:pStyle w:val="11"/>
        <w:rPr>
          <w:color w:val="auto"/>
          <w:highlight w:val="none"/>
        </w:rPr>
      </w:pPr>
    </w:p>
    <w:p w14:paraId="53D1A88A">
      <w:pPr>
        <w:snapToGrid w:val="0"/>
        <w:spacing w:line="360" w:lineRule="auto"/>
        <w:jc w:val="left"/>
        <w:rPr>
          <w:rFonts w:ascii="宋体" w:hAnsi="宋体"/>
          <w:color w:val="auto"/>
          <w:sz w:val="24"/>
          <w:highlight w:val="none"/>
        </w:rPr>
      </w:pPr>
      <w:r>
        <w:rPr>
          <w:rFonts w:hint="eastAsia" w:ascii="宋体" w:hAnsi="宋体"/>
          <w:color w:val="auto"/>
          <w:sz w:val="24"/>
          <w:highlight w:val="none"/>
        </w:rPr>
        <w:t>26.投标人认为可以证明其能力或业绩的其他材料（格式自拟）</w:t>
      </w:r>
    </w:p>
    <w:p w14:paraId="17529126">
      <w:pPr>
        <w:pStyle w:val="38"/>
        <w:rPr>
          <w:color w:val="auto"/>
          <w:highlight w:val="none"/>
        </w:rPr>
      </w:pPr>
    </w:p>
    <w:p w14:paraId="36A900D3">
      <w:pPr>
        <w:pStyle w:val="38"/>
        <w:rPr>
          <w:color w:val="auto"/>
          <w:highlight w:val="none"/>
        </w:rPr>
      </w:pPr>
    </w:p>
    <w:p w14:paraId="46169FB5">
      <w:pPr>
        <w:pStyle w:val="38"/>
        <w:rPr>
          <w:color w:val="auto"/>
          <w:highlight w:val="none"/>
        </w:rPr>
      </w:pPr>
    </w:p>
    <w:p w14:paraId="43EB663C">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27.商务响应表格式：</w:t>
      </w:r>
    </w:p>
    <w:p w14:paraId="44BA275E">
      <w:pPr>
        <w:snapToGrid w:val="0"/>
        <w:spacing w:line="360" w:lineRule="auto"/>
        <w:jc w:val="left"/>
        <w:rPr>
          <w:rFonts w:ascii="宋体" w:hAnsi="宋体"/>
          <w:color w:val="auto"/>
          <w:sz w:val="24"/>
          <w:szCs w:val="20"/>
          <w:highlight w:val="none"/>
          <w:u w:val="single"/>
        </w:rPr>
      </w:pPr>
      <w:r>
        <w:rPr>
          <w:rFonts w:hint="eastAsia" w:ascii="宋体" w:hAnsi="宋体"/>
          <w:color w:val="auto"/>
          <w:sz w:val="24"/>
          <w:highlight w:val="none"/>
        </w:rPr>
        <w:t>项目名称：</w:t>
      </w:r>
    </w:p>
    <w:tbl>
      <w:tblPr>
        <w:tblStyle w:val="27"/>
        <w:tblW w:w="10207"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7"/>
        <w:gridCol w:w="6520"/>
        <w:gridCol w:w="992"/>
        <w:gridCol w:w="1418"/>
      </w:tblGrid>
      <w:tr w14:paraId="35896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277" w:type="dxa"/>
            <w:tcBorders>
              <w:top w:val="single" w:color="auto" w:sz="4" w:space="0"/>
              <w:left w:val="single" w:color="auto" w:sz="4" w:space="0"/>
              <w:bottom w:val="single" w:color="auto" w:sz="4" w:space="0"/>
              <w:right w:val="single" w:color="auto" w:sz="4" w:space="0"/>
            </w:tcBorders>
          </w:tcPr>
          <w:p w14:paraId="7918CD9F">
            <w:pPr>
              <w:snapToGrid w:val="0"/>
              <w:spacing w:line="360" w:lineRule="auto"/>
              <w:rPr>
                <w:rFonts w:ascii="宋体" w:hAnsi="宋体"/>
                <w:color w:val="auto"/>
                <w:sz w:val="24"/>
                <w:szCs w:val="20"/>
                <w:highlight w:val="none"/>
              </w:rPr>
            </w:pPr>
            <w:r>
              <w:rPr>
                <w:rFonts w:hint="eastAsia" w:ascii="宋体" w:hAnsi="宋体"/>
                <w:color w:val="auto"/>
                <w:sz w:val="24"/>
                <w:highlight w:val="none"/>
              </w:rPr>
              <w:t>项目</w:t>
            </w:r>
          </w:p>
        </w:tc>
        <w:tc>
          <w:tcPr>
            <w:tcW w:w="6520" w:type="dxa"/>
            <w:tcBorders>
              <w:top w:val="single" w:color="auto" w:sz="4" w:space="0"/>
              <w:left w:val="single" w:color="auto" w:sz="4" w:space="0"/>
              <w:bottom w:val="single" w:color="auto" w:sz="4" w:space="0"/>
              <w:right w:val="single" w:color="auto" w:sz="4" w:space="0"/>
            </w:tcBorders>
          </w:tcPr>
          <w:p w14:paraId="582D48EC">
            <w:pPr>
              <w:snapToGrid w:val="0"/>
              <w:spacing w:line="360" w:lineRule="auto"/>
              <w:rPr>
                <w:rFonts w:ascii="宋体" w:hAnsi="宋体"/>
                <w:color w:val="auto"/>
                <w:sz w:val="24"/>
                <w:szCs w:val="20"/>
                <w:highlight w:val="none"/>
              </w:rPr>
            </w:pPr>
            <w:r>
              <w:rPr>
                <w:rFonts w:hint="eastAsia" w:ascii="宋体" w:hAnsi="宋体"/>
                <w:color w:val="auto"/>
                <w:sz w:val="24"/>
                <w:highlight w:val="none"/>
              </w:rPr>
              <w:t>招标文件要求</w:t>
            </w:r>
          </w:p>
        </w:tc>
        <w:tc>
          <w:tcPr>
            <w:tcW w:w="992" w:type="dxa"/>
            <w:tcBorders>
              <w:top w:val="single" w:color="auto" w:sz="4" w:space="0"/>
              <w:left w:val="single" w:color="auto" w:sz="4" w:space="0"/>
              <w:bottom w:val="single" w:color="auto" w:sz="4" w:space="0"/>
              <w:right w:val="single" w:color="auto" w:sz="4" w:space="0"/>
            </w:tcBorders>
          </w:tcPr>
          <w:p w14:paraId="2FF79F42">
            <w:pPr>
              <w:snapToGrid w:val="0"/>
              <w:spacing w:line="360" w:lineRule="auto"/>
              <w:rPr>
                <w:rFonts w:ascii="宋体" w:hAnsi="宋体"/>
                <w:color w:val="auto"/>
                <w:sz w:val="24"/>
                <w:szCs w:val="20"/>
                <w:highlight w:val="none"/>
              </w:rPr>
            </w:pPr>
            <w:r>
              <w:rPr>
                <w:rFonts w:hint="eastAsia" w:ascii="宋体" w:hAnsi="宋体"/>
                <w:color w:val="auto"/>
                <w:sz w:val="24"/>
                <w:highlight w:val="none"/>
              </w:rPr>
              <w:t>是否响应</w:t>
            </w:r>
          </w:p>
        </w:tc>
        <w:tc>
          <w:tcPr>
            <w:tcW w:w="1418" w:type="dxa"/>
            <w:tcBorders>
              <w:top w:val="single" w:color="auto" w:sz="4" w:space="0"/>
              <w:left w:val="single" w:color="auto" w:sz="4" w:space="0"/>
              <w:bottom w:val="single" w:color="auto" w:sz="4" w:space="0"/>
              <w:right w:val="single" w:color="auto" w:sz="4" w:space="0"/>
            </w:tcBorders>
          </w:tcPr>
          <w:p w14:paraId="3C514B83">
            <w:pPr>
              <w:snapToGrid w:val="0"/>
              <w:spacing w:line="360" w:lineRule="auto"/>
              <w:rPr>
                <w:rFonts w:ascii="宋体" w:hAnsi="宋体"/>
                <w:color w:val="auto"/>
                <w:sz w:val="24"/>
                <w:szCs w:val="20"/>
                <w:highlight w:val="none"/>
              </w:rPr>
            </w:pPr>
            <w:r>
              <w:rPr>
                <w:rFonts w:hint="eastAsia" w:ascii="宋体" w:hAnsi="宋体"/>
                <w:color w:val="auto"/>
                <w:sz w:val="24"/>
                <w:highlight w:val="none"/>
              </w:rPr>
              <w:t>投标人的承诺或说明</w:t>
            </w:r>
          </w:p>
        </w:tc>
      </w:tr>
      <w:tr w14:paraId="7DF1B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277" w:type="dxa"/>
            <w:tcBorders>
              <w:top w:val="single" w:color="auto" w:sz="4" w:space="0"/>
              <w:left w:val="single" w:color="auto" w:sz="4" w:space="0"/>
              <w:bottom w:val="single" w:color="auto" w:sz="4" w:space="0"/>
              <w:right w:val="single" w:color="auto" w:sz="4" w:space="0"/>
            </w:tcBorders>
            <w:vAlign w:val="center"/>
          </w:tcPr>
          <w:p w14:paraId="2D38D13A">
            <w:pPr>
              <w:spacing w:line="480" w:lineRule="exact"/>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服务期及地点</w:t>
            </w:r>
          </w:p>
        </w:tc>
        <w:tc>
          <w:tcPr>
            <w:tcW w:w="6520" w:type="dxa"/>
            <w:tcBorders>
              <w:top w:val="single" w:color="auto" w:sz="4" w:space="0"/>
              <w:left w:val="single" w:color="auto" w:sz="4" w:space="0"/>
              <w:bottom w:val="single" w:color="auto" w:sz="4" w:space="0"/>
              <w:right w:val="single" w:color="auto" w:sz="4" w:space="0"/>
            </w:tcBorders>
          </w:tcPr>
          <w:p w14:paraId="442B55EA">
            <w:pPr>
              <w:spacing w:line="560" w:lineRule="exac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▲服务期：3年（具体起始日期以合同签订为准）</w:t>
            </w:r>
          </w:p>
          <w:p w14:paraId="40411FA4">
            <w:pPr>
              <w:spacing w:line="560" w:lineRule="exac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地点：标项1：八里店镇、埭溪镇；标项2：高新区、东林镇、飞英街道；标项3：织里镇、朝阳街道、湖东街道；标项4：道场乡、龙泉街道、妙西镇；标项5：月河街道、爱山街道、环渚街道。</w:t>
            </w:r>
          </w:p>
        </w:tc>
        <w:tc>
          <w:tcPr>
            <w:tcW w:w="992" w:type="dxa"/>
            <w:tcBorders>
              <w:top w:val="single" w:color="auto" w:sz="4" w:space="0"/>
              <w:left w:val="single" w:color="auto" w:sz="4" w:space="0"/>
              <w:bottom w:val="single" w:color="auto" w:sz="4" w:space="0"/>
              <w:right w:val="single" w:color="auto" w:sz="4" w:space="0"/>
            </w:tcBorders>
          </w:tcPr>
          <w:p w14:paraId="3C776202">
            <w:pPr>
              <w:snapToGrid w:val="0"/>
              <w:spacing w:line="360" w:lineRule="auto"/>
              <w:rPr>
                <w:rFonts w:ascii="宋体" w:hAnsi="宋体"/>
                <w:color w:val="auto"/>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F3C301C">
            <w:pPr>
              <w:snapToGrid w:val="0"/>
              <w:spacing w:line="360" w:lineRule="auto"/>
              <w:rPr>
                <w:rFonts w:ascii="宋体" w:hAnsi="宋体"/>
                <w:color w:val="auto"/>
                <w:sz w:val="24"/>
                <w:szCs w:val="20"/>
                <w:highlight w:val="none"/>
              </w:rPr>
            </w:pPr>
          </w:p>
        </w:tc>
      </w:tr>
      <w:tr w14:paraId="7AA92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277" w:type="dxa"/>
            <w:tcBorders>
              <w:top w:val="single" w:color="auto" w:sz="4" w:space="0"/>
              <w:left w:val="single" w:color="auto" w:sz="4" w:space="0"/>
              <w:bottom w:val="single" w:color="auto" w:sz="4" w:space="0"/>
              <w:right w:val="single" w:color="auto" w:sz="4" w:space="0"/>
            </w:tcBorders>
            <w:vAlign w:val="center"/>
          </w:tcPr>
          <w:p w14:paraId="43564BD4">
            <w:pPr>
              <w:spacing w:line="480" w:lineRule="exact"/>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付款方式</w:t>
            </w:r>
          </w:p>
        </w:tc>
        <w:tc>
          <w:tcPr>
            <w:tcW w:w="6520" w:type="dxa"/>
            <w:tcBorders>
              <w:top w:val="single" w:color="auto" w:sz="4" w:space="0"/>
              <w:left w:val="single" w:color="auto" w:sz="4" w:space="0"/>
              <w:bottom w:val="single" w:color="auto" w:sz="4" w:space="0"/>
              <w:right w:val="single" w:color="auto" w:sz="4" w:space="0"/>
            </w:tcBorders>
          </w:tcPr>
          <w:p w14:paraId="6B2FFA1B">
            <w:pPr>
              <w:spacing w:line="480" w:lineRule="exac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根据《保障中小企业款项支付条例》、省财政厅《浙江省财政厅关于进一步发挥政府采购政策功能全力推动经济稳进提质的通知》（浙财采监【2022】3 号）要求，制定如下付款方式：合同生效以及具备实施条件后7个工作日支付首年合同金额的20%作为预付款；2025年度三季度支付至年度总资金的60%，2026年度三季度支付2025年度清算剩余资金、2026年度至2028年度每季度按实结算。</w:t>
            </w:r>
          </w:p>
          <w:p w14:paraId="12D61892">
            <w:pPr>
              <w:tabs>
                <w:tab w:val="left" w:pos="8280"/>
              </w:tabs>
              <w:autoSpaceDE w:val="0"/>
              <w:autoSpaceDN w:val="0"/>
              <w:adjustRightInd w:val="0"/>
              <w:spacing w:line="480" w:lineRule="exact"/>
              <w:ind w:right="25"/>
              <w:rPr>
                <w:rFonts w:ascii="宋体" w:hAnsi="宋体"/>
                <w:color w:val="auto"/>
                <w:sz w:val="24"/>
                <w:highlight w:val="none"/>
              </w:rPr>
            </w:pPr>
            <w:r>
              <w:rPr>
                <w:rFonts w:hint="eastAsia" w:cs="仿宋_GB2312" w:asciiTheme="majorEastAsia" w:hAnsiTheme="majorEastAsia" w:eastAsiaTheme="majorEastAsia"/>
                <w:color w:val="auto"/>
                <w:sz w:val="24"/>
                <w:highlight w:val="none"/>
              </w:rPr>
              <w:t>注：</w:t>
            </w:r>
            <w:r>
              <w:rPr>
                <w:rFonts w:hint="eastAsia" w:ascii="宋体" w:hAnsi="宋体"/>
                <w:color w:val="auto"/>
                <w:sz w:val="24"/>
                <w:highlight w:val="none"/>
              </w:rPr>
              <w:t>1、中标供应商在采购人每次付款前需开具增值税发票。</w:t>
            </w:r>
          </w:p>
          <w:p w14:paraId="64F8C975">
            <w:pPr>
              <w:tabs>
                <w:tab w:val="left" w:pos="8280"/>
              </w:tabs>
              <w:autoSpaceDE w:val="0"/>
              <w:autoSpaceDN w:val="0"/>
              <w:adjustRightInd w:val="0"/>
              <w:spacing w:line="480" w:lineRule="exact"/>
              <w:ind w:right="25"/>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2、若中标供应商明确表示无需预付款或者主动要求降低预付款比例的，采购人可不适用前述规定</w:t>
            </w:r>
            <w:r>
              <w:rPr>
                <w:rFonts w:hint="eastAsia" w:cs="仿宋_GB2312" w:asciiTheme="majorEastAsia" w:hAnsiTheme="majorEastAsia" w:eastAsiaTheme="majorEastAsia"/>
                <w:color w:val="auto"/>
                <w:sz w:val="24"/>
                <w:highlight w:val="none"/>
                <w:lang w:eastAsia="zh-CN"/>
              </w:rPr>
              <w:t>。</w:t>
            </w:r>
          </w:p>
        </w:tc>
        <w:tc>
          <w:tcPr>
            <w:tcW w:w="992" w:type="dxa"/>
            <w:tcBorders>
              <w:top w:val="single" w:color="auto" w:sz="4" w:space="0"/>
              <w:left w:val="single" w:color="auto" w:sz="4" w:space="0"/>
              <w:bottom w:val="single" w:color="auto" w:sz="4" w:space="0"/>
              <w:right w:val="single" w:color="auto" w:sz="4" w:space="0"/>
            </w:tcBorders>
          </w:tcPr>
          <w:p w14:paraId="202828A3">
            <w:pPr>
              <w:snapToGrid w:val="0"/>
              <w:spacing w:line="360" w:lineRule="auto"/>
              <w:rPr>
                <w:rFonts w:ascii="宋体" w:hAnsi="宋体"/>
                <w:color w:val="auto"/>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70DDEC1E">
            <w:pPr>
              <w:snapToGrid w:val="0"/>
              <w:spacing w:line="360" w:lineRule="auto"/>
              <w:rPr>
                <w:rFonts w:ascii="宋体" w:hAnsi="宋体"/>
                <w:color w:val="auto"/>
                <w:sz w:val="24"/>
                <w:szCs w:val="20"/>
                <w:highlight w:val="none"/>
              </w:rPr>
            </w:pPr>
          </w:p>
        </w:tc>
      </w:tr>
      <w:tr w14:paraId="5B79E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277" w:type="dxa"/>
            <w:tcBorders>
              <w:top w:val="single" w:color="auto" w:sz="4" w:space="0"/>
              <w:left w:val="single" w:color="auto" w:sz="4" w:space="0"/>
              <w:bottom w:val="single" w:color="auto" w:sz="4" w:space="0"/>
              <w:right w:val="single" w:color="auto" w:sz="4" w:space="0"/>
            </w:tcBorders>
            <w:vAlign w:val="center"/>
          </w:tcPr>
          <w:p w14:paraId="471A3D4A">
            <w:pPr>
              <w:spacing w:line="480" w:lineRule="exact"/>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其他</w:t>
            </w:r>
          </w:p>
        </w:tc>
        <w:tc>
          <w:tcPr>
            <w:tcW w:w="6520" w:type="dxa"/>
            <w:tcBorders>
              <w:top w:val="single" w:color="auto" w:sz="4" w:space="0"/>
              <w:left w:val="single" w:color="auto" w:sz="4" w:space="0"/>
              <w:bottom w:val="single" w:color="auto" w:sz="4" w:space="0"/>
              <w:right w:val="single" w:color="auto" w:sz="4" w:space="0"/>
            </w:tcBorders>
          </w:tcPr>
          <w:p w14:paraId="03255C52">
            <w:pPr>
              <w:spacing w:line="460" w:lineRule="exac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1.合同签订：（1）合同一年一签，合同期满，中标供应商考核要求不合格的，采购单位有权终止合作，合同不续签。（2）各标项中标供应商与采购人签订合同后，由采购人牵头各标项中标供应商与各乡镇签署补充协议，具体内容以采购人为准。</w:t>
            </w:r>
          </w:p>
          <w:p w14:paraId="6A1AEDED">
            <w:pPr>
              <w:spacing w:line="460" w:lineRule="exac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2.若后期需增加服务站点的，则根据本次招标中标折扣同比例计算总价，增加费用不能超过年度合同的10%。</w:t>
            </w:r>
          </w:p>
        </w:tc>
        <w:tc>
          <w:tcPr>
            <w:tcW w:w="992" w:type="dxa"/>
            <w:tcBorders>
              <w:top w:val="single" w:color="auto" w:sz="4" w:space="0"/>
              <w:left w:val="single" w:color="auto" w:sz="4" w:space="0"/>
              <w:bottom w:val="single" w:color="auto" w:sz="4" w:space="0"/>
              <w:right w:val="single" w:color="auto" w:sz="4" w:space="0"/>
            </w:tcBorders>
          </w:tcPr>
          <w:p w14:paraId="737E1A58">
            <w:pPr>
              <w:snapToGrid w:val="0"/>
              <w:spacing w:line="360" w:lineRule="auto"/>
              <w:rPr>
                <w:rFonts w:ascii="宋体" w:hAnsi="宋体"/>
                <w:color w:val="auto"/>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DCBBDE9">
            <w:pPr>
              <w:snapToGrid w:val="0"/>
              <w:spacing w:line="360" w:lineRule="auto"/>
              <w:rPr>
                <w:rFonts w:ascii="宋体" w:hAnsi="宋体"/>
                <w:color w:val="auto"/>
                <w:sz w:val="24"/>
                <w:szCs w:val="20"/>
                <w:highlight w:val="none"/>
              </w:rPr>
            </w:pPr>
          </w:p>
        </w:tc>
      </w:tr>
    </w:tbl>
    <w:p w14:paraId="15666BB1">
      <w:pPr>
        <w:rPr>
          <w:color w:val="auto"/>
          <w:highlight w:val="none"/>
        </w:rPr>
      </w:pPr>
    </w:p>
    <w:p w14:paraId="3EC4E547">
      <w:pPr>
        <w:pStyle w:val="3"/>
        <w:rPr>
          <w:color w:val="auto"/>
          <w:highlight w:val="none"/>
        </w:rPr>
      </w:pPr>
    </w:p>
    <w:p w14:paraId="41A6B0EC">
      <w:pPr>
        <w:snapToGrid w:val="0"/>
        <w:spacing w:line="360" w:lineRule="auto"/>
        <w:jc w:val="left"/>
        <w:rPr>
          <w:rFonts w:ascii="宋体" w:hAnsi="宋体"/>
          <w:color w:val="auto"/>
          <w:sz w:val="24"/>
          <w:highlight w:val="none"/>
        </w:rPr>
      </w:pPr>
      <w:r>
        <w:rPr>
          <w:rFonts w:hint="eastAsia" w:ascii="宋体" w:hAnsi="宋体"/>
          <w:bCs/>
          <w:color w:val="auto"/>
          <w:sz w:val="24"/>
          <w:highlight w:val="none"/>
        </w:rPr>
        <w:t>28.</w:t>
      </w:r>
      <w:r>
        <w:rPr>
          <w:rFonts w:hint="eastAsia" w:ascii="新宋体" w:hAnsi="新宋体" w:eastAsia="新宋体" w:cs="新宋体"/>
          <w:color w:val="auto"/>
          <w:kern w:val="0"/>
          <w:sz w:val="24"/>
          <w:szCs w:val="20"/>
          <w:highlight w:val="none"/>
        </w:rPr>
        <w:t>服务承诺</w:t>
      </w:r>
      <w:r>
        <w:rPr>
          <w:rFonts w:hint="eastAsia" w:ascii="宋体" w:hAnsi="宋体"/>
          <w:color w:val="auto"/>
          <w:sz w:val="24"/>
          <w:highlight w:val="none"/>
        </w:rPr>
        <w:t>（格式自拟）</w:t>
      </w:r>
    </w:p>
    <w:p w14:paraId="63D1C3C3">
      <w:pPr>
        <w:pStyle w:val="11"/>
        <w:rPr>
          <w:color w:val="auto"/>
          <w:highlight w:val="none"/>
        </w:rPr>
      </w:pPr>
    </w:p>
    <w:p w14:paraId="5A5646CE">
      <w:pPr>
        <w:pStyle w:val="11"/>
        <w:rPr>
          <w:color w:val="auto"/>
          <w:highlight w:val="none"/>
        </w:rPr>
      </w:pPr>
    </w:p>
    <w:p w14:paraId="5CBC4C30">
      <w:pPr>
        <w:pStyle w:val="11"/>
        <w:rPr>
          <w:color w:val="auto"/>
          <w:highlight w:val="none"/>
        </w:rPr>
      </w:pPr>
    </w:p>
    <w:p w14:paraId="09F204A7">
      <w:pPr>
        <w:pStyle w:val="11"/>
        <w:rPr>
          <w:color w:val="auto"/>
          <w:highlight w:val="none"/>
        </w:rPr>
      </w:pPr>
    </w:p>
    <w:p w14:paraId="51D3A4B9">
      <w:pPr>
        <w:snapToGrid w:val="0"/>
        <w:spacing w:line="360" w:lineRule="auto"/>
        <w:jc w:val="left"/>
        <w:rPr>
          <w:rFonts w:ascii="宋体" w:hAnsi="宋体"/>
          <w:i/>
          <w:color w:val="auto"/>
          <w:sz w:val="24"/>
          <w:highlight w:val="none"/>
        </w:rPr>
      </w:pPr>
      <w:r>
        <w:rPr>
          <w:rFonts w:hint="eastAsia" w:ascii="宋体" w:hAnsi="宋体"/>
          <w:color w:val="auto"/>
          <w:sz w:val="24"/>
          <w:highlight w:val="none"/>
        </w:rPr>
        <w:t>29.距采购人最近或者能为本项目提供最优服务的网点情况表</w:t>
      </w:r>
    </w:p>
    <w:tbl>
      <w:tblPr>
        <w:tblStyle w:val="27"/>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191"/>
        <w:gridCol w:w="1439"/>
        <w:gridCol w:w="888"/>
        <w:gridCol w:w="1435"/>
        <w:gridCol w:w="1227"/>
      </w:tblGrid>
      <w:tr w14:paraId="5E2D5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09CFAB7A">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服务网点名称</w:t>
            </w:r>
          </w:p>
        </w:tc>
        <w:tc>
          <w:tcPr>
            <w:tcW w:w="5575" w:type="dxa"/>
            <w:gridSpan w:val="5"/>
            <w:tcBorders>
              <w:top w:val="single" w:color="auto" w:sz="4" w:space="0"/>
              <w:left w:val="single" w:color="auto" w:sz="4" w:space="0"/>
              <w:bottom w:val="single" w:color="auto" w:sz="4" w:space="0"/>
              <w:right w:val="single" w:color="auto" w:sz="4" w:space="0"/>
            </w:tcBorders>
          </w:tcPr>
          <w:p w14:paraId="4B9EC0A4">
            <w:pPr>
              <w:snapToGrid w:val="0"/>
              <w:spacing w:line="360" w:lineRule="auto"/>
              <w:jc w:val="left"/>
              <w:rPr>
                <w:rFonts w:ascii="宋体" w:hAnsi="宋体"/>
                <w:color w:val="auto"/>
                <w:sz w:val="24"/>
                <w:szCs w:val="20"/>
                <w:highlight w:val="none"/>
              </w:rPr>
            </w:pPr>
          </w:p>
        </w:tc>
        <w:tc>
          <w:tcPr>
            <w:tcW w:w="1227" w:type="dxa"/>
            <w:vMerge w:val="restart"/>
            <w:tcBorders>
              <w:top w:val="single" w:color="auto" w:sz="4" w:space="0"/>
              <w:left w:val="single" w:color="auto" w:sz="4" w:space="0"/>
              <w:bottom w:val="single" w:color="auto" w:sz="4" w:space="0"/>
              <w:right w:val="single" w:color="auto" w:sz="4" w:space="0"/>
            </w:tcBorders>
          </w:tcPr>
          <w:p w14:paraId="5C33F53F">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投标文件</w:t>
            </w:r>
          </w:p>
          <w:p w14:paraId="63D1BF31">
            <w:pPr>
              <w:snapToGrid w:val="0"/>
              <w:spacing w:line="360" w:lineRule="auto"/>
              <w:jc w:val="center"/>
              <w:rPr>
                <w:rFonts w:ascii="宋体" w:hAnsi="宋体"/>
                <w:color w:val="auto"/>
                <w:sz w:val="24"/>
                <w:szCs w:val="20"/>
                <w:highlight w:val="none"/>
              </w:rPr>
            </w:pPr>
            <w:r>
              <w:rPr>
                <w:rFonts w:hint="eastAsia" w:ascii="宋体" w:hAnsi="宋体"/>
                <w:color w:val="auto"/>
                <w:sz w:val="24"/>
                <w:highlight w:val="none"/>
              </w:rPr>
              <w:t>页码</w:t>
            </w:r>
          </w:p>
        </w:tc>
      </w:tr>
      <w:tr w14:paraId="09CC0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7239D2C5">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地址</w:t>
            </w:r>
          </w:p>
        </w:tc>
        <w:tc>
          <w:tcPr>
            <w:tcW w:w="5575" w:type="dxa"/>
            <w:gridSpan w:val="5"/>
            <w:tcBorders>
              <w:top w:val="single" w:color="auto" w:sz="4" w:space="0"/>
              <w:left w:val="single" w:color="auto" w:sz="4" w:space="0"/>
              <w:bottom w:val="single" w:color="auto" w:sz="4" w:space="0"/>
              <w:right w:val="single" w:color="auto" w:sz="4" w:space="0"/>
            </w:tcBorders>
          </w:tcPr>
          <w:p w14:paraId="5F341BD9">
            <w:pPr>
              <w:snapToGrid w:val="0"/>
              <w:spacing w:line="360" w:lineRule="auto"/>
              <w:jc w:val="left"/>
              <w:rPr>
                <w:rFonts w:ascii="宋体" w:hAnsi="宋体"/>
                <w:color w:val="auto"/>
                <w:sz w:val="24"/>
                <w:szCs w:val="20"/>
                <w:highlight w:val="none"/>
              </w:rPr>
            </w:pPr>
          </w:p>
        </w:tc>
        <w:tc>
          <w:tcPr>
            <w:tcW w:w="1227" w:type="dxa"/>
            <w:vMerge w:val="continue"/>
            <w:tcBorders>
              <w:top w:val="single" w:color="auto" w:sz="4" w:space="0"/>
              <w:left w:val="single" w:color="auto" w:sz="4" w:space="0"/>
              <w:bottom w:val="single" w:color="auto" w:sz="4" w:space="0"/>
              <w:right w:val="single" w:color="auto" w:sz="4" w:space="0"/>
            </w:tcBorders>
            <w:vAlign w:val="center"/>
          </w:tcPr>
          <w:p w14:paraId="4DD7FDCC">
            <w:pPr>
              <w:widowControl/>
              <w:spacing w:line="360" w:lineRule="auto"/>
              <w:jc w:val="left"/>
              <w:rPr>
                <w:rFonts w:ascii="宋体" w:hAnsi="宋体"/>
                <w:color w:val="auto"/>
                <w:sz w:val="24"/>
                <w:highlight w:val="none"/>
              </w:rPr>
            </w:pPr>
          </w:p>
        </w:tc>
      </w:tr>
      <w:tr w14:paraId="24FED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1A0C5C61">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注册资本金</w:t>
            </w:r>
          </w:p>
        </w:tc>
        <w:tc>
          <w:tcPr>
            <w:tcW w:w="1622" w:type="dxa"/>
            <w:tcBorders>
              <w:top w:val="single" w:color="auto" w:sz="4" w:space="0"/>
              <w:left w:val="single" w:color="auto" w:sz="4" w:space="0"/>
              <w:bottom w:val="single" w:color="auto" w:sz="4" w:space="0"/>
              <w:right w:val="single" w:color="auto" w:sz="4" w:space="0"/>
            </w:tcBorders>
          </w:tcPr>
          <w:p w14:paraId="58961DFE">
            <w:pPr>
              <w:snapToGrid w:val="0"/>
              <w:spacing w:line="360" w:lineRule="auto"/>
              <w:jc w:val="left"/>
              <w:rPr>
                <w:rFonts w:ascii="宋体" w:hAnsi="宋体"/>
                <w:color w:val="auto"/>
                <w:sz w:val="24"/>
                <w:szCs w:val="20"/>
                <w:highlight w:val="none"/>
              </w:rPr>
            </w:pPr>
          </w:p>
        </w:tc>
        <w:tc>
          <w:tcPr>
            <w:tcW w:w="2518" w:type="dxa"/>
            <w:gridSpan w:val="3"/>
            <w:tcBorders>
              <w:top w:val="single" w:color="auto" w:sz="4" w:space="0"/>
              <w:left w:val="single" w:color="auto" w:sz="4" w:space="0"/>
              <w:bottom w:val="single" w:color="auto" w:sz="4" w:space="0"/>
              <w:right w:val="single" w:color="auto" w:sz="4" w:space="0"/>
            </w:tcBorders>
          </w:tcPr>
          <w:p w14:paraId="2F3E85B8">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其中：投标人出资比例</w:t>
            </w:r>
          </w:p>
        </w:tc>
        <w:tc>
          <w:tcPr>
            <w:tcW w:w="1435" w:type="dxa"/>
            <w:tcBorders>
              <w:top w:val="single" w:color="auto" w:sz="4" w:space="0"/>
              <w:left w:val="single" w:color="auto" w:sz="4" w:space="0"/>
              <w:bottom w:val="single" w:color="auto" w:sz="4" w:space="0"/>
              <w:right w:val="single" w:color="auto" w:sz="4" w:space="0"/>
            </w:tcBorders>
          </w:tcPr>
          <w:p w14:paraId="3C2CC549">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66C20C0E">
            <w:pPr>
              <w:snapToGrid w:val="0"/>
              <w:spacing w:line="360" w:lineRule="auto"/>
              <w:jc w:val="left"/>
              <w:rPr>
                <w:rFonts w:ascii="宋体" w:hAnsi="宋体"/>
                <w:color w:val="auto"/>
                <w:sz w:val="24"/>
                <w:szCs w:val="20"/>
                <w:highlight w:val="none"/>
              </w:rPr>
            </w:pPr>
          </w:p>
        </w:tc>
      </w:tr>
      <w:tr w14:paraId="6FCCE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31E6E660">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员工总人数</w:t>
            </w:r>
          </w:p>
        </w:tc>
        <w:tc>
          <w:tcPr>
            <w:tcW w:w="1622" w:type="dxa"/>
            <w:tcBorders>
              <w:top w:val="single" w:color="auto" w:sz="4" w:space="0"/>
              <w:left w:val="single" w:color="auto" w:sz="4" w:space="0"/>
              <w:bottom w:val="single" w:color="auto" w:sz="4" w:space="0"/>
              <w:right w:val="single" w:color="auto" w:sz="4" w:space="0"/>
            </w:tcBorders>
          </w:tcPr>
          <w:p w14:paraId="7C0F628F">
            <w:pPr>
              <w:snapToGrid w:val="0"/>
              <w:spacing w:line="360" w:lineRule="auto"/>
              <w:jc w:val="left"/>
              <w:rPr>
                <w:rFonts w:ascii="宋体" w:hAnsi="宋体"/>
                <w:color w:val="auto"/>
                <w:sz w:val="24"/>
                <w:szCs w:val="20"/>
                <w:highlight w:val="none"/>
              </w:rPr>
            </w:pPr>
          </w:p>
        </w:tc>
        <w:tc>
          <w:tcPr>
            <w:tcW w:w="2518" w:type="dxa"/>
            <w:gridSpan w:val="3"/>
            <w:tcBorders>
              <w:top w:val="single" w:color="auto" w:sz="4" w:space="0"/>
              <w:left w:val="single" w:color="auto" w:sz="4" w:space="0"/>
              <w:bottom w:val="single" w:color="auto" w:sz="4" w:space="0"/>
              <w:right w:val="single" w:color="auto" w:sz="4" w:space="0"/>
            </w:tcBorders>
          </w:tcPr>
          <w:p w14:paraId="14D9D650">
            <w:pPr>
              <w:snapToGrid w:val="0"/>
              <w:spacing w:line="360" w:lineRule="auto"/>
              <w:ind w:left="60"/>
              <w:jc w:val="left"/>
              <w:rPr>
                <w:rFonts w:ascii="宋体" w:hAnsi="宋体"/>
                <w:color w:val="auto"/>
                <w:sz w:val="24"/>
                <w:szCs w:val="20"/>
                <w:highlight w:val="none"/>
              </w:rPr>
            </w:pPr>
            <w:r>
              <w:rPr>
                <w:rFonts w:hint="eastAsia" w:ascii="宋体" w:hAnsi="宋体"/>
                <w:color w:val="auto"/>
                <w:sz w:val="24"/>
                <w:highlight w:val="none"/>
              </w:rPr>
              <w:t>其中：技术人员数</w:t>
            </w:r>
          </w:p>
        </w:tc>
        <w:tc>
          <w:tcPr>
            <w:tcW w:w="1435" w:type="dxa"/>
            <w:tcBorders>
              <w:top w:val="single" w:color="auto" w:sz="4" w:space="0"/>
              <w:left w:val="single" w:color="auto" w:sz="4" w:space="0"/>
              <w:bottom w:val="single" w:color="auto" w:sz="4" w:space="0"/>
              <w:right w:val="single" w:color="auto" w:sz="4" w:space="0"/>
            </w:tcBorders>
          </w:tcPr>
          <w:p w14:paraId="65A3EA2E">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2FD33A83">
            <w:pPr>
              <w:snapToGrid w:val="0"/>
              <w:spacing w:line="360" w:lineRule="auto"/>
              <w:jc w:val="left"/>
              <w:rPr>
                <w:rFonts w:ascii="宋体" w:hAnsi="宋体"/>
                <w:color w:val="auto"/>
                <w:sz w:val="24"/>
                <w:szCs w:val="20"/>
                <w:highlight w:val="none"/>
              </w:rPr>
            </w:pPr>
          </w:p>
        </w:tc>
      </w:tr>
      <w:tr w14:paraId="45F30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1AE48FC0">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经营期限</w:t>
            </w:r>
          </w:p>
        </w:tc>
        <w:tc>
          <w:tcPr>
            <w:tcW w:w="5575" w:type="dxa"/>
            <w:gridSpan w:val="5"/>
            <w:tcBorders>
              <w:top w:val="single" w:color="auto" w:sz="4" w:space="0"/>
              <w:left w:val="single" w:color="auto" w:sz="4" w:space="0"/>
              <w:bottom w:val="single" w:color="auto" w:sz="4" w:space="0"/>
              <w:right w:val="single" w:color="auto" w:sz="4" w:space="0"/>
            </w:tcBorders>
          </w:tcPr>
          <w:p w14:paraId="0CB46AAA">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4BAB84AF">
            <w:pPr>
              <w:snapToGrid w:val="0"/>
              <w:spacing w:line="360" w:lineRule="auto"/>
              <w:jc w:val="left"/>
              <w:rPr>
                <w:rFonts w:ascii="宋体" w:hAnsi="宋体"/>
                <w:color w:val="auto"/>
                <w:sz w:val="24"/>
                <w:szCs w:val="20"/>
                <w:highlight w:val="none"/>
              </w:rPr>
            </w:pPr>
          </w:p>
        </w:tc>
      </w:tr>
      <w:tr w14:paraId="70A09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157239D">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售后服务协议</w:t>
            </w:r>
          </w:p>
        </w:tc>
        <w:tc>
          <w:tcPr>
            <w:tcW w:w="5575" w:type="dxa"/>
            <w:gridSpan w:val="5"/>
            <w:tcBorders>
              <w:top w:val="single" w:color="auto" w:sz="4" w:space="0"/>
              <w:left w:val="single" w:color="auto" w:sz="4" w:space="0"/>
              <w:bottom w:val="single" w:color="auto" w:sz="4" w:space="0"/>
              <w:right w:val="single" w:color="auto" w:sz="4" w:space="0"/>
            </w:tcBorders>
          </w:tcPr>
          <w:p w14:paraId="1D1EDE35">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5AE938A5">
            <w:pPr>
              <w:snapToGrid w:val="0"/>
              <w:spacing w:line="360" w:lineRule="auto"/>
              <w:jc w:val="left"/>
              <w:rPr>
                <w:rFonts w:ascii="宋体" w:hAnsi="宋体"/>
                <w:color w:val="auto"/>
                <w:sz w:val="24"/>
                <w:szCs w:val="20"/>
                <w:highlight w:val="none"/>
              </w:rPr>
            </w:pPr>
          </w:p>
        </w:tc>
      </w:tr>
      <w:tr w14:paraId="57861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288B5CFF">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售后服务内容</w:t>
            </w:r>
          </w:p>
        </w:tc>
        <w:tc>
          <w:tcPr>
            <w:tcW w:w="5575" w:type="dxa"/>
            <w:gridSpan w:val="5"/>
            <w:tcBorders>
              <w:top w:val="single" w:color="auto" w:sz="4" w:space="0"/>
              <w:left w:val="single" w:color="auto" w:sz="4" w:space="0"/>
              <w:bottom w:val="single" w:color="auto" w:sz="4" w:space="0"/>
              <w:right w:val="single" w:color="auto" w:sz="4" w:space="0"/>
            </w:tcBorders>
          </w:tcPr>
          <w:p w14:paraId="09A3579B">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3EABCAC0">
            <w:pPr>
              <w:snapToGrid w:val="0"/>
              <w:spacing w:line="360" w:lineRule="auto"/>
              <w:jc w:val="left"/>
              <w:rPr>
                <w:rFonts w:ascii="宋体" w:hAnsi="宋体"/>
                <w:color w:val="auto"/>
                <w:sz w:val="24"/>
                <w:szCs w:val="20"/>
                <w:highlight w:val="none"/>
              </w:rPr>
            </w:pPr>
          </w:p>
        </w:tc>
      </w:tr>
      <w:tr w14:paraId="07B77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C9719A3">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工作业绩</w:t>
            </w:r>
          </w:p>
        </w:tc>
        <w:tc>
          <w:tcPr>
            <w:tcW w:w="5575" w:type="dxa"/>
            <w:gridSpan w:val="5"/>
            <w:tcBorders>
              <w:top w:val="single" w:color="auto" w:sz="4" w:space="0"/>
              <w:left w:val="single" w:color="auto" w:sz="4" w:space="0"/>
              <w:bottom w:val="single" w:color="auto" w:sz="4" w:space="0"/>
              <w:right w:val="single" w:color="auto" w:sz="4" w:space="0"/>
            </w:tcBorders>
          </w:tcPr>
          <w:p w14:paraId="7258A5CB">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62FCC1ED">
            <w:pPr>
              <w:snapToGrid w:val="0"/>
              <w:spacing w:line="360" w:lineRule="auto"/>
              <w:jc w:val="left"/>
              <w:rPr>
                <w:rFonts w:ascii="宋体" w:hAnsi="宋体"/>
                <w:color w:val="auto"/>
                <w:sz w:val="24"/>
                <w:szCs w:val="20"/>
                <w:highlight w:val="none"/>
              </w:rPr>
            </w:pPr>
          </w:p>
        </w:tc>
      </w:tr>
      <w:tr w14:paraId="555E3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15FDB8E4">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服务承诺</w:t>
            </w:r>
          </w:p>
        </w:tc>
        <w:tc>
          <w:tcPr>
            <w:tcW w:w="5575" w:type="dxa"/>
            <w:gridSpan w:val="5"/>
            <w:tcBorders>
              <w:top w:val="single" w:color="auto" w:sz="4" w:space="0"/>
              <w:left w:val="single" w:color="auto" w:sz="4" w:space="0"/>
              <w:bottom w:val="single" w:color="auto" w:sz="4" w:space="0"/>
              <w:right w:val="single" w:color="auto" w:sz="4" w:space="0"/>
            </w:tcBorders>
          </w:tcPr>
          <w:p w14:paraId="3D5853E0">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59ABA75A">
            <w:pPr>
              <w:snapToGrid w:val="0"/>
              <w:spacing w:line="360" w:lineRule="auto"/>
              <w:jc w:val="left"/>
              <w:rPr>
                <w:rFonts w:ascii="宋体" w:hAnsi="宋体"/>
                <w:color w:val="auto"/>
                <w:sz w:val="24"/>
                <w:szCs w:val="20"/>
                <w:highlight w:val="none"/>
              </w:rPr>
            </w:pPr>
          </w:p>
        </w:tc>
      </w:tr>
      <w:tr w14:paraId="3AB3B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B462BFA">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业务咨询电话</w:t>
            </w:r>
          </w:p>
        </w:tc>
        <w:tc>
          <w:tcPr>
            <w:tcW w:w="1813" w:type="dxa"/>
            <w:gridSpan w:val="2"/>
            <w:tcBorders>
              <w:top w:val="single" w:color="auto" w:sz="4" w:space="0"/>
              <w:left w:val="single" w:color="auto" w:sz="4" w:space="0"/>
              <w:bottom w:val="single" w:color="auto" w:sz="4" w:space="0"/>
              <w:right w:val="single" w:color="auto" w:sz="2" w:space="0"/>
            </w:tcBorders>
          </w:tcPr>
          <w:p w14:paraId="15CC7A19">
            <w:pPr>
              <w:snapToGrid w:val="0"/>
              <w:spacing w:line="360" w:lineRule="auto"/>
              <w:jc w:val="left"/>
              <w:rPr>
                <w:rFonts w:ascii="宋体" w:hAnsi="宋体"/>
                <w:color w:val="auto"/>
                <w:sz w:val="24"/>
                <w:szCs w:val="20"/>
                <w:highlight w:val="none"/>
              </w:rPr>
            </w:pPr>
          </w:p>
        </w:tc>
        <w:tc>
          <w:tcPr>
            <w:tcW w:w="1439" w:type="dxa"/>
            <w:tcBorders>
              <w:top w:val="single" w:color="auto" w:sz="4" w:space="0"/>
              <w:left w:val="single" w:color="auto" w:sz="2" w:space="0"/>
              <w:bottom w:val="single" w:color="auto" w:sz="4" w:space="0"/>
              <w:right w:val="single" w:color="auto" w:sz="2" w:space="0"/>
            </w:tcBorders>
          </w:tcPr>
          <w:p w14:paraId="3BFD7723">
            <w:pPr>
              <w:snapToGrid w:val="0"/>
              <w:spacing w:line="360" w:lineRule="auto"/>
              <w:ind w:firstLine="240" w:firstLineChars="100"/>
              <w:jc w:val="left"/>
              <w:rPr>
                <w:rFonts w:ascii="宋体" w:hAnsi="宋体"/>
                <w:color w:val="auto"/>
                <w:sz w:val="24"/>
                <w:szCs w:val="20"/>
                <w:highlight w:val="none"/>
              </w:rPr>
            </w:pPr>
            <w:r>
              <w:rPr>
                <w:rFonts w:hint="eastAsia" w:ascii="宋体" w:hAnsi="宋体"/>
                <w:color w:val="auto"/>
                <w:sz w:val="24"/>
                <w:highlight w:val="none"/>
              </w:rPr>
              <w:t>传</w:t>
            </w:r>
            <w:r>
              <w:rPr>
                <w:rFonts w:ascii="宋体" w:hAnsi="宋体"/>
                <w:color w:val="auto"/>
                <w:sz w:val="24"/>
                <w:highlight w:val="none"/>
              </w:rPr>
              <w:t xml:space="preserve"> 真</w:t>
            </w:r>
          </w:p>
        </w:tc>
        <w:tc>
          <w:tcPr>
            <w:tcW w:w="2323" w:type="dxa"/>
            <w:gridSpan w:val="2"/>
            <w:tcBorders>
              <w:top w:val="single" w:color="auto" w:sz="4" w:space="0"/>
              <w:left w:val="single" w:color="auto" w:sz="2" w:space="0"/>
              <w:bottom w:val="single" w:color="auto" w:sz="4" w:space="0"/>
              <w:right w:val="single" w:color="auto" w:sz="2" w:space="0"/>
            </w:tcBorders>
          </w:tcPr>
          <w:p w14:paraId="2D5222C1">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2" w:space="0"/>
              <w:bottom w:val="single" w:color="auto" w:sz="4" w:space="0"/>
              <w:right w:val="single" w:color="auto" w:sz="4" w:space="0"/>
            </w:tcBorders>
          </w:tcPr>
          <w:p w14:paraId="10A2A195">
            <w:pPr>
              <w:snapToGrid w:val="0"/>
              <w:spacing w:line="360" w:lineRule="auto"/>
              <w:jc w:val="left"/>
              <w:rPr>
                <w:rFonts w:ascii="宋体" w:hAnsi="宋体"/>
                <w:color w:val="auto"/>
                <w:sz w:val="24"/>
                <w:szCs w:val="20"/>
                <w:highlight w:val="none"/>
              </w:rPr>
            </w:pPr>
          </w:p>
        </w:tc>
      </w:tr>
      <w:tr w14:paraId="477AE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175EEB61">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负责人</w:t>
            </w:r>
          </w:p>
        </w:tc>
        <w:tc>
          <w:tcPr>
            <w:tcW w:w="1813" w:type="dxa"/>
            <w:gridSpan w:val="2"/>
            <w:tcBorders>
              <w:top w:val="single" w:color="auto" w:sz="4" w:space="0"/>
              <w:left w:val="single" w:color="auto" w:sz="4" w:space="0"/>
              <w:bottom w:val="single" w:color="auto" w:sz="4" w:space="0"/>
              <w:right w:val="single" w:color="auto" w:sz="2" w:space="0"/>
            </w:tcBorders>
          </w:tcPr>
          <w:p w14:paraId="25C4354F">
            <w:pPr>
              <w:snapToGrid w:val="0"/>
              <w:spacing w:line="360" w:lineRule="auto"/>
              <w:jc w:val="left"/>
              <w:rPr>
                <w:rFonts w:ascii="宋体" w:hAnsi="宋体"/>
                <w:color w:val="auto"/>
                <w:sz w:val="24"/>
                <w:szCs w:val="20"/>
                <w:highlight w:val="none"/>
              </w:rPr>
            </w:pPr>
          </w:p>
        </w:tc>
        <w:tc>
          <w:tcPr>
            <w:tcW w:w="1439" w:type="dxa"/>
            <w:tcBorders>
              <w:top w:val="single" w:color="auto" w:sz="4" w:space="0"/>
              <w:left w:val="single" w:color="auto" w:sz="2" w:space="0"/>
              <w:bottom w:val="single" w:color="auto" w:sz="4" w:space="0"/>
              <w:right w:val="single" w:color="auto" w:sz="2" w:space="0"/>
            </w:tcBorders>
          </w:tcPr>
          <w:p w14:paraId="68A7D106">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联系电话</w:t>
            </w:r>
          </w:p>
        </w:tc>
        <w:tc>
          <w:tcPr>
            <w:tcW w:w="2323" w:type="dxa"/>
            <w:gridSpan w:val="2"/>
            <w:tcBorders>
              <w:top w:val="single" w:color="auto" w:sz="4" w:space="0"/>
              <w:left w:val="single" w:color="auto" w:sz="2" w:space="0"/>
              <w:bottom w:val="single" w:color="auto" w:sz="4" w:space="0"/>
              <w:right w:val="single" w:color="auto" w:sz="4" w:space="0"/>
            </w:tcBorders>
          </w:tcPr>
          <w:p w14:paraId="3CDE1AD0">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2F3415B9">
            <w:pPr>
              <w:snapToGrid w:val="0"/>
              <w:spacing w:line="360" w:lineRule="auto"/>
              <w:jc w:val="left"/>
              <w:rPr>
                <w:rFonts w:ascii="宋体" w:hAnsi="宋体"/>
                <w:color w:val="auto"/>
                <w:sz w:val="24"/>
                <w:szCs w:val="20"/>
                <w:highlight w:val="none"/>
              </w:rPr>
            </w:pPr>
          </w:p>
        </w:tc>
      </w:tr>
    </w:tbl>
    <w:p w14:paraId="4DB16A7D">
      <w:pPr>
        <w:pStyle w:val="9"/>
        <w:snapToGrid w:val="0"/>
        <w:spacing w:line="360" w:lineRule="auto"/>
        <w:rPr>
          <w:rFonts w:ascii="宋体" w:hAnsi="宋体" w:eastAsia="宋体"/>
          <w:color w:val="auto"/>
          <w:sz w:val="24"/>
          <w:highlight w:val="none"/>
          <w:u w:val="single"/>
        </w:rPr>
      </w:pPr>
      <w:r>
        <w:rPr>
          <w:rFonts w:hint="eastAsia" w:ascii="宋体" w:hAnsi="宋体" w:eastAsia="宋体"/>
          <w:color w:val="auto"/>
          <w:sz w:val="24"/>
          <w:highlight w:val="none"/>
        </w:rPr>
        <w:t>授权代表签字：</w:t>
      </w:r>
      <w:r>
        <w:rPr>
          <w:rFonts w:hint="eastAsia" w:ascii="宋体" w:hAnsi="宋体" w:eastAsia="宋体"/>
          <w:color w:val="auto"/>
          <w:sz w:val="24"/>
          <w:highlight w:val="none"/>
          <w:u w:val="single"/>
        </w:rPr>
        <w:t>　　　　　</w:t>
      </w:r>
    </w:p>
    <w:p w14:paraId="14E5FD94">
      <w:pPr>
        <w:pStyle w:val="3"/>
        <w:snapToGrid w:val="0"/>
        <w:spacing w:after="0" w:line="360" w:lineRule="auto"/>
        <w:rPr>
          <w:rFonts w:ascii="宋体" w:hAnsi="宋体"/>
          <w:color w:val="auto"/>
          <w:sz w:val="24"/>
          <w:highlight w:val="none"/>
        </w:rPr>
      </w:pPr>
      <w:r>
        <w:rPr>
          <w:rFonts w:hint="eastAsia" w:ascii="宋体" w:hAnsi="宋体"/>
          <w:color w:val="auto"/>
          <w:sz w:val="24"/>
          <w:highlight w:val="none"/>
        </w:rPr>
        <w:t>投标人公章：　 年月　 日</w:t>
      </w:r>
    </w:p>
    <w:p w14:paraId="1F0DE178">
      <w:pPr>
        <w:pStyle w:val="11"/>
        <w:rPr>
          <w:color w:val="auto"/>
          <w:highlight w:val="none"/>
        </w:rPr>
      </w:pPr>
    </w:p>
    <w:p w14:paraId="440D4E3E">
      <w:pPr>
        <w:pStyle w:val="11"/>
        <w:rPr>
          <w:color w:val="auto"/>
          <w:highlight w:val="none"/>
        </w:rPr>
      </w:pPr>
    </w:p>
    <w:p w14:paraId="03CED04C">
      <w:pPr>
        <w:pStyle w:val="3"/>
        <w:rPr>
          <w:rFonts w:ascii="宋体" w:hAnsi="宋体"/>
          <w:color w:val="auto"/>
          <w:sz w:val="24"/>
          <w:highlight w:val="none"/>
        </w:rPr>
      </w:pPr>
      <w:r>
        <w:rPr>
          <w:rFonts w:hint="eastAsia" w:ascii="宋体" w:hAnsi="宋体"/>
          <w:color w:val="auto"/>
          <w:sz w:val="24"/>
          <w:highlight w:val="none"/>
        </w:rPr>
        <w:t>30.培训方案（格式自拟）</w:t>
      </w:r>
    </w:p>
    <w:p w14:paraId="0FEEE9F7">
      <w:pPr>
        <w:pStyle w:val="3"/>
        <w:rPr>
          <w:rFonts w:ascii="宋体" w:hAnsi="宋体"/>
          <w:color w:val="auto"/>
          <w:sz w:val="24"/>
          <w:highlight w:val="none"/>
        </w:rPr>
      </w:pPr>
    </w:p>
    <w:p w14:paraId="0B455804">
      <w:pPr>
        <w:pStyle w:val="11"/>
        <w:rPr>
          <w:color w:val="auto"/>
          <w:highlight w:val="none"/>
        </w:rPr>
      </w:pPr>
    </w:p>
    <w:p w14:paraId="04CD9D62">
      <w:pPr>
        <w:pStyle w:val="11"/>
        <w:rPr>
          <w:color w:val="auto"/>
          <w:highlight w:val="none"/>
        </w:rPr>
      </w:pPr>
    </w:p>
    <w:p w14:paraId="02DAA535">
      <w:pPr>
        <w:pStyle w:val="11"/>
        <w:rPr>
          <w:color w:val="auto"/>
          <w:highlight w:val="none"/>
        </w:rPr>
      </w:pPr>
    </w:p>
    <w:p w14:paraId="04AF23CF">
      <w:pPr>
        <w:pStyle w:val="11"/>
        <w:rPr>
          <w:color w:val="auto"/>
          <w:highlight w:val="none"/>
        </w:rPr>
      </w:pPr>
    </w:p>
    <w:p w14:paraId="080E41AE">
      <w:pPr>
        <w:snapToGrid w:val="0"/>
        <w:spacing w:line="360" w:lineRule="auto"/>
        <w:rPr>
          <w:rFonts w:ascii="宋体" w:hAnsi="宋体"/>
          <w:color w:val="auto"/>
          <w:sz w:val="24"/>
          <w:highlight w:val="none"/>
        </w:rPr>
      </w:pPr>
      <w:r>
        <w:rPr>
          <w:rFonts w:hint="eastAsia" w:ascii="宋体" w:hAnsi="宋体"/>
          <w:bCs/>
          <w:color w:val="auto"/>
          <w:sz w:val="24"/>
          <w:highlight w:val="none"/>
        </w:rPr>
        <w:t>31.</w:t>
      </w:r>
      <w:r>
        <w:rPr>
          <w:rFonts w:hint="eastAsia" w:ascii="宋体" w:hAnsi="宋体"/>
          <w:color w:val="auto"/>
          <w:sz w:val="24"/>
          <w:highlight w:val="none"/>
        </w:rPr>
        <w:t xml:space="preserve">技术、商务、资信及其他分自评表  </w:t>
      </w:r>
    </w:p>
    <w:p w14:paraId="67508710">
      <w:pPr>
        <w:pStyle w:val="11"/>
        <w:spacing w:line="360" w:lineRule="auto"/>
        <w:ind w:firstLine="311" w:firstLineChars="129"/>
        <w:rPr>
          <w:rFonts w:hAnsi="宋体"/>
          <w:b/>
          <w:color w:val="auto"/>
          <w:sz w:val="24"/>
          <w:highlight w:val="none"/>
        </w:rPr>
      </w:pPr>
      <w:r>
        <w:rPr>
          <w:rFonts w:hint="eastAsia" w:hAnsi="宋体"/>
          <w:b/>
          <w:color w:val="auto"/>
          <w:sz w:val="24"/>
          <w:highlight w:val="none"/>
        </w:rPr>
        <w:t>投标人名称</w:t>
      </w:r>
    </w:p>
    <w:tbl>
      <w:tblPr>
        <w:tblStyle w:val="27"/>
        <w:tblW w:w="9801"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3533"/>
        <w:gridCol w:w="2268"/>
        <w:gridCol w:w="1276"/>
        <w:gridCol w:w="1701"/>
      </w:tblGrid>
      <w:tr w14:paraId="107F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4556" w:type="dxa"/>
            <w:gridSpan w:val="2"/>
            <w:vAlign w:val="center"/>
          </w:tcPr>
          <w:p w14:paraId="02113B96">
            <w:pPr>
              <w:spacing w:line="360" w:lineRule="auto"/>
              <w:jc w:val="center"/>
              <w:rPr>
                <w:rFonts w:ascii="宋体" w:hAnsi="宋体"/>
                <w:color w:val="auto"/>
                <w:sz w:val="24"/>
                <w:highlight w:val="none"/>
              </w:rPr>
            </w:pPr>
            <w:r>
              <w:rPr>
                <w:rFonts w:hint="eastAsia" w:ascii="宋体" w:hAnsi="宋体"/>
                <w:color w:val="auto"/>
                <w:sz w:val="24"/>
                <w:highlight w:val="none"/>
              </w:rPr>
              <w:t>评分项目</w:t>
            </w:r>
          </w:p>
        </w:tc>
        <w:tc>
          <w:tcPr>
            <w:tcW w:w="2268" w:type="dxa"/>
            <w:vAlign w:val="center"/>
          </w:tcPr>
          <w:p w14:paraId="0520AE53">
            <w:pPr>
              <w:snapToGrid w:val="0"/>
              <w:spacing w:line="360" w:lineRule="auto"/>
              <w:jc w:val="center"/>
              <w:rPr>
                <w:rFonts w:ascii="宋体" w:hAnsi="宋体"/>
                <w:color w:val="auto"/>
                <w:sz w:val="24"/>
                <w:highlight w:val="none"/>
              </w:rPr>
            </w:pPr>
            <w:r>
              <w:rPr>
                <w:rFonts w:hint="eastAsia" w:ascii="宋体" w:hAnsi="宋体"/>
                <w:color w:val="auto"/>
                <w:sz w:val="24"/>
                <w:highlight w:val="none"/>
              </w:rPr>
              <w:t>投标文件对应资料</w:t>
            </w:r>
          </w:p>
        </w:tc>
        <w:tc>
          <w:tcPr>
            <w:tcW w:w="1276" w:type="dxa"/>
            <w:vAlign w:val="center"/>
          </w:tcPr>
          <w:p w14:paraId="0D05EFC3">
            <w:pPr>
              <w:snapToGrid w:val="0"/>
              <w:spacing w:line="360" w:lineRule="auto"/>
              <w:jc w:val="center"/>
              <w:rPr>
                <w:rFonts w:ascii="宋体" w:hAnsi="宋体"/>
                <w:color w:val="auto"/>
                <w:sz w:val="24"/>
                <w:highlight w:val="none"/>
              </w:rPr>
            </w:pPr>
            <w:r>
              <w:rPr>
                <w:rFonts w:hint="eastAsia" w:ascii="宋体" w:hAnsi="宋体"/>
                <w:color w:val="auto"/>
                <w:sz w:val="24"/>
                <w:highlight w:val="none"/>
              </w:rPr>
              <w:t>自评分</w:t>
            </w:r>
          </w:p>
        </w:tc>
        <w:tc>
          <w:tcPr>
            <w:tcW w:w="1701" w:type="dxa"/>
            <w:vAlign w:val="center"/>
          </w:tcPr>
          <w:p w14:paraId="0B1F3490">
            <w:pPr>
              <w:snapToGrid w:val="0"/>
              <w:spacing w:line="360" w:lineRule="auto"/>
              <w:jc w:val="center"/>
              <w:rPr>
                <w:rFonts w:ascii="宋体" w:hAnsi="宋体"/>
                <w:color w:val="auto"/>
                <w:sz w:val="24"/>
                <w:highlight w:val="none"/>
              </w:rPr>
            </w:pPr>
            <w:r>
              <w:rPr>
                <w:rFonts w:hint="eastAsia" w:ascii="宋体" w:hAnsi="宋体"/>
                <w:color w:val="auto"/>
                <w:sz w:val="24"/>
                <w:highlight w:val="none"/>
              </w:rPr>
              <w:t>投标文件页码</w:t>
            </w:r>
          </w:p>
        </w:tc>
      </w:tr>
      <w:tr w14:paraId="5B81D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023" w:type="dxa"/>
            <w:vMerge w:val="restart"/>
            <w:vAlign w:val="center"/>
          </w:tcPr>
          <w:p w14:paraId="6552FF49">
            <w:pPr>
              <w:spacing w:line="360" w:lineRule="auto"/>
              <w:jc w:val="center"/>
              <w:rPr>
                <w:rFonts w:ascii="宋体" w:hAnsi="宋体"/>
                <w:color w:val="auto"/>
                <w:sz w:val="24"/>
                <w:highlight w:val="none"/>
              </w:rPr>
            </w:pPr>
            <w:r>
              <w:rPr>
                <w:rFonts w:hint="eastAsia" w:ascii="宋体" w:hAnsi="宋体"/>
                <w:color w:val="auto"/>
                <w:sz w:val="24"/>
                <w:highlight w:val="none"/>
              </w:rPr>
              <w:t>技</w:t>
            </w:r>
          </w:p>
          <w:p w14:paraId="21B8ADEF">
            <w:pPr>
              <w:spacing w:line="360" w:lineRule="auto"/>
              <w:jc w:val="center"/>
              <w:rPr>
                <w:rFonts w:ascii="宋体" w:hAnsi="宋体"/>
                <w:color w:val="auto"/>
                <w:sz w:val="24"/>
                <w:highlight w:val="none"/>
              </w:rPr>
            </w:pPr>
            <w:r>
              <w:rPr>
                <w:rFonts w:hint="eastAsia" w:ascii="宋体" w:hAnsi="宋体"/>
                <w:color w:val="auto"/>
                <w:sz w:val="24"/>
                <w:highlight w:val="none"/>
              </w:rPr>
              <w:t>术</w:t>
            </w:r>
          </w:p>
          <w:p w14:paraId="4C7DC1F6">
            <w:pPr>
              <w:spacing w:line="360" w:lineRule="auto"/>
              <w:jc w:val="center"/>
              <w:rPr>
                <w:rFonts w:ascii="宋体" w:hAnsi="宋体"/>
                <w:color w:val="auto"/>
                <w:sz w:val="24"/>
                <w:highlight w:val="none"/>
              </w:rPr>
            </w:pPr>
            <w:r>
              <w:rPr>
                <w:rFonts w:hint="eastAsia" w:ascii="宋体" w:hAnsi="宋体"/>
                <w:color w:val="auto"/>
                <w:sz w:val="24"/>
                <w:highlight w:val="none"/>
              </w:rPr>
              <w:t>分</w:t>
            </w:r>
          </w:p>
          <w:p w14:paraId="587EE2FF">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77</w:t>
            </w:r>
          </w:p>
          <w:p w14:paraId="5B81BF1A">
            <w:pPr>
              <w:spacing w:line="360" w:lineRule="auto"/>
              <w:jc w:val="center"/>
              <w:rPr>
                <w:rFonts w:ascii="宋体" w:hAnsi="宋体"/>
                <w:color w:val="auto"/>
                <w:sz w:val="24"/>
                <w:highlight w:val="none"/>
              </w:rPr>
            </w:pPr>
            <w:r>
              <w:rPr>
                <w:rFonts w:hint="eastAsia" w:ascii="宋体" w:hAnsi="宋体"/>
                <w:color w:val="auto"/>
                <w:sz w:val="24"/>
                <w:highlight w:val="none"/>
              </w:rPr>
              <w:t>分</w:t>
            </w:r>
          </w:p>
        </w:tc>
        <w:tc>
          <w:tcPr>
            <w:tcW w:w="3533" w:type="dxa"/>
          </w:tcPr>
          <w:p w14:paraId="1977B85B">
            <w:pPr>
              <w:spacing w:line="360" w:lineRule="auto"/>
              <w:jc w:val="left"/>
              <w:rPr>
                <w:rFonts w:ascii="宋体" w:hAnsi="宋体"/>
                <w:color w:val="auto"/>
                <w:sz w:val="24"/>
                <w:highlight w:val="none"/>
              </w:rPr>
            </w:pPr>
          </w:p>
        </w:tc>
        <w:tc>
          <w:tcPr>
            <w:tcW w:w="2268" w:type="dxa"/>
          </w:tcPr>
          <w:p w14:paraId="33748999">
            <w:pPr>
              <w:spacing w:line="360" w:lineRule="auto"/>
              <w:rPr>
                <w:rFonts w:ascii="宋体" w:hAnsi="宋体"/>
                <w:color w:val="auto"/>
                <w:sz w:val="24"/>
                <w:highlight w:val="none"/>
              </w:rPr>
            </w:pPr>
          </w:p>
        </w:tc>
        <w:tc>
          <w:tcPr>
            <w:tcW w:w="1276" w:type="dxa"/>
          </w:tcPr>
          <w:p w14:paraId="0EFD1A0C">
            <w:pPr>
              <w:spacing w:line="360" w:lineRule="auto"/>
              <w:rPr>
                <w:rFonts w:ascii="宋体" w:hAnsi="宋体"/>
                <w:color w:val="auto"/>
                <w:sz w:val="24"/>
                <w:highlight w:val="none"/>
              </w:rPr>
            </w:pPr>
          </w:p>
        </w:tc>
        <w:tc>
          <w:tcPr>
            <w:tcW w:w="1701" w:type="dxa"/>
          </w:tcPr>
          <w:p w14:paraId="0DB0B7E0">
            <w:pPr>
              <w:spacing w:line="360" w:lineRule="auto"/>
              <w:rPr>
                <w:rFonts w:ascii="宋体" w:hAnsi="宋体"/>
                <w:color w:val="auto"/>
                <w:sz w:val="24"/>
                <w:highlight w:val="none"/>
              </w:rPr>
            </w:pPr>
          </w:p>
        </w:tc>
      </w:tr>
      <w:tr w14:paraId="2A81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48335FB1">
            <w:pPr>
              <w:spacing w:line="360" w:lineRule="auto"/>
              <w:rPr>
                <w:rFonts w:ascii="宋体" w:hAnsi="宋体"/>
                <w:color w:val="auto"/>
                <w:sz w:val="24"/>
                <w:highlight w:val="none"/>
              </w:rPr>
            </w:pPr>
          </w:p>
        </w:tc>
        <w:tc>
          <w:tcPr>
            <w:tcW w:w="3533" w:type="dxa"/>
          </w:tcPr>
          <w:p w14:paraId="2955A772">
            <w:pPr>
              <w:spacing w:line="360" w:lineRule="auto"/>
              <w:jc w:val="left"/>
              <w:rPr>
                <w:rFonts w:ascii="宋体" w:hAnsi="宋体"/>
                <w:color w:val="auto"/>
                <w:sz w:val="24"/>
                <w:highlight w:val="none"/>
              </w:rPr>
            </w:pPr>
          </w:p>
        </w:tc>
        <w:tc>
          <w:tcPr>
            <w:tcW w:w="2268" w:type="dxa"/>
          </w:tcPr>
          <w:p w14:paraId="23556089">
            <w:pPr>
              <w:spacing w:line="360" w:lineRule="auto"/>
              <w:rPr>
                <w:rFonts w:ascii="宋体" w:hAnsi="宋体"/>
                <w:color w:val="auto"/>
                <w:sz w:val="24"/>
                <w:highlight w:val="none"/>
              </w:rPr>
            </w:pPr>
          </w:p>
        </w:tc>
        <w:tc>
          <w:tcPr>
            <w:tcW w:w="1276" w:type="dxa"/>
          </w:tcPr>
          <w:p w14:paraId="499BF7B2">
            <w:pPr>
              <w:spacing w:line="360" w:lineRule="auto"/>
              <w:rPr>
                <w:rFonts w:ascii="宋体" w:hAnsi="宋体"/>
                <w:color w:val="auto"/>
                <w:sz w:val="24"/>
                <w:highlight w:val="none"/>
              </w:rPr>
            </w:pPr>
          </w:p>
        </w:tc>
        <w:tc>
          <w:tcPr>
            <w:tcW w:w="1701" w:type="dxa"/>
          </w:tcPr>
          <w:p w14:paraId="3A0CCBE7">
            <w:pPr>
              <w:spacing w:line="360" w:lineRule="auto"/>
              <w:rPr>
                <w:rFonts w:ascii="宋体" w:hAnsi="宋体"/>
                <w:color w:val="auto"/>
                <w:sz w:val="24"/>
                <w:highlight w:val="none"/>
              </w:rPr>
            </w:pPr>
          </w:p>
        </w:tc>
      </w:tr>
      <w:tr w14:paraId="2F57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7CEEBEEC">
            <w:pPr>
              <w:spacing w:line="360" w:lineRule="auto"/>
              <w:rPr>
                <w:rFonts w:ascii="宋体" w:hAnsi="宋体"/>
                <w:color w:val="auto"/>
                <w:sz w:val="24"/>
                <w:highlight w:val="none"/>
              </w:rPr>
            </w:pPr>
          </w:p>
        </w:tc>
        <w:tc>
          <w:tcPr>
            <w:tcW w:w="3533" w:type="dxa"/>
          </w:tcPr>
          <w:p w14:paraId="11E74855">
            <w:pPr>
              <w:spacing w:line="360" w:lineRule="auto"/>
              <w:jc w:val="left"/>
              <w:rPr>
                <w:rFonts w:ascii="宋体" w:hAnsi="宋体"/>
                <w:color w:val="auto"/>
                <w:sz w:val="24"/>
                <w:highlight w:val="none"/>
              </w:rPr>
            </w:pPr>
          </w:p>
        </w:tc>
        <w:tc>
          <w:tcPr>
            <w:tcW w:w="2268" w:type="dxa"/>
          </w:tcPr>
          <w:p w14:paraId="6EBB322E">
            <w:pPr>
              <w:spacing w:line="360" w:lineRule="auto"/>
              <w:rPr>
                <w:rFonts w:ascii="宋体" w:hAnsi="宋体"/>
                <w:color w:val="auto"/>
                <w:sz w:val="24"/>
                <w:highlight w:val="none"/>
              </w:rPr>
            </w:pPr>
          </w:p>
        </w:tc>
        <w:tc>
          <w:tcPr>
            <w:tcW w:w="1276" w:type="dxa"/>
          </w:tcPr>
          <w:p w14:paraId="0A0705CC">
            <w:pPr>
              <w:spacing w:line="360" w:lineRule="auto"/>
              <w:rPr>
                <w:rFonts w:ascii="宋体" w:hAnsi="宋体"/>
                <w:color w:val="auto"/>
                <w:sz w:val="24"/>
                <w:highlight w:val="none"/>
              </w:rPr>
            </w:pPr>
          </w:p>
        </w:tc>
        <w:tc>
          <w:tcPr>
            <w:tcW w:w="1701" w:type="dxa"/>
          </w:tcPr>
          <w:p w14:paraId="2AD79010">
            <w:pPr>
              <w:spacing w:line="360" w:lineRule="auto"/>
              <w:rPr>
                <w:rFonts w:ascii="宋体" w:hAnsi="宋体"/>
                <w:color w:val="auto"/>
                <w:sz w:val="24"/>
                <w:highlight w:val="none"/>
              </w:rPr>
            </w:pPr>
          </w:p>
        </w:tc>
      </w:tr>
      <w:tr w14:paraId="1D2AB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7C5E4EC3">
            <w:pPr>
              <w:spacing w:line="360" w:lineRule="auto"/>
              <w:rPr>
                <w:rFonts w:ascii="宋体" w:hAnsi="宋体"/>
                <w:color w:val="auto"/>
                <w:sz w:val="24"/>
                <w:highlight w:val="none"/>
              </w:rPr>
            </w:pPr>
          </w:p>
        </w:tc>
        <w:tc>
          <w:tcPr>
            <w:tcW w:w="3533" w:type="dxa"/>
          </w:tcPr>
          <w:p w14:paraId="10F32365">
            <w:pPr>
              <w:spacing w:line="360" w:lineRule="auto"/>
              <w:jc w:val="left"/>
              <w:rPr>
                <w:rFonts w:ascii="宋体" w:hAnsi="宋体"/>
                <w:color w:val="auto"/>
                <w:sz w:val="24"/>
                <w:highlight w:val="none"/>
              </w:rPr>
            </w:pPr>
          </w:p>
        </w:tc>
        <w:tc>
          <w:tcPr>
            <w:tcW w:w="2268" w:type="dxa"/>
          </w:tcPr>
          <w:p w14:paraId="7887BEEC">
            <w:pPr>
              <w:spacing w:line="360" w:lineRule="auto"/>
              <w:rPr>
                <w:rFonts w:ascii="宋体" w:hAnsi="宋体"/>
                <w:color w:val="auto"/>
                <w:sz w:val="24"/>
                <w:highlight w:val="none"/>
              </w:rPr>
            </w:pPr>
          </w:p>
        </w:tc>
        <w:tc>
          <w:tcPr>
            <w:tcW w:w="1276" w:type="dxa"/>
          </w:tcPr>
          <w:p w14:paraId="507F7A13">
            <w:pPr>
              <w:spacing w:line="360" w:lineRule="auto"/>
              <w:rPr>
                <w:rFonts w:ascii="宋体" w:hAnsi="宋体"/>
                <w:color w:val="auto"/>
                <w:sz w:val="24"/>
                <w:highlight w:val="none"/>
              </w:rPr>
            </w:pPr>
          </w:p>
        </w:tc>
        <w:tc>
          <w:tcPr>
            <w:tcW w:w="1701" w:type="dxa"/>
          </w:tcPr>
          <w:p w14:paraId="74454AEF">
            <w:pPr>
              <w:spacing w:line="360" w:lineRule="auto"/>
              <w:rPr>
                <w:rFonts w:ascii="宋体" w:hAnsi="宋体"/>
                <w:color w:val="auto"/>
                <w:sz w:val="24"/>
                <w:highlight w:val="none"/>
              </w:rPr>
            </w:pPr>
          </w:p>
        </w:tc>
      </w:tr>
      <w:tr w14:paraId="43F3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1338F15D">
            <w:pPr>
              <w:spacing w:line="360" w:lineRule="auto"/>
              <w:rPr>
                <w:rFonts w:ascii="宋体" w:hAnsi="宋体"/>
                <w:color w:val="auto"/>
                <w:sz w:val="24"/>
                <w:highlight w:val="none"/>
              </w:rPr>
            </w:pPr>
          </w:p>
        </w:tc>
        <w:tc>
          <w:tcPr>
            <w:tcW w:w="3533" w:type="dxa"/>
          </w:tcPr>
          <w:p w14:paraId="61D0F81C">
            <w:pPr>
              <w:spacing w:line="360" w:lineRule="auto"/>
              <w:jc w:val="left"/>
              <w:rPr>
                <w:rFonts w:ascii="宋体" w:hAnsi="宋体"/>
                <w:color w:val="auto"/>
                <w:sz w:val="24"/>
                <w:highlight w:val="none"/>
              </w:rPr>
            </w:pPr>
          </w:p>
        </w:tc>
        <w:tc>
          <w:tcPr>
            <w:tcW w:w="2268" w:type="dxa"/>
          </w:tcPr>
          <w:p w14:paraId="486B6D09">
            <w:pPr>
              <w:spacing w:line="360" w:lineRule="auto"/>
              <w:rPr>
                <w:rFonts w:ascii="宋体" w:hAnsi="宋体"/>
                <w:color w:val="auto"/>
                <w:sz w:val="24"/>
                <w:highlight w:val="none"/>
              </w:rPr>
            </w:pPr>
          </w:p>
        </w:tc>
        <w:tc>
          <w:tcPr>
            <w:tcW w:w="1276" w:type="dxa"/>
          </w:tcPr>
          <w:p w14:paraId="4209F9D6">
            <w:pPr>
              <w:spacing w:line="360" w:lineRule="auto"/>
              <w:rPr>
                <w:rFonts w:ascii="宋体" w:hAnsi="宋体"/>
                <w:color w:val="auto"/>
                <w:sz w:val="24"/>
                <w:highlight w:val="none"/>
              </w:rPr>
            </w:pPr>
          </w:p>
        </w:tc>
        <w:tc>
          <w:tcPr>
            <w:tcW w:w="1701" w:type="dxa"/>
          </w:tcPr>
          <w:p w14:paraId="0F2CC093">
            <w:pPr>
              <w:spacing w:line="360" w:lineRule="auto"/>
              <w:rPr>
                <w:rFonts w:ascii="宋体" w:hAnsi="宋体"/>
                <w:color w:val="auto"/>
                <w:sz w:val="24"/>
                <w:highlight w:val="none"/>
              </w:rPr>
            </w:pPr>
          </w:p>
        </w:tc>
      </w:tr>
      <w:tr w14:paraId="242E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724D167A">
            <w:pPr>
              <w:spacing w:line="360" w:lineRule="auto"/>
              <w:rPr>
                <w:rFonts w:ascii="宋体" w:hAnsi="宋体"/>
                <w:color w:val="auto"/>
                <w:sz w:val="24"/>
                <w:highlight w:val="none"/>
              </w:rPr>
            </w:pPr>
          </w:p>
        </w:tc>
        <w:tc>
          <w:tcPr>
            <w:tcW w:w="3533" w:type="dxa"/>
          </w:tcPr>
          <w:p w14:paraId="0C242429">
            <w:pPr>
              <w:spacing w:line="360" w:lineRule="auto"/>
              <w:jc w:val="left"/>
              <w:rPr>
                <w:rFonts w:ascii="宋体" w:hAnsi="宋体"/>
                <w:color w:val="auto"/>
                <w:sz w:val="24"/>
                <w:highlight w:val="none"/>
              </w:rPr>
            </w:pPr>
          </w:p>
        </w:tc>
        <w:tc>
          <w:tcPr>
            <w:tcW w:w="2268" w:type="dxa"/>
          </w:tcPr>
          <w:p w14:paraId="087B4D9E">
            <w:pPr>
              <w:spacing w:line="360" w:lineRule="auto"/>
              <w:rPr>
                <w:rFonts w:ascii="宋体" w:hAnsi="宋体"/>
                <w:color w:val="auto"/>
                <w:sz w:val="24"/>
                <w:highlight w:val="none"/>
              </w:rPr>
            </w:pPr>
          </w:p>
        </w:tc>
        <w:tc>
          <w:tcPr>
            <w:tcW w:w="1276" w:type="dxa"/>
          </w:tcPr>
          <w:p w14:paraId="62D00B06">
            <w:pPr>
              <w:spacing w:line="360" w:lineRule="auto"/>
              <w:rPr>
                <w:rFonts w:ascii="宋体" w:hAnsi="宋体"/>
                <w:color w:val="auto"/>
                <w:sz w:val="24"/>
                <w:highlight w:val="none"/>
              </w:rPr>
            </w:pPr>
          </w:p>
        </w:tc>
        <w:tc>
          <w:tcPr>
            <w:tcW w:w="1701" w:type="dxa"/>
          </w:tcPr>
          <w:p w14:paraId="67BDCCAE">
            <w:pPr>
              <w:spacing w:line="360" w:lineRule="auto"/>
              <w:rPr>
                <w:rFonts w:ascii="宋体" w:hAnsi="宋体"/>
                <w:color w:val="auto"/>
                <w:sz w:val="24"/>
                <w:highlight w:val="none"/>
              </w:rPr>
            </w:pPr>
          </w:p>
        </w:tc>
      </w:tr>
      <w:tr w14:paraId="167F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5F99FB75">
            <w:pPr>
              <w:spacing w:line="360" w:lineRule="auto"/>
              <w:rPr>
                <w:rFonts w:ascii="宋体" w:hAnsi="宋体"/>
                <w:color w:val="auto"/>
                <w:sz w:val="24"/>
                <w:highlight w:val="none"/>
              </w:rPr>
            </w:pPr>
          </w:p>
        </w:tc>
        <w:tc>
          <w:tcPr>
            <w:tcW w:w="3533" w:type="dxa"/>
          </w:tcPr>
          <w:p w14:paraId="7CB8FCE4">
            <w:pPr>
              <w:spacing w:line="360" w:lineRule="auto"/>
              <w:jc w:val="left"/>
              <w:rPr>
                <w:rFonts w:ascii="宋体" w:hAnsi="宋体"/>
                <w:color w:val="auto"/>
                <w:sz w:val="24"/>
                <w:highlight w:val="none"/>
              </w:rPr>
            </w:pPr>
          </w:p>
        </w:tc>
        <w:tc>
          <w:tcPr>
            <w:tcW w:w="2268" w:type="dxa"/>
          </w:tcPr>
          <w:p w14:paraId="703BF40B">
            <w:pPr>
              <w:spacing w:line="360" w:lineRule="auto"/>
              <w:rPr>
                <w:rFonts w:ascii="宋体" w:hAnsi="宋体"/>
                <w:color w:val="auto"/>
                <w:sz w:val="24"/>
                <w:highlight w:val="none"/>
              </w:rPr>
            </w:pPr>
          </w:p>
        </w:tc>
        <w:tc>
          <w:tcPr>
            <w:tcW w:w="1276" w:type="dxa"/>
          </w:tcPr>
          <w:p w14:paraId="5AFD67D1">
            <w:pPr>
              <w:spacing w:line="360" w:lineRule="auto"/>
              <w:rPr>
                <w:rFonts w:ascii="宋体" w:hAnsi="宋体"/>
                <w:color w:val="auto"/>
                <w:sz w:val="24"/>
                <w:highlight w:val="none"/>
              </w:rPr>
            </w:pPr>
          </w:p>
        </w:tc>
        <w:tc>
          <w:tcPr>
            <w:tcW w:w="1701" w:type="dxa"/>
          </w:tcPr>
          <w:p w14:paraId="4BB7A630">
            <w:pPr>
              <w:spacing w:line="360" w:lineRule="auto"/>
              <w:rPr>
                <w:rFonts w:ascii="宋体" w:hAnsi="宋体"/>
                <w:color w:val="auto"/>
                <w:sz w:val="24"/>
                <w:highlight w:val="none"/>
              </w:rPr>
            </w:pPr>
          </w:p>
        </w:tc>
      </w:tr>
      <w:tr w14:paraId="54A6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009996EB">
            <w:pPr>
              <w:spacing w:line="360" w:lineRule="auto"/>
              <w:rPr>
                <w:rFonts w:ascii="宋体" w:hAnsi="宋体"/>
                <w:color w:val="auto"/>
                <w:sz w:val="24"/>
                <w:highlight w:val="none"/>
              </w:rPr>
            </w:pPr>
          </w:p>
        </w:tc>
        <w:tc>
          <w:tcPr>
            <w:tcW w:w="3533" w:type="dxa"/>
          </w:tcPr>
          <w:p w14:paraId="1F68BB9D">
            <w:pPr>
              <w:spacing w:line="360" w:lineRule="auto"/>
              <w:jc w:val="left"/>
              <w:rPr>
                <w:rFonts w:ascii="宋体" w:hAnsi="宋体"/>
                <w:color w:val="auto"/>
                <w:sz w:val="24"/>
                <w:highlight w:val="none"/>
              </w:rPr>
            </w:pPr>
          </w:p>
        </w:tc>
        <w:tc>
          <w:tcPr>
            <w:tcW w:w="2268" w:type="dxa"/>
          </w:tcPr>
          <w:p w14:paraId="23949A2D">
            <w:pPr>
              <w:spacing w:line="360" w:lineRule="auto"/>
              <w:rPr>
                <w:rFonts w:ascii="宋体" w:hAnsi="宋体"/>
                <w:color w:val="auto"/>
                <w:sz w:val="24"/>
                <w:highlight w:val="none"/>
              </w:rPr>
            </w:pPr>
          </w:p>
        </w:tc>
        <w:tc>
          <w:tcPr>
            <w:tcW w:w="1276" w:type="dxa"/>
          </w:tcPr>
          <w:p w14:paraId="267E2FFD">
            <w:pPr>
              <w:spacing w:line="360" w:lineRule="auto"/>
              <w:rPr>
                <w:rFonts w:ascii="宋体" w:hAnsi="宋体"/>
                <w:color w:val="auto"/>
                <w:sz w:val="24"/>
                <w:highlight w:val="none"/>
              </w:rPr>
            </w:pPr>
          </w:p>
        </w:tc>
        <w:tc>
          <w:tcPr>
            <w:tcW w:w="1701" w:type="dxa"/>
          </w:tcPr>
          <w:p w14:paraId="60F5B6F7">
            <w:pPr>
              <w:spacing w:line="360" w:lineRule="auto"/>
              <w:rPr>
                <w:rFonts w:ascii="宋体" w:hAnsi="宋体"/>
                <w:color w:val="auto"/>
                <w:sz w:val="24"/>
                <w:highlight w:val="none"/>
              </w:rPr>
            </w:pPr>
          </w:p>
        </w:tc>
      </w:tr>
      <w:tr w14:paraId="5BC2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restart"/>
            <w:vAlign w:val="center"/>
          </w:tcPr>
          <w:p w14:paraId="78959B8F">
            <w:pPr>
              <w:spacing w:line="360" w:lineRule="auto"/>
              <w:jc w:val="center"/>
              <w:rPr>
                <w:rFonts w:ascii="宋体" w:hAnsi="宋体"/>
                <w:color w:val="auto"/>
                <w:sz w:val="24"/>
                <w:highlight w:val="none"/>
              </w:rPr>
            </w:pPr>
            <w:r>
              <w:rPr>
                <w:rFonts w:hint="eastAsia" w:ascii="宋体" w:hAnsi="宋体"/>
                <w:color w:val="auto"/>
                <w:sz w:val="24"/>
                <w:highlight w:val="none"/>
              </w:rPr>
              <w:t>商务、资信及其他</w:t>
            </w:r>
          </w:p>
          <w:p w14:paraId="0B8970F4">
            <w:pPr>
              <w:spacing w:line="360" w:lineRule="auto"/>
              <w:jc w:val="center"/>
              <w:rPr>
                <w:rFonts w:ascii="宋体" w:hAnsi="宋体"/>
                <w:color w:val="auto"/>
                <w:sz w:val="24"/>
                <w:highlight w:val="none"/>
              </w:rPr>
            </w:pPr>
            <w:r>
              <w:rPr>
                <w:rFonts w:hint="eastAsia" w:ascii="宋体" w:hAnsi="宋体"/>
                <w:color w:val="auto"/>
                <w:sz w:val="24"/>
                <w:highlight w:val="none"/>
              </w:rPr>
              <w:t>13分</w:t>
            </w:r>
          </w:p>
        </w:tc>
        <w:tc>
          <w:tcPr>
            <w:tcW w:w="3533" w:type="dxa"/>
          </w:tcPr>
          <w:p w14:paraId="39E08E04">
            <w:pPr>
              <w:spacing w:line="360" w:lineRule="auto"/>
              <w:jc w:val="left"/>
              <w:rPr>
                <w:rFonts w:ascii="宋体" w:hAnsi="宋体"/>
                <w:color w:val="auto"/>
                <w:sz w:val="24"/>
                <w:highlight w:val="none"/>
              </w:rPr>
            </w:pPr>
          </w:p>
        </w:tc>
        <w:tc>
          <w:tcPr>
            <w:tcW w:w="2268" w:type="dxa"/>
          </w:tcPr>
          <w:p w14:paraId="77AD5D98">
            <w:pPr>
              <w:spacing w:line="360" w:lineRule="auto"/>
              <w:rPr>
                <w:rFonts w:ascii="宋体" w:hAnsi="宋体"/>
                <w:color w:val="auto"/>
                <w:sz w:val="24"/>
                <w:highlight w:val="none"/>
              </w:rPr>
            </w:pPr>
          </w:p>
        </w:tc>
        <w:tc>
          <w:tcPr>
            <w:tcW w:w="1276" w:type="dxa"/>
          </w:tcPr>
          <w:p w14:paraId="0FFB1B81">
            <w:pPr>
              <w:spacing w:line="360" w:lineRule="auto"/>
              <w:rPr>
                <w:rFonts w:ascii="宋体" w:hAnsi="宋体"/>
                <w:color w:val="auto"/>
                <w:sz w:val="24"/>
                <w:highlight w:val="none"/>
              </w:rPr>
            </w:pPr>
          </w:p>
        </w:tc>
        <w:tc>
          <w:tcPr>
            <w:tcW w:w="1701" w:type="dxa"/>
          </w:tcPr>
          <w:p w14:paraId="380C6F12">
            <w:pPr>
              <w:spacing w:line="360" w:lineRule="auto"/>
              <w:rPr>
                <w:rFonts w:ascii="宋体" w:hAnsi="宋体"/>
                <w:color w:val="auto"/>
                <w:sz w:val="24"/>
                <w:highlight w:val="none"/>
              </w:rPr>
            </w:pPr>
          </w:p>
        </w:tc>
      </w:tr>
      <w:tr w14:paraId="1327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14:paraId="17C41F45">
            <w:pPr>
              <w:spacing w:line="360" w:lineRule="auto"/>
              <w:jc w:val="center"/>
              <w:rPr>
                <w:rFonts w:ascii="宋体" w:hAnsi="宋体"/>
                <w:color w:val="auto"/>
                <w:sz w:val="24"/>
                <w:highlight w:val="none"/>
              </w:rPr>
            </w:pPr>
          </w:p>
        </w:tc>
        <w:tc>
          <w:tcPr>
            <w:tcW w:w="3533" w:type="dxa"/>
          </w:tcPr>
          <w:p w14:paraId="13EA1718">
            <w:pPr>
              <w:spacing w:line="360" w:lineRule="auto"/>
              <w:jc w:val="left"/>
              <w:rPr>
                <w:rFonts w:ascii="宋体" w:hAnsi="宋体"/>
                <w:color w:val="auto"/>
                <w:sz w:val="24"/>
                <w:highlight w:val="none"/>
              </w:rPr>
            </w:pPr>
          </w:p>
        </w:tc>
        <w:tc>
          <w:tcPr>
            <w:tcW w:w="2268" w:type="dxa"/>
          </w:tcPr>
          <w:p w14:paraId="571F9B16">
            <w:pPr>
              <w:spacing w:line="360" w:lineRule="auto"/>
              <w:rPr>
                <w:rFonts w:ascii="宋体" w:hAnsi="宋体"/>
                <w:color w:val="auto"/>
                <w:sz w:val="24"/>
                <w:highlight w:val="none"/>
              </w:rPr>
            </w:pPr>
          </w:p>
        </w:tc>
        <w:tc>
          <w:tcPr>
            <w:tcW w:w="1276" w:type="dxa"/>
          </w:tcPr>
          <w:p w14:paraId="4FB79B46">
            <w:pPr>
              <w:spacing w:line="360" w:lineRule="auto"/>
              <w:rPr>
                <w:rFonts w:ascii="宋体" w:hAnsi="宋体"/>
                <w:color w:val="auto"/>
                <w:sz w:val="24"/>
                <w:highlight w:val="none"/>
              </w:rPr>
            </w:pPr>
          </w:p>
        </w:tc>
        <w:tc>
          <w:tcPr>
            <w:tcW w:w="1701" w:type="dxa"/>
          </w:tcPr>
          <w:p w14:paraId="5D477C1B">
            <w:pPr>
              <w:spacing w:line="360" w:lineRule="auto"/>
              <w:rPr>
                <w:rFonts w:ascii="宋体" w:hAnsi="宋体"/>
                <w:color w:val="auto"/>
                <w:sz w:val="24"/>
                <w:highlight w:val="none"/>
              </w:rPr>
            </w:pPr>
          </w:p>
        </w:tc>
      </w:tr>
      <w:tr w14:paraId="4712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14:paraId="508A5B59">
            <w:pPr>
              <w:spacing w:line="360" w:lineRule="auto"/>
              <w:jc w:val="center"/>
              <w:rPr>
                <w:rFonts w:ascii="宋体" w:hAnsi="宋体"/>
                <w:color w:val="auto"/>
                <w:sz w:val="24"/>
                <w:highlight w:val="none"/>
              </w:rPr>
            </w:pPr>
          </w:p>
        </w:tc>
        <w:tc>
          <w:tcPr>
            <w:tcW w:w="3533" w:type="dxa"/>
          </w:tcPr>
          <w:p w14:paraId="353B79DB">
            <w:pPr>
              <w:spacing w:line="360" w:lineRule="auto"/>
              <w:jc w:val="left"/>
              <w:rPr>
                <w:rFonts w:ascii="宋体" w:hAnsi="宋体"/>
                <w:color w:val="auto"/>
                <w:sz w:val="24"/>
                <w:highlight w:val="none"/>
              </w:rPr>
            </w:pPr>
          </w:p>
        </w:tc>
        <w:tc>
          <w:tcPr>
            <w:tcW w:w="2268" w:type="dxa"/>
          </w:tcPr>
          <w:p w14:paraId="1E162068">
            <w:pPr>
              <w:spacing w:line="360" w:lineRule="auto"/>
              <w:rPr>
                <w:rFonts w:ascii="宋体" w:hAnsi="宋体"/>
                <w:color w:val="auto"/>
                <w:sz w:val="24"/>
                <w:highlight w:val="none"/>
              </w:rPr>
            </w:pPr>
          </w:p>
        </w:tc>
        <w:tc>
          <w:tcPr>
            <w:tcW w:w="1276" w:type="dxa"/>
          </w:tcPr>
          <w:p w14:paraId="76C1B6D7">
            <w:pPr>
              <w:spacing w:line="360" w:lineRule="auto"/>
              <w:rPr>
                <w:rFonts w:ascii="宋体" w:hAnsi="宋体"/>
                <w:color w:val="auto"/>
                <w:sz w:val="24"/>
                <w:highlight w:val="none"/>
              </w:rPr>
            </w:pPr>
          </w:p>
        </w:tc>
        <w:tc>
          <w:tcPr>
            <w:tcW w:w="1701" w:type="dxa"/>
          </w:tcPr>
          <w:p w14:paraId="3E059E8D">
            <w:pPr>
              <w:spacing w:line="360" w:lineRule="auto"/>
              <w:rPr>
                <w:rFonts w:ascii="宋体" w:hAnsi="宋体"/>
                <w:color w:val="auto"/>
                <w:sz w:val="24"/>
                <w:highlight w:val="none"/>
              </w:rPr>
            </w:pPr>
          </w:p>
        </w:tc>
      </w:tr>
      <w:tr w14:paraId="2F909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14:paraId="7F9EB233">
            <w:pPr>
              <w:spacing w:line="360" w:lineRule="auto"/>
              <w:jc w:val="center"/>
              <w:rPr>
                <w:rFonts w:ascii="宋体" w:hAnsi="宋体"/>
                <w:color w:val="auto"/>
                <w:sz w:val="24"/>
                <w:highlight w:val="none"/>
              </w:rPr>
            </w:pPr>
          </w:p>
        </w:tc>
        <w:tc>
          <w:tcPr>
            <w:tcW w:w="3533" w:type="dxa"/>
          </w:tcPr>
          <w:p w14:paraId="439F1140">
            <w:pPr>
              <w:spacing w:line="360" w:lineRule="auto"/>
              <w:jc w:val="left"/>
              <w:rPr>
                <w:rFonts w:ascii="宋体" w:hAnsi="宋体"/>
                <w:color w:val="auto"/>
                <w:sz w:val="24"/>
                <w:highlight w:val="none"/>
              </w:rPr>
            </w:pPr>
          </w:p>
        </w:tc>
        <w:tc>
          <w:tcPr>
            <w:tcW w:w="2268" w:type="dxa"/>
          </w:tcPr>
          <w:p w14:paraId="3898F650">
            <w:pPr>
              <w:spacing w:line="360" w:lineRule="auto"/>
              <w:rPr>
                <w:rFonts w:ascii="宋体" w:hAnsi="宋体"/>
                <w:color w:val="auto"/>
                <w:sz w:val="24"/>
                <w:highlight w:val="none"/>
              </w:rPr>
            </w:pPr>
          </w:p>
        </w:tc>
        <w:tc>
          <w:tcPr>
            <w:tcW w:w="1276" w:type="dxa"/>
          </w:tcPr>
          <w:p w14:paraId="717AE417">
            <w:pPr>
              <w:spacing w:line="360" w:lineRule="auto"/>
              <w:rPr>
                <w:rFonts w:ascii="宋体" w:hAnsi="宋体"/>
                <w:color w:val="auto"/>
                <w:sz w:val="24"/>
                <w:highlight w:val="none"/>
              </w:rPr>
            </w:pPr>
          </w:p>
        </w:tc>
        <w:tc>
          <w:tcPr>
            <w:tcW w:w="1701" w:type="dxa"/>
          </w:tcPr>
          <w:p w14:paraId="41F5730A">
            <w:pPr>
              <w:spacing w:line="360" w:lineRule="auto"/>
              <w:rPr>
                <w:rFonts w:ascii="宋体" w:hAnsi="宋体"/>
                <w:color w:val="auto"/>
                <w:sz w:val="24"/>
                <w:highlight w:val="none"/>
              </w:rPr>
            </w:pPr>
          </w:p>
        </w:tc>
      </w:tr>
      <w:tr w14:paraId="493E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023" w:type="dxa"/>
            <w:vMerge w:val="continue"/>
          </w:tcPr>
          <w:p w14:paraId="47A8715A">
            <w:pPr>
              <w:spacing w:line="360" w:lineRule="auto"/>
              <w:rPr>
                <w:rFonts w:ascii="宋体" w:hAnsi="宋体"/>
                <w:color w:val="auto"/>
                <w:sz w:val="24"/>
                <w:highlight w:val="none"/>
              </w:rPr>
            </w:pPr>
          </w:p>
        </w:tc>
        <w:tc>
          <w:tcPr>
            <w:tcW w:w="3533" w:type="dxa"/>
          </w:tcPr>
          <w:p w14:paraId="46F21BCE">
            <w:pPr>
              <w:spacing w:line="360" w:lineRule="auto"/>
              <w:jc w:val="left"/>
              <w:rPr>
                <w:rFonts w:ascii="宋体" w:hAnsi="宋体"/>
                <w:color w:val="auto"/>
                <w:sz w:val="24"/>
                <w:highlight w:val="none"/>
              </w:rPr>
            </w:pPr>
          </w:p>
        </w:tc>
        <w:tc>
          <w:tcPr>
            <w:tcW w:w="2268" w:type="dxa"/>
          </w:tcPr>
          <w:p w14:paraId="5CFC8E04">
            <w:pPr>
              <w:spacing w:line="360" w:lineRule="auto"/>
              <w:rPr>
                <w:rFonts w:ascii="宋体" w:hAnsi="宋体"/>
                <w:color w:val="auto"/>
                <w:sz w:val="24"/>
                <w:highlight w:val="none"/>
              </w:rPr>
            </w:pPr>
          </w:p>
        </w:tc>
        <w:tc>
          <w:tcPr>
            <w:tcW w:w="1276" w:type="dxa"/>
          </w:tcPr>
          <w:p w14:paraId="66340900">
            <w:pPr>
              <w:spacing w:line="360" w:lineRule="auto"/>
              <w:rPr>
                <w:rFonts w:ascii="宋体" w:hAnsi="宋体"/>
                <w:color w:val="auto"/>
                <w:sz w:val="24"/>
                <w:highlight w:val="none"/>
              </w:rPr>
            </w:pPr>
          </w:p>
        </w:tc>
        <w:tc>
          <w:tcPr>
            <w:tcW w:w="1701" w:type="dxa"/>
          </w:tcPr>
          <w:p w14:paraId="32AD544F">
            <w:pPr>
              <w:spacing w:line="360" w:lineRule="auto"/>
              <w:rPr>
                <w:rFonts w:ascii="宋体" w:hAnsi="宋体"/>
                <w:color w:val="auto"/>
                <w:sz w:val="24"/>
                <w:highlight w:val="none"/>
              </w:rPr>
            </w:pPr>
          </w:p>
        </w:tc>
      </w:tr>
      <w:tr w14:paraId="0FCD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556" w:type="dxa"/>
            <w:gridSpan w:val="2"/>
            <w:vAlign w:val="center"/>
          </w:tcPr>
          <w:p w14:paraId="5D7B33C6">
            <w:pPr>
              <w:spacing w:line="360" w:lineRule="auto"/>
              <w:jc w:val="center"/>
              <w:rPr>
                <w:rFonts w:ascii="宋体" w:hAnsi="宋体"/>
                <w:color w:val="auto"/>
                <w:sz w:val="24"/>
                <w:highlight w:val="none"/>
              </w:rPr>
            </w:pPr>
            <w:r>
              <w:rPr>
                <w:rFonts w:hint="eastAsia" w:ascii="宋体" w:hAnsi="宋体"/>
                <w:color w:val="auto"/>
                <w:sz w:val="24"/>
                <w:highlight w:val="none"/>
              </w:rPr>
              <w:t>总分</w:t>
            </w:r>
          </w:p>
        </w:tc>
        <w:tc>
          <w:tcPr>
            <w:tcW w:w="2268" w:type="dxa"/>
          </w:tcPr>
          <w:p w14:paraId="028E890A">
            <w:pPr>
              <w:spacing w:line="360" w:lineRule="auto"/>
              <w:rPr>
                <w:rFonts w:ascii="宋体" w:hAnsi="宋体"/>
                <w:color w:val="auto"/>
                <w:sz w:val="24"/>
                <w:highlight w:val="none"/>
              </w:rPr>
            </w:pPr>
          </w:p>
        </w:tc>
        <w:tc>
          <w:tcPr>
            <w:tcW w:w="2977" w:type="dxa"/>
            <w:gridSpan w:val="2"/>
          </w:tcPr>
          <w:p w14:paraId="64449EB0">
            <w:pPr>
              <w:spacing w:line="360" w:lineRule="auto"/>
              <w:rPr>
                <w:rFonts w:ascii="宋体" w:hAnsi="宋体"/>
                <w:color w:val="auto"/>
                <w:sz w:val="24"/>
                <w:highlight w:val="none"/>
              </w:rPr>
            </w:pPr>
          </w:p>
        </w:tc>
      </w:tr>
    </w:tbl>
    <w:p w14:paraId="35AC92FC">
      <w:pPr>
        <w:snapToGrid w:val="0"/>
        <w:spacing w:line="360" w:lineRule="auto"/>
        <w:jc w:val="center"/>
        <w:rPr>
          <w:rFonts w:ascii="宋体" w:hAnsi="宋体"/>
          <w:color w:val="auto"/>
          <w:sz w:val="30"/>
          <w:szCs w:val="20"/>
          <w:highlight w:val="none"/>
        </w:rPr>
      </w:pPr>
      <w:r>
        <w:rPr>
          <w:rFonts w:hint="eastAsia" w:ascii="宋体" w:hAnsi="宋体"/>
          <w:color w:val="auto"/>
          <w:sz w:val="24"/>
          <w:highlight w:val="none"/>
        </w:rPr>
        <w:t>三、报价文件格式</w:t>
      </w:r>
    </w:p>
    <w:p w14:paraId="65006FC7">
      <w:pPr>
        <w:snapToGrid w:val="0"/>
        <w:spacing w:line="360" w:lineRule="auto"/>
        <w:rPr>
          <w:rFonts w:ascii="宋体" w:hAnsi="宋体"/>
          <w:color w:val="auto"/>
          <w:sz w:val="24"/>
          <w:szCs w:val="20"/>
          <w:highlight w:val="none"/>
        </w:rPr>
      </w:pPr>
      <w:r>
        <w:rPr>
          <w:rFonts w:hint="eastAsia" w:ascii="宋体" w:hAnsi="宋体"/>
          <w:color w:val="auto"/>
          <w:sz w:val="24"/>
          <w:highlight w:val="none"/>
        </w:rPr>
        <w:t>32.报价文件封面格式：</w:t>
      </w:r>
    </w:p>
    <w:p w14:paraId="1EED177A">
      <w:pPr>
        <w:snapToGrid w:val="0"/>
        <w:spacing w:line="360" w:lineRule="auto"/>
        <w:rPr>
          <w:rFonts w:ascii="宋体" w:hAnsi="宋体"/>
          <w:color w:val="auto"/>
          <w:sz w:val="24"/>
          <w:szCs w:val="20"/>
          <w:highlight w:val="none"/>
        </w:rPr>
      </w:pPr>
    </w:p>
    <w:p w14:paraId="4972BEB1">
      <w:pPr>
        <w:snapToGrid w:val="0"/>
        <w:spacing w:line="360" w:lineRule="auto"/>
        <w:jc w:val="center"/>
        <w:rPr>
          <w:rFonts w:ascii="宋体" w:hAnsi="宋体"/>
          <w:bCs/>
          <w:color w:val="auto"/>
          <w:sz w:val="24"/>
          <w:szCs w:val="20"/>
          <w:highlight w:val="none"/>
        </w:rPr>
      </w:pPr>
    </w:p>
    <w:p w14:paraId="69C96078">
      <w:pPr>
        <w:snapToGrid w:val="0"/>
        <w:spacing w:line="360" w:lineRule="auto"/>
        <w:jc w:val="center"/>
        <w:rPr>
          <w:rFonts w:ascii="宋体" w:hAnsi="宋体"/>
          <w:bCs/>
          <w:color w:val="auto"/>
          <w:sz w:val="24"/>
          <w:szCs w:val="20"/>
          <w:highlight w:val="none"/>
        </w:rPr>
      </w:pPr>
      <w:r>
        <w:rPr>
          <w:rFonts w:hint="eastAsia" w:ascii="宋体" w:hAnsi="宋体"/>
          <w:bCs/>
          <w:color w:val="auto"/>
          <w:sz w:val="24"/>
          <w:highlight w:val="none"/>
        </w:rPr>
        <w:t>报价文件</w:t>
      </w:r>
    </w:p>
    <w:p w14:paraId="1177D740">
      <w:pPr>
        <w:snapToGrid w:val="0"/>
        <w:spacing w:line="360" w:lineRule="auto"/>
        <w:rPr>
          <w:rFonts w:ascii="宋体" w:hAnsi="宋体"/>
          <w:bCs/>
          <w:color w:val="auto"/>
          <w:sz w:val="24"/>
          <w:szCs w:val="20"/>
          <w:highlight w:val="none"/>
        </w:rPr>
      </w:pPr>
    </w:p>
    <w:p w14:paraId="6C7F5DC4">
      <w:pPr>
        <w:snapToGrid w:val="0"/>
        <w:spacing w:line="360" w:lineRule="auto"/>
        <w:ind w:firstLine="960" w:firstLineChars="400"/>
        <w:rPr>
          <w:rFonts w:ascii="宋体" w:hAnsi="宋体"/>
          <w:bCs/>
          <w:color w:val="auto"/>
          <w:sz w:val="24"/>
          <w:highlight w:val="none"/>
        </w:rPr>
      </w:pPr>
      <w:r>
        <w:rPr>
          <w:rFonts w:hint="eastAsia" w:ascii="宋体" w:hAnsi="宋体"/>
          <w:bCs/>
          <w:color w:val="auto"/>
          <w:sz w:val="24"/>
          <w:highlight w:val="none"/>
        </w:rPr>
        <w:t>项目名称：</w:t>
      </w:r>
      <w:r>
        <w:rPr>
          <w:rFonts w:hint="eastAsia" w:ascii="宋体" w:hAnsi="宋体"/>
          <w:color w:val="auto"/>
          <w:spacing w:val="-20"/>
          <w:sz w:val="24"/>
          <w:highlight w:val="none"/>
        </w:rPr>
        <w:t>2025-2028年度吴兴区居家养老服务（照料）中心运营项目</w:t>
      </w:r>
    </w:p>
    <w:p w14:paraId="44E7692B">
      <w:pPr>
        <w:snapToGrid w:val="0"/>
        <w:spacing w:line="360" w:lineRule="auto"/>
        <w:ind w:firstLine="1080" w:firstLineChars="450"/>
        <w:jc w:val="left"/>
        <w:rPr>
          <w:rFonts w:ascii="宋体" w:hAnsi="宋体"/>
          <w:color w:val="auto"/>
          <w:sz w:val="24"/>
          <w:highlight w:val="none"/>
        </w:rPr>
      </w:pPr>
      <w:r>
        <w:rPr>
          <w:rFonts w:hint="eastAsia" w:ascii="宋体" w:hAnsi="宋体"/>
          <w:bCs/>
          <w:color w:val="auto"/>
          <w:sz w:val="24"/>
          <w:highlight w:val="none"/>
        </w:rPr>
        <w:t>项目编号：HYHZ2025-19</w:t>
      </w:r>
    </w:p>
    <w:p w14:paraId="507A89F1">
      <w:pPr>
        <w:snapToGrid w:val="0"/>
        <w:spacing w:line="360" w:lineRule="auto"/>
        <w:ind w:firstLine="1080" w:firstLineChars="450"/>
        <w:rPr>
          <w:color w:val="auto"/>
          <w:sz w:val="24"/>
          <w:highlight w:val="none"/>
        </w:rPr>
      </w:pPr>
      <w:r>
        <w:rPr>
          <w:rFonts w:hint="eastAsia"/>
          <w:color w:val="auto"/>
          <w:sz w:val="24"/>
          <w:highlight w:val="none"/>
        </w:rPr>
        <w:t>投标人名称：</w:t>
      </w:r>
    </w:p>
    <w:p w14:paraId="505BE854">
      <w:pPr>
        <w:pStyle w:val="8"/>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投标人地址：</w:t>
      </w:r>
    </w:p>
    <w:p w14:paraId="12790154">
      <w:pPr>
        <w:pStyle w:val="8"/>
        <w:snapToGrid w:val="0"/>
        <w:spacing w:line="360" w:lineRule="auto"/>
        <w:ind w:firstLine="960" w:firstLineChars="400"/>
        <w:rPr>
          <w:rFonts w:ascii="宋体" w:hAnsi="宋体"/>
          <w:bCs/>
          <w:color w:val="auto"/>
          <w:sz w:val="24"/>
          <w:szCs w:val="24"/>
          <w:highlight w:val="none"/>
        </w:rPr>
      </w:pPr>
    </w:p>
    <w:p w14:paraId="55A10C09">
      <w:pPr>
        <w:pStyle w:val="8"/>
        <w:snapToGrid w:val="0"/>
        <w:spacing w:line="360" w:lineRule="auto"/>
        <w:ind w:firstLine="1497" w:firstLineChars="416"/>
        <w:rPr>
          <w:rFonts w:ascii="宋体" w:hAnsi="宋体"/>
          <w:color w:val="auto"/>
          <w:sz w:val="36"/>
          <w:highlight w:val="none"/>
        </w:rPr>
      </w:pPr>
    </w:p>
    <w:p w14:paraId="6F10CADC">
      <w:pPr>
        <w:snapToGrid w:val="0"/>
        <w:spacing w:line="360" w:lineRule="auto"/>
        <w:ind w:firstLine="4080" w:firstLineChars="1700"/>
        <w:rPr>
          <w:rFonts w:ascii="宋体" w:hAnsi="宋体"/>
          <w:color w:val="auto"/>
          <w:sz w:val="24"/>
          <w:szCs w:val="20"/>
          <w:highlight w:val="none"/>
        </w:rPr>
      </w:pPr>
    </w:p>
    <w:p w14:paraId="2B76CBCF">
      <w:pPr>
        <w:snapToGrid w:val="0"/>
        <w:spacing w:line="360" w:lineRule="auto"/>
        <w:jc w:val="center"/>
        <w:rPr>
          <w:rFonts w:ascii="宋体" w:hAnsi="宋体"/>
          <w:color w:val="auto"/>
          <w:sz w:val="30"/>
          <w:szCs w:val="20"/>
          <w:highlight w:val="none"/>
        </w:rPr>
      </w:pPr>
      <w:r>
        <w:rPr>
          <w:rFonts w:hint="eastAsia" w:ascii="宋体" w:hAnsi="宋体"/>
          <w:color w:val="auto"/>
          <w:sz w:val="24"/>
          <w:highlight w:val="none"/>
        </w:rPr>
        <w:t>年月日</w:t>
      </w:r>
    </w:p>
    <w:p w14:paraId="4142EA6F">
      <w:pPr>
        <w:snapToGrid w:val="0"/>
        <w:spacing w:line="360" w:lineRule="auto"/>
        <w:jc w:val="center"/>
        <w:rPr>
          <w:rFonts w:ascii="宋体" w:hAnsi="宋体"/>
          <w:color w:val="auto"/>
          <w:sz w:val="30"/>
          <w:szCs w:val="20"/>
          <w:highlight w:val="none"/>
        </w:rPr>
      </w:pPr>
    </w:p>
    <w:p w14:paraId="0BE9FD27">
      <w:pPr>
        <w:snapToGrid w:val="0"/>
        <w:spacing w:line="360" w:lineRule="auto"/>
        <w:rPr>
          <w:rFonts w:ascii="宋体" w:hAnsi="宋体"/>
          <w:color w:val="auto"/>
          <w:sz w:val="24"/>
          <w:szCs w:val="20"/>
          <w:highlight w:val="none"/>
        </w:rPr>
      </w:pPr>
      <w:r>
        <w:rPr>
          <w:rFonts w:ascii="宋体" w:hAnsi="宋体"/>
          <w:color w:val="auto"/>
          <w:highlight w:val="none"/>
        </w:rPr>
        <w:br w:type="page"/>
      </w:r>
      <w:r>
        <w:rPr>
          <w:rFonts w:hint="eastAsia" w:ascii="宋体" w:hAnsi="宋体"/>
          <w:color w:val="auto"/>
          <w:sz w:val="24"/>
          <w:highlight w:val="none"/>
        </w:rPr>
        <w:t>33.投标函格式：</w:t>
      </w:r>
    </w:p>
    <w:p w14:paraId="1C084FC6">
      <w:pPr>
        <w:snapToGrid w:val="0"/>
        <w:spacing w:line="360" w:lineRule="auto"/>
        <w:jc w:val="center"/>
        <w:rPr>
          <w:rFonts w:ascii="宋体" w:hAnsi="宋体"/>
          <w:b/>
          <w:color w:val="auto"/>
          <w:sz w:val="24"/>
          <w:szCs w:val="20"/>
          <w:highlight w:val="none"/>
        </w:rPr>
      </w:pPr>
      <w:r>
        <w:rPr>
          <w:rFonts w:hint="eastAsia" w:ascii="宋体" w:hAnsi="宋体"/>
          <w:b/>
          <w:color w:val="auto"/>
          <w:sz w:val="24"/>
          <w:highlight w:val="none"/>
        </w:rPr>
        <w:t>投标函</w:t>
      </w:r>
    </w:p>
    <w:p w14:paraId="763AB2CD">
      <w:pPr>
        <w:snapToGrid w:val="0"/>
        <w:spacing w:line="360" w:lineRule="auto"/>
        <w:rPr>
          <w:rFonts w:ascii="宋体" w:hAnsi="宋体"/>
          <w:color w:val="auto"/>
          <w:sz w:val="24"/>
          <w:szCs w:val="20"/>
          <w:highlight w:val="none"/>
        </w:rPr>
      </w:pPr>
      <w:r>
        <w:rPr>
          <w:rFonts w:hint="eastAsia" w:ascii="宋体" w:hAnsi="宋体"/>
          <w:color w:val="auto"/>
          <w:sz w:val="24"/>
          <w:highlight w:val="none"/>
        </w:rPr>
        <w:t>致：</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（招标采购单位名称）：</w:t>
      </w:r>
    </w:p>
    <w:p w14:paraId="64E00B97">
      <w:pPr>
        <w:snapToGrid w:val="0"/>
        <w:spacing w:line="360" w:lineRule="auto"/>
        <w:ind w:firstLine="480"/>
        <w:rPr>
          <w:rFonts w:ascii="宋体" w:hAnsi="宋体"/>
          <w:color w:val="auto"/>
          <w:sz w:val="24"/>
          <w:szCs w:val="20"/>
          <w:highlight w:val="none"/>
        </w:rPr>
      </w:pPr>
      <w:r>
        <w:rPr>
          <w:rFonts w:hint="eastAsia" w:ascii="宋体" w:hAnsi="宋体"/>
          <w:color w:val="auto"/>
          <w:sz w:val="24"/>
          <w:highlight w:val="none"/>
        </w:rPr>
        <w:t>根据贵方为项目的招标公告</w:t>
      </w:r>
      <w:r>
        <w:rPr>
          <w:rFonts w:ascii="宋体" w:hAnsi="宋体"/>
          <w:color w:val="auto"/>
          <w:sz w:val="24"/>
          <w:highlight w:val="none"/>
        </w:rPr>
        <w:t>/</w:t>
      </w:r>
      <w:r>
        <w:rPr>
          <w:rFonts w:hint="eastAsia" w:ascii="宋体" w:hAnsi="宋体"/>
          <w:color w:val="auto"/>
          <w:sz w:val="24"/>
          <w:highlight w:val="none"/>
        </w:rPr>
        <w:t>投标邀请书</w:t>
      </w:r>
    </w:p>
    <w:p w14:paraId="5FA3DEC0">
      <w:pPr>
        <w:snapToGrid w:val="0"/>
        <w:spacing w:line="360" w:lineRule="auto"/>
        <w:rPr>
          <w:rFonts w:ascii="宋体" w:hAnsi="宋体"/>
          <w:color w:val="auto"/>
          <w:sz w:val="24"/>
          <w:szCs w:val="20"/>
          <w:highlight w:val="none"/>
        </w:rPr>
      </w:pPr>
      <w:r>
        <w:rPr>
          <w:rFonts w:hint="eastAsia" w:ascii="宋体" w:hAnsi="宋体"/>
          <w:color w:val="auto"/>
          <w:sz w:val="24"/>
          <w:highlight w:val="none"/>
        </w:rPr>
        <w:t>（项目编号：</w:t>
      </w:r>
      <w:r>
        <w:rPr>
          <w:rFonts w:ascii="宋体" w:hAnsi="宋体"/>
          <w:color w:val="auto"/>
          <w:sz w:val="24"/>
          <w:highlight w:val="none"/>
        </w:rPr>
        <w:t>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），签字代表</w:t>
      </w:r>
      <w:r>
        <w:rPr>
          <w:rFonts w:ascii="宋体" w:hAnsi="宋体"/>
          <w:color w:val="auto"/>
          <w:sz w:val="24"/>
          <w:highlight w:val="none"/>
        </w:rPr>
        <w:t>______</w:t>
      </w:r>
      <w:r>
        <w:rPr>
          <w:rFonts w:ascii="宋体" w:hAnsi="宋体"/>
          <w:color w:val="auto"/>
          <w:sz w:val="24"/>
          <w:highlight w:val="none"/>
          <w:u w:val="single"/>
        </w:rPr>
        <w:t xml:space="preserve">_     </w:t>
      </w:r>
      <w:r>
        <w:rPr>
          <w:rFonts w:hint="eastAsia" w:ascii="宋体" w:hAnsi="宋体"/>
          <w:color w:val="auto"/>
          <w:sz w:val="24"/>
          <w:highlight w:val="none"/>
        </w:rPr>
        <w:t>（全名）经正式授权并代表投标人</w:t>
      </w:r>
      <w:r>
        <w:rPr>
          <w:rFonts w:ascii="宋体" w:hAnsi="宋体"/>
          <w:color w:val="auto"/>
          <w:sz w:val="24"/>
          <w:highlight w:val="none"/>
        </w:rPr>
        <w:t>_____</w:t>
      </w:r>
      <w:r>
        <w:rPr>
          <w:rFonts w:ascii="宋体" w:hAnsi="宋体"/>
          <w:color w:val="auto"/>
          <w:sz w:val="24"/>
          <w:highlight w:val="none"/>
          <w:u w:val="single"/>
        </w:rPr>
        <w:t>__                    __</w:t>
      </w:r>
      <w:r>
        <w:rPr>
          <w:rFonts w:hint="eastAsia" w:ascii="宋体" w:hAnsi="宋体"/>
          <w:color w:val="auto"/>
          <w:sz w:val="24"/>
          <w:highlight w:val="none"/>
        </w:rPr>
        <w:t>（投标人名称）提交资格文件、技术/资信/商务文件</w:t>
      </w:r>
      <w:r>
        <w:rPr>
          <w:rFonts w:hint="eastAsia" w:ascii="宋体" w:hAnsi="宋体" w:cs="Arial"/>
          <w:color w:val="auto"/>
          <w:sz w:val="24"/>
          <w:highlight w:val="none"/>
        </w:rPr>
        <w:t>、</w:t>
      </w:r>
      <w:r>
        <w:rPr>
          <w:rFonts w:hint="eastAsia" w:ascii="宋体" w:hAnsi="宋体"/>
          <w:color w:val="auto"/>
          <w:sz w:val="24"/>
          <w:highlight w:val="none"/>
        </w:rPr>
        <w:t>投标报价文件各一份。</w:t>
      </w:r>
    </w:p>
    <w:p w14:paraId="6B96AAA7">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据此函，签字代表宣布同意如下：</w:t>
      </w:r>
    </w:p>
    <w:p w14:paraId="7DEE223E">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.投标人已详细审查全部“招标文件”，包括修改文件（如有的话）以及全部参考资料和有关附件，已经了解我方对于招标文件、采购过程、采购结果有依法进行询问、质疑、投诉的权利及相关渠道和要求。</w:t>
      </w:r>
    </w:p>
    <w:p w14:paraId="38E81B94">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.投标人在投标之前已经与贵方进行了充分的沟通，完全理解并接受招标文件的各项规定和要求，对招标文件的合理性、合法性不再有异议。</w:t>
      </w:r>
    </w:p>
    <w:p w14:paraId="36B92D57">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.本投标有效期自开标日起</w:t>
      </w:r>
      <w:r>
        <w:rPr>
          <w:rFonts w:ascii="宋体" w:hAnsi="宋体"/>
          <w:color w:val="auto"/>
          <w:sz w:val="24"/>
          <w:highlight w:val="none"/>
        </w:rPr>
        <w:t xml:space="preserve"> ______</w:t>
      </w:r>
      <w:r>
        <w:rPr>
          <w:rFonts w:hint="eastAsia" w:ascii="宋体" w:hAnsi="宋体"/>
          <w:color w:val="auto"/>
          <w:sz w:val="24"/>
          <w:highlight w:val="none"/>
        </w:rPr>
        <w:t>个日。</w:t>
      </w:r>
    </w:p>
    <w:p w14:paraId="6BF17AA0">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.如中标，本投标文件至本项目合同履行完毕止均保持有效，本投标人将按“招标文件”及政府采购法律、法规的规定履行合同责任和义务。</w:t>
      </w:r>
    </w:p>
    <w:p w14:paraId="3915145A">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.投标人同意按照贵方要求提供与投标有关的一切数据或资料。</w:t>
      </w:r>
    </w:p>
    <w:p w14:paraId="70337C1E">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6</w:t>
      </w:r>
      <w:r>
        <w:rPr>
          <w:rFonts w:hint="eastAsia" w:ascii="宋体" w:hAnsi="宋体"/>
          <w:color w:val="auto"/>
          <w:sz w:val="24"/>
          <w:highlight w:val="none"/>
        </w:rPr>
        <w:t>.与本投标有关的一切正式往来信函请寄：</w:t>
      </w:r>
    </w:p>
    <w:p w14:paraId="1783F747">
      <w:pPr>
        <w:snapToGrid w:val="0"/>
        <w:spacing w:line="360" w:lineRule="auto"/>
        <w:rPr>
          <w:rFonts w:ascii="宋体" w:hAnsi="宋体"/>
          <w:color w:val="auto"/>
          <w:sz w:val="24"/>
          <w:szCs w:val="20"/>
          <w:highlight w:val="none"/>
        </w:rPr>
      </w:pPr>
      <w:r>
        <w:rPr>
          <w:rFonts w:hint="eastAsia" w:ascii="宋体" w:hAnsi="宋体"/>
          <w:color w:val="auto"/>
          <w:sz w:val="24"/>
          <w:highlight w:val="none"/>
        </w:rPr>
        <w:t>地址：</w:t>
      </w:r>
      <w:r>
        <w:rPr>
          <w:rFonts w:ascii="宋体" w:hAnsi="宋体"/>
          <w:color w:val="auto"/>
          <w:sz w:val="24"/>
          <w:highlight w:val="none"/>
        </w:rPr>
        <w:t>__________</w:t>
      </w:r>
      <w:r>
        <w:rPr>
          <w:rFonts w:ascii="宋体" w:hAnsi="宋体"/>
          <w:color w:val="auto"/>
          <w:sz w:val="24"/>
          <w:highlight w:val="none"/>
          <w:u w:val="single"/>
        </w:rPr>
        <w:t xml:space="preserve">        _</w:t>
      </w:r>
      <w:r>
        <w:rPr>
          <w:rFonts w:ascii="宋体" w:hAnsi="宋体"/>
          <w:color w:val="auto"/>
          <w:sz w:val="24"/>
          <w:highlight w:val="none"/>
        </w:rPr>
        <w:t>____</w:t>
      </w:r>
      <w:r>
        <w:rPr>
          <w:rFonts w:hint="eastAsia" w:ascii="宋体" w:hAnsi="宋体"/>
          <w:color w:val="auto"/>
          <w:sz w:val="24"/>
          <w:highlight w:val="none"/>
        </w:rPr>
        <w:t>邮编：</w:t>
      </w:r>
      <w:r>
        <w:rPr>
          <w:rFonts w:ascii="宋体" w:hAnsi="宋体"/>
          <w:color w:val="auto"/>
          <w:sz w:val="24"/>
          <w:highlight w:val="none"/>
        </w:rPr>
        <w:t xml:space="preserve">__________   </w:t>
      </w:r>
      <w:r>
        <w:rPr>
          <w:rFonts w:hint="eastAsia" w:ascii="宋体" w:hAnsi="宋体"/>
          <w:color w:val="auto"/>
          <w:sz w:val="24"/>
          <w:highlight w:val="none"/>
        </w:rPr>
        <w:t>电话：</w:t>
      </w:r>
      <w:r>
        <w:rPr>
          <w:rFonts w:ascii="宋体" w:hAnsi="宋体"/>
          <w:color w:val="auto"/>
          <w:sz w:val="24"/>
          <w:highlight w:val="none"/>
        </w:rPr>
        <w:t>______________</w:t>
      </w:r>
    </w:p>
    <w:p w14:paraId="55E686E6">
      <w:pPr>
        <w:snapToGrid w:val="0"/>
        <w:spacing w:line="360" w:lineRule="auto"/>
        <w:rPr>
          <w:rFonts w:ascii="宋体" w:hAnsi="宋体"/>
          <w:color w:val="auto"/>
          <w:sz w:val="24"/>
          <w:szCs w:val="20"/>
          <w:highlight w:val="none"/>
        </w:rPr>
      </w:pPr>
      <w:r>
        <w:rPr>
          <w:rFonts w:hint="eastAsia" w:ascii="宋体" w:hAnsi="宋体"/>
          <w:color w:val="auto"/>
          <w:sz w:val="24"/>
          <w:highlight w:val="none"/>
        </w:rPr>
        <w:t>传真：</w:t>
      </w:r>
      <w:r>
        <w:rPr>
          <w:rFonts w:ascii="宋体" w:hAnsi="宋体"/>
          <w:color w:val="auto"/>
          <w:sz w:val="24"/>
          <w:highlight w:val="none"/>
        </w:rPr>
        <w:t>______________</w:t>
      </w:r>
      <w:r>
        <w:rPr>
          <w:rFonts w:hint="eastAsia" w:ascii="宋体" w:hAnsi="宋体"/>
          <w:color w:val="auto"/>
          <w:sz w:val="24"/>
          <w:highlight w:val="none"/>
        </w:rPr>
        <w:t>投标人代表姓名</w:t>
      </w:r>
      <w:r>
        <w:rPr>
          <w:rFonts w:ascii="宋体" w:hAnsi="宋体"/>
          <w:color w:val="auto"/>
          <w:sz w:val="24"/>
          <w:highlight w:val="none"/>
        </w:rPr>
        <w:t xml:space="preserve"> ___________  </w:t>
      </w:r>
      <w:r>
        <w:rPr>
          <w:rFonts w:hint="eastAsia" w:ascii="宋体" w:hAnsi="宋体"/>
          <w:color w:val="auto"/>
          <w:sz w:val="24"/>
          <w:highlight w:val="none"/>
        </w:rPr>
        <w:t>职务：</w:t>
      </w:r>
      <w:r>
        <w:rPr>
          <w:rFonts w:ascii="宋体" w:hAnsi="宋体"/>
          <w:color w:val="auto"/>
          <w:sz w:val="24"/>
          <w:highlight w:val="none"/>
        </w:rPr>
        <w:t>_____________</w:t>
      </w:r>
    </w:p>
    <w:p w14:paraId="6ED9F7D1">
      <w:pPr>
        <w:snapToGrid w:val="0"/>
        <w:spacing w:line="360" w:lineRule="auto"/>
        <w:rPr>
          <w:rFonts w:ascii="宋体" w:hAnsi="宋体"/>
          <w:color w:val="auto"/>
          <w:sz w:val="24"/>
          <w:szCs w:val="20"/>
          <w:highlight w:val="none"/>
        </w:rPr>
      </w:pPr>
      <w:r>
        <w:rPr>
          <w:rFonts w:hint="eastAsia" w:ascii="宋体" w:hAnsi="宋体"/>
          <w:color w:val="auto"/>
          <w:sz w:val="24"/>
          <w:highlight w:val="none"/>
        </w:rPr>
        <w:t>投标人名称（公章</w:t>
      </w:r>
      <w:r>
        <w:rPr>
          <w:rFonts w:ascii="宋体" w:hAnsi="宋体"/>
          <w:color w:val="auto"/>
          <w:sz w:val="24"/>
          <w:highlight w:val="none"/>
        </w:rPr>
        <w:t>):___________________</w:t>
      </w:r>
    </w:p>
    <w:p w14:paraId="577B94A4">
      <w:pPr>
        <w:snapToGrid w:val="0"/>
        <w:spacing w:line="360" w:lineRule="auto"/>
        <w:rPr>
          <w:rFonts w:ascii="宋体" w:hAnsi="宋体"/>
          <w:color w:val="auto"/>
          <w:sz w:val="24"/>
          <w:szCs w:val="20"/>
          <w:highlight w:val="none"/>
        </w:rPr>
      </w:pPr>
      <w:r>
        <w:rPr>
          <w:rFonts w:hint="eastAsia" w:ascii="宋体" w:hAnsi="宋体"/>
          <w:color w:val="auto"/>
          <w:sz w:val="24"/>
          <w:highlight w:val="none"/>
        </w:rPr>
        <w:t>开户银行：银行账号：</w:t>
      </w:r>
    </w:p>
    <w:p w14:paraId="270EBE7A">
      <w:pPr>
        <w:snapToGrid w:val="0"/>
        <w:spacing w:line="360" w:lineRule="auto"/>
        <w:rPr>
          <w:rFonts w:ascii="宋体" w:hAnsi="宋体"/>
          <w:color w:val="auto"/>
          <w:sz w:val="30"/>
          <w:szCs w:val="20"/>
          <w:highlight w:val="none"/>
        </w:rPr>
      </w:pPr>
      <w:r>
        <w:rPr>
          <w:rFonts w:hint="eastAsia" w:ascii="宋体" w:hAnsi="宋体"/>
          <w:color w:val="auto"/>
          <w:sz w:val="24"/>
          <w:highlight w:val="none"/>
        </w:rPr>
        <w:t>法定代表人签字：</w:t>
      </w:r>
      <w:r>
        <w:rPr>
          <w:rFonts w:ascii="宋体" w:hAnsi="宋体"/>
          <w:color w:val="auto"/>
          <w:sz w:val="24"/>
          <w:highlight w:val="none"/>
        </w:rPr>
        <w:t xml:space="preserve">___________                      </w:t>
      </w:r>
      <w:r>
        <w:rPr>
          <w:rFonts w:hint="eastAsia" w:ascii="宋体" w:hAnsi="宋体"/>
          <w:color w:val="auto"/>
          <w:sz w:val="24"/>
          <w:highlight w:val="none"/>
        </w:rPr>
        <w:t>日期：</w:t>
      </w:r>
      <w:r>
        <w:rPr>
          <w:rFonts w:ascii="宋体" w:hAnsi="宋体"/>
          <w:color w:val="auto"/>
          <w:sz w:val="24"/>
          <w:highlight w:val="none"/>
        </w:rPr>
        <w:t>_____</w:t>
      </w:r>
      <w:r>
        <w:rPr>
          <w:rFonts w:hint="eastAsia" w:ascii="宋体" w:hAnsi="宋体"/>
          <w:color w:val="auto"/>
          <w:sz w:val="24"/>
          <w:highlight w:val="none"/>
        </w:rPr>
        <w:t>年</w:t>
      </w:r>
      <w:r>
        <w:rPr>
          <w:rFonts w:ascii="宋体" w:hAnsi="宋体"/>
          <w:color w:val="auto"/>
          <w:sz w:val="24"/>
          <w:highlight w:val="none"/>
        </w:rPr>
        <w:t>___</w:t>
      </w:r>
      <w:r>
        <w:rPr>
          <w:rFonts w:hint="eastAsia" w:ascii="宋体" w:hAnsi="宋体"/>
          <w:color w:val="auto"/>
          <w:sz w:val="24"/>
          <w:highlight w:val="none"/>
        </w:rPr>
        <w:t>月</w:t>
      </w:r>
      <w:r>
        <w:rPr>
          <w:rFonts w:ascii="宋体" w:hAnsi="宋体"/>
          <w:color w:val="auto"/>
          <w:sz w:val="24"/>
          <w:highlight w:val="none"/>
        </w:rPr>
        <w:t>___</w:t>
      </w:r>
      <w:r>
        <w:rPr>
          <w:rFonts w:hint="eastAsia" w:ascii="宋体" w:hAnsi="宋体"/>
          <w:color w:val="auto"/>
          <w:sz w:val="24"/>
          <w:highlight w:val="none"/>
        </w:rPr>
        <w:t>日</w:t>
      </w:r>
    </w:p>
    <w:p w14:paraId="7457D83B">
      <w:pPr>
        <w:pStyle w:val="13"/>
        <w:snapToGrid w:val="0"/>
        <w:spacing w:beforeLines="0" w:afterLines="0" w:line="360" w:lineRule="auto"/>
        <w:rPr>
          <w:rFonts w:hAnsi="宋体"/>
          <w:color w:val="auto"/>
          <w:highlight w:val="none"/>
        </w:rPr>
      </w:pPr>
    </w:p>
    <w:p w14:paraId="04AFCC50">
      <w:pPr>
        <w:snapToGrid w:val="0"/>
        <w:spacing w:line="360" w:lineRule="auto"/>
        <w:jc w:val="left"/>
        <w:rPr>
          <w:rFonts w:hAnsi="宋体" w:cs="仿宋"/>
          <w:color w:val="auto"/>
          <w:highlight w:val="none"/>
        </w:rPr>
      </w:pPr>
      <w:r>
        <w:rPr>
          <w:rFonts w:hAnsi="宋体"/>
          <w:color w:val="auto"/>
          <w:highlight w:val="none"/>
        </w:rPr>
        <w:br w:type="page"/>
      </w:r>
    </w:p>
    <w:p w14:paraId="07B0E8F3">
      <w:pPr>
        <w:pStyle w:val="13"/>
        <w:snapToGrid w:val="0"/>
        <w:spacing w:beforeLines="0" w:afterLines="0" w:line="360" w:lineRule="auto"/>
        <w:rPr>
          <w:rFonts w:hAnsi="宋体"/>
          <w:color w:val="auto"/>
          <w:highlight w:val="none"/>
        </w:rPr>
      </w:pPr>
      <w:r>
        <w:rPr>
          <w:rFonts w:hint="eastAsia" w:hAnsi="宋体" w:cs="仿宋"/>
          <w:color w:val="auto"/>
          <w:highlight w:val="none"/>
        </w:rPr>
        <w:t>34.</w:t>
      </w:r>
      <w:r>
        <w:rPr>
          <w:rFonts w:hAnsi="宋体"/>
          <w:color w:val="auto"/>
          <w:highlight w:val="none"/>
        </w:rPr>
        <w:t xml:space="preserve">投标报价明细表：       </w:t>
      </w:r>
    </w:p>
    <w:p w14:paraId="1D4E33CB">
      <w:pPr>
        <w:pStyle w:val="13"/>
        <w:snapToGrid w:val="0"/>
        <w:spacing w:beforeLines="0" w:afterLines="0" w:line="360" w:lineRule="auto"/>
        <w:ind w:left="1470" w:right="1470"/>
        <w:jc w:val="center"/>
        <w:rPr>
          <w:rFonts w:hAnsi="宋体"/>
          <w:color w:val="auto"/>
          <w:highlight w:val="none"/>
        </w:rPr>
      </w:pPr>
      <w:r>
        <w:rPr>
          <w:rFonts w:hAnsi="宋体"/>
          <w:color w:val="auto"/>
          <w:highlight w:val="none"/>
        </w:rPr>
        <w:t>投标报价明细表</w:t>
      </w:r>
      <w:r>
        <w:rPr>
          <w:rFonts w:hint="eastAsia" w:hAnsi="宋体"/>
          <w:color w:val="auto"/>
          <w:highlight w:val="none"/>
        </w:rPr>
        <w:t>（格式自拟）</w:t>
      </w:r>
    </w:p>
    <w:p w14:paraId="1700A4D2">
      <w:pPr>
        <w:spacing w:line="360" w:lineRule="auto"/>
        <w:jc w:val="left"/>
        <w:rPr>
          <w:rFonts w:hAnsi="宋体"/>
          <w:color w:val="auto"/>
          <w:szCs w:val="21"/>
          <w:highlight w:val="none"/>
        </w:rPr>
      </w:pPr>
      <w:r>
        <w:rPr>
          <w:rFonts w:hAnsi="宋体"/>
          <w:color w:val="auto"/>
          <w:highlight w:val="none"/>
        </w:rPr>
        <w:t>项目名称：</w:t>
      </w:r>
    </w:p>
    <w:p w14:paraId="33648BF8">
      <w:pPr>
        <w:spacing w:line="360" w:lineRule="auto"/>
        <w:jc w:val="left"/>
        <w:rPr>
          <w:rFonts w:hAnsi="宋体"/>
          <w:color w:val="auto"/>
          <w:szCs w:val="21"/>
          <w:highlight w:val="none"/>
        </w:rPr>
      </w:pPr>
    </w:p>
    <w:p w14:paraId="3727A35B">
      <w:pPr>
        <w:spacing w:line="360" w:lineRule="auto"/>
        <w:jc w:val="left"/>
        <w:rPr>
          <w:rFonts w:hAnsi="宋体"/>
          <w:color w:val="auto"/>
          <w:szCs w:val="21"/>
          <w:highlight w:val="none"/>
        </w:rPr>
      </w:pPr>
    </w:p>
    <w:p w14:paraId="30701643">
      <w:pPr>
        <w:pStyle w:val="24"/>
        <w:spacing w:before="120"/>
        <w:rPr>
          <w:color w:val="auto"/>
          <w:highlight w:val="none"/>
        </w:rPr>
      </w:pPr>
    </w:p>
    <w:p w14:paraId="3CBF90FC">
      <w:pPr>
        <w:rPr>
          <w:color w:val="auto"/>
          <w:highlight w:val="none"/>
        </w:rPr>
      </w:pPr>
    </w:p>
    <w:p w14:paraId="0994A5FF">
      <w:pPr>
        <w:snapToGrid w:val="0"/>
        <w:spacing w:line="360" w:lineRule="auto"/>
        <w:rPr>
          <w:rFonts w:ascii="宋体" w:hAnsi="宋体"/>
          <w:color w:val="auto"/>
          <w:spacing w:val="20"/>
          <w:sz w:val="24"/>
          <w:szCs w:val="20"/>
          <w:highlight w:val="none"/>
          <w:u w:val="single"/>
        </w:rPr>
      </w:pPr>
      <w:r>
        <w:rPr>
          <w:rFonts w:hint="eastAsia" w:ascii="宋体" w:hAnsi="宋体"/>
          <w:color w:val="auto"/>
          <w:spacing w:val="20"/>
          <w:sz w:val="24"/>
          <w:highlight w:val="none"/>
        </w:rPr>
        <w:t>授权代表签名：</w:t>
      </w:r>
    </w:p>
    <w:p w14:paraId="153A6234">
      <w:pPr>
        <w:snapToGrid w:val="0"/>
        <w:spacing w:line="360" w:lineRule="auto"/>
        <w:rPr>
          <w:rFonts w:ascii="宋体" w:hAnsi="宋体"/>
          <w:color w:val="auto"/>
          <w:spacing w:val="20"/>
          <w:sz w:val="24"/>
          <w:highlight w:val="none"/>
          <w:u w:val="single"/>
        </w:rPr>
      </w:pPr>
      <w:r>
        <w:rPr>
          <w:rFonts w:hint="eastAsia" w:ascii="宋体" w:hAnsi="宋体"/>
          <w:color w:val="auto"/>
          <w:spacing w:val="20"/>
          <w:sz w:val="24"/>
          <w:highlight w:val="none"/>
        </w:rPr>
        <w:t>投标人盖章：日期：</w:t>
      </w:r>
    </w:p>
    <w:p w14:paraId="6FF95D76">
      <w:pPr>
        <w:pStyle w:val="3"/>
        <w:rPr>
          <w:color w:val="auto"/>
          <w:highlight w:val="none"/>
        </w:rPr>
      </w:pPr>
    </w:p>
    <w:p w14:paraId="56742F2E">
      <w:pPr>
        <w:snapToGrid w:val="0"/>
        <w:spacing w:line="360" w:lineRule="auto"/>
        <w:rPr>
          <w:rFonts w:ascii="宋体" w:hAnsi="宋体"/>
          <w:b/>
          <w:color w:val="auto"/>
          <w:sz w:val="24"/>
          <w:highlight w:val="none"/>
        </w:rPr>
      </w:pPr>
    </w:p>
    <w:p w14:paraId="69DD5A56">
      <w:pPr>
        <w:snapToGrid w:val="0"/>
        <w:spacing w:line="360" w:lineRule="auto"/>
        <w:jc w:val="left"/>
        <w:rPr>
          <w:rFonts w:ascii="宋体" w:hAnsi="宋体"/>
          <w:color w:val="auto"/>
          <w:sz w:val="24"/>
          <w:highlight w:val="none"/>
        </w:rPr>
      </w:pPr>
      <w:r>
        <w:rPr>
          <w:rFonts w:hint="eastAsia" w:ascii="宋体" w:hAnsi="宋体"/>
          <w:color w:val="auto"/>
          <w:sz w:val="24"/>
          <w:highlight w:val="none"/>
        </w:rPr>
        <w:t>35</w:t>
      </w:r>
      <w:r>
        <w:rPr>
          <w:rFonts w:ascii="宋体" w:hAnsi="宋体"/>
          <w:color w:val="auto"/>
          <w:sz w:val="24"/>
          <w:highlight w:val="none"/>
        </w:rPr>
        <w:t>.</w:t>
      </w:r>
      <w:r>
        <w:rPr>
          <w:rFonts w:hint="eastAsia" w:ascii="宋体" w:hAnsi="宋体"/>
          <w:color w:val="auto"/>
          <w:sz w:val="24"/>
          <w:highlight w:val="none"/>
        </w:rPr>
        <w:t>中小企业声明函</w:t>
      </w:r>
    </w:p>
    <w:p w14:paraId="50D73EB0">
      <w:pPr>
        <w:pStyle w:val="3"/>
        <w:rPr>
          <w:color w:val="auto"/>
          <w:highlight w:val="none"/>
        </w:rPr>
      </w:pPr>
    </w:p>
    <w:p w14:paraId="1733A2D3">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本公司郑重声明，根据《政府采购促进中小企业发展管理办法》（财库﹝2020﹞46 号）的规定，本公司参加（单位名称）的（项目名称）采购活动，工程的施工单位全部为符合政策要求的中小企业（或者：服务全部由符合政策要求的中小企业承接）。相关企业（含签订分包意向协议的中小企业）的具体情况如下：</w:t>
      </w:r>
    </w:p>
    <w:p w14:paraId="7C8EEBAD">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 xml:space="preserve">1. </w:t>
      </w:r>
      <w:r>
        <w:rPr>
          <w:rFonts w:hint="eastAsia" w:ascii="宋体" w:hAnsi="宋体" w:cs="仿宋"/>
          <w:color w:val="auto"/>
          <w:kern w:val="0"/>
          <w:sz w:val="24"/>
          <w:highlight w:val="none"/>
          <w:u w:val="single"/>
        </w:rPr>
        <w:t xml:space="preserve">（标的名称） </w:t>
      </w:r>
      <w:r>
        <w:rPr>
          <w:rFonts w:hint="eastAsia" w:ascii="宋体" w:hAnsi="宋体" w:cs="仿宋"/>
          <w:color w:val="auto"/>
          <w:kern w:val="0"/>
          <w:sz w:val="24"/>
          <w:highlight w:val="none"/>
        </w:rPr>
        <w:t>，属于</w:t>
      </w:r>
      <w:r>
        <w:rPr>
          <w:rFonts w:hint="eastAsia" w:ascii="宋体" w:hAnsi="宋体" w:cs="仿宋"/>
          <w:color w:val="auto"/>
          <w:kern w:val="0"/>
          <w:sz w:val="24"/>
          <w:highlight w:val="none"/>
          <w:u w:val="single"/>
        </w:rPr>
        <w:t>其他未列明行业（采购文件中明确的所属行业）</w:t>
      </w:r>
      <w:r>
        <w:rPr>
          <w:rFonts w:hint="eastAsia" w:ascii="宋体" w:hAnsi="宋体" w:cs="仿宋"/>
          <w:color w:val="auto"/>
          <w:kern w:val="0"/>
          <w:sz w:val="24"/>
          <w:highlight w:val="none"/>
        </w:rPr>
        <w:t>；承建（承接）企业为</w:t>
      </w:r>
      <w:r>
        <w:rPr>
          <w:rFonts w:hint="eastAsia" w:ascii="宋体" w:hAnsi="宋体" w:cs="仿宋"/>
          <w:color w:val="auto"/>
          <w:kern w:val="0"/>
          <w:sz w:val="24"/>
          <w:highlight w:val="none"/>
          <w:u w:val="single"/>
        </w:rPr>
        <w:t>（企业名称）</w:t>
      </w:r>
      <w:r>
        <w:rPr>
          <w:rFonts w:hint="eastAsia" w:ascii="宋体" w:hAnsi="宋体" w:cs="仿宋"/>
          <w:color w:val="auto"/>
          <w:kern w:val="0"/>
          <w:sz w:val="24"/>
          <w:highlight w:val="none"/>
        </w:rPr>
        <w:t>，从业人员___人，营业收入为___万元，资产总额为___万元①，属于</w:t>
      </w:r>
      <w:r>
        <w:rPr>
          <w:rFonts w:hint="eastAsia" w:ascii="宋体" w:hAnsi="宋体" w:cs="仿宋"/>
          <w:color w:val="auto"/>
          <w:kern w:val="0"/>
          <w:sz w:val="24"/>
          <w:highlight w:val="none"/>
          <w:u w:val="single"/>
        </w:rPr>
        <w:t>（中型企业、小型企业、微型企业）</w:t>
      </w:r>
      <w:r>
        <w:rPr>
          <w:rFonts w:hint="eastAsia" w:ascii="宋体" w:hAnsi="宋体" w:cs="仿宋"/>
          <w:color w:val="auto"/>
          <w:kern w:val="0"/>
          <w:sz w:val="24"/>
          <w:highlight w:val="none"/>
        </w:rPr>
        <w:t>；</w:t>
      </w:r>
    </w:p>
    <w:p w14:paraId="36DB2A87">
      <w:pPr>
        <w:spacing w:line="360" w:lineRule="auto"/>
        <w:ind w:firstLine="480" w:firstLineChars="200"/>
        <w:rPr>
          <w:rFonts w:ascii="宋体" w:hAnsi="宋体" w:cs="仿宋"/>
          <w:color w:val="auto"/>
          <w:kern w:val="0"/>
          <w:sz w:val="24"/>
          <w:highlight w:val="none"/>
        </w:rPr>
      </w:pPr>
    </w:p>
    <w:p w14:paraId="2097AEA2">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w:t>
      </w:r>
    </w:p>
    <w:p w14:paraId="0BDAC2A1">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以上企业，不属于大企业的分支机构，不存在控股股东为大企业的情形，也不存在与大企业的负责人为同一人的情形。</w:t>
      </w:r>
    </w:p>
    <w:p w14:paraId="4DB8CA8E">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本企业对上述声明内容的真实性负责。如有虚假，将依法承担相应责任。</w:t>
      </w:r>
    </w:p>
    <w:p w14:paraId="53958944">
      <w:pPr>
        <w:spacing w:line="360" w:lineRule="auto"/>
        <w:ind w:firstLine="5640" w:firstLineChars="2350"/>
        <w:rPr>
          <w:rFonts w:ascii="宋体" w:hAnsi="宋体" w:cs="仿宋"/>
          <w:color w:val="auto"/>
          <w:kern w:val="0"/>
          <w:sz w:val="24"/>
          <w:highlight w:val="none"/>
        </w:rPr>
      </w:pPr>
      <w:r>
        <w:rPr>
          <w:rFonts w:hint="eastAsia" w:ascii="宋体" w:hAnsi="宋体" w:cs="仿宋"/>
          <w:color w:val="auto"/>
          <w:kern w:val="0"/>
          <w:sz w:val="24"/>
          <w:highlight w:val="none"/>
        </w:rPr>
        <w:t>企业名称（盖章）：</w:t>
      </w:r>
    </w:p>
    <w:p w14:paraId="3A8B45BA">
      <w:pPr>
        <w:spacing w:line="360" w:lineRule="auto"/>
        <w:ind w:firstLine="5640" w:firstLineChars="2350"/>
        <w:rPr>
          <w:rFonts w:ascii="宋体" w:hAnsi="宋体" w:cs="仿宋"/>
          <w:color w:val="auto"/>
          <w:kern w:val="0"/>
          <w:sz w:val="24"/>
          <w:highlight w:val="none"/>
        </w:rPr>
      </w:pPr>
      <w:r>
        <w:rPr>
          <w:rFonts w:hint="eastAsia" w:ascii="宋体" w:hAnsi="宋体" w:cs="仿宋"/>
          <w:color w:val="auto"/>
          <w:kern w:val="0"/>
          <w:sz w:val="24"/>
          <w:highlight w:val="none"/>
        </w:rPr>
        <w:t>日期：</w:t>
      </w:r>
    </w:p>
    <w:p w14:paraId="0BFD8E18">
      <w:pPr>
        <w:spacing w:line="360" w:lineRule="auto"/>
        <w:ind w:firstLine="5640" w:firstLineChars="2350"/>
        <w:rPr>
          <w:rFonts w:ascii="宋体" w:hAnsi="宋体"/>
          <w:bCs/>
          <w:color w:val="auto"/>
          <w:sz w:val="24"/>
          <w:highlight w:val="none"/>
        </w:rPr>
      </w:pPr>
    </w:p>
    <w:p w14:paraId="049424BC">
      <w:pPr>
        <w:numPr>
          <w:ilvl w:val="0"/>
          <w:numId w:val="4"/>
        </w:numPr>
        <w:snapToGrid w:val="0"/>
        <w:spacing w:before="50" w:after="50" w:line="360" w:lineRule="auto"/>
        <w:jc w:val="left"/>
        <w:rPr>
          <w:rFonts w:ascii="宋体" w:hAnsi="宋体" w:cs="仿宋"/>
          <w:color w:val="auto"/>
          <w:sz w:val="24"/>
          <w:highlight w:val="none"/>
        </w:rPr>
      </w:pPr>
      <w:r>
        <w:rPr>
          <w:rFonts w:hint="eastAsia" w:ascii="宋体" w:cs="宋体"/>
          <w:color w:val="auto"/>
          <w:kern w:val="0"/>
          <w:sz w:val="18"/>
          <w:szCs w:val="18"/>
          <w:highlight w:val="none"/>
        </w:rPr>
        <w:t>注从业人员、营业收入、资产总额填报上一年度数据，无上一年度数据的新成立企业可不填报。</w:t>
      </w:r>
    </w:p>
    <w:p w14:paraId="60F519AC">
      <w:pPr>
        <w:spacing w:line="360" w:lineRule="auto"/>
        <w:ind w:firstLine="5600" w:firstLineChars="2000"/>
        <w:rPr>
          <w:rFonts w:ascii="宋体" w:hAnsi="宋体"/>
          <w:color w:val="auto"/>
          <w:sz w:val="28"/>
          <w:szCs w:val="28"/>
          <w:highlight w:val="none"/>
        </w:rPr>
      </w:pPr>
    </w:p>
    <w:p w14:paraId="3664FE82">
      <w:pPr>
        <w:spacing w:line="360" w:lineRule="auto"/>
        <w:jc w:val="left"/>
        <w:outlineLvl w:val="1"/>
        <w:rPr>
          <w:rFonts w:ascii="宋体" w:hAnsi="宋体" w:cs="宋体"/>
          <w:color w:val="auto"/>
          <w:highlight w:val="none"/>
        </w:rPr>
      </w:pPr>
      <w:r>
        <w:rPr>
          <w:rFonts w:hint="eastAsia" w:hAnsi="宋体" w:cs="宋体"/>
          <w:color w:val="auto"/>
          <w:sz w:val="24"/>
          <w:highlight w:val="none"/>
          <w:u w:val="single"/>
        </w:rPr>
        <w:t>此表必须如实填写，不能留有空格。</w:t>
      </w:r>
    </w:p>
    <w:p w14:paraId="55CB49DE">
      <w:pPr>
        <w:rPr>
          <w:rFonts w:ascii="宋体" w:hAnsi="宋体" w:cs="宋体"/>
          <w:color w:val="auto"/>
          <w:highlight w:val="none"/>
        </w:rPr>
      </w:pPr>
    </w:p>
    <w:p w14:paraId="7CD25FA8">
      <w:pPr>
        <w:spacing w:line="588" w:lineRule="exact"/>
        <w:jc w:val="center"/>
        <w:rPr>
          <w:rFonts w:ascii="宋体" w:hAnsi="宋体"/>
          <w:b/>
          <w:bCs/>
          <w:color w:val="auto"/>
          <w:sz w:val="30"/>
          <w:highlight w:val="none"/>
        </w:rPr>
      </w:pPr>
      <w:r>
        <w:rPr>
          <w:rFonts w:hint="eastAsia" w:ascii="宋体" w:hAnsi="宋体"/>
          <w:b/>
          <w:bCs/>
          <w:color w:val="auto"/>
          <w:sz w:val="30"/>
          <w:highlight w:val="none"/>
        </w:rPr>
        <w:t>残疾人福利性单位声明函</w:t>
      </w:r>
    </w:p>
    <w:p w14:paraId="0D07F78A">
      <w:pPr>
        <w:spacing w:line="588" w:lineRule="exact"/>
        <w:jc w:val="center"/>
        <w:rPr>
          <w:rFonts w:ascii="宋体" w:hAnsi="宋体"/>
          <w:b/>
          <w:color w:val="auto"/>
          <w:spacing w:val="6"/>
          <w:sz w:val="24"/>
          <w:highlight w:val="none"/>
        </w:rPr>
      </w:pPr>
    </w:p>
    <w:p w14:paraId="2ADBC734">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B45802A">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14:paraId="09B5A0BB">
      <w:pPr>
        <w:snapToGrid w:val="0"/>
        <w:spacing w:line="360" w:lineRule="auto"/>
        <w:ind w:firstLine="480" w:firstLineChars="200"/>
        <w:rPr>
          <w:rFonts w:ascii="宋体" w:hAnsi="宋体"/>
          <w:color w:val="auto"/>
          <w:sz w:val="24"/>
          <w:highlight w:val="none"/>
        </w:rPr>
      </w:pPr>
    </w:p>
    <w:p w14:paraId="553DCDAC">
      <w:pPr>
        <w:spacing w:line="588" w:lineRule="exact"/>
        <w:ind w:firstLine="504" w:firstLineChars="200"/>
        <w:rPr>
          <w:rFonts w:ascii="宋体" w:hAnsi="宋体"/>
          <w:color w:val="auto"/>
          <w:spacing w:val="6"/>
          <w:sz w:val="24"/>
          <w:highlight w:val="none"/>
        </w:rPr>
      </w:pPr>
    </w:p>
    <w:p w14:paraId="15F58847">
      <w:pPr>
        <w:snapToGrid w:val="0"/>
        <w:spacing w:line="360" w:lineRule="auto"/>
        <w:ind w:firstLine="480" w:firstLineChars="200"/>
        <w:jc w:val="right"/>
        <w:rPr>
          <w:rFonts w:ascii="宋体" w:hAnsi="宋体"/>
          <w:color w:val="auto"/>
          <w:sz w:val="24"/>
          <w:highlight w:val="none"/>
        </w:rPr>
      </w:pPr>
      <w:r>
        <w:rPr>
          <w:rFonts w:hint="eastAsia" w:ascii="宋体" w:hAnsi="宋体"/>
          <w:color w:val="auto"/>
          <w:sz w:val="24"/>
          <w:highlight w:val="none"/>
        </w:rPr>
        <w:t xml:space="preserve">      单位名称（盖章）：</w:t>
      </w:r>
    </w:p>
    <w:p w14:paraId="26087ED4">
      <w:pPr>
        <w:snapToGrid w:val="0"/>
        <w:spacing w:line="360" w:lineRule="auto"/>
        <w:ind w:firstLine="480" w:firstLineChars="200"/>
        <w:jc w:val="right"/>
        <w:rPr>
          <w:rFonts w:ascii="宋体" w:hAnsi="宋体"/>
          <w:color w:val="auto"/>
          <w:sz w:val="24"/>
          <w:highlight w:val="none"/>
        </w:rPr>
      </w:pPr>
      <w:r>
        <w:rPr>
          <w:rFonts w:hint="eastAsia" w:ascii="宋体" w:hAnsi="宋体"/>
          <w:color w:val="auto"/>
          <w:sz w:val="24"/>
          <w:highlight w:val="none"/>
        </w:rPr>
        <w:t xml:space="preserve">       日  期：</w:t>
      </w:r>
    </w:p>
    <w:p w14:paraId="0A343860">
      <w:pPr>
        <w:rPr>
          <w:rFonts w:ascii="宋体" w:hAnsi="宋体"/>
          <w:color w:val="auto"/>
          <w:sz w:val="24"/>
          <w:highlight w:val="none"/>
        </w:rPr>
      </w:pPr>
    </w:p>
    <w:p w14:paraId="77428043">
      <w:pPr>
        <w:rPr>
          <w:rFonts w:ascii="宋体" w:hAnsi="宋体"/>
          <w:color w:val="auto"/>
          <w:sz w:val="24"/>
          <w:highlight w:val="none"/>
        </w:rPr>
      </w:pPr>
    </w:p>
    <w:p w14:paraId="2392B043">
      <w:pPr>
        <w:pStyle w:val="8"/>
        <w:spacing w:line="500" w:lineRule="exact"/>
        <w:ind w:firstLine="0"/>
        <w:rPr>
          <w:rFonts w:ascii="宋体" w:hAnsi="宋体"/>
          <w:color w:val="auto"/>
          <w:szCs w:val="24"/>
          <w:highlight w:val="none"/>
        </w:rPr>
      </w:pPr>
    </w:p>
    <w:p w14:paraId="480A2CA8">
      <w:pPr>
        <w:pStyle w:val="8"/>
        <w:spacing w:line="500" w:lineRule="exact"/>
        <w:ind w:firstLine="0"/>
        <w:rPr>
          <w:rFonts w:ascii="宋体" w:hAnsi="宋体"/>
          <w:color w:val="auto"/>
          <w:szCs w:val="24"/>
          <w:highlight w:val="none"/>
        </w:rPr>
      </w:pPr>
    </w:p>
    <w:p w14:paraId="6B735FD1">
      <w:pPr>
        <w:snapToGrid w:val="0"/>
        <w:spacing w:before="50"/>
        <w:jc w:val="center"/>
        <w:rPr>
          <w:rFonts w:ascii="宋体" w:hAnsi="宋体"/>
          <w:b/>
          <w:color w:val="auto"/>
          <w:spacing w:val="40"/>
          <w:kern w:val="0"/>
          <w:sz w:val="24"/>
          <w:highlight w:val="none"/>
        </w:rPr>
      </w:pPr>
    </w:p>
    <w:p w14:paraId="3731C3E9">
      <w:pPr>
        <w:snapToGrid w:val="0"/>
        <w:spacing w:before="50"/>
        <w:rPr>
          <w:rFonts w:ascii="宋体" w:hAnsi="宋体"/>
          <w:b/>
          <w:color w:val="auto"/>
          <w:spacing w:val="40"/>
          <w:kern w:val="0"/>
          <w:sz w:val="24"/>
          <w:highlight w:val="none"/>
        </w:rPr>
      </w:pPr>
      <w:r>
        <w:rPr>
          <w:rFonts w:hint="eastAsia" w:ascii="宋体" w:hAnsi="宋体"/>
          <w:color w:val="auto"/>
          <w:sz w:val="24"/>
          <w:highlight w:val="none"/>
          <w:u w:val="single"/>
        </w:rPr>
        <w:t>注：若不是残疾人福利性单位，请勿填写此表。</w:t>
      </w:r>
    </w:p>
    <w:p w14:paraId="44FB52A3">
      <w:pPr>
        <w:rPr>
          <w:rFonts w:ascii="宋体" w:hAnsi="宋体"/>
          <w:color w:val="auto"/>
          <w:sz w:val="24"/>
          <w:highlight w:val="none"/>
        </w:rPr>
      </w:pPr>
    </w:p>
    <w:p w14:paraId="232817D2">
      <w:pPr>
        <w:pStyle w:val="20"/>
        <w:rPr>
          <w:color w:val="auto"/>
          <w:highlight w:val="none"/>
        </w:rPr>
      </w:pPr>
    </w:p>
    <w:p w14:paraId="132A7395">
      <w:pPr>
        <w:pStyle w:val="20"/>
        <w:rPr>
          <w:color w:val="auto"/>
          <w:highlight w:val="none"/>
        </w:rPr>
      </w:pPr>
    </w:p>
    <w:p w14:paraId="119F155F">
      <w:pPr>
        <w:pStyle w:val="20"/>
        <w:rPr>
          <w:color w:val="auto"/>
          <w:highlight w:val="none"/>
        </w:rPr>
      </w:pPr>
    </w:p>
    <w:p w14:paraId="4780ADDB">
      <w:pPr>
        <w:pStyle w:val="20"/>
        <w:rPr>
          <w:color w:val="auto"/>
          <w:highlight w:val="none"/>
        </w:rPr>
      </w:pPr>
    </w:p>
    <w:p w14:paraId="728B741A">
      <w:pPr>
        <w:pStyle w:val="3"/>
        <w:rPr>
          <w:color w:val="auto"/>
          <w:highlight w:val="none"/>
        </w:rPr>
      </w:pPr>
    </w:p>
    <w:p w14:paraId="7C0A54E4">
      <w:pPr>
        <w:rPr>
          <w:rFonts w:ascii="宋体" w:hAnsi="宋体" w:cs="仿宋"/>
          <w:color w:val="auto"/>
          <w:sz w:val="24"/>
          <w:highlight w:val="none"/>
        </w:rPr>
      </w:pPr>
      <w:r>
        <w:rPr>
          <w:rFonts w:hint="eastAsia" w:ascii="宋体" w:hAnsi="宋体" w:cs="仿宋"/>
          <w:color w:val="auto"/>
          <w:sz w:val="24"/>
          <w:highlight w:val="none"/>
        </w:rPr>
        <w:t>36联合体各方共同投标协议（如有，格式自拟）</w:t>
      </w:r>
    </w:p>
    <w:p w14:paraId="5C45DD89">
      <w:pPr>
        <w:pStyle w:val="3"/>
        <w:rPr>
          <w:color w:val="auto"/>
          <w:highlight w:val="none"/>
        </w:rPr>
      </w:pPr>
    </w:p>
    <w:p w14:paraId="7FA5C48B">
      <w:pPr>
        <w:pStyle w:val="38"/>
        <w:rPr>
          <w:color w:val="auto"/>
          <w:highlight w:val="none"/>
        </w:rPr>
      </w:pPr>
    </w:p>
    <w:p w14:paraId="63406945">
      <w:pPr>
        <w:pStyle w:val="39"/>
        <w:rPr>
          <w:color w:val="auto"/>
          <w:highlight w:val="none"/>
        </w:rPr>
      </w:pPr>
    </w:p>
    <w:p w14:paraId="11FE4017">
      <w:pPr>
        <w:rPr>
          <w:color w:val="auto"/>
          <w:highlight w:val="none"/>
        </w:rPr>
      </w:pPr>
    </w:p>
    <w:p w14:paraId="2964AC7F">
      <w:pPr>
        <w:pStyle w:val="3"/>
        <w:rPr>
          <w:color w:val="auto"/>
          <w:highlight w:val="none"/>
        </w:rPr>
      </w:pPr>
    </w:p>
    <w:p w14:paraId="5D1541F9">
      <w:pPr>
        <w:pStyle w:val="38"/>
        <w:rPr>
          <w:color w:val="auto"/>
          <w:highlight w:val="none"/>
        </w:rPr>
      </w:pPr>
    </w:p>
    <w:p w14:paraId="6A380816">
      <w:pPr>
        <w:spacing w:line="360" w:lineRule="auto"/>
        <w:rPr>
          <w:rFonts w:ascii="宋体" w:hAnsi="宋体"/>
          <w:color w:val="auto"/>
          <w:sz w:val="24"/>
          <w:highlight w:val="none"/>
        </w:rPr>
      </w:pPr>
      <w:r>
        <w:rPr>
          <w:rFonts w:hint="eastAsia" w:ascii="宋体" w:hAnsi="宋体"/>
          <w:color w:val="auto"/>
          <w:sz w:val="24"/>
          <w:highlight w:val="none"/>
        </w:rPr>
        <w:t>37.投标人针对报价需要说明的其他文件和说明（格式自拟）</w:t>
      </w:r>
    </w:p>
    <w:p w14:paraId="4F5F9849">
      <w:pPr>
        <w:snapToGrid w:val="0"/>
        <w:spacing w:line="360" w:lineRule="auto"/>
        <w:rPr>
          <w:rFonts w:ascii="宋体" w:hAnsi="宋体"/>
          <w:b/>
          <w:color w:val="auto"/>
          <w:sz w:val="24"/>
          <w:highlight w:val="none"/>
        </w:rPr>
      </w:pPr>
    </w:p>
    <w:p w14:paraId="56A616F4">
      <w:pPr>
        <w:pStyle w:val="2"/>
        <w:ind w:firstLine="240"/>
        <w:rPr>
          <w:color w:val="auto"/>
          <w:highlight w:val="none"/>
        </w:rPr>
      </w:pPr>
    </w:p>
    <w:p w14:paraId="770E0D86">
      <w:pPr>
        <w:spacing w:line="360" w:lineRule="auto"/>
        <w:rPr>
          <w:rFonts w:ascii="宋体" w:hAnsi="宋体"/>
          <w:color w:val="auto"/>
          <w:sz w:val="24"/>
          <w:highlight w:val="none"/>
        </w:rPr>
      </w:pPr>
    </w:p>
    <w:p w14:paraId="601BBC19">
      <w:pPr>
        <w:spacing w:line="360" w:lineRule="auto"/>
        <w:rPr>
          <w:rFonts w:ascii="宋体" w:hAnsi="宋体"/>
          <w:color w:val="auto"/>
          <w:sz w:val="24"/>
          <w:highlight w:val="none"/>
        </w:rPr>
      </w:pPr>
      <w:r>
        <w:rPr>
          <w:rFonts w:hint="eastAsia" w:ascii="宋体" w:hAnsi="宋体"/>
          <w:color w:val="auto"/>
          <w:sz w:val="24"/>
          <w:highlight w:val="none"/>
        </w:rPr>
        <w:t>38.招标代理服务费承诺函</w:t>
      </w:r>
    </w:p>
    <w:p w14:paraId="018BB98A">
      <w:pPr>
        <w:spacing w:line="360" w:lineRule="auto"/>
        <w:jc w:val="center"/>
        <w:rPr>
          <w:b/>
          <w:color w:val="auto"/>
          <w:sz w:val="32"/>
          <w:highlight w:val="none"/>
        </w:rPr>
      </w:pPr>
    </w:p>
    <w:p w14:paraId="64F3C292">
      <w:pPr>
        <w:tabs>
          <w:tab w:val="left" w:pos="2996"/>
        </w:tabs>
        <w:spacing w:line="360" w:lineRule="auto"/>
        <w:ind w:firstLine="480" w:firstLineChars="200"/>
        <w:rPr>
          <w:color w:val="auto"/>
          <w:sz w:val="24"/>
          <w:highlight w:val="none"/>
        </w:rPr>
      </w:pPr>
      <w:r>
        <w:rPr>
          <w:rFonts w:hint="eastAsia"/>
          <w:color w:val="auto"/>
          <w:sz w:val="24"/>
          <w:highlight w:val="none"/>
        </w:rPr>
        <w:t>根据国家计委、物价局文件和招标文件的规定，一旦我公司中标，我公司同意按本招标文件规定向政府采购代理机构交纳招标代理服务费，在中标通知书发出当日一次性向代理机构缴清招标代理服务费。本承诺函自开标之日起至本次采购期满有效。</w:t>
      </w:r>
    </w:p>
    <w:p w14:paraId="090F7618">
      <w:pPr>
        <w:spacing w:line="360" w:lineRule="auto"/>
        <w:rPr>
          <w:color w:val="auto"/>
          <w:sz w:val="24"/>
          <w:highlight w:val="none"/>
        </w:rPr>
      </w:pPr>
    </w:p>
    <w:p w14:paraId="17BE8141">
      <w:pPr>
        <w:spacing w:line="360" w:lineRule="auto"/>
        <w:rPr>
          <w:color w:val="auto"/>
          <w:sz w:val="24"/>
          <w:highlight w:val="none"/>
        </w:rPr>
      </w:pPr>
    </w:p>
    <w:p w14:paraId="1FD46808">
      <w:pPr>
        <w:pStyle w:val="8"/>
        <w:spacing w:line="360" w:lineRule="auto"/>
        <w:ind w:firstLine="1454" w:firstLineChars="606"/>
        <w:rPr>
          <w:rFonts w:ascii="宋体" w:hAnsi="宋体"/>
          <w:color w:val="auto"/>
          <w:sz w:val="24"/>
          <w:szCs w:val="24"/>
          <w:highlight w:val="none"/>
        </w:rPr>
      </w:pPr>
      <w:r>
        <w:rPr>
          <w:rFonts w:hint="eastAsia" w:ascii="宋体" w:hAnsi="宋体"/>
          <w:color w:val="auto"/>
          <w:sz w:val="24"/>
          <w:szCs w:val="24"/>
          <w:highlight w:val="none"/>
        </w:rPr>
        <w:t>投标人：（盖章）</w:t>
      </w:r>
    </w:p>
    <w:p w14:paraId="3E92CD1C">
      <w:pPr>
        <w:pStyle w:val="8"/>
        <w:spacing w:line="360" w:lineRule="auto"/>
        <w:ind w:firstLine="374" w:firstLineChars="156"/>
        <w:rPr>
          <w:rFonts w:ascii="宋体" w:hAnsi="宋体"/>
          <w:color w:val="auto"/>
          <w:sz w:val="24"/>
          <w:szCs w:val="24"/>
          <w:highlight w:val="none"/>
        </w:rPr>
      </w:pPr>
    </w:p>
    <w:p w14:paraId="012D2032">
      <w:pPr>
        <w:pStyle w:val="8"/>
        <w:spacing w:line="360" w:lineRule="auto"/>
        <w:ind w:firstLine="1334" w:firstLineChars="556"/>
        <w:rPr>
          <w:rFonts w:ascii="宋体" w:hAnsi="宋体"/>
          <w:color w:val="auto"/>
          <w:sz w:val="24"/>
          <w:szCs w:val="24"/>
          <w:highlight w:val="none"/>
        </w:rPr>
      </w:pPr>
      <w:r>
        <w:rPr>
          <w:rFonts w:hint="eastAsia" w:ascii="宋体" w:hAnsi="宋体"/>
          <w:color w:val="auto"/>
          <w:sz w:val="24"/>
          <w:szCs w:val="24"/>
          <w:highlight w:val="none"/>
        </w:rPr>
        <w:t>法定代表人或其授权代理人（签名或盖章）</w:t>
      </w:r>
    </w:p>
    <w:p w14:paraId="7BFD90D7">
      <w:pPr>
        <w:pStyle w:val="8"/>
        <w:spacing w:line="360" w:lineRule="auto"/>
        <w:ind w:firstLine="374" w:firstLineChars="156"/>
        <w:jc w:val="center"/>
        <w:rPr>
          <w:rFonts w:ascii="宋体" w:hAnsi="宋体"/>
          <w:color w:val="auto"/>
          <w:sz w:val="24"/>
          <w:szCs w:val="24"/>
          <w:highlight w:val="none"/>
        </w:rPr>
      </w:pPr>
    </w:p>
    <w:p w14:paraId="79841AF5">
      <w:pPr>
        <w:pStyle w:val="8"/>
        <w:spacing w:line="360" w:lineRule="auto"/>
        <w:ind w:left="840" w:firstLine="374" w:firstLineChars="156"/>
        <w:rPr>
          <w:rFonts w:ascii="宋体" w:hAnsi="宋体"/>
          <w:color w:val="auto"/>
          <w:sz w:val="24"/>
          <w:szCs w:val="24"/>
          <w:highlight w:val="none"/>
        </w:rPr>
      </w:pPr>
      <w:r>
        <w:rPr>
          <w:rFonts w:hint="eastAsia" w:ascii="宋体" w:hAnsi="宋体"/>
          <w:color w:val="auto"/>
          <w:sz w:val="24"/>
          <w:szCs w:val="24"/>
          <w:highlight w:val="none"/>
        </w:rPr>
        <w:t xml:space="preserve">              日期：    年   月   日</w:t>
      </w:r>
    </w:p>
    <w:p w14:paraId="6B5000C2">
      <w:pPr>
        <w:pStyle w:val="13"/>
        <w:snapToGrid w:val="0"/>
        <w:spacing w:before="120" w:after="120" w:line="360" w:lineRule="auto"/>
        <w:rPr>
          <w:color w:val="auto"/>
          <w:highlight w:val="none"/>
        </w:rPr>
      </w:pPr>
    </w:p>
    <w:p w14:paraId="523FE343">
      <w:pPr>
        <w:pStyle w:val="8"/>
        <w:spacing w:line="500" w:lineRule="exact"/>
        <w:ind w:firstLine="0"/>
        <w:jc w:val="left"/>
        <w:rPr>
          <w:rFonts w:ascii="宋体" w:hAnsi="宋体"/>
          <w:color w:val="auto"/>
          <w:sz w:val="24"/>
          <w:szCs w:val="24"/>
          <w:highlight w:val="none"/>
          <w:u w:val="single"/>
        </w:rPr>
      </w:pPr>
    </w:p>
    <w:p w14:paraId="770EC4A5">
      <w:pPr>
        <w:pStyle w:val="8"/>
        <w:spacing w:line="500" w:lineRule="exact"/>
        <w:ind w:firstLine="0"/>
        <w:jc w:val="left"/>
        <w:rPr>
          <w:rFonts w:ascii="宋体" w:hAnsi="宋体"/>
          <w:color w:val="auto"/>
          <w:sz w:val="24"/>
          <w:szCs w:val="24"/>
          <w:highlight w:val="none"/>
        </w:rPr>
      </w:pPr>
      <w:r>
        <w:rPr>
          <w:rFonts w:hint="eastAsia" w:ascii="宋体" w:hAnsi="宋体"/>
          <w:color w:val="auto"/>
          <w:sz w:val="24"/>
          <w:szCs w:val="24"/>
          <w:highlight w:val="none"/>
        </w:rPr>
        <w:t>____________________________________________________________________________</w:t>
      </w:r>
    </w:p>
    <w:p w14:paraId="474B13CC">
      <w:pPr>
        <w:pStyle w:val="8"/>
        <w:spacing w:line="500" w:lineRule="exact"/>
        <w:ind w:firstLine="0"/>
        <w:jc w:val="left"/>
        <w:rPr>
          <w:rFonts w:ascii="宋体" w:hAnsi="宋体"/>
          <w:color w:val="auto"/>
          <w:sz w:val="24"/>
          <w:szCs w:val="24"/>
          <w:highlight w:val="none"/>
        </w:rPr>
      </w:pPr>
      <w:r>
        <w:rPr>
          <w:rFonts w:hint="eastAsia" w:ascii="宋体" w:hAnsi="宋体"/>
          <w:color w:val="auto"/>
          <w:sz w:val="24"/>
          <w:szCs w:val="24"/>
          <w:highlight w:val="none"/>
        </w:rPr>
        <w:t>代理费汇款账号：</w:t>
      </w:r>
    </w:p>
    <w:p w14:paraId="7C53D220">
      <w:pPr>
        <w:snapToGrid w:val="0"/>
        <w:jc w:val="left"/>
        <w:rPr>
          <w:rFonts w:ascii="宋体" w:hAnsi="宋体"/>
          <w:color w:val="auto"/>
          <w:sz w:val="24"/>
          <w:highlight w:val="none"/>
        </w:rPr>
      </w:pPr>
    </w:p>
    <w:p w14:paraId="0352E1F5">
      <w:pPr>
        <w:snapToGrid w:val="0"/>
        <w:jc w:val="left"/>
        <w:rPr>
          <w:rFonts w:ascii="宋体" w:hAnsi="宋体"/>
          <w:color w:val="auto"/>
          <w:sz w:val="24"/>
          <w:highlight w:val="none"/>
        </w:rPr>
      </w:pPr>
    </w:p>
    <w:p w14:paraId="7BABF663">
      <w:pPr>
        <w:snapToGrid w:val="0"/>
        <w:rPr>
          <w:rFonts w:ascii="宋体" w:hAnsi="宋体"/>
          <w:color w:val="auto"/>
          <w:sz w:val="24"/>
          <w:highlight w:val="none"/>
        </w:rPr>
      </w:pPr>
      <w:r>
        <w:rPr>
          <w:rFonts w:hint="eastAsia" w:ascii="宋体" w:hAnsi="宋体"/>
          <w:color w:val="auto"/>
          <w:sz w:val="24"/>
          <w:highlight w:val="none"/>
        </w:rPr>
        <w:t>单位名称：浙江华耀建设咨询有限公司龙溪北路分公司</w:t>
      </w:r>
    </w:p>
    <w:p w14:paraId="48BAE95B">
      <w:pPr>
        <w:snapToGrid w:val="0"/>
        <w:rPr>
          <w:rFonts w:ascii="宋体" w:hAnsi="宋体"/>
          <w:color w:val="auto"/>
          <w:sz w:val="24"/>
          <w:highlight w:val="none"/>
        </w:rPr>
      </w:pPr>
      <w:r>
        <w:rPr>
          <w:rFonts w:hint="eastAsia" w:ascii="宋体" w:hAnsi="宋体"/>
          <w:color w:val="auto"/>
          <w:sz w:val="24"/>
          <w:highlight w:val="none"/>
        </w:rPr>
        <w:t>开户银行：中国工商银行股份有限公司湖州经济开发区支行</w:t>
      </w:r>
    </w:p>
    <w:p w14:paraId="3B722662">
      <w:pPr>
        <w:snapToGrid w:val="0"/>
        <w:spacing w:line="360" w:lineRule="auto"/>
        <w:rPr>
          <w:rFonts w:ascii="宋体" w:hAnsi="宋体"/>
          <w:b/>
          <w:color w:val="auto"/>
          <w:sz w:val="24"/>
          <w:highlight w:val="none"/>
        </w:rPr>
      </w:pPr>
      <w:r>
        <w:rPr>
          <w:rFonts w:hint="eastAsia" w:ascii="宋体" w:hAnsi="宋体"/>
          <w:color w:val="auto"/>
          <w:sz w:val="24"/>
          <w:highlight w:val="none"/>
        </w:rPr>
        <w:t>银行账号：1205210409001029749</w:t>
      </w:r>
    </w:p>
    <w:p w14:paraId="6E4215EC">
      <w:pPr>
        <w:pStyle w:val="2"/>
        <w:ind w:firstLine="240"/>
        <w:rPr>
          <w:color w:val="auto"/>
          <w:highlight w:val="none"/>
        </w:rPr>
      </w:pPr>
    </w:p>
    <w:p w14:paraId="4A9A5D1C">
      <w:pPr>
        <w:pStyle w:val="2"/>
        <w:ind w:firstLine="240"/>
        <w:rPr>
          <w:color w:val="auto"/>
          <w:highlight w:val="none"/>
        </w:rPr>
      </w:pPr>
    </w:p>
    <w:p w14:paraId="0A88F5A7">
      <w:pPr>
        <w:pStyle w:val="2"/>
        <w:ind w:firstLine="240"/>
        <w:rPr>
          <w:color w:val="auto"/>
          <w:highlight w:val="none"/>
        </w:rPr>
      </w:pPr>
    </w:p>
    <w:p w14:paraId="5E7E93CA">
      <w:pPr>
        <w:pStyle w:val="2"/>
        <w:ind w:firstLine="240"/>
        <w:rPr>
          <w:color w:val="auto"/>
          <w:highlight w:val="none"/>
        </w:rPr>
      </w:pPr>
    </w:p>
    <w:p w14:paraId="4D990663">
      <w:pPr>
        <w:pStyle w:val="2"/>
        <w:ind w:firstLine="240"/>
        <w:rPr>
          <w:color w:val="auto"/>
          <w:highlight w:val="none"/>
        </w:rPr>
      </w:pPr>
    </w:p>
    <w:p w14:paraId="7AA2DDCA">
      <w:pPr>
        <w:pStyle w:val="2"/>
        <w:ind w:firstLine="240"/>
        <w:rPr>
          <w:color w:val="auto"/>
          <w:highlight w:val="none"/>
        </w:rPr>
      </w:pPr>
    </w:p>
    <w:p w14:paraId="05832CA2">
      <w:pPr>
        <w:pStyle w:val="2"/>
        <w:ind w:firstLine="240"/>
        <w:rPr>
          <w:color w:val="auto"/>
          <w:highlight w:val="none"/>
        </w:rPr>
      </w:pPr>
    </w:p>
    <w:p w14:paraId="4F260D16">
      <w:pPr>
        <w:pStyle w:val="2"/>
        <w:ind w:firstLine="240"/>
        <w:rPr>
          <w:color w:val="auto"/>
          <w:highlight w:val="none"/>
        </w:rPr>
      </w:pPr>
    </w:p>
    <w:p w14:paraId="18C527A8">
      <w:pPr>
        <w:pStyle w:val="2"/>
        <w:ind w:firstLine="240"/>
        <w:rPr>
          <w:color w:val="auto"/>
          <w:highlight w:val="none"/>
        </w:rPr>
      </w:pPr>
    </w:p>
    <w:p w14:paraId="60B18C1F">
      <w:pPr>
        <w:snapToGrid w:val="0"/>
        <w:spacing w:line="360" w:lineRule="auto"/>
        <w:rPr>
          <w:rFonts w:ascii="宋体" w:hAns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 xml:space="preserve">9.开标一览表 </w:t>
      </w:r>
    </w:p>
    <w:p w14:paraId="20ED4AA4">
      <w:pPr>
        <w:snapToGrid w:val="0"/>
        <w:spacing w:line="360" w:lineRule="auto"/>
        <w:jc w:val="center"/>
        <w:rPr>
          <w:rFonts w:ascii="宋体" w:hAnsi="宋体"/>
          <w:b/>
          <w:color w:val="auto"/>
          <w:sz w:val="30"/>
          <w:szCs w:val="20"/>
          <w:highlight w:val="none"/>
        </w:rPr>
      </w:pPr>
      <w:r>
        <w:rPr>
          <w:rFonts w:hint="eastAsia" w:ascii="宋体" w:hAnsi="宋体"/>
          <w:b/>
          <w:color w:val="auto"/>
          <w:sz w:val="30"/>
          <w:highlight w:val="none"/>
        </w:rPr>
        <w:t>开标一览表</w:t>
      </w:r>
    </w:p>
    <w:p w14:paraId="6256FCD8">
      <w:pPr>
        <w:pStyle w:val="13"/>
        <w:snapToGrid w:val="0"/>
        <w:spacing w:beforeLines="0" w:afterLines="0" w:line="360" w:lineRule="auto"/>
        <w:rPr>
          <w:color w:val="auto"/>
          <w:highlight w:val="none"/>
        </w:rPr>
      </w:pPr>
    </w:p>
    <w:p w14:paraId="4F5959C6">
      <w:pPr>
        <w:snapToGrid w:val="0"/>
        <w:spacing w:before="50" w:after="50"/>
        <w:rPr>
          <w:rFonts w:ascii="宋体" w:hAnsi="宋体"/>
          <w:color w:val="auto"/>
          <w:sz w:val="24"/>
          <w:highlight w:val="none"/>
        </w:rPr>
      </w:pPr>
      <w:r>
        <w:rPr>
          <w:rFonts w:hint="eastAsia" w:ascii="宋体" w:hAnsi="宋体"/>
          <w:color w:val="auto"/>
          <w:sz w:val="24"/>
          <w:highlight w:val="none"/>
        </w:rPr>
        <w:t>招标编号：              项目名称：         标项1、2、3、4或5</w:t>
      </w:r>
    </w:p>
    <w:p w14:paraId="410EC35F">
      <w:pPr>
        <w:snapToGrid w:val="0"/>
        <w:spacing w:before="50" w:after="50"/>
        <w:rPr>
          <w:rFonts w:ascii="仿宋" w:hAnsi="仿宋" w:eastAsia="仿宋" w:cs="仿宋"/>
          <w:color w:val="auto"/>
          <w:sz w:val="24"/>
          <w:highlight w:val="none"/>
        </w:rPr>
      </w:pPr>
      <w:r>
        <w:rPr>
          <w:rFonts w:hint="eastAsia" w:ascii="宋体" w:hAnsi="宋体"/>
          <w:color w:val="auto"/>
          <w:sz w:val="24"/>
          <w:highlight w:val="none"/>
        </w:rPr>
        <w:t>投标人名称：</w:t>
      </w:r>
    </w:p>
    <w:tbl>
      <w:tblPr>
        <w:tblStyle w:val="27"/>
        <w:tblW w:w="91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4"/>
        <w:gridCol w:w="3509"/>
        <w:gridCol w:w="1871"/>
        <w:gridCol w:w="1956"/>
      </w:tblGrid>
      <w:tr w14:paraId="77063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8" w:hRule="atLeast"/>
          <w:jc w:val="center"/>
        </w:trPr>
        <w:tc>
          <w:tcPr>
            <w:tcW w:w="1844" w:type="dxa"/>
            <w:tcBorders>
              <w:top w:val="single" w:color="auto" w:sz="4" w:space="0"/>
              <w:left w:val="single" w:color="auto" w:sz="4" w:space="0"/>
              <w:bottom w:val="single" w:color="auto" w:sz="4" w:space="0"/>
              <w:right w:val="single" w:color="auto" w:sz="4" w:space="0"/>
            </w:tcBorders>
            <w:vAlign w:val="center"/>
          </w:tcPr>
          <w:p w14:paraId="5E2E18CE">
            <w:pPr>
              <w:snapToGrid w:val="0"/>
              <w:spacing w:before="50" w:after="50"/>
              <w:jc w:val="center"/>
              <w:rPr>
                <w:rFonts w:ascii="宋体" w:hAnsi="宋体"/>
                <w:color w:val="auto"/>
                <w:sz w:val="24"/>
                <w:highlight w:val="none"/>
              </w:rPr>
            </w:pPr>
            <w:r>
              <w:rPr>
                <w:rFonts w:hint="eastAsia" w:ascii="宋体" w:hAnsi="宋体"/>
                <w:color w:val="auto"/>
                <w:sz w:val="24"/>
                <w:highlight w:val="none"/>
              </w:rPr>
              <w:t>服务项目名称</w:t>
            </w:r>
          </w:p>
        </w:tc>
        <w:tc>
          <w:tcPr>
            <w:tcW w:w="3509" w:type="dxa"/>
            <w:tcBorders>
              <w:top w:val="single" w:color="auto" w:sz="4" w:space="0"/>
              <w:left w:val="single" w:color="auto" w:sz="4" w:space="0"/>
              <w:bottom w:val="single" w:color="auto" w:sz="4" w:space="0"/>
              <w:right w:val="single" w:color="auto" w:sz="4" w:space="0"/>
            </w:tcBorders>
            <w:vAlign w:val="center"/>
          </w:tcPr>
          <w:p w14:paraId="3DF4E7D8">
            <w:pPr>
              <w:snapToGrid w:val="0"/>
              <w:spacing w:before="50" w:after="50"/>
              <w:jc w:val="center"/>
              <w:rPr>
                <w:rFonts w:ascii="宋体" w:hAnsi="宋体"/>
                <w:color w:val="auto"/>
                <w:sz w:val="24"/>
                <w:highlight w:val="none"/>
              </w:rPr>
            </w:pPr>
            <w:r>
              <w:rPr>
                <w:rFonts w:hint="eastAsia" w:ascii="宋体" w:hAnsi="宋体"/>
                <w:color w:val="auto"/>
                <w:sz w:val="24"/>
                <w:highlight w:val="none"/>
              </w:rPr>
              <w:t>投标报价</w:t>
            </w:r>
          </w:p>
        </w:tc>
        <w:tc>
          <w:tcPr>
            <w:tcW w:w="1871" w:type="dxa"/>
            <w:tcBorders>
              <w:top w:val="single" w:color="auto" w:sz="4" w:space="0"/>
              <w:left w:val="single" w:color="auto" w:sz="4" w:space="0"/>
              <w:bottom w:val="single" w:color="auto" w:sz="4" w:space="0"/>
              <w:right w:val="single" w:color="auto" w:sz="4" w:space="0"/>
            </w:tcBorders>
            <w:vAlign w:val="center"/>
          </w:tcPr>
          <w:p w14:paraId="407230D6">
            <w:pPr>
              <w:snapToGrid w:val="0"/>
              <w:spacing w:before="50" w:after="50"/>
              <w:jc w:val="center"/>
              <w:rPr>
                <w:rFonts w:ascii="宋体" w:hAnsi="宋体"/>
                <w:color w:val="auto"/>
                <w:sz w:val="24"/>
                <w:highlight w:val="none"/>
              </w:rPr>
            </w:pPr>
            <w:r>
              <w:rPr>
                <w:rFonts w:hint="eastAsia" w:ascii="宋体" w:hAnsi="宋体"/>
                <w:color w:val="auto"/>
                <w:sz w:val="24"/>
                <w:highlight w:val="none"/>
              </w:rPr>
              <w:t>服务期</w:t>
            </w:r>
          </w:p>
        </w:tc>
        <w:tc>
          <w:tcPr>
            <w:tcW w:w="1956" w:type="dxa"/>
            <w:tcBorders>
              <w:top w:val="single" w:color="auto" w:sz="4" w:space="0"/>
              <w:left w:val="single" w:color="auto" w:sz="4" w:space="0"/>
              <w:bottom w:val="single" w:color="auto" w:sz="4" w:space="0"/>
              <w:right w:val="single" w:color="auto" w:sz="4" w:space="0"/>
            </w:tcBorders>
            <w:vAlign w:val="center"/>
          </w:tcPr>
          <w:p w14:paraId="1573BDEA">
            <w:pPr>
              <w:snapToGrid w:val="0"/>
              <w:spacing w:before="50" w:after="50"/>
              <w:jc w:val="center"/>
              <w:rPr>
                <w:rFonts w:ascii="宋体" w:hAnsi="宋体"/>
                <w:color w:val="auto"/>
                <w:sz w:val="24"/>
                <w:highlight w:val="none"/>
              </w:rPr>
            </w:pPr>
            <w:r>
              <w:rPr>
                <w:rFonts w:hint="eastAsia" w:ascii="宋体" w:hAnsi="宋体"/>
                <w:color w:val="auto"/>
                <w:sz w:val="24"/>
                <w:highlight w:val="none"/>
              </w:rPr>
              <w:t>是否具有符合小微企业价格扣除政策的情形</w:t>
            </w:r>
          </w:p>
        </w:tc>
      </w:tr>
      <w:tr w14:paraId="39159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4" w:hRule="atLeast"/>
          <w:jc w:val="center"/>
        </w:trPr>
        <w:tc>
          <w:tcPr>
            <w:tcW w:w="1844" w:type="dxa"/>
            <w:tcBorders>
              <w:top w:val="single" w:color="auto" w:sz="4" w:space="0"/>
              <w:left w:val="single" w:color="auto" w:sz="4" w:space="0"/>
              <w:bottom w:val="single" w:color="auto" w:sz="4" w:space="0"/>
              <w:right w:val="single" w:color="auto" w:sz="4" w:space="0"/>
            </w:tcBorders>
            <w:vAlign w:val="center"/>
          </w:tcPr>
          <w:p w14:paraId="5829CDBB">
            <w:pPr>
              <w:snapToGrid w:val="0"/>
              <w:spacing w:before="50" w:after="50"/>
              <w:rPr>
                <w:rFonts w:ascii="宋体" w:hAnsi="宋体"/>
                <w:color w:val="auto"/>
                <w:sz w:val="24"/>
                <w:highlight w:val="none"/>
              </w:rPr>
            </w:pPr>
            <w:r>
              <w:rPr>
                <w:rFonts w:hint="eastAsia" w:ascii="宋体" w:hAnsi="宋体"/>
                <w:color w:val="auto"/>
                <w:sz w:val="24"/>
                <w:highlight w:val="none"/>
              </w:rPr>
              <w:t>基本服务</w:t>
            </w:r>
          </w:p>
        </w:tc>
        <w:tc>
          <w:tcPr>
            <w:tcW w:w="3509" w:type="dxa"/>
            <w:tcBorders>
              <w:top w:val="single" w:color="auto" w:sz="4" w:space="0"/>
              <w:left w:val="single" w:color="auto" w:sz="4" w:space="0"/>
              <w:bottom w:val="single" w:color="auto" w:sz="4" w:space="0"/>
              <w:right w:val="single" w:color="auto" w:sz="4" w:space="0"/>
            </w:tcBorders>
            <w:vAlign w:val="center"/>
          </w:tcPr>
          <w:p w14:paraId="1913803C">
            <w:pPr>
              <w:snapToGrid w:val="0"/>
              <w:spacing w:before="50" w:after="50"/>
              <w:rPr>
                <w:rFonts w:ascii="宋体" w:hAnsi="宋体"/>
                <w:color w:val="auto"/>
                <w:sz w:val="24"/>
                <w:highlight w:val="none"/>
              </w:rPr>
            </w:pPr>
            <w:r>
              <w:rPr>
                <w:rFonts w:hint="eastAsia" w:ascii="宋体" w:hAnsi="宋体"/>
                <w:color w:val="auto"/>
                <w:sz w:val="24"/>
                <w:highlight w:val="none"/>
              </w:rPr>
              <w:t>无须报价。</w:t>
            </w:r>
          </w:p>
        </w:tc>
        <w:tc>
          <w:tcPr>
            <w:tcW w:w="1871" w:type="dxa"/>
            <w:vMerge w:val="restart"/>
            <w:tcBorders>
              <w:top w:val="single" w:color="auto" w:sz="4" w:space="0"/>
              <w:left w:val="single" w:color="auto" w:sz="4" w:space="0"/>
              <w:bottom w:val="single" w:color="auto" w:sz="4" w:space="0"/>
              <w:right w:val="single" w:color="auto" w:sz="4" w:space="0"/>
            </w:tcBorders>
            <w:vAlign w:val="center"/>
          </w:tcPr>
          <w:p w14:paraId="2F90C7A7">
            <w:pPr>
              <w:snapToGrid w:val="0"/>
              <w:spacing w:before="50" w:after="50"/>
              <w:jc w:val="center"/>
              <w:rPr>
                <w:rFonts w:ascii="宋体" w:hAnsi="宋体"/>
                <w:color w:val="auto"/>
                <w:sz w:val="24"/>
                <w:highlight w:val="none"/>
              </w:rPr>
            </w:pPr>
            <w:r>
              <w:rPr>
                <w:rFonts w:hint="eastAsia" w:ascii="宋体" w:hAnsi="宋体"/>
                <w:color w:val="auto"/>
                <w:sz w:val="24"/>
                <w:highlight w:val="none"/>
              </w:rPr>
              <w:t>3年</w:t>
            </w:r>
          </w:p>
        </w:tc>
        <w:tc>
          <w:tcPr>
            <w:tcW w:w="1956" w:type="dxa"/>
            <w:tcBorders>
              <w:top w:val="single" w:color="auto" w:sz="4" w:space="0"/>
              <w:left w:val="single" w:color="auto" w:sz="4" w:space="0"/>
              <w:bottom w:val="single" w:color="auto" w:sz="4" w:space="0"/>
              <w:right w:val="single" w:color="auto" w:sz="4" w:space="0"/>
            </w:tcBorders>
            <w:vAlign w:val="center"/>
          </w:tcPr>
          <w:p w14:paraId="7C034124">
            <w:pPr>
              <w:snapToGrid w:val="0"/>
              <w:spacing w:before="50" w:after="50"/>
              <w:rPr>
                <w:rFonts w:ascii="宋体" w:hAnsi="宋体"/>
                <w:color w:val="auto"/>
                <w:sz w:val="24"/>
                <w:highlight w:val="none"/>
              </w:rPr>
            </w:pPr>
          </w:p>
        </w:tc>
      </w:tr>
      <w:tr w14:paraId="792F8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24" w:hRule="atLeast"/>
          <w:jc w:val="center"/>
        </w:trPr>
        <w:tc>
          <w:tcPr>
            <w:tcW w:w="1844" w:type="dxa"/>
            <w:tcBorders>
              <w:top w:val="single" w:color="auto" w:sz="4" w:space="0"/>
              <w:left w:val="single" w:color="auto" w:sz="4" w:space="0"/>
              <w:bottom w:val="single" w:color="auto" w:sz="4" w:space="0"/>
              <w:right w:val="single" w:color="auto" w:sz="4" w:space="0"/>
            </w:tcBorders>
            <w:vAlign w:val="center"/>
          </w:tcPr>
          <w:p w14:paraId="5E04395E">
            <w:pPr>
              <w:widowControl/>
              <w:jc w:val="left"/>
              <w:rPr>
                <w:rFonts w:ascii="宋体" w:hAnsi="宋体"/>
                <w:color w:val="auto"/>
                <w:sz w:val="24"/>
                <w:highlight w:val="none"/>
              </w:rPr>
            </w:pPr>
            <w:r>
              <w:rPr>
                <w:rFonts w:hint="eastAsia" w:ascii="宋体" w:hAnsi="宋体"/>
                <w:color w:val="auto"/>
                <w:sz w:val="24"/>
                <w:highlight w:val="none"/>
              </w:rPr>
              <w:t>个性服务</w:t>
            </w:r>
          </w:p>
        </w:tc>
        <w:tc>
          <w:tcPr>
            <w:tcW w:w="3509" w:type="dxa"/>
            <w:tcBorders>
              <w:top w:val="single" w:color="auto" w:sz="4" w:space="0"/>
              <w:left w:val="single" w:color="auto" w:sz="4" w:space="0"/>
              <w:bottom w:val="single" w:color="auto" w:sz="4" w:space="0"/>
              <w:right w:val="single" w:color="auto" w:sz="4" w:space="0"/>
            </w:tcBorders>
            <w:vAlign w:val="center"/>
          </w:tcPr>
          <w:p w14:paraId="7EF4B29B">
            <w:pPr>
              <w:snapToGrid w:val="0"/>
              <w:spacing w:before="50" w:after="50"/>
              <w:jc w:val="left"/>
              <w:rPr>
                <w:rFonts w:ascii="宋体" w:hAnsi="宋体"/>
                <w:color w:val="auto"/>
                <w:sz w:val="24"/>
                <w:highlight w:val="none"/>
              </w:rPr>
            </w:pPr>
            <w:r>
              <w:rPr>
                <w:rFonts w:hint="eastAsia" w:ascii="宋体" w:hAnsi="宋体"/>
                <w:color w:val="auto"/>
                <w:sz w:val="24"/>
                <w:highlight w:val="none"/>
              </w:rPr>
              <w:t>本次投标报价的折扣为    %</w:t>
            </w:r>
          </w:p>
        </w:tc>
        <w:tc>
          <w:tcPr>
            <w:tcW w:w="1871" w:type="dxa"/>
            <w:vMerge w:val="continue"/>
            <w:tcBorders>
              <w:top w:val="single" w:color="auto" w:sz="4" w:space="0"/>
              <w:left w:val="single" w:color="auto" w:sz="4" w:space="0"/>
              <w:bottom w:val="single" w:color="auto" w:sz="4" w:space="0"/>
              <w:right w:val="single" w:color="auto" w:sz="4" w:space="0"/>
            </w:tcBorders>
            <w:vAlign w:val="center"/>
          </w:tcPr>
          <w:p w14:paraId="2BCBF3EC">
            <w:pPr>
              <w:widowControl/>
              <w:jc w:val="left"/>
              <w:rPr>
                <w:rFonts w:ascii="宋体" w:hAnsi="宋体"/>
                <w:color w:val="auto"/>
                <w:sz w:val="24"/>
                <w:highlight w:val="none"/>
              </w:rPr>
            </w:pPr>
          </w:p>
        </w:tc>
        <w:tc>
          <w:tcPr>
            <w:tcW w:w="1956" w:type="dxa"/>
            <w:tcBorders>
              <w:top w:val="single" w:color="auto" w:sz="4" w:space="0"/>
              <w:left w:val="single" w:color="auto" w:sz="4" w:space="0"/>
              <w:bottom w:val="single" w:color="auto" w:sz="4" w:space="0"/>
              <w:right w:val="single" w:color="auto" w:sz="4" w:space="0"/>
            </w:tcBorders>
            <w:vAlign w:val="center"/>
          </w:tcPr>
          <w:p w14:paraId="67507A5A">
            <w:pPr>
              <w:snapToGrid w:val="0"/>
              <w:spacing w:before="50" w:after="50"/>
              <w:rPr>
                <w:rFonts w:ascii="宋体" w:hAnsi="宋体"/>
                <w:color w:val="auto"/>
                <w:sz w:val="24"/>
                <w:highlight w:val="none"/>
              </w:rPr>
            </w:pPr>
          </w:p>
        </w:tc>
      </w:tr>
    </w:tbl>
    <w:p w14:paraId="4E4137CD">
      <w:pPr>
        <w:pStyle w:val="26"/>
        <w:ind w:left="0" w:leftChars="0" w:firstLine="480"/>
        <w:rPr>
          <w:rFonts w:ascii="仿宋" w:hAnsi="仿宋" w:eastAsia="仿宋" w:cs="仿宋"/>
          <w:color w:val="auto"/>
          <w:kern w:val="0"/>
          <w:sz w:val="24"/>
          <w:highlight w:val="none"/>
        </w:rPr>
      </w:pPr>
    </w:p>
    <w:p w14:paraId="38FC21DB">
      <w:pPr>
        <w:pStyle w:val="26"/>
        <w:ind w:left="0" w:leftChars="0" w:firstLine="480"/>
        <w:rPr>
          <w:rFonts w:ascii="宋体" w:hAnsi="宋体"/>
          <w:color w:val="auto"/>
          <w:sz w:val="24"/>
          <w:highlight w:val="none"/>
        </w:rPr>
      </w:pPr>
      <w:r>
        <w:rPr>
          <w:rFonts w:hint="eastAsia" w:ascii="宋体" w:hAnsi="宋体"/>
          <w:color w:val="auto"/>
          <w:sz w:val="24"/>
          <w:highlight w:val="none"/>
        </w:rPr>
        <w:t>注:1结算单价=采购清单中的各项单价*折扣，费用按实际数量结算；</w:t>
      </w:r>
    </w:p>
    <w:p w14:paraId="64B99128">
      <w:pPr>
        <w:pStyle w:val="26"/>
        <w:ind w:left="0" w:leftChars="0" w:firstLine="480"/>
        <w:rPr>
          <w:rFonts w:ascii="宋体" w:hAnsi="宋体"/>
          <w:color w:val="auto"/>
          <w:sz w:val="24"/>
          <w:highlight w:val="none"/>
        </w:rPr>
      </w:pPr>
      <w:r>
        <w:rPr>
          <w:rFonts w:hint="eastAsia" w:ascii="宋体" w:hAnsi="宋体"/>
          <w:color w:val="auto"/>
          <w:sz w:val="24"/>
          <w:highlight w:val="none"/>
        </w:rPr>
        <w:t>2.报价一经涂改，应在涂改处加盖单位公章或者由法定代表人或授权委托人签字或盖章，否则其投标作无效标处理。</w:t>
      </w:r>
    </w:p>
    <w:p w14:paraId="0EECED9C">
      <w:pPr>
        <w:pStyle w:val="26"/>
        <w:ind w:left="0" w:leftChars="0" w:firstLine="480"/>
        <w:rPr>
          <w:rFonts w:ascii="宋体" w:hAnsi="宋体"/>
          <w:color w:val="auto"/>
          <w:sz w:val="24"/>
          <w:highlight w:val="none"/>
        </w:rPr>
      </w:pPr>
      <w:r>
        <w:rPr>
          <w:rFonts w:hint="eastAsia" w:ascii="宋体" w:hAnsi="宋体"/>
          <w:color w:val="auto"/>
          <w:sz w:val="24"/>
          <w:highlight w:val="none"/>
        </w:rPr>
        <w:t>3.不提供此表格的将视为没有实质性响应招标文件。</w:t>
      </w:r>
    </w:p>
    <w:p w14:paraId="5A5821AF">
      <w:pPr>
        <w:snapToGrid w:val="0"/>
        <w:spacing w:line="360" w:lineRule="auto"/>
        <w:ind w:left="-2" w:leftChars="-1" w:right="-817" w:rightChars="-389"/>
        <w:rPr>
          <w:rFonts w:ascii="宋体" w:hAnsi="宋体"/>
          <w:color w:val="auto"/>
          <w:sz w:val="24"/>
          <w:highlight w:val="none"/>
        </w:rPr>
      </w:pPr>
    </w:p>
    <w:p w14:paraId="7CA68457">
      <w:pPr>
        <w:snapToGrid w:val="0"/>
        <w:spacing w:line="360" w:lineRule="auto"/>
        <w:ind w:left="-2" w:leftChars="-1" w:right="-817" w:rightChars="-389"/>
        <w:rPr>
          <w:rFonts w:ascii="宋体" w:hAnsi="宋体"/>
          <w:color w:val="auto"/>
          <w:sz w:val="24"/>
          <w:szCs w:val="20"/>
          <w:highlight w:val="none"/>
        </w:rPr>
      </w:pPr>
      <w:r>
        <w:rPr>
          <w:rFonts w:hint="eastAsia" w:ascii="宋体" w:hAnsi="宋体"/>
          <w:color w:val="auto"/>
          <w:sz w:val="24"/>
          <w:highlight w:val="none"/>
        </w:rPr>
        <w:t>法定代表人签字：</w:t>
      </w:r>
    </w:p>
    <w:p w14:paraId="3A1CD5C8">
      <w:pPr>
        <w:snapToGrid w:val="0"/>
        <w:spacing w:line="360" w:lineRule="auto"/>
        <w:ind w:right="-817" w:rightChars="-389"/>
        <w:rPr>
          <w:rFonts w:ascii="宋体" w:hAnsi="宋体"/>
          <w:color w:val="auto"/>
          <w:sz w:val="24"/>
          <w:highlight w:val="none"/>
        </w:rPr>
      </w:pPr>
      <w:r>
        <w:rPr>
          <w:rFonts w:hint="eastAsia" w:ascii="宋体" w:hAnsi="宋体"/>
          <w:color w:val="auto"/>
          <w:sz w:val="24"/>
          <w:highlight w:val="none"/>
        </w:rPr>
        <w:t>投标人名称（盖章）：日期：年月日</w:t>
      </w:r>
    </w:p>
    <w:p w14:paraId="65302A25">
      <w:pPr>
        <w:pStyle w:val="2"/>
        <w:ind w:firstLine="240"/>
        <w:rPr>
          <w:color w:val="auto"/>
          <w:highlight w:val="none"/>
        </w:rPr>
      </w:pPr>
    </w:p>
    <w:p w14:paraId="4AE371D7">
      <w:pPr>
        <w:pStyle w:val="2"/>
        <w:ind w:firstLine="240"/>
        <w:rPr>
          <w:color w:val="auto"/>
          <w:highlight w:val="none"/>
        </w:rPr>
      </w:pPr>
    </w:p>
    <w:p w14:paraId="718890E6">
      <w:pPr>
        <w:pStyle w:val="2"/>
        <w:ind w:firstLine="240"/>
        <w:rPr>
          <w:color w:val="auto"/>
          <w:highlight w:val="none"/>
        </w:rPr>
      </w:pPr>
    </w:p>
    <w:p w14:paraId="555069CC">
      <w:pPr>
        <w:pStyle w:val="2"/>
        <w:ind w:firstLine="240"/>
        <w:rPr>
          <w:color w:val="auto"/>
          <w:highlight w:val="none"/>
        </w:rPr>
      </w:pPr>
    </w:p>
    <w:p w14:paraId="0560497F">
      <w:pPr>
        <w:pStyle w:val="2"/>
        <w:ind w:firstLine="240"/>
        <w:rPr>
          <w:color w:val="auto"/>
          <w:highlight w:val="none"/>
        </w:rPr>
      </w:pPr>
    </w:p>
    <w:p w14:paraId="06891B87">
      <w:pPr>
        <w:pStyle w:val="2"/>
        <w:ind w:firstLine="240"/>
        <w:rPr>
          <w:color w:val="auto"/>
          <w:highlight w:val="none"/>
        </w:rPr>
      </w:pPr>
    </w:p>
    <w:p w14:paraId="1A2A0B1C">
      <w:pPr>
        <w:spacing w:line="360" w:lineRule="auto"/>
        <w:rPr>
          <w:color w:val="auto"/>
          <w:sz w:val="28"/>
          <w:szCs w:val="28"/>
          <w:highlight w:val="none"/>
        </w:rPr>
      </w:pPr>
      <w:r>
        <w:rPr>
          <w:rFonts w:hint="eastAsia"/>
          <w:color w:val="auto"/>
          <w:sz w:val="28"/>
          <w:szCs w:val="28"/>
          <w:highlight w:val="none"/>
        </w:rPr>
        <w:t>附件：</w:t>
      </w:r>
      <w:r>
        <w:rPr>
          <w:color w:val="auto"/>
          <w:sz w:val="28"/>
          <w:szCs w:val="28"/>
          <w:highlight w:val="none"/>
        </w:rPr>
        <w:t xml:space="preserve"> “</w:t>
      </w:r>
      <w:r>
        <w:rPr>
          <w:rFonts w:hint="eastAsia"/>
          <w:color w:val="auto"/>
          <w:sz w:val="28"/>
          <w:szCs w:val="28"/>
          <w:highlight w:val="none"/>
        </w:rPr>
        <w:t>信用中国</w:t>
      </w:r>
      <w:r>
        <w:rPr>
          <w:color w:val="auto"/>
          <w:sz w:val="28"/>
          <w:szCs w:val="28"/>
          <w:highlight w:val="none"/>
        </w:rPr>
        <w:t>”</w:t>
      </w:r>
      <w:r>
        <w:rPr>
          <w:rFonts w:hint="eastAsia"/>
          <w:color w:val="auto"/>
          <w:sz w:val="28"/>
          <w:szCs w:val="28"/>
          <w:highlight w:val="none"/>
        </w:rPr>
        <w:t>（</w:t>
      </w:r>
      <w:r>
        <w:rPr>
          <w:color w:val="auto"/>
          <w:sz w:val="28"/>
          <w:szCs w:val="28"/>
          <w:highlight w:val="none"/>
        </w:rPr>
        <w:t>www.creditchina.gov.cn</w:t>
      </w:r>
      <w:r>
        <w:rPr>
          <w:rFonts w:hint="eastAsia"/>
          <w:color w:val="auto"/>
          <w:sz w:val="28"/>
          <w:szCs w:val="28"/>
          <w:highlight w:val="none"/>
        </w:rPr>
        <w:t>）、</w:t>
      </w:r>
      <w:r>
        <w:rPr>
          <w:color w:val="auto"/>
          <w:sz w:val="28"/>
          <w:szCs w:val="28"/>
          <w:highlight w:val="none"/>
        </w:rPr>
        <w:t>“</w:t>
      </w:r>
      <w:r>
        <w:rPr>
          <w:rFonts w:hint="eastAsia"/>
          <w:color w:val="auto"/>
          <w:sz w:val="28"/>
          <w:szCs w:val="28"/>
          <w:highlight w:val="none"/>
        </w:rPr>
        <w:t>中国政府采购网</w:t>
      </w:r>
      <w:r>
        <w:rPr>
          <w:color w:val="auto"/>
          <w:sz w:val="28"/>
          <w:szCs w:val="28"/>
          <w:highlight w:val="none"/>
        </w:rPr>
        <w:t>”</w:t>
      </w:r>
      <w:r>
        <w:rPr>
          <w:rFonts w:hint="eastAsia"/>
          <w:color w:val="auto"/>
          <w:sz w:val="28"/>
          <w:szCs w:val="28"/>
          <w:highlight w:val="none"/>
        </w:rPr>
        <w:t>（</w:t>
      </w:r>
      <w:r>
        <w:rPr>
          <w:color w:val="auto"/>
          <w:sz w:val="28"/>
          <w:szCs w:val="28"/>
          <w:highlight w:val="none"/>
        </w:rPr>
        <w:t>www.ccgp.gov.cn</w:t>
      </w:r>
      <w:r>
        <w:rPr>
          <w:rFonts w:hint="eastAsia"/>
          <w:color w:val="auto"/>
          <w:sz w:val="28"/>
          <w:szCs w:val="28"/>
          <w:highlight w:val="none"/>
        </w:rPr>
        <w:t>）网页截图</w:t>
      </w:r>
      <w:r>
        <w:rPr>
          <w:color w:val="auto"/>
          <w:sz w:val="28"/>
          <w:szCs w:val="28"/>
          <w:highlight w:val="none"/>
        </w:rPr>
        <w:t>模板</w:t>
      </w:r>
    </w:p>
    <w:p w14:paraId="42E06F2D">
      <w:pPr>
        <w:spacing w:line="360" w:lineRule="auto"/>
        <w:rPr>
          <w:i/>
          <w:color w:val="auto"/>
          <w:sz w:val="28"/>
          <w:szCs w:val="28"/>
          <w:highlight w:val="none"/>
        </w:rPr>
      </w:pPr>
    </w:p>
    <w:p w14:paraId="0E3F10B2">
      <w:pPr>
        <w:rPr>
          <w:color w:val="auto"/>
          <w:highlight w:val="none"/>
        </w:rPr>
      </w:pPr>
      <w:r>
        <w:rPr>
          <w:color w:val="auto"/>
          <w:highlight w:val="none"/>
        </w:rPr>
        <w:drawing>
          <wp:inline distT="0" distB="0" distL="0" distR="0">
            <wp:extent cx="5172075" cy="3844290"/>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175766" cy="3847079"/>
                    </a:xfrm>
                    <a:prstGeom prst="rect">
                      <a:avLst/>
                    </a:prstGeom>
                  </pic:spPr>
                </pic:pic>
              </a:graphicData>
            </a:graphic>
          </wp:inline>
        </w:drawing>
      </w:r>
      <w:r>
        <w:rPr>
          <w:color w:val="auto"/>
          <w:highlight w:val="none"/>
        </w:rPr>
        <w:drawing>
          <wp:inline distT="0" distB="0" distL="0" distR="0">
            <wp:extent cx="5274310" cy="3065780"/>
            <wp:effectExtent l="0" t="0" r="254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274310" cy="3066327"/>
                    </a:xfrm>
                    <a:prstGeom prst="rect">
                      <a:avLst/>
                    </a:prstGeom>
                  </pic:spPr>
                </pic:pic>
              </a:graphicData>
            </a:graphic>
          </wp:inline>
        </w:drawing>
      </w:r>
    </w:p>
    <w:sectPr>
      <w:pgSz w:w="11906" w:h="16838"/>
      <w:pgMar w:top="1440" w:right="1080" w:bottom="1440" w:left="108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00" w:usb3="00000000" w:csb0="00040000" w:csb1="00000000"/>
  </w:font>
  <w:font w:name="Malgun Gothic Semilight">
    <w:altName w:val="Malgun Gothic"/>
    <w:panose1 w:val="00000000000000000000"/>
    <w:charset w:val="00"/>
    <w:family w:val="auto"/>
    <w:pitch w:val="default"/>
    <w:sig w:usb0="00000000" w:usb1="00000000" w:usb2="00000000" w:usb3="00000000" w:csb0="00000000" w:csb1="00000000"/>
  </w:font>
  <w:font w:name="Arial Narrow">
    <w:altName w:val="Times New Roman"/>
    <w:panose1 w:val="00000000000000000000"/>
    <w:charset w:val="00"/>
    <w:family w:val="swiss"/>
    <w:pitch w:val="default"/>
    <w:sig w:usb0="00000000" w:usb1="00000000" w:usb2="00000000" w:usb3="00000000" w:csb0="2000009F" w:csb1="DFD70000"/>
  </w:font>
  <w:font w:name="楷体_GB2312">
    <w:altName w:val="楷体"/>
    <w:panose1 w:val="00000000000000000000"/>
    <w:charset w:val="86"/>
    <w:family w:val="auto"/>
    <w:pitch w:val="default"/>
    <w:sig w:usb0="00000000" w:usb1="0000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方正大标宋_GBK">
    <w:altName w:val="宋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Malgun Gothic">
    <w:panose1 w:val="020B0503020000020004"/>
    <w:charset w:val="81"/>
    <w:family w:val="auto"/>
    <w:pitch w:val="default"/>
    <w:sig w:usb0="900002AF" w:usb1="01D77CFB" w:usb2="00000012" w:usb3="00000000" w:csb0="0008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7D343">
    <w:pPr>
      <w:pStyle w:val="17"/>
      <w:framePr w:wrap="around" w:vAnchor="text" w:hAnchor="margin" w:xAlign="outside" w:y="1"/>
      <w:rPr>
        <w:rStyle w:val="29"/>
        <w:rFonts w:ascii="宋体" w:hAnsi="宋体"/>
        <w:sz w:val="28"/>
        <w:szCs w:val="28"/>
      </w:rPr>
    </w:pPr>
  </w:p>
  <w:p w14:paraId="68EDAE48">
    <w:pPr>
      <w:pStyle w:val="42"/>
      <w:ind w:firstLine="420"/>
      <w:rPr>
        <w:sz w:val="24"/>
      </w:rPr>
    </w:pPr>
    <w:r>
      <w:rPr>
        <w:rFonts w:hint="eastAsia"/>
      </w:rPr>
      <w:t xml:space="preserve">   浙江华耀建设咨询有限公司                                  </w:t>
    </w:r>
    <w:r>
      <w:tab/>
    </w:r>
    <w:r>
      <w:rPr>
        <w:sz w:val="24"/>
      </w:rPr>
      <w:t xml:space="preserve">- </w:t>
    </w:r>
    <w:r>
      <w:rPr>
        <w:sz w:val="24"/>
      </w:rPr>
      <w:fldChar w:fldCharType="begin"/>
    </w:r>
    <w:r>
      <w:rPr>
        <w:sz w:val="24"/>
      </w:rPr>
      <w:instrText xml:space="preserve"> PAGE </w:instrText>
    </w:r>
    <w:r>
      <w:rPr>
        <w:sz w:val="24"/>
      </w:rP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A9011">
    <w:pPr>
      <w:pStyle w:val="17"/>
      <w:framePr w:wrap="around" w:vAnchor="text" w:hAnchor="margin" w:xAlign="outside" w:y="1"/>
      <w:rPr>
        <w:rStyle w:val="29"/>
      </w:rPr>
    </w:pPr>
    <w:r>
      <w:fldChar w:fldCharType="begin"/>
    </w:r>
    <w:r>
      <w:rPr>
        <w:rStyle w:val="29"/>
      </w:rPr>
      <w:instrText xml:space="preserve">PAGE  </w:instrText>
    </w:r>
    <w:r>
      <w:fldChar w:fldCharType="end"/>
    </w:r>
  </w:p>
  <w:p w14:paraId="39D9261E">
    <w:pPr>
      <w:pStyle w:val="17"/>
      <w:ind w:right="360" w:firstLine="360"/>
    </w:pPr>
  </w:p>
  <w:p w14:paraId="0BB7F8FD"/>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0BCA9">
    <w:pPr>
      <w:pStyle w:val="13"/>
      <w:snapToGrid w:val="0"/>
      <w:spacing w:beforeLines="0" w:afterLines="0" w:line="360" w:lineRule="auto"/>
      <w:rPr>
        <w:rFonts w:hAnsi="宋体"/>
        <w:szCs w:val="21"/>
        <w:u w:val="single"/>
      </w:rPr>
    </w:pPr>
    <w:r>
      <w:rPr>
        <w:rFonts w:hint="eastAsia" w:cs="Arial"/>
        <w:szCs w:val="21"/>
        <w:u w:val="single"/>
      </w:rPr>
      <w:t xml:space="preserve">2025-2028年度吴兴区居家养老服务（照料）中心运营项目                               </w:t>
    </w:r>
    <w:r>
      <w:rPr>
        <w:rFonts w:hint="eastAsia" w:hAnsi="宋体" w:cs="Arial"/>
        <w:szCs w:val="21"/>
        <w:u w:val="singl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1">
    <w:nsid w:val="3D7572D5"/>
    <w:multiLevelType w:val="singleLevel"/>
    <w:tmpl w:val="3D7572D5"/>
    <w:lvl w:ilvl="0" w:tentative="0">
      <w:start w:val="1"/>
      <w:numFmt w:val="decimal"/>
      <w:suff w:val="nothing"/>
      <w:lvlText w:val="%1、"/>
      <w:lvlJc w:val="left"/>
    </w:lvl>
  </w:abstractNum>
  <w:abstractNum w:abstractNumId="2">
    <w:nsid w:val="56F656F8"/>
    <w:multiLevelType w:val="singleLevel"/>
    <w:tmpl w:val="56F656F8"/>
    <w:lvl w:ilvl="0" w:tentative="0">
      <w:start w:val="1"/>
      <w:numFmt w:val="decimal"/>
      <w:pStyle w:val="7"/>
      <w:lvlText w:val="%1."/>
      <w:lvlJc w:val="left"/>
      <w:pPr>
        <w:tabs>
          <w:tab w:val="left" w:pos="360"/>
        </w:tabs>
        <w:ind w:left="360" w:hanging="360"/>
      </w:pPr>
    </w:lvl>
  </w:abstractNum>
  <w:abstractNum w:abstractNumId="3">
    <w:nsid w:val="66482A15"/>
    <w:multiLevelType w:val="multilevel"/>
    <w:tmpl w:val="66482A15"/>
    <w:lvl w:ilvl="0" w:tentative="0">
      <w:start w:val="1"/>
      <w:numFmt w:val="decimalEnclosedCircle"/>
      <w:lvlText w:val="%1"/>
      <w:lvlJc w:val="left"/>
      <w:pPr>
        <w:ind w:left="360" w:hanging="360"/>
      </w:pPr>
      <w:rPr>
        <w:rFonts w:hint="default" w:ascii="宋体" w:hAnsi="宋体" w:eastAsia="宋体" w:cs="TimesNewRomanPSM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NGZlNDNmNWQ3ODE3YTYwOWUyNmNlN2Q2OTU1YzMifQ=="/>
  </w:docVars>
  <w:rsids>
    <w:rsidRoot w:val="28232F7C"/>
    <w:rsid w:val="00000701"/>
    <w:rsid w:val="000045D3"/>
    <w:rsid w:val="00006338"/>
    <w:rsid w:val="000138A1"/>
    <w:rsid w:val="00015912"/>
    <w:rsid w:val="00016C33"/>
    <w:rsid w:val="00021634"/>
    <w:rsid w:val="00021B93"/>
    <w:rsid w:val="00021FF8"/>
    <w:rsid w:val="000224ED"/>
    <w:rsid w:val="00035F22"/>
    <w:rsid w:val="00041A43"/>
    <w:rsid w:val="000429C0"/>
    <w:rsid w:val="00045563"/>
    <w:rsid w:val="00056415"/>
    <w:rsid w:val="000723BC"/>
    <w:rsid w:val="00073FEA"/>
    <w:rsid w:val="000776F2"/>
    <w:rsid w:val="0008013B"/>
    <w:rsid w:val="00085BFC"/>
    <w:rsid w:val="00092169"/>
    <w:rsid w:val="000A00D9"/>
    <w:rsid w:val="000B5F7D"/>
    <w:rsid w:val="000B7AAE"/>
    <w:rsid w:val="000C3E98"/>
    <w:rsid w:val="000C527E"/>
    <w:rsid w:val="000C6F88"/>
    <w:rsid w:val="000D651F"/>
    <w:rsid w:val="000E1093"/>
    <w:rsid w:val="000E2A70"/>
    <w:rsid w:val="000F1266"/>
    <w:rsid w:val="0010386D"/>
    <w:rsid w:val="001073D0"/>
    <w:rsid w:val="00107581"/>
    <w:rsid w:val="001112B3"/>
    <w:rsid w:val="001157E7"/>
    <w:rsid w:val="001162FE"/>
    <w:rsid w:val="00117528"/>
    <w:rsid w:val="001246EA"/>
    <w:rsid w:val="00132197"/>
    <w:rsid w:val="0013220D"/>
    <w:rsid w:val="0013231C"/>
    <w:rsid w:val="00133492"/>
    <w:rsid w:val="00146319"/>
    <w:rsid w:val="00147E09"/>
    <w:rsid w:val="00154530"/>
    <w:rsid w:val="00155AF0"/>
    <w:rsid w:val="00155E2D"/>
    <w:rsid w:val="00164A11"/>
    <w:rsid w:val="00166AC8"/>
    <w:rsid w:val="001735C2"/>
    <w:rsid w:val="001760F4"/>
    <w:rsid w:val="00181A69"/>
    <w:rsid w:val="001860E1"/>
    <w:rsid w:val="001872FA"/>
    <w:rsid w:val="001873EE"/>
    <w:rsid w:val="001952E2"/>
    <w:rsid w:val="00195FD3"/>
    <w:rsid w:val="0019777E"/>
    <w:rsid w:val="001A10BC"/>
    <w:rsid w:val="001A2E9E"/>
    <w:rsid w:val="001A385E"/>
    <w:rsid w:val="001B00C4"/>
    <w:rsid w:val="001B04A4"/>
    <w:rsid w:val="001B2D5D"/>
    <w:rsid w:val="001B5FEE"/>
    <w:rsid w:val="001C024F"/>
    <w:rsid w:val="001C0C09"/>
    <w:rsid w:val="001C4D30"/>
    <w:rsid w:val="001D568D"/>
    <w:rsid w:val="001D6839"/>
    <w:rsid w:val="001E14F4"/>
    <w:rsid w:val="001E233A"/>
    <w:rsid w:val="001E5D57"/>
    <w:rsid w:val="001F16B4"/>
    <w:rsid w:val="00200498"/>
    <w:rsid w:val="00200C80"/>
    <w:rsid w:val="0020519D"/>
    <w:rsid w:val="00213C68"/>
    <w:rsid w:val="00223B21"/>
    <w:rsid w:val="00237FC3"/>
    <w:rsid w:val="00245DCF"/>
    <w:rsid w:val="00251C28"/>
    <w:rsid w:val="0025728C"/>
    <w:rsid w:val="00260FE5"/>
    <w:rsid w:val="00261A8C"/>
    <w:rsid w:val="002625A3"/>
    <w:rsid w:val="00280419"/>
    <w:rsid w:val="002810D2"/>
    <w:rsid w:val="0028268C"/>
    <w:rsid w:val="00286515"/>
    <w:rsid w:val="002868CF"/>
    <w:rsid w:val="00293DEE"/>
    <w:rsid w:val="002A0ED9"/>
    <w:rsid w:val="002A2D2C"/>
    <w:rsid w:val="002A7901"/>
    <w:rsid w:val="002B3FC4"/>
    <w:rsid w:val="002C54F6"/>
    <w:rsid w:val="002C577F"/>
    <w:rsid w:val="002C5AD4"/>
    <w:rsid w:val="002C6D42"/>
    <w:rsid w:val="002C7FC6"/>
    <w:rsid w:val="002D129E"/>
    <w:rsid w:val="002D240E"/>
    <w:rsid w:val="002D341B"/>
    <w:rsid w:val="002D3696"/>
    <w:rsid w:val="002F087A"/>
    <w:rsid w:val="002F09B4"/>
    <w:rsid w:val="002F1F6E"/>
    <w:rsid w:val="00300EDF"/>
    <w:rsid w:val="0030671C"/>
    <w:rsid w:val="00307F51"/>
    <w:rsid w:val="00314443"/>
    <w:rsid w:val="003158E7"/>
    <w:rsid w:val="0031666A"/>
    <w:rsid w:val="003172A8"/>
    <w:rsid w:val="00320B27"/>
    <w:rsid w:val="0032105B"/>
    <w:rsid w:val="00326B9E"/>
    <w:rsid w:val="003321BB"/>
    <w:rsid w:val="003370DD"/>
    <w:rsid w:val="00350592"/>
    <w:rsid w:val="00352E3B"/>
    <w:rsid w:val="00354AF5"/>
    <w:rsid w:val="00361530"/>
    <w:rsid w:val="0036220B"/>
    <w:rsid w:val="00364A0D"/>
    <w:rsid w:val="00365B5A"/>
    <w:rsid w:val="00365BD2"/>
    <w:rsid w:val="0036649D"/>
    <w:rsid w:val="00366AC7"/>
    <w:rsid w:val="00371294"/>
    <w:rsid w:val="00376316"/>
    <w:rsid w:val="00381CD5"/>
    <w:rsid w:val="00383C8B"/>
    <w:rsid w:val="0038644C"/>
    <w:rsid w:val="003A5BDE"/>
    <w:rsid w:val="003B3DD4"/>
    <w:rsid w:val="003B5F16"/>
    <w:rsid w:val="003C08BA"/>
    <w:rsid w:val="003D0CB3"/>
    <w:rsid w:val="003E0A09"/>
    <w:rsid w:val="003E17C9"/>
    <w:rsid w:val="003E307D"/>
    <w:rsid w:val="003F2AED"/>
    <w:rsid w:val="003F316D"/>
    <w:rsid w:val="00401622"/>
    <w:rsid w:val="00415F14"/>
    <w:rsid w:val="004167CC"/>
    <w:rsid w:val="00416B81"/>
    <w:rsid w:val="00417F01"/>
    <w:rsid w:val="004243F2"/>
    <w:rsid w:val="004334CF"/>
    <w:rsid w:val="00435872"/>
    <w:rsid w:val="004365DA"/>
    <w:rsid w:val="0044518B"/>
    <w:rsid w:val="00445AC4"/>
    <w:rsid w:val="00446F75"/>
    <w:rsid w:val="00447C29"/>
    <w:rsid w:val="00452B50"/>
    <w:rsid w:val="00460E49"/>
    <w:rsid w:val="004655D2"/>
    <w:rsid w:val="00467C3B"/>
    <w:rsid w:val="004711D2"/>
    <w:rsid w:val="00474B75"/>
    <w:rsid w:val="00482B30"/>
    <w:rsid w:val="0048425E"/>
    <w:rsid w:val="00485227"/>
    <w:rsid w:val="00493D80"/>
    <w:rsid w:val="004A0AA6"/>
    <w:rsid w:val="004A6F2C"/>
    <w:rsid w:val="004B0F79"/>
    <w:rsid w:val="004B6F52"/>
    <w:rsid w:val="004C05B3"/>
    <w:rsid w:val="004C6209"/>
    <w:rsid w:val="004D5310"/>
    <w:rsid w:val="004E644A"/>
    <w:rsid w:val="004E6BE8"/>
    <w:rsid w:val="004E7DA5"/>
    <w:rsid w:val="004F0386"/>
    <w:rsid w:val="004F41CF"/>
    <w:rsid w:val="00505034"/>
    <w:rsid w:val="00505FAE"/>
    <w:rsid w:val="0052102F"/>
    <w:rsid w:val="00521E1D"/>
    <w:rsid w:val="0052672C"/>
    <w:rsid w:val="00535E1A"/>
    <w:rsid w:val="005361CC"/>
    <w:rsid w:val="005512E3"/>
    <w:rsid w:val="0055287B"/>
    <w:rsid w:val="00560660"/>
    <w:rsid w:val="00563B3E"/>
    <w:rsid w:val="00565C35"/>
    <w:rsid w:val="0056624C"/>
    <w:rsid w:val="0057603B"/>
    <w:rsid w:val="00576206"/>
    <w:rsid w:val="005779F8"/>
    <w:rsid w:val="0058108E"/>
    <w:rsid w:val="00582221"/>
    <w:rsid w:val="005829F5"/>
    <w:rsid w:val="00585C59"/>
    <w:rsid w:val="005A5513"/>
    <w:rsid w:val="005B0F4F"/>
    <w:rsid w:val="005C27D7"/>
    <w:rsid w:val="005D2111"/>
    <w:rsid w:val="005D5CF5"/>
    <w:rsid w:val="005E1100"/>
    <w:rsid w:val="005F6753"/>
    <w:rsid w:val="00611146"/>
    <w:rsid w:val="006162AA"/>
    <w:rsid w:val="0061784B"/>
    <w:rsid w:val="0062253B"/>
    <w:rsid w:val="006467CA"/>
    <w:rsid w:val="0064697B"/>
    <w:rsid w:val="0065030A"/>
    <w:rsid w:val="006508C2"/>
    <w:rsid w:val="00667F32"/>
    <w:rsid w:val="00670EED"/>
    <w:rsid w:val="006725A1"/>
    <w:rsid w:val="006847D2"/>
    <w:rsid w:val="0068532B"/>
    <w:rsid w:val="00693B77"/>
    <w:rsid w:val="006B0D7E"/>
    <w:rsid w:val="006B33FA"/>
    <w:rsid w:val="006B69E0"/>
    <w:rsid w:val="006B7AA9"/>
    <w:rsid w:val="006C38DE"/>
    <w:rsid w:val="006C546B"/>
    <w:rsid w:val="006C7748"/>
    <w:rsid w:val="006E0E3B"/>
    <w:rsid w:val="006E7641"/>
    <w:rsid w:val="006F1544"/>
    <w:rsid w:val="00700765"/>
    <w:rsid w:val="00700DA4"/>
    <w:rsid w:val="007020B8"/>
    <w:rsid w:val="00705E97"/>
    <w:rsid w:val="007156A8"/>
    <w:rsid w:val="007173C8"/>
    <w:rsid w:val="007279AC"/>
    <w:rsid w:val="007326E0"/>
    <w:rsid w:val="00740C06"/>
    <w:rsid w:val="00741308"/>
    <w:rsid w:val="00745DF1"/>
    <w:rsid w:val="007557E6"/>
    <w:rsid w:val="007560D2"/>
    <w:rsid w:val="00756C16"/>
    <w:rsid w:val="007570F8"/>
    <w:rsid w:val="00757DDF"/>
    <w:rsid w:val="00760CC2"/>
    <w:rsid w:val="0077075C"/>
    <w:rsid w:val="0077449F"/>
    <w:rsid w:val="007755F5"/>
    <w:rsid w:val="00792DE1"/>
    <w:rsid w:val="007938D9"/>
    <w:rsid w:val="00793CA5"/>
    <w:rsid w:val="0079454C"/>
    <w:rsid w:val="0079531C"/>
    <w:rsid w:val="007B3149"/>
    <w:rsid w:val="007B54CC"/>
    <w:rsid w:val="007C5B87"/>
    <w:rsid w:val="007E20BF"/>
    <w:rsid w:val="007E7EC8"/>
    <w:rsid w:val="007F193E"/>
    <w:rsid w:val="007F6C30"/>
    <w:rsid w:val="007F7A32"/>
    <w:rsid w:val="0080236C"/>
    <w:rsid w:val="00816BE1"/>
    <w:rsid w:val="00820716"/>
    <w:rsid w:val="0084624A"/>
    <w:rsid w:val="00855612"/>
    <w:rsid w:val="008568E5"/>
    <w:rsid w:val="0086100F"/>
    <w:rsid w:val="008637A5"/>
    <w:rsid w:val="00870985"/>
    <w:rsid w:val="00874A97"/>
    <w:rsid w:val="008912FE"/>
    <w:rsid w:val="00896FC8"/>
    <w:rsid w:val="008A275E"/>
    <w:rsid w:val="008A3C74"/>
    <w:rsid w:val="008B203F"/>
    <w:rsid w:val="008B43CE"/>
    <w:rsid w:val="008B47C1"/>
    <w:rsid w:val="008B4B52"/>
    <w:rsid w:val="008B6811"/>
    <w:rsid w:val="008C5030"/>
    <w:rsid w:val="008C6FEC"/>
    <w:rsid w:val="008F3887"/>
    <w:rsid w:val="008F55ED"/>
    <w:rsid w:val="00901ACE"/>
    <w:rsid w:val="009100EF"/>
    <w:rsid w:val="00915DAF"/>
    <w:rsid w:val="00926C51"/>
    <w:rsid w:val="0094544A"/>
    <w:rsid w:val="009504A8"/>
    <w:rsid w:val="00952B33"/>
    <w:rsid w:val="00974054"/>
    <w:rsid w:val="00976DE5"/>
    <w:rsid w:val="00977CD5"/>
    <w:rsid w:val="00981701"/>
    <w:rsid w:val="00986692"/>
    <w:rsid w:val="00987EF3"/>
    <w:rsid w:val="00991CD2"/>
    <w:rsid w:val="00993F0C"/>
    <w:rsid w:val="0099707E"/>
    <w:rsid w:val="009A0970"/>
    <w:rsid w:val="009A3C20"/>
    <w:rsid w:val="009A3F2F"/>
    <w:rsid w:val="009B0C98"/>
    <w:rsid w:val="009B1F91"/>
    <w:rsid w:val="009B4349"/>
    <w:rsid w:val="009B5959"/>
    <w:rsid w:val="009D4636"/>
    <w:rsid w:val="009D4F49"/>
    <w:rsid w:val="009E2AD4"/>
    <w:rsid w:val="009E2AEB"/>
    <w:rsid w:val="009E6612"/>
    <w:rsid w:val="00A017F8"/>
    <w:rsid w:val="00A01F41"/>
    <w:rsid w:val="00A03563"/>
    <w:rsid w:val="00A03778"/>
    <w:rsid w:val="00A10CF6"/>
    <w:rsid w:val="00A1341D"/>
    <w:rsid w:val="00A16EB9"/>
    <w:rsid w:val="00A22994"/>
    <w:rsid w:val="00A25EFB"/>
    <w:rsid w:val="00A25F83"/>
    <w:rsid w:val="00A31D2F"/>
    <w:rsid w:val="00A3526D"/>
    <w:rsid w:val="00A35DA9"/>
    <w:rsid w:val="00A55992"/>
    <w:rsid w:val="00A627C2"/>
    <w:rsid w:val="00A62894"/>
    <w:rsid w:val="00A703F0"/>
    <w:rsid w:val="00A7172C"/>
    <w:rsid w:val="00A750EA"/>
    <w:rsid w:val="00A769B0"/>
    <w:rsid w:val="00A86455"/>
    <w:rsid w:val="00A9273C"/>
    <w:rsid w:val="00AA7397"/>
    <w:rsid w:val="00AB1630"/>
    <w:rsid w:val="00AB2E42"/>
    <w:rsid w:val="00AC1D1F"/>
    <w:rsid w:val="00AC51F5"/>
    <w:rsid w:val="00AD0394"/>
    <w:rsid w:val="00AE0463"/>
    <w:rsid w:val="00AE0FC3"/>
    <w:rsid w:val="00AE3279"/>
    <w:rsid w:val="00AF0E6A"/>
    <w:rsid w:val="00AF18CA"/>
    <w:rsid w:val="00AF1E0E"/>
    <w:rsid w:val="00B00A48"/>
    <w:rsid w:val="00B0476F"/>
    <w:rsid w:val="00B05D35"/>
    <w:rsid w:val="00B10BB6"/>
    <w:rsid w:val="00B1685E"/>
    <w:rsid w:val="00B32332"/>
    <w:rsid w:val="00B350B1"/>
    <w:rsid w:val="00B36796"/>
    <w:rsid w:val="00B4015E"/>
    <w:rsid w:val="00B57D0C"/>
    <w:rsid w:val="00B71E84"/>
    <w:rsid w:val="00B81253"/>
    <w:rsid w:val="00B831E4"/>
    <w:rsid w:val="00B839B5"/>
    <w:rsid w:val="00B857C1"/>
    <w:rsid w:val="00B86C91"/>
    <w:rsid w:val="00B86DA1"/>
    <w:rsid w:val="00BA01D2"/>
    <w:rsid w:val="00BA1999"/>
    <w:rsid w:val="00BA2B99"/>
    <w:rsid w:val="00BA36C6"/>
    <w:rsid w:val="00BA494C"/>
    <w:rsid w:val="00BA5C28"/>
    <w:rsid w:val="00BB6BFE"/>
    <w:rsid w:val="00BC01EE"/>
    <w:rsid w:val="00BC3175"/>
    <w:rsid w:val="00BC3528"/>
    <w:rsid w:val="00BD0F01"/>
    <w:rsid w:val="00BD30A8"/>
    <w:rsid w:val="00BD38DA"/>
    <w:rsid w:val="00BE2D2D"/>
    <w:rsid w:val="00BE3ABE"/>
    <w:rsid w:val="00BE7FB6"/>
    <w:rsid w:val="00BF4A62"/>
    <w:rsid w:val="00BF524B"/>
    <w:rsid w:val="00BF5B07"/>
    <w:rsid w:val="00BF64E8"/>
    <w:rsid w:val="00BF6AE9"/>
    <w:rsid w:val="00C00B08"/>
    <w:rsid w:val="00C0232C"/>
    <w:rsid w:val="00C028C4"/>
    <w:rsid w:val="00C02EE2"/>
    <w:rsid w:val="00C053DE"/>
    <w:rsid w:val="00C15342"/>
    <w:rsid w:val="00C3438E"/>
    <w:rsid w:val="00C35DE3"/>
    <w:rsid w:val="00C41753"/>
    <w:rsid w:val="00C456C5"/>
    <w:rsid w:val="00C47EDC"/>
    <w:rsid w:val="00C6259A"/>
    <w:rsid w:val="00C6377E"/>
    <w:rsid w:val="00C64807"/>
    <w:rsid w:val="00C743B7"/>
    <w:rsid w:val="00C745B1"/>
    <w:rsid w:val="00C75F4A"/>
    <w:rsid w:val="00C7617C"/>
    <w:rsid w:val="00C76387"/>
    <w:rsid w:val="00C777F5"/>
    <w:rsid w:val="00C81585"/>
    <w:rsid w:val="00C835A4"/>
    <w:rsid w:val="00C90D35"/>
    <w:rsid w:val="00C93ABE"/>
    <w:rsid w:val="00C96A42"/>
    <w:rsid w:val="00CA4B8E"/>
    <w:rsid w:val="00CA5297"/>
    <w:rsid w:val="00CA57C6"/>
    <w:rsid w:val="00CB27D6"/>
    <w:rsid w:val="00CB3439"/>
    <w:rsid w:val="00CB43D5"/>
    <w:rsid w:val="00CC6E2C"/>
    <w:rsid w:val="00CC7904"/>
    <w:rsid w:val="00CD1698"/>
    <w:rsid w:val="00CD323A"/>
    <w:rsid w:val="00CD4ACF"/>
    <w:rsid w:val="00CD5612"/>
    <w:rsid w:val="00CD7550"/>
    <w:rsid w:val="00CF0235"/>
    <w:rsid w:val="00CF2A1A"/>
    <w:rsid w:val="00CF2C22"/>
    <w:rsid w:val="00CF4DD6"/>
    <w:rsid w:val="00D00CAB"/>
    <w:rsid w:val="00D0253B"/>
    <w:rsid w:val="00D05D64"/>
    <w:rsid w:val="00D12CC3"/>
    <w:rsid w:val="00D17020"/>
    <w:rsid w:val="00D22588"/>
    <w:rsid w:val="00D24576"/>
    <w:rsid w:val="00D25B3E"/>
    <w:rsid w:val="00D2695C"/>
    <w:rsid w:val="00D419A5"/>
    <w:rsid w:val="00D45A20"/>
    <w:rsid w:val="00D53BAE"/>
    <w:rsid w:val="00D542A5"/>
    <w:rsid w:val="00D54E8A"/>
    <w:rsid w:val="00D614FC"/>
    <w:rsid w:val="00D65011"/>
    <w:rsid w:val="00D70471"/>
    <w:rsid w:val="00D718CE"/>
    <w:rsid w:val="00D72177"/>
    <w:rsid w:val="00D81F6D"/>
    <w:rsid w:val="00D913A7"/>
    <w:rsid w:val="00D95450"/>
    <w:rsid w:val="00D96D17"/>
    <w:rsid w:val="00DA0E19"/>
    <w:rsid w:val="00DA293E"/>
    <w:rsid w:val="00DA5CFB"/>
    <w:rsid w:val="00DB1C34"/>
    <w:rsid w:val="00DB2C50"/>
    <w:rsid w:val="00DC14C3"/>
    <w:rsid w:val="00DC45CE"/>
    <w:rsid w:val="00DD2D8F"/>
    <w:rsid w:val="00DD5D87"/>
    <w:rsid w:val="00DE1C0C"/>
    <w:rsid w:val="00DF0DF7"/>
    <w:rsid w:val="00DF5060"/>
    <w:rsid w:val="00E02F10"/>
    <w:rsid w:val="00E16E31"/>
    <w:rsid w:val="00E244E4"/>
    <w:rsid w:val="00E27495"/>
    <w:rsid w:val="00E33E85"/>
    <w:rsid w:val="00E344D1"/>
    <w:rsid w:val="00E3711F"/>
    <w:rsid w:val="00E454B2"/>
    <w:rsid w:val="00E5330E"/>
    <w:rsid w:val="00E553F5"/>
    <w:rsid w:val="00E634F5"/>
    <w:rsid w:val="00E63789"/>
    <w:rsid w:val="00E7175A"/>
    <w:rsid w:val="00E7380F"/>
    <w:rsid w:val="00E74E5F"/>
    <w:rsid w:val="00E76429"/>
    <w:rsid w:val="00E80F17"/>
    <w:rsid w:val="00E86491"/>
    <w:rsid w:val="00E961C4"/>
    <w:rsid w:val="00EA143F"/>
    <w:rsid w:val="00EA261A"/>
    <w:rsid w:val="00EB0E2B"/>
    <w:rsid w:val="00EB1701"/>
    <w:rsid w:val="00EC2358"/>
    <w:rsid w:val="00EC4E58"/>
    <w:rsid w:val="00ED1D12"/>
    <w:rsid w:val="00EF1D52"/>
    <w:rsid w:val="00EF2CBC"/>
    <w:rsid w:val="00EF545F"/>
    <w:rsid w:val="00EF7362"/>
    <w:rsid w:val="00F03836"/>
    <w:rsid w:val="00F041F1"/>
    <w:rsid w:val="00F04D64"/>
    <w:rsid w:val="00F1459F"/>
    <w:rsid w:val="00F23E4D"/>
    <w:rsid w:val="00F24728"/>
    <w:rsid w:val="00F3414C"/>
    <w:rsid w:val="00F4063D"/>
    <w:rsid w:val="00F46011"/>
    <w:rsid w:val="00F47566"/>
    <w:rsid w:val="00F63709"/>
    <w:rsid w:val="00F63E50"/>
    <w:rsid w:val="00F732D5"/>
    <w:rsid w:val="00F8579C"/>
    <w:rsid w:val="00F85AD2"/>
    <w:rsid w:val="00F90F2B"/>
    <w:rsid w:val="00F958E5"/>
    <w:rsid w:val="00FA18B5"/>
    <w:rsid w:val="00FA4265"/>
    <w:rsid w:val="00FB1654"/>
    <w:rsid w:val="00FE2311"/>
    <w:rsid w:val="00FE2A09"/>
    <w:rsid w:val="00FE3B7A"/>
    <w:rsid w:val="00FE48DE"/>
    <w:rsid w:val="00FE4CC2"/>
    <w:rsid w:val="01D43167"/>
    <w:rsid w:val="030D04C9"/>
    <w:rsid w:val="04F80D9E"/>
    <w:rsid w:val="06C35333"/>
    <w:rsid w:val="07550D77"/>
    <w:rsid w:val="078B54F2"/>
    <w:rsid w:val="09F2348E"/>
    <w:rsid w:val="0F9475F4"/>
    <w:rsid w:val="116D47E1"/>
    <w:rsid w:val="138D1895"/>
    <w:rsid w:val="1537146E"/>
    <w:rsid w:val="177E5132"/>
    <w:rsid w:val="181C3D41"/>
    <w:rsid w:val="18866995"/>
    <w:rsid w:val="192B08BD"/>
    <w:rsid w:val="197607B7"/>
    <w:rsid w:val="1AA44AD4"/>
    <w:rsid w:val="1BDD2F40"/>
    <w:rsid w:val="1C5E3972"/>
    <w:rsid w:val="1D7E7C3A"/>
    <w:rsid w:val="1DC51D0D"/>
    <w:rsid w:val="1E0F1D41"/>
    <w:rsid w:val="20DD2ECA"/>
    <w:rsid w:val="224156DA"/>
    <w:rsid w:val="22C500B9"/>
    <w:rsid w:val="22FF641A"/>
    <w:rsid w:val="25355375"/>
    <w:rsid w:val="25525EB7"/>
    <w:rsid w:val="25D86356"/>
    <w:rsid w:val="25F611CE"/>
    <w:rsid w:val="26B66507"/>
    <w:rsid w:val="27B320D8"/>
    <w:rsid w:val="28232F7C"/>
    <w:rsid w:val="292A4B5E"/>
    <w:rsid w:val="2B8D6EC9"/>
    <w:rsid w:val="2BF81969"/>
    <w:rsid w:val="2BFD58FE"/>
    <w:rsid w:val="2C9C0EB8"/>
    <w:rsid w:val="2CF9552F"/>
    <w:rsid w:val="2EFA1321"/>
    <w:rsid w:val="305A34E1"/>
    <w:rsid w:val="32E47929"/>
    <w:rsid w:val="33224751"/>
    <w:rsid w:val="348C4837"/>
    <w:rsid w:val="351D1FD7"/>
    <w:rsid w:val="35411821"/>
    <w:rsid w:val="379522F8"/>
    <w:rsid w:val="38366EFB"/>
    <w:rsid w:val="38FA6745"/>
    <w:rsid w:val="3925145A"/>
    <w:rsid w:val="39367114"/>
    <w:rsid w:val="398400B9"/>
    <w:rsid w:val="39D54851"/>
    <w:rsid w:val="3AF93EF6"/>
    <w:rsid w:val="3CC0462F"/>
    <w:rsid w:val="3CEF2A86"/>
    <w:rsid w:val="3D42EB64"/>
    <w:rsid w:val="3FF43934"/>
    <w:rsid w:val="40ED0AAF"/>
    <w:rsid w:val="41006A35"/>
    <w:rsid w:val="417B430D"/>
    <w:rsid w:val="41DD51DB"/>
    <w:rsid w:val="426B0ED4"/>
    <w:rsid w:val="426E6A8F"/>
    <w:rsid w:val="42894808"/>
    <w:rsid w:val="42F8373B"/>
    <w:rsid w:val="434F15AD"/>
    <w:rsid w:val="43715225"/>
    <w:rsid w:val="4423026D"/>
    <w:rsid w:val="442742D8"/>
    <w:rsid w:val="45E251F2"/>
    <w:rsid w:val="482E0134"/>
    <w:rsid w:val="48684EBF"/>
    <w:rsid w:val="48C90054"/>
    <w:rsid w:val="48E80B39"/>
    <w:rsid w:val="49D83239"/>
    <w:rsid w:val="4AC00FE3"/>
    <w:rsid w:val="4AD02480"/>
    <w:rsid w:val="4C235F32"/>
    <w:rsid w:val="4CB936C1"/>
    <w:rsid w:val="4CDF39D3"/>
    <w:rsid w:val="4D31441A"/>
    <w:rsid w:val="4D6263BA"/>
    <w:rsid w:val="4E395334"/>
    <w:rsid w:val="506E0596"/>
    <w:rsid w:val="514912B3"/>
    <w:rsid w:val="517F4BB1"/>
    <w:rsid w:val="520420FD"/>
    <w:rsid w:val="52EB65EF"/>
    <w:rsid w:val="53643519"/>
    <w:rsid w:val="53A75991"/>
    <w:rsid w:val="56BD30BA"/>
    <w:rsid w:val="57D96174"/>
    <w:rsid w:val="58E467E4"/>
    <w:rsid w:val="593E16E9"/>
    <w:rsid w:val="59B71371"/>
    <w:rsid w:val="5AFB0F8E"/>
    <w:rsid w:val="5B4325A2"/>
    <w:rsid w:val="5B6F1195"/>
    <w:rsid w:val="5BE56AFB"/>
    <w:rsid w:val="5C78171D"/>
    <w:rsid w:val="5CA3685F"/>
    <w:rsid w:val="5EE22B24"/>
    <w:rsid w:val="5F9178E6"/>
    <w:rsid w:val="5FEBD8E3"/>
    <w:rsid w:val="5FEE7044"/>
    <w:rsid w:val="61BE4251"/>
    <w:rsid w:val="6243519B"/>
    <w:rsid w:val="63554566"/>
    <w:rsid w:val="63CA50B9"/>
    <w:rsid w:val="64965FD7"/>
    <w:rsid w:val="67BF614D"/>
    <w:rsid w:val="69AE1AF0"/>
    <w:rsid w:val="69BA3040"/>
    <w:rsid w:val="69D16911"/>
    <w:rsid w:val="6AE227FD"/>
    <w:rsid w:val="6B7BD52C"/>
    <w:rsid w:val="6DAF3071"/>
    <w:rsid w:val="6DEF7CBC"/>
    <w:rsid w:val="6FCF744E"/>
    <w:rsid w:val="7047554C"/>
    <w:rsid w:val="73FFC092"/>
    <w:rsid w:val="7480399B"/>
    <w:rsid w:val="74D7784A"/>
    <w:rsid w:val="754E29F1"/>
    <w:rsid w:val="75867A9D"/>
    <w:rsid w:val="764C17F9"/>
    <w:rsid w:val="773DA040"/>
    <w:rsid w:val="77B70525"/>
    <w:rsid w:val="7850081C"/>
    <w:rsid w:val="78A16222"/>
    <w:rsid w:val="79CEC672"/>
    <w:rsid w:val="7A6510DB"/>
    <w:rsid w:val="7B773D49"/>
    <w:rsid w:val="7B9B2EE0"/>
    <w:rsid w:val="7BDF640A"/>
    <w:rsid w:val="7BE71613"/>
    <w:rsid w:val="7BFE1DCD"/>
    <w:rsid w:val="7C741AA9"/>
    <w:rsid w:val="7CC75D21"/>
    <w:rsid w:val="7DC27B2B"/>
    <w:rsid w:val="7DF341D3"/>
    <w:rsid w:val="7DF52EAB"/>
    <w:rsid w:val="7E4337D6"/>
    <w:rsid w:val="7F8813C8"/>
    <w:rsid w:val="7FFD7349"/>
    <w:rsid w:val="8B6F721E"/>
    <w:rsid w:val="8CF9F2AB"/>
    <w:rsid w:val="8FEFA7C0"/>
    <w:rsid w:val="99BF6EDF"/>
    <w:rsid w:val="AC9D1E01"/>
    <w:rsid w:val="BBFC6368"/>
    <w:rsid w:val="BF7FB293"/>
    <w:rsid w:val="CAC54A89"/>
    <w:rsid w:val="CDEB703C"/>
    <w:rsid w:val="D6DA146D"/>
    <w:rsid w:val="DBD5C872"/>
    <w:rsid w:val="DEDF05D1"/>
    <w:rsid w:val="E77BA97A"/>
    <w:rsid w:val="F5C4751C"/>
    <w:rsid w:val="F7F63355"/>
    <w:rsid w:val="F8F6A8AA"/>
    <w:rsid w:val="F9DB105C"/>
    <w:rsid w:val="FDE3BA05"/>
    <w:rsid w:val="FDF6EB47"/>
    <w:rsid w:val="FDFBC9F9"/>
    <w:rsid w:val="FE9F4795"/>
    <w:rsid w:val="FEFF6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nhideWhenUsed="0" w:uiPriority="0" w:semiHidden="0" w:name="Normal Indent"/>
    <w:lsdException w:qFormat="1" w:unhideWhenUsed="0" w:uiPriority="99"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2"/>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4"/>
    <w:basedOn w:val="1"/>
    <w:next w:val="1"/>
    <w:link w:val="57"/>
    <w:qFormat/>
    <w:uiPriority w:val="0"/>
    <w:pPr>
      <w:keepNext/>
      <w:keepLines/>
      <w:spacing w:before="280" w:after="290" w:line="376" w:lineRule="auto"/>
      <w:outlineLvl w:val="3"/>
    </w:pPr>
    <w:rPr>
      <w:rFonts w:ascii="Arial" w:hAnsi="Arial" w:eastAsia="黑体" w:cs="Arial"/>
      <w:b/>
      <w:bCs/>
      <w:kern w:val="0"/>
      <w:sz w:val="28"/>
      <w:szCs w:val="28"/>
    </w:rPr>
  </w:style>
  <w:style w:type="character" w:default="1" w:styleId="28">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2">
    <w:name w:val="Body Text First Indent"/>
    <w:basedOn w:val="3"/>
    <w:link w:val="54"/>
    <w:qFormat/>
    <w:uiPriority w:val="99"/>
    <w:pPr>
      <w:spacing w:line="390" w:lineRule="atLeast"/>
      <w:ind w:firstLine="420" w:firstLineChars="100"/>
    </w:pPr>
    <w:rPr>
      <w:sz w:val="24"/>
      <w:szCs w:val="24"/>
    </w:rPr>
  </w:style>
  <w:style w:type="paragraph" w:styleId="3">
    <w:name w:val="Body Text"/>
    <w:basedOn w:val="1"/>
    <w:link w:val="58"/>
    <w:qFormat/>
    <w:uiPriority w:val="0"/>
    <w:pPr>
      <w:spacing w:after="120"/>
    </w:pPr>
    <w:rPr>
      <w:kern w:val="0"/>
      <w:sz w:val="20"/>
      <w:szCs w:val="20"/>
    </w:rPr>
  </w:style>
  <w:style w:type="paragraph" w:styleId="7">
    <w:name w:val="List Number"/>
    <w:basedOn w:val="1"/>
    <w:qFormat/>
    <w:uiPriority w:val="0"/>
    <w:pPr>
      <w:numPr>
        <w:ilvl w:val="0"/>
        <w:numId w:val="1"/>
      </w:numPr>
    </w:pPr>
  </w:style>
  <w:style w:type="paragraph" w:styleId="8">
    <w:name w:val="Normal Indent"/>
    <w:basedOn w:val="1"/>
    <w:qFormat/>
    <w:uiPriority w:val="0"/>
    <w:pPr>
      <w:ind w:firstLine="420"/>
    </w:pPr>
    <w:rPr>
      <w:kern w:val="0"/>
      <w:sz w:val="20"/>
      <w:szCs w:val="20"/>
    </w:rPr>
  </w:style>
  <w:style w:type="paragraph" w:styleId="9">
    <w:name w:val="caption"/>
    <w:basedOn w:val="1"/>
    <w:next w:val="1"/>
    <w:qFormat/>
    <w:uiPriority w:val="0"/>
    <w:rPr>
      <w:rFonts w:ascii="Arial" w:hAnsi="Arial" w:eastAsia="黑体" w:cs="Arial"/>
      <w:sz w:val="20"/>
      <w:szCs w:val="20"/>
    </w:rPr>
  </w:style>
  <w:style w:type="paragraph" w:styleId="10">
    <w:name w:val="annotation text"/>
    <w:basedOn w:val="1"/>
    <w:link w:val="56"/>
    <w:semiHidden/>
    <w:unhideWhenUsed/>
    <w:qFormat/>
    <w:uiPriority w:val="99"/>
    <w:pPr>
      <w:jc w:val="left"/>
    </w:pPr>
    <w:rPr>
      <w:rFonts w:ascii="Calibri" w:hAnsi="Calibri"/>
      <w:szCs w:val="22"/>
    </w:rPr>
  </w:style>
  <w:style w:type="paragraph" w:styleId="11">
    <w:name w:val="Body Text Indent"/>
    <w:basedOn w:val="1"/>
    <w:link w:val="46"/>
    <w:qFormat/>
    <w:uiPriority w:val="0"/>
    <w:pPr>
      <w:spacing w:after="120"/>
      <w:ind w:left="420" w:leftChars="200"/>
    </w:pPr>
    <w:rPr>
      <w:kern w:val="0"/>
      <w:sz w:val="20"/>
      <w:szCs w:val="20"/>
    </w:rPr>
  </w:style>
  <w:style w:type="paragraph" w:styleId="12">
    <w:name w:val="Block Text"/>
    <w:basedOn w:val="1"/>
    <w:qFormat/>
    <w:uiPriority w:val="0"/>
    <w:pPr>
      <w:spacing w:line="390" w:lineRule="exact"/>
      <w:ind w:left="735" w:right="-296" w:rightChars="-141"/>
    </w:pPr>
    <w:rPr>
      <w:rFonts w:ascii="宋体" w:hAnsi="Calibri"/>
    </w:rPr>
  </w:style>
  <w:style w:type="paragraph" w:styleId="13">
    <w:name w:val="Plain Text"/>
    <w:basedOn w:val="1"/>
    <w:link w:val="53"/>
    <w:qFormat/>
    <w:uiPriority w:val="0"/>
    <w:pPr>
      <w:spacing w:beforeLines="50" w:afterLines="50" w:line="400" w:lineRule="exact"/>
    </w:pPr>
    <w:rPr>
      <w:rFonts w:ascii="宋体" w:hAnsi="Courier New" w:cs="宋体"/>
      <w:kern w:val="0"/>
    </w:rPr>
  </w:style>
  <w:style w:type="paragraph" w:styleId="14">
    <w:name w:val="toc 8"/>
    <w:basedOn w:val="1"/>
    <w:next w:val="1"/>
    <w:qFormat/>
    <w:uiPriority w:val="0"/>
    <w:pPr>
      <w:ind w:left="1470"/>
      <w:jc w:val="left"/>
    </w:pPr>
    <w:rPr>
      <w:sz w:val="18"/>
      <w:szCs w:val="18"/>
    </w:rPr>
  </w:style>
  <w:style w:type="paragraph" w:styleId="15">
    <w:name w:val="Date"/>
    <w:basedOn w:val="1"/>
    <w:next w:val="1"/>
    <w:qFormat/>
    <w:uiPriority w:val="0"/>
    <w:pPr>
      <w:ind w:left="100" w:leftChars="2500"/>
    </w:pPr>
    <w:rPr>
      <w:kern w:val="0"/>
      <w:sz w:val="20"/>
      <w:szCs w:val="20"/>
    </w:rPr>
  </w:style>
  <w:style w:type="paragraph" w:styleId="16">
    <w:name w:val="Balloon Text"/>
    <w:basedOn w:val="1"/>
    <w:link w:val="43"/>
    <w:qFormat/>
    <w:uiPriority w:val="0"/>
    <w:rPr>
      <w:sz w:val="18"/>
      <w:szCs w:val="18"/>
    </w:rPr>
  </w:style>
  <w:style w:type="paragraph" w:styleId="17">
    <w:name w:val="footer"/>
    <w:basedOn w:val="1"/>
    <w:qFormat/>
    <w:uiPriority w:val="0"/>
    <w:pPr>
      <w:tabs>
        <w:tab w:val="center" w:pos="4153"/>
        <w:tab w:val="right" w:pos="8306"/>
      </w:tabs>
      <w:snapToGrid w:val="0"/>
      <w:jc w:val="left"/>
    </w:pPr>
    <w:rPr>
      <w:kern w:val="0"/>
      <w:sz w:val="18"/>
      <w:szCs w:val="18"/>
    </w:rPr>
  </w:style>
  <w:style w:type="paragraph" w:styleId="18">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rPr>
      <w:sz w:val="28"/>
      <w:szCs w:val="28"/>
    </w:rPr>
  </w:style>
  <w:style w:type="paragraph" w:styleId="20">
    <w:name w:val="footnote text"/>
    <w:basedOn w:val="1"/>
    <w:link w:val="61"/>
    <w:semiHidden/>
    <w:qFormat/>
    <w:uiPriority w:val="99"/>
    <w:pPr>
      <w:snapToGrid w:val="0"/>
      <w:jc w:val="left"/>
    </w:pPr>
    <w:rPr>
      <w:kern w:val="0"/>
      <w:sz w:val="18"/>
      <w:szCs w:val="18"/>
    </w:rPr>
  </w:style>
  <w:style w:type="paragraph" w:styleId="21">
    <w:name w:val="Body Text Indent 3"/>
    <w:basedOn w:val="1"/>
    <w:qFormat/>
    <w:uiPriority w:val="0"/>
    <w:pPr>
      <w:spacing w:after="120"/>
      <w:ind w:left="420" w:leftChars="200"/>
    </w:pPr>
    <w:rPr>
      <w:kern w:val="0"/>
      <w:sz w:val="16"/>
      <w:szCs w:val="16"/>
    </w:rPr>
  </w:style>
  <w:style w:type="paragraph" w:styleId="22">
    <w:name w:val="Body Text 2"/>
    <w:basedOn w:val="1"/>
    <w:qFormat/>
    <w:uiPriority w:val="0"/>
    <w:pPr>
      <w:widowControl/>
      <w:snapToGrid w:val="0"/>
      <w:spacing w:before="50" w:afterLines="50" w:line="400" w:lineRule="exact"/>
      <w:jc w:val="left"/>
    </w:pPr>
    <w:rPr>
      <w:kern w:val="0"/>
      <w:sz w:val="20"/>
      <w:szCs w:val="20"/>
    </w:rPr>
  </w:style>
  <w:style w:type="paragraph" w:styleId="23">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24">
    <w:name w:val="Title"/>
    <w:basedOn w:val="1"/>
    <w:next w:val="1"/>
    <w:qFormat/>
    <w:uiPriority w:val="0"/>
    <w:pPr>
      <w:spacing w:before="240" w:after="60" w:line="480" w:lineRule="exact"/>
      <w:jc w:val="center"/>
      <w:outlineLvl w:val="0"/>
    </w:pPr>
    <w:rPr>
      <w:rFonts w:ascii="Cambria" w:hAnsi="Cambria" w:cs="Cambria"/>
      <w:b/>
      <w:bCs/>
      <w:kern w:val="0"/>
      <w:sz w:val="32"/>
      <w:szCs w:val="32"/>
    </w:rPr>
  </w:style>
  <w:style w:type="paragraph" w:styleId="25">
    <w:name w:val="annotation subject"/>
    <w:basedOn w:val="10"/>
    <w:next w:val="10"/>
    <w:link w:val="59"/>
    <w:semiHidden/>
    <w:unhideWhenUsed/>
    <w:qFormat/>
    <w:uiPriority w:val="0"/>
    <w:rPr>
      <w:rFonts w:ascii="Times New Roman" w:hAnsi="Times New Roman"/>
      <w:b/>
      <w:bCs/>
      <w:szCs w:val="24"/>
    </w:rPr>
  </w:style>
  <w:style w:type="paragraph" w:styleId="26">
    <w:name w:val="Body Text First Indent 2"/>
    <w:basedOn w:val="11"/>
    <w:link w:val="60"/>
    <w:semiHidden/>
    <w:unhideWhenUsed/>
    <w:qFormat/>
    <w:uiPriority w:val="0"/>
    <w:pPr>
      <w:ind w:firstLine="420" w:firstLineChars="200"/>
    </w:pPr>
    <w:rPr>
      <w:kern w:val="2"/>
      <w:sz w:val="21"/>
      <w:szCs w:val="24"/>
    </w:rPr>
  </w:style>
  <w:style w:type="character" w:styleId="29">
    <w:name w:val="page number"/>
    <w:qFormat/>
    <w:uiPriority w:val="0"/>
  </w:style>
  <w:style w:type="character" w:styleId="30">
    <w:name w:val="Hyperlink"/>
    <w:qFormat/>
    <w:uiPriority w:val="0"/>
    <w:rPr>
      <w:color w:val="333333"/>
      <w:u w:val="none"/>
    </w:rPr>
  </w:style>
  <w:style w:type="character" w:styleId="31">
    <w:name w:val="annotation reference"/>
    <w:basedOn w:val="28"/>
    <w:semiHidden/>
    <w:unhideWhenUsed/>
    <w:qFormat/>
    <w:uiPriority w:val="0"/>
    <w:rPr>
      <w:sz w:val="21"/>
      <w:szCs w:val="21"/>
    </w:rPr>
  </w:style>
  <w:style w:type="character" w:customStyle="1" w:styleId="32">
    <w:name w:val="标题 2 Char"/>
    <w:basedOn w:val="28"/>
    <w:link w:val="5"/>
    <w:semiHidden/>
    <w:qFormat/>
    <w:uiPriority w:val="0"/>
    <w:rPr>
      <w:rFonts w:asciiTheme="majorHAnsi" w:hAnsiTheme="majorHAnsi" w:eastAsiaTheme="majorEastAsia" w:cstheme="majorBidi"/>
      <w:b/>
      <w:bCs/>
      <w:kern w:val="2"/>
      <w:sz w:val="32"/>
      <w:szCs w:val="32"/>
    </w:rPr>
  </w:style>
  <w:style w:type="paragraph" w:customStyle="1" w:styleId="33">
    <w:name w:val="列出段落1"/>
    <w:basedOn w:val="1"/>
    <w:qFormat/>
    <w:uiPriority w:val="34"/>
    <w:pPr>
      <w:ind w:firstLine="420" w:firstLineChars="200"/>
    </w:pPr>
    <w:rPr>
      <w:rFonts w:ascii="Calibri" w:hAnsi="Calibri"/>
      <w:kern w:val="0"/>
      <w:sz w:val="20"/>
      <w:szCs w:val="20"/>
    </w:rPr>
  </w:style>
  <w:style w:type="paragraph" w:customStyle="1" w:styleId="34">
    <w:name w:val="无间隔1"/>
    <w:qFormat/>
    <w:uiPriority w:val="1"/>
    <w:pPr>
      <w:adjustRightInd w:val="0"/>
      <w:snapToGrid w:val="0"/>
    </w:pPr>
    <w:rPr>
      <w:rFonts w:ascii="Tahoma" w:hAnsi="Tahoma" w:eastAsia="微软雅黑" w:cs="Times New Roman"/>
      <w:sz w:val="22"/>
      <w:szCs w:val="22"/>
      <w:lang w:val="en-US" w:eastAsia="zh-CN" w:bidi="ar-SA"/>
    </w:rPr>
  </w:style>
  <w:style w:type="paragraph" w:customStyle="1" w:styleId="35">
    <w:name w:val="表正文"/>
    <w:basedOn w:val="1"/>
    <w:qFormat/>
    <w:uiPriority w:val="0"/>
    <w:pPr>
      <w:jc w:val="left"/>
    </w:pPr>
    <w:rPr>
      <w:rFonts w:ascii="Arial" w:hAnsi="Arial"/>
      <w:sz w:val="18"/>
      <w:szCs w:val="21"/>
    </w:rPr>
  </w:style>
  <w:style w:type="paragraph" w:customStyle="1" w:styleId="36">
    <w:name w:val="样式 列表编号 + 段后: 0.5 行"/>
    <w:basedOn w:val="7"/>
    <w:qFormat/>
    <w:uiPriority w:val="0"/>
  </w:style>
  <w:style w:type="paragraph" w:customStyle="1" w:styleId="37">
    <w:name w:val="默认段落字体 Para Char Char Char Char Char Char Char Char Char1 Char Char Char Char"/>
    <w:basedOn w:val="1"/>
    <w:qFormat/>
    <w:uiPriority w:val="0"/>
    <w:rPr>
      <w:rFonts w:ascii="Tahoma" w:hAnsi="Tahoma" w:cs="Tahoma"/>
      <w:sz w:val="24"/>
    </w:rPr>
  </w:style>
  <w:style w:type="paragraph" w:customStyle="1" w:styleId="3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40">
    <w:name w:val="表格文字"/>
    <w:basedOn w:val="1"/>
    <w:qFormat/>
    <w:uiPriority w:val="0"/>
    <w:pPr>
      <w:spacing w:before="25" w:after="25"/>
      <w:jc w:val="left"/>
    </w:pPr>
    <w:rPr>
      <w:spacing w:val="10"/>
      <w:kern w:val="0"/>
      <w:sz w:val="24"/>
    </w:rPr>
  </w:style>
  <w:style w:type="paragraph" w:customStyle="1" w:styleId="4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Char"/>
    <w:basedOn w:val="1"/>
    <w:qFormat/>
    <w:uiPriority w:val="0"/>
  </w:style>
  <w:style w:type="character" w:customStyle="1" w:styleId="43">
    <w:name w:val="批注框文本 Char"/>
    <w:basedOn w:val="28"/>
    <w:link w:val="16"/>
    <w:qFormat/>
    <w:uiPriority w:val="0"/>
    <w:rPr>
      <w:rFonts w:ascii="Times New Roman" w:hAnsi="Times New Roman" w:eastAsia="宋体" w:cs="Times New Roman"/>
      <w:kern w:val="2"/>
      <w:sz w:val="18"/>
      <w:szCs w:val="18"/>
    </w:rPr>
  </w:style>
  <w:style w:type="character" w:customStyle="1" w:styleId="44">
    <w:name w:val="页眉 Char"/>
    <w:basedOn w:val="28"/>
    <w:link w:val="18"/>
    <w:qFormat/>
    <w:uiPriority w:val="0"/>
    <w:rPr>
      <w:rFonts w:ascii="Times New Roman" w:hAnsi="Times New Roman" w:eastAsia="宋体" w:cs="Times New Roman"/>
      <w:kern w:val="2"/>
      <w:sz w:val="18"/>
      <w:szCs w:val="18"/>
    </w:rPr>
  </w:style>
  <w:style w:type="paragraph" w:customStyle="1" w:styleId="45">
    <w:name w:val="样式4"/>
    <w:basedOn w:val="1"/>
    <w:qFormat/>
    <w:uiPriority w:val="0"/>
    <w:pPr>
      <w:ind w:firstLine="482"/>
    </w:pPr>
    <w:rPr>
      <w:rFonts w:asciiTheme="minorHAnsi" w:hAnsiTheme="minorHAnsi" w:eastAsiaTheme="minorEastAsia" w:cstheme="minorBidi"/>
      <w:b/>
    </w:rPr>
  </w:style>
  <w:style w:type="character" w:customStyle="1" w:styleId="46">
    <w:name w:val="正文文本缩进 Char"/>
    <w:basedOn w:val="28"/>
    <w:link w:val="11"/>
    <w:qFormat/>
    <w:uiPriority w:val="0"/>
    <w:rPr>
      <w:rFonts w:ascii="Times New Roman" w:hAnsi="Times New Roman" w:eastAsia="宋体" w:cs="Times New Roman"/>
    </w:rPr>
  </w:style>
  <w:style w:type="paragraph" w:styleId="47">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48">
    <w:name w:val="font41"/>
    <w:basedOn w:val="28"/>
    <w:qFormat/>
    <w:uiPriority w:val="0"/>
    <w:rPr>
      <w:rFonts w:hint="eastAsia" w:ascii="宋体" w:hAnsi="宋体" w:eastAsia="宋体" w:cs="宋体"/>
      <w:b/>
      <w:bCs/>
      <w:color w:val="000000"/>
      <w:sz w:val="24"/>
      <w:szCs w:val="24"/>
      <w:u w:val="none"/>
    </w:rPr>
  </w:style>
  <w:style w:type="character" w:customStyle="1" w:styleId="49">
    <w:name w:val="font31"/>
    <w:basedOn w:val="28"/>
    <w:qFormat/>
    <w:uiPriority w:val="0"/>
    <w:rPr>
      <w:rFonts w:hint="eastAsia" w:ascii="宋体" w:hAnsi="宋体" w:eastAsia="宋体" w:cs="宋体"/>
      <w:color w:val="000000"/>
      <w:sz w:val="23"/>
      <w:szCs w:val="23"/>
      <w:u w:val="none"/>
    </w:rPr>
  </w:style>
  <w:style w:type="character" w:customStyle="1" w:styleId="50">
    <w:name w:val="font51"/>
    <w:basedOn w:val="28"/>
    <w:qFormat/>
    <w:uiPriority w:val="0"/>
    <w:rPr>
      <w:rFonts w:hint="eastAsia" w:ascii="宋体" w:hAnsi="宋体" w:eastAsia="宋体" w:cs="宋体"/>
      <w:color w:val="000000"/>
      <w:sz w:val="24"/>
      <w:szCs w:val="24"/>
      <w:u w:val="none"/>
    </w:rPr>
  </w:style>
  <w:style w:type="character" w:customStyle="1" w:styleId="51">
    <w:name w:val="font61"/>
    <w:basedOn w:val="28"/>
    <w:qFormat/>
    <w:uiPriority w:val="0"/>
    <w:rPr>
      <w:rFonts w:hint="eastAsia" w:ascii="宋体" w:hAnsi="宋体" w:eastAsia="宋体" w:cs="宋体"/>
      <w:color w:val="000000"/>
      <w:sz w:val="22"/>
      <w:szCs w:val="22"/>
      <w:u w:val="none"/>
    </w:rPr>
  </w:style>
  <w:style w:type="character" w:customStyle="1" w:styleId="52">
    <w:name w:val="font01"/>
    <w:basedOn w:val="28"/>
    <w:qFormat/>
    <w:uiPriority w:val="0"/>
    <w:rPr>
      <w:rFonts w:hint="eastAsia" w:ascii="宋体" w:hAnsi="宋体" w:eastAsia="宋体" w:cs="宋体"/>
      <w:b/>
      <w:bCs/>
      <w:color w:val="000000"/>
      <w:sz w:val="18"/>
      <w:szCs w:val="18"/>
      <w:u w:val="none"/>
    </w:rPr>
  </w:style>
  <w:style w:type="character" w:customStyle="1" w:styleId="53">
    <w:name w:val="纯文本 Char"/>
    <w:basedOn w:val="28"/>
    <w:link w:val="13"/>
    <w:qFormat/>
    <w:uiPriority w:val="0"/>
    <w:rPr>
      <w:rFonts w:ascii="宋体" w:hAnsi="Courier New" w:cs="宋体"/>
      <w:sz w:val="21"/>
      <w:szCs w:val="24"/>
    </w:rPr>
  </w:style>
  <w:style w:type="character" w:customStyle="1" w:styleId="54">
    <w:name w:val="正文首行缩进 Char"/>
    <w:link w:val="2"/>
    <w:qFormat/>
    <w:locked/>
    <w:uiPriority w:val="99"/>
    <w:rPr>
      <w:sz w:val="24"/>
      <w:szCs w:val="24"/>
    </w:rPr>
  </w:style>
  <w:style w:type="character" w:customStyle="1" w:styleId="55">
    <w:name w:val="标题 1 Char"/>
    <w:basedOn w:val="28"/>
    <w:link w:val="4"/>
    <w:qFormat/>
    <w:uiPriority w:val="0"/>
    <w:rPr>
      <w:b/>
      <w:bCs/>
      <w:kern w:val="44"/>
      <w:sz w:val="44"/>
      <w:szCs w:val="44"/>
    </w:rPr>
  </w:style>
  <w:style w:type="character" w:customStyle="1" w:styleId="56">
    <w:name w:val="批注文字 Char"/>
    <w:basedOn w:val="28"/>
    <w:link w:val="10"/>
    <w:semiHidden/>
    <w:qFormat/>
    <w:uiPriority w:val="99"/>
    <w:rPr>
      <w:rFonts w:ascii="Calibri" w:hAnsi="Calibri"/>
      <w:kern w:val="2"/>
      <w:sz w:val="21"/>
      <w:szCs w:val="22"/>
    </w:rPr>
  </w:style>
  <w:style w:type="character" w:customStyle="1" w:styleId="57">
    <w:name w:val="标题 4 Char"/>
    <w:basedOn w:val="28"/>
    <w:link w:val="6"/>
    <w:qFormat/>
    <w:uiPriority w:val="0"/>
    <w:rPr>
      <w:rFonts w:ascii="Arial" w:hAnsi="Arial" w:eastAsia="黑体" w:cs="Arial"/>
      <w:b/>
      <w:bCs/>
      <w:sz w:val="28"/>
      <w:szCs w:val="28"/>
    </w:rPr>
  </w:style>
  <w:style w:type="character" w:customStyle="1" w:styleId="58">
    <w:name w:val="正文文本 Char"/>
    <w:basedOn w:val="28"/>
    <w:link w:val="3"/>
    <w:qFormat/>
    <w:uiPriority w:val="0"/>
  </w:style>
  <w:style w:type="character" w:customStyle="1" w:styleId="59">
    <w:name w:val="批注主题 Char"/>
    <w:basedOn w:val="56"/>
    <w:link w:val="25"/>
    <w:semiHidden/>
    <w:qFormat/>
    <w:uiPriority w:val="0"/>
    <w:rPr>
      <w:rFonts w:ascii="Calibri" w:hAnsi="Calibri"/>
      <w:b/>
      <w:bCs/>
      <w:kern w:val="2"/>
      <w:sz w:val="21"/>
      <w:szCs w:val="24"/>
    </w:rPr>
  </w:style>
  <w:style w:type="character" w:customStyle="1" w:styleId="60">
    <w:name w:val="正文首行缩进 2 Char"/>
    <w:basedOn w:val="46"/>
    <w:link w:val="26"/>
    <w:semiHidden/>
    <w:qFormat/>
    <w:uiPriority w:val="0"/>
    <w:rPr>
      <w:rFonts w:ascii="Times New Roman" w:hAnsi="Times New Roman" w:eastAsia="宋体" w:cs="Times New Roman"/>
      <w:kern w:val="2"/>
      <w:sz w:val="21"/>
      <w:szCs w:val="24"/>
    </w:rPr>
  </w:style>
  <w:style w:type="character" w:customStyle="1" w:styleId="61">
    <w:name w:val="脚注文本 Char"/>
    <w:basedOn w:val="28"/>
    <w:link w:val="20"/>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69</Pages>
  <Words>12296</Words>
  <Characters>14082</Characters>
  <Lines>326</Lines>
  <Paragraphs>91</Paragraphs>
  <TotalTime>18</TotalTime>
  <ScaleCrop>false</ScaleCrop>
  <LinksUpToDate>false</LinksUpToDate>
  <CharactersWithSpaces>14404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2023-04-30T16:13:00Z</dcterms:created>
  <dc:creator>小浪花</dc:creator>
  <cp:lastModifiedBy>NTKO</cp:lastModifiedBy>
  <dcterms:modified xsi:type="dcterms:W3CDTF">2025-05-30T08:33:29Z</dcterms:modified>
  <cp:revision>298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B424BDE04852A3CA1B5D19686CB9AD42</vt:lpwstr>
  </property>
  <property fmtid="{D5CDD505-2E9C-101B-9397-08002B2CF9AE}" pid="4" name="KSOTemplateDocerSaveRecord">
    <vt:lpwstr>eyJoZGlkIjoiMGI3YzJlMmZmMDkwMzU3M2RlN2ZjMTllNmYwMDAxODAiLCJ1c2VySWQiOiI5NDU3ODA3MTMifQ==</vt:lpwstr>
  </property>
</Properties>
</file>