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95CEF">
      <w:pPr>
        <w:pStyle w:val="2"/>
        <w:ind w:firstLine="560"/>
      </w:pPr>
    </w:p>
    <w:p w14:paraId="020AE812">
      <w:pPr>
        <w:pStyle w:val="85"/>
        <w:rPr>
          <w:color w:val="auto"/>
        </w:rPr>
      </w:pPr>
    </w:p>
    <w:p w14:paraId="0DD47D1C">
      <w:pPr>
        <w:spacing w:line="360" w:lineRule="auto"/>
        <w:jc w:val="center"/>
        <w:rPr>
          <w:rFonts w:ascii="宋体" w:hAnsi="宋体"/>
          <w:b/>
          <w:sz w:val="52"/>
          <w:szCs w:val="52"/>
        </w:rPr>
      </w:pPr>
      <w:bookmarkStart w:id="0" w:name="OLE_LINK1"/>
      <w:bookmarkStart w:id="1" w:name="OLE_LINK109"/>
      <w:r>
        <w:rPr>
          <w:rFonts w:hint="eastAsia" w:ascii="宋体" w:hAnsi="宋体"/>
          <w:b/>
          <w:sz w:val="52"/>
          <w:szCs w:val="52"/>
        </w:rPr>
        <w:t>吴兴高级中学生物实验室改造项目</w:t>
      </w:r>
    </w:p>
    <w:bookmarkEnd w:id="0"/>
    <w:bookmarkEnd w:id="1"/>
    <w:p w14:paraId="3860948A">
      <w:pPr>
        <w:spacing w:line="360" w:lineRule="auto"/>
        <w:rPr>
          <w:rFonts w:ascii="宋体" w:hAnsi="宋体"/>
          <w:b/>
          <w:szCs w:val="28"/>
        </w:rPr>
      </w:pPr>
    </w:p>
    <w:p w14:paraId="72280F5B">
      <w:pPr>
        <w:pStyle w:val="2"/>
        <w:ind w:firstLine="560"/>
      </w:pPr>
    </w:p>
    <w:p w14:paraId="77D74BD6">
      <w:pPr>
        <w:snapToGrid w:val="0"/>
        <w:spacing w:line="360" w:lineRule="auto"/>
        <w:jc w:val="center"/>
        <w:rPr>
          <w:rFonts w:ascii="宋体" w:hAnsi="宋体"/>
          <w:b/>
          <w:szCs w:val="28"/>
        </w:rPr>
      </w:pPr>
      <w:r>
        <w:rPr>
          <w:rFonts w:hint="eastAsia" w:ascii="宋体" w:hAnsi="宋体"/>
          <w:b/>
          <w:szCs w:val="28"/>
        </w:rPr>
        <w:t>（</w:t>
      </w:r>
      <w:bookmarkStart w:id="2" w:name="OLE_LINK10"/>
      <w:bookmarkStart w:id="3" w:name="OLE_LINK11"/>
      <w:r>
        <w:rPr>
          <w:rFonts w:hint="eastAsia" w:ascii="宋体" w:hAnsi="宋体"/>
          <w:b/>
          <w:szCs w:val="28"/>
        </w:rPr>
        <w:t>财政审批编号：</w:t>
      </w:r>
      <w:bookmarkEnd w:id="2"/>
      <w:bookmarkEnd w:id="3"/>
      <w:r>
        <w:rPr>
          <w:rFonts w:hint="eastAsia" w:ascii="宋体" w:hAnsi="宋体"/>
          <w:b/>
          <w:szCs w:val="28"/>
          <w:lang w:eastAsia="zh-CN"/>
        </w:rPr>
        <w:t>[2025]6628号</w:t>
      </w:r>
      <w:r>
        <w:rPr>
          <w:rFonts w:hint="eastAsia" w:ascii="宋体" w:hAnsi="宋体"/>
          <w:b/>
          <w:szCs w:val="28"/>
        </w:rPr>
        <w:t>）</w:t>
      </w:r>
    </w:p>
    <w:p w14:paraId="446C8BC4">
      <w:pPr>
        <w:snapToGrid w:val="0"/>
        <w:spacing w:before="120" w:beforeLines="50" w:line="360" w:lineRule="auto"/>
        <w:jc w:val="center"/>
        <w:rPr>
          <w:rFonts w:ascii="隶书" w:hAnsi="Arial Narrow" w:eastAsia="楷体_GB2312"/>
          <w:sz w:val="30"/>
          <w:szCs w:val="72"/>
        </w:rPr>
      </w:pPr>
      <w:r>
        <w:rPr>
          <w:rFonts w:hint="eastAsia" w:ascii="宋体" w:hAnsi="宋体" w:cs="宋体"/>
          <w:b/>
          <w:sz w:val="52"/>
          <w:szCs w:val="52"/>
        </w:rPr>
        <w:t>（电子招投标）</w:t>
      </w:r>
    </w:p>
    <w:p w14:paraId="2A0B1A6B">
      <w:pPr>
        <w:snapToGrid w:val="0"/>
        <w:spacing w:before="120" w:beforeLines="50" w:line="360" w:lineRule="auto"/>
        <w:rPr>
          <w:rFonts w:ascii="隶书" w:hAnsi="Arial Narrow" w:eastAsia="楷体_GB2312"/>
          <w:sz w:val="30"/>
          <w:szCs w:val="72"/>
        </w:rPr>
      </w:pPr>
    </w:p>
    <w:p w14:paraId="0D8EC2CF">
      <w:pPr>
        <w:spacing w:before="120" w:beforeLines="50"/>
        <w:jc w:val="center"/>
        <w:rPr>
          <w:rFonts w:ascii="宋体" w:hAnsi="宋体"/>
          <w:sz w:val="72"/>
          <w:szCs w:val="72"/>
        </w:rPr>
      </w:pPr>
      <w:r>
        <w:rPr>
          <w:rFonts w:hint="eastAsia" w:ascii="宋体" w:hAnsi="宋体"/>
          <w:sz w:val="72"/>
          <w:szCs w:val="72"/>
        </w:rPr>
        <w:t>公开招标采购文件</w:t>
      </w:r>
    </w:p>
    <w:p w14:paraId="576D8EEF">
      <w:pPr>
        <w:snapToGrid w:val="0"/>
        <w:spacing w:line="360" w:lineRule="auto"/>
        <w:rPr>
          <w:rFonts w:ascii="宋体" w:hAnsi="宋体"/>
          <w:sz w:val="30"/>
          <w:szCs w:val="72"/>
        </w:rPr>
      </w:pPr>
    </w:p>
    <w:p w14:paraId="261F4396">
      <w:pPr>
        <w:snapToGrid w:val="0"/>
        <w:spacing w:line="360" w:lineRule="auto"/>
        <w:rPr>
          <w:rFonts w:ascii="宋体" w:hAnsi="宋体"/>
          <w:sz w:val="30"/>
          <w:szCs w:val="72"/>
        </w:rPr>
      </w:pPr>
    </w:p>
    <w:p w14:paraId="0B9D63FF">
      <w:pPr>
        <w:snapToGrid w:val="0"/>
        <w:spacing w:line="360" w:lineRule="auto"/>
        <w:rPr>
          <w:rFonts w:ascii="宋体" w:hAnsi="宋体"/>
          <w:sz w:val="30"/>
          <w:szCs w:val="72"/>
        </w:rPr>
      </w:pPr>
    </w:p>
    <w:p w14:paraId="7385231A">
      <w:pPr>
        <w:pStyle w:val="24"/>
        <w:snapToGrid w:val="0"/>
        <w:spacing w:beforeLines="0" w:afterLines="0" w:line="360" w:lineRule="auto"/>
        <w:ind w:firstLine="596" w:firstLineChars="198"/>
        <w:rPr>
          <w:rFonts w:hAnsi="宋体"/>
          <w:b/>
          <w:sz w:val="30"/>
          <w:szCs w:val="30"/>
        </w:rPr>
      </w:pPr>
      <w:r>
        <w:rPr>
          <w:rFonts w:hAnsi="宋体"/>
          <w:b/>
          <w:sz w:val="30"/>
          <w:szCs w:val="30"/>
        </w:rPr>
        <w:t>项目编号：</w:t>
      </w:r>
      <w:bookmarkStart w:id="4" w:name="OLE_LINK17"/>
      <w:bookmarkStart w:id="5" w:name="OLE_LINK18"/>
      <w:r>
        <w:rPr>
          <w:rFonts w:hint="eastAsia" w:hAnsi="宋体"/>
          <w:b/>
          <w:sz w:val="30"/>
          <w:szCs w:val="30"/>
        </w:rPr>
        <w:t>HYHZ2025-69</w:t>
      </w:r>
    </w:p>
    <w:bookmarkEnd w:id="4"/>
    <w:bookmarkEnd w:id="5"/>
    <w:p w14:paraId="085E7D97">
      <w:pPr>
        <w:pStyle w:val="24"/>
        <w:snapToGrid w:val="0"/>
        <w:spacing w:beforeLines="0" w:afterLines="0" w:line="360" w:lineRule="auto"/>
        <w:ind w:firstLine="596" w:firstLineChars="198"/>
        <w:rPr>
          <w:rFonts w:hAnsi="宋体"/>
          <w:b/>
          <w:sz w:val="30"/>
          <w:szCs w:val="30"/>
        </w:rPr>
      </w:pPr>
      <w:r>
        <w:rPr>
          <w:rFonts w:hint="eastAsia" w:hAnsi="宋体"/>
          <w:b/>
          <w:sz w:val="30"/>
          <w:szCs w:val="30"/>
        </w:rPr>
        <w:t>项目名称：吴兴高级中学生物实验室改造项目</w:t>
      </w:r>
    </w:p>
    <w:p w14:paraId="32900D29">
      <w:pPr>
        <w:pStyle w:val="24"/>
        <w:snapToGrid w:val="0"/>
        <w:spacing w:beforeLines="0" w:afterLines="0" w:line="360" w:lineRule="auto"/>
        <w:ind w:firstLine="596" w:firstLineChars="198"/>
        <w:rPr>
          <w:rFonts w:hAnsi="宋体"/>
          <w:b/>
          <w:sz w:val="30"/>
          <w:szCs w:val="30"/>
        </w:rPr>
      </w:pPr>
      <w:r>
        <w:rPr>
          <w:rFonts w:hAnsi="宋体"/>
          <w:b/>
          <w:sz w:val="30"/>
          <w:szCs w:val="30"/>
        </w:rPr>
        <w:t>采购单位：</w:t>
      </w:r>
      <w:r>
        <w:rPr>
          <w:rFonts w:hint="eastAsia" w:hAnsi="宋体"/>
          <w:b/>
          <w:sz w:val="30"/>
          <w:szCs w:val="30"/>
        </w:rPr>
        <w:t>吴兴高级中学</w:t>
      </w:r>
    </w:p>
    <w:p w14:paraId="7DAB2F8E">
      <w:pPr>
        <w:pStyle w:val="24"/>
        <w:snapToGrid w:val="0"/>
        <w:spacing w:beforeLines="0" w:afterLines="0" w:line="360" w:lineRule="auto"/>
        <w:ind w:firstLine="590" w:firstLineChars="196"/>
        <w:rPr>
          <w:rFonts w:hAnsi="宋体"/>
          <w:b/>
          <w:sz w:val="30"/>
          <w:szCs w:val="30"/>
        </w:rPr>
      </w:pPr>
      <w:r>
        <w:rPr>
          <w:rFonts w:hAnsi="宋体"/>
          <w:b/>
          <w:sz w:val="30"/>
          <w:szCs w:val="30"/>
        </w:rPr>
        <w:t>代理机构：</w:t>
      </w:r>
      <w:r>
        <w:rPr>
          <w:rFonts w:hint="eastAsia" w:hAnsi="宋体"/>
          <w:b/>
          <w:sz w:val="30"/>
          <w:szCs w:val="30"/>
        </w:rPr>
        <w:t>浙江华耀建设咨询有限公司</w:t>
      </w:r>
    </w:p>
    <w:p w14:paraId="6B5E2EC0">
      <w:pPr>
        <w:pStyle w:val="24"/>
        <w:snapToGrid w:val="0"/>
        <w:spacing w:beforeLines="0" w:afterLines="0" w:line="360" w:lineRule="auto"/>
        <w:ind w:firstLine="590" w:firstLineChars="196"/>
        <w:rPr>
          <w:rFonts w:hAnsi="宋体"/>
          <w:b/>
          <w:sz w:val="30"/>
          <w:szCs w:val="30"/>
        </w:rPr>
      </w:pPr>
    </w:p>
    <w:p w14:paraId="06DC0417">
      <w:pPr>
        <w:snapToGrid w:val="0"/>
        <w:spacing w:line="360" w:lineRule="auto"/>
        <w:jc w:val="center"/>
        <w:rPr>
          <w:rFonts w:ascii="宋体" w:hAnsi="宋体"/>
          <w:b/>
          <w:bCs/>
          <w:w w:val="95"/>
          <w:sz w:val="30"/>
          <w:szCs w:val="30"/>
        </w:rPr>
      </w:pPr>
      <w:r>
        <w:rPr>
          <w:rFonts w:hint="eastAsia" w:ascii="宋体" w:hAnsi="宋体"/>
          <w:b/>
          <w:bCs/>
          <w:w w:val="95"/>
          <w:sz w:val="30"/>
          <w:szCs w:val="30"/>
        </w:rPr>
        <w:t xml:space="preserve">                      2025年</w:t>
      </w:r>
      <w:bookmarkStart w:id="6" w:name="OLE_LINK7"/>
      <w:r>
        <w:rPr>
          <w:rFonts w:hint="eastAsia" w:ascii="宋体" w:hAnsi="宋体"/>
          <w:b/>
          <w:bCs/>
          <w:w w:val="95"/>
          <w:sz w:val="30"/>
          <w:szCs w:val="30"/>
        </w:rPr>
        <w:t xml:space="preserve"> 月 日</w:t>
      </w:r>
    </w:p>
    <w:bookmarkEnd w:id="6"/>
    <w:p w14:paraId="40B4E4B9">
      <w:pPr>
        <w:pStyle w:val="24"/>
        <w:spacing w:beforeLines="0" w:afterLines="0" w:line="360" w:lineRule="auto"/>
        <w:jc w:val="center"/>
        <w:rPr>
          <w:rFonts w:ascii="创艺简标宋" w:hAnsi="宋体" w:eastAsia="创艺简标宋"/>
          <w:b/>
          <w:sz w:val="44"/>
          <w:szCs w:val="44"/>
        </w:rPr>
      </w:pPr>
    </w:p>
    <w:p w14:paraId="71E1F068">
      <w:pPr>
        <w:pStyle w:val="24"/>
        <w:spacing w:beforeLines="0" w:afterLines="0" w:line="360" w:lineRule="auto"/>
        <w:jc w:val="center"/>
        <w:rPr>
          <w:rFonts w:ascii="创艺简标宋" w:hAnsi="宋体" w:eastAsia="创艺简标宋"/>
          <w:b/>
          <w:sz w:val="44"/>
          <w:szCs w:val="44"/>
        </w:rPr>
      </w:pPr>
    </w:p>
    <w:p w14:paraId="31E8D6A5">
      <w:pPr>
        <w:pStyle w:val="24"/>
        <w:spacing w:beforeLines="0" w:afterLines="0" w:line="360" w:lineRule="auto"/>
        <w:jc w:val="center"/>
        <w:rPr>
          <w:rFonts w:ascii="创艺简标宋" w:hAnsi="宋体" w:eastAsia="创艺简标宋"/>
          <w:b/>
          <w:sz w:val="44"/>
          <w:szCs w:val="44"/>
        </w:rPr>
      </w:pPr>
    </w:p>
    <w:p w14:paraId="3A0A2069">
      <w:pPr>
        <w:pStyle w:val="24"/>
        <w:spacing w:beforeLines="0" w:afterLines="0" w:line="360" w:lineRule="auto"/>
        <w:jc w:val="center"/>
        <w:rPr>
          <w:rFonts w:ascii="创艺简标宋" w:hAnsi="宋体" w:eastAsia="创艺简标宋"/>
          <w:b/>
          <w:sz w:val="44"/>
          <w:szCs w:val="44"/>
        </w:rPr>
      </w:pPr>
      <w:r>
        <w:rPr>
          <w:rFonts w:hint="eastAsia" w:ascii="创艺简标宋" w:hAnsi="宋体" w:eastAsia="创艺简标宋"/>
          <w:b/>
          <w:sz w:val="44"/>
          <w:szCs w:val="44"/>
        </w:rPr>
        <w:t>目    录</w:t>
      </w:r>
    </w:p>
    <w:p w14:paraId="14E86CDE">
      <w:pPr>
        <w:pStyle w:val="24"/>
        <w:spacing w:before="120" w:after="120" w:line="360" w:lineRule="auto"/>
        <w:jc w:val="center"/>
        <w:rPr>
          <w:rFonts w:ascii="创艺简标宋" w:hAnsi="宋体" w:eastAsia="创艺简标宋"/>
          <w:sz w:val="44"/>
          <w:szCs w:val="44"/>
        </w:rPr>
      </w:pPr>
      <w:bookmarkStart w:id="7" w:name="OLE_LINK33"/>
      <w:bookmarkStart w:id="8" w:name="OLE_LINK32"/>
      <w:bookmarkStart w:id="9" w:name="OLE_LINK75"/>
      <w:bookmarkStart w:id="10" w:name="OLE_LINK71"/>
      <w:bookmarkStart w:id="11" w:name="OLE_LINK102"/>
      <w:bookmarkStart w:id="12" w:name="OLE_LINK101"/>
    </w:p>
    <w:p w14:paraId="298063DB">
      <w:pPr>
        <w:numPr>
          <w:ilvl w:val="0"/>
          <w:numId w:val="1"/>
        </w:numPr>
        <w:spacing w:line="360" w:lineRule="auto"/>
        <w:rPr>
          <w:rFonts w:ascii="宋体" w:hAnsi="宋体"/>
          <w:sz w:val="30"/>
          <w:szCs w:val="20"/>
        </w:rPr>
      </w:pPr>
      <w:r>
        <w:rPr>
          <w:rFonts w:hint="eastAsia" w:ascii="宋体" w:hAnsi="宋体"/>
          <w:sz w:val="30"/>
        </w:rPr>
        <w:t>公开招标采购公告   -------------------------3</w:t>
      </w:r>
    </w:p>
    <w:p w14:paraId="1ECF49CE">
      <w:pPr>
        <w:numPr>
          <w:ilvl w:val="0"/>
          <w:numId w:val="1"/>
        </w:numPr>
        <w:spacing w:line="360" w:lineRule="auto"/>
        <w:rPr>
          <w:rFonts w:ascii="宋体" w:hAnsi="宋体"/>
          <w:sz w:val="30"/>
          <w:szCs w:val="20"/>
        </w:rPr>
      </w:pPr>
      <w:r>
        <w:rPr>
          <w:rFonts w:hint="eastAsia" w:ascii="宋体" w:hAnsi="宋体"/>
          <w:sz w:val="30"/>
        </w:rPr>
        <w:t>招标需求   ---------------------------------7</w:t>
      </w:r>
    </w:p>
    <w:p w14:paraId="4BE7353F">
      <w:pPr>
        <w:numPr>
          <w:ilvl w:val="0"/>
          <w:numId w:val="1"/>
        </w:numPr>
        <w:spacing w:line="360" w:lineRule="auto"/>
        <w:rPr>
          <w:rFonts w:ascii="Calibri" w:hAnsi="Calibri"/>
          <w:sz w:val="30"/>
          <w:szCs w:val="30"/>
        </w:rPr>
      </w:pPr>
      <w:r>
        <w:rPr>
          <w:rFonts w:hint="eastAsia" w:ascii="宋体" w:hAnsi="宋体"/>
          <w:sz w:val="30"/>
        </w:rPr>
        <w:t>投标人须知   ------------------------------17</w:t>
      </w:r>
    </w:p>
    <w:p w14:paraId="2FA421A9">
      <w:pPr>
        <w:spacing w:line="360" w:lineRule="auto"/>
        <w:ind w:firstLine="1350" w:firstLineChars="450"/>
        <w:rPr>
          <w:rFonts w:ascii="宋体" w:hAnsi="宋体"/>
          <w:sz w:val="30"/>
          <w:szCs w:val="22"/>
        </w:rPr>
      </w:pPr>
      <w:r>
        <w:rPr>
          <w:rFonts w:hint="eastAsia"/>
          <w:sz w:val="30"/>
          <w:szCs w:val="30"/>
        </w:rPr>
        <w:t>一、总则</w:t>
      </w:r>
      <w:r>
        <w:rPr>
          <w:sz w:val="30"/>
          <w:szCs w:val="30"/>
        </w:rPr>
        <w:t xml:space="preserve">    </w:t>
      </w:r>
      <w:r>
        <w:rPr>
          <w:rFonts w:hint="eastAsia" w:ascii="宋体" w:hAnsi="宋体"/>
          <w:sz w:val="30"/>
        </w:rPr>
        <w:t>--------------------------------18</w:t>
      </w:r>
    </w:p>
    <w:p w14:paraId="01BB5D0A">
      <w:pPr>
        <w:spacing w:line="360" w:lineRule="auto"/>
        <w:ind w:firstLine="1350" w:firstLineChars="450"/>
        <w:rPr>
          <w:rFonts w:ascii="宋体" w:hAnsi="宋体"/>
          <w:sz w:val="30"/>
        </w:rPr>
      </w:pPr>
      <w:r>
        <w:rPr>
          <w:rFonts w:hint="eastAsia"/>
          <w:sz w:val="30"/>
          <w:szCs w:val="30"/>
        </w:rPr>
        <w:t>二、招标文件</w:t>
      </w:r>
      <w:r>
        <w:rPr>
          <w:sz w:val="30"/>
          <w:szCs w:val="30"/>
        </w:rPr>
        <w:t xml:space="preserve">    </w:t>
      </w:r>
      <w:r>
        <w:rPr>
          <w:rFonts w:hint="eastAsia" w:ascii="宋体" w:hAnsi="宋体"/>
          <w:sz w:val="30"/>
        </w:rPr>
        <w:t>----------------------------21</w:t>
      </w:r>
    </w:p>
    <w:p w14:paraId="37B7E6B0">
      <w:pPr>
        <w:spacing w:line="360" w:lineRule="auto"/>
        <w:ind w:firstLine="1350" w:firstLineChars="450"/>
        <w:rPr>
          <w:rFonts w:ascii="宋体" w:hAnsi="宋体"/>
          <w:sz w:val="30"/>
        </w:rPr>
      </w:pPr>
      <w:r>
        <w:rPr>
          <w:rFonts w:hint="eastAsia"/>
          <w:sz w:val="30"/>
          <w:szCs w:val="30"/>
        </w:rPr>
        <w:t>三、投标文件的编制</w:t>
      </w:r>
      <w:r>
        <w:rPr>
          <w:sz w:val="30"/>
          <w:szCs w:val="30"/>
        </w:rPr>
        <w:t xml:space="preserve">     </w:t>
      </w:r>
      <w:r>
        <w:rPr>
          <w:rFonts w:hint="eastAsia" w:ascii="宋体" w:hAnsi="宋体"/>
          <w:sz w:val="30"/>
        </w:rPr>
        <w:t>---------------------22</w:t>
      </w:r>
    </w:p>
    <w:p w14:paraId="02BDB4AA">
      <w:pPr>
        <w:spacing w:line="360" w:lineRule="auto"/>
        <w:ind w:firstLine="1350" w:firstLineChars="450"/>
        <w:rPr>
          <w:rFonts w:ascii="宋体" w:hAnsi="宋体"/>
          <w:sz w:val="30"/>
        </w:rPr>
      </w:pPr>
      <w:r>
        <w:rPr>
          <w:rFonts w:hint="eastAsia"/>
          <w:sz w:val="30"/>
          <w:szCs w:val="30"/>
        </w:rPr>
        <w:t>四、开标</w:t>
      </w:r>
      <w:r>
        <w:rPr>
          <w:sz w:val="30"/>
          <w:szCs w:val="30"/>
        </w:rPr>
        <w:t xml:space="preserve">   </w:t>
      </w:r>
      <w:r>
        <w:rPr>
          <w:rFonts w:hint="eastAsia" w:ascii="宋体" w:hAnsi="宋体"/>
          <w:sz w:val="30"/>
        </w:rPr>
        <w:t>---------------------------------27</w:t>
      </w:r>
    </w:p>
    <w:p w14:paraId="02170A55">
      <w:pPr>
        <w:spacing w:line="360" w:lineRule="auto"/>
        <w:ind w:firstLine="1350" w:firstLineChars="450"/>
        <w:rPr>
          <w:rFonts w:ascii="宋体" w:hAnsi="宋体"/>
          <w:sz w:val="30"/>
        </w:rPr>
      </w:pPr>
      <w:r>
        <w:rPr>
          <w:rFonts w:hint="eastAsia"/>
          <w:sz w:val="30"/>
          <w:szCs w:val="30"/>
        </w:rPr>
        <w:t>五、评标</w:t>
      </w:r>
      <w:r>
        <w:rPr>
          <w:sz w:val="30"/>
          <w:szCs w:val="30"/>
        </w:rPr>
        <w:t xml:space="preserve">   </w:t>
      </w:r>
      <w:r>
        <w:rPr>
          <w:rFonts w:hint="eastAsia" w:ascii="宋体" w:hAnsi="宋体"/>
          <w:sz w:val="30"/>
        </w:rPr>
        <w:t>---------------------------------29</w:t>
      </w:r>
    </w:p>
    <w:p w14:paraId="6CA6D4FC">
      <w:pPr>
        <w:spacing w:line="360" w:lineRule="auto"/>
        <w:ind w:firstLine="1350" w:firstLineChars="450"/>
        <w:rPr>
          <w:rFonts w:ascii="宋体" w:hAnsi="宋体"/>
          <w:sz w:val="30"/>
        </w:rPr>
      </w:pPr>
      <w:r>
        <w:rPr>
          <w:rFonts w:hint="eastAsia"/>
          <w:sz w:val="30"/>
          <w:szCs w:val="30"/>
        </w:rPr>
        <w:t>六、定标</w:t>
      </w:r>
      <w:r>
        <w:rPr>
          <w:sz w:val="30"/>
          <w:szCs w:val="30"/>
        </w:rPr>
        <w:t xml:space="preserve">   </w:t>
      </w:r>
      <w:r>
        <w:rPr>
          <w:rFonts w:hint="eastAsia" w:ascii="宋体" w:hAnsi="宋体"/>
          <w:sz w:val="30"/>
        </w:rPr>
        <w:t>---------------------------------31</w:t>
      </w:r>
    </w:p>
    <w:p w14:paraId="78ADDCC4">
      <w:pPr>
        <w:spacing w:line="360" w:lineRule="auto"/>
        <w:ind w:firstLine="1350" w:firstLineChars="450"/>
        <w:rPr>
          <w:rFonts w:ascii="Calibri" w:hAnsi="Calibri"/>
          <w:sz w:val="30"/>
          <w:szCs w:val="30"/>
        </w:rPr>
      </w:pPr>
      <w:r>
        <w:rPr>
          <w:rFonts w:hint="eastAsia"/>
          <w:sz w:val="30"/>
          <w:szCs w:val="30"/>
        </w:rPr>
        <w:t>七、合同授予</w:t>
      </w:r>
      <w:r>
        <w:rPr>
          <w:sz w:val="30"/>
          <w:szCs w:val="30"/>
        </w:rPr>
        <w:t xml:space="preserve">   </w:t>
      </w:r>
      <w:r>
        <w:rPr>
          <w:rFonts w:hint="eastAsia" w:ascii="宋体" w:hAnsi="宋体"/>
          <w:sz w:val="30"/>
        </w:rPr>
        <w:t>-----------------------------31</w:t>
      </w:r>
    </w:p>
    <w:p w14:paraId="738A9BCE">
      <w:pPr>
        <w:numPr>
          <w:ilvl w:val="0"/>
          <w:numId w:val="1"/>
        </w:numPr>
        <w:spacing w:line="360" w:lineRule="auto"/>
        <w:rPr>
          <w:rFonts w:ascii="宋体" w:hAnsi="宋体"/>
          <w:sz w:val="30"/>
          <w:szCs w:val="20"/>
        </w:rPr>
      </w:pPr>
      <w:r>
        <w:rPr>
          <w:rFonts w:hint="eastAsia" w:ascii="宋体" w:hAnsi="宋体"/>
          <w:sz w:val="30"/>
        </w:rPr>
        <w:t>评标办法及评分标准 ------------------------33</w:t>
      </w:r>
    </w:p>
    <w:p w14:paraId="1B527D08">
      <w:pPr>
        <w:numPr>
          <w:ilvl w:val="0"/>
          <w:numId w:val="1"/>
        </w:numPr>
        <w:spacing w:line="360" w:lineRule="auto"/>
        <w:rPr>
          <w:rFonts w:ascii="宋体" w:hAnsi="宋体"/>
          <w:sz w:val="30"/>
          <w:szCs w:val="20"/>
        </w:rPr>
      </w:pPr>
      <w:r>
        <w:rPr>
          <w:rFonts w:hint="eastAsia" w:ascii="宋体" w:hAnsi="宋体"/>
          <w:sz w:val="30"/>
        </w:rPr>
        <w:t>政府采购合同主要条款-----------------------38</w:t>
      </w:r>
    </w:p>
    <w:p w14:paraId="738361FE">
      <w:pPr>
        <w:numPr>
          <w:ilvl w:val="0"/>
          <w:numId w:val="1"/>
        </w:numPr>
        <w:spacing w:line="360" w:lineRule="auto"/>
        <w:rPr>
          <w:rFonts w:ascii="宋体" w:hAnsi="宋体"/>
          <w:sz w:val="30"/>
          <w:szCs w:val="20"/>
        </w:rPr>
      </w:pPr>
      <w:r>
        <w:rPr>
          <w:rFonts w:hint="eastAsia" w:ascii="宋体" w:hAnsi="宋体"/>
          <w:sz w:val="30"/>
        </w:rPr>
        <w:t>投标文件格式    ---------------------------</w:t>
      </w:r>
      <w:bookmarkEnd w:id="7"/>
      <w:bookmarkEnd w:id="8"/>
      <w:r>
        <w:rPr>
          <w:rFonts w:hint="eastAsia" w:ascii="宋体" w:hAnsi="宋体"/>
          <w:sz w:val="30"/>
        </w:rPr>
        <w:t>42</w:t>
      </w:r>
    </w:p>
    <w:p w14:paraId="06C6A592">
      <w:pPr>
        <w:rPr>
          <w:rFonts w:ascii="Calibri" w:hAnsi="Calibri"/>
          <w:szCs w:val="22"/>
        </w:rPr>
      </w:pPr>
    </w:p>
    <w:p w14:paraId="747AFF48"/>
    <w:bookmarkEnd w:id="9"/>
    <w:bookmarkEnd w:id="10"/>
    <w:p w14:paraId="2DDEEFD8"/>
    <w:bookmarkEnd w:id="11"/>
    <w:bookmarkEnd w:id="12"/>
    <w:p w14:paraId="17C18ADB"/>
    <w:p w14:paraId="36C9D9FC">
      <w:pPr>
        <w:rPr>
          <w:rFonts w:ascii="黑体" w:hAnsi="宋体" w:eastAsia="黑体"/>
          <w:sz w:val="30"/>
          <w:szCs w:val="30"/>
        </w:rPr>
      </w:pPr>
      <w:r>
        <w:rPr>
          <w:rFonts w:ascii="黑体" w:hAnsi="宋体" w:eastAsia="黑体"/>
          <w:sz w:val="30"/>
          <w:szCs w:val="30"/>
        </w:rPr>
        <w:br w:type="page"/>
      </w:r>
    </w:p>
    <w:p w14:paraId="17A0DFBD">
      <w:pPr>
        <w:pStyle w:val="24"/>
        <w:snapToGrid w:val="0"/>
        <w:spacing w:beforeLines="0" w:afterLines="0" w:line="360" w:lineRule="auto"/>
        <w:jc w:val="center"/>
        <w:outlineLvl w:val="0"/>
        <w:rPr>
          <w:rFonts w:ascii="黑体" w:hAnsi="宋体" w:eastAsia="黑体"/>
          <w:sz w:val="30"/>
          <w:szCs w:val="30"/>
        </w:rPr>
      </w:pPr>
      <w:r>
        <w:rPr>
          <w:rFonts w:hint="eastAsia" w:ascii="黑体" w:hAnsi="宋体" w:eastAsia="黑体"/>
          <w:sz w:val="30"/>
          <w:szCs w:val="30"/>
        </w:rPr>
        <w:t>第一章  公开招标采购公告</w:t>
      </w:r>
    </w:p>
    <w:p w14:paraId="1D03795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项目概况</w:t>
      </w:r>
    </w:p>
    <w:p w14:paraId="5124AAF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吴兴高级中学生物实验室改造项目招标项目的潜在投标人应在浙江政府采购网（http://zfcg.czt.zj.gov.cn/) 获取招标文件，并于2025年 月 日</w:t>
      </w:r>
      <w:r>
        <w:rPr>
          <w:rFonts w:hint="eastAsia" w:ascii="宋体" w:hAnsi="宋体" w:cs="仿宋"/>
          <w:sz w:val="24"/>
        </w:rPr>
        <w:t>14点00分</w:t>
      </w:r>
      <w:r>
        <w:rPr>
          <w:rFonts w:hint="eastAsia" w:ascii="宋体" w:hAnsi="宋体"/>
          <w:sz w:val="24"/>
        </w:rPr>
        <w:t>（北京时间）前递交投标文件。</w:t>
      </w:r>
    </w:p>
    <w:p w14:paraId="40E7FAF9">
      <w:pPr>
        <w:snapToGrid w:val="0"/>
        <w:spacing w:line="360" w:lineRule="auto"/>
        <w:rPr>
          <w:rFonts w:ascii="宋体" w:hAnsi="宋体"/>
          <w:sz w:val="24"/>
        </w:rPr>
      </w:pPr>
      <w:r>
        <w:rPr>
          <w:rFonts w:hint="eastAsia" w:ascii="宋体" w:hAnsi="宋体" w:cs="Arial"/>
          <w:b/>
          <w:sz w:val="24"/>
        </w:rPr>
        <w:t>一、项目基本情况</w:t>
      </w:r>
    </w:p>
    <w:p w14:paraId="74E60F53">
      <w:pPr>
        <w:spacing w:line="360" w:lineRule="auto"/>
        <w:ind w:firstLine="480" w:firstLineChars="200"/>
        <w:rPr>
          <w:rFonts w:ascii="宋体" w:hAnsi="宋体"/>
          <w:sz w:val="24"/>
        </w:rPr>
      </w:pPr>
      <w:r>
        <w:rPr>
          <w:rFonts w:hint="eastAsia" w:ascii="宋体" w:hAnsi="宋体"/>
          <w:sz w:val="24"/>
        </w:rPr>
        <w:t>项目编号：HYHZ2025-69</w:t>
      </w:r>
    </w:p>
    <w:p w14:paraId="66C7B484">
      <w:pPr>
        <w:spacing w:line="360" w:lineRule="auto"/>
        <w:ind w:firstLine="480" w:firstLineChars="200"/>
        <w:rPr>
          <w:rFonts w:hint="eastAsia" w:ascii="宋体" w:hAnsi="宋体" w:eastAsia="宋体"/>
          <w:sz w:val="24"/>
          <w:lang w:eastAsia="zh-CN"/>
        </w:rPr>
      </w:pPr>
      <w:r>
        <w:rPr>
          <w:rFonts w:hint="eastAsia" w:ascii="宋体" w:hAnsi="宋体"/>
          <w:sz w:val="24"/>
        </w:rPr>
        <w:t>财政审批编号：</w:t>
      </w:r>
      <w:r>
        <w:rPr>
          <w:rFonts w:hint="eastAsia" w:ascii="宋体" w:hAnsi="宋体"/>
          <w:sz w:val="24"/>
          <w:lang w:eastAsia="zh-CN"/>
        </w:rPr>
        <w:t>[2025]6628号</w:t>
      </w:r>
    </w:p>
    <w:p w14:paraId="7C14A00B">
      <w:pPr>
        <w:spacing w:line="360" w:lineRule="auto"/>
        <w:ind w:firstLine="480" w:firstLineChars="200"/>
        <w:rPr>
          <w:rFonts w:ascii="宋体" w:hAnsi="宋体"/>
          <w:sz w:val="24"/>
        </w:rPr>
      </w:pPr>
      <w:r>
        <w:rPr>
          <w:rFonts w:hint="eastAsia" w:ascii="宋体" w:hAnsi="宋体"/>
          <w:sz w:val="24"/>
        </w:rPr>
        <w:t>项目名称：吴兴高级中学生物实验室改造项目</w:t>
      </w:r>
    </w:p>
    <w:p w14:paraId="32CD47EA">
      <w:pPr>
        <w:spacing w:line="360" w:lineRule="auto"/>
        <w:ind w:firstLine="480" w:firstLineChars="200"/>
        <w:rPr>
          <w:rFonts w:ascii="宋体" w:hAnsi="宋体"/>
          <w:sz w:val="24"/>
        </w:rPr>
      </w:pPr>
      <w:r>
        <w:rPr>
          <w:rFonts w:hint="eastAsia" w:ascii="宋体" w:hAnsi="宋体"/>
          <w:sz w:val="24"/>
        </w:rPr>
        <w:t>预算金额：</w:t>
      </w:r>
      <w:bookmarkStart w:id="13" w:name="OLE_LINK12"/>
      <w:bookmarkStart w:id="14" w:name="OLE_LINK13"/>
      <w:r>
        <w:rPr>
          <w:rFonts w:hint="eastAsia" w:ascii="宋体" w:hAnsi="宋体" w:cs="宋体"/>
          <w:kern w:val="0"/>
          <w:sz w:val="24"/>
        </w:rPr>
        <w:t>57.5万元</w:t>
      </w:r>
    </w:p>
    <w:bookmarkEnd w:id="13"/>
    <w:bookmarkEnd w:id="14"/>
    <w:p w14:paraId="6883F383">
      <w:pPr>
        <w:spacing w:line="360" w:lineRule="auto"/>
        <w:ind w:firstLine="480" w:firstLineChars="200"/>
        <w:rPr>
          <w:rFonts w:ascii="宋体" w:hAnsi="宋体"/>
          <w:sz w:val="24"/>
        </w:rPr>
      </w:pPr>
      <w:r>
        <w:rPr>
          <w:rFonts w:hint="eastAsia" w:ascii="宋体" w:hAnsi="宋体"/>
          <w:sz w:val="24"/>
        </w:rPr>
        <w:t>最高限价：</w:t>
      </w:r>
      <w:r>
        <w:rPr>
          <w:rFonts w:hint="eastAsia" w:ascii="宋体" w:hAnsi="宋体" w:cs="宋体"/>
          <w:kern w:val="0"/>
          <w:sz w:val="24"/>
        </w:rPr>
        <w:t>57.5万元</w:t>
      </w:r>
    </w:p>
    <w:p w14:paraId="6E9D982E">
      <w:pPr>
        <w:snapToGrid w:val="0"/>
        <w:spacing w:line="360" w:lineRule="auto"/>
        <w:ind w:firstLine="470" w:firstLineChars="196"/>
        <w:rPr>
          <w:rFonts w:ascii="宋体" w:hAnsi="宋体"/>
          <w:sz w:val="24"/>
        </w:rPr>
      </w:pPr>
      <w:r>
        <w:rPr>
          <w:rFonts w:hint="eastAsia" w:ascii="宋体" w:hAnsi="宋体"/>
          <w:sz w:val="24"/>
        </w:rPr>
        <w:t>采购需求：</w:t>
      </w:r>
      <w:bookmarkStart w:id="15" w:name="OLE_LINK20"/>
      <w:bookmarkStart w:id="16" w:name="OLE_LINK19"/>
      <w:r>
        <w:rPr>
          <w:rFonts w:hint="eastAsia" w:ascii="宋体" w:hAnsi="宋体"/>
          <w:sz w:val="24"/>
        </w:rPr>
        <w:t>详</w:t>
      </w:r>
      <w:r>
        <w:rPr>
          <w:rFonts w:hint="eastAsia" w:ascii="宋体" w:hAnsi="宋体" w:cs="仿宋"/>
          <w:sz w:val="24"/>
        </w:rPr>
        <w:t>见招标文件第二章采购需求</w:t>
      </w:r>
    </w:p>
    <w:bookmarkEnd w:id="15"/>
    <w:bookmarkEnd w:id="16"/>
    <w:p w14:paraId="6594517E">
      <w:pPr>
        <w:snapToGrid w:val="0"/>
        <w:spacing w:line="360" w:lineRule="auto"/>
        <w:ind w:firstLine="470" w:firstLineChars="196"/>
        <w:rPr>
          <w:rFonts w:ascii="宋体" w:hAnsi="宋体" w:cs="仿宋"/>
          <w:sz w:val="24"/>
        </w:rPr>
      </w:pPr>
      <w:r>
        <w:rPr>
          <w:rFonts w:hint="eastAsia" w:ascii="宋体" w:hAnsi="宋体" w:cs="仿宋"/>
          <w:sz w:val="24"/>
        </w:rPr>
        <w:t>合同履行期限：</w:t>
      </w:r>
      <w:r>
        <w:rPr>
          <w:rFonts w:hint="eastAsia" w:ascii="宋体" w:hAnsi="宋体"/>
          <w:sz w:val="24"/>
        </w:rPr>
        <w:t>详</w:t>
      </w:r>
      <w:r>
        <w:rPr>
          <w:rFonts w:hint="eastAsia" w:ascii="宋体" w:hAnsi="宋体" w:cs="仿宋"/>
          <w:sz w:val="24"/>
        </w:rPr>
        <w:t>见招标文件第二章采购需求</w:t>
      </w:r>
    </w:p>
    <w:p w14:paraId="696980AD">
      <w:pPr>
        <w:snapToGrid w:val="0"/>
        <w:spacing w:line="360" w:lineRule="auto"/>
        <w:ind w:firstLine="470" w:firstLineChars="196"/>
        <w:rPr>
          <w:rFonts w:ascii="宋体" w:hAnsi="宋体" w:cs="仿宋"/>
          <w:sz w:val="24"/>
        </w:rPr>
      </w:pPr>
      <w:r>
        <w:rPr>
          <w:rFonts w:hint="eastAsia" w:ascii="宋体" w:hAnsi="宋体" w:cs="仿宋"/>
          <w:sz w:val="24"/>
        </w:rPr>
        <w:t>本项目（</w:t>
      </w:r>
      <w:r>
        <w:rPr>
          <w:rFonts w:hint="eastAsia" w:ascii="宋体" w:hAnsi="宋体" w:cs="仿宋"/>
          <w:i/>
          <w:sz w:val="24"/>
        </w:rPr>
        <w:t>否</w:t>
      </w:r>
      <w:r>
        <w:rPr>
          <w:rFonts w:hint="eastAsia" w:ascii="宋体" w:hAnsi="宋体" w:cs="仿宋"/>
          <w:sz w:val="24"/>
        </w:rPr>
        <w:t>）接受联合体投标。</w:t>
      </w:r>
    </w:p>
    <w:p w14:paraId="4AFD42A7">
      <w:pPr>
        <w:snapToGrid w:val="0"/>
        <w:spacing w:line="360" w:lineRule="auto"/>
        <w:rPr>
          <w:rFonts w:ascii="宋体" w:hAnsi="宋体" w:cs="Arial"/>
          <w:b/>
          <w:sz w:val="24"/>
        </w:rPr>
      </w:pPr>
      <w:r>
        <w:rPr>
          <w:rFonts w:hint="eastAsia" w:ascii="宋体" w:hAnsi="宋体" w:cs="Arial"/>
          <w:b/>
          <w:sz w:val="24"/>
        </w:rPr>
        <w:t>二、申请人的资格要求：</w:t>
      </w:r>
    </w:p>
    <w:p w14:paraId="53F3755B">
      <w:pPr>
        <w:snapToGrid w:val="0"/>
        <w:spacing w:line="360" w:lineRule="auto"/>
        <w:ind w:firstLine="480" w:firstLineChars="200"/>
        <w:rPr>
          <w:rFonts w:ascii="宋体" w:hAnsi="宋体" w:cs="Arial"/>
          <w:sz w:val="24"/>
        </w:rPr>
      </w:pPr>
      <w:r>
        <w:rPr>
          <w:rFonts w:hint="eastAsia" w:ascii="宋体" w:hAnsi="宋体" w:cs="仿宋"/>
          <w:sz w:val="24"/>
        </w:rPr>
        <w:t>1.满足《中华人民共和国政府采购法》第二十二条规定；</w:t>
      </w:r>
      <w:r>
        <w:rPr>
          <w:rFonts w:hint="eastAsia" w:ascii="宋体" w:hAnsi="宋体"/>
          <w:sz w:val="24"/>
        </w:rPr>
        <w:t>未被“信用中国”（www.creditchina.gov.cn）、中国政府采购网（www.ccgp.gov.cn）列入失信被执行人、重大税收违法案件当事人名单、政府采购严重违法失信行为记录名单。</w:t>
      </w:r>
    </w:p>
    <w:p w14:paraId="1DC07780">
      <w:pPr>
        <w:snapToGrid w:val="0"/>
        <w:spacing w:line="360" w:lineRule="auto"/>
        <w:ind w:firstLine="470" w:firstLineChars="196"/>
        <w:rPr>
          <w:rFonts w:ascii="宋体" w:hAnsi="宋体"/>
          <w:sz w:val="24"/>
        </w:rPr>
      </w:pPr>
      <w:r>
        <w:rPr>
          <w:rFonts w:hint="eastAsia" w:ascii="宋体" w:hAnsi="宋体" w:cs="仿宋"/>
          <w:sz w:val="24"/>
        </w:rPr>
        <w:t>2.落实政府采购政策需满足的资格要求：</w:t>
      </w:r>
      <w:bookmarkStart w:id="17" w:name="OLE_LINK21"/>
      <w:bookmarkStart w:id="18" w:name="OLE_LINK24"/>
      <w:r>
        <w:rPr>
          <w:rFonts w:hint="eastAsia" w:ascii="宋体" w:hAnsi="宋体" w:cs="仿宋"/>
          <w:sz w:val="24"/>
        </w:rPr>
        <w:t>本项目专门面向中小企业采购，供应商需提供符合《政府采购促进中小企业发展管理办法》（财库【2020】46号）和本采购文件规定的《中小企业声明函》（格式详见附件）</w:t>
      </w:r>
      <w:r>
        <w:rPr>
          <w:rFonts w:hint="eastAsia" w:ascii="宋体" w:hAnsi="宋体"/>
          <w:sz w:val="24"/>
          <w:lang w:val="zh-CN"/>
        </w:rPr>
        <w:t>或提供残疾人福利性单位《残疾人福利性单位声明函》（格式详见附件）或提供监狱企业证明文件（需省级以上监狱管理局、戒毒管理局（含新疆生产建设兵团）出具)</w:t>
      </w:r>
      <w:r>
        <w:rPr>
          <w:rFonts w:hint="eastAsia" w:ascii="宋体" w:hAnsi="宋体" w:cs="宋体"/>
          <w:sz w:val="24"/>
          <w:szCs w:val="20"/>
        </w:rPr>
        <w:t>。</w:t>
      </w:r>
    </w:p>
    <w:bookmarkEnd w:id="17"/>
    <w:bookmarkEnd w:id="18"/>
    <w:p w14:paraId="5AB97105">
      <w:pPr>
        <w:spacing w:line="360" w:lineRule="auto"/>
        <w:ind w:firstLine="480" w:firstLineChars="200"/>
        <w:rPr>
          <w:rFonts w:ascii="宋体" w:hAnsi="宋体" w:cs="仿宋"/>
          <w:sz w:val="24"/>
        </w:rPr>
      </w:pPr>
      <w:r>
        <w:rPr>
          <w:rFonts w:hint="eastAsia" w:ascii="宋体" w:hAnsi="宋体" w:cs="仿宋"/>
          <w:sz w:val="24"/>
        </w:rPr>
        <w:t>3.本项目的特定资格要求：无</w:t>
      </w:r>
      <w:r>
        <w:rPr>
          <w:rFonts w:hint="eastAsia" w:ascii="宋体" w:hAnsi="宋体" w:cs="宋体"/>
          <w:sz w:val="24"/>
        </w:rPr>
        <w:t>；</w:t>
      </w:r>
      <w:r>
        <w:rPr>
          <w:rFonts w:hint="eastAsia" w:ascii="宋体" w:hAnsi="宋体" w:cs="仿宋"/>
          <w:sz w:val="24"/>
        </w:rPr>
        <w:t xml:space="preserve"> </w:t>
      </w:r>
    </w:p>
    <w:p w14:paraId="32BC37ED">
      <w:pPr>
        <w:snapToGrid w:val="0"/>
        <w:spacing w:line="360" w:lineRule="auto"/>
        <w:rPr>
          <w:rFonts w:ascii="宋体" w:hAnsi="宋体" w:cs="Arial"/>
          <w:b/>
          <w:sz w:val="24"/>
        </w:rPr>
      </w:pPr>
      <w:r>
        <w:rPr>
          <w:rFonts w:hint="eastAsia" w:ascii="宋体" w:hAnsi="宋体" w:cs="Arial"/>
          <w:b/>
          <w:sz w:val="24"/>
        </w:rPr>
        <w:t>三、获取招标文件：</w:t>
      </w:r>
    </w:p>
    <w:p w14:paraId="34954A51">
      <w:pPr>
        <w:snapToGrid w:val="0"/>
        <w:spacing w:line="360" w:lineRule="auto"/>
        <w:ind w:firstLine="480" w:firstLineChars="200"/>
        <w:rPr>
          <w:rFonts w:ascii="宋体" w:hAnsi="宋体" w:cs="仿宋"/>
          <w:sz w:val="24"/>
        </w:rPr>
      </w:pPr>
      <w:r>
        <w:rPr>
          <w:rFonts w:hint="eastAsia" w:ascii="宋体" w:hAnsi="宋体" w:cs="仿宋"/>
          <w:sz w:val="24"/>
        </w:rPr>
        <w:t>时间：2025年 月 日至2025年</w:t>
      </w:r>
      <w:r>
        <w:rPr>
          <w:rFonts w:hint="eastAsia" w:ascii="宋体" w:hAnsi="宋体"/>
          <w:sz w:val="24"/>
        </w:rPr>
        <w:t xml:space="preserve"> 月 日</w:t>
      </w:r>
      <w:r>
        <w:rPr>
          <w:rFonts w:hint="eastAsia" w:ascii="宋体" w:hAnsi="宋体" w:cs="仿宋"/>
          <w:sz w:val="24"/>
        </w:rPr>
        <w:t xml:space="preserve">，每天上午00:00至12:00，下午12:00至23:59 </w:t>
      </w:r>
    </w:p>
    <w:p w14:paraId="5AC17B04">
      <w:pPr>
        <w:snapToGrid w:val="0"/>
        <w:spacing w:line="360" w:lineRule="auto"/>
        <w:ind w:firstLine="480" w:firstLineChars="200"/>
        <w:rPr>
          <w:rFonts w:ascii="宋体" w:hAnsi="宋体" w:cs="仿宋"/>
          <w:sz w:val="24"/>
        </w:rPr>
      </w:pPr>
      <w:r>
        <w:rPr>
          <w:rFonts w:hint="eastAsia" w:ascii="宋体" w:hAnsi="宋体" w:cs="仿宋"/>
          <w:sz w:val="24"/>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33E4B437">
      <w:pPr>
        <w:snapToGrid w:val="0"/>
        <w:spacing w:line="360" w:lineRule="auto"/>
        <w:ind w:firstLine="480" w:firstLineChars="200"/>
        <w:rPr>
          <w:rFonts w:ascii="宋体" w:hAnsi="宋体" w:cs="仿宋"/>
          <w:sz w:val="24"/>
        </w:rPr>
      </w:pPr>
      <w:r>
        <w:rPr>
          <w:rFonts w:hint="eastAsia" w:ascii="宋体" w:hAnsi="宋体" w:cs="仿宋"/>
          <w:sz w:val="24"/>
        </w:rPr>
        <w:t>方式：本次招标文件实行网上获取，不接受供应商现场报名。</w:t>
      </w:r>
    </w:p>
    <w:p w14:paraId="6E660191">
      <w:pPr>
        <w:snapToGrid w:val="0"/>
        <w:spacing w:line="360" w:lineRule="auto"/>
        <w:ind w:firstLine="480" w:firstLineChars="200"/>
        <w:rPr>
          <w:rFonts w:ascii="宋体" w:hAnsi="宋体" w:cs="仿宋"/>
          <w:sz w:val="24"/>
        </w:rPr>
      </w:pPr>
      <w:r>
        <w:rPr>
          <w:rFonts w:hint="eastAsia" w:ascii="宋体" w:hAnsi="宋体" w:cs="仿宋"/>
          <w:sz w:val="24"/>
        </w:rPr>
        <w:t>售价：0</w:t>
      </w:r>
    </w:p>
    <w:p w14:paraId="4E312E14">
      <w:pPr>
        <w:snapToGrid w:val="0"/>
        <w:spacing w:line="360" w:lineRule="auto"/>
        <w:rPr>
          <w:rFonts w:ascii="宋体" w:hAnsi="宋体" w:cs="Arial"/>
          <w:b/>
          <w:sz w:val="24"/>
        </w:rPr>
      </w:pPr>
      <w:r>
        <w:rPr>
          <w:rFonts w:hint="eastAsia" w:ascii="宋体" w:hAnsi="宋体" w:cs="Arial"/>
          <w:b/>
          <w:sz w:val="24"/>
        </w:rPr>
        <w:t>四、提交投标文件截止时间、开标时间和地点：</w:t>
      </w:r>
    </w:p>
    <w:p w14:paraId="70B661F9">
      <w:pPr>
        <w:snapToGrid w:val="0"/>
        <w:spacing w:line="360" w:lineRule="auto"/>
        <w:ind w:firstLine="600" w:firstLineChars="250"/>
        <w:rPr>
          <w:rFonts w:ascii="宋体" w:hAnsi="宋体" w:cs="仿宋"/>
          <w:bCs/>
          <w:sz w:val="24"/>
        </w:rPr>
      </w:pPr>
      <w:r>
        <w:rPr>
          <w:rFonts w:hint="eastAsia" w:ascii="宋体" w:hAnsi="宋体" w:cs="仿宋"/>
          <w:sz w:val="24"/>
        </w:rPr>
        <w:t>2025年</w:t>
      </w:r>
      <w:r>
        <w:rPr>
          <w:rFonts w:hint="eastAsia" w:ascii="宋体" w:hAnsi="宋体"/>
          <w:sz w:val="24"/>
        </w:rPr>
        <w:t xml:space="preserve"> 月 日</w:t>
      </w:r>
      <w:r>
        <w:rPr>
          <w:rFonts w:hint="eastAsia" w:ascii="宋体" w:hAnsi="宋体" w:cs="仿宋"/>
          <w:sz w:val="24"/>
        </w:rPr>
        <w:t>14点00分</w:t>
      </w:r>
      <w:r>
        <w:rPr>
          <w:rFonts w:hint="eastAsia" w:ascii="宋体" w:hAnsi="宋体" w:cs="仿宋"/>
          <w:bCs/>
          <w:sz w:val="24"/>
        </w:rPr>
        <w:t>（北京时间）</w:t>
      </w:r>
    </w:p>
    <w:p w14:paraId="007F3A98">
      <w:pPr>
        <w:snapToGrid w:val="0"/>
        <w:spacing w:line="360" w:lineRule="auto"/>
        <w:ind w:firstLine="600" w:firstLineChars="250"/>
        <w:rPr>
          <w:rFonts w:ascii="宋体" w:hAnsi="宋体" w:cs="仿宋"/>
          <w:bCs/>
          <w:sz w:val="24"/>
          <w:u w:val="single"/>
        </w:rPr>
      </w:pPr>
      <w:r>
        <w:rPr>
          <w:rFonts w:hint="eastAsia" w:ascii="宋体" w:hAnsi="宋体" w:cs="仿宋"/>
          <w:sz w:val="24"/>
        </w:rPr>
        <w:t>地点：通过“政府采购云平台（http://www.zcygov.cn）”实行在线投标及开标</w:t>
      </w:r>
    </w:p>
    <w:p w14:paraId="598291DD">
      <w:pPr>
        <w:snapToGrid w:val="0"/>
        <w:spacing w:line="360" w:lineRule="auto"/>
        <w:rPr>
          <w:rFonts w:ascii="宋体" w:hAnsi="宋体" w:cs="Arial"/>
          <w:b/>
          <w:sz w:val="24"/>
        </w:rPr>
      </w:pPr>
      <w:r>
        <w:rPr>
          <w:rFonts w:hint="eastAsia" w:ascii="宋体" w:hAnsi="宋体" w:cs="Arial"/>
          <w:b/>
          <w:sz w:val="24"/>
        </w:rPr>
        <w:t>五、公告期限</w:t>
      </w:r>
    </w:p>
    <w:p w14:paraId="1642F834">
      <w:pPr>
        <w:snapToGrid w:val="0"/>
        <w:spacing w:line="360" w:lineRule="auto"/>
        <w:ind w:firstLine="480" w:firstLineChars="200"/>
        <w:rPr>
          <w:rFonts w:ascii="宋体" w:hAnsi="宋体" w:cs="仿宋"/>
          <w:kern w:val="0"/>
          <w:sz w:val="24"/>
        </w:rPr>
      </w:pPr>
      <w:r>
        <w:rPr>
          <w:rFonts w:hint="eastAsia" w:ascii="宋体" w:hAnsi="宋体" w:cs="仿宋"/>
          <w:kern w:val="0"/>
          <w:sz w:val="24"/>
        </w:rPr>
        <w:t>自本公告发布之日起5个工作日。</w:t>
      </w:r>
    </w:p>
    <w:p w14:paraId="109A6B03">
      <w:pPr>
        <w:spacing w:line="360" w:lineRule="auto"/>
        <w:rPr>
          <w:rFonts w:ascii="宋体" w:hAnsi="宋体" w:cs="仿宋"/>
          <w:b/>
          <w:sz w:val="24"/>
        </w:rPr>
      </w:pPr>
      <w:r>
        <w:rPr>
          <w:rFonts w:hint="eastAsia" w:ascii="宋体" w:hAnsi="宋体" w:cs="仿宋"/>
          <w:b/>
          <w:kern w:val="0"/>
          <w:sz w:val="24"/>
        </w:rPr>
        <w:t>六、</w:t>
      </w:r>
      <w:r>
        <w:rPr>
          <w:rFonts w:hint="eastAsia" w:ascii="宋体" w:hAnsi="宋体" w:cs="仿宋"/>
          <w:b/>
          <w:sz w:val="24"/>
        </w:rPr>
        <w:t>其他补充事宜</w:t>
      </w:r>
    </w:p>
    <w:p w14:paraId="317EC76A">
      <w:pPr>
        <w:spacing w:line="360" w:lineRule="auto"/>
        <w:ind w:firstLine="480" w:firstLineChars="200"/>
        <w:rPr>
          <w:rFonts w:ascii="宋体" w:hAnsi="宋体" w:cs="仿宋"/>
          <w:kern w:val="0"/>
          <w:sz w:val="24"/>
        </w:rPr>
      </w:pPr>
      <w:bookmarkStart w:id="19" w:name="OLE_LINK25"/>
      <w:bookmarkStart w:id="20" w:name="OLE_LINK28"/>
      <w:r>
        <w:rPr>
          <w:rFonts w:hint="eastAsia" w:ascii="宋体" w:hAnsi="宋体" w:cs="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E648DD">
      <w:pPr>
        <w:spacing w:line="360" w:lineRule="auto"/>
        <w:ind w:firstLine="480" w:firstLineChars="200"/>
        <w:rPr>
          <w:rFonts w:ascii="宋体" w:hAnsi="宋体" w:cs="仿宋"/>
          <w:kern w:val="0"/>
          <w:sz w:val="24"/>
        </w:rPr>
      </w:pPr>
      <w:r>
        <w:rPr>
          <w:rFonts w:hint="eastAsia" w:ascii="宋体" w:hAnsi="宋体" w:cs="仿宋"/>
          <w:sz w:val="24"/>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14:paraId="28ED2C38">
      <w:pPr>
        <w:spacing w:line="360" w:lineRule="auto"/>
        <w:ind w:firstLine="480" w:firstLineChars="200"/>
        <w:rPr>
          <w:rFonts w:ascii="宋体" w:hAnsi="宋体" w:cs="仿宋"/>
          <w:kern w:val="0"/>
          <w:sz w:val="24"/>
        </w:rPr>
      </w:pPr>
      <w:r>
        <w:rPr>
          <w:rFonts w:hint="eastAsia" w:ascii="宋体" w:hAnsi="宋体" w:cs="仿宋"/>
          <w:sz w:val="24"/>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14:paraId="34EAE025">
      <w:pPr>
        <w:spacing w:line="360" w:lineRule="auto"/>
        <w:ind w:firstLine="480" w:firstLineChars="200"/>
        <w:rPr>
          <w:rFonts w:ascii="宋体" w:hAnsi="宋体" w:cs="仿宋"/>
          <w:kern w:val="0"/>
          <w:sz w:val="24"/>
        </w:rPr>
      </w:pPr>
      <w:r>
        <w:rPr>
          <w:rFonts w:hint="eastAsia" w:ascii="宋体" w:hAnsi="宋体" w:cs="仿宋"/>
          <w:sz w:val="24"/>
        </w:rPr>
        <w:t>4.答疑内容是招标文件的组成部分，并将在网上发布补充（答疑、澄清）文件，潜在供应商应自行关注网站公告，采购人不再一一通知，供应商因自身贻误行为导致投标失效的，责任自负。</w:t>
      </w:r>
    </w:p>
    <w:p w14:paraId="36BD71AA">
      <w:pPr>
        <w:spacing w:line="360" w:lineRule="auto"/>
        <w:ind w:firstLine="480" w:firstLineChars="200"/>
        <w:rPr>
          <w:rFonts w:ascii="宋体" w:hAnsi="宋体" w:cs="仿宋"/>
          <w:sz w:val="24"/>
        </w:rPr>
      </w:pPr>
      <w:r>
        <w:rPr>
          <w:rFonts w:hint="eastAsia" w:ascii="宋体" w:hAnsi="宋体" w:cs="仿宋"/>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36D82818">
      <w:pPr>
        <w:snapToGrid w:val="0"/>
        <w:spacing w:line="360" w:lineRule="auto"/>
        <w:ind w:firstLine="480" w:firstLineChars="200"/>
        <w:rPr>
          <w:rFonts w:ascii="宋体" w:hAnsi="宋体" w:cs="Arial"/>
          <w:b/>
          <w:sz w:val="24"/>
        </w:rPr>
      </w:pPr>
      <w:r>
        <w:rPr>
          <w:rFonts w:hint="eastAsia" w:ascii="宋体" w:hAnsi="宋体" w:cs="宋体"/>
          <w:sz w:val="24"/>
        </w:rPr>
        <w:t>6.</w:t>
      </w:r>
      <w:r>
        <w:rPr>
          <w:rFonts w:ascii="宋体" w:hAnsi="宋体" w:cs="宋体"/>
          <w:sz w:val="24"/>
        </w:rPr>
        <w:t>根据《政府采购促进中小企业发展管理办法》，本项目是否专门面向中小企业采购：</w:t>
      </w:r>
      <w:r>
        <w:rPr>
          <w:rFonts w:hint="eastAsia" w:ascii="宋体" w:hAnsi="宋体" w:cs="宋体"/>
          <w:sz w:val="24"/>
        </w:rPr>
        <w:t>是。</w:t>
      </w:r>
    </w:p>
    <w:p w14:paraId="3B2889F8">
      <w:pPr>
        <w:snapToGrid w:val="0"/>
        <w:spacing w:line="360" w:lineRule="auto"/>
        <w:ind w:firstLine="480" w:firstLineChars="200"/>
        <w:rPr>
          <w:rFonts w:ascii="宋体" w:hAnsi="宋体" w:cs="仿宋"/>
          <w:kern w:val="0"/>
          <w:sz w:val="24"/>
        </w:rPr>
      </w:pPr>
      <w:r>
        <w:rPr>
          <w:rFonts w:hint="eastAsia" w:ascii="宋体" w:hAnsi="宋体" w:cs="仿宋"/>
          <w:sz w:val="24"/>
        </w:rPr>
        <w:t>7.本项目公告发布网站： 浙江政府采购网：</w:t>
      </w:r>
      <w:r>
        <w:fldChar w:fldCharType="begin"/>
      </w:r>
      <w:r>
        <w:instrText xml:space="preserve"> HYPERLINK "http://zfcg.czt.zj.gov.cn/" </w:instrText>
      </w:r>
      <w:r>
        <w:fldChar w:fldCharType="separate"/>
      </w:r>
      <w:r>
        <w:rPr>
          <w:rStyle w:val="50"/>
          <w:rFonts w:hint="eastAsia" w:ascii="宋体" w:hAnsi="宋体" w:cs="仿宋"/>
          <w:color w:val="auto"/>
          <w:sz w:val="24"/>
        </w:rPr>
        <w:t>http://zfcg.czt.zj.gov.cn/</w:t>
      </w:r>
      <w:r>
        <w:rPr>
          <w:rStyle w:val="50"/>
          <w:rFonts w:hint="eastAsia" w:ascii="宋体" w:hAnsi="宋体" w:cs="仿宋"/>
          <w:color w:val="auto"/>
          <w:sz w:val="24"/>
        </w:rPr>
        <w:fldChar w:fldCharType="end"/>
      </w:r>
      <w:r>
        <w:rPr>
          <w:rFonts w:hint="eastAsia"/>
        </w:rPr>
        <w:t>，</w:t>
      </w:r>
      <w:r>
        <w:rPr>
          <w:rFonts w:hint="eastAsia" w:ascii="宋体" w:hAnsi="宋体" w:cs="仿宋"/>
          <w:sz w:val="24"/>
        </w:rPr>
        <w:t>湖州市公共资源交易信息网：http://ggzy.huzhou.gov.cn/hzfront/-“政府采购”－“分散采购”模块</w:t>
      </w:r>
    </w:p>
    <w:p w14:paraId="358F9886">
      <w:pPr>
        <w:spacing w:line="360" w:lineRule="auto"/>
        <w:ind w:firstLine="480" w:firstLineChars="200"/>
        <w:rPr>
          <w:rFonts w:ascii="宋体" w:hAnsi="宋体" w:cs="仿宋"/>
          <w:kern w:val="0"/>
          <w:sz w:val="24"/>
        </w:rPr>
      </w:pPr>
      <w:r>
        <w:rPr>
          <w:rFonts w:hint="eastAsia" w:ascii="宋体" w:hAnsi="宋体" w:cs="仿宋"/>
          <w:sz w:val="24"/>
        </w:rPr>
        <w:t>8.投标事项：</w:t>
      </w:r>
    </w:p>
    <w:p w14:paraId="69937B04">
      <w:pPr>
        <w:spacing w:line="360" w:lineRule="auto"/>
        <w:ind w:firstLine="480" w:firstLineChars="200"/>
        <w:rPr>
          <w:rFonts w:ascii="宋体" w:hAnsi="宋体" w:cs="仿宋"/>
          <w:kern w:val="0"/>
          <w:sz w:val="24"/>
        </w:rPr>
      </w:pPr>
      <w:r>
        <w:rPr>
          <w:rFonts w:hint="eastAsia" w:ascii="宋体" w:hAnsi="宋体" w:cs="仿宋"/>
          <w:sz w:val="24"/>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14:paraId="61D519B1">
      <w:pPr>
        <w:spacing w:line="360" w:lineRule="auto"/>
        <w:ind w:firstLine="480" w:firstLineChars="200"/>
        <w:rPr>
          <w:rFonts w:ascii="宋体" w:hAnsi="宋体" w:cs="仿宋"/>
          <w:sz w:val="24"/>
        </w:rPr>
      </w:pPr>
      <w:r>
        <w:rPr>
          <w:rFonts w:hint="eastAsia" w:ascii="宋体" w:hAnsi="宋体" w:cs="仿宋"/>
          <w:sz w:val="24"/>
        </w:rPr>
        <w:t>（2）参与政府采购项目的注册供应商，需登录浙江政府采购云平台（http://www.zcygov.cn）进行网上报名，尚未注册的供应商应当先在浙江政府采购云平台上申请注册。</w:t>
      </w:r>
    </w:p>
    <w:p w14:paraId="2304081C">
      <w:pPr>
        <w:spacing w:line="360" w:lineRule="auto"/>
        <w:ind w:firstLine="480" w:firstLineChars="200"/>
        <w:jc w:val="left"/>
        <w:rPr>
          <w:rFonts w:ascii="宋体" w:hAnsi="宋体" w:cs="仿宋"/>
          <w:sz w:val="24"/>
        </w:rPr>
      </w:pPr>
      <w:r>
        <w:rPr>
          <w:rFonts w:hint="eastAsia" w:ascii="宋体" w:hAnsi="宋体" w:cs="仿宋"/>
          <w:sz w:val="24"/>
        </w:rPr>
        <w:t>（3）政府采购项目电子交易操作指南：</w:t>
      </w:r>
      <w:r>
        <w:rPr>
          <w:rFonts w:ascii="宋体" w:hAnsi="宋体" w:cs="仿宋"/>
          <w:sz w:val="21"/>
          <w:szCs w:val="21"/>
        </w:rPr>
        <w:t>https://service.zcygov.cn/#/knowledges/CW1EtGwBFdiHxlNd6I3m/6IMVAG0BFdiHxlNdQ8Na</w:t>
      </w:r>
    </w:p>
    <w:p w14:paraId="3A129A6C">
      <w:pPr>
        <w:spacing w:line="360" w:lineRule="auto"/>
        <w:ind w:firstLine="480" w:firstLineChars="200"/>
        <w:rPr>
          <w:rFonts w:ascii="宋体" w:hAnsi="宋体" w:cs="仿宋"/>
          <w:kern w:val="0"/>
          <w:sz w:val="24"/>
        </w:rPr>
      </w:pPr>
      <w:r>
        <w:rPr>
          <w:rFonts w:hint="eastAsia" w:ascii="宋体" w:hAnsi="宋体" w:cs="仿宋"/>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14:paraId="53C31D0B">
      <w:pPr>
        <w:spacing w:line="360" w:lineRule="auto"/>
        <w:ind w:firstLine="480" w:firstLineChars="200"/>
        <w:rPr>
          <w:rFonts w:ascii="宋体" w:hAnsi="宋体" w:cs="仿宋"/>
          <w:sz w:val="24"/>
        </w:rPr>
      </w:pPr>
      <w:r>
        <w:rPr>
          <w:rFonts w:hint="eastAsia" w:ascii="宋体" w:hAnsi="宋体" w:cs="仿宋"/>
          <w:sz w:val="24"/>
        </w:rPr>
        <w:t>（5）投标供应商应当在投标截止时间前，将生成的“电子加密投标文件”上传递交至“政府采购云平台”。投标截止时间以后上传递交的投标文件将被“政府采购云平台”拒收。</w:t>
      </w:r>
    </w:p>
    <w:p w14:paraId="6D831449">
      <w:pPr>
        <w:spacing w:line="360" w:lineRule="auto"/>
        <w:ind w:firstLine="480" w:firstLineChars="200"/>
        <w:rPr>
          <w:rFonts w:ascii="宋体" w:hAnsi="宋体" w:cs="宋体"/>
          <w:kern w:val="0"/>
          <w:sz w:val="24"/>
        </w:rPr>
      </w:pPr>
      <w:r>
        <w:rPr>
          <w:rFonts w:hint="eastAsia" w:ascii="宋体" w:hAnsi="宋体" w:cs="宋体"/>
          <w:kern w:val="0"/>
          <w:sz w:val="24"/>
        </w:rPr>
        <w:t>（6）备</w:t>
      </w:r>
      <w:r>
        <w:rPr>
          <w:rFonts w:hint="eastAsia" w:ascii="宋体" w:hAnsi="宋体"/>
          <w:sz w:val="24"/>
        </w:rPr>
        <w:t>份</w:t>
      </w:r>
      <w:r>
        <w:rPr>
          <w:rFonts w:hint="eastAsia" w:ascii="宋体" w:hAnsi="宋体" w:cs="宋体"/>
          <w:kern w:val="0"/>
          <w:sz w:val="24"/>
        </w:rPr>
        <w:t>投标文件</w:t>
      </w:r>
      <w:r>
        <w:rPr>
          <w:rFonts w:hint="eastAsia" w:ascii="宋体" w:hAnsi="宋体"/>
          <w:sz w:val="24"/>
        </w:rPr>
        <w:t>：根据“浙江省政府采购项目电子交易管理暂行办法”第二十条规定，本次招标允许供应商递交备份</w:t>
      </w:r>
      <w:r>
        <w:rPr>
          <w:rFonts w:hint="eastAsia" w:ascii="宋体" w:hAnsi="宋体" w:cs="宋体"/>
          <w:kern w:val="0"/>
          <w:sz w:val="24"/>
        </w:rPr>
        <w:t>投标文件</w:t>
      </w:r>
      <w:r>
        <w:rPr>
          <w:rFonts w:hint="eastAsia" w:ascii="宋体" w:hAnsi="宋体"/>
          <w:sz w:val="24"/>
        </w:rPr>
        <w:t>，仅提交备份</w:t>
      </w:r>
      <w:r>
        <w:rPr>
          <w:rFonts w:hint="eastAsia" w:ascii="宋体" w:hAnsi="宋体" w:cs="宋体"/>
          <w:kern w:val="0"/>
          <w:sz w:val="24"/>
        </w:rPr>
        <w:t>投标文件</w:t>
      </w:r>
      <w:r>
        <w:rPr>
          <w:rFonts w:hint="eastAsia" w:ascii="宋体" w:hAnsi="宋体"/>
          <w:sz w:val="24"/>
        </w:rPr>
        <w:t>的，</w:t>
      </w:r>
      <w:r>
        <w:rPr>
          <w:rFonts w:hint="eastAsia" w:ascii="宋体" w:hAnsi="宋体" w:cs="宋体"/>
          <w:kern w:val="0"/>
          <w:sz w:val="24"/>
        </w:rPr>
        <w:t>投标</w:t>
      </w:r>
      <w:r>
        <w:rPr>
          <w:rFonts w:hint="eastAsia" w:ascii="宋体" w:hAnsi="宋体"/>
          <w:sz w:val="24"/>
        </w:rPr>
        <w:t>无效。本项目不强制要求供应商提交备份</w:t>
      </w:r>
      <w:r>
        <w:rPr>
          <w:rFonts w:hint="eastAsia" w:ascii="宋体" w:hAnsi="宋体" w:cs="宋体"/>
          <w:kern w:val="0"/>
          <w:sz w:val="24"/>
        </w:rPr>
        <w:t>投标文件</w:t>
      </w:r>
      <w:r>
        <w:rPr>
          <w:rFonts w:hint="eastAsia" w:ascii="宋体" w:hAnsi="宋体"/>
          <w:sz w:val="24"/>
        </w:rPr>
        <w:t>，但由于未提交备份</w:t>
      </w:r>
      <w:r>
        <w:rPr>
          <w:rFonts w:hint="eastAsia" w:ascii="宋体" w:hAnsi="宋体" w:cs="宋体"/>
          <w:kern w:val="0"/>
          <w:sz w:val="24"/>
        </w:rPr>
        <w:t>投标文件</w:t>
      </w:r>
      <w:r>
        <w:rPr>
          <w:rFonts w:hint="eastAsia" w:ascii="宋体" w:hAnsi="宋体"/>
          <w:sz w:val="24"/>
        </w:rPr>
        <w:t>而造成项目开评标活动无法进行下去的，</w:t>
      </w:r>
      <w:r>
        <w:rPr>
          <w:rFonts w:hint="eastAsia" w:ascii="宋体" w:hAnsi="宋体" w:cs="宋体"/>
          <w:kern w:val="0"/>
          <w:sz w:val="24"/>
        </w:rPr>
        <w:t>投标</w:t>
      </w:r>
      <w:r>
        <w:rPr>
          <w:rFonts w:hint="eastAsia" w:ascii="宋体" w:hAnsi="宋体"/>
          <w:sz w:val="24"/>
        </w:rPr>
        <w:t>无效的，相关风险由供应</w:t>
      </w:r>
      <w:r>
        <w:rPr>
          <w:rFonts w:hint="eastAsia" w:ascii="宋体" w:hAnsi="宋体" w:cs="宋体"/>
          <w:kern w:val="0"/>
          <w:sz w:val="24"/>
        </w:rPr>
        <w:t>商自行承担。</w:t>
      </w:r>
      <w:r>
        <w:rPr>
          <w:rFonts w:ascii="宋体" w:hAnsi="宋体" w:cs="宋体"/>
          <w:kern w:val="0"/>
          <w:sz w:val="24"/>
        </w:rPr>
        <w:t>备份</w:t>
      </w:r>
      <w:r>
        <w:rPr>
          <w:rFonts w:hint="eastAsia" w:ascii="宋体" w:hAnsi="宋体" w:cs="宋体"/>
          <w:kern w:val="0"/>
          <w:sz w:val="24"/>
        </w:rPr>
        <w:t>投标文件：1份。</w:t>
      </w:r>
      <w:r>
        <w:rPr>
          <w:rFonts w:ascii="宋体" w:hAnsi="宋体" w:cs="宋体"/>
          <w:kern w:val="0"/>
          <w:sz w:val="24"/>
        </w:rPr>
        <w:t>以介质存储的数据电文形式的备份</w:t>
      </w:r>
      <w:r>
        <w:rPr>
          <w:rFonts w:hint="eastAsia" w:ascii="宋体" w:hAnsi="宋体" w:cs="宋体"/>
          <w:kern w:val="0"/>
          <w:sz w:val="24"/>
        </w:rPr>
        <w:t>投标文件（</w:t>
      </w:r>
      <w:r>
        <w:rPr>
          <w:rFonts w:ascii="宋体" w:hAnsi="宋体" w:cs="宋体"/>
          <w:kern w:val="0"/>
          <w:sz w:val="24"/>
        </w:rPr>
        <w:t>BFBS格式</w:t>
      </w:r>
      <w:r>
        <w:rPr>
          <w:rFonts w:hint="eastAsia" w:ascii="宋体" w:hAnsi="宋体" w:cs="宋体"/>
          <w:kern w:val="0"/>
          <w:sz w:val="24"/>
        </w:rPr>
        <w:t>）</w:t>
      </w:r>
      <w:r>
        <w:rPr>
          <w:rFonts w:ascii="宋体" w:hAnsi="宋体" w:cs="宋体"/>
          <w:kern w:val="0"/>
          <w:sz w:val="24"/>
        </w:rPr>
        <w:t>，按政采云平台项目采购</w:t>
      </w:r>
      <w:r>
        <w:rPr>
          <w:rFonts w:hint="eastAsia" w:ascii="宋体" w:hAnsi="宋体" w:cs="宋体"/>
          <w:kern w:val="0"/>
          <w:sz w:val="24"/>
        </w:rPr>
        <w:t>－</w:t>
      </w:r>
      <w:r>
        <w:rPr>
          <w:rFonts w:ascii="宋体" w:hAnsi="宋体" w:cs="宋体"/>
          <w:kern w:val="0"/>
          <w:sz w:val="24"/>
        </w:rPr>
        <w:t>电子交易操作指南中上传的电子</w:t>
      </w:r>
      <w:r>
        <w:rPr>
          <w:rFonts w:hint="eastAsia" w:ascii="宋体" w:hAnsi="宋体" w:cs="宋体"/>
          <w:kern w:val="0"/>
          <w:sz w:val="24"/>
        </w:rPr>
        <w:t>投标文件</w:t>
      </w:r>
      <w:r>
        <w:rPr>
          <w:rFonts w:ascii="宋体" w:hAnsi="宋体" w:cs="宋体"/>
          <w:kern w:val="0"/>
          <w:sz w:val="24"/>
        </w:rPr>
        <w:t>格式，以U盘形式存储提供</w:t>
      </w:r>
      <w:r>
        <w:rPr>
          <w:rFonts w:hint="eastAsia" w:ascii="宋体" w:hAnsi="宋体" w:cs="宋体"/>
          <w:kern w:val="0"/>
          <w:sz w:val="24"/>
        </w:rPr>
        <w:t>）</w:t>
      </w:r>
      <w:r>
        <w:rPr>
          <w:rFonts w:ascii="宋体" w:hAnsi="宋体" w:cs="宋体"/>
          <w:kern w:val="0"/>
          <w:sz w:val="24"/>
        </w:rPr>
        <w:t>。U盘盘面上粘贴标签，标注单位名称，装入一个外包封袋中进行邮寄</w:t>
      </w:r>
      <w:r>
        <w:rPr>
          <w:rFonts w:hint="eastAsia" w:ascii="宋体" w:hAnsi="宋体" w:cs="宋体"/>
          <w:kern w:val="0"/>
          <w:sz w:val="24"/>
        </w:rPr>
        <w:t>。</w:t>
      </w:r>
      <w:r>
        <w:rPr>
          <w:rFonts w:ascii="宋体" w:hAnsi="宋体" w:cs="宋体"/>
          <w:kern w:val="0"/>
          <w:sz w:val="24"/>
        </w:rPr>
        <w:t>邮寄时，总的外包封袋上可不注明单位名称，但应注明单位的联系人、联系电话及项目名称</w:t>
      </w:r>
      <w:r>
        <w:rPr>
          <w:rFonts w:hint="eastAsia" w:ascii="宋体" w:hAnsi="宋体" w:cs="宋体"/>
          <w:kern w:val="0"/>
          <w:sz w:val="24"/>
        </w:rPr>
        <w:t>。邮寄地址为：浙江华耀建设咨询有限公司（湖州市静江公寓1单元1101室），联系人：张治中，联系电话：0572-2198738</w:t>
      </w:r>
      <w:r>
        <w:fldChar w:fldCharType="begin"/>
      </w:r>
      <w:r>
        <w:instrText xml:space="preserve"> HYPERLINK "mailto:huayaohz@163.com。供应商应于2020年9月" </w:instrText>
      </w:r>
      <w:r>
        <w:fldChar w:fldCharType="separate"/>
      </w:r>
      <w:r>
        <w:rPr>
          <w:rFonts w:hint="eastAsia" w:ascii="宋体" w:hAnsi="宋体" w:cs="宋体"/>
          <w:kern w:val="0"/>
          <w:sz w:val="24"/>
        </w:rPr>
        <w:t>，</w:t>
      </w:r>
      <w:r>
        <w:rPr>
          <w:rFonts w:hint="eastAsia" w:ascii="宋体" w:hAnsi="宋体" w:cs="宋体"/>
          <w:kern w:val="0"/>
          <w:sz w:val="24"/>
        </w:rPr>
        <w:fldChar w:fldCharType="end"/>
      </w:r>
      <w:r>
        <w:rPr>
          <w:rFonts w:hint="eastAsia" w:ascii="宋体" w:hAnsi="宋体" w:cs="宋体"/>
          <w:kern w:val="0"/>
          <w:sz w:val="24"/>
        </w:rPr>
        <w:t>拒绝到付。以收件人实际签收时间为准，逾期送达的将拒绝接收。</w:t>
      </w:r>
    </w:p>
    <w:p w14:paraId="0C75C0F6">
      <w:pPr>
        <w:spacing w:line="360" w:lineRule="auto"/>
        <w:ind w:firstLine="480" w:firstLineChars="200"/>
        <w:rPr>
          <w:rFonts w:ascii="宋体" w:hAnsi="宋体"/>
          <w:sz w:val="24"/>
        </w:rPr>
      </w:pPr>
      <w:r>
        <w:rPr>
          <w:rFonts w:hint="eastAsia" w:ascii="宋体" w:hAnsi="宋体" w:cs="宋体"/>
          <w:kern w:val="0"/>
          <w:sz w:val="24"/>
        </w:rPr>
        <w:t>（7）本项目开评标会议通过政采云电子交易系统在线完成，</w:t>
      </w:r>
      <w:r>
        <w:rPr>
          <w:rFonts w:hint="eastAsia" w:ascii="宋体" w:hAnsi="宋体"/>
          <w:sz w:val="24"/>
        </w:rPr>
        <w:t>请潜在供应商代表自行准备联网的计算机设备、“政府采购云平台”CA数字证书。开评标会议开始后，应全程关注政采云电子交易系统的各类通知：在线询标等，及时澄清、响应，避免逾期无效等情况的发生。</w:t>
      </w:r>
    </w:p>
    <w:bookmarkEnd w:id="19"/>
    <w:bookmarkEnd w:id="20"/>
    <w:p w14:paraId="1AD0B4EA">
      <w:pPr>
        <w:snapToGrid w:val="0"/>
        <w:spacing w:line="360" w:lineRule="auto"/>
        <w:ind w:firstLine="542" w:firstLineChars="225"/>
        <w:rPr>
          <w:rFonts w:ascii="宋体" w:hAnsi="宋体" w:cs="Arial"/>
          <w:b/>
          <w:sz w:val="24"/>
        </w:rPr>
      </w:pPr>
      <w:r>
        <w:rPr>
          <w:rFonts w:hint="eastAsia" w:ascii="宋体" w:hAnsi="宋体" w:cs="Arial"/>
          <w:b/>
          <w:sz w:val="24"/>
        </w:rPr>
        <w:t>七、业务咨询：</w:t>
      </w:r>
    </w:p>
    <w:p w14:paraId="3343B02A">
      <w:pPr>
        <w:snapToGrid w:val="0"/>
        <w:spacing w:line="360" w:lineRule="auto"/>
        <w:ind w:firstLine="470" w:firstLineChars="196"/>
        <w:rPr>
          <w:rFonts w:ascii="宋体" w:hAnsi="宋体" w:cs="Arial"/>
          <w:b/>
          <w:sz w:val="24"/>
        </w:rPr>
      </w:pPr>
      <w:r>
        <w:rPr>
          <w:rFonts w:hint="eastAsia" w:ascii="宋体" w:hAnsi="宋体"/>
          <w:sz w:val="24"/>
        </w:rPr>
        <w:t>1.采购代理机构名称：浙江华耀建设咨询有限公司</w:t>
      </w:r>
    </w:p>
    <w:p w14:paraId="4E20AC4B">
      <w:pPr>
        <w:snapToGrid w:val="0"/>
        <w:spacing w:line="360" w:lineRule="auto"/>
        <w:ind w:firstLine="480" w:firstLineChars="200"/>
        <w:rPr>
          <w:rFonts w:ascii="宋体" w:hAnsi="宋体"/>
          <w:sz w:val="24"/>
        </w:rPr>
      </w:pPr>
      <w:r>
        <w:rPr>
          <w:rFonts w:hint="eastAsia" w:ascii="宋体" w:hAnsi="宋体"/>
          <w:sz w:val="24"/>
        </w:rPr>
        <w:t>地址：</w:t>
      </w:r>
      <w:r>
        <w:rPr>
          <w:rFonts w:hint="eastAsia" w:ascii="宋体" w:hAnsi="宋体" w:cs="宋体"/>
          <w:kern w:val="0"/>
          <w:sz w:val="24"/>
        </w:rPr>
        <w:t>浙江省湖州市静江公寓1单元1101室</w:t>
      </w:r>
    </w:p>
    <w:p w14:paraId="296EA21A">
      <w:pPr>
        <w:snapToGrid w:val="0"/>
        <w:spacing w:line="360" w:lineRule="auto"/>
        <w:ind w:firstLine="470" w:firstLineChars="196"/>
        <w:rPr>
          <w:rFonts w:ascii="宋体" w:hAnsi="宋体"/>
          <w:sz w:val="24"/>
        </w:rPr>
      </w:pPr>
      <w:r>
        <w:rPr>
          <w:rFonts w:hint="eastAsia" w:ascii="宋体" w:hAnsi="宋体"/>
          <w:sz w:val="24"/>
        </w:rPr>
        <w:t>联系人：小张；联系电话：0572-2198738；传真：0572-2198739</w:t>
      </w:r>
    </w:p>
    <w:p w14:paraId="3F1D7B4F">
      <w:pPr>
        <w:snapToGrid w:val="0"/>
        <w:spacing w:line="360" w:lineRule="auto"/>
        <w:ind w:firstLine="470" w:firstLineChars="196"/>
        <w:rPr>
          <w:rFonts w:ascii="宋体" w:hAnsi="宋体"/>
          <w:sz w:val="24"/>
        </w:rPr>
      </w:pPr>
      <w:r>
        <w:rPr>
          <w:rFonts w:hint="eastAsia" w:ascii="宋体" w:hAnsi="宋体"/>
          <w:sz w:val="24"/>
        </w:rPr>
        <w:t>供应商质疑函接收人：何女士   联系电话：</w:t>
      </w:r>
      <w:bookmarkStart w:id="21" w:name="OLE_LINK50"/>
      <w:bookmarkStart w:id="22" w:name="OLE_LINK45"/>
      <w:r>
        <w:rPr>
          <w:rFonts w:hint="eastAsia" w:ascii="宋体" w:hAnsi="宋体"/>
          <w:sz w:val="24"/>
        </w:rPr>
        <w:t>0572-2371910</w:t>
      </w:r>
      <w:bookmarkEnd w:id="21"/>
      <w:bookmarkEnd w:id="22"/>
    </w:p>
    <w:p w14:paraId="07B76610">
      <w:pPr>
        <w:snapToGrid w:val="0"/>
        <w:spacing w:line="360" w:lineRule="auto"/>
        <w:ind w:firstLine="470" w:firstLineChars="196"/>
        <w:rPr>
          <w:rFonts w:ascii="宋体" w:hAnsi="宋体"/>
          <w:sz w:val="24"/>
        </w:rPr>
      </w:pPr>
      <w:r>
        <w:rPr>
          <w:rFonts w:hint="eastAsia" w:ascii="宋体" w:hAnsi="宋体"/>
          <w:sz w:val="24"/>
        </w:rPr>
        <w:t>电子邮箱：</w:t>
      </w:r>
      <w:r>
        <w:fldChar w:fldCharType="begin"/>
      </w:r>
      <w:r>
        <w:instrText xml:space="preserve"> HYPERLINK "mailto:huayaohz@163.com。" </w:instrText>
      </w:r>
      <w:r>
        <w:fldChar w:fldCharType="separate"/>
      </w:r>
      <w:r>
        <w:rPr>
          <w:rFonts w:hint="eastAsia" w:ascii="宋体" w:hAnsi="宋体"/>
          <w:sz w:val="24"/>
        </w:rPr>
        <w:t>huayaohz@163.com</w:t>
      </w:r>
      <w:r>
        <w:rPr>
          <w:rFonts w:hint="eastAsia" w:ascii="宋体" w:hAnsi="宋体"/>
          <w:sz w:val="24"/>
        </w:rPr>
        <w:fldChar w:fldCharType="end"/>
      </w:r>
    </w:p>
    <w:p w14:paraId="4217871D">
      <w:pPr>
        <w:snapToGrid w:val="0"/>
        <w:spacing w:line="360" w:lineRule="auto"/>
        <w:ind w:firstLine="560" w:firstLineChars="200"/>
      </w:pPr>
    </w:p>
    <w:p w14:paraId="65FB4E17">
      <w:pPr>
        <w:snapToGrid w:val="0"/>
        <w:spacing w:line="360" w:lineRule="auto"/>
        <w:ind w:firstLine="470" w:firstLineChars="196"/>
        <w:rPr>
          <w:rFonts w:ascii="宋体" w:hAnsi="宋体"/>
          <w:sz w:val="24"/>
        </w:rPr>
      </w:pPr>
      <w:r>
        <w:rPr>
          <w:rFonts w:hint="eastAsia" w:ascii="宋体" w:hAnsi="宋体"/>
          <w:sz w:val="24"/>
        </w:rPr>
        <w:t>2.采购人名称：吴兴高级中学</w:t>
      </w:r>
    </w:p>
    <w:p w14:paraId="2F70BBDE">
      <w:pPr>
        <w:snapToGrid w:val="0"/>
        <w:spacing w:line="360" w:lineRule="auto"/>
        <w:ind w:firstLine="470" w:firstLineChars="196"/>
        <w:rPr>
          <w:rFonts w:ascii="宋体" w:hAnsi="宋体"/>
          <w:sz w:val="24"/>
        </w:rPr>
      </w:pPr>
      <w:r>
        <w:rPr>
          <w:rFonts w:hint="eastAsia" w:ascii="宋体" w:hAnsi="宋体"/>
          <w:sz w:val="24"/>
        </w:rPr>
        <w:t xml:space="preserve">联系人：鲍老师                   联系电话：0572-2641518 </w:t>
      </w:r>
    </w:p>
    <w:p w14:paraId="2E7A289D">
      <w:pPr>
        <w:snapToGrid w:val="0"/>
        <w:spacing w:line="360" w:lineRule="auto"/>
        <w:ind w:firstLine="470" w:firstLineChars="196"/>
        <w:rPr>
          <w:rFonts w:ascii="宋体" w:hAnsi="宋体"/>
          <w:sz w:val="24"/>
        </w:rPr>
      </w:pPr>
      <w:r>
        <w:rPr>
          <w:rFonts w:hint="eastAsia" w:ascii="宋体" w:hAnsi="宋体"/>
          <w:sz w:val="24"/>
        </w:rPr>
        <w:t>采购人质疑联系人：陆老师      联系电话：</w:t>
      </w:r>
      <w:bookmarkStart w:id="23" w:name="OLE_LINK43"/>
      <w:bookmarkStart w:id="24" w:name="OLE_LINK44"/>
      <w:r>
        <w:rPr>
          <w:rFonts w:hint="eastAsia" w:ascii="宋体" w:hAnsi="宋体"/>
          <w:sz w:val="24"/>
        </w:rPr>
        <w:t>0572-25</w:t>
      </w:r>
      <w:bookmarkEnd w:id="23"/>
      <w:bookmarkEnd w:id="24"/>
      <w:r>
        <w:rPr>
          <w:rFonts w:hint="eastAsia" w:ascii="宋体" w:hAnsi="宋体"/>
          <w:sz w:val="24"/>
        </w:rPr>
        <w:t>78786</w:t>
      </w:r>
    </w:p>
    <w:p w14:paraId="4CE03ED4">
      <w:pPr>
        <w:pStyle w:val="19"/>
        <w:ind w:firstLine="560"/>
      </w:pPr>
    </w:p>
    <w:p w14:paraId="149E964A">
      <w:pPr>
        <w:snapToGrid w:val="0"/>
        <w:spacing w:line="360" w:lineRule="auto"/>
        <w:ind w:firstLine="470" w:firstLineChars="196"/>
        <w:rPr>
          <w:rFonts w:ascii="宋体" w:hAnsi="宋体" w:cs="宋体"/>
          <w:sz w:val="24"/>
        </w:rPr>
      </w:pPr>
      <w:r>
        <w:rPr>
          <w:rFonts w:hint="eastAsia" w:ascii="宋体" w:hAnsi="宋体" w:cs="Arial"/>
          <w:sz w:val="24"/>
        </w:rPr>
        <w:t>3.同级政府采购监督管理部门名称：</w:t>
      </w:r>
      <w:r>
        <w:rPr>
          <w:rFonts w:hint="eastAsia" w:ascii="宋体" w:hAnsi="宋体" w:cs="宋体"/>
          <w:sz w:val="24"/>
        </w:rPr>
        <w:t>湖州市财政局采监处</w:t>
      </w:r>
    </w:p>
    <w:p w14:paraId="6124A2F7">
      <w:pPr>
        <w:snapToGrid w:val="0"/>
        <w:spacing w:line="360" w:lineRule="auto"/>
        <w:ind w:firstLine="470" w:firstLineChars="196"/>
        <w:rPr>
          <w:rFonts w:ascii="宋体" w:hAnsi="宋体"/>
          <w:sz w:val="24"/>
        </w:rPr>
      </w:pPr>
      <w:r>
        <w:rPr>
          <w:rFonts w:hint="eastAsia" w:ascii="宋体" w:hAnsi="宋体"/>
          <w:sz w:val="24"/>
        </w:rPr>
        <w:t>地址：湖州市龙王山路518号</w:t>
      </w:r>
    </w:p>
    <w:p w14:paraId="3F620D63">
      <w:pPr>
        <w:snapToGrid w:val="0"/>
        <w:spacing w:line="360" w:lineRule="auto"/>
        <w:ind w:firstLine="470" w:firstLineChars="196"/>
        <w:rPr>
          <w:rFonts w:ascii="宋体" w:hAnsi="宋体" w:cs="宋体"/>
          <w:sz w:val="24"/>
        </w:rPr>
      </w:pPr>
      <w:r>
        <w:rPr>
          <w:rFonts w:hint="eastAsia" w:ascii="宋体" w:hAnsi="宋体" w:cs="Arial"/>
          <w:sz w:val="24"/>
        </w:rPr>
        <w:t>联系人：程先生；监督投诉电话：0572-</w:t>
      </w:r>
      <w:r>
        <w:rPr>
          <w:rFonts w:ascii="宋体" w:hAnsi="宋体" w:cs="宋体"/>
          <w:sz w:val="24"/>
        </w:rPr>
        <w:t>2150216</w:t>
      </w:r>
    </w:p>
    <w:p w14:paraId="0406EF85">
      <w:pPr>
        <w:snapToGrid w:val="0"/>
        <w:spacing w:line="360" w:lineRule="auto"/>
        <w:ind w:left="238" w:firstLine="240" w:firstLineChars="100"/>
        <w:rPr>
          <w:rFonts w:ascii="宋体" w:hAnsi="宋体"/>
          <w:sz w:val="24"/>
        </w:rPr>
      </w:pPr>
      <w:r>
        <w:rPr>
          <w:rFonts w:hint="eastAsia" w:ascii="宋体" w:hAnsi="宋体" w:cs="Arial"/>
          <w:sz w:val="24"/>
        </w:rPr>
        <w:t xml:space="preserve">                                                     吴兴高级中学</w:t>
      </w:r>
    </w:p>
    <w:p w14:paraId="46DD5342">
      <w:pPr>
        <w:snapToGrid w:val="0"/>
        <w:spacing w:line="360" w:lineRule="auto"/>
        <w:ind w:left="238"/>
        <w:jc w:val="center"/>
        <w:rPr>
          <w:rFonts w:ascii="宋体" w:hAnsi="宋体"/>
          <w:sz w:val="24"/>
        </w:rPr>
      </w:pPr>
      <w:r>
        <w:rPr>
          <w:rFonts w:hint="eastAsia" w:ascii="宋体" w:hAnsi="宋体"/>
          <w:sz w:val="24"/>
        </w:rPr>
        <w:t xml:space="preserve">                                                 浙江华耀建设咨询有限公司</w:t>
      </w:r>
    </w:p>
    <w:p w14:paraId="2C4ACF19">
      <w:pPr>
        <w:snapToGrid w:val="0"/>
        <w:spacing w:line="360" w:lineRule="auto"/>
        <w:ind w:left="238"/>
        <w:jc w:val="center"/>
        <w:rPr>
          <w:rFonts w:ascii="宋体" w:hAnsi="宋体"/>
          <w:sz w:val="24"/>
        </w:rPr>
      </w:pPr>
      <w:r>
        <w:rPr>
          <w:rFonts w:hint="eastAsia" w:ascii="宋体" w:hAnsi="宋体"/>
          <w:sz w:val="24"/>
        </w:rPr>
        <w:t xml:space="preserve">                                                 2025年 月 日</w:t>
      </w:r>
    </w:p>
    <w:p w14:paraId="5ACCE74F">
      <w:pPr>
        <w:pStyle w:val="13"/>
        <w:ind w:firstLine="560"/>
      </w:pPr>
    </w:p>
    <w:p w14:paraId="3396565B">
      <w:pPr>
        <w:jc w:val="left"/>
        <w:rPr>
          <w:rFonts w:ascii="宋体" w:hAnsi="宋体" w:cs="仿宋"/>
          <w:b/>
          <w:sz w:val="24"/>
        </w:rPr>
      </w:pPr>
      <w:r>
        <w:rPr>
          <w:rFonts w:hint="eastAsia" w:ascii="宋体" w:hAnsi="宋体" w:cs="仿宋"/>
          <w:b/>
          <w:sz w:val="24"/>
        </w:rPr>
        <w:t>若对项目采购电子交易系统操作有疑问，可登录政采云（https://www.zcygov.cn/），点击右侧咨询小采，获取采小蜜智能服务管家帮助，或拨打政采云服务热线400-881-7190获取热线服务帮助。</w:t>
      </w:r>
    </w:p>
    <w:p w14:paraId="67C67C1C">
      <w:pPr>
        <w:rPr>
          <w:rFonts w:ascii="宋体" w:hAnsi="宋体" w:cs="仿宋"/>
          <w:b/>
          <w:sz w:val="24"/>
        </w:rPr>
      </w:pPr>
      <w:r>
        <w:rPr>
          <w:rFonts w:hint="eastAsia" w:ascii="宋体" w:hAnsi="宋体" w:cs="仿宋"/>
          <w:b/>
          <w:sz w:val="24"/>
        </w:rPr>
        <w:t>CA问题联系电话（人工）：汇信CA 400-888-4636；天谷CA 400-087-8198。</w:t>
      </w:r>
    </w:p>
    <w:p w14:paraId="2C229E52">
      <w:pPr>
        <w:snapToGrid w:val="0"/>
        <w:spacing w:line="360" w:lineRule="auto"/>
        <w:ind w:left="238"/>
        <w:jc w:val="center"/>
        <w:rPr>
          <w:rFonts w:ascii="黑体" w:hAnsi="宋体" w:eastAsia="黑体"/>
          <w:sz w:val="30"/>
          <w:szCs w:val="30"/>
        </w:rPr>
      </w:pPr>
      <w:r>
        <w:rPr>
          <w:rFonts w:hint="eastAsia" w:ascii="黑体" w:hAnsi="宋体" w:eastAsia="黑体"/>
          <w:sz w:val="30"/>
          <w:szCs w:val="30"/>
        </w:rPr>
        <w:t>第二章  招标需求</w:t>
      </w:r>
    </w:p>
    <w:p w14:paraId="6AECF18E">
      <w:pPr>
        <w:widowControl/>
        <w:spacing w:line="360" w:lineRule="auto"/>
        <w:jc w:val="left"/>
        <w:rPr>
          <w:rFonts w:ascii="宋体" w:hAnsi="宋体"/>
          <w:sz w:val="24"/>
        </w:rPr>
      </w:pPr>
      <w:r>
        <w:rPr>
          <w:rFonts w:hint="eastAsia" w:ascii="宋体" w:hAnsi="宋体"/>
          <w:b/>
          <w:sz w:val="24"/>
        </w:rPr>
        <w:t>一、采购项目名称：吴兴高级中学生物实验室改造项目</w:t>
      </w:r>
    </w:p>
    <w:p w14:paraId="2C60A43D">
      <w:pPr>
        <w:widowControl/>
        <w:spacing w:line="360" w:lineRule="auto"/>
        <w:jc w:val="left"/>
        <w:rPr>
          <w:rFonts w:ascii="宋体" w:hAnsi="宋体" w:cs="宋体"/>
          <w:b/>
          <w:kern w:val="0"/>
          <w:sz w:val="24"/>
        </w:rPr>
      </w:pPr>
      <w:r>
        <w:rPr>
          <w:rFonts w:hint="eastAsia" w:ascii="宋体" w:hAnsi="宋体"/>
          <w:b/>
          <w:sz w:val="24"/>
        </w:rPr>
        <w:t>二、采购项目编号：HYHZ2025-69</w:t>
      </w:r>
    </w:p>
    <w:p w14:paraId="6A70B57A">
      <w:pPr>
        <w:widowControl/>
        <w:spacing w:line="360" w:lineRule="auto"/>
        <w:jc w:val="left"/>
        <w:rPr>
          <w:rFonts w:ascii="宋体" w:hAnsi="宋体" w:cs="宋体"/>
          <w:b/>
          <w:kern w:val="0"/>
          <w:sz w:val="24"/>
        </w:rPr>
      </w:pPr>
      <w:r>
        <w:rPr>
          <w:rFonts w:hint="eastAsia" w:ascii="宋体" w:hAnsi="宋体" w:cs="宋体"/>
          <w:b/>
          <w:kern w:val="0"/>
          <w:sz w:val="24"/>
        </w:rPr>
        <w:t>三、采购项目预算：人民币伍拾柒万伍仟元整（￥575</w:t>
      </w:r>
      <w:r>
        <w:rPr>
          <w:rFonts w:ascii="宋体" w:hAnsi="宋体" w:cs="宋体"/>
          <w:b/>
          <w:kern w:val="0"/>
          <w:sz w:val="24"/>
        </w:rPr>
        <w:t>0</w:t>
      </w:r>
      <w:r>
        <w:rPr>
          <w:rFonts w:hint="eastAsia" w:ascii="宋体" w:hAnsi="宋体" w:cs="宋体"/>
          <w:b/>
          <w:kern w:val="0"/>
          <w:sz w:val="24"/>
        </w:rPr>
        <w:t>00.00）</w:t>
      </w:r>
    </w:p>
    <w:p w14:paraId="280FB635">
      <w:pPr>
        <w:widowControl/>
        <w:spacing w:line="360" w:lineRule="auto"/>
        <w:ind w:firstLine="482" w:firstLineChars="200"/>
        <w:jc w:val="left"/>
      </w:pPr>
      <w:r>
        <w:rPr>
          <w:rFonts w:hint="eastAsia" w:ascii="宋体" w:hAnsi="宋体" w:cs="宋体"/>
          <w:b/>
          <w:kern w:val="0"/>
          <w:sz w:val="24"/>
        </w:rPr>
        <w:t>最高限价：人民币伍拾柒万伍仟元整（￥575</w:t>
      </w:r>
      <w:r>
        <w:rPr>
          <w:rFonts w:ascii="宋体" w:hAnsi="宋体" w:cs="宋体"/>
          <w:b/>
          <w:kern w:val="0"/>
          <w:sz w:val="24"/>
        </w:rPr>
        <w:t>0</w:t>
      </w:r>
      <w:r>
        <w:rPr>
          <w:rFonts w:hint="eastAsia" w:ascii="宋体" w:hAnsi="宋体" w:cs="宋体"/>
          <w:b/>
          <w:kern w:val="0"/>
          <w:sz w:val="24"/>
        </w:rPr>
        <w:t>00.00）</w:t>
      </w:r>
    </w:p>
    <w:p w14:paraId="0E97FA10">
      <w:pPr>
        <w:widowControl/>
        <w:spacing w:line="360" w:lineRule="auto"/>
        <w:jc w:val="left"/>
        <w:rPr>
          <w:rFonts w:ascii="宋体" w:hAnsi="宋体"/>
          <w:b/>
          <w:sz w:val="24"/>
        </w:rPr>
      </w:pPr>
      <w:r>
        <w:rPr>
          <w:rFonts w:hint="eastAsia" w:ascii="宋体" w:hAnsi="宋体"/>
          <w:b/>
          <w:sz w:val="24"/>
        </w:rPr>
        <w:t>四、采购项目实施地点：吴兴高级中学</w:t>
      </w:r>
    </w:p>
    <w:p w14:paraId="5298304A">
      <w:pPr>
        <w:widowControl/>
        <w:spacing w:line="360" w:lineRule="auto"/>
        <w:jc w:val="left"/>
        <w:rPr>
          <w:rFonts w:ascii="宋体" w:hAnsi="宋体"/>
          <w:b/>
          <w:bCs/>
          <w:sz w:val="24"/>
        </w:rPr>
      </w:pPr>
      <w:r>
        <w:rPr>
          <w:rFonts w:hint="eastAsia" w:ascii="宋体" w:hAnsi="宋体"/>
          <w:b/>
          <w:bCs/>
          <w:sz w:val="24"/>
        </w:rPr>
        <w:t>五、采购项目采购清单和</w:t>
      </w:r>
      <w:r>
        <w:rPr>
          <w:rFonts w:ascii="宋体" w:hAnsi="宋体"/>
          <w:b/>
          <w:bCs/>
          <w:sz w:val="24"/>
        </w:rPr>
        <w:t>规格型号</w:t>
      </w:r>
      <w:r>
        <w:rPr>
          <w:rFonts w:hint="eastAsia" w:ascii="宋体" w:hAnsi="宋体"/>
          <w:b/>
          <w:bCs/>
          <w:sz w:val="24"/>
        </w:rPr>
        <w:t>、</w:t>
      </w:r>
      <w:r>
        <w:rPr>
          <w:rFonts w:ascii="宋体" w:hAnsi="宋体"/>
          <w:b/>
          <w:bCs/>
          <w:sz w:val="24"/>
        </w:rPr>
        <w:t>技术参数、</w:t>
      </w:r>
      <w:r>
        <w:rPr>
          <w:rFonts w:hint="eastAsia" w:ascii="宋体" w:hAnsi="宋体"/>
          <w:b/>
          <w:bCs/>
          <w:sz w:val="24"/>
        </w:rPr>
        <w:t>附件</w:t>
      </w:r>
      <w:r>
        <w:rPr>
          <w:rFonts w:ascii="宋体" w:hAnsi="宋体"/>
          <w:b/>
          <w:bCs/>
          <w:sz w:val="24"/>
        </w:rPr>
        <w:t>清单</w:t>
      </w:r>
      <w:r>
        <w:rPr>
          <w:rFonts w:hint="eastAsia" w:ascii="宋体" w:hAnsi="宋体"/>
          <w:b/>
          <w:bCs/>
          <w:sz w:val="24"/>
        </w:rPr>
        <w:t>等：（附图纸：吴兴高级中学科学一号楼2楼生物实验室）</w:t>
      </w:r>
    </w:p>
    <w:tbl>
      <w:tblPr>
        <w:tblStyle w:val="43"/>
        <w:tblW w:w="7455" w:type="dxa"/>
        <w:tblInd w:w="0" w:type="dxa"/>
        <w:tblLayout w:type="autofit"/>
        <w:tblCellMar>
          <w:top w:w="0" w:type="dxa"/>
          <w:left w:w="0" w:type="dxa"/>
          <w:bottom w:w="0" w:type="dxa"/>
          <w:right w:w="0" w:type="dxa"/>
        </w:tblCellMar>
      </w:tblPr>
      <w:tblGrid>
        <w:gridCol w:w="1517"/>
        <w:gridCol w:w="3187"/>
        <w:gridCol w:w="917"/>
        <w:gridCol w:w="917"/>
        <w:gridCol w:w="917"/>
      </w:tblGrid>
      <w:tr w14:paraId="2577C99F">
        <w:tblPrEx>
          <w:tblCellMar>
            <w:top w:w="0" w:type="dxa"/>
            <w:left w:w="0" w:type="dxa"/>
            <w:bottom w:w="0" w:type="dxa"/>
            <w:right w:w="0" w:type="dxa"/>
          </w:tblCellMar>
        </w:tblPrEx>
        <w:trPr>
          <w:trHeight w:val="540" w:hRule="atLeast"/>
        </w:trPr>
        <w:tc>
          <w:tcPr>
            <w:tcW w:w="1517" w:type="dxa"/>
            <w:tcBorders>
              <w:top w:val="single" w:color="000000" w:sz="4" w:space="0"/>
              <w:left w:val="single" w:color="000000" w:sz="4" w:space="0"/>
              <w:bottom w:val="single" w:color="000000" w:sz="4" w:space="0"/>
              <w:right w:val="single" w:color="000000" w:sz="4" w:space="0"/>
            </w:tcBorders>
            <w:shd w:val="clear" w:color="auto" w:fill="D6DCE4"/>
            <w:noWrap/>
            <w:tcMar>
              <w:top w:w="15" w:type="dxa"/>
              <w:left w:w="15" w:type="dxa"/>
              <w:right w:w="15" w:type="dxa"/>
            </w:tcMar>
            <w:vAlign w:val="center"/>
          </w:tcPr>
          <w:p w14:paraId="153EC20C">
            <w:pPr>
              <w:widowControl/>
              <w:jc w:val="center"/>
              <w:textAlignment w:val="center"/>
              <w:rPr>
                <w:rFonts w:ascii="宋体" w:hAnsi="宋体" w:cs="微软雅黑"/>
                <w:b/>
                <w:color w:val="000000"/>
                <w:sz w:val="24"/>
              </w:rPr>
            </w:pPr>
            <w:r>
              <w:rPr>
                <w:rFonts w:hint="eastAsia" w:ascii="宋体" w:hAnsi="宋体" w:cs="微软雅黑"/>
                <w:b/>
                <w:color w:val="000000"/>
                <w:kern w:val="0"/>
                <w:sz w:val="24"/>
                <w:lang w:bidi="ar"/>
              </w:rPr>
              <w:t>序号</w:t>
            </w:r>
          </w:p>
        </w:tc>
        <w:tc>
          <w:tcPr>
            <w:tcW w:w="3187" w:type="dxa"/>
            <w:tcBorders>
              <w:top w:val="single" w:color="000000" w:sz="4" w:space="0"/>
              <w:left w:val="single" w:color="000000" w:sz="4" w:space="0"/>
              <w:bottom w:val="single" w:color="000000" w:sz="4" w:space="0"/>
              <w:right w:val="single" w:color="000000" w:sz="4" w:space="0"/>
            </w:tcBorders>
            <w:shd w:val="clear" w:color="auto" w:fill="D6DCE4"/>
            <w:tcMar>
              <w:top w:w="15" w:type="dxa"/>
              <w:left w:w="15" w:type="dxa"/>
              <w:right w:w="15" w:type="dxa"/>
            </w:tcMar>
            <w:vAlign w:val="center"/>
          </w:tcPr>
          <w:p w14:paraId="3F612AFA">
            <w:pPr>
              <w:widowControl/>
              <w:jc w:val="center"/>
              <w:textAlignment w:val="center"/>
              <w:rPr>
                <w:rFonts w:ascii="宋体" w:hAnsi="宋体" w:cs="微软雅黑"/>
                <w:b/>
                <w:color w:val="000000"/>
                <w:sz w:val="24"/>
              </w:rPr>
            </w:pPr>
            <w:r>
              <w:rPr>
                <w:rFonts w:hint="eastAsia" w:ascii="宋体" w:hAnsi="宋体" w:cs="微软雅黑"/>
                <w:b/>
                <w:color w:val="000000"/>
                <w:kern w:val="0"/>
                <w:sz w:val="24"/>
                <w:lang w:bidi="ar"/>
              </w:rPr>
              <w:t>名称</w:t>
            </w:r>
          </w:p>
        </w:tc>
        <w:tc>
          <w:tcPr>
            <w:tcW w:w="917" w:type="dxa"/>
            <w:tcBorders>
              <w:top w:val="single" w:color="000000" w:sz="4" w:space="0"/>
              <w:left w:val="single" w:color="000000" w:sz="4" w:space="0"/>
              <w:bottom w:val="single" w:color="000000" w:sz="4" w:space="0"/>
              <w:right w:val="single" w:color="000000" w:sz="4" w:space="0"/>
            </w:tcBorders>
            <w:shd w:val="clear" w:color="auto" w:fill="D6DCE4"/>
            <w:noWrap/>
            <w:tcMar>
              <w:top w:w="15" w:type="dxa"/>
              <w:left w:w="15" w:type="dxa"/>
              <w:right w:w="15" w:type="dxa"/>
            </w:tcMar>
            <w:vAlign w:val="center"/>
          </w:tcPr>
          <w:p w14:paraId="3AC358A2">
            <w:pPr>
              <w:widowControl/>
              <w:jc w:val="center"/>
              <w:textAlignment w:val="center"/>
              <w:rPr>
                <w:rFonts w:ascii="宋体" w:hAnsi="宋体" w:cs="微软雅黑"/>
                <w:b/>
                <w:color w:val="000000"/>
                <w:sz w:val="24"/>
              </w:rPr>
            </w:pPr>
            <w:r>
              <w:rPr>
                <w:rFonts w:hint="eastAsia" w:ascii="宋体" w:hAnsi="宋体" w:cs="微软雅黑"/>
                <w:b/>
                <w:color w:val="000000"/>
                <w:kern w:val="0"/>
                <w:sz w:val="24"/>
                <w:lang w:bidi="ar"/>
              </w:rPr>
              <w:t>座位数</w:t>
            </w:r>
          </w:p>
        </w:tc>
        <w:tc>
          <w:tcPr>
            <w:tcW w:w="917" w:type="dxa"/>
            <w:tcBorders>
              <w:top w:val="single" w:color="000000" w:sz="4" w:space="0"/>
              <w:left w:val="single" w:color="000000" w:sz="4" w:space="0"/>
              <w:bottom w:val="single" w:color="000000" w:sz="4" w:space="0"/>
              <w:right w:val="single" w:color="000000" w:sz="4" w:space="0"/>
            </w:tcBorders>
            <w:shd w:val="clear" w:color="auto" w:fill="D6DCE4"/>
            <w:noWrap/>
            <w:tcMar>
              <w:top w:w="15" w:type="dxa"/>
              <w:left w:w="15" w:type="dxa"/>
              <w:right w:w="15" w:type="dxa"/>
            </w:tcMar>
            <w:vAlign w:val="center"/>
          </w:tcPr>
          <w:p w14:paraId="53F767B0">
            <w:pPr>
              <w:widowControl/>
              <w:jc w:val="center"/>
              <w:textAlignment w:val="center"/>
              <w:rPr>
                <w:rFonts w:ascii="宋体" w:hAnsi="宋体" w:cs="微软雅黑"/>
                <w:b/>
                <w:color w:val="000000"/>
                <w:sz w:val="24"/>
              </w:rPr>
            </w:pPr>
            <w:r>
              <w:rPr>
                <w:rFonts w:hint="eastAsia" w:ascii="宋体" w:hAnsi="宋体" w:cs="微软雅黑"/>
                <w:b/>
                <w:color w:val="000000"/>
                <w:kern w:val="0"/>
                <w:sz w:val="24"/>
                <w:lang w:bidi="ar"/>
              </w:rPr>
              <w:t>数量</w:t>
            </w:r>
          </w:p>
        </w:tc>
        <w:tc>
          <w:tcPr>
            <w:tcW w:w="917" w:type="dxa"/>
            <w:tcBorders>
              <w:top w:val="single" w:color="000000" w:sz="4" w:space="0"/>
              <w:left w:val="single" w:color="000000" w:sz="4" w:space="0"/>
              <w:bottom w:val="single" w:color="000000" w:sz="4" w:space="0"/>
              <w:right w:val="single" w:color="000000" w:sz="4" w:space="0"/>
            </w:tcBorders>
            <w:shd w:val="clear" w:color="auto" w:fill="D6DCE4"/>
            <w:noWrap/>
            <w:tcMar>
              <w:top w:w="15" w:type="dxa"/>
              <w:left w:w="15" w:type="dxa"/>
              <w:right w:w="15" w:type="dxa"/>
            </w:tcMar>
            <w:vAlign w:val="center"/>
          </w:tcPr>
          <w:p w14:paraId="374F0B21">
            <w:pPr>
              <w:widowControl/>
              <w:jc w:val="center"/>
              <w:textAlignment w:val="center"/>
              <w:rPr>
                <w:rFonts w:ascii="宋体" w:hAnsi="宋体" w:cs="微软雅黑"/>
                <w:b/>
                <w:color w:val="000000"/>
                <w:sz w:val="24"/>
              </w:rPr>
            </w:pPr>
            <w:r>
              <w:rPr>
                <w:rFonts w:hint="eastAsia" w:ascii="宋体" w:hAnsi="宋体" w:cs="微软雅黑"/>
                <w:b/>
                <w:color w:val="000000"/>
                <w:kern w:val="0"/>
                <w:sz w:val="24"/>
                <w:lang w:bidi="ar"/>
              </w:rPr>
              <w:t>单位</w:t>
            </w:r>
          </w:p>
        </w:tc>
      </w:tr>
      <w:tr w14:paraId="461E4C90">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80D1">
            <w:pPr>
              <w:widowControl/>
              <w:jc w:val="center"/>
              <w:textAlignment w:val="center"/>
              <w:rPr>
                <w:rFonts w:ascii="宋体" w:hAnsi="宋体" w:cs="微软雅黑"/>
                <w:color w:val="000000"/>
                <w:sz w:val="24"/>
              </w:rPr>
            </w:pPr>
            <w:r>
              <w:rPr>
                <w:rFonts w:hint="eastAsia" w:ascii="宋体" w:hAnsi="宋体" w:cs="微软雅黑"/>
                <w:color w:val="000000"/>
                <w:kern w:val="0"/>
                <w:sz w:val="24"/>
                <w:lang w:bidi="ar"/>
              </w:rPr>
              <w:t>1</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F81CE">
            <w:pPr>
              <w:widowControl/>
              <w:jc w:val="left"/>
              <w:textAlignment w:val="center"/>
              <w:rPr>
                <w:rFonts w:ascii="宋体" w:hAnsi="宋体" w:cs="宋体"/>
                <w:color w:val="000000"/>
                <w:sz w:val="24"/>
              </w:rPr>
            </w:pPr>
            <w:r>
              <w:rPr>
                <w:rFonts w:hint="eastAsia" w:ascii="宋体" w:hAnsi="宋体" w:cs="宋体"/>
                <w:color w:val="000000"/>
                <w:kern w:val="0"/>
                <w:sz w:val="24"/>
                <w:lang w:bidi="ar"/>
              </w:rPr>
              <w:t>生物综合实验室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EBAAC2">
            <w:pPr>
              <w:widowControl/>
              <w:jc w:val="center"/>
              <w:textAlignment w:val="center"/>
              <w:rPr>
                <w:rFonts w:ascii="宋体" w:hAnsi="宋体" w:cs="微软雅黑"/>
                <w:color w:val="000000"/>
                <w:sz w:val="24"/>
              </w:rPr>
            </w:pPr>
            <w:r>
              <w:rPr>
                <w:rFonts w:hint="eastAsia" w:ascii="宋体" w:hAnsi="宋体" w:cs="微软雅黑"/>
                <w:color w:val="000000"/>
                <w:kern w:val="0"/>
                <w:sz w:val="24"/>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5EF42C">
            <w:pPr>
              <w:widowControl/>
              <w:jc w:val="center"/>
              <w:textAlignment w:val="center"/>
              <w:rPr>
                <w:rFonts w:ascii="宋体" w:hAnsi="宋体" w:cs="微软雅黑"/>
                <w:color w:val="000000"/>
                <w:sz w:val="24"/>
              </w:rPr>
            </w:pPr>
            <w:r>
              <w:rPr>
                <w:rFonts w:hint="eastAsia" w:ascii="宋体" w:hAnsi="宋体" w:cs="微软雅黑"/>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E9B963">
            <w:pPr>
              <w:widowControl/>
              <w:jc w:val="center"/>
              <w:textAlignment w:val="center"/>
              <w:rPr>
                <w:rFonts w:ascii="宋体" w:hAnsi="宋体" w:cs="微软雅黑"/>
                <w:color w:val="000000"/>
                <w:sz w:val="24"/>
              </w:rPr>
            </w:pPr>
            <w:r>
              <w:rPr>
                <w:rFonts w:hint="eastAsia" w:ascii="宋体" w:hAnsi="宋体" w:cs="微软雅黑"/>
                <w:color w:val="000000"/>
                <w:kern w:val="0"/>
                <w:sz w:val="24"/>
                <w:lang w:bidi="ar"/>
              </w:rPr>
              <w:t>间</w:t>
            </w:r>
          </w:p>
        </w:tc>
      </w:tr>
      <w:tr w14:paraId="02AFF569">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F0481">
            <w:pPr>
              <w:widowControl/>
              <w:jc w:val="center"/>
              <w:textAlignment w:val="center"/>
              <w:rPr>
                <w:rFonts w:ascii="宋体" w:hAnsi="宋体" w:cs="微软雅黑"/>
                <w:color w:val="000000"/>
                <w:sz w:val="24"/>
              </w:rPr>
            </w:pPr>
            <w:r>
              <w:rPr>
                <w:rFonts w:hint="eastAsia" w:ascii="宋体" w:hAnsi="宋体" w:cs="微软雅黑"/>
                <w:color w:val="000000"/>
                <w:kern w:val="0"/>
                <w:sz w:val="24"/>
                <w:lang w:bidi="ar"/>
              </w:rPr>
              <w:t>2</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A2542">
            <w:pPr>
              <w:widowControl/>
              <w:jc w:val="left"/>
              <w:textAlignment w:val="center"/>
              <w:rPr>
                <w:rFonts w:ascii="宋体" w:hAnsi="宋体" w:cs="宋体"/>
                <w:color w:val="000000"/>
                <w:sz w:val="24"/>
              </w:rPr>
            </w:pPr>
            <w:r>
              <w:rPr>
                <w:rFonts w:hint="eastAsia" w:ascii="宋体" w:hAnsi="宋体" w:cs="宋体"/>
                <w:color w:val="000000"/>
                <w:kern w:val="0"/>
                <w:sz w:val="24"/>
                <w:lang w:bidi="ar"/>
              </w:rPr>
              <w:t>生物组培、微生物实验室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C3FB9B">
            <w:pPr>
              <w:widowControl/>
              <w:jc w:val="center"/>
              <w:textAlignment w:val="center"/>
              <w:rPr>
                <w:rFonts w:ascii="宋体" w:hAnsi="宋体" w:cs="微软雅黑"/>
                <w:color w:val="000000"/>
                <w:sz w:val="24"/>
              </w:rPr>
            </w:pPr>
            <w:r>
              <w:rPr>
                <w:rFonts w:hint="eastAsia" w:ascii="宋体" w:hAnsi="宋体" w:cs="微软雅黑"/>
                <w:color w:val="000000"/>
                <w:kern w:val="0"/>
                <w:sz w:val="24"/>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75D6DD">
            <w:pPr>
              <w:widowControl/>
              <w:jc w:val="center"/>
              <w:textAlignment w:val="center"/>
              <w:rPr>
                <w:rFonts w:ascii="宋体" w:hAnsi="宋体" w:cs="微软雅黑"/>
                <w:color w:val="000000"/>
                <w:sz w:val="24"/>
              </w:rPr>
            </w:pPr>
            <w:r>
              <w:rPr>
                <w:rFonts w:hint="eastAsia" w:ascii="宋体" w:hAnsi="宋体" w:cs="微软雅黑"/>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C1BA2B">
            <w:pPr>
              <w:widowControl/>
              <w:jc w:val="center"/>
              <w:textAlignment w:val="center"/>
              <w:rPr>
                <w:rFonts w:ascii="宋体" w:hAnsi="宋体" w:cs="微软雅黑"/>
                <w:color w:val="000000"/>
                <w:sz w:val="24"/>
              </w:rPr>
            </w:pPr>
            <w:r>
              <w:rPr>
                <w:rFonts w:hint="eastAsia" w:ascii="宋体" w:hAnsi="宋体" w:cs="微软雅黑"/>
                <w:color w:val="000000"/>
                <w:kern w:val="0"/>
                <w:sz w:val="24"/>
                <w:lang w:bidi="ar"/>
              </w:rPr>
              <w:t>间</w:t>
            </w:r>
          </w:p>
        </w:tc>
      </w:tr>
    </w:tbl>
    <w:p w14:paraId="2007C1F3">
      <w:pPr>
        <w:rPr>
          <w:rFonts w:ascii="宋体" w:hAnsi="宋体" w:cs="宋体"/>
          <w:sz w:val="24"/>
        </w:rPr>
      </w:pPr>
    </w:p>
    <w:p w14:paraId="291695B8">
      <w:pPr>
        <w:pStyle w:val="139"/>
        <w:spacing w:before="120"/>
        <w:ind w:firstLine="240"/>
        <w:jc w:val="center"/>
        <w:rPr>
          <w:rFonts w:asciiTheme="minorEastAsia" w:hAnsiTheme="minorEastAsia" w:eastAsiaTheme="minorEastAsia"/>
        </w:rPr>
      </w:pPr>
    </w:p>
    <w:tbl>
      <w:tblPr>
        <w:tblStyle w:val="43"/>
        <w:tblW w:w="10170" w:type="dxa"/>
        <w:jc w:val="center"/>
        <w:tblLayout w:type="fixed"/>
        <w:tblCellMar>
          <w:top w:w="0" w:type="dxa"/>
          <w:left w:w="108" w:type="dxa"/>
          <w:bottom w:w="0" w:type="dxa"/>
          <w:right w:w="108" w:type="dxa"/>
        </w:tblCellMar>
      </w:tblPr>
      <w:tblGrid>
        <w:gridCol w:w="637"/>
        <w:gridCol w:w="1443"/>
        <w:gridCol w:w="6750"/>
        <w:gridCol w:w="703"/>
        <w:gridCol w:w="637"/>
      </w:tblGrid>
      <w:tr w14:paraId="591A2361">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5045E059">
            <w:pPr>
              <w:widowControl/>
              <w:spacing w:line="320" w:lineRule="exact"/>
              <w:jc w:val="center"/>
              <w:textAlignment w:val="center"/>
              <w:rPr>
                <w:rFonts w:asciiTheme="minorEastAsia" w:hAnsiTheme="minorEastAsia" w:eastAsiaTheme="minorEastAsia"/>
                <w:b/>
                <w:bCs/>
                <w:color w:val="000000"/>
                <w:sz w:val="24"/>
              </w:rPr>
            </w:pPr>
            <w:r>
              <w:rPr>
                <w:rFonts w:asciiTheme="minorEastAsia" w:hAnsiTheme="minorEastAsia" w:eastAsiaTheme="minorEastAsia"/>
                <w:b/>
                <w:bCs/>
                <w:color w:val="000000"/>
                <w:kern w:val="0"/>
                <w:sz w:val="24"/>
                <w:lang w:bidi="ar"/>
              </w:rPr>
              <w:t>序号</w:t>
            </w:r>
          </w:p>
        </w:tc>
        <w:tc>
          <w:tcPr>
            <w:tcW w:w="1443" w:type="dxa"/>
            <w:tcBorders>
              <w:top w:val="single" w:color="000000" w:sz="4" w:space="0"/>
              <w:left w:val="single" w:color="000000" w:sz="4" w:space="0"/>
              <w:bottom w:val="single" w:color="000000" w:sz="4" w:space="0"/>
              <w:right w:val="single" w:color="000000" w:sz="4" w:space="0"/>
            </w:tcBorders>
            <w:vAlign w:val="center"/>
          </w:tcPr>
          <w:p w14:paraId="0DE0DF15">
            <w:pPr>
              <w:widowControl/>
              <w:spacing w:line="320" w:lineRule="exact"/>
              <w:jc w:val="center"/>
              <w:textAlignment w:val="center"/>
              <w:rPr>
                <w:rFonts w:asciiTheme="minorEastAsia" w:hAnsiTheme="minorEastAsia" w:eastAsiaTheme="minorEastAsia"/>
                <w:b/>
                <w:bCs/>
                <w:color w:val="000000"/>
                <w:sz w:val="24"/>
              </w:rPr>
            </w:pPr>
            <w:r>
              <w:rPr>
                <w:rFonts w:asciiTheme="minorEastAsia" w:hAnsiTheme="minorEastAsia" w:eastAsiaTheme="minorEastAsia"/>
                <w:b/>
                <w:bCs/>
                <w:color w:val="000000"/>
                <w:kern w:val="0"/>
                <w:sz w:val="24"/>
                <w:lang w:bidi="ar"/>
              </w:rPr>
              <w:t>名称</w:t>
            </w:r>
          </w:p>
        </w:tc>
        <w:tc>
          <w:tcPr>
            <w:tcW w:w="6750" w:type="dxa"/>
            <w:tcBorders>
              <w:top w:val="single" w:color="000000" w:sz="4" w:space="0"/>
              <w:left w:val="single" w:color="000000" w:sz="4" w:space="0"/>
              <w:bottom w:val="single" w:color="000000" w:sz="4" w:space="0"/>
              <w:right w:val="single" w:color="000000" w:sz="4" w:space="0"/>
            </w:tcBorders>
            <w:vAlign w:val="center"/>
          </w:tcPr>
          <w:p w14:paraId="3CB90760">
            <w:pPr>
              <w:widowControl/>
              <w:spacing w:line="320" w:lineRule="exact"/>
              <w:jc w:val="center"/>
              <w:textAlignment w:val="center"/>
              <w:rPr>
                <w:rFonts w:asciiTheme="minorEastAsia" w:hAnsiTheme="minorEastAsia" w:eastAsiaTheme="minorEastAsia"/>
                <w:b/>
                <w:bCs/>
                <w:color w:val="000000"/>
                <w:sz w:val="24"/>
              </w:rPr>
            </w:pPr>
            <w:r>
              <w:rPr>
                <w:rFonts w:asciiTheme="minorEastAsia" w:hAnsiTheme="minorEastAsia" w:eastAsiaTheme="minorEastAsia"/>
                <w:b/>
                <w:bCs/>
                <w:color w:val="000000"/>
                <w:kern w:val="0"/>
                <w:sz w:val="24"/>
                <w:lang w:bidi="ar"/>
              </w:rPr>
              <w:t>规格参数</w:t>
            </w:r>
          </w:p>
        </w:tc>
        <w:tc>
          <w:tcPr>
            <w:tcW w:w="703" w:type="dxa"/>
            <w:tcBorders>
              <w:top w:val="single" w:color="000000" w:sz="4" w:space="0"/>
              <w:left w:val="single" w:color="000000" w:sz="4" w:space="0"/>
              <w:bottom w:val="single" w:color="000000" w:sz="4" w:space="0"/>
              <w:right w:val="single" w:color="000000" w:sz="4" w:space="0"/>
            </w:tcBorders>
            <w:vAlign w:val="center"/>
          </w:tcPr>
          <w:p w14:paraId="3B5099AF">
            <w:pPr>
              <w:widowControl/>
              <w:spacing w:line="320" w:lineRule="exact"/>
              <w:jc w:val="center"/>
              <w:textAlignment w:val="center"/>
              <w:rPr>
                <w:rFonts w:asciiTheme="minorEastAsia" w:hAnsiTheme="minorEastAsia" w:eastAsiaTheme="minorEastAsia"/>
                <w:b/>
                <w:bCs/>
                <w:color w:val="000000"/>
                <w:sz w:val="24"/>
              </w:rPr>
            </w:pPr>
            <w:r>
              <w:rPr>
                <w:rFonts w:asciiTheme="minorEastAsia" w:hAnsiTheme="minorEastAsia" w:eastAsiaTheme="minorEastAsia"/>
                <w:b/>
                <w:bCs/>
                <w:color w:val="000000"/>
                <w:kern w:val="0"/>
                <w:sz w:val="24"/>
                <w:lang w:bidi="ar"/>
              </w:rPr>
              <w:t>数量</w:t>
            </w:r>
          </w:p>
        </w:tc>
        <w:tc>
          <w:tcPr>
            <w:tcW w:w="637" w:type="dxa"/>
            <w:tcBorders>
              <w:top w:val="single" w:color="000000" w:sz="4" w:space="0"/>
              <w:left w:val="single" w:color="000000" w:sz="4" w:space="0"/>
              <w:bottom w:val="single" w:color="000000" w:sz="4" w:space="0"/>
              <w:right w:val="single" w:color="000000" w:sz="4" w:space="0"/>
            </w:tcBorders>
            <w:vAlign w:val="center"/>
          </w:tcPr>
          <w:p w14:paraId="3A1DA44E">
            <w:pPr>
              <w:widowControl/>
              <w:spacing w:line="320" w:lineRule="exact"/>
              <w:jc w:val="center"/>
              <w:textAlignment w:val="center"/>
              <w:rPr>
                <w:rFonts w:asciiTheme="minorEastAsia" w:hAnsiTheme="minorEastAsia" w:eastAsiaTheme="minorEastAsia"/>
                <w:b/>
                <w:bCs/>
                <w:color w:val="000000"/>
                <w:sz w:val="24"/>
              </w:rPr>
            </w:pPr>
            <w:r>
              <w:rPr>
                <w:rFonts w:asciiTheme="minorEastAsia" w:hAnsiTheme="minorEastAsia" w:eastAsiaTheme="minorEastAsia"/>
                <w:b/>
                <w:bCs/>
                <w:color w:val="000000"/>
                <w:kern w:val="0"/>
                <w:sz w:val="24"/>
                <w:lang w:bidi="ar"/>
              </w:rPr>
              <w:t>单位</w:t>
            </w:r>
          </w:p>
        </w:tc>
      </w:tr>
      <w:tr w14:paraId="72E666FF">
        <w:tblPrEx>
          <w:tblCellMar>
            <w:top w:w="0" w:type="dxa"/>
            <w:left w:w="108" w:type="dxa"/>
            <w:bottom w:w="0" w:type="dxa"/>
            <w:right w:w="108" w:type="dxa"/>
          </w:tblCellMar>
        </w:tblPrEx>
        <w:trPr>
          <w:trHeight w:val="330" w:hRule="atLeast"/>
          <w:jc w:val="center"/>
        </w:trPr>
        <w:tc>
          <w:tcPr>
            <w:tcW w:w="10170" w:type="dxa"/>
            <w:gridSpan w:val="5"/>
            <w:tcBorders>
              <w:top w:val="single" w:color="000000" w:sz="4" w:space="0"/>
              <w:left w:val="single" w:color="000000" w:sz="4" w:space="0"/>
              <w:bottom w:val="single" w:color="000000" w:sz="4" w:space="0"/>
              <w:right w:val="single" w:color="000000" w:sz="4" w:space="0"/>
            </w:tcBorders>
            <w:noWrap/>
            <w:vAlign w:val="center"/>
          </w:tcPr>
          <w:p w14:paraId="25D16ACA">
            <w:pPr>
              <w:widowControl/>
              <w:spacing w:line="320" w:lineRule="exact"/>
              <w:jc w:val="center"/>
              <w:textAlignment w:val="center"/>
              <w:rPr>
                <w:rFonts w:asciiTheme="minorEastAsia" w:hAnsiTheme="minorEastAsia" w:eastAsiaTheme="minorEastAsia"/>
                <w:b/>
                <w:bCs/>
                <w:color w:val="000000"/>
                <w:sz w:val="24"/>
              </w:rPr>
            </w:pPr>
            <w:r>
              <w:rPr>
                <w:rFonts w:asciiTheme="minorEastAsia" w:hAnsiTheme="minorEastAsia" w:eastAsiaTheme="minorEastAsia"/>
                <w:b/>
                <w:bCs/>
                <w:color w:val="000000"/>
                <w:kern w:val="0"/>
                <w:sz w:val="24"/>
                <w:lang w:bidi="ar"/>
              </w:rPr>
              <w:t>生物综合实验室</w:t>
            </w:r>
          </w:p>
        </w:tc>
      </w:tr>
      <w:tr w14:paraId="57FFC1BB">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133F4EA5">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1443" w:type="dxa"/>
            <w:tcBorders>
              <w:top w:val="single" w:color="000000" w:sz="4" w:space="0"/>
              <w:left w:val="single" w:color="000000" w:sz="4" w:space="0"/>
              <w:bottom w:val="single" w:color="000000" w:sz="4" w:space="0"/>
              <w:right w:val="single" w:color="000000" w:sz="4" w:space="0"/>
            </w:tcBorders>
            <w:vAlign w:val="center"/>
          </w:tcPr>
          <w:p w14:paraId="0F140D5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教师演示讲台</w:t>
            </w:r>
          </w:p>
        </w:tc>
        <w:tc>
          <w:tcPr>
            <w:tcW w:w="6750" w:type="dxa"/>
            <w:tcBorders>
              <w:top w:val="single" w:color="000000" w:sz="4" w:space="0"/>
              <w:left w:val="single" w:color="000000" w:sz="4" w:space="0"/>
              <w:bottom w:val="single" w:color="000000" w:sz="4" w:space="0"/>
              <w:right w:val="single" w:color="000000" w:sz="4" w:space="0"/>
            </w:tcBorders>
            <w:vAlign w:val="center"/>
          </w:tcPr>
          <w:p w14:paraId="6AAA9BB9">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1.规格：≥2400mm×700mm×850mm.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2台面：采用国内≥13mm厚优抗板台面，由专业生产厂家用CNC机械加工而成。表面具备合理的耐酸碱性能、耐冲击、防火阻燃、耐磨等特点，并符合以下技术参数要求：</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(1)化学全面性：提供检测依据GB/T 17657-2022标准经过双面覆盖及未覆盖玻璃板测试条件下通过140项实验室常用化学试剂浓度测试，其中测试项目包括硝酸（65%）、氢氟酸（48%）、王水、甲酸（90%）、甲醛溶液（37%）、40%氢氟酸、77%硫酸、（蓝黑）墨水、三氯乙酸、草酸、对甲酚、水杨酸、碘伏、三氯化铁（10%）、乙醚、乙腈、无水甲醇、松节油、高氯酸、四氢呋喃、苏丹红、碘酒、糠醛、氯化镁（10%）等，检验结果为“5级：无明显变化”；同时提供通过耐化学/耐污(SEFA 3-2020科学设备及家具协会-实验室工作台面条款 2.1)检测49项化学试剂报告。</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(2)产品物理性能：通过国家认可并具有资质的检测机构按“GB/T 17657-2022”标准及其他标准进行检测，其物理性能达到或优于标准要求：耐水蒸气性能、耐干热性能、耐湿热性能达 5 级，无变化或无明显变化。抗冲击性能压痕直径不大于5.0mm。表面耐划痕性能：5N作用下试件表面无大于90%的连续划痕。顺纹抗压强度≥176MPa。弯曲强度不得低于 140MPa。弯曲弹性模量不得低于8787MPa。负荷变形温度＞200℃。体积电阻≤3.1*1012；表面电阻≤4.7*1012，表面耐磨性能≥1500r，未出现磨损。耐臭氧（72h）外观无明显变化。浸渍剥离性能：0。漆膜附着力：六级：切割边缘完全平滑，网格内无脱落。耐沸水性能：质量增加百分率≤0.01%、厚度增加百分率≤0.06%，表面质量等级：5级：无变化，边缘质量等级：5级：无明显变化。</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(3)环保检测：甲醛释放量按照GB/T 39600-2021标准检测达到E0级技术要求，检验结果为≤0.006mg/m³；依据《室内空气净化产品净化效果测定方法》标准，提供甲醛去除率≥60%、甲苯去除率≥15%报告；重金属检测参照 GB 18584-2001标准检测，可溶性铅≤1.3、镉：未检出、铬≤0.3、汞：未检出。</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(4)抗霉性能：依据JC/T 2039-2010方法进行检测，黑曲霉、土曲霉、宛氏拟青霉、绳状青霉、出芽短梗霉、球毛壳霉、长枝木霉7种的霉菌检测抗霉等级为0级。</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(5)抗菌性能：依据JC/T 2039-2010方法进行检测，大肠埃希氏菌、金黄色葡萄球菌、白色念珠菌、铜绿假单胞菌、肺炎克雷伯氏菌、鼠伤寒沙门氏菌、甲型溶血性链球群、枯草芽孢杆菌、耐甲氧西林金黄色葡萄球菌、肠沙门氏菌肠亚种、粪肠球菌、宋氏志贺氏菌、白色葡萄球菌、变异库克菌、表皮葡萄球菌、海氏肠球菌、单核细胞增生李斯特氏菌的17种菌种检测抗菌率≥99.99%。</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(6)台面参照GB/T16422.2-2022标准进行1300小时以上氙灯抗老化测试，结果为样品无变色、发粘、裂纹等异常，等级为5级。</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通过具有CMA或CNAS标识的第三方检测机构，对ROHS（铅、镉、汞、六价铬、多溴联苯、多溴二苯醚、邻苯二甲酸二异丁酯、邻苯二甲酸二丁酯、邻苯二甲酸丁苄酯、邻苯二甲酸二(2-乙基)已酯），其检测结果为：未检出。</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经不少于16项的农药残留检测，检测百菌清、敌百虫、敌敌畏、毒死蜱、腐霉利、甲胺磷、甲氰菊酯、克百威、乐果、氯氟氰菊酯、氯氰菊酯、三唑磷、辛硫磷、乙酰甲胺磷、倍硫磷、滴滴涕等检测结果均为未检出。</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(9)具有不低于240项及以上高关注度物质（SVHC）检验报告；</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(10)参考US EPA5021A：2014方法，采用HS-GC-MS进行分析，VOC挥发性有机化合物检测，至少60项结果为nd(未检出）。</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(11)挥发性有机化合物排放结果达到TVOC释放检测值≤0.04mg/(m2*h)，苯、甲苯、二甲苯释放检测值≤0.005mg/(m2*h)；</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(12)依据《建筑材料放射性核素限量》GB6566-2010检测标准，放射性核素限量≤0.1.</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(13)台面板通过氟、溴、碘卤素含量检测，测试结果均要求为ND(未检出)。</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★（提供符合上述台面技术参数指标的第三方检测机构出具的有CMA或CNAS标识的检测报告复印件。）</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柜体：采用0.8-1.0mm优质冷轧钢板，采用二氧化碳保护焊焊接，边缘打磨处理；表面经环氧树脂粉静电喷涂高温固化处理，具备较强的耐酸碱防护能力；整体讲台由多个独立的柜体组合而成，柜体预留了教师主控电源、电脑键盘、水槽安装等位置；中间柜体和两侧柜子均为双开门，优化物品摆放空间。</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4.拉手：在柜门或抽屉正面上方处一体折弯而成，外观整体流畅，造型独特美观；</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5.防撞胶垫：装于抽屉及门板内侧，减缓碰撞，保护柜体；</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6.铰链：采用名牌优质缓冲耐腐蚀铰链，开合十万次不变形。</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7.滑轨：三节重型滚珠滑轨，承重性强，滑动性能良好，无噪音；</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8.固定桌脚：采用柜体内置可调PP塑料调整脚，保证调整脚前后都可以调节高低；</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36C8D838">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noWrap/>
            <w:vAlign w:val="center"/>
          </w:tcPr>
          <w:p w14:paraId="4233AF8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张</w:t>
            </w:r>
          </w:p>
        </w:tc>
      </w:tr>
      <w:tr w14:paraId="0DE42CB3">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17F46B7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w:t>
            </w:r>
          </w:p>
        </w:tc>
        <w:tc>
          <w:tcPr>
            <w:tcW w:w="1443" w:type="dxa"/>
            <w:tcBorders>
              <w:top w:val="single" w:color="000000" w:sz="4" w:space="0"/>
              <w:left w:val="single" w:color="000000" w:sz="4" w:space="0"/>
              <w:bottom w:val="single" w:color="000000" w:sz="4" w:space="0"/>
              <w:right w:val="single" w:color="000000" w:sz="4" w:space="0"/>
            </w:tcBorders>
            <w:vAlign w:val="center"/>
          </w:tcPr>
          <w:p w14:paraId="64C56815">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讲台水槽</w:t>
            </w:r>
          </w:p>
        </w:tc>
        <w:tc>
          <w:tcPr>
            <w:tcW w:w="6750" w:type="dxa"/>
            <w:tcBorders>
              <w:top w:val="single" w:color="000000" w:sz="4" w:space="0"/>
              <w:left w:val="single" w:color="000000" w:sz="4" w:space="0"/>
              <w:bottom w:val="single" w:color="000000" w:sz="4" w:space="0"/>
              <w:right w:val="single" w:color="000000" w:sz="4" w:space="0"/>
            </w:tcBorders>
            <w:vAlign w:val="center"/>
          </w:tcPr>
          <w:p w14:paraId="74261D88">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1、规格：≥550*450*290mm，水槽采用高密度聚丙烯（PP）材料经模具高压注塑成型，表面光滑顺畅，不应有划伤、裂纹气泡等明显缺陷。</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水槽底部平整以下水口为最低点有一定坡度以防排水不净。水槽的下水组件兼具防溢水和防臭功能，水槽蓄水高度不低于240mm，当水位超过该高度后从溢水口流入下水道排走而不会漫出水槽；下水组件内置水封装置，有效阻隔下水道内臭气进入室内。</w:t>
            </w:r>
          </w:p>
        </w:tc>
        <w:tc>
          <w:tcPr>
            <w:tcW w:w="703" w:type="dxa"/>
            <w:tcBorders>
              <w:top w:val="single" w:color="000000" w:sz="4" w:space="0"/>
              <w:left w:val="single" w:color="000000" w:sz="4" w:space="0"/>
              <w:bottom w:val="single" w:color="000000" w:sz="4" w:space="0"/>
              <w:right w:val="single" w:color="000000" w:sz="4" w:space="0"/>
            </w:tcBorders>
            <w:vAlign w:val="center"/>
          </w:tcPr>
          <w:p w14:paraId="50C46A4C">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017B578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个</w:t>
            </w:r>
          </w:p>
        </w:tc>
      </w:tr>
      <w:tr w14:paraId="00534773">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5B53CD09">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3</w:t>
            </w:r>
          </w:p>
        </w:tc>
        <w:tc>
          <w:tcPr>
            <w:tcW w:w="1443" w:type="dxa"/>
            <w:tcBorders>
              <w:top w:val="single" w:color="000000" w:sz="4" w:space="0"/>
              <w:left w:val="single" w:color="000000" w:sz="4" w:space="0"/>
              <w:bottom w:val="single" w:color="000000" w:sz="4" w:space="0"/>
              <w:right w:val="single" w:color="000000" w:sz="4" w:space="0"/>
            </w:tcBorders>
            <w:vAlign w:val="center"/>
          </w:tcPr>
          <w:p w14:paraId="5D4CE888">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三联水嘴</w:t>
            </w:r>
          </w:p>
        </w:tc>
        <w:tc>
          <w:tcPr>
            <w:tcW w:w="6750" w:type="dxa"/>
            <w:tcBorders>
              <w:top w:val="single" w:color="000000" w:sz="4" w:space="0"/>
              <w:left w:val="single" w:color="000000" w:sz="4" w:space="0"/>
              <w:bottom w:val="single" w:color="000000" w:sz="4" w:space="0"/>
              <w:right w:val="single" w:color="000000" w:sz="4" w:space="0"/>
            </w:tcBorders>
            <w:vAlign w:val="center"/>
          </w:tcPr>
          <w:p w14:paraId="27D169ED">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703" w:type="dxa"/>
            <w:tcBorders>
              <w:top w:val="single" w:color="000000" w:sz="4" w:space="0"/>
              <w:left w:val="single" w:color="000000" w:sz="4" w:space="0"/>
              <w:bottom w:val="single" w:color="000000" w:sz="4" w:space="0"/>
              <w:right w:val="single" w:color="000000" w:sz="4" w:space="0"/>
            </w:tcBorders>
            <w:vAlign w:val="center"/>
          </w:tcPr>
          <w:p w14:paraId="1EE545C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13</w:t>
            </w:r>
          </w:p>
        </w:tc>
        <w:tc>
          <w:tcPr>
            <w:tcW w:w="637" w:type="dxa"/>
            <w:tcBorders>
              <w:top w:val="single" w:color="000000" w:sz="4" w:space="0"/>
              <w:left w:val="single" w:color="000000" w:sz="4" w:space="0"/>
              <w:bottom w:val="single" w:color="000000" w:sz="4" w:space="0"/>
              <w:right w:val="single" w:color="000000" w:sz="4" w:space="0"/>
            </w:tcBorders>
            <w:vAlign w:val="center"/>
          </w:tcPr>
          <w:p w14:paraId="25D032C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个</w:t>
            </w:r>
          </w:p>
        </w:tc>
      </w:tr>
      <w:tr w14:paraId="69B3ADD1">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1E8C0C6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4</w:t>
            </w:r>
          </w:p>
        </w:tc>
        <w:tc>
          <w:tcPr>
            <w:tcW w:w="1443" w:type="dxa"/>
            <w:tcBorders>
              <w:top w:val="single" w:color="000000" w:sz="4" w:space="0"/>
              <w:left w:val="single" w:color="000000" w:sz="4" w:space="0"/>
              <w:bottom w:val="single" w:color="000000" w:sz="4" w:space="0"/>
              <w:right w:val="single" w:color="000000" w:sz="4" w:space="0"/>
            </w:tcBorders>
            <w:noWrap/>
            <w:vAlign w:val="center"/>
          </w:tcPr>
          <w:p w14:paraId="135E56AC">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学生实验桌</w:t>
            </w:r>
          </w:p>
        </w:tc>
        <w:tc>
          <w:tcPr>
            <w:tcW w:w="6750" w:type="dxa"/>
            <w:tcBorders>
              <w:top w:val="single" w:color="000000" w:sz="4" w:space="0"/>
              <w:left w:val="single" w:color="000000" w:sz="4" w:space="0"/>
              <w:bottom w:val="single" w:color="000000" w:sz="4" w:space="0"/>
              <w:right w:val="single" w:color="000000" w:sz="4" w:space="0"/>
            </w:tcBorders>
            <w:vAlign w:val="center"/>
          </w:tcPr>
          <w:p w14:paraId="240778EE">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1.规格：≥1200*600*780mm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台面：采用国内≥12.7mm厚双面膜实芯理化板台面，由专业生产厂家用CNC机械加工而成。表面具备合理的耐酸碱性能、耐冲击、防火阻燃、耐磨等特点，并符合以下技术参数要求：</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(1)化学全面性：提供检测依据GB/T 17657-2022标准经过双面覆盖及未覆盖玻璃板测试条件下通过140项实验室常用化学试剂浓度测试，其中测试项目包括磷酸（85%）、氢氟酸（48%）、硝酸（65%）、乙酸（99%）、无水乙醇、二甲苯、三氯化铁（10%）、糠醛、氨水(28%)、乙酸乙酯、十四烷、乙基苯、乙二醇、亚甲基蓝(5%)、饱和氧化锌、龙胆紫等检测检验结果为“5级，无明显变化”；</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(2)产品物理性能：通过国家认可并具有资质的检测机构按“GB/T 17657-2022”标准及其他标准进行检测，其物理性能达到或优于标准要求：表面耐冷热循环检测结果为表面无裂纹及鼓泡；抗冲击性能压痕直径不大于5.2mm。表面耐划痕性能：4.5N作用下试件表面无大于90%的连续划痕；弯曲强度不得低于 140MPa；弯曲弹性模量不得低于8300MPa；表面耐磨性能≥1130r，未出现磨损；耐臭氧（72h）外观无明显变化；漆膜附着力：六级：切割边缘完全平滑，网格内无脱落。耐沸水性能：质量增加百分率≤0.01%、厚度增加百分率≤0.06%，表面质量等级：5级：无变化，边缘质量等级：5级：无明显变化；尺寸稳定性结果为纵向≤0.03%、横向≤0.03%。</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(3)环保检测：甲醛释放量按照GB/T 39600-2021标准检测达到E0级技术要求，检验结果为≤0.006mg/m³；</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(4)依据《室内空气净化产品净化效果测定方法》标准，提供甲醛去除率≥60%、甲苯去除率≥16%报告；</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(5)重金属检测参照 GB 18584-2001标准检测，可溶性铅≤0.3、镉：未检出、铬≤0.7、汞：未检出。</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通过具有CMA或CNAS标识的第三方检测机构，对ROHS（铅、镉、汞、六价铬、多溴联苯、多溴二苯醚、邻苯二甲酸二异丁酯、邻苯二甲酸二丁酯、邻苯二甲酸丁苄酯、邻苯二甲酸二(2-乙基)已酯），其检测结果为：未检出。</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(7)抗霉性能：依据JC/T 2039-2010方法进行检测，黑曲霉、土曲霉、宛氏拟青霉、绳状青霉、出芽短梗霉、球毛壳霉、长枝木霉7种的霉菌检测抗霉等级为0级。</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(8)抗菌性能：依据JC/T 2039-2010方法进行检测，大肠埃希氏菌、金黄色葡萄球菌、白色念珠菌、铜绿假单胞菌、肺炎克雷伯氏菌、鼠伤寒沙门氏菌、甲型溶血性链球群、枯草芽孢杆菌、耐甲氧西林金黄色葡萄球菌、肠沙门氏菌肠亚种、粪肠球菌、宋氏志贺氏菌、白色葡萄球菌、变异库克菌、表皮葡萄球菌的15种菌种检测抗菌率≥99.99%。</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(9)依据《建筑材料放射性核素限量》GB6566-2010检测标准，放射性核素限量≤0.1。</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(10)具有不低于230项及以上高关注度物质（SVHC）检验报告。</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(11)台面参照GB/T16422.2-2022标准进行300小时以上氙灯抗老化测试，结果为样品无变色、发粘、裂纹等异常，等级为5级。</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★（提供符合上述台面技术参数指标的第三方检测机构出具的有CMA或CNAS标识的检测报告复印件。）</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结构：新型塑铝结构，整体桌脚呈Z字造型。学生位镂空式，符合人体工程学设计，美观大方。书包斗采用整体ABS工程塑料一次性注塑成型，规格420*255*165，中间设挂凳卡；两个书包斗中间设有一个翻盖式电源盒，采用ABS工程塑料注塑成型，耐老化不导电。</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桌脚采用三段式高强度铝合金结构，整体规格570*760，左右两边配有装饰彩带，上脚两侧可选配电源插座和RJ45网络接口，电源插座给考试系统或其他非实验仪器供电，应与实验电源系统分开供电，以免影响实验操作。中立柱采用96mm*46*1.5mm厚承重型铝合金型材，采用倾斜式设计。上下脚采用铝合金一次压铸成型，上脚规格：长570*宽51*高116mm，下脚规格：长556*宽67*高112mm，上下脚的壁厚≥2.5mm，连接处壁厚加强至4mm;采用4个高强度螺丝连接；上脚后部装有支撑杆，支撑杆采用铝合金压铸成型，规格不小于25*25*240mm，一头嵌入上桌架，另一头固定在立柱上，呈三角形结构，使整体结构更稳固。下桌架设有专用孔位与地面固定，可以安装调整脚，并配有ABS脚套装饰盖。桌脚间通过4条专用铝合金型材连接，上方三条铝合金型材中前后两条横梁为40*40mm1/4圆形铝合金型材用高强度螺丝连接，中间一条为45*20mm方形铝合金型材；桌子下部一条横梁为89*14mm铝合金型材，用高强度螺丝固定在两侧桌脚的立柱上。</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桌子外观流线形设计，简洁美观，易碰撞处全部采用倒圆角，产品款式要求整体设计美观、合理、安全、牢固、耐用。金属表面经环氧树脂粉末喷涂高温固化处理。要做到承重性能强和耐酸碱、耐腐蚀。桌子的表面理化性能需符合QB/T 4071-2021《课桌椅》标准中相关规定，并提供检测报告。</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★投标人提供第三方检测机构出具的有CMA或CNAS标识的检测报告复印件，提供检测报告在“国家认证认可监督管理委员会”官网查询截图</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776B3F5B">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24</w:t>
            </w:r>
          </w:p>
        </w:tc>
        <w:tc>
          <w:tcPr>
            <w:tcW w:w="637" w:type="dxa"/>
            <w:tcBorders>
              <w:top w:val="single" w:color="000000" w:sz="4" w:space="0"/>
              <w:left w:val="single" w:color="000000" w:sz="4" w:space="0"/>
              <w:bottom w:val="single" w:color="000000" w:sz="4" w:space="0"/>
              <w:right w:val="single" w:color="000000" w:sz="4" w:space="0"/>
            </w:tcBorders>
            <w:noWrap/>
            <w:vAlign w:val="center"/>
          </w:tcPr>
          <w:p w14:paraId="707C744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张</w:t>
            </w:r>
          </w:p>
        </w:tc>
      </w:tr>
      <w:tr w14:paraId="76CEABDE">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22D2B3A0">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5</w:t>
            </w:r>
          </w:p>
        </w:tc>
        <w:tc>
          <w:tcPr>
            <w:tcW w:w="1443" w:type="dxa"/>
            <w:tcBorders>
              <w:top w:val="single" w:color="000000" w:sz="4" w:space="0"/>
              <w:left w:val="single" w:color="000000" w:sz="4" w:space="0"/>
              <w:bottom w:val="single" w:color="000000" w:sz="4" w:space="0"/>
              <w:right w:val="single" w:color="000000" w:sz="4" w:space="0"/>
            </w:tcBorders>
            <w:vAlign w:val="center"/>
          </w:tcPr>
          <w:p w14:paraId="4CA37676">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多功能柱</w:t>
            </w:r>
          </w:p>
        </w:tc>
        <w:tc>
          <w:tcPr>
            <w:tcW w:w="6750" w:type="dxa"/>
            <w:tcBorders>
              <w:top w:val="single" w:color="000000" w:sz="4" w:space="0"/>
              <w:left w:val="single" w:color="000000" w:sz="4" w:space="0"/>
              <w:bottom w:val="single" w:color="000000" w:sz="4" w:space="0"/>
              <w:right w:val="single" w:color="000000" w:sz="4" w:space="0"/>
            </w:tcBorders>
            <w:vAlign w:val="center"/>
          </w:tcPr>
          <w:p w14:paraId="2C0DE2A3">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功能柱规格：≥长355*宽210*高760mm，采用abs塑料一次注塑成型，以齿合槽配以螺丝连接.功能柱正面设有abs注塑成型的的检修门，并配有专用锁具,方便安装和日后维修。</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表面可迁移元素需符合GB 6675.4-2014《玩具安全 第4部分 特定元素的迁移》标准中相关规定</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★投标人提供第三方检测机构出具的有CMA或CNAS标识的检测报告复印件，提供检测报告在“国家认证认可监督管理委员会”官网查询截图</w:t>
            </w:r>
          </w:p>
        </w:tc>
        <w:tc>
          <w:tcPr>
            <w:tcW w:w="703" w:type="dxa"/>
            <w:tcBorders>
              <w:top w:val="single" w:color="000000" w:sz="4" w:space="0"/>
              <w:left w:val="single" w:color="000000" w:sz="4" w:space="0"/>
              <w:bottom w:val="single" w:color="000000" w:sz="4" w:space="0"/>
              <w:right w:val="single" w:color="000000" w:sz="4" w:space="0"/>
            </w:tcBorders>
            <w:vAlign w:val="center"/>
          </w:tcPr>
          <w:p w14:paraId="110B6AD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24</w:t>
            </w:r>
          </w:p>
        </w:tc>
        <w:tc>
          <w:tcPr>
            <w:tcW w:w="637" w:type="dxa"/>
            <w:tcBorders>
              <w:top w:val="single" w:color="000000" w:sz="4" w:space="0"/>
              <w:left w:val="single" w:color="000000" w:sz="4" w:space="0"/>
              <w:bottom w:val="single" w:color="000000" w:sz="4" w:space="0"/>
              <w:right w:val="single" w:color="000000" w:sz="4" w:space="0"/>
            </w:tcBorders>
            <w:vAlign w:val="center"/>
          </w:tcPr>
          <w:p w14:paraId="08A5BFE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个</w:t>
            </w:r>
          </w:p>
        </w:tc>
      </w:tr>
      <w:tr w14:paraId="54AFF511">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05BCBF7E">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6</w:t>
            </w:r>
          </w:p>
        </w:tc>
        <w:tc>
          <w:tcPr>
            <w:tcW w:w="1443" w:type="dxa"/>
            <w:tcBorders>
              <w:top w:val="single" w:color="000000" w:sz="4" w:space="0"/>
              <w:left w:val="single" w:color="000000" w:sz="4" w:space="0"/>
              <w:bottom w:val="single" w:color="000000" w:sz="4" w:space="0"/>
              <w:right w:val="single" w:color="000000" w:sz="4" w:space="0"/>
            </w:tcBorders>
            <w:vAlign w:val="center"/>
          </w:tcPr>
          <w:p w14:paraId="7C0FC73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学生安全电源</w:t>
            </w:r>
          </w:p>
        </w:tc>
        <w:tc>
          <w:tcPr>
            <w:tcW w:w="6750" w:type="dxa"/>
            <w:tcBorders>
              <w:top w:val="single" w:color="000000" w:sz="4" w:space="0"/>
              <w:left w:val="single" w:color="000000" w:sz="4" w:space="0"/>
              <w:bottom w:val="single" w:color="000000" w:sz="4" w:space="0"/>
              <w:right w:val="single" w:color="000000" w:sz="4" w:space="0"/>
            </w:tcBorders>
            <w:vAlign w:val="center"/>
          </w:tcPr>
          <w:p w14:paraId="71884D02">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安装在两个书包斗中间电源盒内，设有两个220v新国标额定电流不小于6A的3+2多功能插座；并配有保险丝、电源开关和指示灯；符合国家安全认证标准。</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045C9AEC">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24</w:t>
            </w:r>
          </w:p>
        </w:tc>
        <w:tc>
          <w:tcPr>
            <w:tcW w:w="637" w:type="dxa"/>
            <w:tcBorders>
              <w:top w:val="single" w:color="000000" w:sz="4" w:space="0"/>
              <w:left w:val="single" w:color="000000" w:sz="4" w:space="0"/>
              <w:bottom w:val="single" w:color="000000" w:sz="4" w:space="0"/>
              <w:right w:val="single" w:color="000000" w:sz="4" w:space="0"/>
            </w:tcBorders>
            <w:noWrap/>
            <w:vAlign w:val="center"/>
          </w:tcPr>
          <w:p w14:paraId="1F6D5FAA">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个</w:t>
            </w:r>
          </w:p>
        </w:tc>
      </w:tr>
      <w:tr w14:paraId="277DD9B3">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0337086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7</w:t>
            </w:r>
          </w:p>
        </w:tc>
        <w:tc>
          <w:tcPr>
            <w:tcW w:w="1443" w:type="dxa"/>
            <w:tcBorders>
              <w:top w:val="single" w:color="000000" w:sz="4" w:space="0"/>
              <w:left w:val="single" w:color="000000" w:sz="4" w:space="0"/>
              <w:bottom w:val="single" w:color="000000" w:sz="4" w:space="0"/>
              <w:right w:val="single" w:color="000000" w:sz="4" w:space="0"/>
            </w:tcBorders>
            <w:vAlign w:val="center"/>
          </w:tcPr>
          <w:p w14:paraId="14FF33F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学生桌水槽柜</w:t>
            </w:r>
          </w:p>
        </w:tc>
        <w:tc>
          <w:tcPr>
            <w:tcW w:w="6750" w:type="dxa"/>
            <w:tcBorders>
              <w:top w:val="single" w:color="000000" w:sz="4" w:space="0"/>
              <w:left w:val="single" w:color="000000" w:sz="4" w:space="0"/>
              <w:bottom w:val="single" w:color="000000" w:sz="4" w:space="0"/>
              <w:right w:val="single" w:color="000000" w:sz="4" w:space="0"/>
            </w:tcBorders>
            <w:vAlign w:val="center"/>
          </w:tcPr>
          <w:p w14:paraId="1B0CF06F">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水槽台整体规格：≥长490*宽595*高830mm，分柜体和水槽两部分组成。</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柜体部分采用全新ABS塑料原料，经注塑模一次注塑成型；柜体有上下座、侧板和柜门部件组成，各部件采用卯榫结构连接，螺丝加固确保柜体结构稳固不扭曲变形；上下座和其他部件采用不同颜色套色拼装使整个水槽台有层次感；柜体前后均留有带锁的检修门，方便日后维修；柜体四角做圆角处理，无安全隐患。</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水槽部分：水槽采用全新耐腐蚀PP材料一次注塑成型，前沿有挡水并带有防溢水孔，水槽两侧预留安装洗眼器和皂液器安装孔，方便各科室不同需求。槽体内径不小于420*220*160mm，以下水口为低点四周均有坡度防止积水；下水口为大口径直排孔配有不锈钢滤网和PP材质水塞。</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3、水槽部分安置在柜体上面，需在柜体内侧使用螺丝加固连接，防止在使用过程中脱离；所有加固螺丝均处在柜体内侧暗处，安装完成后外表无可见螺丝。</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6、水槽台外观符合GB/T 32487-2016《塑料家具通用技术条件》标准中相关规定</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★投标人提供第三方检测机构出具的有CMA或CNAS标识的检测报告复印件，提供检测报告在“国家认证认可监督管理委员会”官网查询截图</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5A2AD5AB">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12</w:t>
            </w:r>
          </w:p>
        </w:tc>
        <w:tc>
          <w:tcPr>
            <w:tcW w:w="637" w:type="dxa"/>
            <w:tcBorders>
              <w:top w:val="single" w:color="000000" w:sz="4" w:space="0"/>
              <w:left w:val="single" w:color="000000" w:sz="4" w:space="0"/>
              <w:bottom w:val="single" w:color="000000" w:sz="4" w:space="0"/>
              <w:right w:val="single" w:color="000000" w:sz="4" w:space="0"/>
            </w:tcBorders>
            <w:noWrap/>
            <w:vAlign w:val="center"/>
          </w:tcPr>
          <w:p w14:paraId="560D138C">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个</w:t>
            </w:r>
          </w:p>
        </w:tc>
      </w:tr>
      <w:tr w14:paraId="339943FB">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6FFCFAF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8</w:t>
            </w:r>
          </w:p>
        </w:tc>
        <w:tc>
          <w:tcPr>
            <w:tcW w:w="1443" w:type="dxa"/>
            <w:tcBorders>
              <w:top w:val="single" w:color="000000" w:sz="4" w:space="0"/>
              <w:left w:val="single" w:color="000000" w:sz="4" w:space="0"/>
              <w:bottom w:val="single" w:color="000000" w:sz="4" w:space="0"/>
              <w:right w:val="single" w:color="000000" w:sz="4" w:space="0"/>
            </w:tcBorders>
            <w:vAlign w:val="center"/>
          </w:tcPr>
          <w:p w14:paraId="26BCBB38">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教师总控台电源装置</w:t>
            </w:r>
          </w:p>
        </w:tc>
        <w:tc>
          <w:tcPr>
            <w:tcW w:w="6750" w:type="dxa"/>
            <w:tcBorders>
              <w:top w:val="single" w:color="000000" w:sz="4" w:space="0"/>
              <w:left w:val="single" w:color="000000" w:sz="4" w:space="0"/>
              <w:bottom w:val="single" w:color="000000" w:sz="4" w:space="0"/>
              <w:right w:val="single" w:color="000000" w:sz="4" w:space="0"/>
            </w:tcBorders>
            <w:vAlign w:val="center"/>
          </w:tcPr>
          <w:p w14:paraId="4CF612E2">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教师控制电源部分采用抽屉式：</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1、设教学安全电源控制台，分4组向学生实验桌输出安全的220V交流电源，对学生实验电源进行分组控制，具备漏电及过载保护功能。</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2、实验总电源及学生实验电源均设有：短路、过载、自动断电功能；</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3、配置2组220V国标5孔插座。</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79045E7D">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noWrap/>
            <w:vAlign w:val="center"/>
          </w:tcPr>
          <w:p w14:paraId="4E50F04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套</w:t>
            </w:r>
          </w:p>
        </w:tc>
      </w:tr>
      <w:tr w14:paraId="7A578F7E">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46E667ED">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9</w:t>
            </w:r>
          </w:p>
        </w:tc>
        <w:tc>
          <w:tcPr>
            <w:tcW w:w="1443" w:type="dxa"/>
            <w:tcBorders>
              <w:top w:val="single" w:color="000000" w:sz="4" w:space="0"/>
              <w:left w:val="single" w:color="000000" w:sz="4" w:space="0"/>
              <w:bottom w:val="single" w:color="000000" w:sz="4" w:space="0"/>
              <w:right w:val="single" w:color="000000" w:sz="4" w:space="0"/>
            </w:tcBorders>
            <w:vAlign w:val="center"/>
          </w:tcPr>
          <w:p w14:paraId="71E3F41B">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学生凳</w:t>
            </w:r>
          </w:p>
        </w:tc>
        <w:tc>
          <w:tcPr>
            <w:tcW w:w="6750" w:type="dxa"/>
            <w:tcBorders>
              <w:top w:val="single" w:color="000000" w:sz="4" w:space="0"/>
              <w:left w:val="single" w:color="000000" w:sz="4" w:space="0"/>
              <w:bottom w:val="single" w:color="000000" w:sz="4" w:space="0"/>
              <w:right w:val="single" w:color="000000" w:sz="4" w:space="0"/>
            </w:tcBorders>
            <w:vAlign w:val="center"/>
          </w:tcPr>
          <w:p w14:paraId="416D9545">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1、凳面：≥直径300mm×30mm 采用环保型PP改性塑料一次性注塑成型 ，表面细纹咬花，防滑不发光。</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2、凳架：采用20×40×1.2mm椭圆形无缝钢管成型制作，全圆满焊接完成，结构牢固，经高温粉体烤漆处理，长时间使用也不会产生表面烤漆剥落现象。</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3、升降螺杆：采用内置螺杆式螺旋升降，凳面升高后看不到螺杆不摇晃更美观,高度范围430-490mm.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4、托盘采用165*165*1.8MM钢板冲压而成，托盘与螺杆之间设有一个锥形盘加固，使凳子更加稳固。</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5、脚垫：采用PP加耐磨纤维质塑料注塑成型，有效降低凳子拖动产生的刺耳噪音。</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089E25F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49</w:t>
            </w:r>
          </w:p>
        </w:tc>
        <w:tc>
          <w:tcPr>
            <w:tcW w:w="637" w:type="dxa"/>
            <w:tcBorders>
              <w:top w:val="single" w:color="000000" w:sz="4" w:space="0"/>
              <w:left w:val="single" w:color="000000" w:sz="4" w:space="0"/>
              <w:bottom w:val="single" w:color="000000" w:sz="4" w:space="0"/>
              <w:right w:val="single" w:color="000000" w:sz="4" w:space="0"/>
            </w:tcBorders>
            <w:noWrap/>
            <w:vAlign w:val="center"/>
          </w:tcPr>
          <w:p w14:paraId="3490288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张</w:t>
            </w:r>
          </w:p>
        </w:tc>
      </w:tr>
      <w:tr w14:paraId="062B3CB3">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1FA145C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10</w:t>
            </w:r>
          </w:p>
        </w:tc>
        <w:tc>
          <w:tcPr>
            <w:tcW w:w="1443" w:type="dxa"/>
            <w:tcBorders>
              <w:top w:val="single" w:color="000000" w:sz="4" w:space="0"/>
              <w:left w:val="single" w:color="000000" w:sz="4" w:space="0"/>
              <w:bottom w:val="single" w:color="000000" w:sz="4" w:space="0"/>
              <w:right w:val="single" w:color="000000" w:sz="4" w:space="0"/>
            </w:tcBorders>
            <w:vAlign w:val="center"/>
          </w:tcPr>
          <w:p w14:paraId="0FB984ED">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显微镜灯</w:t>
            </w:r>
          </w:p>
        </w:tc>
        <w:tc>
          <w:tcPr>
            <w:tcW w:w="6750" w:type="dxa"/>
            <w:tcBorders>
              <w:top w:val="single" w:color="000000" w:sz="4" w:space="0"/>
              <w:left w:val="single" w:color="000000" w:sz="4" w:space="0"/>
              <w:bottom w:val="single" w:color="000000" w:sz="4" w:space="0"/>
              <w:right w:val="single" w:color="000000" w:sz="4" w:space="0"/>
            </w:tcBorders>
            <w:vAlign w:val="center"/>
          </w:tcPr>
          <w:p w14:paraId="4402B1D2">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1、规格：灯管长600±5mm，灯高：200±5mm，照明角度180度旋转可调，旋转轴采用不锈钢阻尼转轴器隐藏安装。</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2、灯具外壳采用ABS工程塑料，除螺丝外可接触部件不得有金属部件以防触电，有独立开关控制。</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3、灯芯组件采用2835型LED灯珠铝基板灯条，台灯整体功率不大于7w，光通量不小于350lm，色温4500k-6000k正白色，灯光通过光学平板散光片投射令光线均匀柔和不刺眼。</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★4、灯具无蓝光危害，蓝光危害等级RG0，提供蓝光检测报告。</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★5、灯具需符合GB 7000.1-2015和GB 7000.201-2008国家标准要求，投标人提供第三方检测机构出具的有CMA或CNAS标识的检测报告复印件，提供检测报告在“国家认证认可监督管理委员会”官网查询截图</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1167AF2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24</w:t>
            </w:r>
          </w:p>
        </w:tc>
        <w:tc>
          <w:tcPr>
            <w:tcW w:w="637" w:type="dxa"/>
            <w:tcBorders>
              <w:top w:val="single" w:color="000000" w:sz="4" w:space="0"/>
              <w:left w:val="single" w:color="000000" w:sz="4" w:space="0"/>
              <w:bottom w:val="single" w:color="000000" w:sz="4" w:space="0"/>
              <w:right w:val="single" w:color="000000" w:sz="4" w:space="0"/>
            </w:tcBorders>
            <w:noWrap/>
            <w:vAlign w:val="center"/>
          </w:tcPr>
          <w:p w14:paraId="3CF6CCD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盏</w:t>
            </w:r>
          </w:p>
        </w:tc>
      </w:tr>
      <w:tr w14:paraId="32D4F90D">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08B3353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11</w:t>
            </w:r>
          </w:p>
        </w:tc>
        <w:tc>
          <w:tcPr>
            <w:tcW w:w="1443" w:type="dxa"/>
            <w:tcBorders>
              <w:top w:val="single" w:color="000000" w:sz="4" w:space="0"/>
              <w:left w:val="single" w:color="000000" w:sz="4" w:space="0"/>
              <w:bottom w:val="single" w:color="000000" w:sz="4" w:space="0"/>
              <w:right w:val="single" w:color="000000" w:sz="4" w:space="0"/>
            </w:tcBorders>
            <w:vAlign w:val="center"/>
          </w:tcPr>
          <w:p w14:paraId="7B10FF0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洗眼器</w:t>
            </w:r>
          </w:p>
        </w:tc>
        <w:tc>
          <w:tcPr>
            <w:tcW w:w="6750" w:type="dxa"/>
            <w:tcBorders>
              <w:top w:val="single" w:color="000000" w:sz="4" w:space="0"/>
              <w:left w:val="single" w:color="000000" w:sz="4" w:space="0"/>
              <w:bottom w:val="single" w:color="000000" w:sz="4" w:space="0"/>
              <w:right w:val="single" w:color="000000" w:sz="4" w:space="0"/>
            </w:tcBorders>
            <w:vAlign w:val="center"/>
          </w:tcPr>
          <w:p w14:paraId="51DF75B9">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洗眼喷头：采用不助燃PC材质模铸一体成形制作，具有过滤泡棉及防尘功能，上面防尘盖平常可防尘，使用时可随时被水冲开，并降低突然打开时短暂的高水压，避免冲伤眼睛。</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544CE9E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noWrap/>
            <w:vAlign w:val="center"/>
          </w:tcPr>
          <w:p w14:paraId="210D936E">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个</w:t>
            </w:r>
          </w:p>
        </w:tc>
      </w:tr>
      <w:tr w14:paraId="53360A80">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4C2D3459">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12</w:t>
            </w:r>
          </w:p>
        </w:tc>
        <w:tc>
          <w:tcPr>
            <w:tcW w:w="1443" w:type="dxa"/>
            <w:tcBorders>
              <w:top w:val="single" w:color="000000" w:sz="4" w:space="0"/>
              <w:left w:val="single" w:color="000000" w:sz="4" w:space="0"/>
              <w:bottom w:val="single" w:color="000000" w:sz="4" w:space="0"/>
              <w:right w:val="single" w:color="000000" w:sz="4" w:space="0"/>
            </w:tcBorders>
            <w:vAlign w:val="center"/>
          </w:tcPr>
          <w:p w14:paraId="4A22274C">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仪器柜</w:t>
            </w:r>
          </w:p>
        </w:tc>
        <w:tc>
          <w:tcPr>
            <w:tcW w:w="6750" w:type="dxa"/>
            <w:tcBorders>
              <w:top w:val="single" w:color="000000" w:sz="4" w:space="0"/>
              <w:left w:val="single" w:color="000000" w:sz="4" w:space="0"/>
              <w:bottom w:val="single" w:color="000000" w:sz="4" w:space="0"/>
              <w:right w:val="single" w:color="000000" w:sz="4" w:space="0"/>
            </w:tcBorders>
            <w:vAlign w:val="center"/>
          </w:tcPr>
          <w:p w14:paraId="1203FFDC">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1.结构：全钢结构</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2.规格：≥1000*500*2000mm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材质：所有钣金的表面接缝均应满焊，焊接处均应打磨平整以保持为连续的平滑表面。主框架采用优质≥1.0mm厚镀锌钢板（SPCCT）经CNC机压成形、焊接制作，表面钢制部分采用酸洗、磷化、除油、除锈并经过环氧树脂粉末喷塑处理</w:t>
            </w:r>
            <w:r>
              <w:rPr>
                <w:rFonts w:hint="eastAsia" w:asciiTheme="minorEastAsia" w:hAnsiTheme="minorEastAsia" w:eastAsiaTheme="minorEastAsia"/>
                <w:color w:val="000000"/>
                <w:kern w:val="0"/>
                <w:sz w:val="24"/>
                <w:lang w:eastAsia="zh-CN" w:bidi="ar"/>
              </w:rPr>
              <w:t>。</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 采用双开门型式，上部为玻璃开门（门框为整板开孔，双层门），下部为钢制开门（双层门），上柜配置两块钢制层板，下柜配置一块钢制层板，层板高度可以上下调节，不锈钢弓形拉手。</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4.仪器柜技术性能要求需满足依据GB/T 3325-2017《金属家具通用技术条件》力学性能要求：结构和底架强度：加载力：试件刚好倾斜所加的力，10次；拉门垂直加载：质量30</w:t>
            </w:r>
            <w:r>
              <w:rPr>
                <w:rFonts w:hint="eastAsia" w:asciiTheme="minorEastAsia" w:hAnsiTheme="minorEastAsia" w:eastAsiaTheme="minorEastAsia"/>
                <w:color w:val="000000"/>
                <w:kern w:val="0"/>
                <w:sz w:val="24"/>
                <w:lang w:eastAsia="zh-CN" w:bidi="ar"/>
              </w:rPr>
              <w:t>kg</w:t>
            </w:r>
            <w:r>
              <w:rPr>
                <w:rFonts w:asciiTheme="minorEastAsia" w:hAnsiTheme="minorEastAsia" w:eastAsiaTheme="minorEastAsia"/>
                <w:color w:val="000000"/>
                <w:kern w:val="0"/>
                <w:sz w:val="24"/>
                <w:lang w:bidi="ar"/>
              </w:rPr>
              <w:t>，10次；拉门水平加载：70N，10次；</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产品表面涂饰层/覆面材料理化性能：金属喷涂（塑）涂层：</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硬度≥2H；耐腐蚀：100h内，观察在溶剂中试件上划道两侧3mm以外，应无气泡产生，100h后，检查划道两侧3mm以外，应无锈迹、无剥落、无起皱、无变色和无失光现象；</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5.仪器柜技术性能要求需满足依据GB/T 9286-2021 《色漆和清漆 划格试验》及GB/T 10125-2021 《人造气氛腐蚀试验 盐雾试验》中性盐雾试验不小于10级，附着力不小于2级；</w:t>
            </w:r>
          </w:p>
        </w:tc>
        <w:tc>
          <w:tcPr>
            <w:tcW w:w="703" w:type="dxa"/>
            <w:tcBorders>
              <w:top w:val="single" w:color="000000" w:sz="4" w:space="0"/>
              <w:left w:val="single" w:color="000000" w:sz="4" w:space="0"/>
              <w:bottom w:val="single" w:color="000000" w:sz="4" w:space="0"/>
              <w:right w:val="single" w:color="000000" w:sz="4" w:space="0"/>
            </w:tcBorders>
            <w:vAlign w:val="center"/>
          </w:tcPr>
          <w:p w14:paraId="5D9E23C1">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5</w:t>
            </w:r>
          </w:p>
        </w:tc>
        <w:tc>
          <w:tcPr>
            <w:tcW w:w="637" w:type="dxa"/>
            <w:tcBorders>
              <w:top w:val="single" w:color="000000" w:sz="4" w:space="0"/>
              <w:left w:val="single" w:color="000000" w:sz="4" w:space="0"/>
              <w:bottom w:val="single" w:color="000000" w:sz="4" w:space="0"/>
              <w:right w:val="single" w:color="000000" w:sz="4" w:space="0"/>
            </w:tcBorders>
            <w:vAlign w:val="center"/>
          </w:tcPr>
          <w:p w14:paraId="03AE286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套</w:t>
            </w:r>
          </w:p>
        </w:tc>
      </w:tr>
      <w:tr w14:paraId="213E7775">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0ED5221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13</w:t>
            </w:r>
          </w:p>
        </w:tc>
        <w:tc>
          <w:tcPr>
            <w:tcW w:w="1443" w:type="dxa"/>
            <w:tcBorders>
              <w:top w:val="single" w:color="000000" w:sz="4" w:space="0"/>
              <w:left w:val="single" w:color="000000" w:sz="4" w:space="0"/>
              <w:bottom w:val="single" w:color="000000" w:sz="4" w:space="0"/>
              <w:right w:val="single" w:color="000000" w:sz="4" w:space="0"/>
            </w:tcBorders>
            <w:vAlign w:val="center"/>
          </w:tcPr>
          <w:p w14:paraId="427276A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电器布线</w:t>
            </w:r>
          </w:p>
        </w:tc>
        <w:tc>
          <w:tcPr>
            <w:tcW w:w="6750" w:type="dxa"/>
            <w:tcBorders>
              <w:top w:val="single" w:color="000000" w:sz="4" w:space="0"/>
              <w:left w:val="single" w:color="000000" w:sz="4" w:space="0"/>
              <w:bottom w:val="single" w:color="000000" w:sz="4" w:space="0"/>
              <w:right w:val="single" w:color="000000" w:sz="4" w:space="0"/>
            </w:tcBorders>
            <w:vAlign w:val="center"/>
          </w:tcPr>
          <w:p w14:paraId="4A0AC9A4">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DN25mm阻燃线管；2.5平方国标线材，符合国家标准。</w:t>
            </w:r>
          </w:p>
        </w:tc>
        <w:tc>
          <w:tcPr>
            <w:tcW w:w="703" w:type="dxa"/>
            <w:tcBorders>
              <w:top w:val="single" w:color="000000" w:sz="4" w:space="0"/>
              <w:left w:val="single" w:color="000000" w:sz="4" w:space="0"/>
              <w:bottom w:val="single" w:color="000000" w:sz="4" w:space="0"/>
              <w:right w:val="single" w:color="000000" w:sz="4" w:space="0"/>
            </w:tcBorders>
            <w:vAlign w:val="center"/>
          </w:tcPr>
          <w:p w14:paraId="74DB59F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733D364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项</w:t>
            </w:r>
          </w:p>
        </w:tc>
      </w:tr>
      <w:tr w14:paraId="2233DF6B">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025E8E59">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14</w:t>
            </w:r>
          </w:p>
        </w:tc>
        <w:tc>
          <w:tcPr>
            <w:tcW w:w="1443" w:type="dxa"/>
            <w:tcBorders>
              <w:top w:val="single" w:color="000000" w:sz="4" w:space="0"/>
              <w:left w:val="single" w:color="000000" w:sz="4" w:space="0"/>
              <w:bottom w:val="single" w:color="000000" w:sz="4" w:space="0"/>
              <w:right w:val="single" w:color="000000" w:sz="4" w:space="0"/>
            </w:tcBorders>
            <w:vAlign w:val="center"/>
          </w:tcPr>
          <w:p w14:paraId="07C3C40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给排水系统</w:t>
            </w:r>
          </w:p>
        </w:tc>
        <w:tc>
          <w:tcPr>
            <w:tcW w:w="6750" w:type="dxa"/>
            <w:tcBorders>
              <w:top w:val="single" w:color="000000" w:sz="4" w:space="0"/>
              <w:left w:val="single" w:color="000000" w:sz="4" w:space="0"/>
              <w:bottom w:val="single" w:color="000000" w:sz="4" w:space="0"/>
              <w:right w:val="single" w:color="000000" w:sz="4" w:space="0"/>
            </w:tcBorders>
            <w:vAlign w:val="center"/>
          </w:tcPr>
          <w:p w14:paraId="6318D9AD">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给水采用￠20PPR管，热熔连接。排水采用￠50PVC管，PVC专用胶水连接。</w:t>
            </w:r>
          </w:p>
        </w:tc>
        <w:tc>
          <w:tcPr>
            <w:tcW w:w="703" w:type="dxa"/>
            <w:tcBorders>
              <w:top w:val="single" w:color="000000" w:sz="4" w:space="0"/>
              <w:left w:val="single" w:color="000000" w:sz="4" w:space="0"/>
              <w:bottom w:val="single" w:color="000000" w:sz="4" w:space="0"/>
              <w:right w:val="single" w:color="000000" w:sz="4" w:space="0"/>
            </w:tcBorders>
            <w:vAlign w:val="center"/>
          </w:tcPr>
          <w:p w14:paraId="5BF3DA30">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1A2AA7C7">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批</w:t>
            </w:r>
          </w:p>
        </w:tc>
      </w:tr>
      <w:tr w14:paraId="24A7364C">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5FE12806">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15</w:t>
            </w:r>
          </w:p>
        </w:tc>
        <w:tc>
          <w:tcPr>
            <w:tcW w:w="1443" w:type="dxa"/>
            <w:tcBorders>
              <w:top w:val="single" w:color="000000" w:sz="4" w:space="0"/>
              <w:left w:val="single" w:color="000000" w:sz="4" w:space="0"/>
              <w:bottom w:val="single" w:color="000000" w:sz="4" w:space="0"/>
              <w:right w:val="single" w:color="000000" w:sz="4" w:space="0"/>
            </w:tcBorders>
            <w:vAlign w:val="center"/>
          </w:tcPr>
          <w:p w14:paraId="1122BF8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设备及调试</w:t>
            </w:r>
          </w:p>
        </w:tc>
        <w:tc>
          <w:tcPr>
            <w:tcW w:w="6750" w:type="dxa"/>
            <w:tcBorders>
              <w:top w:val="single" w:color="000000" w:sz="4" w:space="0"/>
              <w:left w:val="single" w:color="000000" w:sz="4" w:space="0"/>
              <w:bottom w:val="single" w:color="000000" w:sz="4" w:space="0"/>
              <w:right w:val="single" w:color="000000" w:sz="4" w:space="0"/>
            </w:tcBorders>
            <w:noWrap/>
            <w:vAlign w:val="center"/>
          </w:tcPr>
          <w:p w14:paraId="3CD26A9B">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包含教师演示台，学生实验桌，学生实验凳，学生电源，水槽台等安装。</w:t>
            </w:r>
          </w:p>
        </w:tc>
        <w:tc>
          <w:tcPr>
            <w:tcW w:w="703" w:type="dxa"/>
            <w:tcBorders>
              <w:top w:val="single" w:color="000000" w:sz="4" w:space="0"/>
              <w:left w:val="single" w:color="000000" w:sz="4" w:space="0"/>
              <w:bottom w:val="single" w:color="000000" w:sz="4" w:space="0"/>
              <w:right w:val="single" w:color="000000" w:sz="4" w:space="0"/>
            </w:tcBorders>
            <w:vAlign w:val="center"/>
          </w:tcPr>
          <w:p w14:paraId="479D72C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58141B2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项</w:t>
            </w:r>
          </w:p>
        </w:tc>
      </w:tr>
      <w:tr w14:paraId="61D011EF">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308BDD7E">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16</w:t>
            </w:r>
          </w:p>
        </w:tc>
        <w:tc>
          <w:tcPr>
            <w:tcW w:w="1443" w:type="dxa"/>
            <w:tcBorders>
              <w:top w:val="single" w:color="000000" w:sz="4" w:space="0"/>
              <w:left w:val="single" w:color="000000" w:sz="4" w:space="0"/>
              <w:bottom w:val="single" w:color="000000" w:sz="4" w:space="0"/>
              <w:right w:val="single" w:color="000000" w:sz="4" w:space="0"/>
            </w:tcBorders>
            <w:vAlign w:val="center"/>
          </w:tcPr>
          <w:p w14:paraId="7A2FE8C7">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86寸一体机</w:t>
            </w:r>
          </w:p>
        </w:tc>
        <w:tc>
          <w:tcPr>
            <w:tcW w:w="6750" w:type="dxa"/>
            <w:tcBorders>
              <w:top w:val="single" w:color="000000" w:sz="4" w:space="0"/>
              <w:left w:val="single" w:color="000000" w:sz="4" w:space="0"/>
              <w:bottom w:val="single" w:color="000000" w:sz="4" w:space="0"/>
              <w:right w:val="single" w:color="000000" w:sz="4" w:space="0"/>
            </w:tcBorders>
            <w:vAlign w:val="center"/>
          </w:tcPr>
          <w:p w14:paraId="7CFDB317">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一、整体设计</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1、整机采用一体设计，外部无任何可见内部功能模块连接线。整机采用全金属外壳设计，边角采用弧形设计，表面无尖锐边缘或凸起。</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2、整机采用86英寸超高清LED液晶屏，显示比例16:9，分辨率3840×2160。</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3、整机采用全物理钢化玻璃，钢化玻璃表面硬度≥9H，支持防眩光功能，玻璃表面采用纳米材料镀膜环保工艺，书写更加顺滑，防眩光效果更加优异。</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4、整机背光系统支持DC调光方式，多级亮度调节，支持白颜色背景下最暗亮度≤100nit，用于提升显示对比度。</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5、前置按键：整机具备至少6个前置按键，可实现开关机、调出中控菜单、音量+/-、护眼、录屏操作。</w:t>
            </w:r>
            <w:r>
              <w:rPr>
                <w:rFonts w:asciiTheme="minorEastAsia" w:hAnsiTheme="minorEastAsia" w:eastAsiaTheme="minorEastAsia"/>
                <w:color w:val="000000"/>
                <w:kern w:val="0"/>
                <w:sz w:val="24"/>
                <w:lang w:bidi="ar"/>
              </w:rPr>
              <w:br w:type="textWrapping"/>
            </w:r>
            <w:r>
              <w:rPr>
                <w:rFonts w:hint="eastAsia" w:asciiTheme="minorEastAsia" w:hAnsiTheme="minorEastAsia" w:eastAsiaTheme="minorEastAsia"/>
                <w:color w:val="000000"/>
                <w:kern w:val="0"/>
                <w:sz w:val="24"/>
                <w:lang w:bidi="ar"/>
              </w:rPr>
              <w:t>二</w:t>
            </w:r>
            <w:r>
              <w:rPr>
                <w:rFonts w:asciiTheme="minorEastAsia" w:hAnsiTheme="minorEastAsia" w:eastAsiaTheme="minorEastAsia"/>
                <w:color w:val="000000"/>
                <w:kern w:val="0"/>
                <w:sz w:val="24"/>
                <w:lang w:bidi="ar"/>
              </w:rPr>
              <w:t>、电脑模块</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1．搭载国产自主可控龙芯芯片，搭配操作系统；支持4个物理核心，8个逻辑核心；主频≥2.0GHz，配置16 GB或以上内存，配置512 GB或以上固态硬盘，2G独显。</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2．和整机的连接采用万兆级接口，传输速率≥10Gbps。</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3．采用按压式卡扣，无需工具就可快速拆卸电脑模块。</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4．具有独立非外扩展的接口：≥1路HDMI，≥3路USB。</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备注：提供正版 WPS 教育版办公软件，并完成安装及激活，一体机质保期内保证正常使用。</w:t>
            </w:r>
          </w:p>
        </w:tc>
        <w:tc>
          <w:tcPr>
            <w:tcW w:w="703" w:type="dxa"/>
            <w:tcBorders>
              <w:top w:val="single" w:color="000000" w:sz="4" w:space="0"/>
              <w:left w:val="single" w:color="000000" w:sz="4" w:space="0"/>
              <w:bottom w:val="single" w:color="000000" w:sz="4" w:space="0"/>
              <w:right w:val="single" w:color="000000" w:sz="4" w:space="0"/>
            </w:tcBorders>
            <w:vAlign w:val="center"/>
          </w:tcPr>
          <w:p w14:paraId="481444CC">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2ED061CB">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套</w:t>
            </w:r>
          </w:p>
        </w:tc>
      </w:tr>
      <w:tr w14:paraId="0BA6E7AB">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04BCFD5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17</w:t>
            </w:r>
          </w:p>
        </w:tc>
        <w:tc>
          <w:tcPr>
            <w:tcW w:w="1443" w:type="dxa"/>
            <w:tcBorders>
              <w:top w:val="single" w:color="000000" w:sz="4" w:space="0"/>
              <w:left w:val="single" w:color="000000" w:sz="4" w:space="0"/>
              <w:bottom w:val="single" w:color="000000" w:sz="4" w:space="0"/>
              <w:right w:val="single" w:color="000000" w:sz="4" w:space="0"/>
            </w:tcBorders>
            <w:vAlign w:val="center"/>
          </w:tcPr>
          <w:p w14:paraId="0637A98B">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高中生物</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3D实验室软件</w:t>
            </w:r>
          </w:p>
        </w:tc>
        <w:tc>
          <w:tcPr>
            <w:tcW w:w="6750" w:type="dxa"/>
            <w:tcBorders>
              <w:top w:val="single" w:color="000000" w:sz="4" w:space="0"/>
              <w:left w:val="single" w:color="000000" w:sz="4" w:space="0"/>
              <w:bottom w:val="single" w:color="000000" w:sz="4" w:space="0"/>
              <w:right w:val="single" w:color="000000" w:sz="4" w:space="0"/>
            </w:tcBorders>
            <w:vAlign w:val="center"/>
          </w:tcPr>
          <w:p w14:paraId="16656DD9">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 要求所有实验支持在任意视角下对实验进行观察和交互式操作。要求所有实验中的模型为3D高精度模型，支持无极放大，实验模型高保真。</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 软件要求提供与国家课程标准中知识点同步的实验，应包括分子与细胞、遗传与进化、稳态与调节、生物与环境、生物技术与工程等实验内容与实验场景。完整实验数量不少于50个。支持在实验目录页即可直接查看具体的实验内容简介。（提供软件内实验数量证明截图）</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 软件要求提供中学生物学科高清显微素材库，素材图片数量不少于75张，每张都支持4X、10X、40X物镜进行观察。所有素材库图片都支持使用显微镜进行仿真实验操作，完全模拟真实操作。（提供素材数量截图证明，提供4X、10X、40X物镜截图证明）</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 软件要求提供人体生理结构探究模块，涵盖运动系统、神经系统、内分泌系统、血液循环系统和淋巴和免疫系统等9大系统，要求不少于4个人体系统支持器官自由拆分，组合，并配以相关文字说明。（提供不少于4个人体系统或器官的拆解截图证明）</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软件要求提供人体生理功能模块，其中包括人体内物质的运输、人体的呼吸、人体内废物的排出、人体的营养、人体的运动、人体生命活动的调节、人的生殖与发育等知识点，数量不少于60个，包括模型、动画以及教学互动场景。重点器官和系统支持自由拆分，组合。</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软件要求提供微观世界模块，要求提供的课程内容教学难点光反应3D动画提供多种教学交互，包括：动画的进度可以自由调整、动画的快慢可以通过控制面板选择倍率灵活调控；光反应过程中的相关化学物质提供了3D化学图例，可以自由打开与关闭，降低光反应过程的理解难度；光反应复杂的组成结构，点击任意结构标签，对应的结构高亮呈现，更</w:t>
            </w:r>
            <w:r>
              <w:rPr>
                <w:rFonts w:hint="eastAsia" w:asciiTheme="minorEastAsia" w:hAnsiTheme="minorEastAsia" w:eastAsiaTheme="minorEastAsia"/>
                <w:color w:val="000000"/>
                <w:kern w:val="0"/>
                <w:sz w:val="24"/>
                <w:lang w:eastAsia="zh-CN" w:bidi="ar"/>
              </w:rPr>
              <w:t>好地</w:t>
            </w:r>
            <w:r>
              <w:rPr>
                <w:rFonts w:asciiTheme="minorEastAsia" w:hAnsiTheme="minorEastAsia" w:eastAsiaTheme="minorEastAsia"/>
                <w:color w:val="000000"/>
                <w:kern w:val="0"/>
                <w:sz w:val="24"/>
                <w:lang w:bidi="ar"/>
              </w:rPr>
              <w:t>凸显教学重难点，提升课堂效率。（提供光反应资源的以上展示内容截图证明）</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 软件要求提供中学生物实验对象库，支持任意视角对实验对象进行独立观察、展示。</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 软件提供实验截屏和微视频录制功能，支持用户在实验过程中，根据教学需求自由选择功能存储。软件要求支持画笔功能，能够在实验操作界面添加标注、进行重点区域圈划等，画笔笔迹支持撤销、删除，便于老师在实验讲解过程中进行重难点圈注</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9. 以上所有软件功能要求在同一软件系统平台中进行操作。方便用户管理、使用。</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10.软件要求提供对应的软件著作权证书复印件。</w:t>
            </w:r>
          </w:p>
        </w:tc>
        <w:tc>
          <w:tcPr>
            <w:tcW w:w="703" w:type="dxa"/>
            <w:tcBorders>
              <w:top w:val="single" w:color="000000" w:sz="4" w:space="0"/>
              <w:left w:val="single" w:color="000000" w:sz="4" w:space="0"/>
              <w:bottom w:val="single" w:color="000000" w:sz="4" w:space="0"/>
              <w:right w:val="single" w:color="000000" w:sz="4" w:space="0"/>
            </w:tcBorders>
            <w:vAlign w:val="center"/>
          </w:tcPr>
          <w:p w14:paraId="7468AEE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787F8BB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套</w:t>
            </w:r>
          </w:p>
        </w:tc>
      </w:tr>
      <w:tr w14:paraId="1C45019C">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258FD0F9">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18</w:t>
            </w:r>
          </w:p>
        </w:tc>
        <w:tc>
          <w:tcPr>
            <w:tcW w:w="1443" w:type="dxa"/>
            <w:tcBorders>
              <w:top w:val="single" w:color="000000" w:sz="4" w:space="0"/>
              <w:left w:val="single" w:color="000000" w:sz="4" w:space="0"/>
              <w:bottom w:val="single" w:color="000000" w:sz="4" w:space="0"/>
              <w:right w:val="single" w:color="000000" w:sz="4" w:space="0"/>
            </w:tcBorders>
            <w:vAlign w:val="center"/>
          </w:tcPr>
          <w:p w14:paraId="08D5131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教师端显微镜</w:t>
            </w:r>
          </w:p>
        </w:tc>
        <w:tc>
          <w:tcPr>
            <w:tcW w:w="6750" w:type="dxa"/>
            <w:tcBorders>
              <w:top w:val="single" w:color="000000" w:sz="4" w:space="0"/>
              <w:left w:val="single" w:color="000000" w:sz="4" w:space="0"/>
              <w:bottom w:val="single" w:color="000000" w:sz="4" w:space="0"/>
              <w:right w:val="single" w:color="000000" w:sz="4" w:space="0"/>
            </w:tcBorders>
            <w:vAlign w:val="center"/>
          </w:tcPr>
          <w:p w14:paraId="73A46266">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 xml:space="preserve">1、光学系统：采用无限远光学系统    </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2、放大倍数：40X—1000X</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3、目镜：超大视野目镜：10×，视场数F.N.≥22mm（防霉处理），双目视度可调；</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4、后背板拉手及绕线设计：后背板的拉手设计，在日常搬运中更方便、更安全。嵌入式的绕线装置，不仅节约空间，更能防止电源线遗失。</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5、转换器：内倾式内定位不下于五孔编码转换器，同时显微镜具有照明亮度记忆功能，物镜转换时可自动对光强进行调节，记忆并追踪每种物镜的照明亮度；</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6、★物镜：无限远平场消色差长工作距离物镜（工作距离大，可避免转换镜头时，残余香柏油或水易带来的镜头损伤。）</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 xml:space="preserve">        4X         NA≥0.1        成像清晰圆直径≥18.5mm；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 xml:space="preserve">        10X         NA≥0.25      成像清晰圆直径≥18.7mm；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 xml:space="preserve">       40X（弹簧）   NA≥0.65     成像清晰圆直径≥19.5mm；                  100X（水镜）   NA≥0.65      成像清晰圆直径≥19.0mm；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 xml:space="preserve">        100X（0il，油镜）     NA≥1.25  成像清晰圆直径≥19.1mm ；           </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显微镜物镜放大准确率不超过±0.71%，目镜放大准确率不超过±0.72%,齐焦40到100X物镜不超过0.006mm。（提供第三方检测机构出具的有CMA或CNAS标识的检测报告复印件）</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多功能液晶显示屏：显微镜正前方底部配备液晶显示屏，可以通过显示屏显示显微镜物镜倍数、光强亮度，实现人走灯灭功能；光强、亮度显示、调节和记忆功能；物镜倍率与转换器孔对应位置设置、显示；快速休眠和唤醒功能，同时可实现上下光源的快速切换，方便后期增加荧光功能。（提供官方产品彩页以证实）</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★8、移动载物台：同步带平台， 硬质氧化台面，燕尾结构；平台尺寸≥250X150mm，移动范围≥78X54mm，可双切片观察；（提供官方产品彩页以证实）</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9、调焦系统：低手位同轴调焦机构，符合人机工程学设计，给予用户最大程度的舒适感；调焦范围不低于37mm，微调格值不高于2um；阿贝式聚光镜，N.A.1.25，孔径光栏有对应物镜的倍率标记；多功能插板槽，通过更换插板直接提供明场、暗场、相衬等功能升级；</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10、ECO照明系统：S- LED冷光，亮度连续可调，可实现暖色光源到冷色光源的任意切换， 色温范围不小于3000k至7000k，满足客户各类实验需求；可设置人走灯灭功能：操作者离开超过30分钟后（可设置时间），显微镜主机会自动关闭透射光源，节能开关既节约了能源，又保护了光源的使用寿命。</w:t>
            </w:r>
          </w:p>
        </w:tc>
        <w:tc>
          <w:tcPr>
            <w:tcW w:w="703" w:type="dxa"/>
            <w:tcBorders>
              <w:top w:val="single" w:color="000000" w:sz="4" w:space="0"/>
              <w:left w:val="single" w:color="000000" w:sz="4" w:space="0"/>
              <w:bottom w:val="single" w:color="000000" w:sz="4" w:space="0"/>
              <w:right w:val="single" w:color="000000" w:sz="4" w:space="0"/>
            </w:tcBorders>
            <w:vAlign w:val="center"/>
          </w:tcPr>
          <w:p w14:paraId="4007B806">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40EF865A">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台</w:t>
            </w:r>
          </w:p>
        </w:tc>
      </w:tr>
      <w:tr w14:paraId="6A430383">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01C0D6D7">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19</w:t>
            </w:r>
          </w:p>
        </w:tc>
        <w:tc>
          <w:tcPr>
            <w:tcW w:w="1443" w:type="dxa"/>
            <w:tcBorders>
              <w:top w:val="single" w:color="000000" w:sz="4" w:space="0"/>
              <w:left w:val="single" w:color="000000" w:sz="4" w:space="0"/>
              <w:bottom w:val="single" w:color="000000" w:sz="4" w:space="0"/>
              <w:right w:val="single" w:color="000000" w:sz="4" w:space="0"/>
            </w:tcBorders>
            <w:vAlign w:val="center"/>
          </w:tcPr>
          <w:p w14:paraId="78DEE7DB">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显微镜配套显示终端</w:t>
            </w:r>
          </w:p>
        </w:tc>
        <w:tc>
          <w:tcPr>
            <w:tcW w:w="6750" w:type="dxa"/>
            <w:tcBorders>
              <w:top w:val="single" w:color="000000" w:sz="4" w:space="0"/>
              <w:left w:val="single" w:color="000000" w:sz="4" w:space="0"/>
              <w:bottom w:val="single" w:color="000000" w:sz="4" w:space="0"/>
              <w:right w:val="single" w:color="000000" w:sz="4" w:space="0"/>
            </w:tcBorders>
            <w:noWrap/>
            <w:vAlign w:val="center"/>
          </w:tcPr>
          <w:p w14:paraId="2DB78BD6">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i3处理器，8G运行内存，512固态硬盘</w:t>
            </w:r>
          </w:p>
        </w:tc>
        <w:tc>
          <w:tcPr>
            <w:tcW w:w="703" w:type="dxa"/>
            <w:tcBorders>
              <w:top w:val="single" w:color="000000" w:sz="4" w:space="0"/>
              <w:left w:val="single" w:color="000000" w:sz="4" w:space="0"/>
              <w:bottom w:val="single" w:color="000000" w:sz="4" w:space="0"/>
              <w:right w:val="single" w:color="000000" w:sz="4" w:space="0"/>
            </w:tcBorders>
            <w:vAlign w:val="center"/>
          </w:tcPr>
          <w:p w14:paraId="1C95650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33A819FD">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台</w:t>
            </w:r>
          </w:p>
        </w:tc>
      </w:tr>
      <w:tr w14:paraId="7CA5C2C6">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6148C77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20</w:t>
            </w:r>
          </w:p>
        </w:tc>
        <w:tc>
          <w:tcPr>
            <w:tcW w:w="1443" w:type="dxa"/>
            <w:tcBorders>
              <w:top w:val="single" w:color="000000" w:sz="4" w:space="0"/>
              <w:left w:val="single" w:color="000000" w:sz="4" w:space="0"/>
              <w:bottom w:val="single" w:color="000000" w:sz="4" w:space="0"/>
              <w:right w:val="single" w:color="000000" w:sz="4" w:space="0"/>
            </w:tcBorders>
            <w:vAlign w:val="center"/>
          </w:tcPr>
          <w:p w14:paraId="49B1FF2D">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梯度PCR仪</w:t>
            </w:r>
          </w:p>
        </w:tc>
        <w:tc>
          <w:tcPr>
            <w:tcW w:w="6750" w:type="dxa"/>
            <w:tcBorders>
              <w:top w:val="single" w:color="000000" w:sz="4" w:space="0"/>
              <w:left w:val="single" w:color="000000" w:sz="4" w:space="0"/>
              <w:bottom w:val="single" w:color="000000" w:sz="4" w:space="0"/>
              <w:right w:val="single" w:color="000000" w:sz="4" w:space="0"/>
            </w:tcBorders>
            <w:vAlign w:val="center"/>
          </w:tcPr>
          <w:p w14:paraId="1262D151">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PCR扩增仪又称为PCR基因扩增仪、PCR核酸扩增仪、聚合酶链反应核酸扩增仪，是利用PCR(Polymerase chain reaction，聚合酶链反应)技术对特定DNA扩增的一种仪器设备。利用DNA在体外摄氏95°高温时变性会变成单链，低温（经常是60°C左右）时引物与单链按碱基互补配对的原则结合，再调温度至DNA聚合酶最适反应温度（72°C左右），DNA聚合酶沿着磷酸到五碳糖(5'-3')的方向合成互补链。该仪器能在变性温度，复性温度，延伸温度之间很好地进行控制。用于完成DNA扩增阶段预变性、变性、退火、延伸、保温全过程。常用于教学、科研等使用。</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1.操作系统：LINUX操作系统</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2.样品台容量：0.2ml*50孔</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3.液晶显示：7”高清真彩全触屏，曲线图形实时显示程序</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4.U盘功能：通过U盘下载或上传程序，</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5.语言：中英文双语</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 xml:space="preserve">6.通讯接口：USB2.0 </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7.附加原位功能：有</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8.样品台温度:0oC-100oC</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9.升温速度：4oC/秒</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10.降温速度：4oC/秒</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11.时间递增/递减：1～120秒，可做LongPCR实验</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12.温度递增/递减.0.1～10.0℃,可做TouchdownPCR实验</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13.变温速度可调：有</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14.控温方式：模拟管+样品台</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15.温度点段数：40个，可做多重嵌套循环</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16.最大循环数：100个</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17.样品台温度均匀性：≤±0.2oC(达到设定温度点后30秒)</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18.样品台温度准确性：≤±0.1oC(30oC~100oC)</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19.程序存储数：仪器内可存储20000个程序，通过U盘无限量下载程序</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20.断电保护：有</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21.4oC保温：有</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22.热盖高度：无级可调，压力自适应各种PCR管及载盘</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23</w:t>
            </w:r>
            <w:r>
              <w:rPr>
                <w:rFonts w:hint="eastAsia" w:asciiTheme="minorEastAsia" w:hAnsiTheme="minorEastAsia" w:eastAsiaTheme="minorEastAsia"/>
                <w:color w:val="000000"/>
                <w:kern w:val="0"/>
                <w:sz w:val="24"/>
                <w:lang w:eastAsia="zh-CN" w:bidi="ar"/>
              </w:rPr>
              <w:t>.</w:t>
            </w:r>
            <w:r>
              <w:rPr>
                <w:rFonts w:asciiTheme="minorEastAsia" w:hAnsiTheme="minorEastAsia" w:eastAsiaTheme="minorEastAsia"/>
                <w:color w:val="000000"/>
                <w:kern w:val="0"/>
                <w:sz w:val="24"/>
                <w:lang w:bidi="ar"/>
              </w:rPr>
              <w:t>热盖温度：30℃~105℃可调</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24.热盖自动关闭功能：样品台温度低于30℃时，热盖自动关闭。程序结束时，热盖自动关闭</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25.输入功率：600W</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26.外形尺寸（长*宽*高）：≥30*24*25cm</w:t>
            </w:r>
          </w:p>
        </w:tc>
        <w:tc>
          <w:tcPr>
            <w:tcW w:w="703" w:type="dxa"/>
            <w:tcBorders>
              <w:top w:val="single" w:color="000000" w:sz="4" w:space="0"/>
              <w:left w:val="single" w:color="000000" w:sz="4" w:space="0"/>
              <w:bottom w:val="single" w:color="000000" w:sz="4" w:space="0"/>
              <w:right w:val="single" w:color="000000" w:sz="4" w:space="0"/>
            </w:tcBorders>
            <w:vAlign w:val="center"/>
          </w:tcPr>
          <w:p w14:paraId="3C371F27">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19BB9B95">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台</w:t>
            </w:r>
          </w:p>
        </w:tc>
      </w:tr>
      <w:tr w14:paraId="2428EFDA">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4E2DE0D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21</w:t>
            </w:r>
          </w:p>
        </w:tc>
        <w:tc>
          <w:tcPr>
            <w:tcW w:w="1443" w:type="dxa"/>
            <w:tcBorders>
              <w:top w:val="single" w:color="000000" w:sz="4" w:space="0"/>
              <w:left w:val="single" w:color="000000" w:sz="4" w:space="0"/>
              <w:bottom w:val="single" w:color="000000" w:sz="4" w:space="0"/>
              <w:right w:val="single" w:color="000000" w:sz="4" w:space="0"/>
            </w:tcBorders>
            <w:vAlign w:val="center"/>
          </w:tcPr>
          <w:p w14:paraId="370FA95C">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电泳仪</w:t>
            </w:r>
          </w:p>
        </w:tc>
        <w:tc>
          <w:tcPr>
            <w:tcW w:w="6750" w:type="dxa"/>
            <w:tcBorders>
              <w:top w:val="single" w:color="000000" w:sz="4" w:space="0"/>
              <w:left w:val="single" w:color="000000" w:sz="4" w:space="0"/>
              <w:bottom w:val="single" w:color="000000" w:sz="4" w:space="0"/>
              <w:right w:val="single" w:color="000000" w:sz="4" w:space="0"/>
            </w:tcBorders>
            <w:vAlign w:val="center"/>
          </w:tcPr>
          <w:p w14:paraId="3CE44E6B">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电泳是一种带电分子在电场中向着电性相反的电极移动的现象。利用电泳现象进行物质分离的技术，称电泳技术。电泳仪是实现电泳分析，对不同物质进行定性或定量分析，或将一定混合物进行组分分析或单个组分提取制备的专业仪器设备。一般由电源、电泳槽、检测单元等组成。为分离、鉴定、纯化核酸或蛋白质提供稳定的电流。用于各种水平、小型垂直、洗脱回收等电泳。应用于临床医学的实验室检验或科研实验研究</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一、技术规格</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1.输出类型：恒压、恒流、恒功率输出（连续可调）</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2.输出范围：3～300V、1～400mA、1～120W</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3.分辨率：电压（1V）、电流（1mA）、功率（1W）</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4.定时范围：1分钟～99小时59分钟</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5.显示：带背光的LCD液晶屏（128×64像素）</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6.输出插孔：4（组）</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7.外形尺寸（L×W×H）：≥280×237×118（mm）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8.净重：≥3.1（kg）</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二、性能特点</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1.一次成型机壳，触摸按键，微处理器智能控制</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2.可同时显示预设值和实际输出值</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3.可存储10个常用电泳方法</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4.具有自动记忆、自动关断功能</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5.具有标准、定时运行功能</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6.具有恒压、恒流、恒功率等智能提示功能</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7.具有过载、空载、漏电等多项保护功能</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8.选配功能（断电恢复、防扩散电场功能）</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★提供第三方检测机构出具的校准报告，必须有CMA或CNAS认证，且校准报告内体现直流电压的误差、不确定性、允许误差的检测数据</w:t>
            </w:r>
          </w:p>
        </w:tc>
        <w:tc>
          <w:tcPr>
            <w:tcW w:w="703" w:type="dxa"/>
            <w:tcBorders>
              <w:top w:val="single" w:color="000000" w:sz="4" w:space="0"/>
              <w:left w:val="single" w:color="000000" w:sz="4" w:space="0"/>
              <w:bottom w:val="single" w:color="000000" w:sz="4" w:space="0"/>
              <w:right w:val="single" w:color="000000" w:sz="4" w:space="0"/>
            </w:tcBorders>
            <w:vAlign w:val="center"/>
          </w:tcPr>
          <w:p w14:paraId="6FD48971">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w:t>
            </w:r>
          </w:p>
        </w:tc>
        <w:tc>
          <w:tcPr>
            <w:tcW w:w="637" w:type="dxa"/>
            <w:tcBorders>
              <w:top w:val="single" w:color="000000" w:sz="4" w:space="0"/>
              <w:left w:val="single" w:color="000000" w:sz="4" w:space="0"/>
              <w:bottom w:val="single" w:color="000000" w:sz="4" w:space="0"/>
              <w:right w:val="single" w:color="000000" w:sz="4" w:space="0"/>
            </w:tcBorders>
            <w:vAlign w:val="center"/>
          </w:tcPr>
          <w:p w14:paraId="66A55A5B">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台</w:t>
            </w:r>
          </w:p>
        </w:tc>
      </w:tr>
      <w:tr w14:paraId="1BDD386A">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727655E9">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22</w:t>
            </w:r>
          </w:p>
        </w:tc>
        <w:tc>
          <w:tcPr>
            <w:tcW w:w="1443" w:type="dxa"/>
            <w:tcBorders>
              <w:top w:val="single" w:color="000000" w:sz="4" w:space="0"/>
              <w:left w:val="single" w:color="000000" w:sz="4" w:space="0"/>
              <w:bottom w:val="single" w:color="000000" w:sz="4" w:space="0"/>
              <w:right w:val="single" w:color="000000" w:sz="4" w:space="0"/>
            </w:tcBorders>
            <w:vAlign w:val="center"/>
          </w:tcPr>
          <w:p w14:paraId="25FFFFC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水平电泳槽</w:t>
            </w:r>
          </w:p>
        </w:tc>
        <w:tc>
          <w:tcPr>
            <w:tcW w:w="6750" w:type="dxa"/>
            <w:tcBorders>
              <w:top w:val="single" w:color="000000" w:sz="4" w:space="0"/>
              <w:left w:val="single" w:color="000000" w:sz="4" w:space="0"/>
              <w:bottom w:val="single" w:color="000000" w:sz="4" w:space="0"/>
              <w:right w:val="single" w:color="000000" w:sz="4" w:space="0"/>
            </w:tcBorders>
            <w:vAlign w:val="center"/>
          </w:tcPr>
          <w:p w14:paraId="1379559B">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在水平方向放置的凝胶平板中进行电泳实验，使用琼脂糖凝胶作支持物的电泳设备。可用于鉴定、分离、制备DNA以及测定其分子量。</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一、技术规格</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1.凝胶面积（W×L）：≥48×75（mm）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2.样品通量：（1.0mm厚）3、5、9齿；（1.5mm厚）3、5、9齿</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缓冲液容积：～150（ml）</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3.外形尺寸（L×W×H）：≥250×95×50（mm）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净重：≥0.4（kg）</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二、性能特点</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1.采用进口高透明度PC材料，一次注塑成型</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2.双色上盖可供选择，开盖时自动切断电泳电场，确保操作安全</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3.托盘具有把手设计，保证操作过程的安全</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4.安全开盖按钮设计，方便上盖的开启</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5.托盘具有加样背景色设计，方便加样</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6.配备专用制胶盒</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7.可拆卸电极架，使电极的维修及更换更加方便、快捷、安全</w:t>
            </w:r>
          </w:p>
        </w:tc>
        <w:tc>
          <w:tcPr>
            <w:tcW w:w="703" w:type="dxa"/>
            <w:tcBorders>
              <w:top w:val="single" w:color="000000" w:sz="4" w:space="0"/>
              <w:left w:val="single" w:color="000000" w:sz="4" w:space="0"/>
              <w:bottom w:val="single" w:color="000000" w:sz="4" w:space="0"/>
              <w:right w:val="single" w:color="000000" w:sz="4" w:space="0"/>
            </w:tcBorders>
            <w:vAlign w:val="center"/>
          </w:tcPr>
          <w:p w14:paraId="43C25B2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4</w:t>
            </w:r>
          </w:p>
        </w:tc>
        <w:tc>
          <w:tcPr>
            <w:tcW w:w="637" w:type="dxa"/>
            <w:tcBorders>
              <w:top w:val="single" w:color="000000" w:sz="4" w:space="0"/>
              <w:left w:val="single" w:color="000000" w:sz="4" w:space="0"/>
              <w:bottom w:val="single" w:color="000000" w:sz="4" w:space="0"/>
              <w:right w:val="single" w:color="000000" w:sz="4" w:space="0"/>
            </w:tcBorders>
            <w:vAlign w:val="center"/>
          </w:tcPr>
          <w:p w14:paraId="7D107301">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台</w:t>
            </w:r>
          </w:p>
        </w:tc>
      </w:tr>
      <w:tr w14:paraId="7F78EAE5">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01D5D38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23</w:t>
            </w:r>
          </w:p>
        </w:tc>
        <w:tc>
          <w:tcPr>
            <w:tcW w:w="1443" w:type="dxa"/>
            <w:tcBorders>
              <w:top w:val="single" w:color="000000" w:sz="4" w:space="0"/>
              <w:left w:val="single" w:color="000000" w:sz="4" w:space="0"/>
              <w:bottom w:val="single" w:color="000000" w:sz="4" w:space="0"/>
              <w:right w:val="single" w:color="000000" w:sz="4" w:space="0"/>
            </w:tcBorders>
            <w:vAlign w:val="center"/>
          </w:tcPr>
          <w:p w14:paraId="6A285A5A">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DNA图谱观察仪</w:t>
            </w:r>
          </w:p>
        </w:tc>
        <w:tc>
          <w:tcPr>
            <w:tcW w:w="6750" w:type="dxa"/>
            <w:tcBorders>
              <w:top w:val="single" w:color="000000" w:sz="4" w:space="0"/>
              <w:left w:val="single" w:color="000000" w:sz="4" w:space="0"/>
              <w:bottom w:val="single" w:color="000000" w:sz="4" w:space="0"/>
              <w:right w:val="single" w:color="000000" w:sz="4" w:space="0"/>
            </w:tcBorders>
            <w:vAlign w:val="center"/>
          </w:tcPr>
          <w:p w14:paraId="5E4FA61A">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图谱观察仪是核酸凝胶电泳结果观测的专用仪器设备。目前较为常用的DNA电泳结果观察方法，是通过溴化乙锭（Ethidium bromide , EB）染色，在紫外线激发下，发出荧光橙红色信号。但此种方法中的紫外线和EB都会对人体产生危害，本产品采用可见光源，用安全、环保的荧光物质代替EB做染料，通过观察窗口的黄色透明玻璃滤掉蓝色背景光，即可观察电泳后分离的DNA条带。操作简便、安全，更适合中学实验教学使用。</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一、技术规格</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1.光源：LED4×11个发光灯管，其发光光谱的波峰为468nm±3nm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2.观察窗：黄色透明玻璃，在波长为542nm±3nm处可滤掉50%光线</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3.观察面积：≥120×120（mm）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4.电源：220V±10%50Hz±2%</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5.输出电压：5V2A</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6.保险管：5A（Φ5×20）</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7.外形尺寸（L×W×H）：≥300×200×120（mm）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8.净重：≥2.0（kg）</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二、性能特点</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目前较为常用的DNA电泳结果观察方法，是通过溴化乙锭（Ethidiumbromide,EB）染色，在紫外线激发下，发出荧光橙红色信号。但此种方法中的紫外线和EB都会对人体产生危害，故本产品采用可见光源，用安全、环保的荧光物质代替EB做染料，通过观察窗口的黄色透明玻璃滤掉蓝色背景光，即可观察电泳后分离的DNA条带</w:t>
            </w:r>
          </w:p>
        </w:tc>
        <w:tc>
          <w:tcPr>
            <w:tcW w:w="703" w:type="dxa"/>
            <w:tcBorders>
              <w:top w:val="single" w:color="000000" w:sz="4" w:space="0"/>
              <w:left w:val="single" w:color="000000" w:sz="4" w:space="0"/>
              <w:bottom w:val="single" w:color="000000" w:sz="4" w:space="0"/>
              <w:right w:val="single" w:color="000000" w:sz="4" w:space="0"/>
            </w:tcBorders>
            <w:vAlign w:val="center"/>
          </w:tcPr>
          <w:p w14:paraId="3D81B11D">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w:t>
            </w:r>
          </w:p>
        </w:tc>
        <w:tc>
          <w:tcPr>
            <w:tcW w:w="637" w:type="dxa"/>
            <w:tcBorders>
              <w:top w:val="single" w:color="000000" w:sz="4" w:space="0"/>
              <w:left w:val="single" w:color="000000" w:sz="4" w:space="0"/>
              <w:bottom w:val="single" w:color="000000" w:sz="4" w:space="0"/>
              <w:right w:val="single" w:color="000000" w:sz="4" w:space="0"/>
            </w:tcBorders>
            <w:vAlign w:val="center"/>
          </w:tcPr>
          <w:p w14:paraId="081B9316">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台</w:t>
            </w:r>
          </w:p>
        </w:tc>
      </w:tr>
      <w:tr w14:paraId="3977D383">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2E6C0C38">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24</w:t>
            </w:r>
          </w:p>
        </w:tc>
        <w:tc>
          <w:tcPr>
            <w:tcW w:w="1443" w:type="dxa"/>
            <w:tcBorders>
              <w:top w:val="single" w:color="000000" w:sz="4" w:space="0"/>
              <w:left w:val="single" w:color="000000" w:sz="4" w:space="0"/>
              <w:bottom w:val="single" w:color="000000" w:sz="4" w:space="0"/>
              <w:right w:val="single" w:color="000000" w:sz="4" w:space="0"/>
            </w:tcBorders>
            <w:vAlign w:val="center"/>
          </w:tcPr>
          <w:p w14:paraId="3F44C27E">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低速离心机</w:t>
            </w:r>
          </w:p>
        </w:tc>
        <w:tc>
          <w:tcPr>
            <w:tcW w:w="6750" w:type="dxa"/>
            <w:tcBorders>
              <w:top w:val="single" w:color="000000" w:sz="4" w:space="0"/>
              <w:left w:val="single" w:color="000000" w:sz="4" w:space="0"/>
              <w:bottom w:val="single" w:color="000000" w:sz="4" w:space="0"/>
              <w:right w:val="single" w:color="000000" w:sz="4" w:space="0"/>
            </w:tcBorders>
            <w:vAlign w:val="center"/>
          </w:tcPr>
          <w:p w14:paraId="72CA93C4">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离心机是利用离心沉降原理，使溶液中密度不同的细胞（粒子）实现分离、浓缩或提纯。低速离心机具有体积小、噪音低、温升小、使用效率高、安全、可靠等优点，适用于样品量少、分离步骤多的实验分析工作。可在环境温度5-40℃，相对湿度不超过80%，周围无导电尘埃、爆炸性气体和腐蚀性气体的条件下安全使用。该产品广泛适用于生化分析，放射免疫，环境保护等科研实验室和生产单位对不同密度粒子的分离。</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1.液晶显示,触摸式按键调节;直流无刷电机免维护；</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2.电子门锁、钢制机身,不锈钢离心腔,耐腐蚀、易清洁</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3.具有超速、超温、门盖、不平衡等保护功能,确保安全</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4.专有的气流导向设计,温升不超过5度,有效保护样品</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5.特有的SCT转速控制技术,升降速快而平稳,在最高转速时可实现15秒平稳停机</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6.主机最高速度转速：5000r/min</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7.最大相对离心力：4020×g</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8.最大容量：24×10ml</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9.转速精度：±50r/min</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10.定时范围：0-99min</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11.电源：220V 50Hz 8A</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12.整机噪声：≤60dB</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13.外形尺寸：≥340×400×270mm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14.重量：≥25kg</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15.角转子：12*10ml</w:t>
            </w:r>
          </w:p>
        </w:tc>
        <w:tc>
          <w:tcPr>
            <w:tcW w:w="703" w:type="dxa"/>
            <w:tcBorders>
              <w:top w:val="single" w:color="000000" w:sz="4" w:space="0"/>
              <w:left w:val="single" w:color="000000" w:sz="4" w:space="0"/>
              <w:bottom w:val="single" w:color="000000" w:sz="4" w:space="0"/>
              <w:right w:val="single" w:color="000000" w:sz="4" w:space="0"/>
            </w:tcBorders>
            <w:vAlign w:val="center"/>
          </w:tcPr>
          <w:p w14:paraId="70C52C5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5EB47CA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台</w:t>
            </w:r>
          </w:p>
        </w:tc>
      </w:tr>
      <w:tr w14:paraId="592E98AE">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C6B0">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25</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60B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格栅吊顶</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EFBE6">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70*30木纹铝方通</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9397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98</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DAA3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w:t>
            </w:r>
          </w:p>
        </w:tc>
      </w:tr>
      <w:tr w14:paraId="67814F53">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50DD">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26</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EA3E">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天棚喷刷涂料</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88F3F">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1、原顶</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2、喷漆一遍</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067A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98</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DB7F0">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w:t>
            </w:r>
          </w:p>
        </w:tc>
      </w:tr>
      <w:tr w14:paraId="4AF984FB">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CF8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27</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2D85">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文化窗帘</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7CE1E">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UV打印窗帘含安装、辅料</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5E86A">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B57C9">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w:t>
            </w:r>
          </w:p>
        </w:tc>
      </w:tr>
      <w:tr w14:paraId="1560987C">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D5D5">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28</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436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墙面工程</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B85B9">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1、批腻子二遍</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2、乳胶漆三遍</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3、定制墙布</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79D2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98</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6DE40">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w:t>
            </w:r>
          </w:p>
        </w:tc>
      </w:tr>
      <w:tr w14:paraId="4588139C">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7656">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29</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083C">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木质踢脚线</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57F4A">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1、成品实木复合踢脚线</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2、H60</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EED0B">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40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D595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m</w:t>
            </w:r>
          </w:p>
        </w:tc>
      </w:tr>
      <w:tr w14:paraId="304B0825">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4FF8">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30</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EF1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水电工程</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46DAC">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1、优质PVC阻燃管</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2、UPVC50排污管、PPR25给水管</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E124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98</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D4D7D">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w:t>
            </w:r>
          </w:p>
        </w:tc>
      </w:tr>
      <w:tr w14:paraId="3B9F1501">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6256">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31</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00EC">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地面工程</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85DEF">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1、自流平水泥</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2、2.0厚同质透芯地胶板</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CB2B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98</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DF5E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w:t>
            </w:r>
          </w:p>
        </w:tc>
      </w:tr>
      <w:tr w14:paraId="2FF40176">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E048">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32</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3D76">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旧物拆除</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6D957">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1、旧桌椅拆除</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2、垃圾清运</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B39B6">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98</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D5A60">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w:t>
            </w:r>
          </w:p>
        </w:tc>
      </w:tr>
      <w:tr w14:paraId="6A05ADF6">
        <w:tblPrEx>
          <w:tblCellMar>
            <w:top w:w="0" w:type="dxa"/>
            <w:left w:w="108" w:type="dxa"/>
            <w:bottom w:w="0" w:type="dxa"/>
            <w:right w:w="108" w:type="dxa"/>
          </w:tblCellMar>
        </w:tblPrEx>
        <w:trPr>
          <w:trHeight w:val="330" w:hRule="atLeast"/>
          <w:jc w:val="center"/>
        </w:trPr>
        <w:tc>
          <w:tcPr>
            <w:tcW w:w="10170" w:type="dxa"/>
            <w:gridSpan w:val="5"/>
            <w:tcBorders>
              <w:top w:val="single" w:color="000000" w:sz="4" w:space="0"/>
              <w:left w:val="single" w:color="000000" w:sz="4" w:space="0"/>
              <w:bottom w:val="single" w:color="000000" w:sz="4" w:space="0"/>
              <w:right w:val="single" w:color="000000" w:sz="4" w:space="0"/>
            </w:tcBorders>
            <w:noWrap/>
            <w:vAlign w:val="center"/>
          </w:tcPr>
          <w:p w14:paraId="17E750A2">
            <w:pPr>
              <w:widowControl/>
              <w:spacing w:line="320" w:lineRule="exact"/>
              <w:jc w:val="center"/>
              <w:textAlignment w:val="center"/>
              <w:rPr>
                <w:rFonts w:asciiTheme="minorEastAsia" w:hAnsiTheme="minorEastAsia" w:eastAsiaTheme="minorEastAsia"/>
                <w:b/>
                <w:bCs/>
                <w:color w:val="000000"/>
                <w:sz w:val="24"/>
              </w:rPr>
            </w:pPr>
            <w:r>
              <w:rPr>
                <w:rFonts w:asciiTheme="minorEastAsia" w:hAnsiTheme="minorEastAsia" w:eastAsiaTheme="minorEastAsia"/>
                <w:b/>
                <w:bCs/>
                <w:color w:val="000000"/>
                <w:kern w:val="0"/>
                <w:sz w:val="24"/>
                <w:lang w:bidi="ar"/>
              </w:rPr>
              <w:t>生物组培、微生物实验室</w:t>
            </w:r>
          </w:p>
        </w:tc>
      </w:tr>
      <w:tr w14:paraId="6AA0F3A9">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079A09A5">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1443" w:type="dxa"/>
            <w:tcBorders>
              <w:top w:val="single" w:color="000000" w:sz="4" w:space="0"/>
              <w:left w:val="single" w:color="000000" w:sz="4" w:space="0"/>
              <w:bottom w:val="single" w:color="000000" w:sz="4" w:space="0"/>
              <w:right w:val="single" w:color="000000" w:sz="4" w:space="0"/>
            </w:tcBorders>
            <w:vAlign w:val="center"/>
          </w:tcPr>
          <w:p w14:paraId="4D9B9797">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中央实验台</w:t>
            </w:r>
          </w:p>
        </w:tc>
        <w:tc>
          <w:tcPr>
            <w:tcW w:w="6750" w:type="dxa"/>
            <w:tcBorders>
              <w:top w:val="single" w:color="000000" w:sz="4" w:space="0"/>
              <w:left w:val="single" w:color="000000" w:sz="4" w:space="0"/>
              <w:bottom w:val="single" w:color="000000" w:sz="4" w:space="0"/>
              <w:right w:val="single" w:color="000000" w:sz="4" w:space="0"/>
            </w:tcBorders>
            <w:vAlign w:val="center"/>
          </w:tcPr>
          <w:p w14:paraId="067BE9B1">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1.规格：≥3000mm×1200mm×850mm.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台面：采用12.7mm厚双面理化膜实芯理化板。倒圆边，经机械打磨，表面光滑平整，无缝隙，整体美观大方。具有耐强酸碱、防腐蚀、防静电、耐辐射、耐磨、抗污染、易清洁、耐冲击、耐高温、防水、防火等特点。台面颜色：学校自由选择。</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框架：采用符合国家标准的立柱为圆管铝合金，截面直径不小于50mm，外层壁厚不小于1.0㎜。横档1.0mm厚方形铝合金，管外件经细纹加工，美观、大方；型材表面经高压静电喷涂环氧树脂防护层，耐酸碱耐腐蚀处理，其保护层附着力经落物撞击测试合格。连接件采用ABS材料模具成型制作，组装接缝严密，连接牢固，无松动现象。</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4.桌身内衬板：采用优质三聚氰胺防潮双贴面板，(基板为E1级环保板)，板材所有截面优质PVC机器封边，粘力强、密封性好、外形美观、经久耐用。组装接缝严密，连接牢固，无松动现象。</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5.采用ABS工程塑料模具成型制作而成，具有高度可调、耐磨、防潮、耐腐蚀等特点。</w:t>
            </w:r>
          </w:p>
        </w:tc>
        <w:tc>
          <w:tcPr>
            <w:tcW w:w="703" w:type="dxa"/>
            <w:tcBorders>
              <w:top w:val="single" w:color="000000" w:sz="4" w:space="0"/>
              <w:left w:val="single" w:color="000000" w:sz="4" w:space="0"/>
              <w:bottom w:val="single" w:color="000000" w:sz="4" w:space="0"/>
              <w:right w:val="single" w:color="000000" w:sz="4" w:space="0"/>
            </w:tcBorders>
            <w:vAlign w:val="center"/>
          </w:tcPr>
          <w:p w14:paraId="1B9DF8C6">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w:t>
            </w:r>
          </w:p>
        </w:tc>
        <w:tc>
          <w:tcPr>
            <w:tcW w:w="637" w:type="dxa"/>
            <w:tcBorders>
              <w:top w:val="single" w:color="000000" w:sz="4" w:space="0"/>
              <w:left w:val="single" w:color="000000" w:sz="4" w:space="0"/>
              <w:bottom w:val="single" w:color="000000" w:sz="4" w:space="0"/>
              <w:right w:val="single" w:color="000000" w:sz="4" w:space="0"/>
            </w:tcBorders>
            <w:vAlign w:val="center"/>
          </w:tcPr>
          <w:p w14:paraId="49488816">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套</w:t>
            </w:r>
          </w:p>
        </w:tc>
      </w:tr>
      <w:tr w14:paraId="02B4E729">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5FA8CC65">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w:t>
            </w:r>
          </w:p>
        </w:tc>
        <w:tc>
          <w:tcPr>
            <w:tcW w:w="1443" w:type="dxa"/>
            <w:tcBorders>
              <w:top w:val="single" w:color="000000" w:sz="4" w:space="0"/>
              <w:left w:val="single" w:color="000000" w:sz="4" w:space="0"/>
              <w:bottom w:val="single" w:color="000000" w:sz="4" w:space="0"/>
              <w:right w:val="single" w:color="000000" w:sz="4" w:space="0"/>
            </w:tcBorders>
            <w:vAlign w:val="center"/>
          </w:tcPr>
          <w:p w14:paraId="0ED1C538">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边台</w:t>
            </w:r>
          </w:p>
        </w:tc>
        <w:tc>
          <w:tcPr>
            <w:tcW w:w="6750" w:type="dxa"/>
            <w:tcBorders>
              <w:top w:val="single" w:color="000000" w:sz="4" w:space="0"/>
              <w:left w:val="single" w:color="000000" w:sz="4" w:space="0"/>
              <w:bottom w:val="single" w:color="000000" w:sz="4" w:space="0"/>
              <w:right w:val="single" w:color="000000" w:sz="4" w:space="0"/>
            </w:tcBorders>
            <w:vAlign w:val="center"/>
          </w:tcPr>
          <w:p w14:paraId="5E7BC9ED">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1.规格：≥4800mm×600mm×760mm.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2.台面材料：12.7mm理化板</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柜体：采用0.8-1.0mm优质冷轧钢板，采用二氧化碳保护焊焊接，边缘打磨处理；表面经环氧树脂粉静电喷涂高温固化处理，具备较强的耐酸碱防护能力，整体讲台由多个独立的柜体组合而成，柜体可预留水槽安装位置；中间柜体均为双开门，优化物品摆放空间。</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4.拉手：在柜门或抽屉正面上方处一体折弯而成，外观整体流畅，造型独特美观；</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5.防撞胶垫：装于抽屉及门板内侧，减缓碰撞，保护柜体；</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6.铰链：采用名牌优质缓冲耐腐蚀铰链，开合十万次不变形。</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7.滑轨：三节重型滚珠滑轨，承重性强，滑动性能良好，无噪音；</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8.固定桌脚：采用柜体内置可调PP塑料调整脚，保证调整脚前后都可以调节高低；</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8套插座均匀布置；带水槽三联水嘴2套</w:t>
            </w:r>
          </w:p>
        </w:tc>
        <w:tc>
          <w:tcPr>
            <w:tcW w:w="703" w:type="dxa"/>
            <w:tcBorders>
              <w:top w:val="single" w:color="000000" w:sz="4" w:space="0"/>
              <w:left w:val="single" w:color="000000" w:sz="4" w:space="0"/>
              <w:bottom w:val="single" w:color="000000" w:sz="4" w:space="0"/>
              <w:right w:val="single" w:color="000000" w:sz="4" w:space="0"/>
            </w:tcBorders>
            <w:vAlign w:val="center"/>
          </w:tcPr>
          <w:p w14:paraId="3CAB94ED">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4773FA49">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套</w:t>
            </w:r>
          </w:p>
        </w:tc>
      </w:tr>
      <w:tr w14:paraId="1908D4C7">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4CF0AEBD">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3</w:t>
            </w:r>
          </w:p>
        </w:tc>
        <w:tc>
          <w:tcPr>
            <w:tcW w:w="1443" w:type="dxa"/>
            <w:tcBorders>
              <w:top w:val="single" w:color="000000" w:sz="4" w:space="0"/>
              <w:left w:val="single" w:color="000000" w:sz="4" w:space="0"/>
              <w:bottom w:val="single" w:color="000000" w:sz="4" w:space="0"/>
              <w:right w:val="single" w:color="000000" w:sz="4" w:space="0"/>
            </w:tcBorders>
            <w:vAlign w:val="center"/>
          </w:tcPr>
          <w:p w14:paraId="3AF38C9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学生凳</w:t>
            </w:r>
          </w:p>
        </w:tc>
        <w:tc>
          <w:tcPr>
            <w:tcW w:w="6750" w:type="dxa"/>
            <w:tcBorders>
              <w:top w:val="single" w:color="000000" w:sz="4" w:space="0"/>
              <w:left w:val="single" w:color="000000" w:sz="4" w:space="0"/>
              <w:bottom w:val="single" w:color="000000" w:sz="4" w:space="0"/>
              <w:right w:val="single" w:color="000000" w:sz="4" w:space="0"/>
            </w:tcBorders>
            <w:vAlign w:val="center"/>
          </w:tcPr>
          <w:p w14:paraId="27140C82">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1、凳面：≥直径300mm×30mm 采用环保型PP改性塑料一次性注塑成型 ，表面细纹咬花，防滑不发光。</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2、凳架：采用20×40×1.2mm椭圆形无缝钢管成型制作，全圆满焊接完成，结构牢固，经高温粉体烤漆处理，长时间使用也不会产生表面烤漆剥落现象。</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3、升降螺杆：采用内置螺杆式螺旋升降，凳面升高后看不到螺杆不摇晃更美观,高度范围430-490mm.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4、托盘采用165*165*1.8MM钢板冲压而成，托盘与螺杆之间设有一个锥形盘加固，使凳子更加稳固。</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5、脚垫：采用PP加耐磨纤维质塑料注塑成型，有效降低凳子拖动产生的刺耳噪音。</w:t>
            </w:r>
          </w:p>
        </w:tc>
        <w:tc>
          <w:tcPr>
            <w:tcW w:w="703" w:type="dxa"/>
            <w:tcBorders>
              <w:top w:val="single" w:color="000000" w:sz="4" w:space="0"/>
              <w:left w:val="single" w:color="000000" w:sz="4" w:space="0"/>
              <w:bottom w:val="single" w:color="000000" w:sz="4" w:space="0"/>
              <w:right w:val="single" w:color="000000" w:sz="4" w:space="0"/>
            </w:tcBorders>
            <w:vAlign w:val="center"/>
          </w:tcPr>
          <w:p w14:paraId="46353755">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38</w:t>
            </w:r>
          </w:p>
        </w:tc>
        <w:tc>
          <w:tcPr>
            <w:tcW w:w="637" w:type="dxa"/>
            <w:tcBorders>
              <w:top w:val="single" w:color="000000" w:sz="4" w:space="0"/>
              <w:left w:val="single" w:color="000000" w:sz="4" w:space="0"/>
              <w:bottom w:val="single" w:color="000000" w:sz="4" w:space="0"/>
              <w:right w:val="single" w:color="000000" w:sz="4" w:space="0"/>
            </w:tcBorders>
            <w:vAlign w:val="center"/>
          </w:tcPr>
          <w:p w14:paraId="717659B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张</w:t>
            </w:r>
          </w:p>
        </w:tc>
      </w:tr>
      <w:tr w14:paraId="60205292">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32DA4DF0">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4</w:t>
            </w:r>
          </w:p>
        </w:tc>
        <w:tc>
          <w:tcPr>
            <w:tcW w:w="1443" w:type="dxa"/>
            <w:tcBorders>
              <w:top w:val="single" w:color="000000" w:sz="4" w:space="0"/>
              <w:left w:val="single" w:color="000000" w:sz="4" w:space="0"/>
              <w:bottom w:val="single" w:color="000000" w:sz="4" w:space="0"/>
              <w:right w:val="single" w:color="000000" w:sz="4" w:space="0"/>
            </w:tcBorders>
            <w:vAlign w:val="center"/>
          </w:tcPr>
          <w:p w14:paraId="58070A5A">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衣帽柜</w:t>
            </w:r>
          </w:p>
        </w:tc>
        <w:tc>
          <w:tcPr>
            <w:tcW w:w="6750" w:type="dxa"/>
            <w:tcBorders>
              <w:top w:val="single" w:color="000000" w:sz="4" w:space="0"/>
              <w:left w:val="single" w:color="000000" w:sz="4" w:space="0"/>
              <w:bottom w:val="single" w:color="000000" w:sz="4" w:space="0"/>
              <w:right w:val="single" w:color="000000" w:sz="4" w:space="0"/>
            </w:tcBorders>
            <w:vAlign w:val="center"/>
          </w:tcPr>
          <w:p w14:paraId="5D7F335B">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铝木结构</w:t>
            </w:r>
          </w:p>
        </w:tc>
        <w:tc>
          <w:tcPr>
            <w:tcW w:w="703" w:type="dxa"/>
            <w:tcBorders>
              <w:top w:val="single" w:color="000000" w:sz="4" w:space="0"/>
              <w:left w:val="single" w:color="000000" w:sz="4" w:space="0"/>
              <w:bottom w:val="single" w:color="000000" w:sz="4" w:space="0"/>
              <w:right w:val="single" w:color="000000" w:sz="4" w:space="0"/>
            </w:tcBorders>
            <w:vAlign w:val="center"/>
          </w:tcPr>
          <w:p w14:paraId="79F1032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46B3E3A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个</w:t>
            </w:r>
          </w:p>
        </w:tc>
      </w:tr>
      <w:tr w14:paraId="5A57F4C7">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004CCDAA">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5</w:t>
            </w:r>
          </w:p>
        </w:tc>
        <w:tc>
          <w:tcPr>
            <w:tcW w:w="1443" w:type="dxa"/>
            <w:tcBorders>
              <w:top w:val="single" w:color="000000" w:sz="4" w:space="0"/>
              <w:left w:val="single" w:color="000000" w:sz="4" w:space="0"/>
              <w:bottom w:val="single" w:color="000000" w:sz="4" w:space="0"/>
              <w:right w:val="single" w:color="000000" w:sz="4" w:space="0"/>
            </w:tcBorders>
            <w:vAlign w:val="center"/>
          </w:tcPr>
          <w:p w14:paraId="39B9814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仪器柜</w:t>
            </w:r>
          </w:p>
        </w:tc>
        <w:tc>
          <w:tcPr>
            <w:tcW w:w="6750" w:type="dxa"/>
            <w:tcBorders>
              <w:top w:val="single" w:color="000000" w:sz="4" w:space="0"/>
              <w:left w:val="single" w:color="000000" w:sz="4" w:space="0"/>
              <w:bottom w:val="single" w:color="000000" w:sz="4" w:space="0"/>
              <w:right w:val="single" w:color="000000" w:sz="4" w:space="0"/>
            </w:tcBorders>
            <w:vAlign w:val="center"/>
          </w:tcPr>
          <w:p w14:paraId="1AC4977D">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1.规格：≥1000×500×2000mm。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2.柜体框架：采用模具成型的专用铝合金方管制作，铝合金之间的连接采用ABS实芯连接件，保证连接牢固。铝合金型材表面需经静电粉沫喷涂处理，整体耐腐蚀、防火、防潮、稳固耐用。</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3.柜体衬板：厚度16mm三聚氰胺贴面刨花板。</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4.柜门：上部为专用木框对开玻璃门，下部为对开木门，不锈钢拉手。</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5.隔板：上柜设置2块隔板，下柜设置1块固定隔板。隔板所用的板材与柜体板材相同，厚度不小于16mm。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6.支脚：采用ABS工程塑料一次注塑成型的脚垫。</w:t>
            </w:r>
          </w:p>
        </w:tc>
        <w:tc>
          <w:tcPr>
            <w:tcW w:w="703" w:type="dxa"/>
            <w:tcBorders>
              <w:top w:val="single" w:color="000000" w:sz="4" w:space="0"/>
              <w:left w:val="single" w:color="000000" w:sz="4" w:space="0"/>
              <w:bottom w:val="single" w:color="000000" w:sz="4" w:space="0"/>
              <w:right w:val="single" w:color="000000" w:sz="4" w:space="0"/>
            </w:tcBorders>
            <w:vAlign w:val="center"/>
          </w:tcPr>
          <w:p w14:paraId="514FABD6">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6A1378CA">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套</w:t>
            </w:r>
          </w:p>
        </w:tc>
      </w:tr>
      <w:tr w14:paraId="0EE8F531">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67D4A15C">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6</w:t>
            </w:r>
          </w:p>
        </w:tc>
        <w:tc>
          <w:tcPr>
            <w:tcW w:w="1443" w:type="dxa"/>
            <w:tcBorders>
              <w:top w:val="single" w:color="000000" w:sz="4" w:space="0"/>
              <w:left w:val="single" w:color="000000" w:sz="4" w:space="0"/>
              <w:bottom w:val="single" w:color="000000" w:sz="4" w:space="0"/>
              <w:right w:val="single" w:color="000000" w:sz="4" w:space="0"/>
            </w:tcBorders>
            <w:vAlign w:val="center"/>
          </w:tcPr>
          <w:p w14:paraId="461EEAB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传递窗</w:t>
            </w:r>
          </w:p>
        </w:tc>
        <w:tc>
          <w:tcPr>
            <w:tcW w:w="6750" w:type="dxa"/>
            <w:tcBorders>
              <w:top w:val="single" w:color="000000" w:sz="4" w:space="0"/>
              <w:left w:val="single" w:color="000000" w:sz="4" w:space="0"/>
              <w:bottom w:val="single" w:color="000000" w:sz="4" w:space="0"/>
              <w:right w:val="single" w:color="000000" w:sz="4" w:space="0"/>
            </w:tcBorders>
            <w:vAlign w:val="center"/>
          </w:tcPr>
          <w:p w14:paraId="7E93D178">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外≥600mm，304嵌入式中空玻璃传递窗（微电脑互锁）</w:t>
            </w:r>
          </w:p>
        </w:tc>
        <w:tc>
          <w:tcPr>
            <w:tcW w:w="703" w:type="dxa"/>
            <w:tcBorders>
              <w:top w:val="single" w:color="000000" w:sz="4" w:space="0"/>
              <w:left w:val="single" w:color="000000" w:sz="4" w:space="0"/>
              <w:bottom w:val="single" w:color="000000" w:sz="4" w:space="0"/>
              <w:right w:val="single" w:color="000000" w:sz="4" w:space="0"/>
            </w:tcBorders>
            <w:vAlign w:val="center"/>
          </w:tcPr>
          <w:p w14:paraId="781F6175">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47FCC026">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套</w:t>
            </w:r>
          </w:p>
        </w:tc>
      </w:tr>
      <w:tr w14:paraId="6F892401">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5152D299">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7</w:t>
            </w:r>
          </w:p>
        </w:tc>
        <w:tc>
          <w:tcPr>
            <w:tcW w:w="1443" w:type="dxa"/>
            <w:tcBorders>
              <w:top w:val="single" w:color="000000" w:sz="4" w:space="0"/>
              <w:left w:val="single" w:color="000000" w:sz="4" w:space="0"/>
              <w:bottom w:val="single" w:color="000000" w:sz="4" w:space="0"/>
              <w:right w:val="single" w:color="000000" w:sz="4" w:space="0"/>
            </w:tcBorders>
            <w:vAlign w:val="center"/>
          </w:tcPr>
          <w:p w14:paraId="37B2C1F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净化门</w:t>
            </w:r>
          </w:p>
        </w:tc>
        <w:tc>
          <w:tcPr>
            <w:tcW w:w="6750" w:type="dxa"/>
            <w:tcBorders>
              <w:top w:val="single" w:color="000000" w:sz="4" w:space="0"/>
              <w:left w:val="single" w:color="000000" w:sz="4" w:space="0"/>
              <w:bottom w:val="single" w:color="000000" w:sz="4" w:space="0"/>
              <w:right w:val="single" w:color="000000" w:sz="4" w:space="0"/>
            </w:tcBorders>
            <w:vAlign w:val="center"/>
          </w:tcPr>
          <w:p w14:paraId="58A8E461">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根据现场尺寸定制</w:t>
            </w:r>
          </w:p>
        </w:tc>
        <w:tc>
          <w:tcPr>
            <w:tcW w:w="703" w:type="dxa"/>
            <w:tcBorders>
              <w:top w:val="single" w:color="000000" w:sz="4" w:space="0"/>
              <w:left w:val="single" w:color="000000" w:sz="4" w:space="0"/>
              <w:bottom w:val="single" w:color="000000" w:sz="4" w:space="0"/>
              <w:right w:val="single" w:color="000000" w:sz="4" w:space="0"/>
            </w:tcBorders>
            <w:vAlign w:val="center"/>
          </w:tcPr>
          <w:p w14:paraId="17FA2CE0">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3</w:t>
            </w:r>
          </w:p>
        </w:tc>
        <w:tc>
          <w:tcPr>
            <w:tcW w:w="637" w:type="dxa"/>
            <w:tcBorders>
              <w:top w:val="single" w:color="000000" w:sz="4" w:space="0"/>
              <w:left w:val="single" w:color="000000" w:sz="4" w:space="0"/>
              <w:bottom w:val="single" w:color="000000" w:sz="4" w:space="0"/>
              <w:right w:val="single" w:color="000000" w:sz="4" w:space="0"/>
            </w:tcBorders>
            <w:vAlign w:val="center"/>
          </w:tcPr>
          <w:p w14:paraId="7724D26D">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扇</w:t>
            </w:r>
          </w:p>
        </w:tc>
      </w:tr>
      <w:tr w14:paraId="7B5831E9">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4D48C458">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8</w:t>
            </w:r>
          </w:p>
        </w:tc>
        <w:tc>
          <w:tcPr>
            <w:tcW w:w="1443" w:type="dxa"/>
            <w:tcBorders>
              <w:top w:val="single" w:color="000000" w:sz="4" w:space="0"/>
              <w:left w:val="single" w:color="000000" w:sz="4" w:space="0"/>
              <w:bottom w:val="single" w:color="000000" w:sz="4" w:space="0"/>
              <w:right w:val="single" w:color="000000" w:sz="4" w:space="0"/>
            </w:tcBorders>
            <w:vAlign w:val="center"/>
          </w:tcPr>
          <w:p w14:paraId="5B447B6B">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净化灯</w:t>
            </w:r>
          </w:p>
        </w:tc>
        <w:tc>
          <w:tcPr>
            <w:tcW w:w="6750" w:type="dxa"/>
            <w:tcBorders>
              <w:top w:val="single" w:color="000000" w:sz="4" w:space="0"/>
              <w:left w:val="single" w:color="000000" w:sz="4" w:space="0"/>
              <w:bottom w:val="single" w:color="000000" w:sz="4" w:space="0"/>
              <w:right w:val="single" w:color="000000" w:sz="4" w:space="0"/>
            </w:tcBorders>
            <w:vAlign w:val="center"/>
          </w:tcPr>
          <w:p w14:paraId="2944D819">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超薄型LED平板净化灯，≥48W</w:t>
            </w:r>
          </w:p>
        </w:tc>
        <w:tc>
          <w:tcPr>
            <w:tcW w:w="703" w:type="dxa"/>
            <w:tcBorders>
              <w:top w:val="single" w:color="000000" w:sz="4" w:space="0"/>
              <w:left w:val="single" w:color="000000" w:sz="4" w:space="0"/>
              <w:bottom w:val="single" w:color="000000" w:sz="4" w:space="0"/>
              <w:right w:val="single" w:color="000000" w:sz="4" w:space="0"/>
            </w:tcBorders>
            <w:vAlign w:val="center"/>
          </w:tcPr>
          <w:p w14:paraId="4890FBAE">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18</w:t>
            </w:r>
          </w:p>
        </w:tc>
        <w:tc>
          <w:tcPr>
            <w:tcW w:w="637" w:type="dxa"/>
            <w:tcBorders>
              <w:top w:val="single" w:color="000000" w:sz="4" w:space="0"/>
              <w:left w:val="single" w:color="000000" w:sz="4" w:space="0"/>
              <w:bottom w:val="single" w:color="000000" w:sz="4" w:space="0"/>
              <w:right w:val="single" w:color="000000" w:sz="4" w:space="0"/>
            </w:tcBorders>
            <w:vAlign w:val="center"/>
          </w:tcPr>
          <w:p w14:paraId="4A46A910">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套</w:t>
            </w:r>
          </w:p>
        </w:tc>
      </w:tr>
      <w:tr w14:paraId="53E2227A">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17194BA5">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9</w:t>
            </w:r>
          </w:p>
        </w:tc>
        <w:tc>
          <w:tcPr>
            <w:tcW w:w="1443" w:type="dxa"/>
            <w:tcBorders>
              <w:top w:val="single" w:color="000000" w:sz="4" w:space="0"/>
              <w:left w:val="single" w:color="000000" w:sz="4" w:space="0"/>
              <w:bottom w:val="single" w:color="000000" w:sz="4" w:space="0"/>
              <w:right w:val="single" w:color="000000" w:sz="4" w:space="0"/>
            </w:tcBorders>
            <w:vAlign w:val="center"/>
          </w:tcPr>
          <w:p w14:paraId="03C34B2B">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紫外灭菌系统</w:t>
            </w:r>
          </w:p>
        </w:tc>
        <w:tc>
          <w:tcPr>
            <w:tcW w:w="6750" w:type="dxa"/>
            <w:tcBorders>
              <w:top w:val="single" w:color="000000" w:sz="4" w:space="0"/>
              <w:left w:val="single" w:color="000000" w:sz="4" w:space="0"/>
              <w:bottom w:val="single" w:color="000000" w:sz="4" w:space="0"/>
              <w:right w:val="single" w:color="000000" w:sz="4" w:space="0"/>
            </w:tcBorders>
            <w:vAlign w:val="center"/>
          </w:tcPr>
          <w:p w14:paraId="2FDF312A">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杀菌线紫外灯加延时警示灯，单独控制，独立线路，含安装</w:t>
            </w:r>
          </w:p>
        </w:tc>
        <w:tc>
          <w:tcPr>
            <w:tcW w:w="703" w:type="dxa"/>
            <w:tcBorders>
              <w:top w:val="single" w:color="000000" w:sz="4" w:space="0"/>
              <w:left w:val="single" w:color="000000" w:sz="4" w:space="0"/>
              <w:bottom w:val="single" w:color="000000" w:sz="4" w:space="0"/>
              <w:right w:val="single" w:color="000000" w:sz="4" w:space="0"/>
            </w:tcBorders>
            <w:vAlign w:val="center"/>
          </w:tcPr>
          <w:p w14:paraId="5057D81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3E8F3767">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套</w:t>
            </w:r>
          </w:p>
        </w:tc>
      </w:tr>
      <w:tr w14:paraId="322733C3">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5F3C7B71">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10</w:t>
            </w:r>
          </w:p>
        </w:tc>
        <w:tc>
          <w:tcPr>
            <w:tcW w:w="1443" w:type="dxa"/>
            <w:tcBorders>
              <w:top w:val="single" w:color="000000" w:sz="4" w:space="0"/>
              <w:left w:val="single" w:color="000000" w:sz="4" w:space="0"/>
              <w:bottom w:val="single" w:color="000000" w:sz="4" w:space="0"/>
              <w:right w:val="single" w:color="000000" w:sz="4" w:space="0"/>
            </w:tcBorders>
            <w:vAlign w:val="center"/>
          </w:tcPr>
          <w:p w14:paraId="3898EB47">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净化通风系统</w:t>
            </w:r>
          </w:p>
        </w:tc>
        <w:tc>
          <w:tcPr>
            <w:tcW w:w="6750" w:type="dxa"/>
            <w:tcBorders>
              <w:top w:val="single" w:color="000000" w:sz="4" w:space="0"/>
              <w:left w:val="single" w:color="000000" w:sz="4" w:space="0"/>
              <w:bottom w:val="single" w:color="000000" w:sz="4" w:space="0"/>
              <w:right w:val="single" w:color="000000" w:sz="4" w:space="0"/>
            </w:tcBorders>
            <w:vAlign w:val="center"/>
          </w:tcPr>
          <w:p w14:paraId="7501ABDE">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无菌室采用高效送风过滤；包含洁净风管、风管保温板、高效风口GK-8、高效风口GK-12、新回风阻尼网板、高效送风过滤送风箱、压差表、风管调节阀等，包含生物型洁净空调机组、风冷模块机组等含安装。</w:t>
            </w:r>
          </w:p>
        </w:tc>
        <w:tc>
          <w:tcPr>
            <w:tcW w:w="703" w:type="dxa"/>
            <w:tcBorders>
              <w:top w:val="single" w:color="000000" w:sz="4" w:space="0"/>
              <w:left w:val="single" w:color="000000" w:sz="4" w:space="0"/>
              <w:bottom w:val="single" w:color="000000" w:sz="4" w:space="0"/>
              <w:right w:val="single" w:color="000000" w:sz="4" w:space="0"/>
            </w:tcBorders>
            <w:vAlign w:val="center"/>
          </w:tcPr>
          <w:p w14:paraId="3BCBB7F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3A1ADE4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套</w:t>
            </w:r>
          </w:p>
        </w:tc>
      </w:tr>
      <w:tr w14:paraId="2AB9344B">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2D5670A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11</w:t>
            </w:r>
          </w:p>
        </w:tc>
        <w:tc>
          <w:tcPr>
            <w:tcW w:w="1443" w:type="dxa"/>
            <w:tcBorders>
              <w:top w:val="single" w:color="000000" w:sz="4" w:space="0"/>
              <w:left w:val="single" w:color="000000" w:sz="4" w:space="0"/>
              <w:bottom w:val="single" w:color="000000" w:sz="4" w:space="0"/>
              <w:right w:val="single" w:color="000000" w:sz="4" w:space="0"/>
            </w:tcBorders>
            <w:vAlign w:val="center"/>
          </w:tcPr>
          <w:p w14:paraId="4B327E3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玻璃大视窗</w:t>
            </w:r>
          </w:p>
        </w:tc>
        <w:tc>
          <w:tcPr>
            <w:tcW w:w="6750" w:type="dxa"/>
            <w:tcBorders>
              <w:top w:val="single" w:color="000000" w:sz="4" w:space="0"/>
              <w:left w:val="single" w:color="000000" w:sz="4" w:space="0"/>
              <w:bottom w:val="single" w:color="000000" w:sz="4" w:space="0"/>
              <w:right w:val="single" w:color="000000" w:sz="4" w:space="0"/>
            </w:tcBorders>
            <w:vAlign w:val="center"/>
          </w:tcPr>
          <w:p w14:paraId="34D7F73B">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≥5毫米钢化玻璃；含四周铝合金框架</w:t>
            </w:r>
          </w:p>
        </w:tc>
        <w:tc>
          <w:tcPr>
            <w:tcW w:w="703" w:type="dxa"/>
            <w:tcBorders>
              <w:top w:val="single" w:color="000000" w:sz="4" w:space="0"/>
              <w:left w:val="single" w:color="000000" w:sz="4" w:space="0"/>
              <w:bottom w:val="single" w:color="000000" w:sz="4" w:space="0"/>
              <w:right w:val="single" w:color="000000" w:sz="4" w:space="0"/>
            </w:tcBorders>
            <w:vAlign w:val="center"/>
          </w:tcPr>
          <w:p w14:paraId="6ED8665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1853364B">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套</w:t>
            </w:r>
          </w:p>
        </w:tc>
      </w:tr>
      <w:tr w14:paraId="34AD9A57">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02266F0D">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12</w:t>
            </w:r>
          </w:p>
        </w:tc>
        <w:tc>
          <w:tcPr>
            <w:tcW w:w="1443" w:type="dxa"/>
            <w:tcBorders>
              <w:top w:val="single" w:color="000000" w:sz="4" w:space="0"/>
              <w:left w:val="single" w:color="000000" w:sz="4" w:space="0"/>
              <w:bottom w:val="single" w:color="000000" w:sz="4" w:space="0"/>
              <w:right w:val="single" w:color="000000" w:sz="4" w:space="0"/>
            </w:tcBorders>
            <w:vAlign w:val="center"/>
          </w:tcPr>
          <w:p w14:paraId="19D7620C">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黄沙箱</w:t>
            </w:r>
          </w:p>
        </w:tc>
        <w:tc>
          <w:tcPr>
            <w:tcW w:w="6750" w:type="dxa"/>
            <w:tcBorders>
              <w:top w:val="single" w:color="000000" w:sz="4" w:space="0"/>
              <w:left w:val="single" w:color="000000" w:sz="4" w:space="0"/>
              <w:bottom w:val="single" w:color="000000" w:sz="4" w:space="0"/>
              <w:right w:val="single" w:color="000000" w:sz="4" w:space="0"/>
            </w:tcBorders>
            <w:vAlign w:val="center"/>
          </w:tcPr>
          <w:p w14:paraId="4C7E531C">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实验室标配黄沙箱一个</w:t>
            </w:r>
          </w:p>
        </w:tc>
        <w:tc>
          <w:tcPr>
            <w:tcW w:w="703" w:type="dxa"/>
            <w:tcBorders>
              <w:top w:val="single" w:color="000000" w:sz="4" w:space="0"/>
              <w:left w:val="single" w:color="000000" w:sz="4" w:space="0"/>
              <w:bottom w:val="single" w:color="000000" w:sz="4" w:space="0"/>
              <w:right w:val="single" w:color="000000" w:sz="4" w:space="0"/>
            </w:tcBorders>
            <w:vAlign w:val="center"/>
          </w:tcPr>
          <w:p w14:paraId="48C8683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28929FD5">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个</w:t>
            </w:r>
          </w:p>
        </w:tc>
      </w:tr>
      <w:tr w14:paraId="4F2215BF">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6BB7F23B">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13</w:t>
            </w:r>
          </w:p>
        </w:tc>
        <w:tc>
          <w:tcPr>
            <w:tcW w:w="1443" w:type="dxa"/>
            <w:tcBorders>
              <w:top w:val="single" w:color="000000" w:sz="4" w:space="0"/>
              <w:left w:val="single" w:color="000000" w:sz="4" w:space="0"/>
              <w:bottom w:val="single" w:color="000000" w:sz="4" w:space="0"/>
              <w:right w:val="single" w:color="000000" w:sz="4" w:space="0"/>
            </w:tcBorders>
            <w:vAlign w:val="center"/>
          </w:tcPr>
          <w:p w14:paraId="4FF7F338">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86寸一体机</w:t>
            </w:r>
          </w:p>
        </w:tc>
        <w:tc>
          <w:tcPr>
            <w:tcW w:w="6750" w:type="dxa"/>
            <w:tcBorders>
              <w:top w:val="single" w:color="000000" w:sz="4" w:space="0"/>
              <w:left w:val="single" w:color="000000" w:sz="4" w:space="0"/>
              <w:bottom w:val="single" w:color="000000" w:sz="4" w:space="0"/>
              <w:right w:val="single" w:color="000000" w:sz="4" w:space="0"/>
            </w:tcBorders>
            <w:vAlign w:val="center"/>
          </w:tcPr>
          <w:p w14:paraId="2CD796A4">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一、整体设计</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1、整机采用一体设计，外部无任何可见内部功能模块连接线。整机采用全金属外壳设计，边角采用弧形设计，表面无尖锐边缘或凸起。</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2、整机采用86英寸超高清LED液晶屏，显示比例16:9，分辨率3840×2160。</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3、整机采用全物理钢化玻璃，钢化玻璃表面硬度≥9H，支持防眩光功能，玻璃表面采用纳米材料镀膜环保工艺，书写更加顺滑，防眩光效果更加优异。</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4、整机背光系统支持DC调光方式，多级亮度调节，支持白颜色背景下最暗亮度≤100nit，用于提升显示对比度。</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5、前置按键：整机具备至少6个前置按键，可实现开关机、调出中控菜单、音量+/-、护眼、录屏操作。</w:t>
            </w:r>
            <w:r>
              <w:rPr>
                <w:rFonts w:asciiTheme="minorEastAsia" w:hAnsiTheme="minorEastAsia" w:eastAsiaTheme="minorEastAsia"/>
                <w:color w:val="000000"/>
                <w:kern w:val="0"/>
                <w:sz w:val="24"/>
                <w:lang w:bidi="ar"/>
              </w:rPr>
              <w:br w:type="textWrapping"/>
            </w:r>
            <w:r>
              <w:rPr>
                <w:rFonts w:hint="eastAsia" w:asciiTheme="minorEastAsia" w:hAnsiTheme="minorEastAsia" w:eastAsiaTheme="minorEastAsia"/>
                <w:color w:val="000000"/>
                <w:kern w:val="0"/>
                <w:sz w:val="24"/>
                <w:lang w:bidi="ar"/>
              </w:rPr>
              <w:t>二</w:t>
            </w:r>
            <w:r>
              <w:rPr>
                <w:rFonts w:asciiTheme="minorEastAsia" w:hAnsiTheme="minorEastAsia" w:eastAsiaTheme="minorEastAsia"/>
                <w:color w:val="000000"/>
                <w:kern w:val="0"/>
                <w:sz w:val="24"/>
                <w:lang w:bidi="ar"/>
              </w:rPr>
              <w:t>、电脑模块</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1．搭载国产自主可控龙芯芯片，搭配操作系统；支持4个物理核心，8个逻辑核心；主频≥2.0GHz，配置16 GB或以上内存，配置512 GB或以上固态硬盘，2G独显。</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2．和整机的连接采用万兆级接口，传输速率≥10Gbps。</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3．采用按压式卡扣，无需工具就可快速拆卸电脑模块。</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4．具有独立非外扩展的接口：≥1路HDMI，≥3路USB。</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备注：提供正版 WPS 教育版办公软件，并完成安装及激活，一体机质保期内保证正常使用。</w:t>
            </w:r>
          </w:p>
        </w:tc>
        <w:tc>
          <w:tcPr>
            <w:tcW w:w="703" w:type="dxa"/>
            <w:tcBorders>
              <w:top w:val="single" w:color="000000" w:sz="4" w:space="0"/>
              <w:left w:val="single" w:color="000000" w:sz="4" w:space="0"/>
              <w:bottom w:val="single" w:color="000000" w:sz="4" w:space="0"/>
              <w:right w:val="single" w:color="000000" w:sz="4" w:space="0"/>
            </w:tcBorders>
            <w:vAlign w:val="center"/>
          </w:tcPr>
          <w:p w14:paraId="1B476168">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5F7E9D90">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套</w:t>
            </w:r>
          </w:p>
        </w:tc>
      </w:tr>
      <w:tr w14:paraId="42F2E6B3">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76E5D7EE">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14</w:t>
            </w:r>
          </w:p>
        </w:tc>
        <w:tc>
          <w:tcPr>
            <w:tcW w:w="1443" w:type="dxa"/>
            <w:tcBorders>
              <w:top w:val="single" w:color="000000" w:sz="4" w:space="0"/>
              <w:left w:val="single" w:color="000000" w:sz="4" w:space="0"/>
              <w:bottom w:val="single" w:color="000000" w:sz="4" w:space="0"/>
              <w:right w:val="single" w:color="000000" w:sz="4" w:space="0"/>
            </w:tcBorders>
            <w:vAlign w:val="center"/>
          </w:tcPr>
          <w:p w14:paraId="0E985687">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电子天平</w:t>
            </w:r>
          </w:p>
        </w:tc>
        <w:tc>
          <w:tcPr>
            <w:tcW w:w="6750" w:type="dxa"/>
            <w:tcBorders>
              <w:top w:val="single" w:color="000000" w:sz="4" w:space="0"/>
              <w:left w:val="single" w:color="000000" w:sz="4" w:space="0"/>
              <w:bottom w:val="single" w:color="000000" w:sz="4" w:space="0"/>
              <w:right w:val="single" w:color="000000" w:sz="4" w:space="0"/>
            </w:tcBorders>
            <w:vAlign w:val="center"/>
          </w:tcPr>
          <w:p w14:paraId="112DA67B">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1.流畅新颖的外形设计，体现了对现代理念的追求。新的设计，使称重的反应速度更快，定点更迅速。独特的金属底座及机械构造，确保了天平的稳定性，增加了天平的抗干扰性</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2.具备多种计量单位转换，计数功能及动物称重功能，装置RS232C输出接口</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3.称量范围(g)：≥300</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4.可读性/精度：10mg</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5.外形尺寸（mm）：≥320×280×150</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6.秤盘尺寸（mm）：≥Ф130</w:t>
            </w:r>
          </w:p>
        </w:tc>
        <w:tc>
          <w:tcPr>
            <w:tcW w:w="703" w:type="dxa"/>
            <w:tcBorders>
              <w:top w:val="single" w:color="000000" w:sz="4" w:space="0"/>
              <w:left w:val="single" w:color="000000" w:sz="4" w:space="0"/>
              <w:bottom w:val="single" w:color="000000" w:sz="4" w:space="0"/>
              <w:right w:val="single" w:color="000000" w:sz="4" w:space="0"/>
            </w:tcBorders>
            <w:vAlign w:val="center"/>
          </w:tcPr>
          <w:p w14:paraId="0B937E01">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3</w:t>
            </w:r>
          </w:p>
        </w:tc>
        <w:tc>
          <w:tcPr>
            <w:tcW w:w="637" w:type="dxa"/>
            <w:tcBorders>
              <w:top w:val="single" w:color="000000" w:sz="4" w:space="0"/>
              <w:left w:val="single" w:color="000000" w:sz="4" w:space="0"/>
              <w:bottom w:val="single" w:color="000000" w:sz="4" w:space="0"/>
              <w:right w:val="single" w:color="000000" w:sz="4" w:space="0"/>
            </w:tcBorders>
            <w:vAlign w:val="center"/>
          </w:tcPr>
          <w:p w14:paraId="491E2577">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台</w:t>
            </w:r>
          </w:p>
        </w:tc>
      </w:tr>
      <w:tr w14:paraId="654E253F">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0FA7572B">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15</w:t>
            </w:r>
          </w:p>
        </w:tc>
        <w:tc>
          <w:tcPr>
            <w:tcW w:w="1443" w:type="dxa"/>
            <w:tcBorders>
              <w:top w:val="single" w:color="000000" w:sz="4" w:space="0"/>
              <w:left w:val="single" w:color="000000" w:sz="4" w:space="0"/>
              <w:bottom w:val="single" w:color="000000" w:sz="4" w:space="0"/>
              <w:right w:val="single" w:color="000000" w:sz="4" w:space="0"/>
            </w:tcBorders>
            <w:vAlign w:val="center"/>
          </w:tcPr>
          <w:p w14:paraId="5BA9A21E">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水浴锅</w:t>
            </w:r>
          </w:p>
        </w:tc>
        <w:tc>
          <w:tcPr>
            <w:tcW w:w="6750" w:type="dxa"/>
            <w:tcBorders>
              <w:top w:val="single" w:color="000000" w:sz="4" w:space="0"/>
              <w:left w:val="single" w:color="000000" w:sz="4" w:space="0"/>
              <w:bottom w:val="single" w:color="000000" w:sz="4" w:space="0"/>
              <w:right w:val="single" w:color="000000" w:sz="4" w:space="0"/>
            </w:tcBorders>
            <w:vAlign w:val="center"/>
          </w:tcPr>
          <w:p w14:paraId="48B7B6B5">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 外观独特新颖，体积小巧，功能强大。所有与水接触表面均采用不锈钢材料和PC材料，耐腐蚀性强。</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 采用一次冲压成型的不锈钢锅内胆，配合独特密封结构，杜绝漏水；水槽分别后置独立排水阀，可轻松清洗内胆后排尽污水。</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 采用微电脑程序PID自动控温，控温均匀、精度高。</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 内置水位传感器，防止干烧带来的隐患，安全可靠。</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 双数码管数字全息显示温度和定时时间，参数显示准确直观，具有蜂鸣报警提示功能。</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6.控温范围 室温+5℃~100℃</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7.温度精度 0.5℃</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8.温度均匀度@37℃ 0.5℃</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9.孔数 2个</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10.容积 2L×2孔</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11.工作空间 ≥140×126×95mm×2孔</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12.输入电源 AC 220V  50/60Hz</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13.功率 ≥600W</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14.外形尺寸 ≥W.363×D.290×H.240mm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15.净重 ≥5.1kgs</w:t>
            </w:r>
          </w:p>
        </w:tc>
        <w:tc>
          <w:tcPr>
            <w:tcW w:w="703" w:type="dxa"/>
            <w:tcBorders>
              <w:top w:val="single" w:color="000000" w:sz="4" w:space="0"/>
              <w:left w:val="single" w:color="000000" w:sz="4" w:space="0"/>
              <w:bottom w:val="single" w:color="000000" w:sz="4" w:space="0"/>
              <w:right w:val="single" w:color="000000" w:sz="4" w:space="0"/>
            </w:tcBorders>
            <w:vAlign w:val="center"/>
          </w:tcPr>
          <w:p w14:paraId="21057291">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797F168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台</w:t>
            </w:r>
          </w:p>
        </w:tc>
      </w:tr>
      <w:tr w14:paraId="696AB851">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7C56CCB1">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16</w:t>
            </w:r>
          </w:p>
        </w:tc>
        <w:tc>
          <w:tcPr>
            <w:tcW w:w="1443" w:type="dxa"/>
            <w:tcBorders>
              <w:top w:val="single" w:color="000000" w:sz="4" w:space="0"/>
              <w:left w:val="single" w:color="000000" w:sz="4" w:space="0"/>
              <w:bottom w:val="single" w:color="000000" w:sz="4" w:space="0"/>
              <w:right w:val="single" w:color="000000" w:sz="4" w:space="0"/>
            </w:tcBorders>
            <w:vAlign w:val="center"/>
          </w:tcPr>
          <w:p w14:paraId="43C61DE0">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磁力搅拌器</w:t>
            </w:r>
          </w:p>
        </w:tc>
        <w:tc>
          <w:tcPr>
            <w:tcW w:w="6750" w:type="dxa"/>
            <w:tcBorders>
              <w:top w:val="single" w:color="000000" w:sz="4" w:space="0"/>
              <w:left w:val="single" w:color="000000" w:sz="4" w:space="0"/>
              <w:bottom w:val="single" w:color="000000" w:sz="4" w:space="0"/>
              <w:right w:val="single" w:color="000000" w:sz="4" w:space="0"/>
            </w:tcBorders>
            <w:vAlign w:val="center"/>
          </w:tcPr>
          <w:p w14:paraId="522B77AE">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1.工作盘尺寸：≥19*19cm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2.工作盘材料：防腐蚀陶瓷盘</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3.转速：200-2000rpm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4.功能：加热搅拌</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5.加热功率：≥600w</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6.工作盘温度：室温-350℃±10%</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7.最大搅拌量：≥5L</w:t>
            </w:r>
          </w:p>
        </w:tc>
        <w:tc>
          <w:tcPr>
            <w:tcW w:w="703" w:type="dxa"/>
            <w:tcBorders>
              <w:top w:val="single" w:color="000000" w:sz="4" w:space="0"/>
              <w:left w:val="single" w:color="000000" w:sz="4" w:space="0"/>
              <w:bottom w:val="single" w:color="000000" w:sz="4" w:space="0"/>
              <w:right w:val="single" w:color="000000" w:sz="4" w:space="0"/>
            </w:tcBorders>
            <w:vAlign w:val="center"/>
          </w:tcPr>
          <w:p w14:paraId="6FEA797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6785D70B">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台</w:t>
            </w:r>
          </w:p>
        </w:tc>
      </w:tr>
      <w:tr w14:paraId="7E9DD8DB">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26B10C8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17</w:t>
            </w:r>
          </w:p>
        </w:tc>
        <w:tc>
          <w:tcPr>
            <w:tcW w:w="1443" w:type="dxa"/>
            <w:tcBorders>
              <w:top w:val="single" w:color="000000" w:sz="4" w:space="0"/>
              <w:left w:val="single" w:color="000000" w:sz="4" w:space="0"/>
              <w:bottom w:val="single" w:color="000000" w:sz="4" w:space="0"/>
              <w:right w:val="single" w:color="000000" w:sz="4" w:space="0"/>
            </w:tcBorders>
            <w:vAlign w:val="center"/>
          </w:tcPr>
          <w:p w14:paraId="786E5559">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酸度计</w:t>
            </w:r>
          </w:p>
        </w:tc>
        <w:tc>
          <w:tcPr>
            <w:tcW w:w="6750" w:type="dxa"/>
            <w:tcBorders>
              <w:top w:val="single" w:color="000000" w:sz="4" w:space="0"/>
              <w:left w:val="single" w:color="000000" w:sz="4" w:space="0"/>
              <w:bottom w:val="single" w:color="000000" w:sz="4" w:space="0"/>
              <w:right w:val="single" w:color="000000" w:sz="4" w:space="0"/>
            </w:tcBorders>
            <w:vAlign w:val="center"/>
          </w:tcPr>
          <w:p w14:paraId="74FB3884">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1.仪器特点：大屏幕、液晶显示</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2.同时测量或显示pH、温度或mV、温度</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3.电器接插件低于平面，有助于防腐和安全</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4.仪器级别：0.01级</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 xml:space="preserve">5.测量范围：pH:(-2.00~18.00)pH       </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mV:(-1999~0)，（0~1999)</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6.温度：(0~99.9)℃</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7.分辨率：pH：±0.001 mV：±1mV 温度：0.1℃</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8.误差：pH：±0.01pH  mV:±1mV  温度：0.3℃</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9.输入阻抗：不小于1×10 12Ω</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10.稳定性：±0.01pH/3h</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11.温度补偿范围：（0~100）℃</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12.外形尺寸：≥300×220×90mm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13.仪器重量：≥1.6kg</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14.仪器配置： pH复合电极一支，pH标准缓冲试剂2套，自动温度补偿电极1支</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★提供第三方检测机构出具的校准报告，必须有CMA或CNAS认证，且校准报告内体现PH示值误差、MV示值误差、温度补偿示值误差、电计示值重复性、仪器示值误差、仪器重复性的检测数据</w:t>
            </w:r>
          </w:p>
        </w:tc>
        <w:tc>
          <w:tcPr>
            <w:tcW w:w="703" w:type="dxa"/>
            <w:tcBorders>
              <w:top w:val="single" w:color="000000" w:sz="4" w:space="0"/>
              <w:left w:val="single" w:color="000000" w:sz="4" w:space="0"/>
              <w:bottom w:val="single" w:color="000000" w:sz="4" w:space="0"/>
              <w:right w:val="single" w:color="000000" w:sz="4" w:space="0"/>
            </w:tcBorders>
            <w:vAlign w:val="center"/>
          </w:tcPr>
          <w:p w14:paraId="5C729E81">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757C773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台</w:t>
            </w:r>
          </w:p>
        </w:tc>
      </w:tr>
      <w:tr w14:paraId="21136AFC">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50C8EFAB">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18</w:t>
            </w:r>
          </w:p>
        </w:tc>
        <w:tc>
          <w:tcPr>
            <w:tcW w:w="1443" w:type="dxa"/>
            <w:tcBorders>
              <w:top w:val="single" w:color="000000" w:sz="4" w:space="0"/>
              <w:left w:val="single" w:color="000000" w:sz="4" w:space="0"/>
              <w:bottom w:val="single" w:color="000000" w:sz="4" w:space="0"/>
              <w:right w:val="single" w:color="000000" w:sz="4" w:space="0"/>
            </w:tcBorders>
            <w:vAlign w:val="center"/>
          </w:tcPr>
          <w:p w14:paraId="51BE2A4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微量可调移液器</w:t>
            </w:r>
          </w:p>
        </w:tc>
        <w:tc>
          <w:tcPr>
            <w:tcW w:w="6750" w:type="dxa"/>
            <w:tcBorders>
              <w:top w:val="single" w:color="000000" w:sz="4" w:space="0"/>
              <w:left w:val="single" w:color="000000" w:sz="4" w:space="0"/>
              <w:bottom w:val="single" w:color="000000" w:sz="4" w:space="0"/>
              <w:right w:val="single" w:color="000000" w:sz="4" w:space="0"/>
            </w:tcBorders>
            <w:vAlign w:val="center"/>
          </w:tcPr>
          <w:p w14:paraId="0E48DD40">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1.自重轻，操作轻便省力，手柄挂钩设计</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2.数字视窗，所设置量程一目了然</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3.采用陶瓷活塞，耐腐蚀效果好</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4.采用免维护密封环，使用更便捷</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5.采用新型材料，可整支121℃高温高压消毒，通过CE标准</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6.精确的分液，量程分别为： 0.5-10μL，100-1000μL</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★提供第三方检测机构出具的校准报告，必须有CMA或CNAS认证，且校准报告内移液器“示值允差±0.01μL”为合格</w:t>
            </w:r>
          </w:p>
        </w:tc>
        <w:tc>
          <w:tcPr>
            <w:tcW w:w="703" w:type="dxa"/>
            <w:tcBorders>
              <w:top w:val="single" w:color="000000" w:sz="4" w:space="0"/>
              <w:left w:val="single" w:color="000000" w:sz="4" w:space="0"/>
              <w:bottom w:val="single" w:color="000000" w:sz="4" w:space="0"/>
              <w:right w:val="single" w:color="000000" w:sz="4" w:space="0"/>
            </w:tcBorders>
            <w:vAlign w:val="center"/>
          </w:tcPr>
          <w:p w14:paraId="6543F14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12</w:t>
            </w:r>
          </w:p>
        </w:tc>
        <w:tc>
          <w:tcPr>
            <w:tcW w:w="637" w:type="dxa"/>
            <w:tcBorders>
              <w:top w:val="single" w:color="000000" w:sz="4" w:space="0"/>
              <w:left w:val="single" w:color="000000" w:sz="4" w:space="0"/>
              <w:bottom w:val="single" w:color="000000" w:sz="4" w:space="0"/>
              <w:right w:val="single" w:color="000000" w:sz="4" w:space="0"/>
            </w:tcBorders>
            <w:vAlign w:val="center"/>
          </w:tcPr>
          <w:p w14:paraId="4CB045F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套</w:t>
            </w:r>
          </w:p>
        </w:tc>
      </w:tr>
      <w:tr w14:paraId="7212A700">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70728C11">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19</w:t>
            </w:r>
          </w:p>
        </w:tc>
        <w:tc>
          <w:tcPr>
            <w:tcW w:w="1443" w:type="dxa"/>
            <w:tcBorders>
              <w:top w:val="single" w:color="000000" w:sz="4" w:space="0"/>
              <w:left w:val="single" w:color="000000" w:sz="4" w:space="0"/>
              <w:bottom w:val="single" w:color="000000" w:sz="4" w:space="0"/>
              <w:right w:val="single" w:color="000000" w:sz="4" w:space="0"/>
            </w:tcBorders>
            <w:vAlign w:val="center"/>
          </w:tcPr>
          <w:p w14:paraId="25920588">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移液器架</w:t>
            </w:r>
          </w:p>
        </w:tc>
        <w:tc>
          <w:tcPr>
            <w:tcW w:w="6750" w:type="dxa"/>
            <w:tcBorders>
              <w:top w:val="single" w:color="000000" w:sz="4" w:space="0"/>
              <w:left w:val="single" w:color="000000" w:sz="4" w:space="0"/>
              <w:bottom w:val="single" w:color="000000" w:sz="4" w:space="0"/>
              <w:right w:val="single" w:color="000000" w:sz="4" w:space="0"/>
            </w:tcBorders>
            <w:vAlign w:val="center"/>
          </w:tcPr>
          <w:p w14:paraId="3F2EBA33">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Z型，≥5支位</w:t>
            </w:r>
          </w:p>
        </w:tc>
        <w:tc>
          <w:tcPr>
            <w:tcW w:w="703" w:type="dxa"/>
            <w:tcBorders>
              <w:top w:val="single" w:color="000000" w:sz="4" w:space="0"/>
              <w:left w:val="single" w:color="000000" w:sz="4" w:space="0"/>
              <w:bottom w:val="single" w:color="000000" w:sz="4" w:space="0"/>
              <w:right w:val="single" w:color="000000" w:sz="4" w:space="0"/>
            </w:tcBorders>
            <w:vAlign w:val="center"/>
          </w:tcPr>
          <w:p w14:paraId="5140247A">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5</w:t>
            </w:r>
          </w:p>
        </w:tc>
        <w:tc>
          <w:tcPr>
            <w:tcW w:w="637" w:type="dxa"/>
            <w:tcBorders>
              <w:top w:val="single" w:color="000000" w:sz="4" w:space="0"/>
              <w:left w:val="single" w:color="000000" w:sz="4" w:space="0"/>
              <w:bottom w:val="single" w:color="000000" w:sz="4" w:space="0"/>
              <w:right w:val="single" w:color="000000" w:sz="4" w:space="0"/>
            </w:tcBorders>
            <w:vAlign w:val="center"/>
          </w:tcPr>
          <w:p w14:paraId="3018E7FE">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个</w:t>
            </w:r>
          </w:p>
        </w:tc>
      </w:tr>
      <w:tr w14:paraId="654C31DB">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029672BE">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20</w:t>
            </w:r>
          </w:p>
        </w:tc>
        <w:tc>
          <w:tcPr>
            <w:tcW w:w="1443" w:type="dxa"/>
            <w:tcBorders>
              <w:top w:val="single" w:color="000000" w:sz="4" w:space="0"/>
              <w:left w:val="single" w:color="000000" w:sz="4" w:space="0"/>
              <w:bottom w:val="single" w:color="000000" w:sz="4" w:space="0"/>
              <w:right w:val="single" w:color="000000" w:sz="4" w:space="0"/>
            </w:tcBorders>
            <w:vAlign w:val="center"/>
          </w:tcPr>
          <w:p w14:paraId="400EC4E0">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紫外灭菌车</w:t>
            </w:r>
          </w:p>
        </w:tc>
        <w:tc>
          <w:tcPr>
            <w:tcW w:w="6750" w:type="dxa"/>
            <w:tcBorders>
              <w:top w:val="single" w:color="000000" w:sz="4" w:space="0"/>
              <w:left w:val="single" w:color="000000" w:sz="4" w:space="0"/>
              <w:bottom w:val="single" w:color="000000" w:sz="4" w:space="0"/>
              <w:right w:val="single" w:color="000000" w:sz="4" w:space="0"/>
            </w:tcBorders>
            <w:vAlign w:val="center"/>
          </w:tcPr>
          <w:p w14:paraId="664CD6AE">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1.紫外消毒车采用双灯管结构，并可以单独使用，灯臂角度可以180度调节，不用时请垂放关上保护门以免灯管破坏，又能保持灯管清洁</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2.定时器可以在120分钟内定时控制消毒时间，定时器工作完毕会自行断路而灯管熄灭</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3.形式为移动式</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4.安全防护分类为I类</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5.灯臂长度为：920mm+2mm,灯臂调节角度为0-180度</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6.输入功率为：150VA</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7.环境温度：5-40℃</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8.相对温度：80%</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9.电源220V+22V 50Hz+1Hz</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10.紫外线波长253.7A</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11.电流电压220V 50Hz</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12.功率≥2×30W</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13.灯臂调节角度ZXC-1型为 0-180℃</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14.定时范围：1-120分钟，最大定时误差≤15min</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 xml:space="preserve">15.消毒车采用的消毒灯管符合GB19258-2003 </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16.熔断器规格：FUSES</w:t>
            </w:r>
          </w:p>
        </w:tc>
        <w:tc>
          <w:tcPr>
            <w:tcW w:w="703" w:type="dxa"/>
            <w:tcBorders>
              <w:top w:val="single" w:color="000000" w:sz="4" w:space="0"/>
              <w:left w:val="single" w:color="000000" w:sz="4" w:space="0"/>
              <w:bottom w:val="single" w:color="000000" w:sz="4" w:space="0"/>
              <w:right w:val="single" w:color="000000" w:sz="4" w:space="0"/>
            </w:tcBorders>
            <w:vAlign w:val="center"/>
          </w:tcPr>
          <w:p w14:paraId="04DF2BF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5913FF4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台</w:t>
            </w:r>
          </w:p>
        </w:tc>
      </w:tr>
      <w:tr w14:paraId="25593CDC">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0F08B950">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21</w:t>
            </w:r>
          </w:p>
        </w:tc>
        <w:tc>
          <w:tcPr>
            <w:tcW w:w="1443" w:type="dxa"/>
            <w:tcBorders>
              <w:top w:val="single" w:color="000000" w:sz="4" w:space="0"/>
              <w:left w:val="single" w:color="000000" w:sz="4" w:space="0"/>
              <w:bottom w:val="single" w:color="000000" w:sz="4" w:space="0"/>
              <w:right w:val="single" w:color="000000" w:sz="4" w:space="0"/>
            </w:tcBorders>
            <w:vAlign w:val="center"/>
          </w:tcPr>
          <w:p w14:paraId="5021B77E">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照度计</w:t>
            </w:r>
          </w:p>
        </w:tc>
        <w:tc>
          <w:tcPr>
            <w:tcW w:w="6750" w:type="dxa"/>
            <w:tcBorders>
              <w:top w:val="single" w:color="000000" w:sz="4" w:space="0"/>
              <w:left w:val="single" w:color="000000" w:sz="4" w:space="0"/>
              <w:bottom w:val="single" w:color="000000" w:sz="4" w:space="0"/>
              <w:right w:val="single" w:color="000000" w:sz="4" w:space="0"/>
            </w:tcBorders>
            <w:vAlign w:val="center"/>
          </w:tcPr>
          <w:p w14:paraId="17C89442">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1.准确度高及反应速度快</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 3 1/2位液晶显示</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3.测量范围:20/200/2000/20000 Lux</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4.过载显示:Hightest digit of (1) is displayed</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5.分辨率:0.1 Lux</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6.准确度:±3% rdg ±0.5% f.s.(＜10,000 lux)； ±4% rdg ±10dgts (＞10,000 lux) (以色温2856 K标准平面灯校正)</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7.重复测试:±2%</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8.温度特性:±0.1% /℃</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9.取样率:Approx. 2 times/sec</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10.记录器输出:DC 2V/f.s. (满刻度) (TES-1332A)</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11.操作及储存温湿度:0℃ to 40℃ (32℉ to 104℉)＜70% R.H.</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12.电源:one 9V battery</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13.光检测器尺寸:≥100mm(L) x 60mm(W) x 27mm(H)</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14.电表尺寸:≥135mm(L) x 72mm(W) x 33mm(H)</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15.重量:≥250g；附件:使用说明书、皮盒、9V电池</w:t>
            </w:r>
          </w:p>
        </w:tc>
        <w:tc>
          <w:tcPr>
            <w:tcW w:w="703" w:type="dxa"/>
            <w:tcBorders>
              <w:top w:val="single" w:color="000000" w:sz="4" w:space="0"/>
              <w:left w:val="single" w:color="000000" w:sz="4" w:space="0"/>
              <w:bottom w:val="single" w:color="000000" w:sz="4" w:space="0"/>
              <w:right w:val="single" w:color="000000" w:sz="4" w:space="0"/>
            </w:tcBorders>
            <w:vAlign w:val="center"/>
          </w:tcPr>
          <w:p w14:paraId="639D02C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7259DDA8">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台</w:t>
            </w:r>
          </w:p>
        </w:tc>
      </w:tr>
      <w:tr w14:paraId="5F35F9A2">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1405C4DE">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22</w:t>
            </w:r>
          </w:p>
        </w:tc>
        <w:tc>
          <w:tcPr>
            <w:tcW w:w="1443" w:type="dxa"/>
            <w:tcBorders>
              <w:top w:val="single" w:color="000000" w:sz="4" w:space="0"/>
              <w:left w:val="single" w:color="000000" w:sz="4" w:space="0"/>
              <w:bottom w:val="single" w:color="000000" w:sz="4" w:space="0"/>
              <w:right w:val="single" w:color="000000" w:sz="4" w:space="0"/>
            </w:tcBorders>
            <w:vAlign w:val="center"/>
          </w:tcPr>
          <w:p w14:paraId="645ED4FC">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温湿度计</w:t>
            </w:r>
          </w:p>
        </w:tc>
        <w:tc>
          <w:tcPr>
            <w:tcW w:w="6750" w:type="dxa"/>
            <w:tcBorders>
              <w:top w:val="single" w:color="000000" w:sz="4" w:space="0"/>
              <w:left w:val="single" w:color="000000" w:sz="4" w:space="0"/>
              <w:bottom w:val="single" w:color="000000" w:sz="4" w:space="0"/>
              <w:right w:val="single" w:color="000000" w:sz="4" w:space="0"/>
            </w:tcBorders>
            <w:vAlign w:val="center"/>
          </w:tcPr>
          <w:p w14:paraId="65D35632">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1.超大屏幕液晶显示，直观方便</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2.同屏显示温度、湿度、时钟</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3.室内外双陆测温、单路测湿</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4.温度测量范围:室内温度：-30℃~+50℃；室外温度：-50℃~+70℃</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5.湿度测量范围：20%RH~90%RH</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6.显示分辨率：温度：0.1℃；湿度：1%RH</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7.测量精度：温度：±1℃；湿度：±5%RH</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8.供电电压：1.5V（一节7号碱性电池）</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9.12/24小时时钟显示，可设定定时、闹钟功能</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10.最大、最小温湿度记忆功能</w:t>
            </w:r>
          </w:p>
        </w:tc>
        <w:tc>
          <w:tcPr>
            <w:tcW w:w="703" w:type="dxa"/>
            <w:tcBorders>
              <w:top w:val="single" w:color="000000" w:sz="4" w:space="0"/>
              <w:left w:val="single" w:color="000000" w:sz="4" w:space="0"/>
              <w:bottom w:val="single" w:color="000000" w:sz="4" w:space="0"/>
              <w:right w:val="single" w:color="000000" w:sz="4" w:space="0"/>
            </w:tcBorders>
            <w:vAlign w:val="center"/>
          </w:tcPr>
          <w:p w14:paraId="1EEB4F4D">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2140F1DE">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个</w:t>
            </w:r>
          </w:p>
        </w:tc>
      </w:tr>
      <w:tr w14:paraId="3CEE777C">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35AF9AC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23</w:t>
            </w:r>
          </w:p>
        </w:tc>
        <w:tc>
          <w:tcPr>
            <w:tcW w:w="1443" w:type="dxa"/>
            <w:tcBorders>
              <w:top w:val="single" w:color="000000" w:sz="4" w:space="0"/>
              <w:left w:val="single" w:color="000000" w:sz="4" w:space="0"/>
              <w:bottom w:val="single" w:color="000000" w:sz="4" w:space="0"/>
              <w:right w:val="single" w:color="000000" w:sz="4" w:space="0"/>
            </w:tcBorders>
            <w:vAlign w:val="center"/>
          </w:tcPr>
          <w:p w14:paraId="4B6BF3E1">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高压灭菌锅</w:t>
            </w:r>
          </w:p>
        </w:tc>
        <w:tc>
          <w:tcPr>
            <w:tcW w:w="6750" w:type="dxa"/>
            <w:tcBorders>
              <w:top w:val="single" w:color="000000" w:sz="4" w:space="0"/>
              <w:left w:val="single" w:color="000000" w:sz="4" w:space="0"/>
              <w:bottom w:val="single" w:color="000000" w:sz="4" w:space="0"/>
              <w:right w:val="single" w:color="000000" w:sz="4" w:space="0"/>
            </w:tcBorders>
            <w:vAlign w:val="center"/>
          </w:tcPr>
          <w:p w14:paraId="57E8DC77">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1.灭菌有效容积：≥50L</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2.最高工作压力：0.22MPa</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3.最高工作温度：134℃</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4.热均匀度：≤±1℃</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5.计时控制范围：0～99min</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6.压力温度控制范围：105～134℃/0.04～0.22MPa</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7.功率/电源电压：3000W/AC220V.50Hz</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8.安全特能：断水过热保护、电流过载自动切断、超压自动释放</w:t>
            </w:r>
          </w:p>
        </w:tc>
        <w:tc>
          <w:tcPr>
            <w:tcW w:w="703" w:type="dxa"/>
            <w:tcBorders>
              <w:top w:val="single" w:color="000000" w:sz="4" w:space="0"/>
              <w:left w:val="single" w:color="000000" w:sz="4" w:space="0"/>
              <w:bottom w:val="single" w:color="000000" w:sz="4" w:space="0"/>
              <w:right w:val="single" w:color="000000" w:sz="4" w:space="0"/>
            </w:tcBorders>
            <w:vAlign w:val="center"/>
          </w:tcPr>
          <w:p w14:paraId="6495EBDA">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4D240B4C">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台</w:t>
            </w:r>
          </w:p>
        </w:tc>
      </w:tr>
      <w:tr w14:paraId="6206165D">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1212585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24</w:t>
            </w:r>
          </w:p>
        </w:tc>
        <w:tc>
          <w:tcPr>
            <w:tcW w:w="1443" w:type="dxa"/>
            <w:tcBorders>
              <w:top w:val="single" w:color="000000" w:sz="4" w:space="0"/>
              <w:left w:val="single" w:color="000000" w:sz="4" w:space="0"/>
              <w:bottom w:val="single" w:color="000000" w:sz="4" w:space="0"/>
              <w:right w:val="single" w:color="000000" w:sz="4" w:space="0"/>
            </w:tcBorders>
            <w:vAlign w:val="center"/>
          </w:tcPr>
          <w:p w14:paraId="7AE84600">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鼓风干燥箱</w:t>
            </w:r>
          </w:p>
        </w:tc>
        <w:tc>
          <w:tcPr>
            <w:tcW w:w="6750" w:type="dxa"/>
            <w:tcBorders>
              <w:top w:val="single" w:color="000000" w:sz="4" w:space="0"/>
              <w:left w:val="single" w:color="000000" w:sz="4" w:space="0"/>
              <w:bottom w:val="single" w:color="000000" w:sz="4" w:space="0"/>
              <w:right w:val="single" w:color="000000" w:sz="4" w:space="0"/>
            </w:tcBorders>
            <w:vAlign w:val="center"/>
          </w:tcPr>
          <w:p w14:paraId="39D26949">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1.恒温方式 鼓风强行对流传递</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2.性能 ：使用温度范围 50~300℃</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3.显示分辨率 0.1℃</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4.温控精度 ±0.1℃</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 xml:space="preserve">5.温度波动度 ±1℃(100℃)结构 内胆 抗腐蚀304不锈钢材料 </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6.外壳 优质钢板材料</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7.可视窗 双层钢化玻璃</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8.控制器温度控制方式 PID控制</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9.温度设定方式 按键设定</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10.温度显示方式 双排数码管四位显示</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11.加热方式 o型干烧加热管</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12.附加功能 偏差修正、菜单按键锁定、停电补偿、停电记忆、PID可调</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13.传感器 PT100铂电阻</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14.安全装置 超温报警、短路保护、过热保护、声光报警</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15.规格 内尺寸（mm）≥ 450*550*550</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16.外尺寸（mm） ≥720*780*750</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17.包装尺寸（mm）≥ 810*880*860</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18.内容积 ≥136L</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19.净重/毛重 ≥65kg/83kg</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 xml:space="preserve">20.额定功率 ≥1500 W  </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21.电源电压 220V、50</w:t>
            </w:r>
            <w:r>
              <w:rPr>
                <w:rFonts w:hint="eastAsia" w:asciiTheme="minorEastAsia" w:hAnsiTheme="minorEastAsia" w:eastAsiaTheme="minorEastAsia"/>
                <w:color w:val="000000"/>
                <w:kern w:val="0"/>
                <w:sz w:val="24"/>
                <w:lang w:eastAsia="zh-CN" w:bidi="ar"/>
              </w:rPr>
              <w:t>Hz</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★提供第三方检测机构出具的校准报告，必须有CMA或CNAS认证，且校准报告内体现温度偏差、温度均匀度、温度波动度的检测数据，且校准结果为合格</w:t>
            </w:r>
          </w:p>
        </w:tc>
        <w:tc>
          <w:tcPr>
            <w:tcW w:w="703" w:type="dxa"/>
            <w:tcBorders>
              <w:top w:val="single" w:color="000000" w:sz="4" w:space="0"/>
              <w:left w:val="single" w:color="000000" w:sz="4" w:space="0"/>
              <w:bottom w:val="single" w:color="000000" w:sz="4" w:space="0"/>
              <w:right w:val="single" w:color="000000" w:sz="4" w:space="0"/>
            </w:tcBorders>
            <w:vAlign w:val="center"/>
          </w:tcPr>
          <w:p w14:paraId="20A595E6">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3633C68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台</w:t>
            </w:r>
          </w:p>
        </w:tc>
      </w:tr>
      <w:tr w14:paraId="39026AA4">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06706EB8">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25</w:t>
            </w:r>
          </w:p>
        </w:tc>
        <w:tc>
          <w:tcPr>
            <w:tcW w:w="1443" w:type="dxa"/>
            <w:tcBorders>
              <w:top w:val="single" w:color="000000" w:sz="4" w:space="0"/>
              <w:left w:val="single" w:color="000000" w:sz="4" w:space="0"/>
              <w:bottom w:val="single" w:color="000000" w:sz="4" w:space="0"/>
              <w:right w:val="single" w:color="000000" w:sz="4" w:space="0"/>
            </w:tcBorders>
            <w:vAlign w:val="center"/>
          </w:tcPr>
          <w:p w14:paraId="5FB924A7">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超净工作台</w:t>
            </w:r>
          </w:p>
        </w:tc>
        <w:tc>
          <w:tcPr>
            <w:tcW w:w="6750" w:type="dxa"/>
            <w:tcBorders>
              <w:top w:val="single" w:color="000000" w:sz="4" w:space="0"/>
              <w:left w:val="single" w:color="000000" w:sz="4" w:space="0"/>
              <w:bottom w:val="single" w:color="000000" w:sz="4" w:space="0"/>
              <w:right w:val="single" w:color="000000" w:sz="4" w:space="0"/>
            </w:tcBorders>
            <w:vAlign w:val="center"/>
          </w:tcPr>
          <w:p w14:paraId="2AFFA821">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为植物组织实验外植体接种提供相对无菌的操作环境。</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1.采用了任意定位移门系统</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2.外壳采用彩钢板一体成型，工作台面为SUS304拉丝不锈钢，耐腐蚀、易清洗</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3.照明和杀菌系统安全互锁，可进行紫外灯定时杀菌</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4.数显式液晶控制界面，更具人性化设计</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5.垂直准闭合式台面，操作室下降流气幕的形成，可有效防止外部气体投入和操作区洁净</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6.配置有HEPA高效空气过滤器，设有初效过滤器进行初步过滤，可有效延长高效过滤器使用寿命</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7.洁净等级100级@≥0.5μM（美联邦209E）</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8.菌落数≤0.5个/皿·时（Φ90mm培养平皿）</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9.平均风速0.25～0.45m/s（三档可调）</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10.噪音≤62dB（A）</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11.振动半峰值≤0.5μM（x、y、z方向）</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12.照度≥300Lx</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13.电源AC单相220V/50Hz</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14.最大功率800W</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15.重量160</w:t>
            </w:r>
            <w:r>
              <w:rPr>
                <w:rFonts w:hint="eastAsia" w:asciiTheme="minorEastAsia" w:hAnsiTheme="minorEastAsia" w:eastAsiaTheme="minorEastAsia"/>
                <w:color w:val="000000"/>
                <w:kern w:val="0"/>
                <w:sz w:val="24"/>
                <w:lang w:eastAsia="zh-CN" w:bidi="ar"/>
              </w:rPr>
              <w:t>kg</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16.工作区尺寸W1×D1×H≥11360×580×515mm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17.外型尺寸W×D×H≥1520×670×1625mm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18.适用人数双人/双面</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19.高效过滤器规格及数量≥1355×555×38mm×①</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20.荧光灯/紫外灯规格及数量30W×①/30W×①</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配套控制软件</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管理后台：</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1、具备公司自主品牌的管理平台</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2、支持管理后台主页显示常用的系统数据曲线和场所、模块、终端数量显示</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3、支持用户自行创建管理场所，包括各种实验室、智慧农场等</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4、支持用户管理自有模块信息，模块可以配置到不同的场所，实现实时数据关联</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5、支持用户定义终端，通过对不同厂家设备的参数配置，实现真正意义上的自定义物联</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6、支持用户自行定义终端快捷动作，用户通过对终端指令的批量设置，可以实现方便的对设备进行多动作连续执行</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7、支持用户自行定义传感器设备，不仅限某个指定厂家，只要协议兼容，都能方便接入传感器</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8、支持用户执行器定义，用户可以通过后台定义不同厂家的执行器，从而方便接入控制设备</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9、支持用户查看授权的资源信息，包括各种培训资料、教材、音视频文件、课件等分类的资料</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10、支持给上传特聘专家为平台终端用户老师提供专门的专家提问场景</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11、支持将所有的终端动作进行记录，为设备的采样、执行、状态获取等提供可追溯的数据</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APP/小程序端：</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1、具备公司自主品牌的微信小程序、安卓APP、苹果H5APP</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2、主页支持显示基本信息、场所、模块、终端、配件、资源、报修、专家互动、商城推荐、服务热线、案例展示等快捷通道</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3、基本信息页面支持显示单位信息、报修、计划任务、硬件配置等重要资料</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4、支持展示用户自己的场所信息、模块信息</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5、支持展示用户自己的终端信息，终端信息列表呈现对应终端在在线状态</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6、支持用户读取传感器信息，不同终端进入后可以看到挂载的不同传感器，对传感器数据进行实时读取并显示，支持市面上各类传感器类型</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7、支持用户读取执行器状态，并控制执行器，实现不同的控制目的</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8、支持用户自定义任务计划，用户可以设置不同形式的任务计划，实现对终端的定时控制、定期循环控制等自执行操作</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10、支持用户查看平台推送的各种资源课件等资料</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11、支持用户对特聘专家进行提问，并在专家回复后查看回复</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12、支持用户自助报修，通过平台报修界面实现对不同终端设备的在线自助报修</w:t>
            </w:r>
          </w:p>
        </w:tc>
        <w:tc>
          <w:tcPr>
            <w:tcW w:w="703" w:type="dxa"/>
            <w:tcBorders>
              <w:top w:val="single" w:color="000000" w:sz="4" w:space="0"/>
              <w:left w:val="single" w:color="000000" w:sz="4" w:space="0"/>
              <w:bottom w:val="single" w:color="000000" w:sz="4" w:space="0"/>
              <w:right w:val="single" w:color="000000" w:sz="4" w:space="0"/>
            </w:tcBorders>
            <w:vAlign w:val="center"/>
          </w:tcPr>
          <w:p w14:paraId="4FB12BA5">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12</w:t>
            </w:r>
          </w:p>
        </w:tc>
        <w:tc>
          <w:tcPr>
            <w:tcW w:w="637" w:type="dxa"/>
            <w:tcBorders>
              <w:top w:val="single" w:color="000000" w:sz="4" w:space="0"/>
              <w:left w:val="single" w:color="000000" w:sz="4" w:space="0"/>
              <w:bottom w:val="single" w:color="000000" w:sz="4" w:space="0"/>
              <w:right w:val="single" w:color="000000" w:sz="4" w:space="0"/>
            </w:tcBorders>
            <w:vAlign w:val="center"/>
          </w:tcPr>
          <w:p w14:paraId="1A5905F6">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台</w:t>
            </w:r>
          </w:p>
        </w:tc>
      </w:tr>
      <w:tr w14:paraId="65FE820B">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5C06A1C8">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26</w:t>
            </w:r>
          </w:p>
        </w:tc>
        <w:tc>
          <w:tcPr>
            <w:tcW w:w="1443" w:type="dxa"/>
            <w:tcBorders>
              <w:top w:val="single" w:color="000000" w:sz="4" w:space="0"/>
              <w:left w:val="single" w:color="000000" w:sz="4" w:space="0"/>
              <w:bottom w:val="single" w:color="000000" w:sz="4" w:space="0"/>
              <w:right w:val="single" w:color="000000" w:sz="4" w:space="0"/>
            </w:tcBorders>
            <w:vAlign w:val="center"/>
          </w:tcPr>
          <w:p w14:paraId="7E1ACE2C">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智能光照培养箱</w:t>
            </w:r>
          </w:p>
        </w:tc>
        <w:tc>
          <w:tcPr>
            <w:tcW w:w="6750" w:type="dxa"/>
            <w:tcBorders>
              <w:top w:val="single" w:color="000000" w:sz="4" w:space="0"/>
              <w:left w:val="single" w:color="000000" w:sz="4" w:space="0"/>
              <w:bottom w:val="single" w:color="000000" w:sz="4" w:space="0"/>
              <w:right w:val="single" w:color="000000" w:sz="4" w:space="0"/>
            </w:tcBorders>
            <w:vAlign w:val="center"/>
          </w:tcPr>
          <w:p w14:paraId="6D100B07">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1.容积：≥250L</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2.控温范围：0～50℃</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3.温度波动度：±1.0℃</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4.温度偏差：±1.5℃</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5.温度不均匀度：≤1.5℃</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6.温度最大可编程段数：多段，液晶显示器，光源为LED光源，灯管为DC24V弱电压。</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7.光照级数：0～100级</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8.光照度：0-12000LUX</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9.升温时间：10℃升至40℃为60分钟</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10.降温时间：40℃降至10℃为60分钟</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11.加热功率：200W</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12.压缩机功率：200W</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13.压缩机动延时保护时间：3分钟左右</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14.制冷剂：R134a（无氟）</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15.噪音：＜70Db</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16.工作方式：连续运行（压缩机间歇工作）</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17.工作环境：温度0～40℃湿度85%RH以下，无腐蚀性气体</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18.电源：220±22V、50±0.5</w:t>
            </w:r>
            <w:r>
              <w:rPr>
                <w:rFonts w:hint="eastAsia" w:asciiTheme="minorEastAsia" w:hAnsiTheme="minorEastAsia" w:eastAsiaTheme="minorEastAsia"/>
                <w:color w:val="000000"/>
                <w:kern w:val="0"/>
                <w:sz w:val="24"/>
                <w:lang w:eastAsia="zh-CN" w:bidi="ar"/>
              </w:rPr>
              <w:t>Hz</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19.内部尺寸≥500*500*1040mm，外部尺寸≥600*670*1650mm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★提供第三方检测机构出具的校准报告，必须有CMA或CNAS认证，且校准报告内体现温度偏差、温度均匀度、温度波动度的检测数据，且校准结果为合格</w:t>
            </w:r>
          </w:p>
        </w:tc>
        <w:tc>
          <w:tcPr>
            <w:tcW w:w="703" w:type="dxa"/>
            <w:tcBorders>
              <w:top w:val="single" w:color="000000" w:sz="4" w:space="0"/>
              <w:left w:val="single" w:color="000000" w:sz="4" w:space="0"/>
              <w:bottom w:val="single" w:color="000000" w:sz="4" w:space="0"/>
              <w:right w:val="single" w:color="000000" w:sz="4" w:space="0"/>
            </w:tcBorders>
            <w:vAlign w:val="center"/>
          </w:tcPr>
          <w:p w14:paraId="48FF9848">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6EFC4AA7">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台</w:t>
            </w:r>
          </w:p>
        </w:tc>
      </w:tr>
      <w:tr w14:paraId="15F828BC">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3218176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27</w:t>
            </w:r>
          </w:p>
        </w:tc>
        <w:tc>
          <w:tcPr>
            <w:tcW w:w="1443" w:type="dxa"/>
            <w:tcBorders>
              <w:top w:val="single" w:color="000000" w:sz="4" w:space="0"/>
              <w:left w:val="single" w:color="000000" w:sz="4" w:space="0"/>
              <w:bottom w:val="single" w:color="000000" w:sz="4" w:space="0"/>
              <w:right w:val="single" w:color="000000" w:sz="4" w:space="0"/>
            </w:tcBorders>
            <w:vAlign w:val="center"/>
          </w:tcPr>
          <w:p w14:paraId="657257F1">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生化培养箱</w:t>
            </w:r>
          </w:p>
        </w:tc>
        <w:tc>
          <w:tcPr>
            <w:tcW w:w="6750" w:type="dxa"/>
            <w:tcBorders>
              <w:top w:val="single" w:color="000000" w:sz="4" w:space="0"/>
              <w:left w:val="single" w:color="000000" w:sz="4" w:space="0"/>
              <w:bottom w:val="single" w:color="000000" w:sz="4" w:space="0"/>
              <w:right w:val="single" w:color="000000" w:sz="4" w:space="0"/>
            </w:tcBorders>
            <w:vAlign w:val="center"/>
          </w:tcPr>
          <w:p w14:paraId="3C75FB65">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 微电脑程序控制，大屏幕液晶显示控制温度，时间，超温报警等功能。</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 可设定30段程序，每段设置时间范围1-99小时，可设置不同的分段参数，以满足实验的不同参数。</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 国际品牌压缩机保证试验设备长时间连续运行，环保型制冷剂高效率，低能耗，促进节能。</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 PID控制方式，控温精确波动小，感应快，系统误差小；</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 独特风道</w:t>
            </w:r>
            <w:r>
              <w:rPr>
                <w:rFonts w:hint="eastAsia" w:asciiTheme="minorEastAsia" w:hAnsiTheme="minorEastAsia" w:eastAsiaTheme="minorEastAsia"/>
                <w:color w:val="000000"/>
                <w:kern w:val="0"/>
                <w:sz w:val="24"/>
                <w:lang w:eastAsia="zh-CN" w:bidi="ar"/>
              </w:rPr>
              <w:t>式</w:t>
            </w:r>
            <w:r>
              <w:rPr>
                <w:rFonts w:asciiTheme="minorEastAsia" w:hAnsiTheme="minorEastAsia" w:eastAsiaTheme="minorEastAsia"/>
                <w:color w:val="000000"/>
                <w:kern w:val="0"/>
                <w:sz w:val="24"/>
                <w:lang w:bidi="ar"/>
              </w:rPr>
              <w:t>通风，工作室内风速柔和，温度均匀。</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6.可设置内胆保护温度，高于内胆保护温度软硬件自动切断电源，保护测试样品。</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7.具有超温和传感器异常保护功能，保证仪器和样品安全。</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8.具有掉电记忆、</w:t>
            </w:r>
            <w:r>
              <w:rPr>
                <w:rFonts w:hint="eastAsia" w:asciiTheme="minorEastAsia" w:hAnsiTheme="minorEastAsia" w:eastAsiaTheme="minorEastAsia"/>
                <w:color w:val="000000"/>
                <w:kern w:val="0"/>
                <w:sz w:val="24"/>
                <w:lang w:eastAsia="zh-CN" w:bidi="ar"/>
              </w:rPr>
              <w:t>掉电</w:t>
            </w:r>
            <w:r>
              <w:rPr>
                <w:rFonts w:asciiTheme="minorEastAsia" w:hAnsiTheme="minorEastAsia" w:eastAsiaTheme="minorEastAsia"/>
                <w:color w:val="000000"/>
                <w:kern w:val="0"/>
                <w:sz w:val="24"/>
                <w:lang w:bidi="ar"/>
              </w:rPr>
              <w:t>时间自动补偿功能，停电后再次开机都可以延续原来的工作状态。</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9.容积：≥250L</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10.控温范围：0-50℃.控温精度0.1℃波动度±0.5℃-±1.0℃均匀度±1.0℃</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11.升温时间：0℃升至40℃≦60分钟</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12.降温时间：40℃降至10℃≦100分钟</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13.工作时间：连续循环</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14.工作环境：0-30℃，湿度85%RH以下，无腐蚀性气体</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15.压缩机启动延时保护时间：3分钟。</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16.工作方式：连续运行（压缩机间歇工作）</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17.噪音：≦70db</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18.电源要求：220V/50Hz。</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19.风冷技术，无氟制冷</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20.内径尺寸：≥50*40*100mm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★提供第三方检测机构出具的校准报告，必须有CMA或CNAS认证，且校准报告内体现温度偏差、温度均匀度、温度波动度的检测数据，且校准结果为合格</w:t>
            </w:r>
          </w:p>
        </w:tc>
        <w:tc>
          <w:tcPr>
            <w:tcW w:w="703" w:type="dxa"/>
            <w:tcBorders>
              <w:top w:val="single" w:color="000000" w:sz="4" w:space="0"/>
              <w:left w:val="single" w:color="000000" w:sz="4" w:space="0"/>
              <w:bottom w:val="single" w:color="000000" w:sz="4" w:space="0"/>
              <w:right w:val="single" w:color="000000" w:sz="4" w:space="0"/>
            </w:tcBorders>
            <w:vAlign w:val="center"/>
          </w:tcPr>
          <w:p w14:paraId="7209E10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5E9A2F27">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台</w:t>
            </w:r>
          </w:p>
        </w:tc>
      </w:tr>
      <w:tr w14:paraId="4AA8AD87">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2225F01A">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28</w:t>
            </w:r>
          </w:p>
        </w:tc>
        <w:tc>
          <w:tcPr>
            <w:tcW w:w="1443" w:type="dxa"/>
            <w:tcBorders>
              <w:top w:val="single" w:color="000000" w:sz="4" w:space="0"/>
              <w:left w:val="single" w:color="000000" w:sz="4" w:space="0"/>
              <w:bottom w:val="single" w:color="000000" w:sz="4" w:space="0"/>
              <w:right w:val="single" w:color="000000" w:sz="4" w:space="0"/>
            </w:tcBorders>
            <w:vAlign w:val="center"/>
          </w:tcPr>
          <w:p w14:paraId="39FE9E41">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光照培养架</w:t>
            </w:r>
          </w:p>
        </w:tc>
        <w:tc>
          <w:tcPr>
            <w:tcW w:w="6750" w:type="dxa"/>
            <w:tcBorders>
              <w:top w:val="single" w:color="000000" w:sz="4" w:space="0"/>
              <w:left w:val="single" w:color="000000" w:sz="4" w:space="0"/>
              <w:bottom w:val="single" w:color="000000" w:sz="4" w:space="0"/>
              <w:right w:val="single" w:color="000000" w:sz="4" w:space="0"/>
            </w:tcBorders>
            <w:vAlign w:val="center"/>
          </w:tcPr>
          <w:p w14:paraId="51E1117D">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1.尺寸：高≥180cm，实用四层，每层实用面积≥120cm×40cm</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2.灯管和灯架一体化设计；</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3.光源额定电压：220v 50Hz，额定功率16W；</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 xml:space="preserve">4.电源：220v 50Hz，最大功率≥360W </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5.控时器参数：即时工作指示灯；铜片结构优化设计，寿命更长夏令时/冬令时功能；大屏幕液晶显示设定；最小时间间隔为1分钟,每天最多可设置20组开与关,每周可设置140组</w:t>
            </w:r>
          </w:p>
        </w:tc>
        <w:tc>
          <w:tcPr>
            <w:tcW w:w="703" w:type="dxa"/>
            <w:tcBorders>
              <w:top w:val="single" w:color="000000" w:sz="4" w:space="0"/>
              <w:left w:val="single" w:color="000000" w:sz="4" w:space="0"/>
              <w:bottom w:val="single" w:color="000000" w:sz="4" w:space="0"/>
              <w:right w:val="single" w:color="000000" w:sz="4" w:space="0"/>
            </w:tcBorders>
            <w:vAlign w:val="center"/>
          </w:tcPr>
          <w:p w14:paraId="5F6EFAA0">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w:t>
            </w:r>
          </w:p>
        </w:tc>
        <w:tc>
          <w:tcPr>
            <w:tcW w:w="637" w:type="dxa"/>
            <w:tcBorders>
              <w:top w:val="single" w:color="000000" w:sz="4" w:space="0"/>
              <w:left w:val="single" w:color="000000" w:sz="4" w:space="0"/>
              <w:bottom w:val="single" w:color="000000" w:sz="4" w:space="0"/>
              <w:right w:val="single" w:color="000000" w:sz="4" w:space="0"/>
            </w:tcBorders>
            <w:vAlign w:val="center"/>
          </w:tcPr>
          <w:p w14:paraId="58BAD237">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套</w:t>
            </w:r>
          </w:p>
        </w:tc>
      </w:tr>
      <w:tr w14:paraId="11BFB3C3">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55A7ED5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29</w:t>
            </w:r>
          </w:p>
        </w:tc>
        <w:tc>
          <w:tcPr>
            <w:tcW w:w="1443" w:type="dxa"/>
            <w:tcBorders>
              <w:top w:val="single" w:color="000000" w:sz="4" w:space="0"/>
              <w:left w:val="single" w:color="000000" w:sz="4" w:space="0"/>
              <w:bottom w:val="single" w:color="000000" w:sz="4" w:space="0"/>
              <w:right w:val="single" w:color="000000" w:sz="4" w:space="0"/>
            </w:tcBorders>
            <w:vAlign w:val="center"/>
          </w:tcPr>
          <w:p w14:paraId="6172AA3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微波炉</w:t>
            </w:r>
          </w:p>
        </w:tc>
        <w:tc>
          <w:tcPr>
            <w:tcW w:w="6750" w:type="dxa"/>
            <w:tcBorders>
              <w:top w:val="single" w:color="000000" w:sz="4" w:space="0"/>
              <w:left w:val="single" w:color="000000" w:sz="4" w:space="0"/>
              <w:bottom w:val="single" w:color="000000" w:sz="4" w:space="0"/>
              <w:right w:val="single" w:color="000000" w:sz="4" w:space="0"/>
            </w:tcBorders>
            <w:vAlign w:val="center"/>
          </w:tcPr>
          <w:p w14:paraId="64D3FDF5">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高效微晶大平板炉，≥20L，功率≥700W</w:t>
            </w:r>
          </w:p>
        </w:tc>
        <w:tc>
          <w:tcPr>
            <w:tcW w:w="703" w:type="dxa"/>
            <w:tcBorders>
              <w:top w:val="single" w:color="000000" w:sz="4" w:space="0"/>
              <w:left w:val="single" w:color="000000" w:sz="4" w:space="0"/>
              <w:bottom w:val="single" w:color="000000" w:sz="4" w:space="0"/>
              <w:right w:val="single" w:color="000000" w:sz="4" w:space="0"/>
            </w:tcBorders>
            <w:vAlign w:val="center"/>
          </w:tcPr>
          <w:p w14:paraId="17808CA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50DBA3FB">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台</w:t>
            </w:r>
          </w:p>
        </w:tc>
      </w:tr>
      <w:tr w14:paraId="4CC0485F">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3E8E5F0C">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30</w:t>
            </w:r>
          </w:p>
        </w:tc>
        <w:tc>
          <w:tcPr>
            <w:tcW w:w="1443" w:type="dxa"/>
            <w:tcBorders>
              <w:top w:val="single" w:color="000000" w:sz="4" w:space="0"/>
              <w:left w:val="single" w:color="000000" w:sz="4" w:space="0"/>
              <w:bottom w:val="single" w:color="000000" w:sz="4" w:space="0"/>
              <w:right w:val="single" w:color="000000" w:sz="4" w:space="0"/>
            </w:tcBorders>
            <w:vAlign w:val="center"/>
          </w:tcPr>
          <w:p w14:paraId="63CC25D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小推车</w:t>
            </w:r>
          </w:p>
        </w:tc>
        <w:tc>
          <w:tcPr>
            <w:tcW w:w="6750" w:type="dxa"/>
            <w:tcBorders>
              <w:top w:val="single" w:color="000000" w:sz="4" w:space="0"/>
              <w:left w:val="single" w:color="000000" w:sz="4" w:space="0"/>
              <w:bottom w:val="single" w:color="000000" w:sz="4" w:space="0"/>
              <w:right w:val="single" w:color="000000" w:sz="4" w:space="0"/>
            </w:tcBorders>
            <w:vAlign w:val="center"/>
          </w:tcPr>
          <w:p w14:paraId="5D75DBF7">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不锈钢，两层，单侧护栏</w:t>
            </w:r>
          </w:p>
        </w:tc>
        <w:tc>
          <w:tcPr>
            <w:tcW w:w="703" w:type="dxa"/>
            <w:tcBorders>
              <w:top w:val="single" w:color="000000" w:sz="4" w:space="0"/>
              <w:left w:val="single" w:color="000000" w:sz="4" w:space="0"/>
              <w:bottom w:val="single" w:color="000000" w:sz="4" w:space="0"/>
              <w:right w:val="single" w:color="000000" w:sz="4" w:space="0"/>
            </w:tcBorders>
            <w:vAlign w:val="center"/>
          </w:tcPr>
          <w:p w14:paraId="1971C206">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6946AB7D">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辆</w:t>
            </w:r>
          </w:p>
        </w:tc>
      </w:tr>
      <w:tr w14:paraId="1274D0F8">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49D2F2E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31</w:t>
            </w:r>
          </w:p>
        </w:tc>
        <w:tc>
          <w:tcPr>
            <w:tcW w:w="1443" w:type="dxa"/>
            <w:tcBorders>
              <w:top w:val="single" w:color="000000" w:sz="4" w:space="0"/>
              <w:left w:val="single" w:color="000000" w:sz="4" w:space="0"/>
              <w:bottom w:val="single" w:color="000000" w:sz="4" w:space="0"/>
              <w:right w:val="single" w:color="000000" w:sz="4" w:space="0"/>
            </w:tcBorders>
            <w:vAlign w:val="center"/>
          </w:tcPr>
          <w:p w14:paraId="0BC4EB1B">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实验服</w:t>
            </w:r>
          </w:p>
        </w:tc>
        <w:tc>
          <w:tcPr>
            <w:tcW w:w="6750" w:type="dxa"/>
            <w:tcBorders>
              <w:top w:val="single" w:color="000000" w:sz="4" w:space="0"/>
              <w:left w:val="single" w:color="000000" w:sz="4" w:space="0"/>
              <w:bottom w:val="single" w:color="000000" w:sz="4" w:space="0"/>
              <w:right w:val="single" w:color="000000" w:sz="4" w:space="0"/>
            </w:tcBorders>
            <w:vAlign w:val="center"/>
          </w:tcPr>
          <w:p w14:paraId="13DD960F">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可高温灭菌，反复使用</w:t>
            </w:r>
          </w:p>
        </w:tc>
        <w:tc>
          <w:tcPr>
            <w:tcW w:w="703" w:type="dxa"/>
            <w:tcBorders>
              <w:top w:val="single" w:color="000000" w:sz="4" w:space="0"/>
              <w:left w:val="single" w:color="000000" w:sz="4" w:space="0"/>
              <w:bottom w:val="single" w:color="000000" w:sz="4" w:space="0"/>
              <w:right w:val="single" w:color="000000" w:sz="4" w:space="0"/>
            </w:tcBorders>
            <w:vAlign w:val="center"/>
          </w:tcPr>
          <w:p w14:paraId="121304D8">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48</w:t>
            </w:r>
          </w:p>
        </w:tc>
        <w:tc>
          <w:tcPr>
            <w:tcW w:w="637" w:type="dxa"/>
            <w:tcBorders>
              <w:top w:val="single" w:color="000000" w:sz="4" w:space="0"/>
              <w:left w:val="single" w:color="000000" w:sz="4" w:space="0"/>
              <w:bottom w:val="single" w:color="000000" w:sz="4" w:space="0"/>
              <w:right w:val="single" w:color="000000" w:sz="4" w:space="0"/>
            </w:tcBorders>
            <w:vAlign w:val="center"/>
          </w:tcPr>
          <w:p w14:paraId="72EF360B">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件</w:t>
            </w:r>
          </w:p>
        </w:tc>
      </w:tr>
      <w:tr w14:paraId="4376302D">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36386A38">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32</w:t>
            </w:r>
          </w:p>
        </w:tc>
        <w:tc>
          <w:tcPr>
            <w:tcW w:w="1443" w:type="dxa"/>
            <w:tcBorders>
              <w:top w:val="single" w:color="000000" w:sz="4" w:space="0"/>
              <w:left w:val="single" w:color="000000" w:sz="4" w:space="0"/>
              <w:bottom w:val="single" w:color="000000" w:sz="4" w:space="0"/>
              <w:right w:val="single" w:color="000000" w:sz="4" w:space="0"/>
            </w:tcBorders>
            <w:vAlign w:val="center"/>
          </w:tcPr>
          <w:p w14:paraId="6A84BA2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探究实验耗材包</w:t>
            </w:r>
          </w:p>
        </w:tc>
        <w:tc>
          <w:tcPr>
            <w:tcW w:w="6750" w:type="dxa"/>
            <w:tcBorders>
              <w:top w:val="single" w:color="000000" w:sz="4" w:space="0"/>
              <w:left w:val="single" w:color="000000" w:sz="4" w:space="0"/>
              <w:bottom w:val="single" w:color="000000" w:sz="4" w:space="0"/>
              <w:right w:val="single" w:color="000000" w:sz="4" w:space="0"/>
            </w:tcBorders>
            <w:vAlign w:val="center"/>
          </w:tcPr>
          <w:p w14:paraId="08EA1076">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不锈钢直尖剪刀30把；枪型不锈钢镊子30把；不锈钢小托盘30个；四种规格吸头：吸头5000uL-1包，吸头1000uL-1包，吸头200uL-1包，吸头10uL-1包；四种规格吸头盒各25个；不锈钢防爆酒精灯25个；两面板25个；组培瓶5箱，0.5mL离心管1包；1.5mL离心管1包；封口膜1包；牛皮纸10张；一次性培养皿1箱；酒精棉球2包；接种棒+接种环30套；玻璃三角刮刀30根；一次性乳胶手套2盒。</w:t>
            </w:r>
          </w:p>
        </w:tc>
        <w:tc>
          <w:tcPr>
            <w:tcW w:w="703" w:type="dxa"/>
            <w:tcBorders>
              <w:top w:val="single" w:color="000000" w:sz="4" w:space="0"/>
              <w:left w:val="single" w:color="000000" w:sz="4" w:space="0"/>
              <w:bottom w:val="single" w:color="000000" w:sz="4" w:space="0"/>
              <w:right w:val="single" w:color="000000" w:sz="4" w:space="0"/>
            </w:tcBorders>
            <w:vAlign w:val="center"/>
          </w:tcPr>
          <w:p w14:paraId="5C94C60D">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4C365A4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套</w:t>
            </w:r>
          </w:p>
        </w:tc>
      </w:tr>
      <w:tr w14:paraId="7E5792AF">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1055DBD5">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33</w:t>
            </w:r>
          </w:p>
        </w:tc>
        <w:tc>
          <w:tcPr>
            <w:tcW w:w="1443" w:type="dxa"/>
            <w:tcBorders>
              <w:top w:val="single" w:color="000000" w:sz="4" w:space="0"/>
              <w:left w:val="single" w:color="000000" w:sz="4" w:space="0"/>
              <w:bottom w:val="single" w:color="000000" w:sz="4" w:space="0"/>
              <w:right w:val="single" w:color="000000" w:sz="4" w:space="0"/>
            </w:tcBorders>
            <w:vAlign w:val="center"/>
          </w:tcPr>
          <w:p w14:paraId="5E3D2D3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组培苗</w:t>
            </w:r>
          </w:p>
        </w:tc>
        <w:tc>
          <w:tcPr>
            <w:tcW w:w="6750" w:type="dxa"/>
            <w:tcBorders>
              <w:top w:val="single" w:color="000000" w:sz="4" w:space="0"/>
              <w:left w:val="single" w:color="000000" w:sz="4" w:space="0"/>
              <w:bottom w:val="single" w:color="000000" w:sz="4" w:space="0"/>
              <w:right w:val="single" w:color="000000" w:sz="4" w:space="0"/>
            </w:tcBorders>
            <w:vAlign w:val="center"/>
          </w:tcPr>
          <w:p w14:paraId="157825A1">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生长状况健康，良好；菊花或者其他</w:t>
            </w:r>
          </w:p>
        </w:tc>
        <w:tc>
          <w:tcPr>
            <w:tcW w:w="703" w:type="dxa"/>
            <w:tcBorders>
              <w:top w:val="single" w:color="000000" w:sz="4" w:space="0"/>
              <w:left w:val="single" w:color="000000" w:sz="4" w:space="0"/>
              <w:bottom w:val="single" w:color="000000" w:sz="4" w:space="0"/>
              <w:right w:val="single" w:color="000000" w:sz="4" w:space="0"/>
            </w:tcBorders>
            <w:vAlign w:val="center"/>
          </w:tcPr>
          <w:p w14:paraId="3776727D">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20</w:t>
            </w:r>
          </w:p>
        </w:tc>
        <w:tc>
          <w:tcPr>
            <w:tcW w:w="637" w:type="dxa"/>
            <w:tcBorders>
              <w:top w:val="single" w:color="000000" w:sz="4" w:space="0"/>
              <w:left w:val="single" w:color="000000" w:sz="4" w:space="0"/>
              <w:bottom w:val="single" w:color="000000" w:sz="4" w:space="0"/>
              <w:right w:val="single" w:color="000000" w:sz="4" w:space="0"/>
            </w:tcBorders>
            <w:vAlign w:val="center"/>
          </w:tcPr>
          <w:p w14:paraId="6A8F3AC5">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瓶</w:t>
            </w:r>
          </w:p>
        </w:tc>
      </w:tr>
      <w:tr w14:paraId="06BA0D78">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4E6DC7A0">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34</w:t>
            </w:r>
          </w:p>
        </w:tc>
        <w:tc>
          <w:tcPr>
            <w:tcW w:w="1443" w:type="dxa"/>
            <w:tcBorders>
              <w:top w:val="single" w:color="000000" w:sz="4" w:space="0"/>
              <w:left w:val="single" w:color="000000" w:sz="4" w:space="0"/>
              <w:bottom w:val="single" w:color="000000" w:sz="4" w:space="0"/>
              <w:right w:val="single" w:color="000000" w:sz="4" w:space="0"/>
            </w:tcBorders>
            <w:vAlign w:val="center"/>
          </w:tcPr>
          <w:p w14:paraId="4456D5D5">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试剂盒</w:t>
            </w:r>
          </w:p>
        </w:tc>
        <w:tc>
          <w:tcPr>
            <w:tcW w:w="6750" w:type="dxa"/>
            <w:tcBorders>
              <w:top w:val="single" w:color="000000" w:sz="4" w:space="0"/>
              <w:left w:val="single" w:color="000000" w:sz="4" w:space="0"/>
              <w:bottom w:val="single" w:color="000000" w:sz="4" w:space="0"/>
              <w:right w:val="single" w:color="000000" w:sz="4" w:space="0"/>
            </w:tcBorders>
            <w:vAlign w:val="center"/>
          </w:tcPr>
          <w:p w14:paraId="1E2FF4E2">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酵母菌的纯培养；土壤中分离尿素的微生物的分离与计数；植物的组织培养；</w:t>
            </w:r>
          </w:p>
        </w:tc>
        <w:tc>
          <w:tcPr>
            <w:tcW w:w="703" w:type="dxa"/>
            <w:tcBorders>
              <w:top w:val="single" w:color="000000" w:sz="4" w:space="0"/>
              <w:left w:val="single" w:color="000000" w:sz="4" w:space="0"/>
              <w:bottom w:val="single" w:color="000000" w:sz="4" w:space="0"/>
              <w:right w:val="single" w:color="000000" w:sz="4" w:space="0"/>
            </w:tcBorders>
            <w:vAlign w:val="center"/>
          </w:tcPr>
          <w:p w14:paraId="0C6C7A99">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3DC4A8B0">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套</w:t>
            </w:r>
          </w:p>
        </w:tc>
      </w:tr>
      <w:tr w14:paraId="287F5334">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59CE43BB">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35</w:t>
            </w:r>
          </w:p>
        </w:tc>
        <w:tc>
          <w:tcPr>
            <w:tcW w:w="1443" w:type="dxa"/>
            <w:tcBorders>
              <w:top w:val="single" w:color="000000" w:sz="4" w:space="0"/>
              <w:left w:val="single" w:color="000000" w:sz="4" w:space="0"/>
              <w:bottom w:val="single" w:color="000000" w:sz="4" w:space="0"/>
              <w:right w:val="single" w:color="000000" w:sz="4" w:space="0"/>
            </w:tcBorders>
            <w:vAlign w:val="center"/>
          </w:tcPr>
          <w:p w14:paraId="76C6A2E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急救药箱</w:t>
            </w:r>
          </w:p>
        </w:tc>
        <w:tc>
          <w:tcPr>
            <w:tcW w:w="6750" w:type="dxa"/>
            <w:tcBorders>
              <w:top w:val="single" w:color="000000" w:sz="4" w:space="0"/>
              <w:left w:val="single" w:color="000000" w:sz="4" w:space="0"/>
              <w:bottom w:val="single" w:color="000000" w:sz="4" w:space="0"/>
              <w:right w:val="single" w:color="000000" w:sz="4" w:space="0"/>
            </w:tcBorders>
            <w:vAlign w:val="center"/>
          </w:tcPr>
          <w:p w14:paraId="07FB0F16">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透明亚克力面板、铝合金边框，尺寸约348×338×147（mm），可以壁挂式安装。</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内含药品：碘伏，一次性口罩，酒精药棉，医用酒精，医用棉签，医用棉球，无菌纱布，胶布，创可贴，烫伤药膏；均为保质期内。</w:t>
            </w:r>
          </w:p>
        </w:tc>
        <w:tc>
          <w:tcPr>
            <w:tcW w:w="703" w:type="dxa"/>
            <w:tcBorders>
              <w:top w:val="single" w:color="000000" w:sz="4" w:space="0"/>
              <w:left w:val="single" w:color="000000" w:sz="4" w:space="0"/>
              <w:bottom w:val="single" w:color="000000" w:sz="4" w:space="0"/>
              <w:right w:val="single" w:color="000000" w:sz="4" w:space="0"/>
            </w:tcBorders>
            <w:vAlign w:val="center"/>
          </w:tcPr>
          <w:p w14:paraId="2750063A">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22679B45">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个</w:t>
            </w:r>
          </w:p>
        </w:tc>
      </w:tr>
      <w:tr w14:paraId="691925BC">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423D2771">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36</w:t>
            </w:r>
          </w:p>
        </w:tc>
        <w:tc>
          <w:tcPr>
            <w:tcW w:w="1443" w:type="dxa"/>
            <w:tcBorders>
              <w:top w:val="single" w:color="000000" w:sz="4" w:space="0"/>
              <w:left w:val="single" w:color="000000" w:sz="4" w:space="0"/>
              <w:bottom w:val="single" w:color="000000" w:sz="4" w:space="0"/>
              <w:right w:val="single" w:color="000000" w:sz="4" w:space="0"/>
            </w:tcBorders>
            <w:vAlign w:val="center"/>
          </w:tcPr>
          <w:p w14:paraId="4559CC9A">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课程培训与服务</w:t>
            </w:r>
          </w:p>
        </w:tc>
        <w:tc>
          <w:tcPr>
            <w:tcW w:w="6750" w:type="dxa"/>
            <w:tcBorders>
              <w:top w:val="single" w:color="000000" w:sz="4" w:space="0"/>
              <w:left w:val="single" w:color="000000" w:sz="4" w:space="0"/>
              <w:bottom w:val="single" w:color="000000" w:sz="4" w:space="0"/>
              <w:right w:val="single" w:color="000000" w:sz="4" w:space="0"/>
            </w:tcBorders>
            <w:vAlign w:val="center"/>
          </w:tcPr>
          <w:p w14:paraId="5FD1A783">
            <w:pPr>
              <w:widowControl/>
              <w:spacing w:line="320" w:lineRule="exact"/>
              <w:jc w:val="left"/>
              <w:textAlignment w:val="center"/>
              <w:rPr>
                <w:rFonts w:asciiTheme="minorEastAsia" w:hAnsiTheme="minorEastAsia" w:eastAsiaTheme="minorEastAsia"/>
                <w:color w:val="000000"/>
                <w:kern w:val="0"/>
                <w:sz w:val="24"/>
                <w:lang w:bidi="ar"/>
              </w:rPr>
            </w:pPr>
            <w:r>
              <w:rPr>
                <w:rFonts w:asciiTheme="minorEastAsia" w:hAnsiTheme="minorEastAsia" w:eastAsiaTheme="minorEastAsia"/>
                <w:color w:val="000000"/>
                <w:kern w:val="0"/>
                <w:sz w:val="24"/>
                <w:lang w:bidi="ar"/>
              </w:rPr>
              <w:t>提供高中生物新课程实验培训一次、协助学校开展生物相关课题开设、课程开发以及</w:t>
            </w:r>
            <w:r>
              <w:rPr>
                <w:rFonts w:hint="eastAsia" w:cs="宋体" w:asciiTheme="minorEastAsia" w:hAnsiTheme="minorEastAsia" w:eastAsiaTheme="minorEastAsia"/>
                <w:kern w:val="0"/>
                <w:sz w:val="24"/>
              </w:rPr>
              <w:t>中小学素拓课程手册</w:t>
            </w:r>
            <w:r>
              <w:rPr>
                <w:rFonts w:asciiTheme="minorEastAsia" w:hAnsiTheme="minorEastAsia" w:eastAsiaTheme="minorEastAsia"/>
                <w:color w:val="000000"/>
                <w:kern w:val="0"/>
                <w:sz w:val="24"/>
                <w:lang w:bidi="ar"/>
              </w:rPr>
              <w:t>20本；</w:t>
            </w:r>
          </w:p>
          <w:p w14:paraId="544144CA">
            <w:pPr>
              <w:widowControl/>
              <w:spacing w:line="320" w:lineRule="exact"/>
              <w:jc w:val="left"/>
              <w:textAlignment w:val="center"/>
              <w:rPr>
                <w:rFonts w:asciiTheme="minorEastAsia" w:hAnsiTheme="minorEastAsia" w:eastAsiaTheme="minorEastAsia"/>
                <w:color w:val="000000"/>
                <w:kern w:val="0"/>
                <w:sz w:val="24"/>
                <w:lang w:bidi="ar"/>
              </w:rPr>
            </w:pPr>
            <w:r>
              <w:rPr>
                <w:rFonts w:asciiTheme="minorEastAsia" w:hAnsiTheme="minorEastAsia" w:eastAsiaTheme="minorEastAsia"/>
                <w:color w:val="000000"/>
                <w:kern w:val="0"/>
                <w:sz w:val="24"/>
                <w:lang w:bidi="ar"/>
              </w:rPr>
              <w:t>★</w:t>
            </w:r>
            <w:r>
              <w:rPr>
                <w:rFonts w:hint="eastAsia" w:cs="宋体" w:asciiTheme="minorEastAsia" w:hAnsiTheme="minorEastAsia" w:eastAsiaTheme="minorEastAsia"/>
                <w:kern w:val="0"/>
                <w:sz w:val="24"/>
              </w:rPr>
              <w:t>中小学素拓课程手册：</w:t>
            </w:r>
            <w:r>
              <w:rPr>
                <w:rFonts w:asciiTheme="minorEastAsia" w:hAnsiTheme="minorEastAsia" w:eastAsiaTheme="minorEastAsia"/>
                <w:color w:val="000000"/>
                <w:kern w:val="0"/>
                <w:sz w:val="24"/>
                <w:lang w:bidi="ar"/>
              </w:rPr>
              <w:br w:type="textWrapping"/>
            </w:r>
            <w:r>
              <w:rPr>
                <w:rFonts w:hint="eastAsia" w:asciiTheme="minorEastAsia" w:hAnsiTheme="minorEastAsia" w:eastAsiaTheme="minorEastAsia"/>
                <w:color w:val="000000"/>
                <w:kern w:val="0"/>
                <w:sz w:val="24"/>
                <w:lang w:bidi="ar"/>
              </w:rPr>
              <w:t>1.1装订工艺：精美胶装本；</w:t>
            </w:r>
          </w:p>
          <w:p w14:paraId="77D16D9F">
            <w:pPr>
              <w:widowControl/>
              <w:spacing w:line="320" w:lineRule="exact"/>
              <w:jc w:val="left"/>
              <w:textAlignment w:val="center"/>
              <w:rPr>
                <w:rFonts w:asciiTheme="minorEastAsia" w:hAnsiTheme="minorEastAsia" w:eastAsiaTheme="minorEastAsia"/>
                <w:color w:val="000000"/>
                <w:kern w:val="0"/>
                <w:sz w:val="24"/>
                <w:lang w:bidi="ar"/>
              </w:rPr>
            </w:pPr>
            <w:r>
              <w:rPr>
                <w:rFonts w:hint="eastAsia" w:asciiTheme="minorEastAsia" w:hAnsiTheme="minorEastAsia" w:eastAsiaTheme="minorEastAsia"/>
                <w:color w:val="000000"/>
                <w:kern w:val="0"/>
                <w:sz w:val="24"/>
                <w:lang w:bidi="ar"/>
              </w:rPr>
              <w:t>1.2课程内容：课程不少于以下五方面内容【投标时，须提供以上功能真实场景界面截图佐证】：</w:t>
            </w:r>
          </w:p>
          <w:p w14:paraId="6FA81522">
            <w:pPr>
              <w:widowControl/>
              <w:spacing w:line="320" w:lineRule="exact"/>
              <w:jc w:val="left"/>
              <w:textAlignment w:val="center"/>
              <w:rPr>
                <w:rFonts w:asciiTheme="minorEastAsia" w:hAnsiTheme="minorEastAsia" w:eastAsiaTheme="minorEastAsia"/>
                <w:color w:val="000000"/>
                <w:kern w:val="0"/>
                <w:sz w:val="24"/>
                <w:lang w:bidi="ar"/>
              </w:rPr>
            </w:pPr>
            <w:r>
              <w:rPr>
                <w:rFonts w:hint="eastAsia" w:asciiTheme="minorEastAsia" w:hAnsiTheme="minorEastAsia" w:eastAsiaTheme="minorEastAsia"/>
                <w:color w:val="000000"/>
                <w:kern w:val="0"/>
                <w:sz w:val="24"/>
                <w:lang w:bidi="ar"/>
              </w:rPr>
              <w:t>1.2.1校园“微”世界：酸奶的制作、泡菜的制作、果酒的制作、腐乳的制作、寻找微生物-检测不同环境中的细菌和真菌、微生物的培养-酵母菌、发光细菌、食用菌；</w:t>
            </w:r>
          </w:p>
          <w:p w14:paraId="7919FF9E">
            <w:pPr>
              <w:widowControl/>
              <w:spacing w:line="320" w:lineRule="exact"/>
              <w:jc w:val="left"/>
              <w:textAlignment w:val="center"/>
              <w:rPr>
                <w:rFonts w:asciiTheme="minorEastAsia" w:hAnsiTheme="minorEastAsia" w:eastAsiaTheme="minorEastAsia"/>
                <w:color w:val="000000"/>
                <w:kern w:val="0"/>
                <w:sz w:val="24"/>
                <w:lang w:bidi="ar"/>
              </w:rPr>
            </w:pPr>
            <w:r>
              <w:rPr>
                <w:rFonts w:hint="eastAsia" w:asciiTheme="minorEastAsia" w:hAnsiTheme="minorEastAsia" w:eastAsiaTheme="minorEastAsia"/>
                <w:color w:val="000000"/>
                <w:kern w:val="0"/>
                <w:sz w:val="24"/>
                <w:lang w:bidi="ar"/>
              </w:rPr>
              <w:t>1.2.2“香”约校园：植物芳香油的提取、精油小挂饰的制作、精油手工皂的制作、精油润唇膏的制作、精油护手霜的制作；</w:t>
            </w:r>
          </w:p>
          <w:p w14:paraId="3ED04E00">
            <w:pPr>
              <w:widowControl/>
              <w:spacing w:line="320" w:lineRule="exact"/>
              <w:jc w:val="left"/>
              <w:textAlignment w:val="center"/>
              <w:rPr>
                <w:rFonts w:asciiTheme="minorEastAsia" w:hAnsiTheme="minorEastAsia" w:eastAsiaTheme="minorEastAsia"/>
                <w:color w:val="000000"/>
                <w:kern w:val="0"/>
                <w:sz w:val="24"/>
                <w:lang w:bidi="ar"/>
              </w:rPr>
            </w:pPr>
            <w:r>
              <w:rPr>
                <w:rFonts w:hint="eastAsia" w:asciiTheme="minorEastAsia" w:hAnsiTheme="minorEastAsia" w:eastAsiaTheme="minorEastAsia"/>
                <w:color w:val="000000"/>
                <w:kern w:val="0"/>
                <w:sz w:val="24"/>
                <w:lang w:bidi="ar"/>
              </w:rPr>
              <w:t>1.2.3小小生态圈构建：夏天水果上的小飞虫-果蝇养殖、闪电镰刀手传奇-螳螂养殖、破茧成蝶-蝴蝶的养殖、励志哥成长记-蜗牛的养殖、虫生如戏，全靠演技-昆虫拟态、捕猎者-华西雨蛙的养殖、地下迷宫-蚁族的世界；</w:t>
            </w:r>
          </w:p>
          <w:p w14:paraId="5A45260B">
            <w:pPr>
              <w:widowControl/>
              <w:spacing w:line="320" w:lineRule="exact"/>
              <w:jc w:val="left"/>
              <w:textAlignment w:val="center"/>
              <w:rPr>
                <w:rFonts w:asciiTheme="minorEastAsia" w:hAnsiTheme="minorEastAsia" w:eastAsiaTheme="minorEastAsia"/>
                <w:color w:val="000000"/>
                <w:kern w:val="0"/>
                <w:sz w:val="24"/>
                <w:lang w:bidi="ar"/>
              </w:rPr>
            </w:pPr>
            <w:r>
              <w:rPr>
                <w:rFonts w:hint="eastAsia" w:asciiTheme="minorEastAsia" w:hAnsiTheme="minorEastAsia" w:eastAsiaTheme="minorEastAsia"/>
                <w:color w:val="000000"/>
                <w:kern w:val="0"/>
                <w:sz w:val="24"/>
                <w:lang w:bidi="ar"/>
              </w:rPr>
              <w:t>1.2.4细胞揭秘：观察草履虫对外界刺激的反应、制作切片并寻找动植物细胞、观察人的口腔上皮细胞、观察绿叶细胞中的叶绿体；</w:t>
            </w:r>
          </w:p>
          <w:p w14:paraId="366FA8C8">
            <w:pPr>
              <w:widowControl/>
              <w:spacing w:line="320" w:lineRule="exact"/>
              <w:jc w:val="left"/>
              <w:textAlignment w:val="center"/>
              <w:rPr>
                <w:rFonts w:asciiTheme="minorEastAsia" w:hAnsiTheme="minorEastAsia" w:eastAsiaTheme="minorEastAsia"/>
                <w:color w:val="000000"/>
                <w:kern w:val="0"/>
                <w:sz w:val="24"/>
                <w:lang w:bidi="ar"/>
              </w:rPr>
            </w:pPr>
            <w:r>
              <w:rPr>
                <w:rFonts w:hint="eastAsia" w:asciiTheme="minorEastAsia" w:hAnsiTheme="minorEastAsia" w:eastAsiaTheme="minorEastAsia"/>
                <w:color w:val="000000"/>
                <w:kern w:val="0"/>
                <w:sz w:val="24"/>
                <w:lang w:bidi="ar"/>
              </w:rPr>
              <w:t>1.2.5小小生态园：“鱼”水“生”菜、幻彩水晶花瓶的制作、生命的力量-小小种子的萌发、无土栽培技术-水培、雾培、基质培、“离”不开、“酸”不住-各项参数测定、花儿为什么这样红-植物色素的提取与测定、探究光周期与光谱变化对植物生长的影响、水质的简易测定和不同水质对水生小动物的影响；</w:t>
            </w:r>
          </w:p>
          <w:p w14:paraId="4FE3D27B">
            <w:pPr>
              <w:widowControl/>
              <w:spacing w:line="320" w:lineRule="exact"/>
              <w:jc w:val="left"/>
              <w:textAlignment w:val="center"/>
              <w:rPr>
                <w:rFonts w:asciiTheme="minorEastAsia" w:hAnsiTheme="minorEastAsia" w:eastAsiaTheme="minorEastAsia"/>
                <w:color w:val="000000"/>
                <w:kern w:val="0"/>
                <w:sz w:val="24"/>
                <w:lang w:bidi="ar"/>
              </w:rPr>
            </w:pPr>
            <w:r>
              <w:rPr>
                <w:rFonts w:hint="eastAsia" w:asciiTheme="minorEastAsia" w:hAnsiTheme="minorEastAsia" w:eastAsiaTheme="minorEastAsia"/>
                <w:color w:val="000000"/>
                <w:kern w:val="0"/>
                <w:sz w:val="24"/>
                <w:lang w:bidi="ar"/>
              </w:rPr>
              <w:t>1.3课程细节：课程简介、教学材料及用具、实验步骤、课时安排、实验思考、课程成果欣赏等。</w:t>
            </w:r>
          </w:p>
        </w:tc>
        <w:tc>
          <w:tcPr>
            <w:tcW w:w="703" w:type="dxa"/>
            <w:tcBorders>
              <w:top w:val="single" w:color="000000" w:sz="4" w:space="0"/>
              <w:left w:val="single" w:color="000000" w:sz="4" w:space="0"/>
              <w:bottom w:val="single" w:color="000000" w:sz="4" w:space="0"/>
              <w:right w:val="single" w:color="000000" w:sz="4" w:space="0"/>
            </w:tcBorders>
            <w:vAlign w:val="center"/>
          </w:tcPr>
          <w:p w14:paraId="59C8C68C">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14:paraId="7EAD1B4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项</w:t>
            </w:r>
          </w:p>
        </w:tc>
      </w:tr>
      <w:tr w14:paraId="3C3E7A6A">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DF9E">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37</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277E">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净化板吊顶</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2C6A1">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1、≥50MM厚硅岩彩钢板，双面贴膜，企口白灰色，表面喷塑密封，净化防尘防菌处理；</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2、洁净室专用常规铝合金型材：国标件,地槽、厚角、角包、阴圆角；</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3、洁净室专用密封件及五金材料（铝铆钉、密封胶、螺丝等）</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4、主副龙骨吊杆</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6401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45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49D11">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w:t>
            </w:r>
          </w:p>
        </w:tc>
      </w:tr>
      <w:tr w14:paraId="0771B421">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394B">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38</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45B7">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净化板隔断</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EFB73">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1、≥50MM厚硅岩彩钢板，双面贴膜，企口白灰色，表面喷塑密封，净化防尘防菌处理；</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2、洁净室专用常规铝合金型材：国标件,地槽、厚角、角包、阴圆角；</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3、洁净室专用密封件及五金材料（铝铆钉、密封胶、螺丝等）</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E99C6">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110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BA18C">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w:t>
            </w:r>
          </w:p>
        </w:tc>
      </w:tr>
      <w:tr w14:paraId="3A852849">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3E7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39</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C886">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矿棉板吊顶</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762EA">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1、主副龙骨吊杆</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2、≥600*600*12mm矿棉板</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B130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85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31969">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w:t>
            </w:r>
          </w:p>
        </w:tc>
      </w:tr>
      <w:tr w14:paraId="12BDD59F">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596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40</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4115">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墙面工程</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E2AF1">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1、批腻子二遍</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2、乳胶漆三遍</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390A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98</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3E65F">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w:t>
            </w:r>
          </w:p>
        </w:tc>
      </w:tr>
      <w:tr w14:paraId="686ED66A">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E857">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41</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CB4C">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墙面开槽</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7F071">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1、墙体凿穿，材料回填</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801E7">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4</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6886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w:t>
            </w:r>
          </w:p>
        </w:tc>
      </w:tr>
      <w:tr w14:paraId="25C10E3E">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2746">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42</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6020">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木质踢脚线</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89EB8">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1、成品实木复合踢脚线</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2、H60</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18950">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56</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93C3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m</w:t>
            </w:r>
          </w:p>
        </w:tc>
      </w:tr>
      <w:tr w14:paraId="5B13ECB6">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D2BC">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43</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CBB4">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水电工程</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5C990">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1、优质PVC阻燃管</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2、UPVC50排污管、PPR25给水管</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9AB9E">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98</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EC53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w:t>
            </w:r>
          </w:p>
        </w:tc>
      </w:tr>
      <w:tr w14:paraId="34AB1589">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58B2">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44</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FC6A">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地面工程</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AF815">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1、自流平水泥</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2、2.0厚同质透芯地胶板</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BD3BA">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98</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AA5C6">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w:t>
            </w:r>
          </w:p>
        </w:tc>
      </w:tr>
      <w:tr w14:paraId="7CC2F8A5">
        <w:tblPrEx>
          <w:tblCellMar>
            <w:top w:w="0" w:type="dxa"/>
            <w:left w:w="108" w:type="dxa"/>
            <w:bottom w:w="0" w:type="dxa"/>
            <w:right w:w="108" w:type="dxa"/>
          </w:tblCellMar>
        </w:tblPrEx>
        <w:trPr>
          <w:trHeight w:val="330"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5DB6">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45</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21E3">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旧物拆除</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D7107">
            <w:pPr>
              <w:widowControl/>
              <w:spacing w:line="320" w:lineRule="exact"/>
              <w:jc w:val="left"/>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1、旧桌椅拆除</w:t>
            </w:r>
            <w:r>
              <w:rPr>
                <w:rFonts w:asciiTheme="minorEastAsia" w:hAnsiTheme="minorEastAsia" w:eastAsiaTheme="minorEastAsia"/>
                <w:color w:val="000000"/>
                <w:kern w:val="0"/>
                <w:sz w:val="24"/>
                <w:lang w:bidi="ar"/>
              </w:rPr>
              <w:br w:type="textWrapping"/>
            </w:r>
            <w:r>
              <w:rPr>
                <w:rFonts w:asciiTheme="minorEastAsia" w:hAnsiTheme="minorEastAsia" w:eastAsiaTheme="minorEastAsia"/>
                <w:color w:val="000000"/>
                <w:kern w:val="0"/>
                <w:sz w:val="24"/>
                <w:lang w:bidi="ar"/>
              </w:rPr>
              <w:t>2、垃圾清运</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7DE7C">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98</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F193A">
            <w:pPr>
              <w:widowControl/>
              <w:spacing w:line="320" w:lineRule="exact"/>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lang w:bidi="ar"/>
              </w:rPr>
              <w:t>㎡</w:t>
            </w:r>
          </w:p>
        </w:tc>
      </w:tr>
    </w:tbl>
    <w:p w14:paraId="01D57141">
      <w:pPr>
        <w:pStyle w:val="155"/>
        <w:ind w:firstLine="0" w:firstLineChars="0"/>
        <w:rPr>
          <w:rFonts w:asciiTheme="minorEastAsia" w:hAnsiTheme="minorEastAsia" w:eastAsiaTheme="minorEastAsia"/>
          <w:sz w:val="24"/>
        </w:rPr>
      </w:pPr>
    </w:p>
    <w:p w14:paraId="2BF08949">
      <w:pPr>
        <w:pStyle w:val="2"/>
        <w:rPr>
          <w:rFonts w:hAnsi="宋体"/>
          <w:b/>
        </w:rPr>
      </w:pPr>
      <w:r>
        <w:rPr>
          <w:rFonts w:hint="eastAsia" w:hAnsi="宋体"/>
          <w:b/>
        </w:rPr>
        <w:t>六、</w:t>
      </w:r>
      <w:r>
        <w:rPr>
          <w:rFonts w:hAnsi="宋体"/>
          <w:b/>
        </w:rPr>
        <w:t>商务要求</w:t>
      </w:r>
    </w:p>
    <w:tbl>
      <w:tblPr>
        <w:tblStyle w:val="43"/>
        <w:tblW w:w="10207"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8222"/>
      </w:tblGrid>
      <w:tr w14:paraId="3D624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985" w:type="dxa"/>
            <w:tcBorders>
              <w:top w:val="single" w:color="auto" w:sz="4" w:space="0"/>
              <w:left w:val="single" w:color="auto" w:sz="4" w:space="0"/>
              <w:bottom w:val="single" w:color="auto" w:sz="4" w:space="0"/>
              <w:right w:val="single" w:color="auto" w:sz="4" w:space="0"/>
            </w:tcBorders>
            <w:vAlign w:val="center"/>
          </w:tcPr>
          <w:p w14:paraId="74AFC84E">
            <w:pPr>
              <w:widowControl/>
              <w:jc w:val="left"/>
              <w:rPr>
                <w:rFonts w:ascii="宋体" w:hAnsi="宋体"/>
                <w:sz w:val="24"/>
              </w:rPr>
            </w:pPr>
            <w:bookmarkStart w:id="25" w:name="OLE_LINK81" w:colFirst="0" w:colLast="1"/>
            <w:bookmarkStart w:id="26" w:name="OLE_LINK80" w:colFirst="0" w:colLast="1"/>
            <w:bookmarkStart w:id="27" w:name="_Hlk191374212"/>
            <w:r>
              <w:rPr>
                <w:rFonts w:hint="eastAsia" w:ascii="宋体" w:hAnsi="宋体"/>
                <w:b/>
                <w:bCs/>
                <w:sz w:val="24"/>
              </w:rPr>
              <w:t>质保期</w:t>
            </w:r>
          </w:p>
        </w:tc>
        <w:tc>
          <w:tcPr>
            <w:tcW w:w="8222" w:type="dxa"/>
            <w:tcBorders>
              <w:top w:val="single" w:color="auto" w:sz="4" w:space="0"/>
              <w:left w:val="single" w:color="auto" w:sz="4" w:space="0"/>
              <w:bottom w:val="single" w:color="auto" w:sz="4" w:space="0"/>
              <w:right w:val="single" w:color="auto" w:sz="4" w:space="0"/>
            </w:tcBorders>
            <w:vAlign w:val="center"/>
          </w:tcPr>
          <w:p w14:paraId="21ABAF39">
            <w:pPr>
              <w:widowControl/>
              <w:jc w:val="left"/>
              <w:rPr>
                <w:rFonts w:ascii="宋体" w:hAnsi="宋体"/>
                <w:sz w:val="24"/>
              </w:rPr>
            </w:pPr>
            <w:r>
              <w:rPr>
                <w:rFonts w:hint="eastAsia" w:ascii="宋体" w:hAnsi="宋体"/>
                <w:sz w:val="24"/>
              </w:rPr>
              <w:t>▲验收合格交付使用之日起3年</w:t>
            </w:r>
          </w:p>
        </w:tc>
      </w:tr>
      <w:tr w14:paraId="51CE2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985" w:type="dxa"/>
            <w:tcBorders>
              <w:top w:val="single" w:color="auto" w:sz="4" w:space="0"/>
              <w:left w:val="single" w:color="auto" w:sz="4" w:space="0"/>
              <w:bottom w:val="single" w:color="auto" w:sz="4" w:space="0"/>
              <w:right w:val="single" w:color="auto" w:sz="4" w:space="0"/>
            </w:tcBorders>
            <w:vAlign w:val="center"/>
          </w:tcPr>
          <w:p w14:paraId="7B7F5E66">
            <w:pPr>
              <w:widowControl/>
              <w:jc w:val="left"/>
              <w:rPr>
                <w:rFonts w:ascii="宋体" w:hAnsi="宋体"/>
                <w:b/>
                <w:bCs/>
                <w:sz w:val="24"/>
              </w:rPr>
            </w:pPr>
            <w:r>
              <w:rPr>
                <w:rFonts w:hint="eastAsia" w:ascii="宋体" w:hAnsi="宋体"/>
                <w:b/>
                <w:bCs/>
                <w:sz w:val="24"/>
              </w:rPr>
              <w:t>售后技术服务要求</w:t>
            </w:r>
          </w:p>
        </w:tc>
        <w:tc>
          <w:tcPr>
            <w:tcW w:w="8222" w:type="dxa"/>
            <w:tcBorders>
              <w:top w:val="single" w:color="auto" w:sz="4" w:space="0"/>
              <w:left w:val="single" w:color="auto" w:sz="4" w:space="0"/>
              <w:bottom w:val="single" w:color="auto" w:sz="4" w:space="0"/>
              <w:right w:val="single" w:color="auto" w:sz="4" w:space="0"/>
            </w:tcBorders>
          </w:tcPr>
          <w:p w14:paraId="49B2DAA6">
            <w:pPr>
              <w:widowControl/>
              <w:jc w:val="left"/>
              <w:rPr>
                <w:rFonts w:ascii="宋体" w:hAnsi="宋体"/>
                <w:sz w:val="24"/>
              </w:rPr>
            </w:pPr>
          </w:p>
        </w:tc>
      </w:tr>
      <w:tr w14:paraId="40196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85" w:type="dxa"/>
            <w:tcBorders>
              <w:top w:val="single" w:color="auto" w:sz="4" w:space="0"/>
              <w:left w:val="single" w:color="auto" w:sz="4" w:space="0"/>
              <w:bottom w:val="single" w:color="auto" w:sz="4" w:space="0"/>
              <w:right w:val="single" w:color="auto" w:sz="4" w:space="0"/>
            </w:tcBorders>
            <w:vAlign w:val="center"/>
          </w:tcPr>
          <w:p w14:paraId="50FB0EAE">
            <w:pPr>
              <w:widowControl/>
              <w:jc w:val="left"/>
              <w:rPr>
                <w:rFonts w:ascii="宋体" w:hAnsi="宋体"/>
                <w:sz w:val="24"/>
              </w:rPr>
            </w:pPr>
            <w:r>
              <w:rPr>
                <w:rFonts w:hint="eastAsia" w:ascii="宋体" w:hAnsi="宋体"/>
                <w:b/>
                <w:bCs/>
                <w:sz w:val="24"/>
              </w:rPr>
              <w:t>交货时间及地点</w:t>
            </w:r>
          </w:p>
        </w:tc>
        <w:tc>
          <w:tcPr>
            <w:tcW w:w="8222" w:type="dxa"/>
            <w:tcBorders>
              <w:top w:val="single" w:color="auto" w:sz="4" w:space="0"/>
              <w:left w:val="single" w:color="auto" w:sz="4" w:space="0"/>
              <w:bottom w:val="single" w:color="auto" w:sz="4" w:space="0"/>
              <w:right w:val="single" w:color="auto" w:sz="4" w:space="0"/>
            </w:tcBorders>
          </w:tcPr>
          <w:p w14:paraId="42C12B26">
            <w:pPr>
              <w:widowControl/>
              <w:jc w:val="left"/>
              <w:rPr>
                <w:rFonts w:ascii="宋体" w:hAnsi="宋体"/>
                <w:sz w:val="24"/>
              </w:rPr>
            </w:pPr>
            <w:bookmarkStart w:id="28" w:name="OLE_LINK39"/>
            <w:bookmarkStart w:id="29" w:name="OLE_LINK78"/>
            <w:bookmarkStart w:id="30" w:name="OLE_LINK79"/>
            <w:r>
              <w:rPr>
                <w:rFonts w:hint="eastAsia" w:ascii="宋体" w:hAnsi="宋体"/>
                <w:sz w:val="24"/>
              </w:rPr>
              <w:t>▲</w:t>
            </w:r>
            <w:bookmarkEnd w:id="28"/>
            <w:bookmarkEnd w:id="29"/>
            <w:bookmarkEnd w:id="30"/>
            <w:r>
              <w:rPr>
                <w:rFonts w:hint="eastAsia" w:ascii="宋体" w:hAnsi="宋体"/>
                <w:sz w:val="24"/>
              </w:rPr>
              <w:t>交货时间：合同生效且接到采购方通知后30日历天内</w:t>
            </w:r>
          </w:p>
          <w:p w14:paraId="197A49F1">
            <w:pPr>
              <w:widowControl/>
              <w:jc w:val="left"/>
              <w:rPr>
                <w:rFonts w:ascii="宋体" w:hAnsi="宋体"/>
                <w:sz w:val="24"/>
              </w:rPr>
            </w:pPr>
            <w:r>
              <w:rPr>
                <w:rFonts w:hint="eastAsia" w:ascii="宋体" w:hAnsi="宋体"/>
                <w:sz w:val="24"/>
              </w:rPr>
              <w:t xml:space="preserve">地点：采购人指定地点 </w:t>
            </w:r>
          </w:p>
        </w:tc>
      </w:tr>
      <w:tr w14:paraId="65BF3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985" w:type="dxa"/>
            <w:tcBorders>
              <w:top w:val="single" w:color="auto" w:sz="4" w:space="0"/>
              <w:left w:val="single" w:color="auto" w:sz="4" w:space="0"/>
              <w:bottom w:val="single" w:color="auto" w:sz="4" w:space="0"/>
              <w:right w:val="single" w:color="auto" w:sz="4" w:space="0"/>
            </w:tcBorders>
            <w:vAlign w:val="center"/>
          </w:tcPr>
          <w:p w14:paraId="6ADD5A42">
            <w:pPr>
              <w:widowControl/>
              <w:jc w:val="left"/>
              <w:rPr>
                <w:rFonts w:ascii="宋体" w:hAnsi="宋体"/>
                <w:sz w:val="24"/>
              </w:rPr>
            </w:pPr>
            <w:r>
              <w:rPr>
                <w:rFonts w:hint="eastAsia" w:ascii="宋体" w:hAnsi="宋体"/>
                <w:b/>
                <w:bCs/>
                <w:sz w:val="24"/>
              </w:rPr>
              <w:t>履约保证金</w:t>
            </w:r>
          </w:p>
        </w:tc>
        <w:tc>
          <w:tcPr>
            <w:tcW w:w="8222" w:type="dxa"/>
            <w:tcBorders>
              <w:top w:val="single" w:color="auto" w:sz="4" w:space="0"/>
              <w:left w:val="single" w:color="auto" w:sz="4" w:space="0"/>
              <w:bottom w:val="single" w:color="auto" w:sz="4" w:space="0"/>
              <w:right w:val="single" w:color="auto" w:sz="4" w:space="0"/>
            </w:tcBorders>
            <w:vAlign w:val="center"/>
          </w:tcPr>
          <w:p w14:paraId="246F1863">
            <w:pPr>
              <w:widowControl/>
              <w:jc w:val="left"/>
              <w:rPr>
                <w:rFonts w:ascii="宋体" w:hAnsi="宋体"/>
                <w:sz w:val="24"/>
              </w:rPr>
            </w:pPr>
            <w:r>
              <w:rPr>
                <w:rFonts w:hint="eastAsia" w:ascii="宋体" w:hAnsi="宋体"/>
                <w:sz w:val="24"/>
              </w:rPr>
              <w:t>合同价的1%，履约保证金形式为：银行转账或银行、保险公司出具的保函；合同期限结束后由采购人无息退还。</w:t>
            </w:r>
          </w:p>
        </w:tc>
      </w:tr>
      <w:tr w14:paraId="366DF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985" w:type="dxa"/>
            <w:tcBorders>
              <w:top w:val="single" w:color="auto" w:sz="4" w:space="0"/>
              <w:left w:val="single" w:color="auto" w:sz="4" w:space="0"/>
              <w:bottom w:val="single" w:color="auto" w:sz="4" w:space="0"/>
              <w:right w:val="single" w:color="auto" w:sz="4" w:space="0"/>
            </w:tcBorders>
            <w:vAlign w:val="center"/>
          </w:tcPr>
          <w:p w14:paraId="72129FE5">
            <w:pPr>
              <w:widowControl/>
              <w:jc w:val="left"/>
              <w:rPr>
                <w:rFonts w:ascii="宋体" w:hAnsi="宋体"/>
                <w:sz w:val="24"/>
              </w:rPr>
            </w:pPr>
            <w:r>
              <w:rPr>
                <w:rFonts w:hint="eastAsia" w:ascii="宋体" w:hAnsi="宋体"/>
                <w:sz w:val="24"/>
              </w:rPr>
              <w:t>付款条件</w:t>
            </w:r>
          </w:p>
        </w:tc>
        <w:tc>
          <w:tcPr>
            <w:tcW w:w="8222" w:type="dxa"/>
            <w:tcBorders>
              <w:top w:val="single" w:color="auto" w:sz="4" w:space="0"/>
              <w:left w:val="single" w:color="auto" w:sz="4" w:space="0"/>
              <w:bottom w:val="single" w:color="auto" w:sz="4" w:space="0"/>
              <w:right w:val="single" w:color="auto" w:sz="4" w:space="0"/>
            </w:tcBorders>
          </w:tcPr>
          <w:p w14:paraId="64D2500A">
            <w:pPr>
              <w:pStyle w:val="20"/>
              <w:spacing w:line="400" w:lineRule="exact"/>
              <w:rPr>
                <w:rFonts w:ascii="宋体" w:hAnsi="宋体" w:eastAsia="Times New Roman" w:cs="Times New Roman"/>
                <w:sz w:val="24"/>
                <w:szCs w:val="24"/>
              </w:rPr>
            </w:pPr>
            <w:r>
              <w:rPr>
                <w:rFonts w:hint="eastAsia" w:ascii="宋体" w:hAnsi="宋体" w:eastAsia="Times New Roman"/>
                <w:sz w:val="24"/>
                <w:szCs w:val="24"/>
              </w:rPr>
              <w:t>▲根据《保障中小企业款项支付条例》、省财政厅《浙江省财政厅关于进一步发挥政府采购政策功能全力推动经济稳进提质的通知》（浙财采监[2022]3号）文件要求，制定如下付款方式：</w:t>
            </w:r>
            <w:r>
              <w:rPr>
                <w:rFonts w:hint="eastAsia" w:ascii="宋体" w:hAnsi="宋体" w:eastAsia="Times New Roman" w:cs="Times New Roman"/>
                <w:sz w:val="24"/>
                <w:szCs w:val="24"/>
              </w:rPr>
              <w:t>采购人自合同生效及具备实施条件后7个工作日内支付合同金额40%的预付款；终验合格后付清。</w:t>
            </w:r>
          </w:p>
          <w:p w14:paraId="6892CD74">
            <w:pPr>
              <w:pStyle w:val="20"/>
              <w:spacing w:line="400" w:lineRule="exact"/>
              <w:rPr>
                <w:rFonts w:ascii="宋体" w:hAnsi="宋体" w:eastAsia="宋体"/>
                <w:sz w:val="24"/>
                <w:szCs w:val="24"/>
              </w:rPr>
            </w:pPr>
            <w:r>
              <w:rPr>
                <w:rFonts w:hint="eastAsia" w:ascii="宋体" w:hAnsi="宋体" w:eastAsia="Times New Roman"/>
                <w:sz w:val="24"/>
                <w:szCs w:val="24"/>
              </w:rPr>
              <w:t>注：</w:t>
            </w:r>
            <w:r>
              <w:rPr>
                <w:rFonts w:hint="eastAsia" w:ascii="宋体" w:hAnsi="宋体" w:eastAsia="Times New Roman" w:cs="Times New Roman"/>
                <w:sz w:val="24"/>
                <w:szCs w:val="24"/>
              </w:rPr>
              <w:t>1</w:t>
            </w:r>
            <w:r>
              <w:rPr>
                <w:rFonts w:hint="eastAsia" w:ascii="宋体" w:hAnsi="宋体" w:cs="Times New Roman" w:eastAsiaTheme="minorEastAsia"/>
                <w:sz w:val="24"/>
                <w:szCs w:val="24"/>
              </w:rPr>
              <w:t>.</w:t>
            </w:r>
            <w:r>
              <w:rPr>
                <w:rFonts w:hint="eastAsia" w:ascii="宋体" w:hAnsi="宋体" w:eastAsia="Times New Roman" w:cs="Times New Roman"/>
                <w:sz w:val="24"/>
                <w:szCs w:val="24"/>
              </w:rPr>
              <w:t>中标供应商在采购人每次付款前需开具增值税专用发</w:t>
            </w:r>
            <w:r>
              <w:rPr>
                <w:rFonts w:hint="eastAsia" w:ascii="宋体" w:hAnsi="宋体" w:eastAsia="宋体"/>
                <w:sz w:val="24"/>
                <w:szCs w:val="24"/>
              </w:rPr>
              <w:t>票。</w:t>
            </w:r>
          </w:p>
          <w:p w14:paraId="1545C12F">
            <w:pPr>
              <w:pStyle w:val="20"/>
              <w:spacing w:line="400" w:lineRule="exact"/>
              <w:rPr>
                <w:rFonts w:ascii="宋体" w:hAnsi="宋体" w:eastAsia="Times New Roman"/>
                <w:sz w:val="24"/>
                <w:szCs w:val="24"/>
              </w:rPr>
            </w:pPr>
            <w:r>
              <w:rPr>
                <w:rFonts w:hint="eastAsia" w:ascii="宋体" w:hAnsi="宋体" w:eastAsiaTheme="minorEastAsia"/>
                <w:sz w:val="24"/>
                <w:szCs w:val="24"/>
              </w:rPr>
              <w:t>2.</w:t>
            </w:r>
            <w:r>
              <w:rPr>
                <w:rFonts w:hint="eastAsia" w:ascii="宋体" w:hAnsi="宋体" w:eastAsia="Times New Roman"/>
                <w:sz w:val="24"/>
                <w:szCs w:val="24"/>
              </w:rPr>
              <w:t>若中标供应商明确表示无需预付款或者主动要求降低预付款比例的，采购人可不适用前述规定。</w:t>
            </w:r>
          </w:p>
        </w:tc>
      </w:tr>
      <w:tr w14:paraId="5FEBB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85" w:type="dxa"/>
            <w:tcBorders>
              <w:top w:val="single" w:color="auto" w:sz="4" w:space="0"/>
              <w:left w:val="single" w:color="auto" w:sz="4" w:space="0"/>
              <w:bottom w:val="single" w:color="auto" w:sz="4" w:space="0"/>
              <w:right w:val="single" w:color="auto" w:sz="4" w:space="0"/>
            </w:tcBorders>
            <w:vAlign w:val="center"/>
          </w:tcPr>
          <w:p w14:paraId="4ED8DBEF">
            <w:pPr>
              <w:widowControl/>
              <w:jc w:val="left"/>
              <w:rPr>
                <w:rFonts w:ascii="宋体" w:hAnsi="宋体"/>
                <w:sz w:val="24"/>
              </w:rPr>
            </w:pPr>
            <w:r>
              <w:rPr>
                <w:rFonts w:hint="eastAsia" w:ascii="宋体" w:hAnsi="宋体"/>
                <w:b/>
                <w:bCs/>
                <w:sz w:val="24"/>
              </w:rPr>
              <w:t>备品备件及耗材等要求</w:t>
            </w:r>
          </w:p>
        </w:tc>
        <w:tc>
          <w:tcPr>
            <w:tcW w:w="8222" w:type="dxa"/>
            <w:tcBorders>
              <w:top w:val="single" w:color="auto" w:sz="4" w:space="0"/>
              <w:left w:val="single" w:color="auto" w:sz="4" w:space="0"/>
              <w:bottom w:val="single" w:color="auto" w:sz="4" w:space="0"/>
              <w:right w:val="single" w:color="auto" w:sz="4" w:space="0"/>
            </w:tcBorders>
          </w:tcPr>
          <w:p w14:paraId="048A5BD7">
            <w:pPr>
              <w:widowControl/>
              <w:jc w:val="left"/>
              <w:rPr>
                <w:rFonts w:ascii="宋体" w:hAnsi="宋体"/>
                <w:sz w:val="24"/>
              </w:rPr>
            </w:pPr>
          </w:p>
        </w:tc>
      </w:tr>
      <w:tr w14:paraId="374C8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985" w:type="dxa"/>
            <w:tcBorders>
              <w:top w:val="single" w:color="auto" w:sz="4" w:space="0"/>
              <w:left w:val="single" w:color="auto" w:sz="4" w:space="0"/>
              <w:bottom w:val="single" w:color="auto" w:sz="4" w:space="0"/>
              <w:right w:val="single" w:color="auto" w:sz="4" w:space="0"/>
            </w:tcBorders>
            <w:vAlign w:val="center"/>
          </w:tcPr>
          <w:p w14:paraId="4EEA6BA7">
            <w:pPr>
              <w:widowControl/>
              <w:jc w:val="left"/>
              <w:rPr>
                <w:rFonts w:ascii="宋体" w:hAnsi="宋体"/>
                <w:sz w:val="24"/>
              </w:rPr>
            </w:pPr>
            <w:r>
              <w:rPr>
                <w:rFonts w:hint="eastAsia" w:ascii="宋体" w:hAnsi="宋体"/>
                <w:b/>
                <w:bCs/>
                <w:sz w:val="24"/>
              </w:rPr>
              <w:t>培训要求</w:t>
            </w:r>
          </w:p>
        </w:tc>
        <w:tc>
          <w:tcPr>
            <w:tcW w:w="8222" w:type="dxa"/>
            <w:tcBorders>
              <w:top w:val="single" w:color="auto" w:sz="4" w:space="0"/>
              <w:left w:val="single" w:color="auto" w:sz="4" w:space="0"/>
              <w:bottom w:val="single" w:color="auto" w:sz="4" w:space="0"/>
              <w:right w:val="single" w:color="auto" w:sz="4" w:space="0"/>
            </w:tcBorders>
          </w:tcPr>
          <w:p w14:paraId="3DA0D024">
            <w:pPr>
              <w:widowControl/>
              <w:jc w:val="left"/>
              <w:rPr>
                <w:rFonts w:ascii="宋体" w:hAnsi="宋体"/>
                <w:sz w:val="24"/>
              </w:rPr>
            </w:pPr>
          </w:p>
        </w:tc>
      </w:tr>
      <w:bookmarkEnd w:id="25"/>
      <w:bookmarkEnd w:id="26"/>
      <w:bookmarkEnd w:id="27"/>
    </w:tbl>
    <w:p w14:paraId="2DCFB8A9">
      <w:pPr>
        <w:spacing w:line="500" w:lineRule="exact"/>
        <w:rPr>
          <w:rFonts w:ascii="宋体" w:hAnsi="宋体" w:cs="宋体"/>
          <w:b/>
          <w:sz w:val="24"/>
        </w:rPr>
      </w:pPr>
      <w:r>
        <w:rPr>
          <w:rFonts w:hint="eastAsia" w:ascii="宋体" w:hAnsi="宋体" w:cs="宋体"/>
          <w:b/>
          <w:sz w:val="24"/>
        </w:rPr>
        <w:t>特别说明：</w:t>
      </w:r>
    </w:p>
    <w:p w14:paraId="17D33514">
      <w:pPr>
        <w:ind w:firstLine="482" w:firstLineChars="200"/>
        <w:rPr>
          <w:rFonts w:ascii="宋体" w:hAnsi="宋体" w:cs="宋体"/>
          <w:b/>
          <w:sz w:val="24"/>
        </w:rPr>
      </w:pPr>
      <w:r>
        <w:rPr>
          <w:rFonts w:hint="eastAsia" w:ascii="宋体" w:hAnsi="宋体" w:cs="宋体"/>
          <w:b/>
          <w:sz w:val="24"/>
        </w:rPr>
        <w:t>1、需求中不允许负偏离的实质性要求和条件，以“</w:t>
      </w:r>
      <w:bookmarkStart w:id="31" w:name="OLE_LINK128"/>
      <w:bookmarkStart w:id="32" w:name="OLE_LINK127"/>
      <w:r>
        <w:rPr>
          <w:rFonts w:hint="eastAsia" w:ascii="宋体" w:hAnsi="宋体" w:cs="宋体"/>
          <w:spacing w:val="-3"/>
          <w:sz w:val="24"/>
        </w:rPr>
        <w:t>▲</w:t>
      </w:r>
      <w:bookmarkEnd w:id="31"/>
      <w:bookmarkEnd w:id="32"/>
      <w:r>
        <w:rPr>
          <w:rFonts w:hint="eastAsia" w:ascii="宋体" w:hAnsi="宋体" w:cs="宋体"/>
          <w:b/>
          <w:sz w:val="24"/>
        </w:rPr>
        <w:t>”号标明，如投标人未响应的，将被视为无效。</w:t>
      </w:r>
    </w:p>
    <w:p w14:paraId="59F54ACB">
      <w:pPr>
        <w:ind w:firstLine="482" w:firstLineChars="200"/>
        <w:rPr>
          <w:rFonts w:ascii="宋体" w:hAnsi="宋体" w:cs="宋体"/>
          <w:b/>
          <w:sz w:val="24"/>
        </w:rPr>
      </w:pPr>
      <w:r>
        <w:rPr>
          <w:rFonts w:hint="eastAsia" w:ascii="宋体" w:hAnsi="宋体" w:cs="宋体"/>
          <w:b/>
          <w:sz w:val="24"/>
        </w:rPr>
        <w:t>2、本项目所属行业：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具体详见《关于印发中小企业划型标准规定的通知》[工信部联企业[2011]300号]。</w:t>
      </w:r>
    </w:p>
    <w:p w14:paraId="2DD47318">
      <w:pPr>
        <w:pStyle w:val="85"/>
        <w:jc w:val="center"/>
        <w:rPr>
          <w:rFonts w:ascii="黑体" w:hAnsi="宋体" w:eastAsia="黑体"/>
          <w:color w:val="auto"/>
          <w:sz w:val="30"/>
          <w:szCs w:val="30"/>
        </w:rPr>
      </w:pPr>
      <w:r>
        <w:rPr>
          <w:color w:val="auto"/>
        </w:rPr>
        <w:br w:type="page"/>
      </w:r>
      <w:r>
        <w:rPr>
          <w:rFonts w:hint="eastAsia" w:ascii="黑体" w:hAnsi="宋体" w:eastAsia="黑体"/>
          <w:color w:val="auto"/>
          <w:sz w:val="30"/>
          <w:szCs w:val="30"/>
        </w:rPr>
        <w:t>第三章  投标人须知</w:t>
      </w:r>
    </w:p>
    <w:p w14:paraId="616E1E77">
      <w:pPr>
        <w:snapToGrid w:val="0"/>
        <w:spacing w:line="360" w:lineRule="auto"/>
        <w:ind w:left="238"/>
        <w:jc w:val="center"/>
        <w:outlineLvl w:val="1"/>
        <w:rPr>
          <w:rFonts w:ascii="宋体" w:hAnsi="宋体"/>
          <w:b/>
          <w:sz w:val="30"/>
          <w:szCs w:val="30"/>
        </w:rPr>
      </w:pPr>
      <w:r>
        <w:rPr>
          <w:rFonts w:hint="eastAsia" w:ascii="宋体" w:hAnsi="宋体"/>
          <w:b/>
          <w:sz w:val="30"/>
          <w:szCs w:val="30"/>
        </w:rPr>
        <w:t>前附表</w:t>
      </w:r>
    </w:p>
    <w:tbl>
      <w:tblPr>
        <w:tblStyle w:val="43"/>
        <w:tblW w:w="995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56"/>
      </w:tblGrid>
      <w:tr w14:paraId="2188B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14:paraId="33FCD754">
            <w:pPr>
              <w:snapToGrid w:val="0"/>
              <w:jc w:val="center"/>
              <w:rPr>
                <w:rFonts w:ascii="宋体" w:hAnsi="宋体"/>
                <w:sz w:val="24"/>
                <w:szCs w:val="20"/>
              </w:rPr>
            </w:pPr>
            <w:r>
              <w:rPr>
                <w:rFonts w:hint="eastAsia" w:ascii="宋体" w:hAnsi="宋体"/>
                <w:sz w:val="24"/>
              </w:rPr>
              <w:t>序号</w:t>
            </w:r>
          </w:p>
        </w:tc>
        <w:tc>
          <w:tcPr>
            <w:tcW w:w="9056" w:type="dxa"/>
            <w:tcBorders>
              <w:top w:val="single" w:color="auto" w:sz="4" w:space="0"/>
              <w:left w:val="single" w:color="auto" w:sz="4" w:space="0"/>
              <w:bottom w:val="single" w:color="auto" w:sz="4" w:space="0"/>
              <w:right w:val="single" w:color="auto" w:sz="4" w:space="0"/>
            </w:tcBorders>
            <w:vAlign w:val="center"/>
          </w:tcPr>
          <w:p w14:paraId="7EDF1EF1">
            <w:pPr>
              <w:snapToGrid w:val="0"/>
              <w:jc w:val="center"/>
              <w:rPr>
                <w:rFonts w:ascii="宋体" w:hAnsi="宋体"/>
                <w:sz w:val="24"/>
                <w:szCs w:val="20"/>
              </w:rPr>
            </w:pPr>
            <w:r>
              <w:rPr>
                <w:rFonts w:hint="eastAsia" w:ascii="宋体" w:hAnsi="宋体"/>
                <w:sz w:val="24"/>
              </w:rPr>
              <w:t>内容、要求</w:t>
            </w:r>
          </w:p>
        </w:tc>
      </w:tr>
      <w:tr w14:paraId="41B61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vAlign w:val="center"/>
          </w:tcPr>
          <w:p w14:paraId="2191BFDD">
            <w:pPr>
              <w:snapToGrid w:val="0"/>
              <w:spacing w:line="360" w:lineRule="auto"/>
              <w:jc w:val="center"/>
              <w:rPr>
                <w:rFonts w:ascii="宋体" w:hAnsi="宋体"/>
                <w:sz w:val="24"/>
                <w:szCs w:val="20"/>
              </w:rPr>
            </w:pPr>
            <w:r>
              <w:rPr>
                <w:rFonts w:ascii="宋体" w:hAnsi="宋体"/>
                <w:sz w:val="24"/>
              </w:rPr>
              <w:t>1</w:t>
            </w:r>
          </w:p>
        </w:tc>
        <w:tc>
          <w:tcPr>
            <w:tcW w:w="9056" w:type="dxa"/>
            <w:tcBorders>
              <w:top w:val="single" w:color="auto" w:sz="4" w:space="0"/>
              <w:left w:val="single" w:color="auto" w:sz="4" w:space="0"/>
              <w:bottom w:val="single" w:color="auto" w:sz="4" w:space="0"/>
              <w:right w:val="single" w:color="auto" w:sz="4" w:space="0"/>
            </w:tcBorders>
            <w:vAlign w:val="center"/>
          </w:tcPr>
          <w:p w14:paraId="3C431576">
            <w:pPr>
              <w:widowControl/>
              <w:jc w:val="left"/>
              <w:rPr>
                <w:rFonts w:ascii="宋体" w:hAnsi="宋体"/>
                <w:sz w:val="24"/>
              </w:rPr>
            </w:pPr>
            <w:r>
              <w:rPr>
                <w:rFonts w:hint="eastAsia" w:ascii="宋体" w:hAnsi="宋体"/>
                <w:sz w:val="24"/>
              </w:rPr>
              <w:t>项目名称：吴兴高级中学生物实验室改造项目</w:t>
            </w:r>
          </w:p>
        </w:tc>
      </w:tr>
      <w:tr w14:paraId="4F61B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00" w:type="dxa"/>
            <w:tcBorders>
              <w:top w:val="single" w:color="auto" w:sz="4" w:space="0"/>
              <w:left w:val="single" w:color="auto" w:sz="4" w:space="0"/>
              <w:bottom w:val="single" w:color="auto" w:sz="4" w:space="0"/>
              <w:right w:val="single" w:color="auto" w:sz="4" w:space="0"/>
            </w:tcBorders>
            <w:vAlign w:val="center"/>
          </w:tcPr>
          <w:p w14:paraId="5691F380">
            <w:pPr>
              <w:snapToGrid w:val="0"/>
              <w:spacing w:line="360" w:lineRule="auto"/>
              <w:jc w:val="center"/>
              <w:rPr>
                <w:rFonts w:ascii="宋体" w:hAnsi="宋体"/>
                <w:sz w:val="24"/>
                <w:szCs w:val="20"/>
              </w:rPr>
            </w:pPr>
            <w:r>
              <w:rPr>
                <w:rFonts w:ascii="宋体" w:hAnsi="宋体"/>
                <w:sz w:val="24"/>
              </w:rPr>
              <w:t>2</w:t>
            </w:r>
          </w:p>
        </w:tc>
        <w:tc>
          <w:tcPr>
            <w:tcW w:w="9056" w:type="dxa"/>
            <w:tcBorders>
              <w:top w:val="single" w:color="auto" w:sz="4" w:space="0"/>
              <w:left w:val="single" w:color="auto" w:sz="4" w:space="0"/>
              <w:bottom w:val="single" w:color="auto" w:sz="4" w:space="0"/>
              <w:right w:val="single" w:color="auto" w:sz="4" w:space="0"/>
            </w:tcBorders>
            <w:vAlign w:val="center"/>
          </w:tcPr>
          <w:p w14:paraId="6B4FCF2C">
            <w:pPr>
              <w:widowControl/>
              <w:jc w:val="left"/>
              <w:rPr>
                <w:rFonts w:ascii="宋体" w:hAnsi="宋体"/>
                <w:sz w:val="24"/>
              </w:rPr>
            </w:pPr>
            <w:r>
              <w:rPr>
                <w:rFonts w:hint="eastAsia" w:ascii="宋体" w:hAnsi="宋体"/>
                <w:sz w:val="24"/>
              </w:rPr>
              <w:t>采购数量及单位：详见招标文件</w:t>
            </w:r>
          </w:p>
        </w:tc>
      </w:tr>
      <w:tr w14:paraId="2EB2D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7660DF0B">
            <w:pPr>
              <w:snapToGrid w:val="0"/>
              <w:spacing w:line="360" w:lineRule="auto"/>
              <w:jc w:val="center"/>
              <w:rPr>
                <w:rFonts w:ascii="宋体" w:hAnsi="宋体"/>
                <w:sz w:val="24"/>
              </w:rPr>
            </w:pPr>
            <w:r>
              <w:rPr>
                <w:rFonts w:hint="eastAsia" w:ascii="宋体" w:hAnsi="宋体"/>
                <w:sz w:val="24"/>
              </w:rPr>
              <w:t>3</w:t>
            </w:r>
          </w:p>
        </w:tc>
        <w:tc>
          <w:tcPr>
            <w:tcW w:w="9056" w:type="dxa"/>
            <w:tcBorders>
              <w:top w:val="single" w:color="auto" w:sz="4" w:space="0"/>
              <w:left w:val="single" w:color="auto" w:sz="4" w:space="0"/>
              <w:bottom w:val="single" w:color="auto" w:sz="4" w:space="0"/>
              <w:right w:val="single" w:color="auto" w:sz="4" w:space="0"/>
            </w:tcBorders>
            <w:vAlign w:val="center"/>
          </w:tcPr>
          <w:p w14:paraId="399B135D">
            <w:pPr>
              <w:widowControl/>
              <w:jc w:val="left"/>
              <w:rPr>
                <w:rFonts w:ascii="宋体" w:hAnsi="宋体"/>
                <w:sz w:val="24"/>
              </w:rPr>
            </w:pPr>
            <w:r>
              <w:rPr>
                <w:rFonts w:hint="eastAsia" w:ascii="宋体" w:hAnsi="宋体"/>
                <w:sz w:val="24"/>
              </w:rPr>
              <w:t>投标报价及费用：1.本项目投标应以人民币报价；2.不论投标结果如何，投标人均应自行承担所有与投标有关的全部费用。3.本项目招标代理服务费</w:t>
            </w:r>
            <w:bookmarkStart w:id="33" w:name="OLE_LINK5"/>
            <w:bookmarkStart w:id="34" w:name="OLE_LINK6"/>
            <w:r>
              <w:rPr>
                <w:rFonts w:hint="eastAsia" w:ascii="宋体" w:hAnsi="宋体"/>
                <w:sz w:val="24"/>
              </w:rPr>
              <w:t>人民币</w:t>
            </w:r>
            <w:bookmarkEnd w:id="33"/>
            <w:bookmarkEnd w:id="34"/>
            <w:r>
              <w:rPr>
                <w:rFonts w:hint="eastAsia" w:ascii="宋体" w:hAnsi="宋体"/>
                <w:sz w:val="24"/>
              </w:rPr>
              <w:t>陆仟玖佰伍拾  元整（￥6950 .00)，由中标人全额支付。在中标通知书发出后当日内一次性结清。</w:t>
            </w:r>
          </w:p>
        </w:tc>
      </w:tr>
      <w:tr w14:paraId="4E319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14:paraId="6A7C9E91">
            <w:pPr>
              <w:snapToGrid w:val="0"/>
              <w:spacing w:line="360" w:lineRule="auto"/>
              <w:jc w:val="center"/>
              <w:rPr>
                <w:rFonts w:ascii="宋体" w:hAnsi="宋体"/>
                <w:sz w:val="24"/>
                <w:szCs w:val="20"/>
              </w:rPr>
            </w:pPr>
            <w:r>
              <w:rPr>
                <w:rFonts w:ascii="宋体" w:hAnsi="宋体"/>
                <w:sz w:val="24"/>
              </w:rPr>
              <w:t>4</w:t>
            </w:r>
          </w:p>
        </w:tc>
        <w:tc>
          <w:tcPr>
            <w:tcW w:w="9056" w:type="dxa"/>
            <w:tcBorders>
              <w:top w:val="single" w:color="auto" w:sz="4" w:space="0"/>
              <w:left w:val="single" w:color="auto" w:sz="4" w:space="0"/>
              <w:bottom w:val="single" w:color="auto" w:sz="4" w:space="0"/>
              <w:right w:val="single" w:color="auto" w:sz="4" w:space="0"/>
            </w:tcBorders>
            <w:vAlign w:val="center"/>
          </w:tcPr>
          <w:p w14:paraId="7E6C9AD5">
            <w:pPr>
              <w:widowControl/>
              <w:jc w:val="left"/>
              <w:rPr>
                <w:rFonts w:ascii="宋体" w:hAnsi="宋体"/>
                <w:sz w:val="24"/>
              </w:rPr>
            </w:pPr>
            <w:r>
              <w:rPr>
                <w:rFonts w:hint="eastAsia" w:ascii="宋体" w:hAnsi="宋体"/>
                <w:sz w:val="24"/>
              </w:rPr>
              <w:t>投标保证金：不缴纳</w:t>
            </w:r>
          </w:p>
        </w:tc>
      </w:tr>
      <w:tr w14:paraId="2A9C9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14:paraId="6336C1FC">
            <w:pPr>
              <w:snapToGrid w:val="0"/>
              <w:spacing w:line="360" w:lineRule="auto"/>
              <w:jc w:val="center"/>
              <w:rPr>
                <w:rFonts w:ascii="宋体" w:hAnsi="宋体"/>
                <w:sz w:val="24"/>
                <w:szCs w:val="20"/>
              </w:rPr>
            </w:pPr>
            <w:r>
              <w:rPr>
                <w:rFonts w:ascii="宋体" w:hAnsi="宋体"/>
                <w:sz w:val="24"/>
              </w:rPr>
              <w:t>5</w:t>
            </w:r>
          </w:p>
        </w:tc>
        <w:tc>
          <w:tcPr>
            <w:tcW w:w="9056" w:type="dxa"/>
            <w:tcBorders>
              <w:top w:val="single" w:color="auto" w:sz="4" w:space="0"/>
              <w:left w:val="single" w:color="auto" w:sz="4" w:space="0"/>
              <w:bottom w:val="single" w:color="auto" w:sz="4" w:space="0"/>
              <w:right w:val="single" w:color="auto" w:sz="4" w:space="0"/>
            </w:tcBorders>
            <w:vAlign w:val="center"/>
          </w:tcPr>
          <w:p w14:paraId="058477CF">
            <w:pPr>
              <w:widowControl/>
              <w:jc w:val="left"/>
              <w:rPr>
                <w:rFonts w:ascii="宋体" w:hAnsi="宋体"/>
                <w:sz w:val="24"/>
              </w:rPr>
            </w:pPr>
            <w:r>
              <w:rPr>
                <w:rFonts w:hint="eastAsia" w:ascii="宋体" w:hAnsi="宋体"/>
                <w:sz w:val="24"/>
              </w:rPr>
              <w:t>现场踏勘：不组织</w:t>
            </w:r>
          </w:p>
        </w:tc>
      </w:tr>
      <w:tr w14:paraId="52A38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306D6817">
            <w:pPr>
              <w:snapToGrid w:val="0"/>
              <w:spacing w:line="360" w:lineRule="auto"/>
              <w:jc w:val="center"/>
              <w:rPr>
                <w:rFonts w:ascii="宋体" w:hAnsi="宋体"/>
                <w:sz w:val="24"/>
                <w:szCs w:val="20"/>
              </w:rPr>
            </w:pPr>
            <w:bookmarkStart w:id="35" w:name="_Hlk194582855"/>
            <w:r>
              <w:rPr>
                <w:rFonts w:hint="eastAsia" w:ascii="宋体" w:hAnsi="宋体"/>
                <w:sz w:val="24"/>
                <w:szCs w:val="20"/>
              </w:rPr>
              <w:t>6</w:t>
            </w:r>
          </w:p>
        </w:tc>
        <w:tc>
          <w:tcPr>
            <w:tcW w:w="9056" w:type="dxa"/>
            <w:tcBorders>
              <w:top w:val="single" w:color="auto" w:sz="4" w:space="0"/>
              <w:left w:val="single" w:color="auto" w:sz="4" w:space="0"/>
              <w:bottom w:val="single" w:color="auto" w:sz="4" w:space="0"/>
              <w:right w:val="single" w:color="auto" w:sz="4" w:space="0"/>
            </w:tcBorders>
            <w:vAlign w:val="center"/>
          </w:tcPr>
          <w:p w14:paraId="634A4852">
            <w:pPr>
              <w:widowControl/>
              <w:jc w:val="left"/>
              <w:rPr>
                <w:rFonts w:ascii="宋体" w:hAnsi="宋体"/>
                <w:sz w:val="24"/>
              </w:rPr>
            </w:pPr>
            <w:r>
              <w:rPr>
                <w:rFonts w:hint="eastAsia" w:ascii="宋体" w:hAnsi="宋体" w:cs="仿宋"/>
                <w:sz w:val="24"/>
              </w:rPr>
              <w:t>答疑与澄清：</w:t>
            </w:r>
            <w:r>
              <w:rPr>
                <w:rFonts w:hint="eastAsia" w:ascii="宋体" w:hAnsi="宋体"/>
                <w:sz w:val="24"/>
                <w:szCs w:val="20"/>
              </w:rPr>
              <w:t>供应商认为采购文件使自己的权益受到损害的，可以自收到采购文件之日（发售截止日之后收到采购文件的，以发售截止日为准）或者采购文件公告期限届满之日（公告发布后的第6个工作日）起7个工作日内（逾期将不再受理），以书面形式向采购人和采购代理公司提出质疑。质疑供应商对采购人、采购代理公司的答复不满意或者采购人、采购代理公司未在规定的时间内作出答复的，可以在答复期满后十五个工作日内向同级政府采购监督管理部门投诉。采购人和采购代理机构将于提交投标截止时间15日前进行可能影响投标文件编制的澄清或修改；</w:t>
            </w:r>
            <w:r>
              <w:rPr>
                <w:rFonts w:hint="eastAsia" w:ascii="宋体" w:hAnsi="宋体"/>
                <w:sz w:val="24"/>
              </w:rPr>
              <w:t>答疑内容是招标文件的组成部分，将在网上发布补充（答疑、澄清）文件，潜在投标人应自行关注网站公告，招标人不再一一通知。</w:t>
            </w:r>
            <w:r>
              <w:rPr>
                <w:rFonts w:hint="eastAsia" w:ascii="宋体" w:hAnsi="宋体"/>
                <w:sz w:val="24"/>
                <w:szCs w:val="20"/>
              </w:rPr>
              <w:t>因其他紧急情况影响本项目正常招标活动的，采购人和采购代理机构将于投标截止日期一天前书面通知所有已报名的投标人。</w:t>
            </w:r>
          </w:p>
        </w:tc>
      </w:tr>
      <w:bookmarkEnd w:id="35"/>
      <w:tr w14:paraId="2710F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3996011A">
            <w:pPr>
              <w:snapToGrid w:val="0"/>
              <w:spacing w:line="360" w:lineRule="auto"/>
              <w:jc w:val="center"/>
              <w:rPr>
                <w:rFonts w:ascii="宋体" w:hAnsi="宋体"/>
                <w:sz w:val="24"/>
                <w:szCs w:val="20"/>
              </w:rPr>
            </w:pPr>
            <w:r>
              <w:rPr>
                <w:rFonts w:hint="eastAsia" w:ascii="宋体" w:hAnsi="宋体"/>
                <w:sz w:val="24"/>
                <w:szCs w:val="20"/>
              </w:rPr>
              <w:t>7</w:t>
            </w:r>
          </w:p>
        </w:tc>
        <w:tc>
          <w:tcPr>
            <w:tcW w:w="9056" w:type="dxa"/>
            <w:tcBorders>
              <w:top w:val="single" w:color="auto" w:sz="4" w:space="0"/>
              <w:left w:val="single" w:color="auto" w:sz="4" w:space="0"/>
              <w:bottom w:val="single" w:color="auto" w:sz="4" w:space="0"/>
              <w:right w:val="single" w:color="auto" w:sz="4" w:space="0"/>
            </w:tcBorders>
            <w:vAlign w:val="center"/>
          </w:tcPr>
          <w:p w14:paraId="673167B9">
            <w:pPr>
              <w:widowControl/>
              <w:jc w:val="left"/>
              <w:rPr>
                <w:rFonts w:ascii="宋体" w:hAnsi="宋体"/>
                <w:sz w:val="24"/>
                <w:szCs w:val="20"/>
              </w:rPr>
            </w:pPr>
            <w:r>
              <w:rPr>
                <w:rFonts w:hint="eastAsia" w:ascii="宋体" w:hAnsi="宋体"/>
                <w:sz w:val="24"/>
                <w:szCs w:val="20"/>
              </w:rPr>
              <w:t>投标文件组成：1、电子投标文件（包括“电子加密投标文件”和“备份投标文件”，在投标文件编制完成后同时生成）</w:t>
            </w:r>
          </w:p>
          <w:p w14:paraId="666A2226">
            <w:pPr>
              <w:widowControl/>
              <w:jc w:val="left"/>
              <w:rPr>
                <w:rFonts w:ascii="宋体" w:hAnsi="宋体"/>
                <w:sz w:val="24"/>
                <w:szCs w:val="20"/>
              </w:rPr>
            </w:pPr>
            <w:r>
              <w:rPr>
                <w:rFonts w:hint="eastAsia" w:ascii="宋体" w:hAnsi="宋体"/>
                <w:sz w:val="24"/>
                <w:szCs w:val="20"/>
              </w:rPr>
              <w:t>（1）“电子加密投标文件”是指通过“政采云电子交易客户端”完成投标文件编制后生成并加密的数据电文形式的投标文件。</w:t>
            </w:r>
          </w:p>
          <w:p w14:paraId="3BCCFF4C">
            <w:pPr>
              <w:widowControl/>
              <w:jc w:val="left"/>
              <w:rPr>
                <w:rFonts w:ascii="宋体" w:hAnsi="宋体"/>
                <w:sz w:val="24"/>
                <w:szCs w:val="20"/>
              </w:rPr>
            </w:pPr>
            <w:r>
              <w:rPr>
                <w:rFonts w:hint="eastAsia" w:ascii="宋体" w:hAnsi="宋体"/>
                <w:sz w:val="24"/>
                <w:szCs w:val="20"/>
              </w:rPr>
              <w:t>（2）“备份投标文件”是指与“电子加密投标文件”同时生成的数据电文形式的电子文件（备份标书），其他方式编制的备份投标文件视为无效备份投标文件。仅在出现解密异常情况下使用。</w:t>
            </w:r>
          </w:p>
          <w:p w14:paraId="4D032D10">
            <w:pPr>
              <w:widowControl/>
              <w:autoSpaceDE w:val="0"/>
              <w:autoSpaceDN w:val="0"/>
              <w:jc w:val="left"/>
              <w:textAlignment w:val="bottom"/>
              <w:rPr>
                <w:rFonts w:ascii="宋体" w:hAnsi="宋体"/>
                <w:sz w:val="24"/>
                <w:szCs w:val="20"/>
              </w:rPr>
            </w:pPr>
            <w:r>
              <w:rPr>
                <w:rFonts w:hint="eastAsia" w:ascii="宋体" w:hAnsi="宋体"/>
                <w:sz w:val="24"/>
                <w:szCs w:val="20"/>
              </w:rPr>
              <w:t>2、中标后，中标单位需在领取中标通知书时，向招标代理机构提交与投标时电子投标文件一致的纸质版本一式三份（按照招标文件要求签字盖章）。</w:t>
            </w:r>
          </w:p>
        </w:tc>
      </w:tr>
      <w:tr w14:paraId="37802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3E39DDFE">
            <w:pPr>
              <w:snapToGrid w:val="0"/>
              <w:spacing w:line="360" w:lineRule="auto"/>
              <w:jc w:val="center"/>
              <w:rPr>
                <w:rFonts w:ascii="宋体" w:hAnsi="宋体"/>
                <w:sz w:val="24"/>
                <w:szCs w:val="20"/>
              </w:rPr>
            </w:pPr>
            <w:r>
              <w:rPr>
                <w:rFonts w:hint="eastAsia" w:ascii="宋体" w:hAnsi="宋体"/>
                <w:sz w:val="24"/>
                <w:szCs w:val="20"/>
              </w:rPr>
              <w:t>8</w:t>
            </w:r>
          </w:p>
        </w:tc>
        <w:tc>
          <w:tcPr>
            <w:tcW w:w="9056" w:type="dxa"/>
            <w:tcBorders>
              <w:top w:val="single" w:color="auto" w:sz="4" w:space="0"/>
              <w:left w:val="single" w:color="auto" w:sz="4" w:space="0"/>
              <w:bottom w:val="single" w:color="auto" w:sz="4" w:space="0"/>
              <w:right w:val="single" w:color="auto" w:sz="4" w:space="0"/>
            </w:tcBorders>
            <w:vAlign w:val="center"/>
          </w:tcPr>
          <w:p w14:paraId="2F62F07B">
            <w:pPr>
              <w:widowControl/>
              <w:jc w:val="left"/>
              <w:rPr>
                <w:rFonts w:ascii="宋体" w:hAnsi="宋体"/>
                <w:sz w:val="24"/>
                <w:szCs w:val="20"/>
              </w:rPr>
            </w:pPr>
            <w:r>
              <w:rPr>
                <w:rFonts w:hint="eastAsia" w:ascii="宋体" w:hAnsi="宋体"/>
                <w:sz w:val="24"/>
                <w:szCs w:val="20"/>
              </w:rPr>
              <w:t>投标文件份数：1、“电子加密投标文件”：在线上传递交、一份。2、“备份投标文件”：一份。</w:t>
            </w:r>
            <w:r>
              <w:rPr>
                <w:rFonts w:ascii="宋体" w:hAnsi="宋体"/>
                <w:sz w:val="24"/>
                <w:szCs w:val="20"/>
              </w:rPr>
              <w:t>以介质存储的数据电文形式的备份</w:t>
            </w:r>
            <w:r>
              <w:rPr>
                <w:rFonts w:hint="eastAsia" w:ascii="宋体" w:hAnsi="宋体"/>
                <w:sz w:val="24"/>
                <w:szCs w:val="20"/>
              </w:rPr>
              <w:t>投标</w:t>
            </w:r>
            <w:r>
              <w:rPr>
                <w:rFonts w:ascii="宋体" w:hAnsi="宋体"/>
                <w:sz w:val="24"/>
                <w:szCs w:val="20"/>
              </w:rPr>
              <w:t>文件</w:t>
            </w:r>
            <w:r>
              <w:rPr>
                <w:rFonts w:hint="eastAsia" w:ascii="宋体" w:hAnsi="宋体"/>
                <w:sz w:val="24"/>
                <w:szCs w:val="20"/>
              </w:rPr>
              <w:t>（</w:t>
            </w:r>
            <w:r>
              <w:rPr>
                <w:rFonts w:ascii="宋体" w:hAnsi="宋体"/>
                <w:sz w:val="24"/>
                <w:szCs w:val="20"/>
              </w:rPr>
              <w:t>BFBS格式)，按政采云平台项目采购-电子交易操作指南中上传的电子</w:t>
            </w:r>
            <w:r>
              <w:rPr>
                <w:rFonts w:hint="eastAsia" w:ascii="宋体" w:hAnsi="宋体"/>
                <w:sz w:val="24"/>
                <w:szCs w:val="20"/>
              </w:rPr>
              <w:t>投标</w:t>
            </w:r>
            <w:r>
              <w:rPr>
                <w:rFonts w:ascii="宋体" w:hAnsi="宋体"/>
                <w:sz w:val="24"/>
                <w:szCs w:val="20"/>
              </w:rPr>
              <w:t>文件格式，以U盘形式存储提供)。U盘盘面上粘贴标签，标注单位名称，装入一个外包封袋中进行邮寄</w:t>
            </w:r>
            <w:r>
              <w:rPr>
                <w:rFonts w:hint="eastAsia" w:ascii="宋体" w:hAnsi="宋体"/>
                <w:sz w:val="24"/>
                <w:szCs w:val="20"/>
              </w:rPr>
              <w:t>。</w:t>
            </w:r>
            <w:r>
              <w:rPr>
                <w:rFonts w:ascii="宋体" w:hAnsi="宋体"/>
                <w:sz w:val="24"/>
                <w:szCs w:val="20"/>
              </w:rPr>
              <w:t>邮寄时，总的外包封袋上可不注明单位名称，但应注明单位的联系人、联系电话及项目名称</w:t>
            </w:r>
            <w:r>
              <w:rPr>
                <w:rFonts w:hint="eastAsia" w:ascii="宋体" w:hAnsi="宋体"/>
                <w:sz w:val="24"/>
                <w:szCs w:val="20"/>
              </w:rPr>
              <w:t>。邮寄地址为：浙江华耀建设咨询有限公司（湖州市静江公寓1单元1101室），联系人：张治中，联系电话：0572-2198738。</w:t>
            </w:r>
            <w:r>
              <w:rPr>
                <w:rFonts w:ascii="宋体" w:hAnsi="宋体"/>
                <w:sz w:val="24"/>
                <w:szCs w:val="20"/>
              </w:rPr>
              <w:t>供应商应于</w:t>
            </w:r>
            <w:r>
              <w:rPr>
                <w:rFonts w:hint="eastAsia" w:ascii="宋体" w:hAnsi="宋体"/>
                <w:sz w:val="24"/>
                <w:szCs w:val="20"/>
              </w:rPr>
              <w:t>2025</w:t>
            </w:r>
            <w:r>
              <w:rPr>
                <w:rFonts w:ascii="宋体" w:hAnsi="宋体"/>
                <w:sz w:val="24"/>
                <w:szCs w:val="20"/>
              </w:rPr>
              <w:t>年</w:t>
            </w:r>
            <w:r>
              <w:rPr>
                <w:rFonts w:hint="eastAsia" w:ascii="宋体" w:hAnsi="宋体"/>
                <w:sz w:val="24"/>
                <w:szCs w:val="20"/>
              </w:rPr>
              <w:t xml:space="preserve"> 月 日11:00时前准时送达，拒绝到付。以收件人实际签收时间为准，逾期送达的将拒绝接收。</w:t>
            </w:r>
          </w:p>
        </w:tc>
      </w:tr>
      <w:tr w14:paraId="0AE0C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14:paraId="294D2067">
            <w:pPr>
              <w:snapToGrid w:val="0"/>
              <w:spacing w:line="360" w:lineRule="auto"/>
              <w:jc w:val="center"/>
              <w:rPr>
                <w:rFonts w:ascii="宋体" w:hAnsi="宋体"/>
                <w:sz w:val="24"/>
                <w:szCs w:val="20"/>
              </w:rPr>
            </w:pPr>
            <w:r>
              <w:rPr>
                <w:rFonts w:hint="eastAsia" w:ascii="宋体" w:hAnsi="宋体"/>
                <w:sz w:val="24"/>
                <w:szCs w:val="20"/>
              </w:rPr>
              <w:t>9</w:t>
            </w:r>
          </w:p>
        </w:tc>
        <w:tc>
          <w:tcPr>
            <w:tcW w:w="9056" w:type="dxa"/>
            <w:tcBorders>
              <w:top w:val="single" w:color="auto" w:sz="4" w:space="0"/>
              <w:left w:val="single" w:color="auto" w:sz="4" w:space="0"/>
              <w:bottom w:val="single" w:color="auto" w:sz="4" w:space="0"/>
              <w:right w:val="single" w:color="auto" w:sz="4" w:space="0"/>
            </w:tcBorders>
            <w:vAlign w:val="center"/>
          </w:tcPr>
          <w:p w14:paraId="7E36A178">
            <w:pPr>
              <w:widowControl/>
              <w:jc w:val="left"/>
              <w:rPr>
                <w:rFonts w:ascii="宋体" w:hAnsi="宋体"/>
                <w:sz w:val="24"/>
              </w:rPr>
            </w:pPr>
            <w:r>
              <w:rPr>
                <w:rFonts w:hint="eastAsia" w:ascii="宋体" w:hAnsi="宋体"/>
                <w:sz w:val="24"/>
              </w:rPr>
              <w:t>电子加密投标文件的解密和异常情况处理：</w:t>
            </w:r>
          </w:p>
          <w:p w14:paraId="2D00E8B8">
            <w:pPr>
              <w:widowControl/>
              <w:jc w:val="left"/>
              <w:rPr>
                <w:rFonts w:ascii="宋体" w:hAnsi="宋体"/>
                <w:sz w:val="24"/>
              </w:rPr>
            </w:pPr>
            <w:r>
              <w:rPr>
                <w:rFonts w:hint="eastAsia" w:ascii="宋体" w:hAnsi="宋体"/>
                <w:sz w:val="24"/>
              </w:rPr>
              <w:t>（1）开标后，采购组织机构将向各投标供应商发出“电子加密投标文件”的解密通知，各投标供应商代表应当在接到解密通知后30分钟内自行完成“电子加密投标文件”的在线解密。</w:t>
            </w:r>
          </w:p>
          <w:p w14:paraId="169ED318">
            <w:pPr>
              <w:widowControl/>
              <w:jc w:val="left"/>
              <w:rPr>
                <w:rFonts w:ascii="宋体" w:hAnsi="宋体"/>
                <w:sz w:val="24"/>
              </w:rPr>
            </w:pPr>
            <w:r>
              <w:rPr>
                <w:rFonts w:hint="eastAsia" w:ascii="宋体" w:hAnsi="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E7B43A4">
            <w:pPr>
              <w:widowControl/>
              <w:jc w:val="left"/>
              <w:rPr>
                <w:rFonts w:ascii="宋体" w:hAnsi="宋体"/>
                <w:sz w:val="24"/>
              </w:rPr>
            </w:pPr>
            <w:r>
              <w:rPr>
                <w:rFonts w:hint="eastAsia" w:ascii="宋体" w:hAnsi="宋体"/>
                <w:sz w:val="24"/>
              </w:rPr>
              <w:t>（3）投标截止时间前，投标供应商仅递交了“备份投标文件”而未将电子加密投标文件上传至“政府采购云平台”的，投标无效。</w:t>
            </w:r>
          </w:p>
        </w:tc>
      </w:tr>
      <w:tr w14:paraId="0DEF3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14:paraId="14D1A391">
            <w:pPr>
              <w:snapToGrid w:val="0"/>
              <w:spacing w:line="360" w:lineRule="auto"/>
              <w:jc w:val="center"/>
              <w:rPr>
                <w:rFonts w:ascii="宋体" w:hAnsi="宋体"/>
                <w:sz w:val="24"/>
                <w:szCs w:val="20"/>
              </w:rPr>
            </w:pPr>
            <w:r>
              <w:rPr>
                <w:rFonts w:hint="eastAsia" w:ascii="宋体" w:hAnsi="宋体"/>
                <w:sz w:val="24"/>
              </w:rPr>
              <w:t>10</w:t>
            </w:r>
          </w:p>
        </w:tc>
        <w:tc>
          <w:tcPr>
            <w:tcW w:w="9056" w:type="dxa"/>
            <w:tcBorders>
              <w:top w:val="single" w:color="auto" w:sz="4" w:space="0"/>
              <w:left w:val="single" w:color="auto" w:sz="4" w:space="0"/>
              <w:bottom w:val="single" w:color="auto" w:sz="4" w:space="0"/>
              <w:right w:val="single" w:color="auto" w:sz="4" w:space="0"/>
            </w:tcBorders>
            <w:vAlign w:val="center"/>
          </w:tcPr>
          <w:p w14:paraId="7FAB4E3B">
            <w:pPr>
              <w:widowControl/>
              <w:jc w:val="left"/>
              <w:rPr>
                <w:rFonts w:ascii="宋体" w:hAnsi="宋体"/>
                <w:sz w:val="24"/>
              </w:rPr>
            </w:pPr>
            <w:r>
              <w:rPr>
                <w:rFonts w:hint="eastAsia" w:ascii="宋体" w:hAnsi="宋体"/>
                <w:sz w:val="24"/>
              </w:rPr>
              <w:t>开标时间及地点：2025年 月 日</w:t>
            </w:r>
            <w:r>
              <w:rPr>
                <w:rFonts w:hint="eastAsia" w:ascii="宋体" w:hAnsi="宋体" w:cs="仿宋"/>
                <w:sz w:val="24"/>
              </w:rPr>
              <w:t>14点00分</w:t>
            </w:r>
          </w:p>
          <w:p w14:paraId="42BA564B">
            <w:pPr>
              <w:widowControl/>
              <w:jc w:val="left"/>
              <w:rPr>
                <w:rFonts w:ascii="宋体" w:hAnsi="宋体"/>
                <w:sz w:val="24"/>
              </w:rPr>
            </w:pPr>
            <w:r>
              <w:rPr>
                <w:rFonts w:hint="eastAsia" w:ascii="宋体" w:hAnsi="宋体"/>
                <w:sz w:val="24"/>
              </w:rPr>
              <w:t>浙江省湖州市公共资源交易中心二楼开标室（湖州市仁皇山片区金盖山路</w:t>
            </w:r>
            <w:r>
              <w:rPr>
                <w:rFonts w:ascii="宋体" w:hAnsi="宋体"/>
                <w:sz w:val="24"/>
              </w:rPr>
              <w:t>66</w:t>
            </w:r>
            <w:r>
              <w:rPr>
                <w:rFonts w:hint="eastAsia" w:ascii="宋体" w:hAnsi="宋体"/>
                <w:sz w:val="24"/>
              </w:rPr>
              <w:t>号</w:t>
            </w:r>
            <w:r>
              <w:rPr>
                <w:rFonts w:ascii="宋体" w:hAnsi="宋体"/>
                <w:sz w:val="24"/>
              </w:rPr>
              <w:t>2</w:t>
            </w:r>
            <w:r>
              <w:rPr>
                <w:rFonts w:hint="eastAsia" w:ascii="宋体" w:hAnsi="宋体"/>
                <w:sz w:val="24"/>
              </w:rPr>
              <w:t>号楼，具体详见二楼大厅公告栏），供应商应在投标截止时间前登入“政府采购云平台（www.zcygov.cn）”在线参与开标，并完成CA锁在线解密投标文件等相关工作。</w:t>
            </w:r>
          </w:p>
        </w:tc>
      </w:tr>
      <w:tr w14:paraId="794FA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14:paraId="6C808DFD">
            <w:pPr>
              <w:snapToGrid w:val="0"/>
              <w:spacing w:line="360" w:lineRule="auto"/>
              <w:jc w:val="center"/>
              <w:rPr>
                <w:rFonts w:ascii="宋体" w:hAnsi="宋体"/>
                <w:sz w:val="24"/>
                <w:szCs w:val="20"/>
              </w:rPr>
            </w:pPr>
            <w:r>
              <w:rPr>
                <w:rFonts w:ascii="宋体" w:hAnsi="宋体"/>
                <w:sz w:val="24"/>
              </w:rPr>
              <w:t>10</w:t>
            </w:r>
          </w:p>
        </w:tc>
        <w:tc>
          <w:tcPr>
            <w:tcW w:w="9056" w:type="dxa"/>
            <w:tcBorders>
              <w:top w:val="single" w:color="auto" w:sz="4" w:space="0"/>
              <w:left w:val="single" w:color="auto" w:sz="4" w:space="0"/>
              <w:bottom w:val="single" w:color="auto" w:sz="4" w:space="0"/>
              <w:right w:val="single" w:color="auto" w:sz="4" w:space="0"/>
            </w:tcBorders>
            <w:vAlign w:val="center"/>
          </w:tcPr>
          <w:p w14:paraId="09F37289">
            <w:pPr>
              <w:widowControl/>
              <w:jc w:val="left"/>
              <w:rPr>
                <w:rFonts w:ascii="宋体" w:hAnsi="宋体"/>
                <w:sz w:val="24"/>
              </w:rPr>
            </w:pPr>
            <w:r>
              <w:rPr>
                <w:rFonts w:hint="eastAsia" w:ascii="宋体" w:hAnsi="宋体"/>
                <w:sz w:val="24"/>
              </w:rPr>
              <w:t>评标办法及评分标准：详见招标文件</w:t>
            </w:r>
          </w:p>
        </w:tc>
      </w:tr>
      <w:tr w14:paraId="61F3B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14:paraId="529BD58B">
            <w:pPr>
              <w:snapToGrid w:val="0"/>
              <w:spacing w:line="360" w:lineRule="auto"/>
              <w:jc w:val="center"/>
              <w:rPr>
                <w:rFonts w:ascii="宋体" w:hAnsi="宋体"/>
                <w:sz w:val="24"/>
                <w:szCs w:val="20"/>
              </w:rPr>
            </w:pPr>
            <w:r>
              <w:rPr>
                <w:rFonts w:ascii="宋体" w:hAnsi="宋体"/>
                <w:sz w:val="24"/>
              </w:rPr>
              <w:t>11</w:t>
            </w:r>
          </w:p>
        </w:tc>
        <w:tc>
          <w:tcPr>
            <w:tcW w:w="9056" w:type="dxa"/>
            <w:tcBorders>
              <w:top w:val="single" w:color="auto" w:sz="4" w:space="0"/>
              <w:left w:val="single" w:color="auto" w:sz="4" w:space="0"/>
              <w:bottom w:val="single" w:color="auto" w:sz="4" w:space="0"/>
              <w:right w:val="single" w:color="auto" w:sz="4" w:space="0"/>
            </w:tcBorders>
            <w:vAlign w:val="center"/>
          </w:tcPr>
          <w:p w14:paraId="52B0A8BE">
            <w:pPr>
              <w:widowControl/>
              <w:jc w:val="left"/>
              <w:rPr>
                <w:rFonts w:ascii="宋体" w:hAnsi="宋体"/>
                <w:sz w:val="24"/>
              </w:rPr>
            </w:pPr>
            <w:r>
              <w:rPr>
                <w:rFonts w:hint="eastAsia" w:ascii="宋体" w:hAnsi="宋体"/>
                <w:sz w:val="24"/>
              </w:rPr>
              <w:t>中标公告：中标供应商确定后，中标公告于浙江省政府采购网：（</w:t>
            </w:r>
            <w:r>
              <w:fldChar w:fldCharType="begin"/>
            </w:r>
            <w:r>
              <w:instrText xml:space="preserve"> HYPERLINK "http://www.zjzfcg.gov.cn/" </w:instrText>
            </w:r>
            <w:r>
              <w:fldChar w:fldCharType="separate"/>
            </w:r>
            <w:r>
              <w:rPr>
                <w:rFonts w:ascii="宋体" w:hAnsi="宋体"/>
                <w:sz w:val="24"/>
              </w:rPr>
              <w:t>http://www.zjzfcg.gov.cn</w:t>
            </w:r>
            <w:r>
              <w:rPr>
                <w:rFonts w:ascii="宋体" w:hAnsi="宋体"/>
                <w:sz w:val="24"/>
              </w:rPr>
              <w:fldChar w:fldCharType="end"/>
            </w:r>
            <w:r>
              <w:rPr>
                <w:rFonts w:ascii="宋体" w:hAnsi="宋体"/>
                <w:sz w:val="24"/>
              </w:rPr>
              <w:t>)</w:t>
            </w:r>
            <w:r>
              <w:rPr>
                <w:rFonts w:hint="eastAsia" w:ascii="宋体" w:hAnsi="宋体"/>
                <w:sz w:val="24"/>
              </w:rPr>
              <w:t>、</w:t>
            </w:r>
            <w:r>
              <w:rPr>
                <w:rFonts w:ascii="宋体" w:hAnsi="宋体"/>
                <w:sz w:val="24"/>
              </w:rPr>
              <w:t>湖州市公共资源交易信息网http://ggzy.huzhou.gov.cn</w:t>
            </w:r>
            <w:r>
              <w:rPr>
                <w:rFonts w:hint="eastAsia" w:ascii="宋体" w:hAnsi="宋体"/>
                <w:sz w:val="24"/>
              </w:rPr>
              <w:t>等网站。</w:t>
            </w:r>
          </w:p>
        </w:tc>
      </w:tr>
      <w:tr w14:paraId="54EFF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14:paraId="6E5FCEDA">
            <w:pPr>
              <w:snapToGrid w:val="0"/>
              <w:spacing w:line="360" w:lineRule="auto"/>
              <w:jc w:val="center"/>
              <w:rPr>
                <w:rFonts w:ascii="宋体" w:hAnsi="宋体"/>
                <w:sz w:val="24"/>
                <w:szCs w:val="20"/>
              </w:rPr>
            </w:pPr>
            <w:r>
              <w:rPr>
                <w:rFonts w:ascii="宋体" w:hAnsi="宋体"/>
                <w:sz w:val="24"/>
              </w:rPr>
              <w:t>12</w:t>
            </w:r>
          </w:p>
        </w:tc>
        <w:tc>
          <w:tcPr>
            <w:tcW w:w="9056" w:type="dxa"/>
            <w:tcBorders>
              <w:top w:val="single" w:color="auto" w:sz="4" w:space="0"/>
              <w:left w:val="single" w:color="auto" w:sz="4" w:space="0"/>
              <w:bottom w:val="single" w:color="auto" w:sz="4" w:space="0"/>
              <w:right w:val="single" w:color="auto" w:sz="4" w:space="0"/>
            </w:tcBorders>
            <w:vAlign w:val="center"/>
          </w:tcPr>
          <w:p w14:paraId="4BD5CE5B">
            <w:pPr>
              <w:widowControl/>
              <w:jc w:val="left"/>
              <w:rPr>
                <w:rFonts w:ascii="宋体" w:hAnsi="宋体"/>
                <w:sz w:val="24"/>
              </w:rPr>
            </w:pPr>
            <w:r>
              <w:rPr>
                <w:rFonts w:hint="eastAsia" w:ascii="宋体" w:hAnsi="宋体"/>
                <w:sz w:val="24"/>
              </w:rPr>
              <w:t>签订合同时间：中标通知书发出后30日内。</w:t>
            </w:r>
          </w:p>
        </w:tc>
      </w:tr>
      <w:tr w14:paraId="7F25D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14:paraId="3EC91DE3">
            <w:pPr>
              <w:snapToGrid w:val="0"/>
              <w:spacing w:line="360" w:lineRule="auto"/>
              <w:jc w:val="center"/>
              <w:rPr>
                <w:rFonts w:ascii="宋体" w:hAnsi="宋体"/>
                <w:sz w:val="24"/>
                <w:szCs w:val="20"/>
              </w:rPr>
            </w:pPr>
            <w:r>
              <w:rPr>
                <w:rFonts w:ascii="宋体" w:hAnsi="宋体"/>
                <w:sz w:val="24"/>
              </w:rPr>
              <w:t>13</w:t>
            </w:r>
          </w:p>
        </w:tc>
        <w:tc>
          <w:tcPr>
            <w:tcW w:w="9056" w:type="dxa"/>
            <w:tcBorders>
              <w:top w:val="single" w:color="auto" w:sz="4" w:space="0"/>
              <w:left w:val="single" w:color="auto" w:sz="4" w:space="0"/>
              <w:bottom w:val="single" w:color="auto" w:sz="4" w:space="0"/>
              <w:right w:val="single" w:color="auto" w:sz="4" w:space="0"/>
            </w:tcBorders>
            <w:vAlign w:val="center"/>
          </w:tcPr>
          <w:p w14:paraId="29544BD9">
            <w:pPr>
              <w:widowControl/>
              <w:jc w:val="left"/>
              <w:rPr>
                <w:rFonts w:ascii="宋体" w:hAnsi="宋体"/>
                <w:sz w:val="24"/>
              </w:rPr>
            </w:pPr>
            <w:r>
              <w:rPr>
                <w:rFonts w:hint="eastAsia" w:ascii="宋体" w:hAnsi="宋体"/>
                <w:sz w:val="24"/>
              </w:rPr>
              <w:t>本项目的履约保证金：</w:t>
            </w:r>
            <w:r>
              <w:rPr>
                <w:rFonts w:ascii="宋体" w:hAnsi="宋体"/>
                <w:sz w:val="24"/>
              </w:rPr>
              <w:t>合同价的1%</w:t>
            </w:r>
            <w:r>
              <w:rPr>
                <w:rFonts w:hint="eastAsia" w:ascii="宋体" w:hAnsi="宋体"/>
                <w:sz w:val="24"/>
              </w:rPr>
              <w:t>，履约保证金形式为：银行转账或银行、保险公司出具的保函；合同期限结束后由采购人无息退还。</w:t>
            </w:r>
          </w:p>
        </w:tc>
      </w:tr>
      <w:tr w14:paraId="7D46E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14:paraId="478D9054">
            <w:pPr>
              <w:snapToGrid w:val="0"/>
              <w:spacing w:line="360" w:lineRule="auto"/>
              <w:jc w:val="center"/>
              <w:rPr>
                <w:rFonts w:ascii="宋体" w:hAnsi="宋体"/>
                <w:sz w:val="24"/>
                <w:szCs w:val="20"/>
              </w:rPr>
            </w:pPr>
            <w:r>
              <w:rPr>
                <w:rFonts w:ascii="宋体" w:hAnsi="宋体"/>
                <w:sz w:val="24"/>
              </w:rPr>
              <w:t>14</w:t>
            </w:r>
          </w:p>
        </w:tc>
        <w:tc>
          <w:tcPr>
            <w:tcW w:w="9056" w:type="dxa"/>
            <w:tcBorders>
              <w:top w:val="single" w:color="auto" w:sz="4" w:space="0"/>
              <w:left w:val="single" w:color="auto" w:sz="4" w:space="0"/>
              <w:bottom w:val="single" w:color="auto" w:sz="4" w:space="0"/>
              <w:right w:val="single" w:color="auto" w:sz="4" w:space="0"/>
            </w:tcBorders>
            <w:vAlign w:val="center"/>
          </w:tcPr>
          <w:p w14:paraId="529D1555">
            <w:pPr>
              <w:widowControl/>
              <w:jc w:val="left"/>
              <w:rPr>
                <w:rFonts w:ascii="宋体" w:hAnsi="宋体"/>
                <w:sz w:val="24"/>
              </w:rPr>
            </w:pPr>
            <w:r>
              <w:rPr>
                <w:rFonts w:hint="eastAsia" w:ascii="宋体" w:hAnsi="宋体"/>
                <w:sz w:val="24"/>
              </w:rPr>
              <w:t>采购资金来源：财政资金</w:t>
            </w:r>
          </w:p>
        </w:tc>
      </w:tr>
      <w:tr w14:paraId="228DD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14:paraId="574A56BF">
            <w:pPr>
              <w:snapToGrid w:val="0"/>
              <w:spacing w:line="360" w:lineRule="auto"/>
              <w:jc w:val="center"/>
              <w:rPr>
                <w:rFonts w:ascii="宋体" w:hAnsi="宋体"/>
                <w:sz w:val="24"/>
                <w:szCs w:val="20"/>
              </w:rPr>
            </w:pPr>
            <w:r>
              <w:rPr>
                <w:rFonts w:ascii="宋体" w:hAnsi="宋体"/>
                <w:sz w:val="24"/>
              </w:rPr>
              <w:t>15</w:t>
            </w:r>
          </w:p>
        </w:tc>
        <w:tc>
          <w:tcPr>
            <w:tcW w:w="9056" w:type="dxa"/>
            <w:tcBorders>
              <w:top w:val="single" w:color="auto" w:sz="4" w:space="0"/>
              <w:left w:val="single" w:color="auto" w:sz="4" w:space="0"/>
              <w:bottom w:val="single" w:color="auto" w:sz="4" w:space="0"/>
              <w:right w:val="single" w:color="auto" w:sz="4" w:space="0"/>
            </w:tcBorders>
            <w:vAlign w:val="center"/>
          </w:tcPr>
          <w:p w14:paraId="584D57A3">
            <w:pPr>
              <w:widowControl/>
              <w:jc w:val="left"/>
              <w:rPr>
                <w:rFonts w:ascii="宋体" w:hAnsi="宋体"/>
                <w:sz w:val="24"/>
              </w:rPr>
            </w:pPr>
            <w:r>
              <w:rPr>
                <w:rFonts w:hint="eastAsia" w:ascii="宋体" w:hAnsi="宋体"/>
                <w:sz w:val="24"/>
              </w:rPr>
              <w:t>付款方式：采购人自行支付</w:t>
            </w:r>
          </w:p>
        </w:tc>
      </w:tr>
      <w:tr w14:paraId="2925F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14:paraId="0A2B6F6D">
            <w:pPr>
              <w:snapToGrid w:val="0"/>
              <w:spacing w:line="360" w:lineRule="auto"/>
              <w:jc w:val="center"/>
              <w:rPr>
                <w:rFonts w:ascii="宋体" w:hAnsi="宋体"/>
                <w:sz w:val="24"/>
              </w:rPr>
            </w:pPr>
            <w:r>
              <w:rPr>
                <w:rFonts w:ascii="宋体" w:hAnsi="宋体"/>
                <w:sz w:val="24"/>
              </w:rPr>
              <w:t>16</w:t>
            </w:r>
          </w:p>
        </w:tc>
        <w:tc>
          <w:tcPr>
            <w:tcW w:w="9056" w:type="dxa"/>
            <w:tcBorders>
              <w:top w:val="single" w:color="auto" w:sz="4" w:space="0"/>
              <w:left w:val="single" w:color="auto" w:sz="4" w:space="0"/>
              <w:bottom w:val="single" w:color="auto" w:sz="4" w:space="0"/>
              <w:right w:val="single" w:color="auto" w:sz="4" w:space="0"/>
            </w:tcBorders>
            <w:vAlign w:val="center"/>
          </w:tcPr>
          <w:p w14:paraId="50A76DF7">
            <w:pPr>
              <w:widowControl/>
              <w:jc w:val="left"/>
              <w:rPr>
                <w:rFonts w:ascii="宋体" w:hAnsi="宋体"/>
                <w:sz w:val="24"/>
              </w:rPr>
            </w:pPr>
            <w:r>
              <w:rPr>
                <w:rFonts w:hint="eastAsia" w:ascii="宋体" w:hAnsi="宋体"/>
                <w:sz w:val="24"/>
              </w:rPr>
              <w:t>投标文件有效期：120天</w:t>
            </w:r>
          </w:p>
        </w:tc>
      </w:tr>
      <w:tr w14:paraId="36B4C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14:paraId="72559AD8">
            <w:pPr>
              <w:snapToGrid w:val="0"/>
              <w:spacing w:line="360" w:lineRule="auto"/>
              <w:jc w:val="center"/>
              <w:rPr>
                <w:rFonts w:ascii="宋体" w:hAnsi="宋体"/>
                <w:sz w:val="24"/>
                <w:szCs w:val="20"/>
              </w:rPr>
            </w:pPr>
            <w:r>
              <w:rPr>
                <w:rFonts w:hint="eastAsia" w:ascii="宋体" w:hAnsi="宋体"/>
                <w:sz w:val="24"/>
                <w:szCs w:val="20"/>
              </w:rPr>
              <w:t>17</w:t>
            </w:r>
          </w:p>
        </w:tc>
        <w:tc>
          <w:tcPr>
            <w:tcW w:w="9056" w:type="dxa"/>
            <w:tcBorders>
              <w:top w:val="single" w:color="auto" w:sz="4" w:space="0"/>
              <w:left w:val="single" w:color="auto" w:sz="4" w:space="0"/>
              <w:bottom w:val="single" w:color="auto" w:sz="4" w:space="0"/>
              <w:right w:val="single" w:color="auto" w:sz="4" w:space="0"/>
            </w:tcBorders>
            <w:vAlign w:val="center"/>
          </w:tcPr>
          <w:p w14:paraId="575BF8ED">
            <w:pPr>
              <w:snapToGrid w:val="0"/>
              <w:spacing w:line="360" w:lineRule="auto"/>
              <w:rPr>
                <w:rFonts w:ascii="宋体" w:hAnsi="宋体"/>
                <w:sz w:val="24"/>
              </w:rPr>
            </w:pPr>
            <w:r>
              <w:rPr>
                <w:rFonts w:hint="eastAsia" w:ascii="宋体" w:hAnsi="宋体"/>
                <w:sz w:val="24"/>
              </w:rPr>
              <w:t>招标单位：吴兴高级中学</w:t>
            </w:r>
          </w:p>
        </w:tc>
      </w:tr>
      <w:tr w14:paraId="68499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14:paraId="6806FD51">
            <w:pPr>
              <w:snapToGrid w:val="0"/>
              <w:spacing w:line="360" w:lineRule="auto"/>
              <w:jc w:val="center"/>
              <w:rPr>
                <w:rFonts w:ascii="宋体" w:hAnsi="宋体"/>
                <w:sz w:val="24"/>
                <w:szCs w:val="20"/>
              </w:rPr>
            </w:pPr>
            <w:r>
              <w:rPr>
                <w:rFonts w:hint="eastAsia" w:ascii="宋体" w:hAnsi="宋体"/>
                <w:sz w:val="24"/>
                <w:szCs w:val="20"/>
              </w:rPr>
              <w:t>18</w:t>
            </w:r>
          </w:p>
        </w:tc>
        <w:tc>
          <w:tcPr>
            <w:tcW w:w="9056" w:type="dxa"/>
            <w:tcBorders>
              <w:top w:val="single" w:color="auto" w:sz="4" w:space="0"/>
              <w:left w:val="single" w:color="auto" w:sz="4" w:space="0"/>
              <w:bottom w:val="single" w:color="auto" w:sz="4" w:space="0"/>
              <w:right w:val="single" w:color="auto" w:sz="4" w:space="0"/>
            </w:tcBorders>
            <w:vAlign w:val="center"/>
          </w:tcPr>
          <w:p w14:paraId="06B5B1B5">
            <w:pPr>
              <w:widowControl/>
              <w:jc w:val="left"/>
              <w:rPr>
                <w:rFonts w:ascii="宋体" w:hAnsi="宋体"/>
                <w:sz w:val="24"/>
              </w:rPr>
            </w:pPr>
            <w:r>
              <w:rPr>
                <w:rFonts w:hint="eastAsia" w:ascii="宋体" w:hAnsi="宋体"/>
                <w:sz w:val="24"/>
              </w:rPr>
              <w:t>解释：本招标文件的解释权属于招标采购单位</w:t>
            </w:r>
          </w:p>
        </w:tc>
      </w:tr>
    </w:tbl>
    <w:p w14:paraId="6EDE4B99">
      <w:pPr>
        <w:pStyle w:val="24"/>
        <w:snapToGrid w:val="0"/>
        <w:spacing w:beforeLines="0" w:afterLines="0" w:line="360" w:lineRule="auto"/>
        <w:rPr>
          <w:rFonts w:hAnsi="宋体"/>
          <w:b/>
          <w:sz w:val="28"/>
          <w:szCs w:val="28"/>
        </w:rPr>
      </w:pPr>
      <w:r>
        <w:rPr>
          <w:rFonts w:hint="eastAsia" w:hAnsi="宋体"/>
          <w:b/>
          <w:sz w:val="28"/>
          <w:szCs w:val="28"/>
        </w:rPr>
        <w:t>一   总  则</w:t>
      </w:r>
    </w:p>
    <w:p w14:paraId="60553016">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 xml:space="preserve"> 适用范围</w:t>
      </w:r>
    </w:p>
    <w:p w14:paraId="2BC18836">
      <w:pPr>
        <w:snapToGrid w:val="0"/>
        <w:spacing w:line="360" w:lineRule="auto"/>
        <w:ind w:firstLine="480" w:firstLineChars="200"/>
        <w:jc w:val="left"/>
        <w:rPr>
          <w:rFonts w:ascii="宋体" w:hAnsi="宋体"/>
          <w:sz w:val="24"/>
        </w:rPr>
      </w:pPr>
      <w:r>
        <w:rPr>
          <w:rFonts w:hint="eastAsia" w:ascii="宋体" w:hAnsi="宋体"/>
          <w:sz w:val="24"/>
        </w:rPr>
        <w:t>本招标文件适用于吴兴高级中学生物实验室改造项目的招标、评标、定标、验收、合同履约、付款等（法律、法规另有规定的，从其规定）。</w:t>
      </w:r>
    </w:p>
    <w:p w14:paraId="25E8281F">
      <w:pPr>
        <w:snapToGrid w:val="0"/>
        <w:spacing w:line="360" w:lineRule="auto"/>
        <w:ind w:firstLine="354" w:firstLineChars="147"/>
        <w:jc w:val="left"/>
        <w:outlineLvl w:val="1"/>
        <w:rPr>
          <w:rFonts w:ascii="宋体" w:hAnsi="宋体"/>
          <w:b/>
          <w:sz w:val="24"/>
          <w:szCs w:val="20"/>
        </w:rPr>
      </w:pPr>
      <w:r>
        <w:rPr>
          <w:rFonts w:hint="eastAsia" w:ascii="宋体" w:hAnsi="宋体"/>
          <w:b/>
          <w:sz w:val="24"/>
        </w:rPr>
        <w:t>（二）定义</w:t>
      </w:r>
    </w:p>
    <w:p w14:paraId="759858BC">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招标采购单位系指组织本次招标的代理机构和采购单位</w:t>
      </w:r>
      <w:r>
        <w:rPr>
          <w:rFonts w:hint="eastAsia" w:ascii="宋体" w:hAnsi="宋体"/>
          <w:sz w:val="24"/>
        </w:rPr>
        <w:t>（吴兴高级中学）</w:t>
      </w:r>
      <w:r>
        <w:rPr>
          <w:rFonts w:ascii="宋体" w:hAnsi="宋体"/>
          <w:sz w:val="24"/>
        </w:rPr>
        <w:t>。</w:t>
      </w:r>
    </w:p>
    <w:p w14:paraId="432346AF">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投标人”系指向招标方提交投标文件的单位或个人。</w:t>
      </w:r>
    </w:p>
    <w:p w14:paraId="64073B69">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w:t>
      </w:r>
      <w:r>
        <w:rPr>
          <w:rFonts w:hint="eastAsia" w:ascii="宋体" w:hAnsi="宋体"/>
          <w:sz w:val="24"/>
        </w:rPr>
        <w:t>及其他有关</w:t>
      </w:r>
      <w:r>
        <w:rPr>
          <w:rFonts w:ascii="宋体" w:hAnsi="宋体"/>
          <w:sz w:val="24"/>
        </w:rPr>
        <w:t>技术资料和材料。</w:t>
      </w:r>
    </w:p>
    <w:p w14:paraId="70FBD40E">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14:paraId="36793945">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14:paraId="0F78E9E4">
      <w:pPr>
        <w:snapToGrid w:val="0"/>
        <w:spacing w:line="360" w:lineRule="auto"/>
        <w:ind w:firstLine="480" w:firstLineChars="200"/>
        <w:jc w:val="left"/>
        <w:rPr>
          <w:rFonts w:ascii="宋体" w:hAnsi="宋体"/>
          <w:sz w:val="24"/>
          <w:szCs w:val="20"/>
        </w:rPr>
      </w:pPr>
      <w:r>
        <w:rPr>
          <w:rFonts w:ascii="宋体" w:hAnsi="宋体"/>
          <w:sz w:val="24"/>
        </w:rPr>
        <w:t>6</w:t>
      </w:r>
      <w:r>
        <w:rPr>
          <w:rFonts w:hint="eastAsia" w:ascii="宋体" w:hAnsi="宋体"/>
          <w:sz w:val="24"/>
        </w:rPr>
        <w:t>.</w:t>
      </w:r>
      <w:r>
        <w:rPr>
          <w:rFonts w:ascii="宋体" w:hAnsi="宋体"/>
          <w:sz w:val="24"/>
        </w:rPr>
        <w:t>“书面形式”包括信函、传真、电报等。</w:t>
      </w:r>
    </w:p>
    <w:p w14:paraId="33A6B529">
      <w:pPr>
        <w:snapToGrid w:val="0"/>
        <w:spacing w:line="360" w:lineRule="auto"/>
        <w:ind w:firstLine="480" w:firstLineChars="200"/>
        <w:jc w:val="left"/>
        <w:rPr>
          <w:rFonts w:ascii="宋体" w:hAnsi="宋体"/>
          <w:sz w:val="24"/>
          <w:szCs w:val="20"/>
        </w:rPr>
      </w:pPr>
      <w:r>
        <w:rPr>
          <w:rFonts w:ascii="宋体" w:hAnsi="宋体"/>
          <w:sz w:val="24"/>
        </w:rPr>
        <w:t>7</w:t>
      </w:r>
      <w:r>
        <w:rPr>
          <w:rFonts w:hint="eastAsia" w:ascii="宋体" w:hAnsi="宋体"/>
          <w:sz w:val="24"/>
        </w:rPr>
        <w:t>.</w:t>
      </w:r>
      <w:r>
        <w:rPr>
          <w:rFonts w:ascii="宋体" w:hAnsi="宋体"/>
          <w:sz w:val="24"/>
        </w:rPr>
        <w:t>“▲”系指实质性要求条款。</w:t>
      </w:r>
    </w:p>
    <w:p w14:paraId="7B537B0F">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（三）招标方式</w:t>
      </w:r>
    </w:p>
    <w:p w14:paraId="209A0AF3">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14:paraId="3ED1A7AE">
      <w:pPr>
        <w:snapToGrid w:val="0"/>
        <w:spacing w:line="360" w:lineRule="auto"/>
        <w:ind w:firstLine="472" w:firstLineChars="196"/>
        <w:jc w:val="left"/>
        <w:outlineLvl w:val="1"/>
        <w:rPr>
          <w:rFonts w:ascii="宋体" w:hAnsi="宋体"/>
          <w:b/>
          <w:sz w:val="24"/>
          <w:szCs w:val="20"/>
        </w:rPr>
      </w:pPr>
      <w:r>
        <w:rPr>
          <w:rFonts w:hint="eastAsia" w:ascii="宋体" w:hAnsi="宋体"/>
          <w:b/>
          <w:sz w:val="24"/>
        </w:rPr>
        <w:t>（四）投标委托</w:t>
      </w:r>
    </w:p>
    <w:p w14:paraId="1343BF32">
      <w:pPr>
        <w:pStyle w:val="19"/>
        <w:snapToGrid w:val="0"/>
        <w:spacing w:line="360" w:lineRule="auto"/>
        <w:ind w:firstLine="580" w:firstLineChars="250"/>
        <w:jc w:val="left"/>
        <w:rPr>
          <w:rFonts w:hAnsi="宋体"/>
          <w:sz w:val="24"/>
          <w:szCs w:val="24"/>
        </w:rPr>
      </w:pPr>
      <w:r>
        <w:rPr>
          <w:rFonts w:hAnsi="宋体"/>
          <w:sz w:val="24"/>
          <w:szCs w:val="24"/>
        </w:rPr>
        <w:t>投标人代表须携带</w:t>
      </w:r>
      <w:r>
        <w:rPr>
          <w:rFonts w:hint="eastAsia" w:hAnsi="宋体"/>
          <w:sz w:val="24"/>
          <w:szCs w:val="24"/>
        </w:rPr>
        <w:t>有效</w:t>
      </w:r>
      <w:r>
        <w:rPr>
          <w:rFonts w:hAnsi="宋体"/>
          <w:sz w:val="24"/>
          <w:szCs w:val="24"/>
        </w:rPr>
        <w:t>身份证</w:t>
      </w:r>
      <w:r>
        <w:rPr>
          <w:rFonts w:hint="eastAsia" w:hAnsi="宋体"/>
          <w:sz w:val="24"/>
          <w:szCs w:val="24"/>
        </w:rPr>
        <w:t>件</w:t>
      </w:r>
      <w:r>
        <w:rPr>
          <w:rFonts w:hAnsi="宋体"/>
          <w:sz w:val="24"/>
          <w:szCs w:val="24"/>
        </w:rPr>
        <w:t>。如投标人代表不是法定代表人，须有法定代表人出具的授权委托书</w:t>
      </w:r>
      <w:r>
        <w:rPr>
          <w:rFonts w:hint="eastAsia" w:hAnsi="宋体"/>
          <w:sz w:val="24"/>
          <w:szCs w:val="24"/>
        </w:rPr>
        <w:t>及近1个月的社保证明复印件加盖公章</w:t>
      </w:r>
      <w:r>
        <w:rPr>
          <w:rFonts w:hAnsi="宋体"/>
          <w:sz w:val="24"/>
          <w:szCs w:val="24"/>
        </w:rPr>
        <w:t>（格式见第四部分）。</w:t>
      </w:r>
    </w:p>
    <w:p w14:paraId="220F6034">
      <w:pPr>
        <w:snapToGrid w:val="0"/>
        <w:spacing w:line="360" w:lineRule="auto"/>
        <w:ind w:firstLine="472" w:firstLineChars="196"/>
        <w:jc w:val="left"/>
        <w:outlineLvl w:val="1"/>
        <w:rPr>
          <w:rFonts w:ascii="宋体" w:hAnsi="宋体"/>
          <w:b/>
          <w:sz w:val="24"/>
          <w:szCs w:val="20"/>
        </w:rPr>
      </w:pPr>
      <w:r>
        <w:rPr>
          <w:rFonts w:hint="eastAsia" w:ascii="宋体" w:hAnsi="宋体"/>
          <w:b/>
          <w:sz w:val="24"/>
        </w:rPr>
        <w:t>（五）投标费用</w:t>
      </w:r>
    </w:p>
    <w:p w14:paraId="4A0C8E1C">
      <w:pPr>
        <w:snapToGrid w:val="0"/>
        <w:spacing w:line="360" w:lineRule="auto"/>
        <w:ind w:firstLine="600" w:firstLineChars="250"/>
        <w:jc w:val="left"/>
        <w:rPr>
          <w:rFonts w:ascii="宋体" w:hAnsi="宋体"/>
          <w:sz w:val="24"/>
        </w:rPr>
      </w:pPr>
      <w:r>
        <w:rPr>
          <w:rFonts w:hint="eastAsia" w:ascii="宋体" w:hAnsi="宋体"/>
          <w:sz w:val="24"/>
        </w:rPr>
        <w:t>1.不论投标结果如何，投标人均应自行承担所有与投标有关的全部费用（招标文件有相反规定除外）。</w:t>
      </w:r>
    </w:p>
    <w:p w14:paraId="5213624A">
      <w:pPr>
        <w:snapToGrid w:val="0"/>
        <w:spacing w:line="360" w:lineRule="auto"/>
        <w:ind w:firstLine="600" w:firstLineChars="250"/>
        <w:jc w:val="left"/>
        <w:rPr>
          <w:rFonts w:ascii="宋体" w:hAnsi="宋体"/>
          <w:sz w:val="24"/>
        </w:rPr>
      </w:pPr>
      <w:r>
        <w:rPr>
          <w:rFonts w:hint="eastAsia" w:ascii="宋体" w:hAnsi="宋体"/>
          <w:sz w:val="24"/>
        </w:rPr>
        <w:t>2.本项目招标代理服务费收取标准人民币陆仟玖佰伍拾元整（￥6950.00)，由</w:t>
      </w:r>
      <w:r>
        <w:rPr>
          <w:rFonts w:hint="eastAsia"/>
          <w:sz w:val="24"/>
        </w:rPr>
        <w:t>中标人全额支付</w:t>
      </w:r>
      <w:r>
        <w:rPr>
          <w:rFonts w:hint="eastAsia" w:ascii="宋体" w:hAnsi="宋体"/>
          <w:sz w:val="24"/>
        </w:rPr>
        <w:t>。在</w:t>
      </w:r>
      <w:r>
        <w:rPr>
          <w:rFonts w:hint="eastAsia" w:ascii="宋体" w:hAnsi="宋体"/>
          <w:bCs/>
          <w:sz w:val="24"/>
        </w:rPr>
        <w:t>中标通知书发出后</w:t>
      </w:r>
      <w:r>
        <w:rPr>
          <w:rFonts w:hint="eastAsia" w:ascii="宋体" w:hAnsi="宋体"/>
          <w:sz w:val="24"/>
        </w:rPr>
        <w:t>当日内一次性结清。</w:t>
      </w:r>
    </w:p>
    <w:p w14:paraId="369420C2">
      <w:pPr>
        <w:snapToGrid w:val="0"/>
        <w:spacing w:line="360" w:lineRule="auto"/>
        <w:ind w:firstLine="482" w:firstLineChars="200"/>
        <w:jc w:val="left"/>
        <w:rPr>
          <w:rFonts w:ascii="宋体" w:hAnsi="宋体"/>
          <w:b/>
          <w:sz w:val="24"/>
          <w:szCs w:val="20"/>
        </w:rPr>
      </w:pPr>
      <w:r>
        <w:rPr>
          <w:rFonts w:hint="eastAsia" w:ascii="宋体" w:hAnsi="宋体"/>
          <w:b/>
          <w:sz w:val="24"/>
        </w:rPr>
        <w:t>（六）联合体投标</w:t>
      </w:r>
    </w:p>
    <w:p w14:paraId="310B9D3B">
      <w:pPr>
        <w:snapToGrid w:val="0"/>
        <w:spacing w:line="360" w:lineRule="auto"/>
        <w:ind w:firstLine="720" w:firstLineChars="300"/>
        <w:jc w:val="left"/>
        <w:rPr>
          <w:rFonts w:ascii="宋体" w:hAnsi="宋体" w:cs="Arial"/>
          <w:sz w:val="24"/>
        </w:rPr>
      </w:pPr>
      <w:r>
        <w:rPr>
          <w:rFonts w:hint="eastAsia" w:ascii="宋体" w:hAnsi="宋体" w:cs="Arial"/>
          <w:sz w:val="24"/>
        </w:rPr>
        <w:t>本项目不接受联合体投标。</w:t>
      </w:r>
    </w:p>
    <w:p w14:paraId="3712452D">
      <w:pPr>
        <w:snapToGrid w:val="0"/>
        <w:spacing w:line="360" w:lineRule="auto"/>
        <w:ind w:firstLine="472" w:firstLineChars="196"/>
        <w:rPr>
          <w:rFonts w:ascii="宋体" w:hAnsi="宋体" w:cs="宋体"/>
          <w:b/>
          <w:kern w:val="0"/>
          <w:sz w:val="24"/>
          <w:szCs w:val="20"/>
        </w:rPr>
      </w:pPr>
      <w:r>
        <w:rPr>
          <w:rFonts w:hint="eastAsia" w:ascii="宋体" w:hAnsi="宋体"/>
          <w:b/>
          <w:sz w:val="24"/>
        </w:rPr>
        <w:t>（七）</w:t>
      </w:r>
      <w:r>
        <w:rPr>
          <w:rFonts w:hint="eastAsia" w:ascii="宋体" w:hAnsi="宋体" w:cs="宋体"/>
          <w:b/>
          <w:kern w:val="0"/>
          <w:sz w:val="24"/>
        </w:rPr>
        <w:t>转包与分包</w:t>
      </w:r>
    </w:p>
    <w:p w14:paraId="1A68DFB8">
      <w:pPr>
        <w:snapToGrid w:val="0"/>
        <w:spacing w:line="360" w:lineRule="auto"/>
        <w:ind w:firstLine="480" w:firstLineChars="200"/>
        <w:rPr>
          <w:rFonts w:ascii="宋体" w:hAnsi="宋体" w:cs="宋体"/>
          <w:kern w:val="0"/>
          <w:sz w:val="24"/>
          <w:szCs w:val="20"/>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14:paraId="569D1631">
      <w:pPr>
        <w:snapToGrid w:val="0"/>
        <w:spacing w:line="360" w:lineRule="auto"/>
        <w:ind w:firstLine="480" w:firstLineChars="200"/>
        <w:rPr>
          <w:rFonts w:ascii="宋体" w:hAnsi="宋体"/>
          <w:sz w:val="24"/>
          <w:szCs w:val="20"/>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本项目不可以分包</w:t>
      </w:r>
      <w:r>
        <w:rPr>
          <w:rFonts w:hint="eastAsia" w:ascii="宋体" w:hAnsi="宋体" w:cs="宋体"/>
          <w:kern w:val="0"/>
          <w:sz w:val="24"/>
        </w:rPr>
        <w:t>。</w:t>
      </w:r>
    </w:p>
    <w:p w14:paraId="634CDEEA">
      <w:pPr>
        <w:snapToGrid w:val="0"/>
        <w:spacing w:line="360" w:lineRule="auto"/>
        <w:ind w:firstLine="472" w:firstLineChars="196"/>
        <w:jc w:val="left"/>
        <w:outlineLvl w:val="1"/>
        <w:rPr>
          <w:rFonts w:ascii="宋体" w:hAnsi="宋体"/>
          <w:b/>
          <w:sz w:val="24"/>
        </w:rPr>
      </w:pPr>
      <w:r>
        <w:rPr>
          <w:rFonts w:hint="eastAsia" w:ascii="宋体" w:hAnsi="宋体"/>
          <w:b/>
          <w:sz w:val="24"/>
        </w:rPr>
        <w:t>（八）特别说明：</w:t>
      </w:r>
    </w:p>
    <w:p w14:paraId="6EE7DBBB">
      <w:pPr>
        <w:widowControl/>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14:paraId="791825E4">
      <w:pPr>
        <w:pStyle w:val="24"/>
        <w:snapToGrid w:val="0"/>
        <w:spacing w:beforeLines="0" w:afterLines="0" w:line="360" w:lineRule="auto"/>
        <w:ind w:left="3" w:leftChars="1" w:firstLine="480" w:firstLineChars="200"/>
        <w:rPr>
          <w:rFonts w:hAnsi="宋体"/>
        </w:rPr>
      </w:pPr>
      <w:r>
        <w:rPr>
          <w:rFonts w:hAnsi="宋体"/>
        </w:rPr>
        <w:t>▲</w:t>
      </w:r>
      <w:r>
        <w:rPr>
          <w:rFonts w:hint="eastAsia" w:hAnsi="宋体"/>
        </w:rPr>
        <w:t>2.</w:t>
      </w:r>
      <w:r>
        <w:rPr>
          <w:rFonts w:hAnsi="宋体"/>
        </w:rPr>
        <w:t>投标人投标所使用的资格、信誉、荣誉、业绩与企业认证必须为本法人所拥有。投标人投标所使用的采购项目实施人员必须为本法人员工（或必须为本法人或控股公司正式员工）。</w:t>
      </w:r>
    </w:p>
    <w:p w14:paraId="54A943E0">
      <w:pPr>
        <w:pStyle w:val="24"/>
        <w:snapToGrid w:val="0"/>
        <w:spacing w:beforeLines="0" w:afterLines="0" w:line="360" w:lineRule="auto"/>
        <w:ind w:left="3" w:leftChars="1" w:firstLine="480" w:firstLineChars="200"/>
        <w:rPr>
          <w:rFonts w:hAnsi="宋体"/>
        </w:rPr>
      </w:pPr>
      <w:r>
        <w:rPr>
          <w:rFonts w:hAnsi="宋体"/>
        </w:rPr>
        <w:t>▲</w:t>
      </w:r>
      <w:r>
        <w:rPr>
          <w:rFonts w:hint="eastAsia" w:hAnsi="宋体"/>
        </w:rPr>
        <w:t>3.</w:t>
      </w:r>
      <w:r>
        <w:rPr>
          <w:rFonts w:hAnsi="宋体"/>
        </w:rPr>
        <w:t>投标人应仔细阅读招标文件的所有内容，按照招标文件的要求提交投标文件，并对所提供的全部资料的真实性承担法律责任。</w:t>
      </w:r>
    </w:p>
    <w:p w14:paraId="67A84BF3">
      <w:pPr>
        <w:pStyle w:val="24"/>
        <w:snapToGrid w:val="0"/>
        <w:spacing w:beforeLines="0" w:afterLines="0" w:line="360" w:lineRule="auto"/>
        <w:ind w:left="3" w:leftChars="1" w:firstLine="480" w:firstLineChars="200"/>
        <w:rPr>
          <w:rFonts w:hAnsi="宋体"/>
          <w:b/>
        </w:rPr>
      </w:pPr>
      <w:r>
        <w:rPr>
          <w:rFonts w:hAnsi="宋体"/>
        </w:rPr>
        <w:t>▲</w:t>
      </w:r>
      <w:r>
        <w:rPr>
          <w:rFonts w:hint="eastAsia" w:hAnsi="宋体"/>
        </w:rPr>
        <w:t>4.</w:t>
      </w:r>
      <w:r>
        <w:rPr>
          <w:rFonts w:hAnsi="宋体"/>
        </w:rPr>
        <w:t>投标人在投标活动中提供任何虚假材料</w:t>
      </w:r>
      <w:r>
        <w:rPr>
          <w:rFonts w:hint="eastAsia" w:hAnsi="宋体"/>
        </w:rPr>
        <w:t>，</w:t>
      </w:r>
      <w:r>
        <w:rPr>
          <w:rFonts w:hAnsi="宋体"/>
        </w:rPr>
        <w:t>其投标无效，并报监管部门查处；中标后发现的</w:t>
      </w:r>
      <w:r>
        <w:rPr>
          <w:rFonts w:hint="eastAsia" w:hAnsi="宋体"/>
        </w:rPr>
        <w:t>，</w:t>
      </w:r>
      <w:r>
        <w:rPr>
          <w:rFonts w:hAnsi="宋体"/>
        </w:rPr>
        <w:t>中标人须依照《中华人民共和国消费者权益保护法》第49条之规定双倍赔偿采购人</w:t>
      </w:r>
      <w:r>
        <w:rPr>
          <w:rFonts w:hint="eastAsia" w:hAnsi="宋体"/>
        </w:rPr>
        <w:t>，</w:t>
      </w:r>
      <w:r>
        <w:rPr>
          <w:rFonts w:hAnsi="宋体"/>
        </w:rPr>
        <w:t>且民事赔偿并不免除违法投标人的行政与刑事责任。</w:t>
      </w:r>
    </w:p>
    <w:p w14:paraId="06F8C5DA">
      <w:pPr>
        <w:pStyle w:val="24"/>
        <w:snapToGrid w:val="0"/>
        <w:spacing w:beforeLines="0" w:afterLines="0" w:line="360" w:lineRule="auto"/>
        <w:ind w:firstLine="472" w:firstLineChars="196"/>
        <w:outlineLvl w:val="1"/>
        <w:rPr>
          <w:rFonts w:hAnsi="宋体"/>
          <w:b/>
          <w:bCs/>
        </w:rPr>
      </w:pPr>
      <w:r>
        <w:rPr>
          <w:rFonts w:hAnsi="宋体"/>
          <w:b/>
          <w:bCs/>
        </w:rPr>
        <w:t>（九）质疑和投诉</w:t>
      </w:r>
    </w:p>
    <w:p w14:paraId="4856969B">
      <w:pPr>
        <w:pStyle w:val="24"/>
        <w:snapToGrid w:val="0"/>
        <w:spacing w:beforeLines="0" w:afterLines="0" w:line="360" w:lineRule="auto"/>
        <w:ind w:firstLine="470" w:firstLineChars="196"/>
        <w:outlineLvl w:val="1"/>
        <w:rPr>
          <w:rFonts w:hAnsi="宋体"/>
        </w:rPr>
      </w:pPr>
      <w:r>
        <w:rPr>
          <w:rFonts w:hint="eastAsia" w:hAnsi="宋体"/>
        </w:rPr>
        <w:t>提出质疑的供应商应当是参与所质疑项目采购活动的供应商。潜在供应商已依法获取其可质疑的采购文件的，可以对该文件提出质疑。对采购文件提出质疑的，应当在获取采购文件或者采购文件公告期限届满之日</w:t>
      </w:r>
      <w:bookmarkStart w:id="36" w:name="OLE_LINK41"/>
      <w:bookmarkStart w:id="37" w:name="OLE_LINK40"/>
      <w:r>
        <w:rPr>
          <w:rFonts w:hint="eastAsia" w:hAnsi="宋体" w:cs="仿宋"/>
        </w:rPr>
        <w:t>（公告期限届满后获取采购文件的，以公告期限届满之日为准）</w:t>
      </w:r>
      <w:bookmarkEnd w:id="36"/>
      <w:bookmarkEnd w:id="37"/>
      <w:r>
        <w:rPr>
          <w:rFonts w:hint="eastAsia" w:hAnsi="宋体"/>
        </w:rPr>
        <w:t>起7个工作日内，</w:t>
      </w:r>
      <w:r>
        <w:rPr>
          <w:rFonts w:hAnsi="宋体"/>
        </w:rPr>
        <w:t>以书面形式向采购人、采购代理机构提出质疑</w:t>
      </w:r>
      <w:r>
        <w:rPr>
          <w:rFonts w:hint="eastAsia" w:hAnsi="宋体"/>
        </w:rPr>
        <w:t>，并电话联系代理公司，由代理公司书面回复“已知悉”，否则代理公司有权不予认可该质疑</w:t>
      </w:r>
      <w:r>
        <w:rPr>
          <w:rFonts w:hAnsi="宋体"/>
        </w:rPr>
        <w:t>。</w:t>
      </w:r>
    </w:p>
    <w:p w14:paraId="64884168">
      <w:pPr>
        <w:pStyle w:val="24"/>
        <w:snapToGrid w:val="0"/>
        <w:spacing w:beforeLines="0" w:afterLines="0" w:line="360" w:lineRule="auto"/>
        <w:ind w:firstLine="470" w:firstLineChars="196"/>
        <w:outlineLvl w:val="1"/>
        <w:rPr>
          <w:rFonts w:hAnsi="宋体"/>
        </w:rPr>
      </w:pPr>
      <w:r>
        <w:rPr>
          <w:rFonts w:hint="eastAsia" w:hAnsi="宋体"/>
        </w:rPr>
        <w:t>供应商在法定质疑期内一次性提出针对同一采购程序环节的质疑。</w:t>
      </w:r>
    </w:p>
    <w:p w14:paraId="5097B713">
      <w:pPr>
        <w:pStyle w:val="24"/>
        <w:snapToGrid w:val="0"/>
        <w:spacing w:beforeLines="0" w:afterLines="0" w:line="360" w:lineRule="auto"/>
        <w:ind w:firstLine="470" w:firstLineChars="196"/>
        <w:outlineLvl w:val="1"/>
        <w:rPr>
          <w:rFonts w:hAnsi="宋体"/>
        </w:rPr>
      </w:pPr>
      <w:r>
        <w:rPr>
          <w:rFonts w:hint="eastAsia" w:hAnsi="宋体"/>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14:paraId="51566191">
      <w:pPr>
        <w:pStyle w:val="24"/>
        <w:snapToGrid w:val="0"/>
        <w:spacing w:beforeLines="0" w:afterLines="0" w:line="360" w:lineRule="auto"/>
        <w:ind w:firstLine="470" w:firstLineChars="196"/>
        <w:outlineLvl w:val="1"/>
        <w:rPr>
          <w:rFonts w:hAnsi="宋体"/>
        </w:rPr>
      </w:pPr>
      <w:r>
        <w:rPr>
          <w:rFonts w:hint="eastAsia" w:hAnsi="宋体"/>
        </w:rPr>
        <w:t>2.供应商提出质疑应当提交质疑函和必要的证明材料。质疑函应当包括下列内容：</w:t>
      </w:r>
    </w:p>
    <w:p w14:paraId="1096D10F">
      <w:pPr>
        <w:pStyle w:val="24"/>
        <w:snapToGrid w:val="0"/>
        <w:spacing w:beforeLines="0" w:afterLines="0" w:line="360" w:lineRule="auto"/>
        <w:ind w:firstLine="470" w:firstLineChars="196"/>
        <w:outlineLvl w:val="1"/>
        <w:rPr>
          <w:rFonts w:hAnsi="宋体"/>
        </w:rPr>
      </w:pPr>
      <w:r>
        <w:rPr>
          <w:rFonts w:hint="eastAsia" w:hAnsi="宋体"/>
        </w:rPr>
        <w:t>1）供应商的姓名或者名称、地址、邮编、联系人及联系电话；</w:t>
      </w:r>
    </w:p>
    <w:p w14:paraId="44151927">
      <w:pPr>
        <w:pStyle w:val="24"/>
        <w:snapToGrid w:val="0"/>
        <w:spacing w:beforeLines="0" w:afterLines="0" w:line="360" w:lineRule="auto"/>
        <w:ind w:firstLine="470" w:firstLineChars="196"/>
        <w:outlineLvl w:val="1"/>
        <w:rPr>
          <w:rFonts w:hAnsi="宋体"/>
        </w:rPr>
      </w:pPr>
      <w:r>
        <w:rPr>
          <w:rFonts w:hint="eastAsia" w:hAnsi="宋体"/>
        </w:rPr>
        <w:t>2）质疑项目的名称、编号；</w:t>
      </w:r>
    </w:p>
    <w:p w14:paraId="09111192">
      <w:pPr>
        <w:pStyle w:val="24"/>
        <w:snapToGrid w:val="0"/>
        <w:spacing w:beforeLines="0" w:afterLines="0" w:line="360" w:lineRule="auto"/>
        <w:ind w:firstLine="470" w:firstLineChars="196"/>
        <w:outlineLvl w:val="1"/>
        <w:rPr>
          <w:rFonts w:hAnsi="宋体"/>
        </w:rPr>
      </w:pPr>
      <w:r>
        <w:rPr>
          <w:rFonts w:hint="eastAsia" w:hAnsi="宋体"/>
        </w:rPr>
        <w:t>3）具体、明确的质疑事项和与质疑事项相关的请求；</w:t>
      </w:r>
    </w:p>
    <w:p w14:paraId="523A43FA">
      <w:pPr>
        <w:pStyle w:val="24"/>
        <w:snapToGrid w:val="0"/>
        <w:spacing w:beforeLines="0" w:afterLines="0" w:line="360" w:lineRule="auto"/>
        <w:ind w:firstLine="470" w:firstLineChars="196"/>
        <w:outlineLvl w:val="1"/>
        <w:rPr>
          <w:rFonts w:hAnsi="宋体"/>
        </w:rPr>
      </w:pPr>
      <w:r>
        <w:rPr>
          <w:rFonts w:hint="eastAsia" w:hAnsi="宋体"/>
        </w:rPr>
        <w:t>4）事实依据；</w:t>
      </w:r>
    </w:p>
    <w:p w14:paraId="3901E9BF">
      <w:pPr>
        <w:pStyle w:val="24"/>
        <w:snapToGrid w:val="0"/>
        <w:spacing w:beforeLines="0" w:afterLines="0" w:line="360" w:lineRule="auto"/>
        <w:ind w:firstLine="470" w:firstLineChars="196"/>
        <w:outlineLvl w:val="1"/>
        <w:rPr>
          <w:rFonts w:hAnsi="宋体"/>
        </w:rPr>
      </w:pPr>
      <w:r>
        <w:rPr>
          <w:rFonts w:hint="eastAsia" w:hAnsi="宋体"/>
        </w:rPr>
        <w:t>5）必要的法律依据；</w:t>
      </w:r>
    </w:p>
    <w:p w14:paraId="43454506">
      <w:pPr>
        <w:pStyle w:val="24"/>
        <w:snapToGrid w:val="0"/>
        <w:spacing w:beforeLines="0" w:afterLines="0" w:line="360" w:lineRule="auto"/>
        <w:ind w:firstLine="470" w:firstLineChars="196"/>
        <w:outlineLvl w:val="1"/>
        <w:rPr>
          <w:rFonts w:hAnsi="宋体"/>
        </w:rPr>
      </w:pPr>
      <w:r>
        <w:rPr>
          <w:rFonts w:hint="eastAsia" w:hAnsi="宋体"/>
        </w:rPr>
        <w:t>6）提出质疑的日期。</w:t>
      </w:r>
    </w:p>
    <w:p w14:paraId="48CBEC43">
      <w:pPr>
        <w:pStyle w:val="24"/>
        <w:snapToGrid w:val="0"/>
        <w:spacing w:beforeLines="0" w:afterLines="0" w:line="360" w:lineRule="auto"/>
        <w:ind w:firstLine="470" w:firstLineChars="196"/>
        <w:outlineLvl w:val="1"/>
        <w:rPr>
          <w:rFonts w:hAnsi="宋体"/>
        </w:rPr>
      </w:pPr>
      <w:r>
        <w:rPr>
          <w:rFonts w:hint="eastAsia" w:hAnsi="宋体"/>
        </w:rPr>
        <w:t>3.投诉人提起投诉应当符合下列条件：</w:t>
      </w:r>
    </w:p>
    <w:p w14:paraId="59B90810">
      <w:pPr>
        <w:pStyle w:val="24"/>
        <w:snapToGrid w:val="0"/>
        <w:spacing w:beforeLines="0" w:afterLines="0" w:line="360" w:lineRule="auto"/>
        <w:ind w:firstLine="470" w:firstLineChars="196"/>
        <w:outlineLvl w:val="1"/>
        <w:rPr>
          <w:rFonts w:hAnsi="宋体"/>
        </w:rPr>
      </w:pPr>
      <w:r>
        <w:rPr>
          <w:rFonts w:hint="eastAsia" w:hAnsi="宋体"/>
        </w:rPr>
        <w:t>1）提起投诉前已依法进行质疑；</w:t>
      </w:r>
    </w:p>
    <w:p w14:paraId="5862E302">
      <w:pPr>
        <w:pStyle w:val="24"/>
        <w:snapToGrid w:val="0"/>
        <w:spacing w:beforeLines="0" w:afterLines="0" w:line="360" w:lineRule="auto"/>
        <w:ind w:firstLine="470" w:firstLineChars="196"/>
        <w:outlineLvl w:val="1"/>
        <w:rPr>
          <w:rFonts w:hAnsi="宋体"/>
        </w:rPr>
      </w:pPr>
      <w:r>
        <w:rPr>
          <w:rFonts w:hint="eastAsia" w:hAnsi="宋体"/>
        </w:rPr>
        <w:t>2）投诉书内容符合本办法的规定；</w:t>
      </w:r>
    </w:p>
    <w:p w14:paraId="1ED793FF">
      <w:pPr>
        <w:pStyle w:val="24"/>
        <w:snapToGrid w:val="0"/>
        <w:spacing w:beforeLines="0" w:afterLines="0" w:line="360" w:lineRule="auto"/>
        <w:ind w:firstLine="470" w:firstLineChars="196"/>
        <w:outlineLvl w:val="1"/>
        <w:rPr>
          <w:rFonts w:hAnsi="宋体"/>
        </w:rPr>
      </w:pPr>
      <w:r>
        <w:rPr>
          <w:rFonts w:hint="eastAsia" w:hAnsi="宋体"/>
        </w:rPr>
        <w:t>3）在投诉有效期限内提起投诉；</w:t>
      </w:r>
    </w:p>
    <w:p w14:paraId="41070545">
      <w:pPr>
        <w:pStyle w:val="24"/>
        <w:snapToGrid w:val="0"/>
        <w:spacing w:beforeLines="0" w:afterLines="0" w:line="360" w:lineRule="auto"/>
        <w:ind w:firstLine="470" w:firstLineChars="196"/>
        <w:outlineLvl w:val="1"/>
        <w:rPr>
          <w:rFonts w:hAnsi="宋体"/>
        </w:rPr>
      </w:pPr>
      <w:r>
        <w:rPr>
          <w:rFonts w:hint="eastAsia" w:hAnsi="宋体"/>
        </w:rPr>
        <w:t>4）同一投诉事项未经财政部门投诉处理；</w:t>
      </w:r>
    </w:p>
    <w:p w14:paraId="1CA2EACC">
      <w:pPr>
        <w:pStyle w:val="24"/>
        <w:snapToGrid w:val="0"/>
        <w:spacing w:beforeLines="0" w:afterLines="0" w:line="360" w:lineRule="auto"/>
        <w:ind w:firstLine="470" w:firstLineChars="196"/>
        <w:outlineLvl w:val="1"/>
        <w:rPr>
          <w:rFonts w:hAnsi="宋体"/>
        </w:rPr>
      </w:pPr>
      <w:r>
        <w:rPr>
          <w:rFonts w:hint="eastAsia" w:hAnsi="宋体"/>
        </w:rPr>
        <w:t>5）财政部规定的其他条件。</w:t>
      </w:r>
    </w:p>
    <w:p w14:paraId="7E09A316">
      <w:pPr>
        <w:pStyle w:val="24"/>
        <w:snapToGrid w:val="0"/>
        <w:spacing w:beforeLines="0" w:afterLines="0" w:line="360" w:lineRule="auto"/>
        <w:ind w:firstLine="470" w:firstLineChars="196"/>
        <w:outlineLvl w:val="1"/>
        <w:rPr>
          <w:rFonts w:hAnsi="宋体"/>
        </w:rPr>
      </w:pPr>
      <w:r>
        <w:rPr>
          <w:rFonts w:hint="eastAsia" w:hAnsi="宋体"/>
        </w:rPr>
        <w:t>4.投诉人投诉时，应当提交投诉书和必要的证明材料，并按照被投诉采购人、采购代理机构和与投诉事项有关的供应商数量提供投诉书的副本。投诉书应当包括下列内容：</w:t>
      </w:r>
    </w:p>
    <w:p w14:paraId="46A558FD">
      <w:pPr>
        <w:pStyle w:val="24"/>
        <w:snapToGrid w:val="0"/>
        <w:spacing w:beforeLines="0" w:afterLines="0" w:line="360" w:lineRule="auto"/>
        <w:ind w:firstLine="470" w:firstLineChars="196"/>
        <w:outlineLvl w:val="1"/>
        <w:rPr>
          <w:rFonts w:hAnsi="宋体"/>
        </w:rPr>
      </w:pPr>
      <w:r>
        <w:rPr>
          <w:rFonts w:hint="eastAsia" w:hAnsi="宋体"/>
        </w:rPr>
        <w:t>1）投诉人和被投诉人的姓名或者名称、通讯地址、邮编、联系人及联系电话；</w:t>
      </w:r>
    </w:p>
    <w:p w14:paraId="1F9DB26F">
      <w:pPr>
        <w:pStyle w:val="24"/>
        <w:snapToGrid w:val="0"/>
        <w:spacing w:beforeLines="0" w:afterLines="0" w:line="360" w:lineRule="auto"/>
        <w:ind w:firstLine="470" w:firstLineChars="196"/>
        <w:outlineLvl w:val="1"/>
        <w:rPr>
          <w:rFonts w:hAnsi="宋体"/>
        </w:rPr>
      </w:pPr>
      <w:r>
        <w:rPr>
          <w:rFonts w:hint="eastAsia" w:hAnsi="宋体"/>
        </w:rPr>
        <w:t>2）质疑和质疑答复情况说明及相关证明材料；</w:t>
      </w:r>
    </w:p>
    <w:p w14:paraId="48959DAC">
      <w:pPr>
        <w:pStyle w:val="24"/>
        <w:snapToGrid w:val="0"/>
        <w:spacing w:beforeLines="0" w:afterLines="0" w:line="360" w:lineRule="auto"/>
        <w:ind w:firstLine="470" w:firstLineChars="196"/>
        <w:outlineLvl w:val="1"/>
        <w:rPr>
          <w:rFonts w:hAnsi="宋体"/>
        </w:rPr>
      </w:pPr>
      <w:r>
        <w:rPr>
          <w:rFonts w:hint="eastAsia" w:hAnsi="宋体"/>
        </w:rPr>
        <w:t>3）具体、明确的投诉事项和与投诉事项相关的投诉请求；</w:t>
      </w:r>
    </w:p>
    <w:p w14:paraId="4CA4BE50">
      <w:pPr>
        <w:pStyle w:val="24"/>
        <w:snapToGrid w:val="0"/>
        <w:spacing w:beforeLines="0" w:afterLines="0" w:line="360" w:lineRule="auto"/>
        <w:ind w:firstLine="470" w:firstLineChars="196"/>
        <w:outlineLvl w:val="1"/>
        <w:rPr>
          <w:rFonts w:hAnsi="宋体"/>
        </w:rPr>
      </w:pPr>
      <w:r>
        <w:rPr>
          <w:rFonts w:hint="eastAsia" w:hAnsi="宋体"/>
        </w:rPr>
        <w:t>4）事实依据；</w:t>
      </w:r>
    </w:p>
    <w:p w14:paraId="604E8DF1">
      <w:pPr>
        <w:pStyle w:val="24"/>
        <w:snapToGrid w:val="0"/>
        <w:spacing w:beforeLines="0" w:afterLines="0" w:line="360" w:lineRule="auto"/>
        <w:ind w:firstLine="470" w:firstLineChars="196"/>
        <w:outlineLvl w:val="1"/>
        <w:rPr>
          <w:rFonts w:hAnsi="宋体"/>
        </w:rPr>
      </w:pPr>
      <w:r>
        <w:rPr>
          <w:rFonts w:hint="eastAsia" w:hAnsi="宋体"/>
        </w:rPr>
        <w:t>5）法律依据；</w:t>
      </w:r>
    </w:p>
    <w:p w14:paraId="5F1E08CC">
      <w:pPr>
        <w:pStyle w:val="24"/>
        <w:snapToGrid w:val="0"/>
        <w:spacing w:beforeLines="0" w:afterLines="0" w:line="360" w:lineRule="auto"/>
        <w:ind w:firstLine="470" w:firstLineChars="196"/>
        <w:outlineLvl w:val="1"/>
        <w:rPr>
          <w:rFonts w:hAnsi="宋体"/>
        </w:rPr>
      </w:pPr>
      <w:r>
        <w:rPr>
          <w:rFonts w:hint="eastAsia" w:hAnsi="宋体"/>
        </w:rPr>
        <w:t>6）提起投诉的日期。</w:t>
      </w:r>
    </w:p>
    <w:p w14:paraId="64F1ADB6">
      <w:pPr>
        <w:pStyle w:val="24"/>
        <w:snapToGrid w:val="0"/>
        <w:spacing w:beforeLines="0" w:afterLines="0" w:line="360" w:lineRule="auto"/>
        <w:ind w:firstLine="470" w:firstLineChars="196"/>
        <w:outlineLvl w:val="1"/>
        <w:rPr>
          <w:rFonts w:hAnsi="宋体"/>
        </w:rPr>
      </w:pPr>
      <w:r>
        <w:rPr>
          <w:rFonts w:hAnsi="宋体"/>
        </w:rPr>
        <w:t>质疑供应商对采购人、采购代理机构的答复不满意，或者采购人、采购代理机构未在规定时间内作出答复的，可以在答复期满后15个工作日内向本办法第六条规定的财政部门提起投诉。</w:t>
      </w:r>
    </w:p>
    <w:p w14:paraId="0DEA4089">
      <w:pPr>
        <w:pStyle w:val="24"/>
        <w:snapToGrid w:val="0"/>
        <w:spacing w:beforeLines="0" w:afterLines="0" w:line="360" w:lineRule="auto"/>
        <w:ind w:firstLine="470" w:firstLineChars="196"/>
        <w:outlineLvl w:val="1"/>
        <w:rPr>
          <w:rFonts w:hAnsi="宋体"/>
        </w:rPr>
      </w:pPr>
      <w:r>
        <w:rPr>
          <w:rFonts w:hint="eastAsia" w:hAnsi="宋体"/>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23109325">
      <w:pPr>
        <w:pStyle w:val="24"/>
        <w:snapToGrid w:val="0"/>
        <w:spacing w:beforeLines="0" w:afterLines="0" w:line="360" w:lineRule="auto"/>
        <w:ind w:firstLine="470" w:firstLineChars="196"/>
        <w:outlineLvl w:val="1"/>
        <w:rPr>
          <w:rFonts w:hAnsi="宋体"/>
        </w:rPr>
      </w:pPr>
      <w:r>
        <w:rPr>
          <w:rFonts w:hint="eastAsia" w:hAnsi="宋体"/>
        </w:rPr>
        <w:t>5.质疑函须采用财政部发布的政府采购供应商质疑函范本（参考样式可从</w:t>
      </w:r>
      <w:r>
        <w:rPr>
          <w:rFonts w:hAnsi="宋体"/>
        </w:rPr>
        <w:t>浙江政府采购网下载专区下载</w:t>
      </w:r>
      <w:r>
        <w:rPr>
          <w:rFonts w:hint="eastAsia" w:hAnsi="宋体"/>
        </w:rPr>
        <w:t>），否则采购代理机构有权要求质疑供应商改正后重新提出。</w:t>
      </w:r>
    </w:p>
    <w:p w14:paraId="590E088A">
      <w:pPr>
        <w:pStyle w:val="24"/>
        <w:snapToGrid w:val="0"/>
        <w:spacing w:beforeLines="0" w:afterLines="0" w:line="360" w:lineRule="auto"/>
        <w:ind w:firstLine="551" w:firstLineChars="196"/>
        <w:outlineLvl w:val="0"/>
        <w:rPr>
          <w:rFonts w:hAnsi="宋体"/>
          <w:b/>
          <w:sz w:val="28"/>
          <w:szCs w:val="28"/>
        </w:rPr>
      </w:pPr>
      <w:r>
        <w:rPr>
          <w:rFonts w:hAnsi="宋体"/>
          <w:b/>
          <w:sz w:val="28"/>
          <w:szCs w:val="28"/>
        </w:rPr>
        <w:t>二  招标文件</w:t>
      </w:r>
    </w:p>
    <w:p w14:paraId="455709A4">
      <w:pPr>
        <w:snapToGrid w:val="0"/>
        <w:spacing w:line="360" w:lineRule="auto"/>
        <w:ind w:firstLine="472" w:firstLineChars="196"/>
        <w:jc w:val="left"/>
        <w:rPr>
          <w:rFonts w:ascii="宋体" w:hAnsi="宋体"/>
          <w:b/>
          <w:sz w:val="24"/>
          <w:szCs w:val="20"/>
        </w:rPr>
      </w:pPr>
      <w:r>
        <w:rPr>
          <w:rFonts w:hint="eastAsia" w:ascii="宋体" w:hAnsi="宋体"/>
          <w:b/>
          <w:sz w:val="24"/>
        </w:rPr>
        <w:t>（一）招标文件的构成。本招标文件由以下部分组成：</w:t>
      </w:r>
    </w:p>
    <w:p w14:paraId="3035DE4D">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14:paraId="442DD0B3">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招标需求</w:t>
      </w:r>
    </w:p>
    <w:p w14:paraId="12FB4A24">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投标人须知</w:t>
      </w:r>
    </w:p>
    <w:p w14:paraId="431146AE">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评标办法及标准</w:t>
      </w:r>
    </w:p>
    <w:p w14:paraId="05DEEC13">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合同主要条款</w:t>
      </w:r>
    </w:p>
    <w:p w14:paraId="7087BDA7">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14:paraId="29934F7F">
      <w:pPr>
        <w:snapToGrid w:val="0"/>
        <w:spacing w:line="360" w:lineRule="auto"/>
        <w:ind w:firstLine="480" w:firstLineChars="200"/>
        <w:jc w:val="left"/>
        <w:rPr>
          <w:rFonts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14:paraId="21E6C993">
      <w:pPr>
        <w:snapToGrid w:val="0"/>
        <w:spacing w:line="360" w:lineRule="auto"/>
        <w:ind w:firstLine="472" w:firstLineChars="196"/>
        <w:jc w:val="left"/>
        <w:rPr>
          <w:rFonts w:ascii="宋体" w:hAnsi="宋体"/>
          <w:b/>
          <w:sz w:val="24"/>
          <w:szCs w:val="20"/>
        </w:rPr>
      </w:pPr>
      <w:r>
        <w:rPr>
          <w:rFonts w:hint="eastAsia" w:ascii="宋体" w:hAnsi="宋体"/>
          <w:b/>
          <w:sz w:val="24"/>
        </w:rPr>
        <w:t>（二）投标人的风险</w:t>
      </w:r>
    </w:p>
    <w:p w14:paraId="2D171F08">
      <w:pPr>
        <w:pStyle w:val="35"/>
        <w:spacing w:line="360" w:lineRule="auto"/>
        <w:rPr>
          <w:rFonts w:ascii="宋体" w:eastAsia="宋体"/>
          <w:color w:val="auto"/>
          <w:szCs w:val="20"/>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14:paraId="329B8C1A">
      <w:pPr>
        <w:pStyle w:val="12"/>
        <w:widowControl w:val="0"/>
        <w:tabs>
          <w:tab w:val="clear" w:pos="454"/>
        </w:tabs>
        <w:snapToGrid w:val="0"/>
        <w:spacing w:afterLines="0" w:line="360" w:lineRule="auto"/>
        <w:ind w:left="0" w:firstLine="472" w:firstLineChars="196"/>
        <w:rPr>
          <w:rFonts w:ascii="宋体" w:hAnsi="宋体"/>
          <w:b/>
          <w:szCs w:val="24"/>
        </w:rPr>
      </w:pPr>
      <w:r>
        <w:rPr>
          <w:rFonts w:hint="eastAsia" w:ascii="宋体" w:hAnsi="宋体"/>
          <w:b/>
          <w:szCs w:val="24"/>
        </w:rPr>
        <w:t>（三）招标文件的澄清与修改</w:t>
      </w:r>
      <w:r>
        <w:rPr>
          <w:rFonts w:ascii="宋体" w:hAnsi="宋体"/>
          <w:b/>
          <w:szCs w:val="24"/>
        </w:rPr>
        <w:t xml:space="preserve"> </w:t>
      </w:r>
    </w:p>
    <w:p w14:paraId="4B06B013">
      <w:pPr>
        <w:pStyle w:val="24"/>
        <w:snapToGrid w:val="0"/>
        <w:spacing w:before="120" w:after="120" w:line="360" w:lineRule="auto"/>
        <w:ind w:firstLine="480" w:firstLineChars="200"/>
        <w:rPr>
          <w:rFonts w:ascii="仿宋" w:hAnsi="仿宋" w:eastAsia="仿宋"/>
        </w:rPr>
      </w:pPr>
      <w:r>
        <w:rPr>
          <w:rFonts w:hAnsi="宋体"/>
        </w:rPr>
        <w:t>1</w:t>
      </w:r>
      <w:r>
        <w:rPr>
          <w:rFonts w:hint="eastAsia" w:hAnsi="宋体"/>
        </w:rPr>
        <w:t>. 投标人应认真阅读本招标文件，发现其中有误或有不合理要求的，投标人应当在获取招标文件或者招标文件公告期限届满之日起七个工作日内</w:t>
      </w:r>
      <w:r>
        <w:rPr>
          <w:rFonts w:hint="eastAsia" w:hAnsi="宋体" w:cs="仿宋"/>
        </w:rPr>
        <w:t>（公告期限届满后获取采购文件的，以公告期限届满之日为准）</w:t>
      </w:r>
      <w:r>
        <w:rPr>
          <w:rFonts w:hint="eastAsia" w:hAnsi="宋体"/>
        </w:rPr>
        <w:t>提出，否则逾期视为默认。采购人对已发出的招标文件进行必要澄清、答复、修改或补充的，应当在招标文件要求提交投标文件截止时间十五日前，在财政部门指定的政府采购信息发布媒体上发布更正公告。</w:t>
      </w:r>
    </w:p>
    <w:p w14:paraId="0889667E">
      <w:pPr>
        <w:pStyle w:val="24"/>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采购代理机构必须以书面形式答复投标人要求澄清的问题，并将不包含问题来源的答复书面通知所有购买招标文件的投标人；除书面答复以外的其他澄清方式及澄清内容均无效。</w:t>
      </w:r>
    </w:p>
    <w:p w14:paraId="57E17097">
      <w:pPr>
        <w:pStyle w:val="24"/>
        <w:snapToGrid w:val="0"/>
        <w:spacing w:beforeLines="0" w:afterLines="0" w:line="360" w:lineRule="auto"/>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14:paraId="67749BD8">
      <w:pPr>
        <w:pStyle w:val="24"/>
        <w:snapToGrid w:val="0"/>
        <w:spacing w:beforeLines="0" w:afterLines="0" w:line="360" w:lineRule="auto"/>
        <w:ind w:firstLine="480" w:firstLineChars="200"/>
        <w:rPr>
          <w:rFonts w:hAnsi="宋体"/>
        </w:rPr>
      </w:pPr>
      <w:r>
        <w:rPr>
          <w:rFonts w:hint="eastAsia" w:hAnsi="宋体"/>
        </w:rPr>
        <w:t>4.</w:t>
      </w:r>
      <w:r>
        <w:rPr>
          <w:rFonts w:hAnsi="宋体"/>
        </w:rPr>
        <w:t>招标文件的澄清、答复、修改或补充都应该通过本代理机构以法定形式发布，采购人非通过本机构，不得擅自澄清、答复、修改或补充招标文件。</w:t>
      </w:r>
    </w:p>
    <w:p w14:paraId="2B7DF8B0">
      <w:pPr>
        <w:pStyle w:val="24"/>
        <w:snapToGrid w:val="0"/>
        <w:spacing w:beforeLines="0" w:afterLines="0" w:line="360" w:lineRule="auto"/>
        <w:ind w:firstLine="551" w:firstLineChars="196"/>
        <w:outlineLvl w:val="1"/>
        <w:rPr>
          <w:rFonts w:hAnsi="宋体"/>
          <w:b/>
          <w:sz w:val="28"/>
          <w:szCs w:val="28"/>
        </w:rPr>
      </w:pPr>
      <w:r>
        <w:rPr>
          <w:rFonts w:hAnsi="宋体"/>
          <w:b/>
          <w:sz w:val="28"/>
          <w:szCs w:val="28"/>
        </w:rPr>
        <w:t>三、投标文件的编制</w:t>
      </w:r>
    </w:p>
    <w:p w14:paraId="5EE68F42">
      <w:pPr>
        <w:snapToGrid w:val="0"/>
        <w:spacing w:line="360" w:lineRule="auto"/>
        <w:ind w:firstLine="472" w:firstLineChars="196"/>
        <w:jc w:val="left"/>
        <w:outlineLvl w:val="0"/>
        <w:rPr>
          <w:rFonts w:ascii="宋体" w:hAnsi="宋体"/>
          <w:b/>
          <w:sz w:val="24"/>
        </w:rPr>
      </w:pPr>
      <w:r>
        <w:rPr>
          <w:rFonts w:hint="eastAsia" w:ascii="宋体" w:hAnsi="宋体"/>
          <w:b/>
          <w:sz w:val="24"/>
        </w:rPr>
        <w:t>（一）投标文件的组成</w:t>
      </w:r>
    </w:p>
    <w:p w14:paraId="519694BC">
      <w:pPr>
        <w:snapToGrid w:val="0"/>
        <w:spacing w:line="360" w:lineRule="auto"/>
        <w:ind w:firstLine="480" w:firstLineChars="200"/>
        <w:jc w:val="left"/>
        <w:outlineLvl w:val="0"/>
        <w:rPr>
          <w:rFonts w:ascii="宋体" w:hAnsi="宋体"/>
          <w:sz w:val="24"/>
        </w:rPr>
      </w:pPr>
      <w:r>
        <w:rPr>
          <w:rFonts w:hint="eastAsia" w:ascii="宋体" w:hAnsi="宋体"/>
          <w:sz w:val="24"/>
        </w:rPr>
        <w:t>投标文件由</w:t>
      </w:r>
      <w:r>
        <w:rPr>
          <w:rFonts w:hint="eastAsia" w:ascii="宋体" w:hAnsi="宋体" w:cs="宋体"/>
          <w:sz w:val="22"/>
          <w:szCs w:val="22"/>
        </w:rPr>
        <w:t>《</w:t>
      </w:r>
      <w:r>
        <w:rPr>
          <w:rFonts w:hint="eastAsia" w:ascii="宋体" w:hAnsi="宋体"/>
          <w:sz w:val="24"/>
        </w:rPr>
        <w:t>资格文件</w:t>
      </w:r>
      <w:r>
        <w:rPr>
          <w:rFonts w:hint="eastAsia" w:ascii="宋体" w:hAnsi="宋体" w:cs="宋体"/>
          <w:sz w:val="22"/>
          <w:szCs w:val="22"/>
        </w:rPr>
        <w:t>》</w:t>
      </w:r>
      <w:r>
        <w:rPr>
          <w:rFonts w:hint="eastAsia" w:ascii="宋体" w:hAnsi="宋体"/>
          <w:sz w:val="24"/>
        </w:rPr>
        <w:t>、</w:t>
      </w:r>
      <w:r>
        <w:rPr>
          <w:rFonts w:hint="eastAsia" w:ascii="宋体" w:hAnsi="宋体" w:cs="宋体"/>
          <w:sz w:val="22"/>
          <w:szCs w:val="22"/>
        </w:rPr>
        <w:t>《</w:t>
      </w:r>
      <w:r>
        <w:rPr>
          <w:rFonts w:hint="eastAsia" w:ascii="宋体" w:hAnsi="宋体"/>
          <w:sz w:val="24"/>
        </w:rPr>
        <w:t>技术/资信/商务文件</w:t>
      </w:r>
      <w:r>
        <w:rPr>
          <w:rFonts w:hint="eastAsia" w:ascii="宋体" w:hAnsi="宋体" w:cs="宋体"/>
          <w:sz w:val="22"/>
          <w:szCs w:val="22"/>
        </w:rPr>
        <w:t>》</w:t>
      </w:r>
      <w:r>
        <w:rPr>
          <w:rFonts w:hint="eastAsia" w:ascii="宋体" w:hAnsi="宋体"/>
          <w:sz w:val="24"/>
        </w:rPr>
        <w:t>、</w:t>
      </w:r>
      <w:r>
        <w:rPr>
          <w:rFonts w:hint="eastAsia" w:ascii="宋体" w:hAnsi="宋体" w:cs="宋体"/>
          <w:sz w:val="22"/>
          <w:szCs w:val="22"/>
        </w:rPr>
        <w:t>《</w:t>
      </w:r>
      <w:r>
        <w:rPr>
          <w:rFonts w:hint="eastAsia" w:ascii="宋体" w:hAnsi="宋体"/>
          <w:sz w:val="24"/>
        </w:rPr>
        <w:t>投标报价</w:t>
      </w:r>
      <w:r>
        <w:rPr>
          <w:rFonts w:hint="eastAsia" w:ascii="宋体" w:hAnsi="宋体" w:cs="宋体"/>
          <w:sz w:val="22"/>
          <w:szCs w:val="22"/>
        </w:rPr>
        <w:t>》</w:t>
      </w:r>
      <w:r>
        <w:rPr>
          <w:rFonts w:hint="eastAsia" w:ascii="宋体" w:hAnsi="宋体"/>
          <w:sz w:val="24"/>
        </w:rPr>
        <w:t>文件三部分组成。（电子投标文件中所盖公章均采用CA签章）。</w:t>
      </w:r>
    </w:p>
    <w:p w14:paraId="61D3E2FE">
      <w:pPr>
        <w:snapToGrid w:val="0"/>
        <w:spacing w:line="360" w:lineRule="auto"/>
        <w:ind w:firstLine="482" w:firstLineChars="200"/>
        <w:jc w:val="left"/>
        <w:rPr>
          <w:rFonts w:ascii="宋体" w:hAnsi="宋体" w:cs="宋体"/>
          <w:b/>
          <w:bCs/>
          <w:sz w:val="24"/>
        </w:rPr>
      </w:pPr>
      <w:r>
        <w:rPr>
          <w:rFonts w:hint="eastAsia" w:ascii="宋体" w:hAnsi="宋体" w:cs="宋体"/>
          <w:b/>
          <w:bCs/>
          <w:sz w:val="24"/>
        </w:rPr>
        <w:t>1.资格文件</w:t>
      </w:r>
    </w:p>
    <w:p w14:paraId="50AE76BA">
      <w:pPr>
        <w:spacing w:line="360" w:lineRule="auto"/>
        <w:ind w:firstLine="470" w:firstLineChars="196"/>
        <w:jc w:val="left"/>
        <w:rPr>
          <w:rFonts w:ascii="宋体" w:hAnsi="宋体"/>
          <w:sz w:val="24"/>
        </w:rPr>
      </w:pPr>
      <w:r>
        <w:rPr>
          <w:rFonts w:hint="eastAsia" w:ascii="宋体" w:hAnsi="宋体"/>
          <w:sz w:val="24"/>
        </w:rPr>
        <w:t>（1）投标声明书（</w:t>
      </w:r>
      <w:r>
        <w:rPr>
          <w:rFonts w:ascii="宋体" w:hAnsi="宋体"/>
          <w:sz w:val="24"/>
        </w:rPr>
        <w:t>格式见附件)；</w:t>
      </w:r>
    </w:p>
    <w:p w14:paraId="57D4C47F">
      <w:pPr>
        <w:spacing w:line="360" w:lineRule="auto"/>
        <w:ind w:firstLine="470" w:firstLineChars="196"/>
        <w:jc w:val="left"/>
        <w:rPr>
          <w:rFonts w:ascii="宋体" w:hAnsi="宋体"/>
          <w:sz w:val="24"/>
        </w:rPr>
      </w:pPr>
      <w:r>
        <w:rPr>
          <w:rFonts w:hint="eastAsia" w:ascii="宋体" w:hAnsi="宋体"/>
          <w:sz w:val="24"/>
        </w:rPr>
        <w:t>（2）有效的营业执照、税务登记证、组织机构代码证或“三证合一”的营业执照或“五证合一”的营业执照（</w:t>
      </w:r>
      <w:r>
        <w:rPr>
          <w:rFonts w:hint="eastAsia" w:ascii="宋体" w:hAnsi="宋体"/>
          <w:bCs/>
          <w:sz w:val="24"/>
        </w:rPr>
        <w:t>复印件各一份</w:t>
      </w:r>
      <w:r>
        <w:rPr>
          <w:rFonts w:hint="eastAsia" w:ascii="宋体" w:hAnsi="宋体"/>
          <w:sz w:val="24"/>
        </w:rPr>
        <w:t>）；</w:t>
      </w:r>
    </w:p>
    <w:p w14:paraId="15F8DD2F">
      <w:pPr>
        <w:spacing w:line="360" w:lineRule="auto"/>
        <w:ind w:firstLine="470" w:firstLineChars="196"/>
        <w:jc w:val="left"/>
        <w:rPr>
          <w:sz w:val="24"/>
        </w:rPr>
      </w:pPr>
      <w:r>
        <w:rPr>
          <w:rFonts w:hint="eastAsia" w:ascii="宋体" w:hAnsi="宋体"/>
          <w:sz w:val="24"/>
        </w:rPr>
        <w:t>（3）法定代表人有效身份证明书或法定代表人授权书</w:t>
      </w:r>
      <w:r>
        <w:rPr>
          <w:rFonts w:ascii="宋体" w:hAnsi="宋体"/>
          <w:sz w:val="24"/>
        </w:rPr>
        <w:t>及授权代理人社保证明复印件（社保机构出具的由本单位或分公司为其缴纳的</w:t>
      </w:r>
      <w:r>
        <w:rPr>
          <w:rFonts w:hint="eastAsia" w:ascii="宋体" w:hAnsi="宋体" w:cs="宋体"/>
          <w:kern w:val="0"/>
          <w:sz w:val="24"/>
        </w:rPr>
        <w:t>近一个月的社保证明</w:t>
      </w:r>
      <w:r>
        <w:rPr>
          <w:rFonts w:ascii="宋体" w:hAnsi="宋体"/>
          <w:sz w:val="24"/>
        </w:rPr>
        <w:t>）</w:t>
      </w:r>
      <w:r>
        <w:rPr>
          <w:rFonts w:hint="eastAsia" w:ascii="宋体" w:hAnsi="宋体"/>
          <w:sz w:val="24"/>
        </w:rPr>
        <w:t>；</w:t>
      </w:r>
    </w:p>
    <w:p w14:paraId="1A46585C">
      <w:pPr>
        <w:snapToGrid w:val="0"/>
        <w:spacing w:line="360" w:lineRule="auto"/>
        <w:ind w:firstLine="480" w:firstLineChars="200"/>
        <w:jc w:val="left"/>
        <w:rPr>
          <w:rFonts w:ascii="宋体" w:hAnsi="宋体"/>
          <w:sz w:val="24"/>
        </w:rPr>
      </w:pPr>
      <w:r>
        <w:rPr>
          <w:rFonts w:hint="eastAsia" w:ascii="宋体" w:hAnsi="宋体"/>
          <w:sz w:val="24"/>
        </w:rPr>
        <w:t>（4）投标承诺书；</w:t>
      </w:r>
    </w:p>
    <w:p w14:paraId="798D1C78">
      <w:pPr>
        <w:widowControl/>
        <w:spacing w:line="360" w:lineRule="auto"/>
        <w:ind w:right="60"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w:t>
      </w:r>
      <w:r>
        <w:rPr>
          <w:rFonts w:hint="eastAsia" w:ascii="宋体" w:hAnsi="宋体"/>
          <w:sz w:val="24"/>
        </w:rPr>
        <w:t>提供自招标公告发布之日起至投标截止日内任意时间的“信用中国”网站（www.creditchina.gov.cn）、中国政府采购网（www.ccgp.gov.cn）投标人信用查询网页截图（以开标当日采购人或由采购代理机构核实的查询结果为准）；</w:t>
      </w:r>
    </w:p>
    <w:p w14:paraId="353ADC68">
      <w:pPr>
        <w:spacing w:line="360" w:lineRule="auto"/>
        <w:ind w:firstLine="470" w:firstLineChars="196"/>
        <w:rPr>
          <w:rFonts w:ascii="宋体" w:hAnsi="宋体" w:cs="宋体"/>
          <w:sz w:val="24"/>
        </w:rPr>
      </w:pPr>
      <w:r>
        <w:rPr>
          <w:rFonts w:hint="eastAsia" w:ascii="宋体" w:hAnsi="宋体" w:cs="Arial"/>
          <w:kern w:val="0"/>
          <w:sz w:val="24"/>
        </w:rPr>
        <w:t>（</w:t>
      </w:r>
      <w:r>
        <w:rPr>
          <w:rFonts w:ascii="宋体" w:hAnsi="宋体" w:cs="Arial"/>
          <w:kern w:val="0"/>
          <w:sz w:val="24"/>
        </w:rPr>
        <w:t>6</w:t>
      </w:r>
      <w:r>
        <w:rPr>
          <w:rFonts w:hint="eastAsia" w:ascii="宋体" w:hAnsi="宋体" w:cs="Arial"/>
          <w:kern w:val="0"/>
          <w:sz w:val="24"/>
        </w:rPr>
        <w:t>）</w:t>
      </w:r>
      <w:r>
        <w:rPr>
          <w:rFonts w:hint="eastAsia" w:ascii="宋体" w:hAnsi="宋体" w:cs="宋体"/>
          <w:sz w:val="24"/>
        </w:rPr>
        <w:t>信用承诺书；</w:t>
      </w:r>
    </w:p>
    <w:p w14:paraId="2D56BABD">
      <w:pPr>
        <w:spacing w:line="360" w:lineRule="auto"/>
        <w:ind w:firstLine="470" w:firstLineChars="196"/>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）《中小企业声明函》（格式见附件），残疾人福利性单位需提供《残疾人福利性单位声明函》，监狱企业需提供省级以上监狱管理局、戒毒管理局（含新疆生产建设兵团）出具的属于监狱企业的证明文件；</w:t>
      </w:r>
    </w:p>
    <w:p w14:paraId="3980B0B6">
      <w:pPr>
        <w:spacing w:line="360" w:lineRule="auto"/>
        <w:ind w:firstLine="472" w:firstLineChars="196"/>
        <w:jc w:val="left"/>
        <w:rPr>
          <w:rFonts w:ascii="宋体" w:hAnsi="宋体"/>
          <w:b/>
          <w:bCs/>
          <w:sz w:val="24"/>
        </w:rPr>
      </w:pPr>
      <w:bookmarkStart w:id="38" w:name="OLE_LINK66"/>
      <w:bookmarkStart w:id="39" w:name="OLE_LINK67"/>
      <w:r>
        <w:rPr>
          <w:rFonts w:hint="eastAsia" w:ascii="宋体" w:hAnsi="宋体"/>
          <w:b/>
          <w:sz w:val="24"/>
        </w:rPr>
        <w:t>2.</w:t>
      </w:r>
      <w:r>
        <w:rPr>
          <w:rFonts w:ascii="宋体" w:hAnsi="宋体"/>
          <w:b/>
          <w:bCs/>
          <w:sz w:val="24"/>
        </w:rPr>
        <w:t xml:space="preserve"> 技术文件</w:t>
      </w:r>
    </w:p>
    <w:p w14:paraId="49CDA538">
      <w:pPr>
        <w:spacing w:line="360" w:lineRule="auto"/>
        <w:ind w:firstLine="480"/>
        <w:jc w:val="left"/>
        <w:rPr>
          <w:rFonts w:ascii="宋体" w:hAnsi="宋体"/>
          <w:sz w:val="24"/>
        </w:rPr>
      </w:pPr>
      <w:bookmarkStart w:id="40" w:name="OLE_LINK36"/>
      <w:bookmarkStart w:id="41" w:name="OLE_LINK70"/>
      <w:bookmarkStart w:id="42" w:name="OLE_LINK124"/>
      <w:bookmarkStart w:id="43" w:name="OLE_LINK174"/>
      <w:bookmarkStart w:id="44" w:name="OLE_LINK184"/>
      <w:bookmarkStart w:id="45" w:name="OLE_LINK35"/>
      <w:bookmarkStart w:id="46" w:name="OLE_LINK37"/>
      <w:bookmarkStart w:id="47" w:name="OLE_LINK137"/>
      <w:r>
        <w:rPr>
          <w:rFonts w:hint="eastAsia" w:ascii="宋体" w:hAnsi="宋体"/>
          <w:sz w:val="24"/>
        </w:rPr>
        <w:t>（1）设计方案；</w:t>
      </w:r>
    </w:p>
    <w:p w14:paraId="33560A85">
      <w:pPr>
        <w:spacing w:line="360" w:lineRule="auto"/>
        <w:ind w:firstLine="480"/>
        <w:jc w:val="left"/>
        <w:rPr>
          <w:rFonts w:ascii="宋体" w:hAnsi="宋体"/>
          <w:sz w:val="24"/>
        </w:rPr>
      </w:pPr>
      <w:r>
        <w:rPr>
          <w:rFonts w:hint="eastAsia" w:ascii="宋体" w:hAnsi="宋体"/>
          <w:sz w:val="24"/>
        </w:rPr>
        <w:t>（2）确保供应货物质量措施；</w:t>
      </w:r>
    </w:p>
    <w:p w14:paraId="3709DD34">
      <w:pPr>
        <w:spacing w:line="360" w:lineRule="auto"/>
        <w:ind w:firstLine="480"/>
        <w:jc w:val="left"/>
        <w:rPr>
          <w:rFonts w:ascii="宋体" w:hAnsi="宋体"/>
          <w:sz w:val="24"/>
        </w:rPr>
      </w:pPr>
      <w:r>
        <w:rPr>
          <w:rFonts w:hint="eastAsia" w:ascii="宋体" w:hAnsi="宋体"/>
          <w:sz w:val="24"/>
        </w:rPr>
        <w:t>（3）保证交货期的措施；</w:t>
      </w:r>
    </w:p>
    <w:p w14:paraId="40244215">
      <w:pPr>
        <w:spacing w:line="360" w:lineRule="auto"/>
        <w:ind w:firstLine="480"/>
        <w:jc w:val="left"/>
        <w:rPr>
          <w:rFonts w:ascii="宋体" w:hAnsi="宋体"/>
          <w:sz w:val="24"/>
        </w:rPr>
      </w:pPr>
      <w:r>
        <w:rPr>
          <w:rFonts w:hint="eastAsia" w:ascii="宋体" w:hAnsi="宋体"/>
          <w:sz w:val="24"/>
        </w:rPr>
        <w:t>（4）安装调试、验收方案；</w:t>
      </w:r>
    </w:p>
    <w:p w14:paraId="353CEBC5">
      <w:pPr>
        <w:spacing w:line="360" w:lineRule="auto"/>
        <w:ind w:firstLine="480"/>
        <w:jc w:val="left"/>
        <w:rPr>
          <w:rFonts w:ascii="宋体" w:hAnsi="宋体"/>
          <w:sz w:val="24"/>
        </w:rPr>
      </w:pPr>
      <w:bookmarkStart w:id="48" w:name="OLE_LINK190"/>
      <w:bookmarkStart w:id="49" w:name="OLE_LINK189"/>
      <w:r>
        <w:rPr>
          <w:rFonts w:hint="eastAsia" w:ascii="宋体" w:hAnsi="宋体"/>
          <w:sz w:val="24"/>
        </w:rPr>
        <w:t>（5）设备配置清单；</w:t>
      </w:r>
    </w:p>
    <w:p w14:paraId="3E104BED">
      <w:pPr>
        <w:spacing w:line="360" w:lineRule="auto"/>
        <w:ind w:firstLine="480"/>
        <w:jc w:val="left"/>
        <w:rPr>
          <w:rFonts w:ascii="宋体" w:hAnsi="宋体"/>
          <w:sz w:val="24"/>
        </w:rPr>
      </w:pPr>
      <w:r>
        <w:rPr>
          <w:rFonts w:hint="eastAsia" w:ascii="宋体" w:hAnsi="宋体"/>
          <w:sz w:val="24"/>
        </w:rPr>
        <w:t>（6）技术响应表；</w:t>
      </w:r>
    </w:p>
    <w:bookmarkEnd w:id="48"/>
    <w:bookmarkEnd w:id="49"/>
    <w:p w14:paraId="0C4E878A">
      <w:pPr>
        <w:spacing w:line="360" w:lineRule="auto"/>
        <w:ind w:firstLine="480"/>
        <w:jc w:val="left"/>
        <w:rPr>
          <w:rFonts w:ascii="宋体" w:hAnsi="宋体"/>
          <w:sz w:val="24"/>
        </w:rPr>
      </w:pPr>
      <w:r>
        <w:rPr>
          <w:rFonts w:hint="eastAsia" w:ascii="宋体" w:hAnsi="宋体"/>
          <w:sz w:val="24"/>
        </w:rPr>
        <w:t>（7）投标人需要说明的其他文件和说明（格式略）；</w:t>
      </w:r>
    </w:p>
    <w:p w14:paraId="3B5E9949">
      <w:pPr>
        <w:spacing w:line="360" w:lineRule="auto"/>
        <w:ind w:firstLine="472" w:firstLineChars="196"/>
        <w:jc w:val="left"/>
        <w:rPr>
          <w:rFonts w:ascii="宋体" w:hAnsi="宋体"/>
          <w:b/>
          <w:sz w:val="24"/>
        </w:rPr>
      </w:pPr>
      <w:r>
        <w:rPr>
          <w:rFonts w:ascii="宋体" w:hAnsi="宋体"/>
          <w:b/>
          <w:sz w:val="24"/>
        </w:rPr>
        <w:t>资信文件：</w:t>
      </w:r>
    </w:p>
    <w:p w14:paraId="06AFB8FB">
      <w:pPr>
        <w:spacing w:line="360" w:lineRule="auto"/>
        <w:ind w:firstLine="470" w:firstLineChars="196"/>
        <w:jc w:val="left"/>
        <w:rPr>
          <w:rFonts w:ascii="宋体" w:hAnsi="宋体"/>
          <w:sz w:val="24"/>
        </w:rPr>
      </w:pPr>
      <w:r>
        <w:rPr>
          <w:rFonts w:hint="eastAsia" w:ascii="宋体" w:hAnsi="宋体"/>
          <w:sz w:val="24"/>
        </w:rPr>
        <w:t>（8）类似案例成功的业绩（投标人同类项目实施情况一览表、合同复印件）；</w:t>
      </w:r>
    </w:p>
    <w:p w14:paraId="4A84F695">
      <w:pPr>
        <w:spacing w:line="360" w:lineRule="auto"/>
        <w:ind w:firstLine="470" w:firstLineChars="196"/>
        <w:jc w:val="left"/>
        <w:rPr>
          <w:rFonts w:ascii="宋体" w:hAnsi="宋体"/>
          <w:sz w:val="24"/>
        </w:rPr>
      </w:pPr>
      <w:r>
        <w:rPr>
          <w:rFonts w:hint="eastAsia" w:ascii="宋体" w:hAnsi="宋体"/>
          <w:sz w:val="24"/>
        </w:rPr>
        <w:t>（9）权威认证证书；</w:t>
      </w:r>
    </w:p>
    <w:p w14:paraId="1363A3AC">
      <w:pPr>
        <w:spacing w:line="360" w:lineRule="auto"/>
        <w:ind w:firstLine="470" w:firstLineChars="196"/>
        <w:jc w:val="left"/>
        <w:rPr>
          <w:rFonts w:ascii="宋体" w:hAnsi="宋体"/>
          <w:sz w:val="24"/>
        </w:rPr>
      </w:pPr>
      <w:r>
        <w:rPr>
          <w:rFonts w:hint="eastAsia" w:ascii="宋体" w:hAnsi="宋体"/>
          <w:sz w:val="24"/>
        </w:rPr>
        <w:t>（10）</w:t>
      </w:r>
      <w:r>
        <w:rPr>
          <w:rFonts w:hint="eastAsia" w:hAnsi="宋体" w:cs="宋体"/>
          <w:kern w:val="0"/>
          <w:sz w:val="24"/>
        </w:rPr>
        <w:t>企业荣誉证书或文件；</w:t>
      </w:r>
    </w:p>
    <w:p w14:paraId="1D39FA03">
      <w:pPr>
        <w:spacing w:line="360" w:lineRule="auto"/>
        <w:ind w:firstLine="470" w:firstLineChars="196"/>
        <w:jc w:val="left"/>
        <w:rPr>
          <w:rFonts w:ascii="宋体" w:hAnsi="宋体"/>
          <w:sz w:val="24"/>
        </w:rPr>
      </w:pPr>
      <w:r>
        <w:rPr>
          <w:rFonts w:hint="eastAsia" w:ascii="宋体" w:hAnsi="宋体"/>
          <w:sz w:val="24"/>
        </w:rPr>
        <w:t>（11）投标人认为可以证明其能力或业绩的其他材料；</w:t>
      </w:r>
    </w:p>
    <w:p w14:paraId="62DA2516">
      <w:pPr>
        <w:spacing w:line="360" w:lineRule="auto"/>
        <w:ind w:firstLine="472" w:firstLineChars="196"/>
        <w:jc w:val="left"/>
        <w:rPr>
          <w:rFonts w:ascii="宋体" w:hAnsi="宋体"/>
          <w:b/>
          <w:sz w:val="24"/>
        </w:rPr>
      </w:pPr>
      <w:r>
        <w:rPr>
          <w:rFonts w:ascii="宋体" w:hAnsi="宋体"/>
          <w:b/>
          <w:sz w:val="24"/>
        </w:rPr>
        <w:t>商务文件</w:t>
      </w:r>
    </w:p>
    <w:p w14:paraId="1813277F">
      <w:pPr>
        <w:snapToGrid w:val="0"/>
        <w:spacing w:line="360" w:lineRule="auto"/>
        <w:ind w:firstLine="480" w:firstLineChars="200"/>
        <w:jc w:val="left"/>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商务响应表（格式见附件）；</w:t>
      </w:r>
    </w:p>
    <w:p w14:paraId="6933DF9A">
      <w:pPr>
        <w:snapToGrid w:val="0"/>
        <w:spacing w:line="360" w:lineRule="auto"/>
        <w:ind w:firstLine="480" w:firstLineChars="200"/>
        <w:jc w:val="left"/>
        <w:rPr>
          <w:rFonts w:ascii="宋体" w:hAnsi="宋体"/>
          <w:sz w:val="24"/>
        </w:rPr>
      </w:pPr>
      <w:bookmarkStart w:id="50" w:name="OLE_LINK132"/>
      <w:bookmarkStart w:id="51" w:name="OLE_LINK131"/>
      <w:r>
        <w:rPr>
          <w:rFonts w:hint="eastAsia" w:ascii="宋体" w:hAnsi="宋体"/>
          <w:sz w:val="24"/>
        </w:rPr>
        <w:t>（13</w:t>
      </w:r>
      <w:r>
        <w:rPr>
          <w:rFonts w:ascii="宋体" w:hAnsi="宋体"/>
          <w:sz w:val="24"/>
        </w:rPr>
        <w:t>）</w:t>
      </w:r>
      <w:bookmarkEnd w:id="50"/>
      <w:bookmarkEnd w:id="51"/>
      <w:r>
        <w:rPr>
          <w:rFonts w:hint="eastAsia" w:ascii="宋体" w:hAnsi="宋体"/>
          <w:sz w:val="24"/>
        </w:rPr>
        <w:t>售后服务优惠承诺</w:t>
      </w:r>
      <w:r>
        <w:rPr>
          <w:rFonts w:ascii="宋体" w:hAnsi="宋体"/>
          <w:sz w:val="24"/>
        </w:rPr>
        <w:t>；</w:t>
      </w:r>
    </w:p>
    <w:p w14:paraId="79317EED">
      <w:pPr>
        <w:snapToGrid w:val="0"/>
        <w:spacing w:line="360" w:lineRule="auto"/>
        <w:ind w:firstLine="480" w:firstLineChars="200"/>
        <w:jc w:val="left"/>
        <w:rPr>
          <w:rFonts w:ascii="宋体" w:hAnsi="宋体"/>
          <w:sz w:val="24"/>
        </w:rPr>
      </w:pPr>
      <w:r>
        <w:rPr>
          <w:rFonts w:hint="eastAsia" w:ascii="宋体" w:hAnsi="宋体"/>
          <w:sz w:val="24"/>
        </w:rPr>
        <w:t>（14</w:t>
      </w:r>
      <w:r>
        <w:rPr>
          <w:rFonts w:ascii="宋体" w:hAnsi="宋体"/>
          <w:sz w:val="24"/>
        </w:rPr>
        <w:t>）</w:t>
      </w:r>
      <w:r>
        <w:rPr>
          <w:rFonts w:hint="eastAsia" w:ascii="宋体" w:hAnsi="宋体"/>
          <w:sz w:val="24"/>
        </w:rPr>
        <w:t>培训方案</w:t>
      </w:r>
      <w:r>
        <w:rPr>
          <w:rFonts w:ascii="宋体" w:hAnsi="宋体"/>
          <w:sz w:val="24"/>
        </w:rPr>
        <w:t>；</w:t>
      </w:r>
    </w:p>
    <w:p w14:paraId="1C0CA4DC">
      <w:pPr>
        <w:snapToGrid w:val="0"/>
        <w:spacing w:line="360" w:lineRule="auto"/>
        <w:ind w:firstLine="480" w:firstLineChars="200"/>
        <w:jc w:val="left"/>
        <w:rPr>
          <w:rFonts w:ascii="宋体" w:hAnsi="宋体"/>
          <w:sz w:val="24"/>
        </w:rPr>
      </w:pPr>
      <w:r>
        <w:rPr>
          <w:rFonts w:hint="eastAsia" w:ascii="宋体" w:hAnsi="宋体"/>
          <w:sz w:val="24"/>
        </w:rPr>
        <w:t>（15</w:t>
      </w:r>
      <w:r>
        <w:rPr>
          <w:rFonts w:ascii="宋体" w:hAnsi="宋体"/>
          <w:sz w:val="24"/>
        </w:rPr>
        <w:t>）</w:t>
      </w:r>
      <w:r>
        <w:rPr>
          <w:rFonts w:hint="eastAsia" w:ascii="宋体" w:hAnsi="宋体" w:cs="宋体"/>
          <w:kern w:val="0"/>
          <w:sz w:val="24"/>
        </w:rPr>
        <w:t>响应时间；</w:t>
      </w:r>
    </w:p>
    <w:p w14:paraId="1D10C97C">
      <w:pPr>
        <w:snapToGrid w:val="0"/>
        <w:spacing w:line="360" w:lineRule="auto"/>
        <w:ind w:firstLine="480" w:firstLineChars="200"/>
        <w:jc w:val="left"/>
        <w:rPr>
          <w:rFonts w:ascii="宋体" w:hAnsi="宋体"/>
          <w:sz w:val="24"/>
        </w:rPr>
      </w:pPr>
      <w:bookmarkStart w:id="52" w:name="OLE_LINK136"/>
      <w:bookmarkStart w:id="53" w:name="OLE_LINK135"/>
      <w:r>
        <w:rPr>
          <w:rFonts w:hint="eastAsia" w:ascii="宋体" w:hAnsi="宋体"/>
          <w:sz w:val="24"/>
        </w:rPr>
        <w:t>（16</w:t>
      </w:r>
      <w:r>
        <w:rPr>
          <w:rFonts w:ascii="宋体" w:hAnsi="宋体"/>
          <w:sz w:val="24"/>
        </w:rPr>
        <w:t>）</w:t>
      </w:r>
      <w:bookmarkEnd w:id="52"/>
      <w:bookmarkEnd w:id="53"/>
      <w:r>
        <w:rPr>
          <w:rFonts w:hint="eastAsia" w:ascii="宋体" w:hAnsi="宋体"/>
          <w:sz w:val="24"/>
        </w:rPr>
        <w:t>技术、商务、资信及其他分自评表。</w:t>
      </w:r>
    </w:p>
    <w:bookmarkEnd w:id="38"/>
    <w:bookmarkEnd w:id="39"/>
    <w:bookmarkEnd w:id="40"/>
    <w:bookmarkEnd w:id="41"/>
    <w:bookmarkEnd w:id="42"/>
    <w:bookmarkEnd w:id="43"/>
    <w:bookmarkEnd w:id="44"/>
    <w:bookmarkEnd w:id="45"/>
    <w:bookmarkEnd w:id="46"/>
    <w:bookmarkEnd w:id="47"/>
    <w:p w14:paraId="4C0C27E9">
      <w:pPr>
        <w:spacing w:line="360" w:lineRule="auto"/>
        <w:ind w:firstLine="472" w:firstLineChars="196"/>
        <w:jc w:val="left"/>
        <w:rPr>
          <w:rFonts w:ascii="宋体" w:hAnsi="宋体"/>
          <w:b/>
          <w:sz w:val="24"/>
        </w:rPr>
      </w:pPr>
      <w:r>
        <w:rPr>
          <w:rFonts w:hint="eastAsia" w:ascii="宋体" w:hAnsi="宋体"/>
          <w:b/>
          <w:sz w:val="24"/>
        </w:rPr>
        <w:t>3.</w:t>
      </w:r>
      <w:r>
        <w:rPr>
          <w:rFonts w:ascii="宋体" w:hAnsi="宋体"/>
          <w:b/>
          <w:sz w:val="24"/>
        </w:rPr>
        <w:t>报价文件：</w:t>
      </w:r>
    </w:p>
    <w:p w14:paraId="7BA82642">
      <w:pPr>
        <w:spacing w:line="360" w:lineRule="auto"/>
        <w:ind w:firstLine="470" w:firstLineChars="196"/>
        <w:jc w:val="left"/>
        <w:rPr>
          <w:rFonts w:ascii="宋体" w:hAnsi="宋体"/>
          <w:sz w:val="24"/>
        </w:rPr>
      </w:pPr>
      <w:r>
        <w:rPr>
          <w:rFonts w:hint="eastAsia" w:ascii="宋体" w:hAnsi="宋体"/>
          <w:sz w:val="24"/>
        </w:rPr>
        <w:t xml:space="preserve">（1）投标函（格式见附件）； </w:t>
      </w:r>
    </w:p>
    <w:p w14:paraId="3724B7C0">
      <w:pPr>
        <w:spacing w:line="360" w:lineRule="auto"/>
        <w:ind w:firstLine="470" w:firstLineChars="196"/>
        <w:jc w:val="left"/>
        <w:rPr>
          <w:rFonts w:ascii="宋体" w:hAnsi="宋体"/>
          <w:sz w:val="24"/>
        </w:rPr>
      </w:pPr>
      <w:r>
        <w:rPr>
          <w:rFonts w:hint="eastAsia" w:ascii="宋体" w:hAnsi="宋体"/>
          <w:sz w:val="24"/>
        </w:rPr>
        <w:t>（2</w:t>
      </w:r>
      <w:r>
        <w:rPr>
          <w:rFonts w:ascii="宋体" w:hAnsi="宋体"/>
          <w:sz w:val="24"/>
        </w:rPr>
        <w:t>）投标报价明细表（格式见附件）；</w:t>
      </w:r>
    </w:p>
    <w:p w14:paraId="7C7D5685">
      <w:pPr>
        <w:spacing w:line="360" w:lineRule="auto"/>
        <w:ind w:firstLine="470" w:firstLineChars="196"/>
        <w:jc w:val="left"/>
        <w:rPr>
          <w:rFonts w:ascii="宋体" w:hAnsi="宋体"/>
          <w:sz w:val="24"/>
        </w:rPr>
      </w:pPr>
      <w:r>
        <w:rPr>
          <w:rFonts w:hint="eastAsia" w:ascii="宋体" w:hAnsi="宋体"/>
          <w:sz w:val="24"/>
        </w:rPr>
        <w:t>（3）</w:t>
      </w:r>
      <w:r>
        <w:rPr>
          <w:rFonts w:ascii="宋体" w:hAnsi="宋体"/>
          <w:sz w:val="24"/>
        </w:rPr>
        <w:t>投标人</w:t>
      </w:r>
      <w:r>
        <w:rPr>
          <w:rFonts w:hint="eastAsia" w:ascii="宋体" w:hAnsi="宋体"/>
          <w:sz w:val="24"/>
        </w:rPr>
        <w:t>针对报价</w:t>
      </w:r>
      <w:r>
        <w:rPr>
          <w:rFonts w:ascii="宋体" w:hAnsi="宋体"/>
          <w:sz w:val="24"/>
        </w:rPr>
        <w:t>需要说明的其他文件和说明（格式</w:t>
      </w:r>
      <w:r>
        <w:rPr>
          <w:rFonts w:hint="eastAsia" w:ascii="宋体" w:hAnsi="宋体"/>
          <w:sz w:val="24"/>
        </w:rPr>
        <w:t>自拟</w:t>
      </w:r>
      <w:r>
        <w:rPr>
          <w:rFonts w:ascii="宋体" w:hAnsi="宋体"/>
          <w:sz w:val="24"/>
        </w:rPr>
        <w:t>）</w:t>
      </w:r>
      <w:r>
        <w:rPr>
          <w:rFonts w:hint="eastAsia" w:ascii="宋体" w:hAnsi="宋体"/>
          <w:sz w:val="24"/>
        </w:rPr>
        <w:t>；</w:t>
      </w:r>
    </w:p>
    <w:p w14:paraId="6D71C110">
      <w:pPr>
        <w:spacing w:line="360" w:lineRule="auto"/>
        <w:ind w:firstLine="470" w:firstLineChars="196"/>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招标代理费承诺函；</w:t>
      </w:r>
    </w:p>
    <w:p w14:paraId="674AD035">
      <w:pPr>
        <w:spacing w:line="360" w:lineRule="auto"/>
        <w:ind w:firstLine="470" w:firstLineChars="196"/>
        <w:jc w:val="left"/>
        <w:rPr>
          <w:rFonts w:ascii="宋体" w:hAnsi="宋体"/>
          <w:sz w:val="24"/>
        </w:rPr>
      </w:pPr>
      <w:r>
        <w:rPr>
          <w:rFonts w:hint="eastAsia" w:ascii="宋体" w:hAnsi="宋体"/>
          <w:sz w:val="24"/>
        </w:rPr>
        <w:t>（5）</w:t>
      </w:r>
      <w:r>
        <w:rPr>
          <w:rFonts w:ascii="宋体" w:hAnsi="宋体"/>
          <w:sz w:val="24"/>
        </w:rPr>
        <w:t>开标一览表（格式见附件）</w:t>
      </w:r>
      <w:r>
        <w:rPr>
          <w:rFonts w:hint="eastAsia" w:ascii="宋体" w:hAnsi="宋体"/>
          <w:sz w:val="24"/>
        </w:rPr>
        <w:t>。</w:t>
      </w:r>
    </w:p>
    <w:p w14:paraId="44597A13">
      <w:pPr>
        <w:snapToGrid w:val="0"/>
        <w:spacing w:line="360" w:lineRule="auto"/>
        <w:ind w:firstLine="472" w:firstLineChars="196"/>
        <w:jc w:val="left"/>
        <w:outlineLvl w:val="0"/>
        <w:rPr>
          <w:rFonts w:ascii="宋体" w:hAnsi="宋体"/>
          <w:b/>
          <w:sz w:val="24"/>
          <w:szCs w:val="20"/>
        </w:rPr>
      </w:pPr>
      <w:r>
        <w:rPr>
          <w:rFonts w:hint="eastAsia" w:ascii="宋体" w:hAnsi="宋体"/>
          <w:b/>
          <w:sz w:val="24"/>
        </w:rPr>
        <w:t>（二）投标文件的语言及计量</w:t>
      </w:r>
    </w:p>
    <w:p w14:paraId="797116A5">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14:paraId="0CA2D010">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14:paraId="489E8732">
      <w:pPr>
        <w:snapToGrid w:val="0"/>
        <w:spacing w:line="360" w:lineRule="auto"/>
        <w:ind w:firstLine="472" w:firstLineChars="196"/>
        <w:jc w:val="left"/>
        <w:outlineLvl w:val="0"/>
        <w:rPr>
          <w:rFonts w:ascii="宋体" w:hAnsi="宋体"/>
          <w:b/>
          <w:sz w:val="24"/>
          <w:szCs w:val="20"/>
        </w:rPr>
      </w:pPr>
      <w:r>
        <w:rPr>
          <w:rFonts w:hint="eastAsia" w:ascii="宋体" w:hAnsi="宋体"/>
          <w:b/>
          <w:sz w:val="24"/>
        </w:rPr>
        <w:t>（三）投标报价</w:t>
      </w:r>
    </w:p>
    <w:p w14:paraId="1DFDE173">
      <w:pPr>
        <w:snapToGrid w:val="0"/>
        <w:spacing w:line="360" w:lineRule="auto"/>
        <w:ind w:firstLine="548" w:firstLineChars="196"/>
        <w:jc w:val="left"/>
        <w:outlineLvl w:val="0"/>
        <w:rPr>
          <w:rFonts w:ascii="宋体" w:hAnsi="宋体"/>
          <w:b/>
          <w:sz w:val="24"/>
        </w:rPr>
      </w:pPr>
      <w:r>
        <w:rPr>
          <w:rFonts w:hAnsi="宋体"/>
        </w:rPr>
        <w:t>▲</w:t>
      </w:r>
      <w:r>
        <w:rPr>
          <w:rFonts w:ascii="宋体" w:hAnsi="宋体"/>
          <w:sz w:val="24"/>
        </w:rPr>
        <w:t>1</w:t>
      </w:r>
      <w:r>
        <w:rPr>
          <w:rFonts w:hint="eastAsia" w:ascii="宋体" w:hAnsi="宋体"/>
          <w:sz w:val="24"/>
        </w:rPr>
        <w:t>.</w:t>
      </w:r>
      <w:r>
        <w:rPr>
          <w:rFonts w:ascii="宋体" w:hAnsi="宋体"/>
          <w:sz w:val="24"/>
        </w:rPr>
        <w:t>投标报价应按招标文件中相关附表格式填写。</w:t>
      </w:r>
      <w:r>
        <w:rPr>
          <w:rFonts w:hint="eastAsia" w:ascii="宋体" w:hAnsi="宋体"/>
          <w:sz w:val="24"/>
        </w:rPr>
        <w:t>投标人在填报投标项目报价明细表时必须按照采购需求货物清单内容逐项报价，不得随意更改序号、货物名称、单位、数量。否则作无效标处理。</w:t>
      </w:r>
    </w:p>
    <w:p w14:paraId="21EA0F9F">
      <w:pPr>
        <w:pStyle w:val="24"/>
        <w:snapToGrid w:val="0"/>
        <w:spacing w:beforeLines="0" w:afterLines="0" w:line="360" w:lineRule="auto"/>
        <w:ind w:firstLine="480" w:firstLineChars="200"/>
        <w:jc w:val="left"/>
        <w:rPr>
          <w:rFonts w:hAnsi="宋体"/>
        </w:rPr>
      </w:pPr>
      <w:r>
        <w:rPr>
          <w:rFonts w:hAnsi="宋体"/>
        </w:rPr>
        <w:t>▲2</w:t>
      </w:r>
      <w:r>
        <w:rPr>
          <w:rFonts w:hint="eastAsia" w:hAnsi="宋体"/>
        </w:rPr>
        <w:t>.</w:t>
      </w:r>
      <w:r>
        <w:rPr>
          <w:rFonts w:hAnsi="宋体"/>
        </w:rPr>
        <w:t>投标报价是履行合同的最终价格，应包括货款、标准附件、备品备件、专用工具、包装、运输、装卸、保险、税金、货到就位以及安装、调试、培训、保修等一切税金和费用。</w:t>
      </w:r>
    </w:p>
    <w:p w14:paraId="49901E28">
      <w:pPr>
        <w:tabs>
          <w:tab w:val="left" w:pos="525"/>
        </w:tabs>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投标文件只允许有一个报价，有选择的</w:t>
      </w:r>
      <w:r>
        <w:rPr>
          <w:rFonts w:hint="eastAsia" w:ascii="宋体" w:hAnsi="宋体"/>
          <w:sz w:val="24"/>
        </w:rPr>
        <w:t>或有条件的</w:t>
      </w:r>
      <w:r>
        <w:rPr>
          <w:rFonts w:ascii="宋体" w:hAnsi="宋体"/>
          <w:sz w:val="24"/>
        </w:rPr>
        <w:t>报价将不予接受。</w:t>
      </w:r>
    </w:p>
    <w:p w14:paraId="66D65AFD">
      <w:pPr>
        <w:pStyle w:val="12"/>
        <w:widowControl w:val="0"/>
        <w:tabs>
          <w:tab w:val="clear" w:pos="454"/>
        </w:tabs>
        <w:snapToGrid w:val="0"/>
        <w:spacing w:afterLines="0" w:line="360" w:lineRule="auto"/>
        <w:ind w:left="0" w:firstLine="472" w:firstLineChars="196"/>
        <w:rPr>
          <w:rFonts w:ascii="宋体" w:hAnsi="宋体"/>
          <w:b/>
          <w:szCs w:val="24"/>
        </w:rPr>
      </w:pPr>
      <w:r>
        <w:rPr>
          <w:rFonts w:hint="eastAsia" w:ascii="宋体" w:hAnsi="宋体"/>
          <w:b/>
          <w:szCs w:val="24"/>
        </w:rPr>
        <w:t>（四）投标文件的有效期</w:t>
      </w:r>
    </w:p>
    <w:p w14:paraId="5BC4DA6D">
      <w:pPr>
        <w:pStyle w:val="12"/>
        <w:widowControl w:val="0"/>
        <w:tabs>
          <w:tab w:val="clear" w:pos="454"/>
        </w:tabs>
        <w:snapToGrid w:val="0"/>
        <w:spacing w:afterLines="0" w:line="360" w:lineRule="auto"/>
        <w:ind w:left="0" w:firstLine="480" w:firstLineChars="200"/>
        <w:rPr>
          <w:rFonts w:ascii="宋体" w:hAnsi="宋体"/>
          <w:szCs w:val="24"/>
        </w:rPr>
      </w:pPr>
      <w:r>
        <w:rPr>
          <w:rFonts w:hint="eastAsia" w:ascii="宋体" w:hAnsi="宋体"/>
          <w:szCs w:val="24"/>
        </w:rPr>
        <w:t>▲</w:t>
      </w:r>
      <w:r>
        <w:rPr>
          <w:rFonts w:ascii="宋体" w:hAnsi="宋体"/>
          <w:szCs w:val="24"/>
        </w:rPr>
        <w:t>1</w:t>
      </w:r>
      <w:r>
        <w:rPr>
          <w:rFonts w:hint="eastAsia" w:ascii="宋体" w:hAnsi="宋体"/>
          <w:szCs w:val="24"/>
        </w:rPr>
        <w:t>.</w:t>
      </w:r>
      <w:r>
        <w:rPr>
          <w:rFonts w:ascii="宋体" w:hAnsi="宋体"/>
          <w:szCs w:val="24"/>
        </w:rPr>
        <w:t>自投标截止日起</w:t>
      </w:r>
      <w:r>
        <w:rPr>
          <w:rFonts w:ascii="宋体" w:hAnsi="宋体"/>
          <w:szCs w:val="24"/>
          <w:u w:val="single"/>
        </w:rPr>
        <w:t xml:space="preserve"> </w:t>
      </w:r>
      <w:r>
        <w:rPr>
          <w:rFonts w:hint="eastAsia" w:ascii="宋体" w:hAnsi="宋体"/>
          <w:szCs w:val="24"/>
          <w:u w:val="single"/>
        </w:rPr>
        <w:t>120</w:t>
      </w:r>
      <w:r>
        <w:rPr>
          <w:rFonts w:ascii="宋体" w:hAnsi="宋体"/>
          <w:szCs w:val="24"/>
          <w:u w:val="single"/>
        </w:rPr>
        <w:t xml:space="preserve">  </w:t>
      </w:r>
      <w:r>
        <w:rPr>
          <w:rFonts w:ascii="宋体" w:hAnsi="宋体"/>
          <w:szCs w:val="24"/>
        </w:rPr>
        <w:t>天投标</w:t>
      </w:r>
      <w:r>
        <w:rPr>
          <w:rFonts w:hint="eastAsia" w:ascii="宋体" w:hAnsi="宋体"/>
          <w:szCs w:val="24"/>
        </w:rPr>
        <w:t>文件</w:t>
      </w:r>
      <w:r>
        <w:rPr>
          <w:rFonts w:ascii="宋体" w:hAnsi="宋体"/>
          <w:szCs w:val="24"/>
        </w:rPr>
        <w:t>应保持有效。有效期</w:t>
      </w:r>
      <w:r>
        <w:rPr>
          <w:rFonts w:hint="eastAsia" w:ascii="宋体" w:hAnsi="宋体"/>
          <w:szCs w:val="24"/>
        </w:rPr>
        <w:t>不足</w:t>
      </w:r>
      <w:r>
        <w:rPr>
          <w:rFonts w:ascii="宋体" w:hAnsi="宋体"/>
          <w:szCs w:val="24"/>
        </w:rPr>
        <w:t>的投标</w:t>
      </w:r>
      <w:r>
        <w:rPr>
          <w:rFonts w:hint="eastAsia" w:ascii="宋体" w:hAnsi="宋体"/>
          <w:szCs w:val="24"/>
        </w:rPr>
        <w:t>文件</w:t>
      </w:r>
      <w:r>
        <w:rPr>
          <w:rFonts w:ascii="宋体" w:hAnsi="宋体"/>
          <w:szCs w:val="24"/>
        </w:rPr>
        <w:t>将被拒绝。</w:t>
      </w:r>
    </w:p>
    <w:p w14:paraId="6239365F">
      <w:pPr>
        <w:pStyle w:val="12"/>
        <w:widowControl w:val="0"/>
        <w:tabs>
          <w:tab w:val="clear" w:pos="454"/>
        </w:tabs>
        <w:snapToGrid w:val="0"/>
        <w:spacing w:afterLines="0" w:line="360" w:lineRule="auto"/>
        <w:ind w:left="0"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在特殊情况下，招标人可与投标人协商延长投标书的有效期，这种要求和答复均以书面形式进行。</w:t>
      </w:r>
    </w:p>
    <w:p w14:paraId="11BDB5A7">
      <w:pPr>
        <w:snapToGrid w:val="0"/>
        <w:spacing w:line="360" w:lineRule="auto"/>
        <w:ind w:firstLine="480" w:firstLineChars="200"/>
        <w:jc w:val="left"/>
        <w:outlineLvl w:val="0"/>
        <w:rPr>
          <w:rFonts w:ascii="宋体" w:hAnsi="宋体"/>
          <w:b/>
          <w:sz w:val="24"/>
          <w:szCs w:val="20"/>
        </w:rPr>
      </w:pPr>
      <w:r>
        <w:rPr>
          <w:rFonts w:ascii="宋体" w:hAnsi="宋体"/>
          <w:sz w:val="24"/>
        </w:rPr>
        <w:t>3</w:t>
      </w:r>
      <w:r>
        <w:rPr>
          <w:rFonts w:hint="eastAsia" w:ascii="宋体" w:hAnsi="宋体"/>
          <w:sz w:val="24"/>
        </w:rPr>
        <w:t>.</w:t>
      </w:r>
      <w:r>
        <w:rPr>
          <w:rFonts w:ascii="宋体" w:hAnsi="宋体"/>
          <w:sz w:val="24"/>
        </w:rPr>
        <w:t>投标人可拒绝接受延期要求。同意延长有效期的投标人不能修改投标文件。</w:t>
      </w:r>
      <w:r>
        <w:rPr>
          <w:rFonts w:ascii="宋体" w:hAnsi="宋体"/>
          <w:b/>
          <w:sz w:val="24"/>
        </w:rPr>
        <w:t xml:space="preserve"> </w:t>
      </w:r>
    </w:p>
    <w:p w14:paraId="6C875A84">
      <w:pPr>
        <w:snapToGrid w:val="0"/>
        <w:spacing w:line="360" w:lineRule="auto"/>
        <w:ind w:firstLine="480" w:firstLineChars="200"/>
        <w:jc w:val="left"/>
        <w:outlineLvl w:val="0"/>
        <w:rPr>
          <w:rFonts w:ascii="宋体" w:hAnsi="宋体"/>
          <w:b/>
          <w:sz w:val="24"/>
        </w:rPr>
      </w:pPr>
      <w:r>
        <w:rPr>
          <w:rFonts w:ascii="宋体" w:hAnsi="宋体"/>
          <w:sz w:val="24"/>
        </w:rPr>
        <w:t>4</w:t>
      </w:r>
      <w:r>
        <w:rPr>
          <w:rFonts w:hint="eastAsia" w:ascii="宋体" w:hAnsi="宋体"/>
          <w:sz w:val="24"/>
        </w:rPr>
        <w:t>.</w:t>
      </w:r>
      <w:r>
        <w:rPr>
          <w:rFonts w:ascii="宋体" w:hAnsi="宋体"/>
          <w:sz w:val="24"/>
        </w:rPr>
        <w:t>中标人的投标文件自开标之日起至合同履行完毕止均应保持有效。</w:t>
      </w:r>
    </w:p>
    <w:p w14:paraId="51FB4078">
      <w:pPr>
        <w:snapToGrid w:val="0"/>
        <w:spacing w:line="360" w:lineRule="auto"/>
        <w:ind w:firstLine="482" w:firstLineChars="200"/>
        <w:jc w:val="left"/>
        <w:outlineLvl w:val="0"/>
        <w:rPr>
          <w:rFonts w:ascii="宋体" w:hAnsi="宋体"/>
          <w:b/>
          <w:sz w:val="24"/>
        </w:rPr>
      </w:pPr>
      <w:r>
        <w:rPr>
          <w:rFonts w:hint="eastAsia" w:ascii="宋体" w:hAnsi="宋体"/>
          <w:b/>
          <w:sz w:val="24"/>
        </w:rPr>
        <w:t>（五）投标文件的签署和份数</w:t>
      </w:r>
    </w:p>
    <w:p w14:paraId="5DA05E48">
      <w:pPr>
        <w:snapToGrid w:val="0"/>
        <w:spacing w:line="360" w:lineRule="auto"/>
        <w:ind w:firstLine="480" w:firstLineChars="200"/>
        <w:jc w:val="left"/>
        <w:outlineLvl w:val="0"/>
        <w:rPr>
          <w:rFonts w:ascii="宋体" w:hAnsi="宋体"/>
          <w:sz w:val="24"/>
        </w:rPr>
      </w:pPr>
      <w:r>
        <w:rPr>
          <w:rFonts w:hint="eastAsia" w:ascii="宋体" w:hAnsi="宋体"/>
          <w:sz w:val="24"/>
        </w:rPr>
        <w:t>本项目通过“政府采购云平台（www.zcygov.cn）”实行在线投标响应（电子投标）。供应商应通过“政采云电子交易客户端”，并按照本招标文件和“政府采购云平台”的要求编制并加密投标文件。</w:t>
      </w:r>
    </w:p>
    <w:p w14:paraId="42B6EB70">
      <w:pPr>
        <w:snapToGrid w:val="0"/>
        <w:spacing w:line="360" w:lineRule="auto"/>
        <w:ind w:firstLine="480" w:firstLineChars="200"/>
        <w:jc w:val="left"/>
        <w:outlineLvl w:val="0"/>
        <w:rPr>
          <w:rFonts w:ascii="宋体" w:hAnsi="宋体"/>
          <w:sz w:val="24"/>
        </w:rPr>
      </w:pPr>
      <w:r>
        <w:rPr>
          <w:rFonts w:hint="eastAsia" w:ascii="宋体" w:hAnsi="宋体"/>
          <w:sz w:val="24"/>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14:paraId="66CB0208">
      <w:pPr>
        <w:snapToGrid w:val="0"/>
        <w:spacing w:line="360" w:lineRule="auto"/>
        <w:ind w:firstLine="480" w:firstLineChars="200"/>
        <w:jc w:val="left"/>
        <w:outlineLvl w:val="0"/>
        <w:rPr>
          <w:rFonts w:ascii="宋体" w:hAnsi="宋体"/>
          <w:sz w:val="24"/>
        </w:rPr>
      </w:pPr>
      <w:r>
        <w:rPr>
          <w:rFonts w:hint="eastAsia" w:ascii="宋体" w:hAnsi="宋体"/>
          <w:sz w:val="24"/>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14:paraId="6481E44B">
      <w:pPr>
        <w:snapToGrid w:val="0"/>
        <w:spacing w:line="360" w:lineRule="auto"/>
        <w:ind w:firstLine="480" w:firstLineChars="200"/>
        <w:jc w:val="left"/>
        <w:outlineLvl w:val="0"/>
        <w:rPr>
          <w:rFonts w:ascii="宋体" w:hAnsi="宋体"/>
          <w:sz w:val="24"/>
        </w:rPr>
      </w:pPr>
      <w:r>
        <w:rPr>
          <w:rFonts w:hint="eastAsia" w:ascii="宋体" w:hAnsi="宋体"/>
          <w:sz w:val="24"/>
        </w:rPr>
        <w:t>3.投标文件内容不完整、编排混乱导致投标文件被误读、漏读或者查找不到相关内容的，是投标供应商的责任。</w:t>
      </w:r>
    </w:p>
    <w:p w14:paraId="56516C5D">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4.投标文件因字迹潦草或表达不清所引起的后果由投标供应商负责。</w:t>
      </w:r>
      <w:r>
        <w:rPr>
          <w:rFonts w:ascii="宋体" w:hAnsi="宋体"/>
          <w:sz w:val="24"/>
        </w:rPr>
        <w:tab/>
      </w:r>
    </w:p>
    <w:p w14:paraId="576C72C3">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518FBA9A">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（六）投标文件的签署</w:t>
      </w:r>
    </w:p>
    <w:p w14:paraId="78DF1D09">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《投标文件》应由投标供应商法定代表人或其授权代表签字（或盖章），并加盖投标供应商公章。</w:t>
      </w:r>
    </w:p>
    <w:p w14:paraId="32F6183E">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（七）投标文件的形式</w:t>
      </w:r>
    </w:p>
    <w:p w14:paraId="100CF41D">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1.投标文件的形式：见《前附表》；</w:t>
      </w:r>
    </w:p>
    <w:p w14:paraId="061A839F">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2.“电子加密投标文件”：“电子加密投标文件”是指通过“政采云电子交易客户端”完成投标文件编制后生成并加密的数据电文形式的投标文件。</w:t>
      </w:r>
    </w:p>
    <w:p w14:paraId="6195192F">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3.“备份投标文件”：“备份投标文件”是指与“电子加密投标文件”同时生成的数据电文形式的电子文件（备份标书），其他方式编制的“备份投标文件”视为无效的“备份投标文件”。</w:t>
      </w:r>
    </w:p>
    <w:p w14:paraId="0428DA95">
      <w:pPr>
        <w:snapToGrid w:val="0"/>
        <w:spacing w:line="360" w:lineRule="auto"/>
        <w:ind w:firstLine="482" w:firstLineChars="200"/>
        <w:jc w:val="left"/>
        <w:outlineLvl w:val="0"/>
        <w:rPr>
          <w:rFonts w:ascii="宋体" w:hAnsi="宋体"/>
          <w:b/>
          <w:sz w:val="24"/>
        </w:rPr>
      </w:pPr>
      <w:r>
        <w:rPr>
          <w:rFonts w:hint="eastAsia" w:ascii="宋体" w:hAnsi="宋体"/>
          <w:b/>
          <w:sz w:val="24"/>
        </w:rPr>
        <w:t>（八）投标文件的份数：见《前附表》。</w:t>
      </w:r>
    </w:p>
    <w:p w14:paraId="424493A3">
      <w:pPr>
        <w:snapToGrid w:val="0"/>
        <w:spacing w:line="360" w:lineRule="auto"/>
        <w:ind w:firstLine="482" w:firstLineChars="200"/>
        <w:jc w:val="left"/>
        <w:outlineLvl w:val="0"/>
        <w:rPr>
          <w:rFonts w:ascii="宋体" w:hAnsi="宋体"/>
          <w:b/>
          <w:sz w:val="24"/>
        </w:rPr>
      </w:pPr>
      <w:r>
        <w:rPr>
          <w:rFonts w:hint="eastAsia" w:ascii="宋体" w:hAnsi="宋体"/>
          <w:b/>
          <w:sz w:val="24"/>
        </w:rPr>
        <w:t>（九）投标文件的上传和递交：见《前附表》。</w:t>
      </w:r>
    </w:p>
    <w:p w14:paraId="603565E5">
      <w:pPr>
        <w:snapToGrid w:val="0"/>
        <w:spacing w:line="360" w:lineRule="auto"/>
        <w:ind w:firstLine="482" w:firstLineChars="200"/>
        <w:jc w:val="left"/>
        <w:outlineLvl w:val="0"/>
        <w:rPr>
          <w:rFonts w:ascii="宋体" w:hAnsi="宋体"/>
          <w:b/>
          <w:sz w:val="24"/>
        </w:rPr>
      </w:pPr>
      <w:r>
        <w:rPr>
          <w:rFonts w:hint="eastAsia" w:ascii="宋体" w:hAnsi="宋体"/>
          <w:b/>
          <w:sz w:val="24"/>
        </w:rPr>
        <w:t>（十）“电子加密投标文件”解密和异常情况处理：见《前附表》。</w:t>
      </w:r>
    </w:p>
    <w:p w14:paraId="05D9154F">
      <w:pPr>
        <w:snapToGrid w:val="0"/>
        <w:spacing w:line="360" w:lineRule="auto"/>
        <w:ind w:firstLine="482" w:firstLineChars="200"/>
        <w:jc w:val="left"/>
        <w:outlineLvl w:val="0"/>
        <w:rPr>
          <w:rFonts w:ascii="宋体" w:hAnsi="宋体"/>
          <w:b/>
          <w:sz w:val="24"/>
        </w:rPr>
      </w:pPr>
      <w:r>
        <w:rPr>
          <w:rFonts w:hint="eastAsia" w:ascii="宋体" w:hAnsi="宋体"/>
          <w:b/>
          <w:sz w:val="24"/>
        </w:rPr>
        <w:t>（十一）投标文件的补充、修改或撤回</w:t>
      </w:r>
    </w:p>
    <w:p w14:paraId="0C255280">
      <w:pPr>
        <w:snapToGrid w:val="0"/>
        <w:spacing w:line="360" w:lineRule="auto"/>
        <w:ind w:firstLine="480" w:firstLineChars="200"/>
        <w:jc w:val="left"/>
        <w:outlineLvl w:val="0"/>
        <w:rPr>
          <w:rFonts w:ascii="宋体" w:hAnsi="宋体"/>
          <w:sz w:val="24"/>
        </w:rPr>
      </w:pPr>
      <w:r>
        <w:rPr>
          <w:rFonts w:hint="eastAsia" w:ascii="宋体" w:hAnsi="宋体"/>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7D2D4DD">
      <w:pPr>
        <w:snapToGrid w:val="0"/>
        <w:spacing w:line="360" w:lineRule="auto"/>
        <w:ind w:firstLine="480" w:firstLineChars="200"/>
        <w:jc w:val="left"/>
        <w:outlineLvl w:val="0"/>
        <w:rPr>
          <w:rFonts w:ascii="宋体" w:hAnsi="宋体"/>
          <w:sz w:val="24"/>
        </w:rPr>
      </w:pPr>
      <w:r>
        <w:rPr>
          <w:rFonts w:hint="eastAsia" w:ascii="宋体" w:hAnsi="宋体"/>
          <w:sz w:val="24"/>
        </w:rPr>
        <w:t>2.投标截止时间后，投标供应商不得撤回、修改投标文件。</w:t>
      </w:r>
    </w:p>
    <w:p w14:paraId="71B9F1CF">
      <w:pPr>
        <w:snapToGrid w:val="0"/>
        <w:spacing w:line="360" w:lineRule="auto"/>
        <w:ind w:firstLine="482" w:firstLineChars="200"/>
        <w:jc w:val="left"/>
        <w:outlineLvl w:val="0"/>
        <w:rPr>
          <w:rFonts w:ascii="宋体" w:hAnsi="宋体"/>
          <w:b/>
          <w:sz w:val="24"/>
        </w:rPr>
      </w:pPr>
      <w:r>
        <w:rPr>
          <w:rFonts w:hint="eastAsia" w:ascii="宋体" w:hAnsi="宋体"/>
          <w:b/>
          <w:sz w:val="24"/>
        </w:rPr>
        <w:t>（十二）投标文件的备选方案</w:t>
      </w:r>
    </w:p>
    <w:p w14:paraId="4F0ED08B">
      <w:pPr>
        <w:snapToGrid w:val="0"/>
        <w:spacing w:line="360" w:lineRule="auto"/>
        <w:ind w:firstLine="480" w:firstLineChars="200"/>
        <w:jc w:val="left"/>
        <w:outlineLvl w:val="0"/>
        <w:rPr>
          <w:rFonts w:ascii="宋体" w:hAnsi="宋体"/>
          <w:sz w:val="24"/>
        </w:rPr>
      </w:pPr>
      <w:r>
        <w:rPr>
          <w:rFonts w:hint="eastAsia" w:ascii="宋体" w:hAnsi="宋体"/>
          <w:sz w:val="24"/>
        </w:rPr>
        <w:t>投标供应商不得递交任何的投标备选（替代）方案，否则其投标文件将作无效标处理。与“电子加密投标文件”同时生成的“备份投标文件”不是投标备选（替代）方案。</w:t>
      </w:r>
    </w:p>
    <w:p w14:paraId="1E820FF5">
      <w:pPr>
        <w:snapToGrid w:val="0"/>
        <w:spacing w:before="120" w:beforeLines="50" w:line="360" w:lineRule="auto"/>
        <w:ind w:firstLine="472" w:firstLineChars="196"/>
        <w:outlineLvl w:val="2"/>
        <w:rPr>
          <w:rFonts w:ascii="宋体" w:hAnsi="宋体"/>
          <w:b/>
          <w:sz w:val="24"/>
        </w:rPr>
      </w:pPr>
      <w:r>
        <w:rPr>
          <w:rFonts w:hint="eastAsia" w:ascii="宋体" w:hAnsi="宋体"/>
          <w:b/>
          <w:sz w:val="24"/>
        </w:rPr>
        <w:t>（十三）投标无效的情形</w:t>
      </w:r>
    </w:p>
    <w:p w14:paraId="3F7C527C">
      <w:pPr>
        <w:snapToGrid w:val="0"/>
        <w:spacing w:line="360" w:lineRule="auto"/>
        <w:ind w:firstLine="480" w:firstLineChars="200"/>
        <w:rPr>
          <w:rFonts w:ascii="宋体" w:hAnsi="宋体"/>
          <w:bCs/>
          <w:sz w:val="24"/>
        </w:rPr>
      </w:pPr>
      <w:r>
        <w:rPr>
          <w:rFonts w:hint="eastAsia" w:ascii="宋体" w:hAnsi="宋体"/>
          <w:bCs/>
          <w:sz w:val="24"/>
        </w:rPr>
        <w:t>实质上没有响应招标文件要求的投标将被视为无效投标。投标人不得通过修正或撤销不符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4F689F93">
      <w:pPr>
        <w:snapToGrid w:val="0"/>
        <w:spacing w:line="360" w:lineRule="auto"/>
        <w:ind w:firstLine="472" w:firstLineChars="196"/>
        <w:rPr>
          <w:rFonts w:ascii="宋体" w:hAnsi="宋体"/>
          <w:b/>
          <w:bCs/>
          <w:sz w:val="24"/>
        </w:rPr>
      </w:pPr>
      <w:r>
        <w:rPr>
          <w:rFonts w:ascii="宋体" w:hAnsi="宋体"/>
          <w:b/>
          <w:bCs/>
          <w:sz w:val="24"/>
        </w:rPr>
        <w:t>1</w:t>
      </w:r>
      <w:r>
        <w:rPr>
          <w:rFonts w:hint="eastAsia" w:ascii="宋体" w:hAnsi="宋体"/>
          <w:b/>
          <w:bCs/>
          <w:sz w:val="24"/>
        </w:rPr>
        <w:t>.在评标开始前，招标采购单位对投标人的资格进行审查，如发现下列情形之一的，投标文件将被视为无效，不再进行下一步评审：</w:t>
      </w:r>
    </w:p>
    <w:p w14:paraId="2896C476">
      <w:pPr>
        <w:spacing w:line="360" w:lineRule="auto"/>
        <w:ind w:firstLine="480" w:firstLineChars="200"/>
        <w:rPr>
          <w:rFonts w:ascii="宋体" w:hAnsi="宋体"/>
          <w:bCs/>
          <w:sz w:val="24"/>
        </w:rPr>
      </w:pPr>
      <w:r>
        <w:rPr>
          <w:rFonts w:hint="eastAsia" w:ascii="宋体" w:hAnsi="宋体"/>
          <w:bCs/>
          <w:sz w:val="24"/>
        </w:rPr>
        <w:t>（1）未提供有效的营业执照、税务登记证、组织机构代码证或未提供“三证合一”的营业执照或未提供“五证合一”的营业执照；</w:t>
      </w:r>
    </w:p>
    <w:p w14:paraId="43D689D9">
      <w:pPr>
        <w:spacing w:line="360" w:lineRule="auto"/>
        <w:ind w:firstLine="480" w:firstLineChars="200"/>
        <w:rPr>
          <w:rFonts w:ascii="宋体" w:hAnsi="宋体"/>
          <w:bCs/>
          <w:sz w:val="24"/>
        </w:rPr>
      </w:pPr>
      <w:r>
        <w:rPr>
          <w:rFonts w:hint="eastAsia" w:ascii="宋体" w:hAnsi="宋体"/>
          <w:bCs/>
          <w:sz w:val="24"/>
        </w:rPr>
        <w:t>（2）未提供法定代表人有效身份证明书及身份证或未提供法定代表人授权书及授权人身份证或与法定代表人授权委托人身份不符的；或未提供法定代表人授权委托人社保的；</w:t>
      </w:r>
    </w:p>
    <w:p w14:paraId="48560B09">
      <w:pPr>
        <w:spacing w:line="360" w:lineRule="auto"/>
        <w:ind w:firstLine="480" w:firstLineChars="200"/>
        <w:rPr>
          <w:rFonts w:ascii="宋体" w:hAnsi="宋体"/>
          <w:bCs/>
          <w:sz w:val="24"/>
        </w:rPr>
      </w:pPr>
      <w:r>
        <w:rPr>
          <w:rFonts w:hint="eastAsia" w:ascii="宋体" w:hAnsi="宋体"/>
          <w:bCs/>
          <w:sz w:val="24"/>
        </w:rPr>
        <w:t>（3）未提供投标承诺书的；</w:t>
      </w:r>
    </w:p>
    <w:p w14:paraId="4AC302E2">
      <w:pPr>
        <w:spacing w:line="360" w:lineRule="auto"/>
        <w:ind w:firstLine="480" w:firstLineChars="200"/>
        <w:rPr>
          <w:rFonts w:ascii="宋体" w:hAnsi="宋体"/>
          <w:bCs/>
          <w:sz w:val="24"/>
        </w:rPr>
      </w:pPr>
      <w:r>
        <w:rPr>
          <w:rFonts w:hint="eastAsia" w:ascii="宋体" w:hAnsi="宋体"/>
          <w:bCs/>
          <w:sz w:val="24"/>
        </w:rPr>
        <w:t>（4）未</w:t>
      </w:r>
      <w:r>
        <w:rPr>
          <w:rFonts w:hint="eastAsia" w:ascii="宋体" w:hAnsi="宋体"/>
          <w:sz w:val="24"/>
        </w:rPr>
        <w:t>提供自招标公告发布之日起至投标截止日内任意时间的“信用中国”网站（www.creditchina.gov.cn）、中国政府采购网（www.ccgp.gov.cn）投标人信用查询网页截图；</w:t>
      </w:r>
    </w:p>
    <w:p w14:paraId="6BAA1369">
      <w:pPr>
        <w:spacing w:line="360" w:lineRule="auto"/>
        <w:ind w:firstLine="480" w:firstLineChars="200"/>
        <w:rPr>
          <w:rFonts w:ascii="宋体" w:hAnsi="宋体"/>
          <w:bCs/>
          <w:sz w:val="24"/>
        </w:rPr>
      </w:pPr>
      <w:r>
        <w:rPr>
          <w:rFonts w:hint="eastAsia" w:ascii="宋体" w:hAnsi="宋体"/>
          <w:bCs/>
          <w:sz w:val="24"/>
        </w:rPr>
        <w:t>（5）未提供信用承诺书的；</w:t>
      </w:r>
    </w:p>
    <w:p w14:paraId="1057BA76">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6</w:t>
      </w:r>
      <w:r>
        <w:rPr>
          <w:rFonts w:hint="eastAsia" w:ascii="宋体" w:hAnsi="宋体"/>
          <w:bCs/>
          <w:sz w:val="24"/>
        </w:rPr>
        <w:t>）供应商提供的《中小企业声明函》未采用本采购文件的模板或提供的《中小企业声明函》未填写完整的或未如实填写《中小企业声明函》的。</w:t>
      </w:r>
    </w:p>
    <w:p w14:paraId="2965106A">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7</w:t>
      </w:r>
      <w:r>
        <w:rPr>
          <w:rFonts w:hint="eastAsia" w:ascii="宋体" w:hAnsi="宋体"/>
          <w:bCs/>
          <w:sz w:val="24"/>
        </w:rPr>
        <w:t>）</w:t>
      </w:r>
      <w:r>
        <w:rPr>
          <w:rFonts w:ascii="宋体" w:hAnsi="宋体"/>
          <w:bCs/>
          <w:sz w:val="24"/>
        </w:rPr>
        <w:t>供应商在《中小企业声明函》中所填企业规模不是中型、小型或微型企业的。</w:t>
      </w:r>
    </w:p>
    <w:p w14:paraId="24EEA0E2">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8</w:t>
      </w:r>
      <w:r>
        <w:rPr>
          <w:rFonts w:hint="eastAsia" w:ascii="宋体" w:hAnsi="宋体"/>
          <w:bCs/>
          <w:sz w:val="24"/>
        </w:rPr>
        <w:t>）资格证明文件不全的，或者不符合招标文件标明的资格要求的。</w:t>
      </w:r>
    </w:p>
    <w:p w14:paraId="424CE3B6">
      <w:pPr>
        <w:snapToGrid w:val="0"/>
        <w:spacing w:line="360" w:lineRule="auto"/>
        <w:ind w:firstLine="472" w:firstLineChars="196"/>
        <w:rPr>
          <w:rFonts w:ascii="宋体" w:hAnsi="宋体"/>
          <w:b/>
          <w:bCs/>
          <w:sz w:val="24"/>
        </w:rPr>
      </w:pPr>
      <w:r>
        <w:rPr>
          <w:rFonts w:hint="eastAsia" w:ascii="宋体" w:hAnsi="宋体"/>
          <w:b/>
          <w:bCs/>
          <w:sz w:val="24"/>
        </w:rPr>
        <w:t>2</w:t>
      </w:r>
      <w:r>
        <w:rPr>
          <w:rFonts w:ascii="宋体" w:hAnsi="宋体"/>
          <w:b/>
          <w:bCs/>
          <w:sz w:val="24"/>
        </w:rPr>
        <w:t>.在符合性审查和商务评审时，如发现下列情形之一的，投标文件将被视为无效：</w:t>
      </w:r>
    </w:p>
    <w:p w14:paraId="5A843BF7">
      <w:pPr>
        <w:spacing w:line="360" w:lineRule="auto"/>
        <w:ind w:firstLine="480" w:firstLineChars="200"/>
        <w:rPr>
          <w:rFonts w:ascii="宋体" w:hAnsi="宋体"/>
          <w:bCs/>
          <w:sz w:val="24"/>
        </w:rPr>
      </w:pPr>
      <w:r>
        <w:rPr>
          <w:rFonts w:hint="eastAsia" w:ascii="宋体" w:hAnsi="宋体"/>
          <w:bCs/>
          <w:sz w:val="24"/>
        </w:rPr>
        <w:t>（1</w:t>
      </w:r>
      <w:r>
        <w:rPr>
          <w:rFonts w:ascii="宋体" w:hAnsi="宋体"/>
          <w:bCs/>
          <w:sz w:val="24"/>
        </w:rPr>
        <w:t>）投标文件未</w:t>
      </w:r>
      <w:r>
        <w:rPr>
          <w:rFonts w:hint="eastAsia" w:ascii="宋体" w:hAnsi="宋体"/>
          <w:bCs/>
          <w:sz w:val="24"/>
        </w:rPr>
        <w:t>提供投标声明书或者填写项目不齐全的；</w:t>
      </w:r>
    </w:p>
    <w:p w14:paraId="278D478D">
      <w:pPr>
        <w:spacing w:line="360" w:lineRule="auto"/>
        <w:ind w:firstLine="480" w:firstLineChars="200"/>
        <w:rPr>
          <w:rFonts w:ascii="宋体" w:hAnsi="宋体"/>
          <w:bCs/>
          <w:sz w:val="24"/>
        </w:rPr>
      </w:pPr>
      <w:r>
        <w:rPr>
          <w:rFonts w:ascii="宋体" w:hAnsi="宋体"/>
          <w:bCs/>
          <w:sz w:val="24"/>
        </w:rPr>
        <w:t>（2）投标文件格式不规范、项目不齐全或者内容虚假的；</w:t>
      </w:r>
    </w:p>
    <w:p w14:paraId="13CE266C">
      <w:pPr>
        <w:spacing w:line="360" w:lineRule="auto"/>
        <w:ind w:firstLine="480" w:firstLineChars="200"/>
        <w:rPr>
          <w:rFonts w:ascii="宋体" w:hAnsi="宋体"/>
          <w:bCs/>
          <w:sz w:val="24"/>
        </w:rPr>
      </w:pPr>
      <w:r>
        <w:rPr>
          <w:rFonts w:ascii="宋体" w:hAnsi="宋体"/>
          <w:bCs/>
          <w:sz w:val="24"/>
        </w:rPr>
        <w:t>（3）投标文件的实质性内容未使用中文表述、意思表述不明确、前后矛盾或者使用计量单位不符合招标文件要求的（经评标委员会认定</w:t>
      </w:r>
      <w:r>
        <w:rPr>
          <w:rFonts w:hint="eastAsia" w:ascii="宋体" w:hAnsi="宋体"/>
          <w:bCs/>
          <w:sz w:val="24"/>
        </w:rPr>
        <w:t>并</w:t>
      </w:r>
      <w:r>
        <w:rPr>
          <w:rFonts w:ascii="宋体" w:hAnsi="宋体"/>
          <w:bCs/>
          <w:sz w:val="24"/>
        </w:rPr>
        <w:t>允许其当场更正的笔误除外）</w:t>
      </w:r>
      <w:r>
        <w:rPr>
          <w:rFonts w:hint="eastAsia" w:ascii="宋体" w:hAnsi="宋体"/>
          <w:bCs/>
          <w:sz w:val="24"/>
        </w:rPr>
        <w:t>；</w:t>
      </w:r>
    </w:p>
    <w:p w14:paraId="124BC20C">
      <w:pPr>
        <w:spacing w:line="360" w:lineRule="auto"/>
        <w:ind w:firstLine="480" w:firstLineChars="200"/>
        <w:rPr>
          <w:rFonts w:ascii="宋体" w:hAnsi="宋体"/>
          <w:bCs/>
          <w:sz w:val="24"/>
        </w:rPr>
      </w:pPr>
      <w:r>
        <w:rPr>
          <w:rFonts w:ascii="宋体" w:hAnsi="宋体"/>
          <w:bCs/>
          <w:sz w:val="24"/>
        </w:rPr>
        <w:t>（</w:t>
      </w:r>
      <w:r>
        <w:rPr>
          <w:rFonts w:hint="eastAsia" w:ascii="宋体" w:hAnsi="宋体"/>
          <w:bCs/>
          <w:sz w:val="24"/>
        </w:rPr>
        <w:t>4</w:t>
      </w:r>
      <w:r>
        <w:rPr>
          <w:rFonts w:ascii="宋体" w:hAnsi="宋体"/>
          <w:bCs/>
          <w:sz w:val="24"/>
        </w:rPr>
        <w:t>）投标有效期、</w:t>
      </w:r>
      <w:r>
        <w:rPr>
          <w:rFonts w:hint="eastAsia" w:ascii="宋体" w:hAnsi="宋体"/>
          <w:bCs/>
          <w:sz w:val="24"/>
        </w:rPr>
        <w:t>交货期</w:t>
      </w:r>
      <w:r>
        <w:rPr>
          <w:rFonts w:ascii="宋体" w:hAnsi="宋体"/>
          <w:bCs/>
          <w:sz w:val="24"/>
        </w:rPr>
        <w:t>、质保期等商务条款不能满足招标文件要求的；</w:t>
      </w:r>
    </w:p>
    <w:p w14:paraId="07BEF8E2">
      <w:pPr>
        <w:spacing w:line="360" w:lineRule="auto"/>
        <w:ind w:firstLine="480" w:firstLineChars="200"/>
        <w:rPr>
          <w:sz w:val="24"/>
        </w:rPr>
      </w:pPr>
      <w:r>
        <w:rPr>
          <w:rFonts w:ascii="宋体" w:hAnsi="宋体"/>
          <w:bCs/>
          <w:sz w:val="24"/>
        </w:rPr>
        <w:t>（5）</w:t>
      </w:r>
      <w:r>
        <w:rPr>
          <w:rFonts w:hint="eastAsia" w:ascii="宋体" w:hAnsi="宋体"/>
          <w:bCs/>
          <w:sz w:val="24"/>
        </w:rPr>
        <w:t>未实质性</w:t>
      </w:r>
      <w:r>
        <w:rPr>
          <w:rFonts w:ascii="宋体" w:hAnsi="宋体"/>
          <w:bCs/>
          <w:sz w:val="24"/>
        </w:rPr>
        <w:t>响应招</w:t>
      </w:r>
      <w:r>
        <w:rPr>
          <w:rFonts w:hAnsi="宋体"/>
          <w:bCs/>
          <w:sz w:val="24"/>
        </w:rPr>
        <w:t>标文件要求或者投标文件有招标方不能接受</w:t>
      </w:r>
      <w:r>
        <w:rPr>
          <w:sz w:val="24"/>
        </w:rPr>
        <w:t>的附加条件的；</w:t>
      </w:r>
    </w:p>
    <w:p w14:paraId="6E8FA3E6">
      <w:pPr>
        <w:pStyle w:val="19"/>
        <w:snapToGrid w:val="0"/>
        <w:spacing w:line="360" w:lineRule="auto"/>
        <w:ind w:firstLine="457" w:firstLineChars="196"/>
        <w:rPr>
          <w:rFonts w:hAnsi="宋体"/>
          <w:b/>
          <w:bCs/>
          <w:sz w:val="24"/>
          <w:szCs w:val="24"/>
        </w:rPr>
      </w:pPr>
      <w:r>
        <w:rPr>
          <w:rFonts w:hAnsi="宋体"/>
          <w:b/>
          <w:bCs/>
          <w:sz w:val="24"/>
          <w:szCs w:val="24"/>
        </w:rPr>
        <w:t>3</w:t>
      </w:r>
      <w:r>
        <w:rPr>
          <w:rFonts w:hint="eastAsia" w:hAnsi="宋体"/>
          <w:b/>
          <w:bCs/>
          <w:sz w:val="24"/>
          <w:szCs w:val="24"/>
        </w:rPr>
        <w:t>.</w:t>
      </w:r>
      <w:r>
        <w:rPr>
          <w:rFonts w:hAnsi="宋体"/>
          <w:b/>
          <w:bCs/>
          <w:sz w:val="24"/>
          <w:szCs w:val="24"/>
        </w:rPr>
        <w:t>在技术评审时，如发现下列情形之一的，投标文件将被视为无效：</w:t>
      </w:r>
    </w:p>
    <w:p w14:paraId="5D540768">
      <w:pPr>
        <w:spacing w:line="360" w:lineRule="auto"/>
        <w:ind w:firstLine="480" w:firstLineChars="200"/>
        <w:rPr>
          <w:rFonts w:ascii="宋体" w:hAnsi="宋体"/>
          <w:bCs/>
          <w:sz w:val="24"/>
        </w:rPr>
      </w:pPr>
      <w:r>
        <w:rPr>
          <w:rFonts w:ascii="宋体" w:hAnsi="宋体"/>
          <w:bCs/>
          <w:sz w:val="24"/>
        </w:rPr>
        <w:t>（1）未提供或未如实提供投标货物的技术参数，或者投标文件标明的响应或偏离与事实不符或虚假投标的；</w:t>
      </w:r>
    </w:p>
    <w:p w14:paraId="7BCD3074">
      <w:pPr>
        <w:spacing w:line="360" w:lineRule="auto"/>
        <w:ind w:firstLine="480" w:firstLineChars="200"/>
        <w:rPr>
          <w:rFonts w:ascii="宋体" w:hAnsi="宋体"/>
          <w:bCs/>
          <w:sz w:val="24"/>
        </w:rPr>
      </w:pPr>
      <w:r>
        <w:rPr>
          <w:rFonts w:ascii="宋体" w:hAnsi="宋体"/>
          <w:bCs/>
          <w:sz w:val="24"/>
        </w:rPr>
        <w:t>（2）明显不符合招标文件</w:t>
      </w:r>
      <w:r>
        <w:rPr>
          <w:rFonts w:hint="eastAsia" w:ascii="宋体" w:hAnsi="宋体"/>
          <w:bCs/>
          <w:sz w:val="24"/>
        </w:rPr>
        <w:t>要求</w:t>
      </w:r>
      <w:r>
        <w:rPr>
          <w:rFonts w:ascii="宋体" w:hAnsi="宋体"/>
          <w:bCs/>
          <w:sz w:val="24"/>
        </w:rPr>
        <w:t>的规格型号、质量标准，或者</w:t>
      </w:r>
      <w:r>
        <w:rPr>
          <w:rFonts w:hint="eastAsia" w:ascii="宋体" w:hAnsi="宋体"/>
          <w:bCs/>
          <w:sz w:val="24"/>
        </w:rPr>
        <w:t>与</w:t>
      </w:r>
      <w:r>
        <w:rPr>
          <w:rFonts w:ascii="宋体" w:hAnsi="宋体"/>
          <w:bCs/>
          <w:sz w:val="24"/>
        </w:rPr>
        <w:t>招标文件中标“▲”的技术指标、主要功能项目发生实质性偏离的；</w:t>
      </w:r>
    </w:p>
    <w:p w14:paraId="61D151DC">
      <w:pPr>
        <w:spacing w:line="360" w:lineRule="auto"/>
        <w:ind w:firstLine="480" w:firstLineChars="200"/>
        <w:rPr>
          <w:rFonts w:ascii="宋体" w:hAnsi="宋体"/>
          <w:bCs/>
          <w:sz w:val="24"/>
        </w:rPr>
      </w:pPr>
      <w:r>
        <w:rPr>
          <w:rFonts w:ascii="宋体" w:hAnsi="宋体"/>
          <w:bCs/>
          <w:sz w:val="24"/>
        </w:rPr>
        <w:t>（3）投标技术方案不明确，存在一个或一个以上备选（替代）投标方案的；</w:t>
      </w:r>
    </w:p>
    <w:p w14:paraId="307B806C">
      <w:pPr>
        <w:pStyle w:val="19"/>
        <w:snapToGrid w:val="0"/>
        <w:spacing w:line="360" w:lineRule="auto"/>
        <w:ind w:firstLine="470" w:firstLineChars="196"/>
        <w:rPr>
          <w:rFonts w:hAnsi="Times New Roman"/>
          <w:spacing w:val="0"/>
          <w:sz w:val="24"/>
          <w:szCs w:val="24"/>
        </w:rPr>
      </w:pPr>
      <w:r>
        <w:rPr>
          <w:rFonts w:hAnsi="Times New Roman"/>
          <w:spacing w:val="0"/>
          <w:sz w:val="24"/>
          <w:szCs w:val="24"/>
        </w:rPr>
        <w:t>（4）</w:t>
      </w:r>
      <w:r>
        <w:rPr>
          <w:rFonts w:hint="eastAsia" w:hAnsi="Times New Roman"/>
          <w:spacing w:val="0"/>
          <w:sz w:val="24"/>
          <w:szCs w:val="24"/>
        </w:rPr>
        <w:t>与其他参加本次投标供应商的投标文件（技术文件）的文字表述内容相同连续20行以上或者差错相同2处以上的；</w:t>
      </w:r>
    </w:p>
    <w:p w14:paraId="344CC747">
      <w:pPr>
        <w:pStyle w:val="19"/>
        <w:snapToGrid w:val="0"/>
        <w:spacing w:line="360" w:lineRule="auto"/>
        <w:ind w:firstLine="457" w:firstLineChars="196"/>
        <w:rPr>
          <w:rFonts w:hAnsi="宋体"/>
          <w:b/>
          <w:bCs/>
          <w:sz w:val="24"/>
          <w:szCs w:val="24"/>
        </w:rPr>
      </w:pPr>
      <w:r>
        <w:rPr>
          <w:rFonts w:hAnsi="宋体"/>
          <w:b/>
          <w:bCs/>
          <w:sz w:val="24"/>
          <w:szCs w:val="24"/>
        </w:rPr>
        <w:t>4</w:t>
      </w:r>
      <w:r>
        <w:rPr>
          <w:rFonts w:hint="eastAsia" w:hAnsi="宋体"/>
          <w:b/>
          <w:bCs/>
          <w:sz w:val="24"/>
          <w:szCs w:val="24"/>
        </w:rPr>
        <w:t>.</w:t>
      </w:r>
      <w:r>
        <w:rPr>
          <w:rFonts w:hAnsi="宋体"/>
          <w:b/>
          <w:bCs/>
          <w:sz w:val="24"/>
          <w:szCs w:val="24"/>
        </w:rPr>
        <w:t>在报价评审时，如发现下列情形之一的，投标文件将被视为无效：</w:t>
      </w:r>
    </w:p>
    <w:p w14:paraId="6F77206A">
      <w:pPr>
        <w:spacing w:line="360" w:lineRule="auto"/>
        <w:ind w:firstLine="480" w:firstLineChars="200"/>
        <w:rPr>
          <w:rFonts w:ascii="宋体" w:hAnsi="宋体"/>
          <w:bCs/>
          <w:sz w:val="24"/>
        </w:rPr>
      </w:pPr>
      <w:r>
        <w:rPr>
          <w:rFonts w:ascii="宋体" w:hAnsi="宋体"/>
          <w:bCs/>
          <w:sz w:val="24"/>
        </w:rPr>
        <w:t>（1）未采用人民币报价或者未按照招标文件标明的币种报价的；</w:t>
      </w:r>
    </w:p>
    <w:p w14:paraId="6AD88921">
      <w:pPr>
        <w:spacing w:line="360" w:lineRule="auto"/>
        <w:ind w:firstLine="480" w:firstLineChars="200"/>
        <w:rPr>
          <w:rFonts w:ascii="宋体" w:hAnsi="宋体"/>
          <w:bCs/>
          <w:sz w:val="24"/>
        </w:rPr>
      </w:pPr>
      <w:r>
        <w:rPr>
          <w:rFonts w:ascii="宋体" w:hAnsi="宋体"/>
          <w:bCs/>
          <w:sz w:val="24"/>
        </w:rPr>
        <w:t>（2）报价超出最高限价的</w:t>
      </w:r>
      <w:r>
        <w:rPr>
          <w:rFonts w:hint="eastAsia" w:ascii="宋体" w:hAnsi="宋体"/>
          <w:bCs/>
          <w:sz w:val="24"/>
        </w:rPr>
        <w:t>；</w:t>
      </w:r>
    </w:p>
    <w:p w14:paraId="56E00E3A">
      <w:pPr>
        <w:spacing w:line="360" w:lineRule="auto"/>
        <w:ind w:firstLine="480" w:firstLineChars="200"/>
        <w:rPr>
          <w:rFonts w:ascii="宋体" w:hAnsi="宋体"/>
          <w:bCs/>
          <w:sz w:val="24"/>
        </w:rPr>
      </w:pPr>
      <w:r>
        <w:rPr>
          <w:rFonts w:hint="eastAsia" w:ascii="宋体" w:hAnsi="宋体"/>
          <w:bCs/>
          <w:sz w:val="24"/>
        </w:rPr>
        <w:t>（3）投标报价具有选择性，或者开标价格与投标文件承诺的优惠（折扣）价格不一致的；</w:t>
      </w:r>
    </w:p>
    <w:p w14:paraId="4FFE242F">
      <w:pPr>
        <w:snapToGrid w:val="0"/>
        <w:spacing w:line="360" w:lineRule="auto"/>
        <w:ind w:firstLine="472" w:firstLineChars="196"/>
        <w:rPr>
          <w:rFonts w:ascii="宋体" w:hAnsi="宋体"/>
          <w:b/>
          <w:bCs/>
          <w:sz w:val="24"/>
        </w:rPr>
      </w:pPr>
      <w:r>
        <w:rPr>
          <w:rFonts w:ascii="宋体" w:hAnsi="宋体"/>
          <w:b/>
          <w:bCs/>
          <w:sz w:val="24"/>
        </w:rPr>
        <w:t>5</w:t>
      </w:r>
      <w:r>
        <w:rPr>
          <w:rFonts w:hint="eastAsia" w:ascii="宋体" w:hAnsi="宋体"/>
          <w:b/>
          <w:bCs/>
          <w:sz w:val="24"/>
        </w:rPr>
        <w:t>.</w:t>
      </w:r>
      <w:r>
        <w:rPr>
          <w:rFonts w:ascii="宋体" w:hAnsi="宋体"/>
          <w:b/>
          <w:bCs/>
          <w:sz w:val="24"/>
        </w:rPr>
        <w:t>被拒绝的投标文件为无效</w:t>
      </w:r>
      <w:r>
        <w:rPr>
          <w:rFonts w:hint="eastAsia" w:ascii="宋体" w:hAnsi="宋体"/>
          <w:b/>
          <w:bCs/>
          <w:sz w:val="24"/>
        </w:rPr>
        <w:t>；仅提供备份投标文件的无效。</w:t>
      </w:r>
    </w:p>
    <w:p w14:paraId="64D03E2C">
      <w:pPr>
        <w:snapToGrid w:val="0"/>
        <w:spacing w:line="360" w:lineRule="auto"/>
        <w:ind w:firstLine="472" w:firstLineChars="196"/>
        <w:rPr>
          <w:rFonts w:ascii="宋体" w:hAnsi="宋体"/>
          <w:b/>
          <w:bCs/>
          <w:sz w:val="24"/>
        </w:rPr>
      </w:pPr>
      <w:r>
        <w:rPr>
          <w:rFonts w:hint="eastAsia" w:ascii="宋体" w:hAnsi="宋体"/>
          <w:b/>
          <w:bCs/>
          <w:sz w:val="24"/>
        </w:rPr>
        <w:t>6.投标人存在下列情形之一且无法合理解释的，其投标（响应）文件无效：</w:t>
      </w:r>
    </w:p>
    <w:p w14:paraId="5013D948">
      <w:pPr>
        <w:snapToGrid w:val="0"/>
        <w:spacing w:line="360" w:lineRule="auto"/>
        <w:ind w:firstLine="470" w:firstLineChars="196"/>
        <w:rPr>
          <w:sz w:val="24"/>
        </w:rPr>
      </w:pPr>
      <w:r>
        <w:rPr>
          <w:rFonts w:hint="eastAsia"/>
          <w:sz w:val="24"/>
        </w:rPr>
        <w:t>（</w:t>
      </w:r>
      <w:r>
        <w:rPr>
          <w:sz w:val="24"/>
        </w:rPr>
        <w:t>1</w:t>
      </w:r>
      <w:r>
        <w:rPr>
          <w:rFonts w:hint="eastAsia"/>
          <w:sz w:val="24"/>
        </w:rPr>
        <w:t>）不同供应商的电子投标（响应）文件上传计算机的网卡</w:t>
      </w:r>
      <w:r>
        <w:rPr>
          <w:sz w:val="24"/>
        </w:rPr>
        <w:t>MAC</w:t>
      </w:r>
      <w:r>
        <w:rPr>
          <w:rFonts w:hint="eastAsia"/>
          <w:sz w:val="24"/>
        </w:rPr>
        <w:t>地址或硬盘序列号等硬件信息相同的；</w:t>
      </w:r>
    </w:p>
    <w:p w14:paraId="2C52E57E">
      <w:pPr>
        <w:snapToGrid w:val="0"/>
        <w:spacing w:line="360" w:lineRule="auto"/>
        <w:ind w:firstLine="470" w:firstLineChars="196"/>
        <w:rPr>
          <w:sz w:val="24"/>
        </w:rPr>
      </w:pPr>
      <w:r>
        <w:rPr>
          <w:rFonts w:hint="eastAsia"/>
          <w:sz w:val="24"/>
        </w:rPr>
        <w:t>（</w:t>
      </w:r>
      <w:r>
        <w:rPr>
          <w:sz w:val="24"/>
        </w:rPr>
        <w:t>2</w:t>
      </w:r>
      <w:r>
        <w:rPr>
          <w:rFonts w:hint="eastAsia"/>
          <w:sz w:val="24"/>
        </w:rPr>
        <w:t>）上传的电子投标（响应）文件若出现使用本项目其他投标（响应）供应商的数字证书加密的，或者加盖本项目其他投标（响应）供应商的电子印章的；</w:t>
      </w:r>
    </w:p>
    <w:p w14:paraId="66482168">
      <w:pPr>
        <w:snapToGrid w:val="0"/>
        <w:spacing w:line="360" w:lineRule="auto"/>
        <w:ind w:firstLine="470" w:firstLineChars="196"/>
        <w:rPr>
          <w:sz w:val="24"/>
        </w:rPr>
      </w:pPr>
      <w:r>
        <w:rPr>
          <w:rFonts w:hint="eastAsia"/>
          <w:sz w:val="24"/>
        </w:rPr>
        <w:t>（</w:t>
      </w:r>
      <w:r>
        <w:rPr>
          <w:sz w:val="24"/>
        </w:rPr>
        <w:t>3</w:t>
      </w:r>
      <w:r>
        <w:rPr>
          <w:rFonts w:hint="eastAsia"/>
          <w:sz w:val="24"/>
        </w:rPr>
        <w:t>）不同供应商的投标（响应）文件的内容存在</w:t>
      </w:r>
      <w:r>
        <w:rPr>
          <w:sz w:val="24"/>
        </w:rPr>
        <w:t>3</w:t>
      </w:r>
      <w:r>
        <w:rPr>
          <w:rFonts w:hint="eastAsia"/>
          <w:sz w:val="24"/>
        </w:rPr>
        <w:t>处（含）以上错误一致的；</w:t>
      </w:r>
    </w:p>
    <w:p w14:paraId="09DEF675">
      <w:pPr>
        <w:snapToGrid w:val="0"/>
        <w:spacing w:line="360" w:lineRule="auto"/>
        <w:ind w:firstLine="470" w:firstLineChars="196"/>
        <w:rPr>
          <w:sz w:val="24"/>
        </w:rPr>
      </w:pPr>
      <w:r>
        <w:rPr>
          <w:rFonts w:hint="eastAsia"/>
          <w:sz w:val="24"/>
        </w:rPr>
        <w:t>（</w:t>
      </w:r>
      <w:r>
        <w:rPr>
          <w:sz w:val="24"/>
        </w:rPr>
        <w:t>4</w:t>
      </w:r>
      <w:r>
        <w:rPr>
          <w:rFonts w:hint="eastAsia"/>
          <w:sz w:val="24"/>
        </w:rPr>
        <w:t>）不同供应商联系人为同一人或不同联系人的联系电话一致的。</w:t>
      </w:r>
    </w:p>
    <w:p w14:paraId="1FA45025">
      <w:pPr>
        <w:snapToGrid w:val="0"/>
        <w:spacing w:line="360" w:lineRule="auto"/>
        <w:ind w:firstLine="472" w:firstLineChars="196"/>
        <w:rPr>
          <w:rFonts w:ascii="宋体" w:hAnsi="宋体"/>
          <w:b/>
          <w:bCs/>
          <w:sz w:val="24"/>
        </w:rPr>
      </w:pPr>
      <w:r>
        <w:rPr>
          <w:rFonts w:hint="eastAsia" w:ascii="宋体" w:hAnsi="宋体"/>
          <w:b/>
          <w:bCs/>
          <w:sz w:val="24"/>
        </w:rPr>
        <w:t>7.投标人有下列情形之一的，属于恶意串通，其投标无效：</w:t>
      </w:r>
    </w:p>
    <w:p w14:paraId="5C55B4D9">
      <w:pPr>
        <w:spacing w:line="360" w:lineRule="auto"/>
        <w:ind w:firstLine="480" w:firstLineChars="200"/>
        <w:rPr>
          <w:rFonts w:ascii="宋体" w:hAnsi="宋体"/>
          <w:bCs/>
          <w:sz w:val="24"/>
        </w:rPr>
      </w:pPr>
      <w:r>
        <w:rPr>
          <w:rFonts w:hint="eastAsia" w:ascii="宋体" w:hAnsi="宋体"/>
          <w:bCs/>
          <w:sz w:val="24"/>
        </w:rPr>
        <w:t>（1）投标人直接或者间接从采购人或者采购代理机构处获得其他投标人的相关情况并修改其投标（响应）文件；</w:t>
      </w:r>
    </w:p>
    <w:p w14:paraId="46567499">
      <w:pPr>
        <w:spacing w:line="360" w:lineRule="auto"/>
        <w:ind w:firstLine="480" w:firstLineChars="200"/>
        <w:rPr>
          <w:rFonts w:ascii="宋体" w:hAnsi="宋体"/>
          <w:bCs/>
          <w:sz w:val="24"/>
        </w:rPr>
      </w:pPr>
      <w:r>
        <w:rPr>
          <w:rFonts w:hint="eastAsia" w:ascii="宋体" w:hAnsi="宋体"/>
          <w:bCs/>
          <w:sz w:val="24"/>
        </w:rPr>
        <w:t>（2）投标人按照采购人或者采购代理机构的授意撤换、修改投标（响应）文件；</w:t>
      </w:r>
    </w:p>
    <w:p w14:paraId="12717A22">
      <w:pPr>
        <w:spacing w:line="360" w:lineRule="auto"/>
        <w:ind w:firstLine="480" w:firstLineChars="200"/>
        <w:rPr>
          <w:rFonts w:ascii="宋体" w:hAnsi="宋体"/>
          <w:bCs/>
          <w:sz w:val="24"/>
        </w:rPr>
      </w:pPr>
      <w:r>
        <w:rPr>
          <w:rFonts w:hint="eastAsia" w:ascii="宋体" w:hAnsi="宋体"/>
          <w:bCs/>
          <w:sz w:val="24"/>
        </w:rPr>
        <w:t>（3）投标人之间协商报价、技术方案等投标（响应）文件的实质性内容；</w:t>
      </w:r>
    </w:p>
    <w:p w14:paraId="2584F252">
      <w:pPr>
        <w:spacing w:line="360" w:lineRule="auto"/>
        <w:ind w:firstLine="480" w:firstLineChars="200"/>
        <w:rPr>
          <w:rFonts w:ascii="宋体" w:hAnsi="宋体"/>
          <w:bCs/>
          <w:sz w:val="24"/>
        </w:rPr>
      </w:pPr>
      <w:r>
        <w:rPr>
          <w:rFonts w:hint="eastAsia" w:ascii="宋体" w:hAnsi="宋体"/>
          <w:bCs/>
          <w:sz w:val="24"/>
        </w:rPr>
        <w:t>（4）属于同一集团、协会、商会等组织成员的投标人按照该组织要求协同参加政府采购活动；</w:t>
      </w:r>
    </w:p>
    <w:p w14:paraId="3AB14BE6">
      <w:pPr>
        <w:spacing w:line="360" w:lineRule="auto"/>
        <w:ind w:firstLine="480" w:firstLineChars="200"/>
        <w:rPr>
          <w:rFonts w:ascii="宋体" w:hAnsi="宋体"/>
          <w:bCs/>
          <w:sz w:val="24"/>
        </w:rPr>
      </w:pPr>
      <w:r>
        <w:rPr>
          <w:rFonts w:hint="eastAsia" w:ascii="宋体" w:hAnsi="宋体"/>
          <w:bCs/>
          <w:sz w:val="24"/>
        </w:rPr>
        <w:t>（5）投标人之间事先约定由某一特定投标人中标、成交；</w:t>
      </w:r>
    </w:p>
    <w:p w14:paraId="2CC095A9">
      <w:pPr>
        <w:spacing w:line="360" w:lineRule="auto"/>
        <w:ind w:firstLine="480" w:firstLineChars="200"/>
        <w:rPr>
          <w:rFonts w:ascii="宋体" w:hAnsi="宋体"/>
          <w:bCs/>
          <w:sz w:val="24"/>
        </w:rPr>
      </w:pPr>
      <w:r>
        <w:rPr>
          <w:rFonts w:hint="eastAsia" w:ascii="宋体" w:hAnsi="宋体"/>
          <w:bCs/>
          <w:sz w:val="24"/>
        </w:rPr>
        <w:t>（6）投标人之间商定部分投标人放弃参加政府采购活动或者放弃中标、成交；</w:t>
      </w:r>
    </w:p>
    <w:p w14:paraId="3CD8D8AF">
      <w:pPr>
        <w:spacing w:line="360" w:lineRule="auto"/>
        <w:ind w:firstLine="480" w:firstLineChars="200"/>
        <w:rPr>
          <w:rFonts w:ascii="宋体" w:hAnsi="宋体"/>
          <w:bCs/>
          <w:sz w:val="24"/>
        </w:rPr>
      </w:pPr>
      <w:r>
        <w:rPr>
          <w:rFonts w:hint="eastAsia" w:ascii="宋体" w:hAnsi="宋体"/>
          <w:bCs/>
          <w:sz w:val="24"/>
        </w:rPr>
        <w:t>（7）投标人与采购人或者采购代理机构之间、投标人相互之间，为谋求特定投标人中标、成交或者排斥其他投标人的其他串通行为。</w:t>
      </w:r>
    </w:p>
    <w:p w14:paraId="757E1C04">
      <w:pPr>
        <w:pStyle w:val="19"/>
        <w:snapToGrid w:val="0"/>
        <w:spacing w:line="360" w:lineRule="auto"/>
        <w:ind w:firstLine="457" w:firstLineChars="196"/>
        <w:outlineLvl w:val="1"/>
        <w:rPr>
          <w:rFonts w:hAnsi="宋体"/>
          <w:b/>
          <w:snapToGrid w:val="0"/>
          <w:sz w:val="24"/>
          <w:szCs w:val="24"/>
        </w:rPr>
      </w:pPr>
      <w:r>
        <w:rPr>
          <w:rFonts w:hint="eastAsia" w:hAnsi="宋体"/>
          <w:b/>
          <w:sz w:val="24"/>
          <w:szCs w:val="24"/>
        </w:rPr>
        <w:t>四、开标</w:t>
      </w:r>
    </w:p>
    <w:p w14:paraId="599B4BA7">
      <w:pPr>
        <w:pStyle w:val="19"/>
        <w:snapToGrid w:val="0"/>
        <w:spacing w:line="360" w:lineRule="auto"/>
        <w:ind w:firstLine="457" w:firstLineChars="196"/>
        <w:rPr>
          <w:rFonts w:hAnsi="宋体"/>
          <w:b/>
          <w:sz w:val="24"/>
          <w:szCs w:val="24"/>
        </w:rPr>
      </w:pPr>
      <w:r>
        <w:rPr>
          <w:rFonts w:hAnsi="宋体"/>
          <w:b/>
          <w:sz w:val="24"/>
          <w:szCs w:val="24"/>
        </w:rPr>
        <w:t>（一）开标准备</w:t>
      </w:r>
    </w:p>
    <w:p w14:paraId="52C2439A">
      <w:pPr>
        <w:pStyle w:val="19"/>
        <w:snapToGrid w:val="0"/>
        <w:spacing w:line="360" w:lineRule="auto"/>
        <w:ind w:firstLine="454" w:firstLineChars="196"/>
        <w:rPr>
          <w:rFonts w:hAnsi="宋体"/>
          <w:sz w:val="24"/>
          <w:szCs w:val="24"/>
        </w:rPr>
      </w:pPr>
      <w:r>
        <w:rPr>
          <w:rFonts w:hint="eastAsia" w:hAnsi="宋体"/>
          <w:sz w:val="24"/>
          <w:szCs w:val="24"/>
        </w:rPr>
        <w:t>1.组织机构将按照招标文件规定的时间通过“政府采购云平台”组织开标、开启投标文件，所有供应商均应当准时在线参加。</w:t>
      </w:r>
    </w:p>
    <w:p w14:paraId="38CB48CA">
      <w:pPr>
        <w:pStyle w:val="19"/>
        <w:snapToGrid w:val="0"/>
        <w:spacing w:line="360" w:lineRule="auto"/>
        <w:ind w:firstLine="454" w:firstLineChars="196"/>
        <w:rPr>
          <w:rFonts w:hAnsi="宋体"/>
          <w:sz w:val="24"/>
          <w:szCs w:val="24"/>
        </w:rPr>
      </w:pPr>
      <w:r>
        <w:rPr>
          <w:rFonts w:hint="eastAsia" w:hAnsi="宋体"/>
          <w:sz w:val="24"/>
          <w:szCs w:val="24"/>
        </w:rPr>
        <w:t>2. 按照“不见面、少接触”的原则，本项目原则上采取“不见面”形式进行开评标活动，法定代表人或其授权代表无须到场，在线响应即可（通过指定的电子邮箱、传真等），但也允许供应商派授权代表出席开标会议。</w:t>
      </w:r>
    </w:p>
    <w:p w14:paraId="5B182D2E">
      <w:pPr>
        <w:pStyle w:val="19"/>
        <w:snapToGrid w:val="0"/>
        <w:spacing w:line="360" w:lineRule="auto"/>
        <w:ind w:firstLine="457" w:firstLineChars="196"/>
        <w:rPr>
          <w:rFonts w:hAnsi="宋体"/>
          <w:b/>
          <w:sz w:val="24"/>
          <w:szCs w:val="24"/>
        </w:rPr>
      </w:pPr>
      <w:r>
        <w:rPr>
          <w:rFonts w:hAnsi="宋体"/>
          <w:b/>
          <w:sz w:val="24"/>
          <w:szCs w:val="24"/>
        </w:rPr>
        <w:t>（二） 开标程序：</w:t>
      </w:r>
    </w:p>
    <w:p w14:paraId="32FBD2EA">
      <w:pPr>
        <w:pStyle w:val="19"/>
        <w:snapToGrid w:val="0"/>
        <w:spacing w:line="360" w:lineRule="auto"/>
        <w:ind w:firstLine="454" w:firstLineChars="196"/>
        <w:rPr>
          <w:rFonts w:hAnsi="宋体"/>
          <w:sz w:val="24"/>
          <w:szCs w:val="24"/>
        </w:rPr>
      </w:pPr>
      <w:r>
        <w:rPr>
          <w:rFonts w:hint="eastAsia" w:hAnsi="宋体"/>
          <w:sz w:val="24"/>
          <w:szCs w:val="24"/>
        </w:rPr>
        <w:t>1.开标的准备工作由采购组织机构负责落实；</w:t>
      </w:r>
    </w:p>
    <w:p w14:paraId="48191FEB">
      <w:pPr>
        <w:pStyle w:val="19"/>
        <w:snapToGrid w:val="0"/>
        <w:spacing w:line="360" w:lineRule="auto"/>
        <w:ind w:firstLine="454" w:firstLineChars="196"/>
        <w:rPr>
          <w:rFonts w:hAnsi="宋体"/>
          <w:sz w:val="24"/>
          <w:szCs w:val="24"/>
        </w:rPr>
      </w:pPr>
      <w:r>
        <w:rPr>
          <w:rFonts w:hint="eastAsia" w:hAnsi="宋体"/>
          <w:sz w:val="24"/>
          <w:szCs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64011DF4">
      <w:pPr>
        <w:pStyle w:val="19"/>
        <w:snapToGrid w:val="0"/>
        <w:spacing w:line="360" w:lineRule="auto"/>
        <w:ind w:firstLine="457" w:firstLineChars="196"/>
        <w:rPr>
          <w:rFonts w:hAnsi="宋体"/>
          <w:b/>
          <w:sz w:val="24"/>
          <w:szCs w:val="24"/>
        </w:rPr>
      </w:pPr>
      <w:r>
        <w:rPr>
          <w:rFonts w:hint="eastAsia" w:hAnsi="宋体"/>
          <w:b/>
          <w:sz w:val="24"/>
          <w:szCs w:val="24"/>
        </w:rPr>
        <w:t>（三）开标流程</w:t>
      </w:r>
    </w:p>
    <w:p w14:paraId="780744BE">
      <w:pPr>
        <w:snapToGrid w:val="0"/>
        <w:spacing w:line="360" w:lineRule="auto"/>
        <w:ind w:firstLine="470" w:firstLineChars="196"/>
        <w:rPr>
          <w:rFonts w:hAnsi="宋体"/>
          <w:sz w:val="24"/>
        </w:rPr>
      </w:pPr>
      <w:bookmarkStart w:id="54" w:name="_Toc24550037"/>
      <w:bookmarkStart w:id="55" w:name="_Toc33194393"/>
      <w:r>
        <w:rPr>
          <w:rFonts w:hint="eastAsia" w:hAnsi="宋体"/>
          <w:sz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4131D373">
      <w:pPr>
        <w:snapToGrid w:val="0"/>
        <w:spacing w:line="360" w:lineRule="auto"/>
        <w:ind w:firstLine="470" w:firstLineChars="196"/>
        <w:rPr>
          <w:rFonts w:hAnsi="宋体"/>
          <w:sz w:val="24"/>
        </w:rPr>
      </w:pPr>
      <w:r>
        <w:rPr>
          <w:rFonts w:hint="eastAsia" w:hAnsi="宋体"/>
          <w:sz w:val="24"/>
        </w:rPr>
        <w:t>2.投标文件解密结束；</w:t>
      </w:r>
    </w:p>
    <w:p w14:paraId="0F20F398">
      <w:pPr>
        <w:snapToGrid w:val="0"/>
        <w:spacing w:line="360" w:lineRule="auto"/>
        <w:ind w:firstLine="470" w:firstLineChars="196"/>
        <w:rPr>
          <w:rFonts w:hAnsi="宋体"/>
          <w:sz w:val="24"/>
        </w:rPr>
      </w:pPr>
      <w:r>
        <w:rPr>
          <w:rFonts w:hint="eastAsia" w:hAnsi="宋体"/>
          <w:sz w:val="24"/>
        </w:rPr>
        <w:t>3.开启投标文件，进入资格审查；</w:t>
      </w:r>
    </w:p>
    <w:p w14:paraId="6BB7719B">
      <w:pPr>
        <w:snapToGrid w:val="0"/>
        <w:spacing w:line="360" w:lineRule="auto"/>
        <w:ind w:firstLine="470" w:firstLineChars="196"/>
        <w:rPr>
          <w:rFonts w:hAnsi="宋体"/>
          <w:sz w:val="24"/>
        </w:rPr>
      </w:pPr>
      <w:r>
        <w:rPr>
          <w:rFonts w:hint="eastAsia" w:hAnsi="宋体"/>
          <w:sz w:val="24"/>
        </w:rPr>
        <w:t>4.开启资格审查通过的投标供应商的商务技术文件进入符合性审查、商务技术评审；</w:t>
      </w:r>
    </w:p>
    <w:p w14:paraId="5B0964FF">
      <w:pPr>
        <w:snapToGrid w:val="0"/>
        <w:spacing w:line="360" w:lineRule="auto"/>
        <w:ind w:firstLine="470" w:firstLineChars="196"/>
        <w:rPr>
          <w:rFonts w:hAnsi="宋体"/>
          <w:sz w:val="24"/>
        </w:rPr>
      </w:pPr>
      <w:r>
        <w:rPr>
          <w:rFonts w:hint="eastAsia" w:hAnsi="宋体"/>
          <w:sz w:val="24"/>
        </w:rPr>
        <w:t>1）符合性审查、商务技术评审结束后，公布符合性审查、商务技术评审无效供应商名称及理由；公布经商务技术评审后有效投标供应商的名单，同时公布其商务技术部分得分情况。</w:t>
      </w:r>
    </w:p>
    <w:p w14:paraId="4065DF89">
      <w:pPr>
        <w:snapToGrid w:val="0"/>
        <w:spacing w:line="360" w:lineRule="auto"/>
        <w:ind w:firstLine="470" w:firstLineChars="196"/>
        <w:rPr>
          <w:rFonts w:hAnsi="宋体"/>
          <w:sz w:val="24"/>
        </w:rPr>
      </w:pPr>
      <w:r>
        <w:rPr>
          <w:rFonts w:hint="eastAsia" w:hAnsi="宋体"/>
          <w:sz w:val="24"/>
        </w:rPr>
        <w:t>2）开启符合性审查、商务技术评审有效投标供应商的《报价文件》，公布开标一览表有关内容，同时当场制作开标记录表，唱标结束后，由评标委员会对报价的合理性、准确性等进行审查核实。</w:t>
      </w:r>
    </w:p>
    <w:p w14:paraId="5A3E6A9D">
      <w:pPr>
        <w:snapToGrid w:val="0"/>
        <w:spacing w:line="360" w:lineRule="auto"/>
        <w:ind w:firstLine="470" w:firstLineChars="196"/>
        <w:rPr>
          <w:rFonts w:hAnsi="宋体"/>
          <w:sz w:val="24"/>
        </w:rPr>
      </w:pPr>
      <w:r>
        <w:rPr>
          <w:rFonts w:hint="eastAsia" w:hAnsi="宋体"/>
          <w:sz w:val="24"/>
        </w:rPr>
        <w:t>3）公布报价部分得分情况；</w:t>
      </w:r>
    </w:p>
    <w:p w14:paraId="053BA01F">
      <w:pPr>
        <w:snapToGrid w:val="0"/>
        <w:spacing w:line="360" w:lineRule="auto"/>
        <w:ind w:firstLine="470" w:firstLineChars="196"/>
        <w:rPr>
          <w:rFonts w:hAnsi="宋体"/>
          <w:sz w:val="24"/>
        </w:rPr>
      </w:pPr>
      <w:r>
        <w:rPr>
          <w:rFonts w:hint="eastAsia" w:hAnsi="宋体"/>
          <w:sz w:val="24"/>
        </w:rPr>
        <w:t>4）评审结束后，公布中标（成交）候选供应商名单等。</w:t>
      </w:r>
    </w:p>
    <w:p w14:paraId="051BE96A">
      <w:pPr>
        <w:snapToGrid w:val="0"/>
        <w:spacing w:line="360" w:lineRule="auto"/>
        <w:ind w:firstLine="470" w:firstLineChars="196"/>
        <w:rPr>
          <w:rFonts w:hAnsi="宋体"/>
          <w:sz w:val="24"/>
        </w:rPr>
      </w:pPr>
      <w:r>
        <w:rPr>
          <w:rFonts w:hint="eastAsia" w:hAnsi="宋体"/>
          <w:sz w:val="24"/>
        </w:rPr>
        <w:t>5）开标结束。</w:t>
      </w:r>
    </w:p>
    <w:p w14:paraId="2CF16988">
      <w:pPr>
        <w:snapToGrid w:val="0"/>
        <w:spacing w:line="360" w:lineRule="auto"/>
        <w:ind w:firstLine="470" w:firstLineChars="196"/>
        <w:rPr>
          <w:rFonts w:hAnsi="宋体"/>
          <w:sz w:val="24"/>
        </w:rPr>
      </w:pPr>
      <w:r>
        <w:rPr>
          <w:rFonts w:hint="eastAsia" w:hAnsi="宋体"/>
          <w:sz w:val="24"/>
        </w:rPr>
        <w:t>特别说明：如遇“政府采购云平台”电子化开标或评审程序调整的，按调整后程序执行。</w:t>
      </w:r>
    </w:p>
    <w:p w14:paraId="57A8D3C1">
      <w:pPr>
        <w:snapToGrid w:val="0"/>
        <w:spacing w:line="360" w:lineRule="auto"/>
        <w:ind w:firstLine="472" w:firstLineChars="196"/>
        <w:rPr>
          <w:rFonts w:hAnsi="宋体"/>
          <w:b/>
          <w:sz w:val="24"/>
        </w:rPr>
      </w:pPr>
      <w:r>
        <w:rPr>
          <w:rFonts w:hint="eastAsia" w:hAnsi="宋体"/>
          <w:b/>
          <w:sz w:val="24"/>
        </w:rPr>
        <w:t>（四）投标供应商资格审查</w:t>
      </w:r>
      <w:bookmarkEnd w:id="54"/>
      <w:bookmarkEnd w:id="55"/>
    </w:p>
    <w:p w14:paraId="54B8154A">
      <w:pPr>
        <w:snapToGrid w:val="0"/>
        <w:spacing w:line="360" w:lineRule="auto"/>
        <w:ind w:firstLine="470" w:firstLineChars="196"/>
        <w:rPr>
          <w:rFonts w:hAnsi="宋体"/>
          <w:sz w:val="24"/>
        </w:rPr>
      </w:pPr>
      <w:r>
        <w:rPr>
          <w:rFonts w:hint="eastAsia" w:hAnsi="宋体"/>
          <w:sz w:val="24"/>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39CD7017">
      <w:pPr>
        <w:snapToGrid w:val="0"/>
        <w:spacing w:line="360" w:lineRule="auto"/>
        <w:ind w:firstLine="470" w:firstLineChars="196"/>
        <w:rPr>
          <w:rFonts w:hAnsi="宋体"/>
          <w:sz w:val="24"/>
        </w:rPr>
      </w:pPr>
      <w:r>
        <w:rPr>
          <w:rFonts w:hint="eastAsia" w:hAnsi="宋体"/>
          <w:sz w:val="24"/>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2E309239">
      <w:pPr>
        <w:snapToGrid w:val="0"/>
        <w:spacing w:line="360" w:lineRule="auto"/>
        <w:ind w:firstLine="470" w:firstLineChars="196"/>
        <w:rPr>
          <w:rFonts w:hAnsi="宋体"/>
          <w:sz w:val="24"/>
        </w:rPr>
      </w:pPr>
      <w:r>
        <w:rPr>
          <w:rFonts w:hint="eastAsia" w:hAnsi="宋体"/>
          <w:sz w:val="24"/>
        </w:rPr>
        <w:t>3.单位负责人为同一人或者存在直接控股、管理关系的不同供应商参加同一合同项下的政府采购活动的，相关投标供应商均作资格无效处理。</w:t>
      </w:r>
    </w:p>
    <w:p w14:paraId="134BFA24">
      <w:pPr>
        <w:snapToGrid w:val="0"/>
        <w:spacing w:line="360" w:lineRule="auto"/>
        <w:ind w:firstLine="551" w:firstLineChars="196"/>
        <w:rPr>
          <w:rFonts w:hAnsi="宋体"/>
          <w:b/>
          <w:szCs w:val="28"/>
        </w:rPr>
      </w:pPr>
      <w:r>
        <w:rPr>
          <w:rFonts w:hint="eastAsia" w:hAnsi="宋体"/>
          <w:b/>
          <w:szCs w:val="28"/>
        </w:rPr>
        <w:t>五、评标</w:t>
      </w:r>
    </w:p>
    <w:p w14:paraId="2E9D6715">
      <w:pPr>
        <w:snapToGrid w:val="0"/>
        <w:spacing w:line="360" w:lineRule="auto"/>
        <w:ind w:firstLine="472" w:firstLineChars="196"/>
        <w:rPr>
          <w:rFonts w:hAnsi="宋体"/>
          <w:b/>
          <w:sz w:val="24"/>
        </w:rPr>
      </w:pPr>
      <w:r>
        <w:rPr>
          <w:rFonts w:hAnsi="宋体"/>
          <w:b/>
          <w:sz w:val="24"/>
        </w:rPr>
        <w:t>（一）组建评标委员会</w:t>
      </w:r>
    </w:p>
    <w:p w14:paraId="666104ED">
      <w:pPr>
        <w:snapToGrid w:val="0"/>
        <w:spacing w:line="360" w:lineRule="auto"/>
        <w:ind w:firstLine="470" w:firstLineChars="196"/>
        <w:rPr>
          <w:rFonts w:hAnsi="宋体"/>
          <w:sz w:val="24"/>
        </w:rPr>
      </w:pPr>
      <w:r>
        <w:rPr>
          <w:rFonts w:hAnsi="宋体"/>
          <w:sz w:val="24"/>
        </w:rPr>
        <w:t>本项目评标委员会由政府</w:t>
      </w:r>
      <w:r>
        <w:rPr>
          <w:rFonts w:hint="eastAsia" w:hAnsi="宋体"/>
          <w:sz w:val="24"/>
        </w:rPr>
        <w:t>采购评审专家4人，采购人1人组成。</w:t>
      </w:r>
    </w:p>
    <w:p w14:paraId="40FD0E0E">
      <w:pPr>
        <w:snapToGrid w:val="0"/>
        <w:spacing w:line="360" w:lineRule="auto"/>
        <w:ind w:firstLine="472" w:firstLineChars="196"/>
        <w:rPr>
          <w:rFonts w:hAnsi="宋体"/>
          <w:b/>
          <w:sz w:val="24"/>
        </w:rPr>
      </w:pPr>
      <w:r>
        <w:rPr>
          <w:rFonts w:hAnsi="宋体"/>
          <w:b/>
          <w:sz w:val="24"/>
        </w:rPr>
        <w:t>（二）评标的方式</w:t>
      </w:r>
    </w:p>
    <w:p w14:paraId="6B56844D">
      <w:pPr>
        <w:snapToGrid w:val="0"/>
        <w:spacing w:line="360" w:lineRule="auto"/>
        <w:ind w:firstLine="470" w:firstLineChars="196"/>
        <w:rPr>
          <w:rFonts w:hAnsi="宋体"/>
          <w:sz w:val="24"/>
        </w:rPr>
      </w:pPr>
      <w:r>
        <w:rPr>
          <w:rFonts w:hAnsi="宋体"/>
          <w:sz w:val="24"/>
        </w:rPr>
        <w:t>本项目采用不公开方式评标，评标的依据为招标文件和投标文件。</w:t>
      </w:r>
    </w:p>
    <w:p w14:paraId="628B2BC0">
      <w:pPr>
        <w:snapToGrid w:val="0"/>
        <w:spacing w:line="360" w:lineRule="auto"/>
        <w:ind w:firstLine="472" w:firstLineChars="196"/>
        <w:rPr>
          <w:rFonts w:hAnsi="宋体"/>
          <w:b/>
          <w:bCs/>
          <w:sz w:val="24"/>
        </w:rPr>
      </w:pPr>
      <w:r>
        <w:rPr>
          <w:rFonts w:hAnsi="宋体"/>
          <w:b/>
          <w:sz w:val="24"/>
        </w:rPr>
        <w:t>（三）</w:t>
      </w:r>
      <w:r>
        <w:rPr>
          <w:rFonts w:hAnsi="宋体"/>
          <w:b/>
          <w:bCs/>
          <w:sz w:val="24"/>
        </w:rPr>
        <w:t>评标程序</w:t>
      </w:r>
    </w:p>
    <w:p w14:paraId="5931A25A">
      <w:pPr>
        <w:snapToGrid w:val="0"/>
        <w:spacing w:line="360" w:lineRule="auto"/>
        <w:ind w:firstLine="470" w:firstLineChars="196"/>
        <w:rPr>
          <w:rFonts w:hAnsi="宋体"/>
          <w:sz w:val="24"/>
        </w:rPr>
      </w:pPr>
      <w:r>
        <w:rPr>
          <w:rFonts w:hint="eastAsia" w:hAnsi="宋体"/>
          <w:sz w:val="24"/>
        </w:rPr>
        <w:t>1.对所有通过资格审查的投标供应商的投标文件进行初步审查，审查、评价投标文件是否符合招标文件的商务、技术、服务等实质性要求。</w:t>
      </w:r>
    </w:p>
    <w:p w14:paraId="12EBE099">
      <w:pPr>
        <w:snapToGrid w:val="0"/>
        <w:spacing w:line="360" w:lineRule="auto"/>
        <w:ind w:firstLine="470" w:firstLineChars="196"/>
        <w:rPr>
          <w:rFonts w:hAnsi="宋体"/>
          <w:sz w:val="24"/>
        </w:rPr>
      </w:pPr>
      <w:r>
        <w:rPr>
          <w:rFonts w:hint="eastAsia" w:hAnsi="宋体"/>
          <w:sz w:val="24"/>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588F2EF0">
      <w:pPr>
        <w:snapToGrid w:val="0"/>
        <w:spacing w:line="360" w:lineRule="auto"/>
        <w:ind w:firstLine="470" w:firstLineChars="196"/>
        <w:rPr>
          <w:rFonts w:hAnsi="宋体"/>
          <w:sz w:val="24"/>
        </w:rPr>
      </w:pPr>
      <w:r>
        <w:rPr>
          <w:rFonts w:hint="eastAsia" w:hAnsi="宋体"/>
          <w:sz w:val="24"/>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7CD36E06">
      <w:pPr>
        <w:snapToGrid w:val="0"/>
        <w:spacing w:line="360" w:lineRule="auto"/>
        <w:ind w:firstLine="472" w:firstLineChars="196"/>
        <w:rPr>
          <w:rFonts w:ascii="宋体" w:hAnsi="宋体"/>
          <w:b/>
          <w:sz w:val="24"/>
        </w:rPr>
      </w:pPr>
      <w:r>
        <w:rPr>
          <w:rFonts w:hint="eastAsia" w:ascii="宋体" w:hAnsi="宋体"/>
          <w:b/>
          <w:sz w:val="24"/>
        </w:rPr>
        <w:t>（四）澄清问题的形式</w:t>
      </w:r>
    </w:p>
    <w:p w14:paraId="5DDED7F0">
      <w:pPr>
        <w:snapToGrid w:val="0"/>
        <w:spacing w:line="360" w:lineRule="auto"/>
        <w:ind w:firstLine="480" w:firstLineChars="200"/>
        <w:rPr>
          <w:rFonts w:ascii="宋体" w:hAnsi="宋体"/>
          <w:sz w:val="24"/>
        </w:rPr>
      </w:pPr>
      <w:r>
        <w:rPr>
          <w:rFonts w:hint="eastAsia" w:ascii="宋体" w:hAnsi="宋体"/>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5AAD9E45">
      <w:pPr>
        <w:snapToGrid w:val="0"/>
        <w:spacing w:line="360" w:lineRule="auto"/>
        <w:ind w:firstLine="480" w:firstLineChars="200"/>
        <w:rPr>
          <w:rFonts w:ascii="宋体" w:hAnsi="宋体"/>
          <w:sz w:val="24"/>
        </w:rPr>
      </w:pPr>
      <w:r>
        <w:rPr>
          <w:rFonts w:hint="eastAsia" w:ascii="宋体" w:hAnsi="宋体"/>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766FA30A">
      <w:pPr>
        <w:snapToGrid w:val="0"/>
        <w:spacing w:line="360" w:lineRule="auto"/>
        <w:ind w:firstLine="482" w:firstLineChars="200"/>
        <w:rPr>
          <w:b/>
          <w:sz w:val="24"/>
        </w:rPr>
      </w:pPr>
      <w:r>
        <w:rPr>
          <w:b/>
          <w:sz w:val="24"/>
        </w:rPr>
        <w:t>（五）错误修正</w:t>
      </w:r>
    </w:p>
    <w:p w14:paraId="1352E6F7">
      <w:pPr>
        <w:pStyle w:val="24"/>
        <w:snapToGrid w:val="0"/>
        <w:spacing w:beforeLines="0" w:afterLines="0" w:line="360" w:lineRule="auto"/>
        <w:ind w:firstLine="470" w:firstLineChars="196"/>
      </w:pPr>
      <w:r>
        <w:t>投标文件如果出现计算或表达上的错误，修正错误的原则如下：</w:t>
      </w:r>
    </w:p>
    <w:p w14:paraId="668952D9">
      <w:pPr>
        <w:pStyle w:val="24"/>
        <w:snapToGrid w:val="0"/>
        <w:spacing w:beforeLines="0" w:afterLines="0" w:line="360" w:lineRule="auto"/>
        <w:ind w:firstLine="470" w:firstLineChars="196"/>
      </w:pPr>
      <w:r>
        <w:t>1</w:t>
      </w:r>
      <w:r>
        <w:rPr>
          <w:rFonts w:hint="eastAsia"/>
        </w:rPr>
        <w:t>.开标一览表总价与投标报价明细表汇总数不一致的，以开标一览表为准；</w:t>
      </w:r>
    </w:p>
    <w:p w14:paraId="4DB4B678">
      <w:pPr>
        <w:pStyle w:val="24"/>
        <w:snapToGrid w:val="0"/>
        <w:spacing w:beforeLines="0" w:afterLines="0" w:line="360" w:lineRule="auto"/>
        <w:ind w:firstLine="470" w:firstLineChars="196"/>
      </w:pPr>
      <w:r>
        <w:t>2</w:t>
      </w:r>
      <w:r>
        <w:rPr>
          <w:rFonts w:hint="eastAsia"/>
        </w:rPr>
        <w:t>.</w:t>
      </w:r>
      <w:r>
        <w:t>投标文件的大写金额和小写金额不一致的，以大写金额为准；</w:t>
      </w:r>
    </w:p>
    <w:p w14:paraId="1B5AE388">
      <w:pPr>
        <w:pStyle w:val="24"/>
        <w:snapToGrid w:val="0"/>
        <w:spacing w:beforeLines="0" w:afterLines="0" w:line="360" w:lineRule="auto"/>
        <w:ind w:firstLine="470" w:firstLineChars="196"/>
      </w:pPr>
      <w:r>
        <w:t>3</w:t>
      </w:r>
      <w:r>
        <w:rPr>
          <w:rFonts w:hint="eastAsia"/>
        </w:rPr>
        <w:t>.</w:t>
      </w:r>
      <w:r>
        <w:t>总价金额与按单价汇总金额不一致的，以单价金额计算结果为准；</w:t>
      </w:r>
    </w:p>
    <w:p w14:paraId="2C28C21C">
      <w:pPr>
        <w:pStyle w:val="24"/>
        <w:snapToGrid w:val="0"/>
        <w:spacing w:beforeLines="0" w:afterLines="0" w:line="360" w:lineRule="auto"/>
        <w:ind w:firstLine="470" w:firstLineChars="196"/>
      </w:pPr>
      <w:r>
        <w:t>4</w:t>
      </w:r>
      <w:r>
        <w:rPr>
          <w:rFonts w:hint="eastAsia"/>
        </w:rPr>
        <w:t>.</w:t>
      </w:r>
      <w:r>
        <w:t>对不同文字文本投标文件的解释发生异议的，以中文文本为准。</w:t>
      </w:r>
    </w:p>
    <w:p w14:paraId="48F5B3E4">
      <w:pPr>
        <w:pStyle w:val="24"/>
        <w:snapToGrid w:val="0"/>
        <w:spacing w:before="120" w:beforeLines="0" w:after="120" w:afterLines="0" w:line="360" w:lineRule="auto"/>
        <w:ind w:firstLine="482" w:firstLineChars="200"/>
        <w:rPr>
          <w:rFonts w:hAnsi="宋体"/>
          <w:b/>
          <w:bCs/>
        </w:rPr>
      </w:pPr>
      <w:r>
        <w:rPr>
          <w:rFonts w:hAnsi="宋体"/>
          <w:b/>
          <w:bCs/>
        </w:rPr>
        <w:t>按上述修正错误的原则及方法调整或修正投标文件的投标报价，投标人同意</w:t>
      </w:r>
      <w:r>
        <w:rPr>
          <w:rFonts w:hint="eastAsia" w:hAnsi="宋体"/>
          <w:b/>
          <w:bCs/>
        </w:rPr>
        <w:t>并签字确认</w:t>
      </w:r>
      <w:r>
        <w:rPr>
          <w:rFonts w:hAnsi="宋体"/>
          <w:b/>
          <w:bCs/>
        </w:rPr>
        <w:t>后，调整后的投标报价对投标人具有约束作用。如果投标人不接受修正后的报价，则其投标将</w:t>
      </w:r>
      <w:r>
        <w:rPr>
          <w:rFonts w:hint="eastAsia" w:hAnsi="宋体"/>
          <w:b/>
          <w:bCs/>
        </w:rPr>
        <w:t>作为无效投标处理</w:t>
      </w:r>
      <w:r>
        <w:rPr>
          <w:rFonts w:hAnsi="宋体"/>
          <w:b/>
          <w:bCs/>
        </w:rPr>
        <w:t>。</w:t>
      </w:r>
    </w:p>
    <w:p w14:paraId="3176C6B5">
      <w:pPr>
        <w:pStyle w:val="24"/>
        <w:tabs>
          <w:tab w:val="left" w:pos="630"/>
        </w:tabs>
        <w:snapToGrid w:val="0"/>
        <w:spacing w:before="120" w:beforeLines="0" w:after="120" w:afterLines="0" w:line="360" w:lineRule="auto"/>
        <w:ind w:firstLine="472" w:firstLineChars="196"/>
        <w:rPr>
          <w:rFonts w:hAnsi="宋体"/>
          <w:b/>
        </w:rPr>
      </w:pPr>
      <w:r>
        <w:rPr>
          <w:rFonts w:hAnsi="宋体"/>
          <w:b/>
        </w:rPr>
        <w:t>（六）评标原则和评标办法</w:t>
      </w:r>
    </w:p>
    <w:p w14:paraId="62DF6750">
      <w:pPr>
        <w:pStyle w:val="24"/>
        <w:snapToGrid w:val="0"/>
        <w:spacing w:beforeLines="0" w:afterLines="0" w:line="360" w:lineRule="auto"/>
        <w:ind w:firstLine="470" w:firstLineChars="196"/>
      </w:pPr>
      <w:r>
        <w:t>1</w:t>
      </w:r>
      <w:r>
        <w:rPr>
          <w:rFonts w:hint="eastAsia"/>
        </w:rPr>
        <w:t>.</w:t>
      </w:r>
      <w: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AD535F3">
      <w:pPr>
        <w:pStyle w:val="24"/>
        <w:snapToGrid w:val="0"/>
        <w:spacing w:beforeLines="0" w:afterLines="0" w:line="360" w:lineRule="auto"/>
        <w:ind w:firstLine="470" w:firstLineChars="196"/>
      </w:pPr>
      <w:r>
        <w:t>2</w:t>
      </w:r>
      <w:r>
        <w:rPr>
          <w:rFonts w:hint="eastAsia"/>
        </w:rPr>
        <w:t>.</w:t>
      </w:r>
      <w:r>
        <w:t>评标办法。本项目评标办法是本项目采取综合评分法，具体评标内容及评分标准等详见《第四章：评标办法及评分标准》。</w:t>
      </w:r>
    </w:p>
    <w:p w14:paraId="117A39A4">
      <w:pPr>
        <w:pStyle w:val="24"/>
        <w:snapToGrid w:val="0"/>
        <w:spacing w:before="120" w:beforeLines="0" w:after="120" w:afterLines="0" w:line="360" w:lineRule="auto"/>
        <w:ind w:firstLine="482" w:firstLineChars="200"/>
        <w:rPr>
          <w:rFonts w:hAnsi="宋体"/>
          <w:b/>
        </w:rPr>
      </w:pPr>
      <w:r>
        <w:rPr>
          <w:rFonts w:hint="eastAsia" w:hAnsi="宋体"/>
          <w:b/>
        </w:rPr>
        <w:t>（七）废标</w:t>
      </w:r>
    </w:p>
    <w:p w14:paraId="1D46D514">
      <w:pPr>
        <w:pStyle w:val="24"/>
        <w:snapToGrid w:val="0"/>
        <w:spacing w:beforeLines="0" w:afterLines="0" w:line="360" w:lineRule="auto"/>
        <w:ind w:firstLine="470" w:firstLineChars="196"/>
      </w:pPr>
      <w:r>
        <w:rPr>
          <w:rFonts w:hint="eastAsia"/>
        </w:rPr>
        <w:t>在采购中，出现下列情形之一的，应予废标：</w:t>
      </w:r>
    </w:p>
    <w:p w14:paraId="0FD78A75">
      <w:pPr>
        <w:pStyle w:val="24"/>
        <w:snapToGrid w:val="0"/>
        <w:spacing w:beforeLines="0" w:afterLines="0" w:line="360" w:lineRule="auto"/>
        <w:ind w:firstLine="470" w:firstLineChars="196"/>
      </w:pPr>
      <w:r>
        <w:rPr>
          <w:rFonts w:hint="eastAsia"/>
        </w:rPr>
        <w:t>1.符合专业条件的供应商或者对招标文件作实质响应的供应商不足3家的；</w:t>
      </w:r>
    </w:p>
    <w:p w14:paraId="2EAB3DC5">
      <w:pPr>
        <w:pStyle w:val="24"/>
        <w:snapToGrid w:val="0"/>
        <w:spacing w:beforeLines="0" w:afterLines="0" w:line="360" w:lineRule="auto"/>
        <w:ind w:firstLine="470" w:firstLineChars="196"/>
      </w:pPr>
      <w:r>
        <w:rPr>
          <w:rFonts w:hint="eastAsia"/>
        </w:rPr>
        <w:t>2.出现影响采购公正的违法、违规行为的；</w:t>
      </w:r>
    </w:p>
    <w:p w14:paraId="403F7D5E">
      <w:pPr>
        <w:pStyle w:val="24"/>
        <w:snapToGrid w:val="0"/>
        <w:spacing w:beforeLines="0" w:afterLines="0" w:line="360" w:lineRule="auto"/>
        <w:ind w:firstLine="470" w:firstLineChars="196"/>
      </w:pPr>
      <w:r>
        <w:rPr>
          <w:rFonts w:hint="eastAsia"/>
        </w:rPr>
        <w:t>3.报价均超过预算，不能支付的；</w:t>
      </w:r>
    </w:p>
    <w:p w14:paraId="283DD828">
      <w:pPr>
        <w:pStyle w:val="24"/>
        <w:snapToGrid w:val="0"/>
        <w:spacing w:beforeLines="0" w:afterLines="0" w:line="360" w:lineRule="auto"/>
        <w:ind w:firstLine="470" w:firstLineChars="196"/>
      </w:pPr>
      <w:r>
        <w:rPr>
          <w:rFonts w:hint="eastAsia"/>
        </w:rPr>
        <w:t>4.因重大变故，采购任务取消的。</w:t>
      </w:r>
    </w:p>
    <w:p w14:paraId="22DFEDFF">
      <w:pPr>
        <w:pStyle w:val="24"/>
        <w:snapToGrid w:val="0"/>
        <w:spacing w:before="120" w:beforeLines="0" w:after="120" w:afterLines="0" w:line="360" w:lineRule="auto"/>
        <w:ind w:firstLine="482" w:firstLineChars="200"/>
        <w:rPr>
          <w:rFonts w:hAnsi="宋体"/>
          <w:b/>
        </w:rPr>
      </w:pPr>
      <w:r>
        <w:rPr>
          <w:rFonts w:hint="eastAsia" w:hAnsi="宋体"/>
          <w:b/>
        </w:rPr>
        <w:t>（八）可中止电子交易活动的情形</w:t>
      </w:r>
    </w:p>
    <w:p w14:paraId="7A65AE63">
      <w:pPr>
        <w:pStyle w:val="24"/>
        <w:snapToGrid w:val="0"/>
        <w:spacing w:beforeLines="0" w:afterLines="0" w:line="360" w:lineRule="auto"/>
        <w:ind w:firstLine="470" w:firstLineChars="196"/>
      </w:pPr>
      <w:r>
        <w:rPr>
          <w:rFonts w:hint="eastAsia"/>
        </w:rPr>
        <w:t>采购过程中出现以下情形，导致电子交易平台无法正常运行，或者无法保证电子交易的公平、公正和安全时，采购组织机构可中止电子交易活动：</w:t>
      </w:r>
    </w:p>
    <w:p w14:paraId="6DC10750">
      <w:pPr>
        <w:pStyle w:val="24"/>
        <w:snapToGrid w:val="0"/>
        <w:spacing w:beforeLines="0" w:afterLines="0" w:line="360" w:lineRule="auto"/>
        <w:ind w:firstLine="470" w:firstLineChars="196"/>
      </w:pPr>
      <w:r>
        <w:rPr>
          <w:rFonts w:hint="eastAsia"/>
        </w:rPr>
        <w:t>1、电子交易平台发生故障而无法登录访问的；</w:t>
      </w:r>
    </w:p>
    <w:p w14:paraId="6C3E8907">
      <w:pPr>
        <w:pStyle w:val="24"/>
        <w:snapToGrid w:val="0"/>
        <w:spacing w:beforeLines="0" w:afterLines="0" w:line="360" w:lineRule="auto"/>
        <w:ind w:firstLine="470" w:firstLineChars="196"/>
      </w:pPr>
      <w:r>
        <w:rPr>
          <w:rFonts w:hint="eastAsia"/>
        </w:rPr>
        <w:t>2、电子交易平台应用或数据库出现错误，不能进行正常操作的；</w:t>
      </w:r>
    </w:p>
    <w:p w14:paraId="4D875587">
      <w:pPr>
        <w:pStyle w:val="24"/>
        <w:snapToGrid w:val="0"/>
        <w:spacing w:beforeLines="0" w:afterLines="0" w:line="360" w:lineRule="auto"/>
        <w:ind w:firstLine="470" w:firstLineChars="196"/>
      </w:pPr>
      <w:r>
        <w:rPr>
          <w:rFonts w:hint="eastAsia"/>
        </w:rPr>
        <w:t>3、电子交易平台发现严重安全漏洞，有潜在泄密危险的；</w:t>
      </w:r>
    </w:p>
    <w:p w14:paraId="720A1D3B">
      <w:pPr>
        <w:pStyle w:val="24"/>
        <w:snapToGrid w:val="0"/>
        <w:spacing w:beforeLines="0" w:afterLines="0" w:line="360" w:lineRule="auto"/>
        <w:ind w:firstLine="470" w:firstLineChars="196"/>
      </w:pPr>
      <w:r>
        <w:rPr>
          <w:rFonts w:hint="eastAsia"/>
        </w:rPr>
        <w:t>4、病毒发作导致不能进行正常操作的；</w:t>
      </w:r>
    </w:p>
    <w:p w14:paraId="64466CAA">
      <w:pPr>
        <w:pStyle w:val="24"/>
        <w:snapToGrid w:val="0"/>
        <w:spacing w:beforeLines="0" w:afterLines="0" w:line="360" w:lineRule="auto"/>
        <w:ind w:firstLine="470" w:firstLineChars="196"/>
      </w:pPr>
      <w:r>
        <w:rPr>
          <w:rFonts w:hint="eastAsia"/>
        </w:rPr>
        <w:t>5、其他无法保证电子交易的公平、公正和安全的情况。</w:t>
      </w:r>
    </w:p>
    <w:p w14:paraId="0075443B">
      <w:pPr>
        <w:pStyle w:val="24"/>
        <w:snapToGrid w:val="0"/>
        <w:spacing w:beforeLines="0" w:afterLines="0" w:line="360" w:lineRule="auto"/>
        <w:ind w:firstLine="470" w:firstLineChars="196"/>
      </w:pPr>
      <w:r>
        <w:rPr>
          <w:rFonts w:hint="eastAsia"/>
        </w:rPr>
        <w:t>出现前款规定情形，不影响采购公平、公正性的，采购组织机构可以待上述情形消除后继续组织电子交易活动；影响或可能影响采购公平、公正性的，应当重新采购。</w:t>
      </w:r>
    </w:p>
    <w:p w14:paraId="5D8EFFD3">
      <w:pPr>
        <w:pStyle w:val="24"/>
        <w:snapToGrid w:val="0"/>
        <w:spacing w:before="120" w:beforeLines="0" w:after="120" w:afterLines="0" w:line="360" w:lineRule="auto"/>
        <w:ind w:firstLine="551" w:firstLineChars="196"/>
        <w:outlineLvl w:val="1"/>
        <w:rPr>
          <w:rFonts w:hAnsi="宋体"/>
          <w:b/>
          <w:sz w:val="28"/>
          <w:szCs w:val="28"/>
        </w:rPr>
      </w:pPr>
      <w:r>
        <w:rPr>
          <w:rFonts w:hint="eastAsia" w:hAnsi="宋体"/>
          <w:b/>
          <w:sz w:val="28"/>
          <w:szCs w:val="28"/>
        </w:rPr>
        <w:t>六、定标</w:t>
      </w:r>
    </w:p>
    <w:p w14:paraId="5A8B6EBC">
      <w:pPr>
        <w:pStyle w:val="24"/>
        <w:snapToGrid w:val="0"/>
        <w:spacing w:beforeLines="0" w:afterLines="0" w:line="360" w:lineRule="auto"/>
        <w:ind w:firstLine="472" w:firstLineChars="196"/>
        <w:rPr>
          <w:b/>
          <w:bCs/>
        </w:rPr>
      </w:pPr>
      <w:r>
        <w:rPr>
          <w:rFonts w:hint="eastAsia"/>
          <w:b/>
          <w:bCs/>
        </w:rPr>
        <w:t>（一）确定中标人。</w:t>
      </w:r>
      <w:r>
        <w:rPr>
          <w:rFonts w:hint="eastAsia" w:hAnsi="宋体"/>
          <w:b/>
        </w:rPr>
        <w:t>本项目由采购人授权评标委员会确定中标人。</w:t>
      </w:r>
    </w:p>
    <w:p w14:paraId="0C670C79">
      <w:pPr>
        <w:pStyle w:val="24"/>
        <w:snapToGrid w:val="0"/>
        <w:spacing w:beforeLines="0" w:afterLines="0" w:line="360" w:lineRule="auto"/>
        <w:ind w:firstLine="470" w:firstLineChars="196"/>
      </w:pPr>
      <w:r>
        <w:rPr>
          <w:rFonts w:hint="eastAsia"/>
        </w:rPr>
        <w:t>1.采购人在收到评标报告后五个工作日内，依法确认中标供应商。</w:t>
      </w:r>
    </w:p>
    <w:p w14:paraId="326733C1">
      <w:pPr>
        <w:pStyle w:val="24"/>
        <w:snapToGrid w:val="0"/>
        <w:spacing w:beforeLines="0" w:afterLines="0" w:line="360" w:lineRule="auto"/>
        <w:ind w:firstLine="470" w:firstLineChars="196"/>
      </w:pPr>
      <w:r>
        <w:rPr>
          <w:rFonts w:hint="eastAsia"/>
        </w:rPr>
        <w:t>2.中标供应商确定后，中标结果在财政部门指定的政府采购信息发布媒体上公告。</w:t>
      </w:r>
    </w:p>
    <w:p w14:paraId="328547C4">
      <w:pPr>
        <w:pStyle w:val="24"/>
        <w:snapToGrid w:val="0"/>
        <w:spacing w:beforeLines="0" w:afterLines="0" w:line="360" w:lineRule="auto"/>
        <w:ind w:firstLine="470" w:firstLineChars="196"/>
      </w:pPr>
      <w:r>
        <w:rPr>
          <w:rFonts w:hint="eastAsia"/>
        </w:rPr>
        <w:t>3.在发布公告的同时，招标采购单位向中标供应商发出中标通知书，中标通知书对采购人和中标供应商具有同等法律效力。</w:t>
      </w:r>
    </w:p>
    <w:p w14:paraId="3C4B50A1">
      <w:pPr>
        <w:pStyle w:val="24"/>
        <w:snapToGrid w:val="0"/>
        <w:spacing w:beforeLines="0" w:afterLines="0" w:line="360" w:lineRule="auto"/>
        <w:ind w:firstLine="472" w:firstLineChars="196"/>
        <w:rPr>
          <w:b/>
        </w:rPr>
      </w:pPr>
      <w:r>
        <w:rPr>
          <w:rFonts w:hint="eastAsia"/>
          <w:b/>
        </w:rPr>
        <w:t>4根据浙江省财政厅《</w:t>
      </w:r>
      <w:r>
        <w:rPr>
          <w:b/>
        </w:rPr>
        <w:t>关于印发浙江省政府采购供应商注册及诚信管理暂行办法的通知</w:t>
      </w:r>
      <w:r>
        <w:rPr>
          <w:rFonts w:hint="eastAsia"/>
          <w:b/>
        </w:rPr>
        <w:t>》[</w:t>
      </w:r>
      <w:r>
        <w:rPr>
          <w:b/>
        </w:rPr>
        <w:t>浙财采监字〔2009〕28号</w:t>
      </w:r>
      <w:r>
        <w:rPr>
          <w:rFonts w:hint="eastAsia"/>
          <w:b/>
        </w:rPr>
        <w:t>]精神，中标供应商在领取中标通知书前，必须在《浙江省政府采购网》上完成供应商的注册工作，经初审、终审及公示后方可正式领取中标通知书。</w:t>
      </w:r>
    </w:p>
    <w:p w14:paraId="4028A5B5">
      <w:pPr>
        <w:pStyle w:val="24"/>
        <w:snapToGrid w:val="0"/>
        <w:spacing w:beforeLines="0" w:afterLines="0" w:line="360" w:lineRule="auto"/>
        <w:ind w:firstLine="470" w:firstLineChars="196"/>
      </w:pPr>
      <w:r>
        <w:rPr>
          <w:rFonts w:hint="eastAsia"/>
        </w:rPr>
        <w:t>5.中标通知书发出后，采购人改变中标结果，或者中标供应商放弃中标，应当承担相应的法律责任。</w:t>
      </w:r>
    </w:p>
    <w:p w14:paraId="02F0797C">
      <w:pPr>
        <w:pStyle w:val="24"/>
        <w:snapToGrid w:val="0"/>
        <w:spacing w:beforeLines="0" w:afterLines="0" w:line="360" w:lineRule="auto"/>
        <w:ind w:firstLine="470" w:firstLineChars="196"/>
      </w:pPr>
      <w:r>
        <w:rPr>
          <w:rFonts w:hint="eastAsia"/>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14:paraId="4E65F9DA">
      <w:pPr>
        <w:pStyle w:val="24"/>
        <w:snapToGrid w:val="0"/>
        <w:spacing w:beforeLines="0" w:afterLines="0" w:line="360" w:lineRule="auto"/>
        <w:ind w:firstLine="472" w:firstLineChars="196"/>
        <w:rPr>
          <w:rFonts w:hAnsi="宋体"/>
          <w:b/>
        </w:rPr>
      </w:pPr>
      <w:r>
        <w:rPr>
          <w:rFonts w:hint="eastAsia" w:hAnsi="宋体"/>
          <w:b/>
        </w:rPr>
        <w:t>（二）中标通知书</w:t>
      </w:r>
    </w:p>
    <w:p w14:paraId="177FB3F2">
      <w:pPr>
        <w:pStyle w:val="24"/>
        <w:snapToGrid w:val="0"/>
        <w:spacing w:beforeLines="0" w:afterLines="0" w:line="360" w:lineRule="auto"/>
        <w:ind w:firstLine="470" w:firstLineChars="196"/>
      </w:pPr>
      <w:r>
        <w:rPr>
          <w:rFonts w:hint="eastAsia"/>
        </w:rPr>
        <w:t>1.确定中标供应商后，招标采购单位将以书面形式发出中标通知书，通知中标的投标人其投标被接受。</w:t>
      </w:r>
    </w:p>
    <w:p w14:paraId="1093542A">
      <w:pPr>
        <w:pStyle w:val="24"/>
        <w:snapToGrid w:val="0"/>
        <w:spacing w:beforeLines="0" w:afterLines="0" w:line="360" w:lineRule="auto"/>
        <w:ind w:firstLine="470" w:firstLineChars="196"/>
      </w:pPr>
      <w:r>
        <w:rPr>
          <w:rFonts w:hint="eastAsia"/>
        </w:rPr>
        <w:t>2.中标通知书为双方签订合同的依据。</w:t>
      </w:r>
    </w:p>
    <w:p w14:paraId="68C6A12C">
      <w:pPr>
        <w:pStyle w:val="24"/>
        <w:snapToGrid w:val="0"/>
        <w:spacing w:beforeLines="0" w:afterLines="0" w:line="360" w:lineRule="auto"/>
        <w:ind w:firstLine="470" w:firstLineChars="196"/>
      </w:pPr>
      <w:r>
        <w:rPr>
          <w:rFonts w:hint="eastAsia"/>
        </w:rPr>
        <w:t>3.中标供应商应根据中标通知书中规定的时间内，由法定代表人或其授权代理人与采购人签订合同。</w:t>
      </w:r>
    </w:p>
    <w:p w14:paraId="63D6D1A5">
      <w:pPr>
        <w:pStyle w:val="24"/>
        <w:snapToGrid w:val="0"/>
        <w:spacing w:before="120" w:beforeLines="0" w:after="120" w:afterLines="0" w:line="360" w:lineRule="auto"/>
        <w:ind w:firstLine="551" w:firstLineChars="196"/>
        <w:outlineLvl w:val="1"/>
        <w:rPr>
          <w:rFonts w:hAnsi="宋体"/>
          <w:b/>
          <w:sz w:val="28"/>
          <w:szCs w:val="28"/>
        </w:rPr>
      </w:pPr>
      <w:r>
        <w:rPr>
          <w:rFonts w:hint="eastAsia" w:hAnsi="宋体"/>
          <w:b/>
          <w:sz w:val="28"/>
          <w:szCs w:val="28"/>
        </w:rPr>
        <w:t>七、合同授予</w:t>
      </w:r>
    </w:p>
    <w:p w14:paraId="3FB0E036">
      <w:pPr>
        <w:snapToGrid w:val="0"/>
        <w:spacing w:line="360" w:lineRule="auto"/>
        <w:ind w:firstLine="472" w:firstLineChars="196"/>
        <w:rPr>
          <w:rFonts w:ascii="宋体" w:hAnsi="宋体"/>
          <w:b/>
          <w:bCs/>
          <w:sz w:val="24"/>
          <w:szCs w:val="20"/>
        </w:rPr>
      </w:pPr>
      <w:r>
        <w:rPr>
          <w:rFonts w:hint="eastAsia" w:ascii="宋体" w:hAnsi="宋体"/>
          <w:b/>
          <w:bCs/>
          <w:sz w:val="24"/>
        </w:rPr>
        <w:t>（一）签订合同</w:t>
      </w:r>
    </w:p>
    <w:p w14:paraId="0DC0A8F4">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.采购人与</w:t>
      </w:r>
      <w:r>
        <w:rPr>
          <w:rFonts w:ascii="宋体" w:hAnsi="宋体"/>
          <w:sz w:val="24"/>
        </w:rPr>
        <w:t>中标人应</w:t>
      </w:r>
      <w:r>
        <w:rPr>
          <w:rFonts w:hint="eastAsia" w:ascii="宋体" w:hAnsi="宋体"/>
          <w:sz w:val="24"/>
        </w:rPr>
        <w:t>当在《</w:t>
      </w:r>
      <w:r>
        <w:rPr>
          <w:rFonts w:ascii="宋体" w:hAnsi="宋体"/>
          <w:sz w:val="24"/>
        </w:rPr>
        <w:t>中标通知书</w:t>
      </w:r>
      <w:r>
        <w:rPr>
          <w:rFonts w:hint="eastAsia" w:ascii="宋体" w:hAnsi="宋体"/>
          <w:sz w:val="24"/>
        </w:rPr>
        <w:t>》发出之日起30日内签订政府采购合同。同时，采购代理机构对合同内容进行审查，如发现与采购结果和投标承诺内容不一致的，应予以纠正。</w:t>
      </w:r>
    </w:p>
    <w:p w14:paraId="218CBD64">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中标人拖延、拒签合同的</w:t>
      </w:r>
      <w:r>
        <w:rPr>
          <w:rFonts w:hint="eastAsia" w:ascii="宋体" w:hAnsi="宋体"/>
          <w:sz w:val="24"/>
        </w:rPr>
        <w:t>，</w:t>
      </w:r>
      <w:r>
        <w:rPr>
          <w:rFonts w:ascii="宋体" w:hAnsi="宋体"/>
          <w:sz w:val="24"/>
        </w:rPr>
        <w:t>将被取消中标资格。</w:t>
      </w:r>
    </w:p>
    <w:p w14:paraId="7C0EEF0C">
      <w:pPr>
        <w:snapToGrid w:val="0"/>
        <w:spacing w:line="360" w:lineRule="auto"/>
        <w:ind w:firstLine="472" w:firstLineChars="196"/>
        <w:rPr>
          <w:rFonts w:ascii="宋体" w:hAnsi="宋体"/>
          <w:b/>
          <w:bCs/>
          <w:sz w:val="24"/>
        </w:rPr>
      </w:pPr>
      <w:r>
        <w:rPr>
          <w:rFonts w:ascii="宋体" w:hAnsi="宋体"/>
          <w:b/>
          <w:bCs/>
          <w:sz w:val="24"/>
        </w:rPr>
        <w:t>（二）履约保证金</w:t>
      </w:r>
    </w:p>
    <w:p w14:paraId="2DAA7B3B">
      <w:pPr>
        <w:snapToGrid w:val="0"/>
        <w:spacing w:line="360" w:lineRule="auto"/>
        <w:ind w:firstLine="470" w:firstLineChars="196"/>
        <w:rPr>
          <w:rFonts w:ascii="宋体" w:hAnsi="宋体"/>
          <w:b/>
          <w:bCs/>
          <w:sz w:val="24"/>
        </w:rPr>
      </w:pPr>
      <w:r>
        <w:rPr>
          <w:rFonts w:ascii="宋体" w:hAnsi="宋体"/>
          <w:sz w:val="24"/>
        </w:rPr>
        <w:t>合同价的1%</w:t>
      </w:r>
      <w:r>
        <w:rPr>
          <w:rFonts w:hint="eastAsia" w:ascii="宋体" w:hAnsi="宋体"/>
          <w:sz w:val="24"/>
        </w:rPr>
        <w:t>，履约保证金形式为：银行转账或银行、保险公司出具的保函；合同期限结束后由采购人无息退还。</w:t>
      </w:r>
    </w:p>
    <w:p w14:paraId="033CE4A4">
      <w:pPr>
        <w:snapToGrid w:val="0"/>
        <w:spacing w:line="360" w:lineRule="auto"/>
        <w:ind w:firstLine="472" w:firstLineChars="196"/>
        <w:rPr>
          <w:rFonts w:ascii="宋体" w:hAnsi="宋体"/>
          <w:b/>
          <w:bCs/>
          <w:sz w:val="24"/>
        </w:rPr>
      </w:pPr>
      <w:r>
        <w:rPr>
          <w:rFonts w:hint="eastAsia" w:ascii="宋体" w:hAnsi="宋体"/>
          <w:b/>
          <w:bCs/>
          <w:sz w:val="24"/>
        </w:rPr>
        <w:t>（三)其他</w:t>
      </w:r>
    </w:p>
    <w:p w14:paraId="57D5A034">
      <w:pPr>
        <w:snapToGrid w:val="0"/>
        <w:spacing w:line="360" w:lineRule="auto"/>
        <w:ind w:firstLine="470" w:firstLineChars="196"/>
        <w:jc w:val="left"/>
        <w:rPr>
          <w:rFonts w:ascii="宋体" w:hAnsi="宋体"/>
          <w:sz w:val="24"/>
        </w:rPr>
      </w:pPr>
      <w:r>
        <w:rPr>
          <w:rFonts w:hint="eastAsia" w:ascii="宋体" w:hAnsi="宋体"/>
          <w:sz w:val="24"/>
        </w:rPr>
        <w:t>供应商有下列情形之一的，自愿接受取消投标资格；如已中标的，自动放弃中标资格，并承担全部法律责任；给采购人造成损失的，依法承担赔偿责任：</w:t>
      </w:r>
    </w:p>
    <w:p w14:paraId="22ED859C">
      <w:pPr>
        <w:snapToGrid w:val="0"/>
        <w:spacing w:line="360" w:lineRule="auto"/>
        <w:ind w:firstLine="470" w:firstLineChars="196"/>
        <w:rPr>
          <w:rFonts w:ascii="宋体" w:hAnsi="宋体"/>
          <w:sz w:val="24"/>
        </w:rPr>
      </w:pPr>
      <w:r>
        <w:rPr>
          <w:rFonts w:hint="eastAsia" w:ascii="宋体" w:hAnsi="宋体"/>
          <w:sz w:val="24"/>
        </w:rPr>
        <w:t>（1）供应商在投标有效期内撤回投标文件的；</w:t>
      </w:r>
    </w:p>
    <w:p w14:paraId="2CE48EF3">
      <w:pPr>
        <w:snapToGrid w:val="0"/>
        <w:spacing w:line="360" w:lineRule="auto"/>
        <w:ind w:firstLine="470" w:firstLineChars="196"/>
        <w:rPr>
          <w:rFonts w:ascii="宋体" w:hAnsi="宋体"/>
          <w:sz w:val="24"/>
        </w:rPr>
      </w:pPr>
      <w:r>
        <w:rPr>
          <w:rFonts w:hint="eastAsia" w:ascii="宋体" w:hAnsi="宋体"/>
          <w:sz w:val="24"/>
        </w:rPr>
        <w:t>（2）供应商在投标过程中弄虚作假，提供虚假材料的；</w:t>
      </w:r>
    </w:p>
    <w:p w14:paraId="79C564C8">
      <w:pPr>
        <w:snapToGrid w:val="0"/>
        <w:spacing w:line="360" w:lineRule="auto"/>
        <w:ind w:firstLine="470" w:firstLineChars="196"/>
        <w:rPr>
          <w:rFonts w:ascii="宋体" w:hAnsi="宋体"/>
          <w:sz w:val="24"/>
        </w:rPr>
      </w:pPr>
      <w:r>
        <w:rPr>
          <w:rFonts w:hint="eastAsia" w:ascii="宋体" w:hAnsi="宋体"/>
          <w:sz w:val="24"/>
        </w:rPr>
        <w:t>（3）中标供应商无正当理由不与采购人签订合同的；</w:t>
      </w:r>
    </w:p>
    <w:p w14:paraId="710AA3E9">
      <w:pPr>
        <w:snapToGrid w:val="0"/>
        <w:spacing w:line="360" w:lineRule="auto"/>
        <w:ind w:firstLine="470" w:firstLineChars="196"/>
        <w:rPr>
          <w:rFonts w:ascii="宋体" w:hAnsi="宋体"/>
          <w:sz w:val="24"/>
        </w:rPr>
      </w:pPr>
      <w:r>
        <w:rPr>
          <w:rFonts w:hint="eastAsia" w:ascii="宋体" w:hAnsi="宋体"/>
          <w:sz w:val="24"/>
        </w:rPr>
        <w:t>（4）将中标项目转让给他人或者在投标文件中未说明且未经招标采购人同意，将中标项目分包给他人的；</w:t>
      </w:r>
    </w:p>
    <w:p w14:paraId="7FCD6354">
      <w:pPr>
        <w:snapToGrid w:val="0"/>
        <w:spacing w:line="360" w:lineRule="auto"/>
        <w:ind w:firstLine="470" w:firstLineChars="196"/>
        <w:rPr>
          <w:rFonts w:ascii="宋体" w:hAnsi="宋体"/>
          <w:sz w:val="24"/>
        </w:rPr>
      </w:pPr>
      <w:r>
        <w:rPr>
          <w:rFonts w:hint="eastAsia" w:ascii="宋体" w:hAnsi="宋体"/>
          <w:sz w:val="24"/>
        </w:rPr>
        <w:t>（5）拒绝履行合同义务的；</w:t>
      </w:r>
    </w:p>
    <w:p w14:paraId="4093E820">
      <w:pPr>
        <w:snapToGrid w:val="0"/>
        <w:spacing w:line="360" w:lineRule="auto"/>
        <w:ind w:firstLine="470" w:firstLineChars="196"/>
        <w:rPr>
          <w:rFonts w:ascii="宋体" w:hAnsi="宋体"/>
          <w:sz w:val="24"/>
        </w:rPr>
      </w:pPr>
      <w:r>
        <w:rPr>
          <w:rFonts w:hint="eastAsia" w:ascii="宋体" w:hAnsi="宋体"/>
          <w:sz w:val="24"/>
        </w:rPr>
        <w:t>（6）其他严重扰乱招投标程序的。</w:t>
      </w:r>
    </w:p>
    <w:p w14:paraId="078D0D1E">
      <w:pPr>
        <w:pStyle w:val="24"/>
        <w:snapToGrid w:val="0"/>
        <w:spacing w:beforeLines="0" w:afterLines="0" w:line="360" w:lineRule="auto"/>
        <w:ind w:firstLine="470" w:firstLineChars="196"/>
        <w:outlineLvl w:val="1"/>
        <w:rPr>
          <w:rFonts w:hAnsi="宋体"/>
        </w:rPr>
      </w:pPr>
    </w:p>
    <w:p w14:paraId="22E3C2CA">
      <w:pPr>
        <w:pStyle w:val="24"/>
        <w:snapToGrid w:val="0"/>
        <w:spacing w:beforeLines="0" w:afterLines="0" w:line="360" w:lineRule="auto"/>
        <w:ind w:firstLine="470" w:firstLineChars="196"/>
        <w:outlineLvl w:val="1"/>
        <w:rPr>
          <w:rFonts w:hAnsi="宋体"/>
        </w:rPr>
      </w:pPr>
    </w:p>
    <w:p w14:paraId="7C85BE26">
      <w:pPr>
        <w:pStyle w:val="24"/>
        <w:snapToGrid w:val="0"/>
        <w:spacing w:beforeLines="0" w:afterLines="0" w:line="360" w:lineRule="auto"/>
        <w:ind w:firstLine="470" w:firstLineChars="196"/>
        <w:outlineLvl w:val="1"/>
        <w:rPr>
          <w:rFonts w:hAnsi="宋体"/>
        </w:rPr>
      </w:pPr>
    </w:p>
    <w:p w14:paraId="6474F2DD">
      <w:pPr>
        <w:pStyle w:val="24"/>
        <w:snapToGrid w:val="0"/>
        <w:spacing w:beforeLines="0" w:afterLines="0" w:line="360" w:lineRule="auto"/>
        <w:ind w:firstLine="470" w:firstLineChars="196"/>
        <w:outlineLvl w:val="1"/>
        <w:rPr>
          <w:rFonts w:hAnsi="宋体"/>
        </w:rPr>
      </w:pPr>
    </w:p>
    <w:p w14:paraId="29036D7E">
      <w:pPr>
        <w:pStyle w:val="24"/>
        <w:snapToGrid w:val="0"/>
        <w:spacing w:beforeLines="0" w:afterLines="0" w:line="360" w:lineRule="auto"/>
        <w:jc w:val="center"/>
        <w:rPr>
          <w:rFonts w:ascii="黑体" w:hAnsi="宋体" w:eastAsia="黑体"/>
          <w:sz w:val="30"/>
          <w:szCs w:val="30"/>
        </w:rPr>
      </w:pPr>
      <w:r>
        <w:rPr>
          <w:rFonts w:hint="eastAsia" w:ascii="黑体" w:hAnsi="宋体" w:eastAsia="黑体"/>
          <w:sz w:val="30"/>
          <w:szCs w:val="30"/>
        </w:rPr>
        <w:br w:type="page"/>
      </w:r>
      <w:r>
        <w:rPr>
          <w:rFonts w:hint="eastAsia" w:ascii="黑体" w:hAnsi="宋体" w:eastAsia="黑体"/>
          <w:sz w:val="30"/>
          <w:szCs w:val="30"/>
        </w:rPr>
        <w:t>第四章  评标办法及评分标准</w:t>
      </w:r>
    </w:p>
    <w:p w14:paraId="1FEE2470">
      <w:pPr>
        <w:spacing w:line="360" w:lineRule="auto"/>
        <w:ind w:firstLine="420"/>
        <w:rPr>
          <w:rFonts w:ascii="宋体" w:hAnsi="宋体"/>
          <w:sz w:val="24"/>
        </w:rPr>
      </w:pPr>
      <w:r>
        <w:rPr>
          <w:rFonts w:hint="eastAsia" w:ascii="宋体" w:hAnsi="宋体"/>
          <w:sz w:val="24"/>
        </w:rPr>
        <w:t>为公正、公平、科学地选择中标人，根据《中华人民共和国政府采购法》等有关法律法规的规定和《</w:t>
      </w:r>
      <w:r>
        <w:rPr>
          <w:rFonts w:hint="eastAsia"/>
          <w:sz w:val="24"/>
        </w:rPr>
        <w:t>吴兴高级中学生物实验室改造项目采购文件</w:t>
      </w:r>
      <w:r>
        <w:rPr>
          <w:rFonts w:hint="eastAsia" w:ascii="宋体" w:hAnsi="宋体"/>
          <w:sz w:val="24"/>
        </w:rPr>
        <w:t>》规定，并结合本项目的实际，制定本办法。</w:t>
      </w:r>
    </w:p>
    <w:p w14:paraId="49271184">
      <w:pPr>
        <w:spacing w:line="360" w:lineRule="auto"/>
        <w:ind w:firstLine="420"/>
        <w:rPr>
          <w:rFonts w:ascii="宋体" w:hAnsi="宋体"/>
          <w:bCs/>
          <w:sz w:val="24"/>
          <w:szCs w:val="48"/>
        </w:rPr>
      </w:pPr>
      <w:r>
        <w:rPr>
          <w:rFonts w:hint="eastAsia" w:ascii="宋体" w:hAnsi="宋体"/>
          <w:sz w:val="24"/>
        </w:rPr>
        <w:t>本办法适用于</w:t>
      </w:r>
      <w:r>
        <w:rPr>
          <w:rFonts w:hint="eastAsia"/>
          <w:b/>
          <w:sz w:val="24"/>
        </w:rPr>
        <w:t>吴兴高级中学生物实验室改造项目</w:t>
      </w:r>
      <w:r>
        <w:rPr>
          <w:rFonts w:hint="eastAsia" w:ascii="宋体" w:hAnsi="宋体"/>
          <w:bCs/>
          <w:sz w:val="24"/>
          <w:szCs w:val="48"/>
        </w:rPr>
        <w:t>的评标。</w:t>
      </w:r>
    </w:p>
    <w:p w14:paraId="60FB109C">
      <w:pPr>
        <w:numPr>
          <w:ilvl w:val="1"/>
          <w:numId w:val="1"/>
        </w:numPr>
        <w:spacing w:line="360" w:lineRule="auto"/>
        <w:rPr>
          <w:rFonts w:ascii="宋体" w:hAnsi="宋体"/>
          <w:b/>
          <w:szCs w:val="28"/>
        </w:rPr>
      </w:pPr>
      <w:r>
        <w:rPr>
          <w:rFonts w:hint="eastAsia" w:ascii="宋体" w:hAnsi="宋体"/>
          <w:b/>
          <w:szCs w:val="28"/>
        </w:rPr>
        <w:t>总则</w:t>
      </w:r>
    </w:p>
    <w:p w14:paraId="4B5E7178">
      <w:pPr>
        <w:spacing w:line="360" w:lineRule="auto"/>
        <w:ind w:firstLine="480" w:firstLineChars="200"/>
        <w:rPr>
          <w:rFonts w:ascii="宋体" w:hAnsi="宋体" w:cs="仿宋"/>
          <w:bCs/>
          <w:sz w:val="24"/>
        </w:rPr>
      </w:pPr>
      <w:r>
        <w:rPr>
          <w:rFonts w:hint="eastAsia" w:ascii="宋体" w:hAnsi="宋体"/>
          <w:sz w:val="24"/>
        </w:rPr>
        <w:t>本次评标采用综合评分法，</w:t>
      </w:r>
      <w:r>
        <w:rPr>
          <w:rFonts w:hint="eastAsia" w:ascii="宋体" w:hAnsi="宋体"/>
          <w:b/>
          <w:sz w:val="24"/>
        </w:rPr>
        <w:t>总分为100分，包含：价格分（30分）、技术、商务、资信及其他分（</w:t>
      </w:r>
      <w:r>
        <w:rPr>
          <w:rFonts w:ascii="宋体" w:hAnsi="宋体"/>
          <w:b/>
          <w:sz w:val="24"/>
        </w:rPr>
        <w:t>7</w:t>
      </w:r>
      <w:r>
        <w:rPr>
          <w:rFonts w:hint="eastAsia" w:ascii="宋体" w:hAnsi="宋体"/>
          <w:b/>
          <w:sz w:val="24"/>
        </w:rPr>
        <w:t>0分）。</w:t>
      </w:r>
      <w:r>
        <w:rPr>
          <w:rFonts w:hint="eastAsia" w:ascii="宋体" w:hAnsi="宋体" w:cs="仿宋"/>
          <w:bCs/>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评分过程中采用四舍五入法，并保留小数2位。</w:t>
      </w:r>
    </w:p>
    <w:p w14:paraId="77DECBBB">
      <w:pPr>
        <w:spacing w:line="360" w:lineRule="auto"/>
        <w:ind w:firstLine="480" w:firstLineChars="200"/>
        <w:rPr>
          <w:rFonts w:ascii="宋体" w:hAnsi="宋体"/>
          <w:sz w:val="24"/>
        </w:rPr>
      </w:pPr>
      <w:r>
        <w:rPr>
          <w:rFonts w:hint="eastAsia" w:ascii="宋体" w:hAnsi="宋体"/>
          <w:sz w:val="24"/>
        </w:rPr>
        <w:t>投标人评标</w:t>
      </w:r>
      <w:r>
        <w:rPr>
          <w:rFonts w:hint="eastAsia" w:ascii="宋体" w:hAnsi="宋体"/>
          <w:bCs/>
          <w:sz w:val="24"/>
        </w:rPr>
        <w:t>综合得分=价格分+（技术分+商务、资信及其他分)</w:t>
      </w:r>
    </w:p>
    <w:p w14:paraId="1C4D31EF">
      <w:pPr>
        <w:spacing w:line="360" w:lineRule="auto"/>
        <w:ind w:firstLine="562" w:firstLineChars="200"/>
        <w:rPr>
          <w:rFonts w:ascii="宋体" w:hAnsi="宋体"/>
          <w:b/>
          <w:szCs w:val="28"/>
        </w:rPr>
      </w:pPr>
      <w:r>
        <w:rPr>
          <w:rFonts w:hint="eastAsia" w:ascii="宋体" w:hAnsi="宋体"/>
          <w:b/>
          <w:szCs w:val="28"/>
        </w:rPr>
        <w:t>二、评标内容及标准</w:t>
      </w:r>
    </w:p>
    <w:p w14:paraId="3F92986D">
      <w:pPr>
        <w:pStyle w:val="19"/>
        <w:spacing w:line="360" w:lineRule="auto"/>
        <w:ind w:firstLine="466" w:firstLineChars="200"/>
        <w:rPr>
          <w:rFonts w:hAnsi="宋体"/>
          <w:b/>
          <w:bCs/>
          <w:sz w:val="24"/>
        </w:rPr>
      </w:pPr>
      <w:r>
        <w:rPr>
          <w:rFonts w:hint="eastAsia" w:hAnsi="宋体"/>
          <w:b/>
          <w:sz w:val="24"/>
        </w:rPr>
        <w:t>（一）</w:t>
      </w:r>
      <w:r>
        <w:rPr>
          <w:rFonts w:hint="eastAsia" w:hAnsi="宋体"/>
          <w:b/>
          <w:bCs/>
          <w:sz w:val="24"/>
        </w:rPr>
        <w:t>价格分（30分）</w:t>
      </w:r>
    </w:p>
    <w:p w14:paraId="27F76295">
      <w:pPr>
        <w:pStyle w:val="19"/>
        <w:spacing w:line="360" w:lineRule="auto"/>
        <w:ind w:firstLine="464" w:firstLineChars="200"/>
        <w:rPr>
          <w:rFonts w:hAnsi="宋体"/>
          <w:bCs/>
          <w:sz w:val="24"/>
          <w:szCs w:val="24"/>
        </w:rPr>
      </w:pPr>
      <w:r>
        <w:rPr>
          <w:rFonts w:hint="eastAsia" w:hAnsi="宋体"/>
          <w:bCs/>
          <w:sz w:val="24"/>
        </w:rPr>
        <w:t>价格分</w:t>
      </w:r>
      <w:r>
        <w:rPr>
          <w:rFonts w:hint="eastAsia" w:hAnsi="宋体"/>
          <w:bCs/>
          <w:sz w:val="24"/>
          <w:szCs w:val="24"/>
        </w:rPr>
        <w:t>采用低价优先法计算，即满足招标文件要求且投标价格最低的投标报价为评标基准价，其他投标人的价格分按照下列公式计算：</w:t>
      </w:r>
    </w:p>
    <w:p w14:paraId="745CAD52">
      <w:pPr>
        <w:spacing w:line="360" w:lineRule="auto"/>
        <w:ind w:firstLine="480" w:firstLineChars="200"/>
        <w:rPr>
          <w:rFonts w:ascii="宋体" w:hAnsi="宋体"/>
          <w:sz w:val="24"/>
        </w:rPr>
      </w:pPr>
      <w:r>
        <w:rPr>
          <w:rFonts w:hint="eastAsia" w:ascii="宋体" w:hAnsi="宋体"/>
          <w:sz w:val="24"/>
        </w:rPr>
        <w:t>价格分=（评标基准价/投标报价）×30%×100</w:t>
      </w:r>
    </w:p>
    <w:p w14:paraId="2C471084">
      <w:pPr>
        <w:spacing w:before="120" w:beforeLines="50" w:after="120" w:afterLines="50" w:line="360" w:lineRule="auto"/>
        <w:ind w:firstLine="472" w:firstLineChars="196"/>
        <w:rPr>
          <w:rFonts w:ascii="宋体" w:hAnsi="宋体" w:cs="仿宋"/>
          <w:b/>
          <w:bCs/>
          <w:sz w:val="24"/>
        </w:rPr>
      </w:pPr>
      <w:r>
        <w:rPr>
          <w:rFonts w:hint="eastAsia" w:ascii="宋体" w:hAnsi="宋体"/>
          <w:b/>
          <w:bCs/>
          <w:sz w:val="24"/>
        </w:rPr>
        <w:t>（二）</w:t>
      </w:r>
      <w:r>
        <w:rPr>
          <w:rFonts w:hint="eastAsia" w:ascii="宋体" w:hAnsi="宋体"/>
          <w:b/>
          <w:sz w:val="24"/>
        </w:rPr>
        <w:t>技术、商务、资信及其他分（</w:t>
      </w:r>
      <w:r>
        <w:rPr>
          <w:rFonts w:ascii="宋体" w:hAnsi="宋体"/>
          <w:b/>
          <w:sz w:val="24"/>
        </w:rPr>
        <w:t>7</w:t>
      </w:r>
      <w:r>
        <w:rPr>
          <w:rFonts w:hint="eastAsia" w:ascii="宋体" w:hAnsi="宋体"/>
          <w:b/>
          <w:sz w:val="24"/>
        </w:rPr>
        <w:t>0分）</w:t>
      </w:r>
      <w:bookmarkStart w:id="56" w:name="OLE_LINK141"/>
      <w:bookmarkStart w:id="57" w:name="OLE_LINK22"/>
      <w:bookmarkStart w:id="58" w:name="OLE_LINK23"/>
      <w:bookmarkStart w:id="59" w:name="OLE_LINK77"/>
      <w:bookmarkStart w:id="60" w:name="OLE_LINK142"/>
      <w:bookmarkStart w:id="61" w:name="OLE_LINK86"/>
      <w:bookmarkStart w:id="62" w:name="OLE_LINK87"/>
      <w:bookmarkStart w:id="63" w:name="OLE_LINK104"/>
      <w:bookmarkStart w:id="64" w:name="OLE_LINK4"/>
      <w:bookmarkStart w:id="65" w:name="OLE_LINK3"/>
      <w:bookmarkStart w:id="66" w:name="OLE_LINK2"/>
    </w:p>
    <w:tbl>
      <w:tblPr>
        <w:tblStyle w:val="43"/>
        <w:tblpPr w:leftFromText="180" w:rightFromText="180" w:vertAnchor="text" w:tblpXSpec="center" w:tblpY="1"/>
        <w:tblOverlap w:val="never"/>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489"/>
        <w:gridCol w:w="6607"/>
        <w:gridCol w:w="733"/>
      </w:tblGrid>
      <w:tr w14:paraId="5656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46" w:type="dxa"/>
            <w:vAlign w:val="center"/>
          </w:tcPr>
          <w:p w14:paraId="3A7DFDAA">
            <w:pPr>
              <w:spacing w:line="440" w:lineRule="exact"/>
              <w:jc w:val="center"/>
              <w:rPr>
                <w:rFonts w:ascii="宋体" w:hAnsi="宋体" w:cs="仿宋"/>
                <w:b/>
                <w:bCs/>
                <w:kern w:val="0"/>
                <w:sz w:val="24"/>
              </w:rPr>
            </w:pPr>
            <w:r>
              <w:rPr>
                <w:rFonts w:hint="eastAsia" w:ascii="宋体" w:hAnsi="宋体" w:cs="仿宋"/>
                <w:b/>
                <w:bCs/>
                <w:kern w:val="0"/>
                <w:sz w:val="24"/>
              </w:rPr>
              <w:t>序号</w:t>
            </w:r>
          </w:p>
        </w:tc>
        <w:tc>
          <w:tcPr>
            <w:tcW w:w="1489" w:type="dxa"/>
            <w:vAlign w:val="center"/>
          </w:tcPr>
          <w:p w14:paraId="786D80D0">
            <w:pPr>
              <w:spacing w:line="440" w:lineRule="exact"/>
              <w:jc w:val="center"/>
              <w:rPr>
                <w:rFonts w:ascii="宋体" w:hAnsi="宋体" w:cs="仿宋"/>
                <w:b/>
                <w:bCs/>
                <w:kern w:val="0"/>
                <w:sz w:val="24"/>
              </w:rPr>
            </w:pPr>
            <w:r>
              <w:rPr>
                <w:rFonts w:hint="eastAsia" w:ascii="宋体" w:hAnsi="宋体" w:cs="仿宋"/>
                <w:b/>
                <w:bCs/>
                <w:kern w:val="0"/>
                <w:sz w:val="24"/>
              </w:rPr>
              <w:t>评分项</w:t>
            </w:r>
          </w:p>
        </w:tc>
        <w:tc>
          <w:tcPr>
            <w:tcW w:w="6607" w:type="dxa"/>
            <w:vAlign w:val="center"/>
          </w:tcPr>
          <w:p w14:paraId="0E284669">
            <w:pPr>
              <w:spacing w:line="440" w:lineRule="exact"/>
              <w:jc w:val="center"/>
              <w:rPr>
                <w:rFonts w:ascii="宋体" w:hAnsi="宋体" w:cs="仿宋"/>
                <w:b/>
                <w:bCs/>
                <w:kern w:val="0"/>
                <w:sz w:val="24"/>
              </w:rPr>
            </w:pPr>
            <w:r>
              <w:rPr>
                <w:rFonts w:hint="eastAsia" w:ascii="宋体" w:hAnsi="宋体" w:cs="仿宋"/>
                <w:b/>
                <w:bCs/>
                <w:kern w:val="0"/>
                <w:sz w:val="24"/>
              </w:rPr>
              <w:t>评分细则</w:t>
            </w:r>
          </w:p>
        </w:tc>
        <w:tc>
          <w:tcPr>
            <w:tcW w:w="733" w:type="dxa"/>
            <w:vAlign w:val="center"/>
          </w:tcPr>
          <w:p w14:paraId="2DAC8E30">
            <w:pPr>
              <w:spacing w:line="440" w:lineRule="exact"/>
              <w:jc w:val="center"/>
              <w:rPr>
                <w:rFonts w:ascii="宋体" w:hAnsi="宋体" w:cs="仿宋"/>
                <w:b/>
                <w:bCs/>
                <w:kern w:val="0"/>
                <w:sz w:val="24"/>
              </w:rPr>
            </w:pPr>
            <w:r>
              <w:rPr>
                <w:rFonts w:hint="eastAsia" w:ascii="宋体" w:hAnsi="宋体" w:cs="仿宋"/>
                <w:b/>
                <w:bCs/>
                <w:kern w:val="0"/>
                <w:sz w:val="24"/>
              </w:rPr>
              <w:t>分值</w:t>
            </w:r>
          </w:p>
        </w:tc>
      </w:tr>
      <w:tr w14:paraId="1DA5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575" w:type="dxa"/>
            <w:gridSpan w:val="4"/>
            <w:vAlign w:val="center"/>
          </w:tcPr>
          <w:p w14:paraId="7112BAD2">
            <w:pPr>
              <w:spacing w:line="440" w:lineRule="exact"/>
              <w:jc w:val="center"/>
              <w:rPr>
                <w:rFonts w:ascii="宋体" w:hAnsi="宋体" w:cs="仿宋"/>
                <w:kern w:val="0"/>
                <w:sz w:val="24"/>
              </w:rPr>
            </w:pPr>
            <w:r>
              <w:rPr>
                <w:rFonts w:hint="eastAsia" w:ascii="宋体" w:hAnsi="宋体" w:cs="仿宋"/>
                <w:b/>
                <w:bCs/>
                <w:kern w:val="0"/>
                <w:sz w:val="24"/>
              </w:rPr>
              <w:t>技术分（52分）</w:t>
            </w:r>
          </w:p>
        </w:tc>
      </w:tr>
      <w:tr w14:paraId="29FF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746" w:type="dxa"/>
            <w:vAlign w:val="center"/>
          </w:tcPr>
          <w:p w14:paraId="2D3409D3">
            <w:pPr>
              <w:jc w:val="center"/>
              <w:rPr>
                <w:rFonts w:ascii="宋体" w:hAnsi="宋体" w:cs="仿宋"/>
                <w:spacing w:val="-3"/>
                <w:kern w:val="0"/>
                <w:sz w:val="24"/>
              </w:rPr>
            </w:pPr>
            <w:bookmarkStart w:id="67" w:name="_Hlk192064994"/>
            <w:r>
              <w:rPr>
                <w:rFonts w:hint="eastAsia" w:ascii="宋体" w:hAnsi="宋体" w:cs="仿宋"/>
                <w:spacing w:val="-3"/>
                <w:kern w:val="0"/>
                <w:sz w:val="24"/>
              </w:rPr>
              <w:t>1</w:t>
            </w:r>
          </w:p>
        </w:tc>
        <w:tc>
          <w:tcPr>
            <w:tcW w:w="1489" w:type="dxa"/>
            <w:vAlign w:val="center"/>
          </w:tcPr>
          <w:p w14:paraId="0DEF320F">
            <w:pPr>
              <w:pStyle w:val="19"/>
              <w:spacing w:before="120" w:beforeLines="50" w:after="120" w:afterLines="50" w:line="360" w:lineRule="auto"/>
              <w:ind w:firstLine="0"/>
              <w:jc w:val="center"/>
              <w:rPr>
                <w:rFonts w:hAnsi="宋体" w:cs="宋体"/>
                <w:spacing w:val="0"/>
                <w:kern w:val="0"/>
                <w:sz w:val="24"/>
                <w:szCs w:val="24"/>
              </w:rPr>
            </w:pPr>
            <w:r>
              <w:rPr>
                <w:rFonts w:hint="eastAsia" w:hAnsi="宋体" w:cs="宋体"/>
                <w:spacing w:val="0"/>
                <w:kern w:val="0"/>
                <w:sz w:val="24"/>
                <w:szCs w:val="24"/>
              </w:rPr>
              <w:t>技术性能指标</w:t>
            </w:r>
          </w:p>
        </w:tc>
        <w:tc>
          <w:tcPr>
            <w:tcW w:w="6607" w:type="dxa"/>
          </w:tcPr>
          <w:p w14:paraId="7A3E8EBD">
            <w:pPr>
              <w:pStyle w:val="19"/>
              <w:spacing w:before="120" w:beforeLines="50" w:after="120" w:afterLines="50" w:line="360" w:lineRule="auto"/>
              <w:ind w:firstLine="0"/>
            </w:pPr>
            <w:r>
              <w:rPr>
                <w:rFonts w:hint="eastAsia" w:hAnsi="宋体" w:cs="宋体"/>
                <w:spacing w:val="0"/>
                <w:kern w:val="0"/>
                <w:sz w:val="24"/>
                <w:szCs w:val="24"/>
              </w:rPr>
              <w:t>任何一项不可偏离的性能指标或者技术指标低于招标需求的，投标无效；技术指标与招标需求基本一致的，得基本20分；允许偏离的打</w:t>
            </w:r>
            <w:r>
              <w:rPr>
                <w:rFonts w:hAnsi="宋体" w:cs="宋体"/>
                <w:spacing w:val="0"/>
                <w:kern w:val="0"/>
                <w:sz w:val="24"/>
                <w:szCs w:val="24"/>
              </w:rPr>
              <w:t>“</w:t>
            </w:r>
            <w:r>
              <w:rPr>
                <w:rFonts w:hint="eastAsia" w:hAnsi="宋体" w:cs="宋体"/>
                <w:spacing w:val="0"/>
                <w:kern w:val="0"/>
                <w:sz w:val="24"/>
                <w:szCs w:val="24"/>
              </w:rPr>
              <w:t>★</w:t>
            </w:r>
            <w:r>
              <w:rPr>
                <w:rFonts w:hAnsi="宋体" w:cs="宋体"/>
                <w:spacing w:val="0"/>
                <w:kern w:val="0"/>
                <w:sz w:val="24"/>
                <w:szCs w:val="24"/>
              </w:rPr>
              <w:t>”</w:t>
            </w:r>
            <w:r>
              <w:rPr>
                <w:rFonts w:hint="eastAsia" w:hAnsi="宋体" w:cs="宋体"/>
                <w:spacing w:val="0"/>
                <w:kern w:val="0"/>
                <w:sz w:val="24"/>
                <w:szCs w:val="24"/>
              </w:rPr>
              <w:t>的重要指标低于招标需求（负偏离）的，每低于一项扣0.5分；扣完该项得分为止。允许偏离的一般指标低于招标需求（负偏离）的，每低于一项扣0.01分。</w:t>
            </w:r>
          </w:p>
        </w:tc>
        <w:tc>
          <w:tcPr>
            <w:tcW w:w="733" w:type="dxa"/>
            <w:vAlign w:val="center"/>
          </w:tcPr>
          <w:p w14:paraId="09E015CF">
            <w:pPr>
              <w:jc w:val="center"/>
              <w:rPr>
                <w:rFonts w:ascii="宋体" w:hAnsi="宋体" w:cs="仿宋"/>
                <w:spacing w:val="-3"/>
                <w:kern w:val="0"/>
                <w:sz w:val="24"/>
              </w:rPr>
            </w:pPr>
            <w:r>
              <w:rPr>
                <w:rFonts w:hint="eastAsia" w:ascii="宋体" w:hAnsi="宋体" w:cs="仿宋"/>
                <w:spacing w:val="-3"/>
                <w:kern w:val="0"/>
                <w:sz w:val="24"/>
              </w:rPr>
              <w:t>20分</w:t>
            </w:r>
          </w:p>
        </w:tc>
      </w:tr>
      <w:tr w14:paraId="767A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746" w:type="dxa"/>
            <w:vAlign w:val="center"/>
          </w:tcPr>
          <w:p w14:paraId="14BFDC93">
            <w:pPr>
              <w:jc w:val="center"/>
              <w:rPr>
                <w:rFonts w:ascii="宋体" w:hAnsi="宋体" w:cs="仿宋"/>
                <w:spacing w:val="-3"/>
                <w:kern w:val="0"/>
                <w:sz w:val="24"/>
              </w:rPr>
            </w:pPr>
            <w:r>
              <w:rPr>
                <w:rFonts w:hint="eastAsia" w:ascii="宋体" w:hAnsi="宋体" w:cs="仿宋"/>
                <w:spacing w:val="-3"/>
                <w:kern w:val="0"/>
                <w:sz w:val="24"/>
              </w:rPr>
              <w:t>2</w:t>
            </w:r>
          </w:p>
        </w:tc>
        <w:tc>
          <w:tcPr>
            <w:tcW w:w="1489" w:type="dxa"/>
            <w:vAlign w:val="center"/>
          </w:tcPr>
          <w:p w14:paraId="74511B75">
            <w:pPr>
              <w:pStyle w:val="19"/>
              <w:spacing w:before="120" w:beforeLines="50" w:after="120" w:afterLines="50" w:line="360" w:lineRule="auto"/>
              <w:ind w:firstLine="0"/>
              <w:jc w:val="center"/>
              <w:rPr>
                <w:rFonts w:hAnsi="宋体" w:cs="宋体"/>
                <w:spacing w:val="0"/>
                <w:kern w:val="0"/>
                <w:sz w:val="24"/>
                <w:szCs w:val="24"/>
              </w:rPr>
            </w:pPr>
            <w:r>
              <w:rPr>
                <w:rFonts w:hint="eastAsia" w:hAnsi="宋体" w:cs="宋体"/>
                <w:spacing w:val="0"/>
                <w:kern w:val="0"/>
                <w:sz w:val="24"/>
                <w:szCs w:val="24"/>
              </w:rPr>
              <w:t>设计方案</w:t>
            </w:r>
          </w:p>
        </w:tc>
        <w:tc>
          <w:tcPr>
            <w:tcW w:w="6607" w:type="dxa"/>
            <w:vAlign w:val="center"/>
          </w:tcPr>
          <w:p w14:paraId="38280232">
            <w:pPr>
              <w:pStyle w:val="19"/>
              <w:spacing w:before="120" w:beforeLines="50" w:after="120" w:afterLines="50" w:line="360" w:lineRule="auto"/>
              <w:ind w:firstLine="0"/>
              <w:rPr>
                <w:rFonts w:hAnsi="宋体" w:cs="宋体"/>
                <w:spacing w:val="0"/>
                <w:kern w:val="0"/>
                <w:sz w:val="24"/>
                <w:szCs w:val="24"/>
              </w:rPr>
            </w:pPr>
            <w:r>
              <w:rPr>
                <w:rFonts w:hint="eastAsia" w:hAnsi="宋体" w:cs="宋体"/>
                <w:spacing w:val="0"/>
                <w:kern w:val="0"/>
                <w:sz w:val="24"/>
                <w:szCs w:val="24"/>
              </w:rPr>
              <w:t>为保证布局和使用的合理性，投标人根据项目建设需要，对教室进行初步设计，体现出专业性，特色性。投标时每个教室提供完整的平面布置图和不同角度效果图（教室至少提供3张），设计方案完整，实用，合理，安全，美观，符合实际及项目需求，有针对性解释说明：5分；提供的措施基本全面，有针对性解释说明：4分；提供措施的不够全面，有针对性有解释说明3分；提供的措施不全面，有针对性解释说明：2分；提供的措施不全面，没有针对性有解释说明：1分；未按照招标文件参数要求提供上述图纸或图纸不全的本项不得分。</w:t>
            </w:r>
          </w:p>
        </w:tc>
        <w:tc>
          <w:tcPr>
            <w:tcW w:w="733" w:type="dxa"/>
            <w:vAlign w:val="center"/>
          </w:tcPr>
          <w:p w14:paraId="66E051D2">
            <w:pPr>
              <w:jc w:val="center"/>
              <w:rPr>
                <w:rFonts w:ascii="宋体" w:hAnsi="宋体" w:cs="仿宋"/>
                <w:spacing w:val="-3"/>
                <w:kern w:val="0"/>
                <w:sz w:val="24"/>
              </w:rPr>
            </w:pPr>
            <w:r>
              <w:rPr>
                <w:rFonts w:hint="eastAsia" w:ascii="宋体" w:hAnsi="宋体" w:cs="宋体"/>
                <w:kern w:val="0"/>
                <w:sz w:val="24"/>
              </w:rPr>
              <w:t>5分</w:t>
            </w:r>
          </w:p>
        </w:tc>
      </w:tr>
      <w:bookmarkEnd w:id="67"/>
      <w:tr w14:paraId="1663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746" w:type="dxa"/>
            <w:vAlign w:val="center"/>
          </w:tcPr>
          <w:p w14:paraId="28614EE8">
            <w:pPr>
              <w:jc w:val="center"/>
              <w:rPr>
                <w:rFonts w:ascii="宋体" w:hAnsi="宋体" w:cs="仿宋"/>
                <w:spacing w:val="-3"/>
                <w:kern w:val="0"/>
                <w:sz w:val="24"/>
              </w:rPr>
            </w:pPr>
            <w:r>
              <w:rPr>
                <w:rFonts w:hint="eastAsia" w:ascii="宋体" w:hAnsi="宋体" w:cs="仿宋"/>
                <w:spacing w:val="-3"/>
                <w:kern w:val="0"/>
                <w:sz w:val="24"/>
              </w:rPr>
              <w:t>3</w:t>
            </w:r>
          </w:p>
        </w:tc>
        <w:tc>
          <w:tcPr>
            <w:tcW w:w="1489" w:type="dxa"/>
            <w:vAlign w:val="center"/>
          </w:tcPr>
          <w:p w14:paraId="16F9FE26">
            <w:pPr>
              <w:pStyle w:val="19"/>
              <w:spacing w:before="120" w:beforeLines="50" w:after="120" w:afterLines="50" w:line="360" w:lineRule="auto"/>
              <w:ind w:firstLine="0"/>
              <w:jc w:val="center"/>
              <w:rPr>
                <w:rFonts w:hAnsi="宋体" w:cs="宋体"/>
                <w:spacing w:val="0"/>
                <w:kern w:val="0"/>
                <w:sz w:val="24"/>
                <w:szCs w:val="24"/>
              </w:rPr>
            </w:pPr>
            <w:r>
              <w:rPr>
                <w:rFonts w:hint="eastAsia" w:hAnsi="宋体" w:cs="宋体"/>
                <w:spacing w:val="0"/>
                <w:kern w:val="0"/>
                <w:sz w:val="24"/>
                <w:szCs w:val="24"/>
              </w:rPr>
              <w:t>确保供应货物质量措施</w:t>
            </w:r>
          </w:p>
        </w:tc>
        <w:tc>
          <w:tcPr>
            <w:tcW w:w="6607" w:type="dxa"/>
          </w:tcPr>
          <w:p w14:paraId="1566650C">
            <w:pPr>
              <w:pStyle w:val="19"/>
              <w:spacing w:before="120" w:beforeLines="50" w:after="120" w:afterLines="50" w:line="360" w:lineRule="auto"/>
              <w:ind w:firstLine="0"/>
              <w:rPr>
                <w:rFonts w:hAnsi="宋体" w:cs="宋体"/>
                <w:spacing w:val="0"/>
                <w:kern w:val="0"/>
                <w:sz w:val="24"/>
                <w:szCs w:val="24"/>
              </w:rPr>
            </w:pPr>
            <w:r>
              <w:rPr>
                <w:rFonts w:hint="eastAsia" w:hAnsi="宋体" w:cs="宋体"/>
                <w:spacing w:val="0"/>
                <w:kern w:val="0"/>
                <w:sz w:val="24"/>
                <w:szCs w:val="24"/>
              </w:rPr>
              <w:t>具有安全周到、切实可行的确保货物质量措施，包括但不限于质量保证、保障措施、产品测试、质量承诺等方面</w:t>
            </w:r>
            <w:bookmarkStart w:id="68" w:name="OLE_LINK94"/>
            <w:bookmarkStart w:id="69" w:name="OLE_LINK97"/>
            <w:r>
              <w:rPr>
                <w:rFonts w:hint="eastAsia" w:hAnsi="宋体" w:cs="宋体"/>
                <w:spacing w:val="0"/>
                <w:kern w:val="0"/>
                <w:sz w:val="24"/>
                <w:szCs w:val="24"/>
              </w:rPr>
              <w:t>合理、科学、有效，</w:t>
            </w:r>
            <w:bookmarkStart w:id="70" w:name="OLE_LINK99"/>
            <w:bookmarkStart w:id="71" w:name="OLE_LINK98"/>
            <w:r>
              <w:rPr>
                <w:rFonts w:hint="eastAsia" w:hAnsi="宋体" w:cs="宋体"/>
                <w:spacing w:val="0"/>
                <w:kern w:val="0"/>
                <w:sz w:val="24"/>
                <w:szCs w:val="24"/>
              </w:rPr>
              <w:t>符合实际及项目需求，有针对性解释说明：5分；提供的措施基本全面，有针对性解释说明：4分；提供措施的不够全面，有针对性有解释说明3分；提供的措施不全面，有针对性解释说明：2分；提供的措施不全面，没有针对性有解释说明：1分；未提供不得分。</w:t>
            </w:r>
            <w:bookmarkEnd w:id="68"/>
            <w:bookmarkEnd w:id="69"/>
            <w:bookmarkEnd w:id="70"/>
            <w:bookmarkEnd w:id="71"/>
          </w:p>
        </w:tc>
        <w:tc>
          <w:tcPr>
            <w:tcW w:w="733" w:type="dxa"/>
            <w:vAlign w:val="center"/>
          </w:tcPr>
          <w:p w14:paraId="1ECDEE73">
            <w:pPr>
              <w:jc w:val="center"/>
              <w:rPr>
                <w:rFonts w:ascii="宋体" w:hAnsi="宋体" w:cs="宋体"/>
                <w:kern w:val="0"/>
                <w:sz w:val="24"/>
              </w:rPr>
            </w:pPr>
            <w:bookmarkStart w:id="72" w:name="OLE_LINK62"/>
            <w:bookmarkStart w:id="73" w:name="OLE_LINK106"/>
            <w:r>
              <w:rPr>
                <w:rFonts w:hint="eastAsia" w:ascii="宋体" w:hAnsi="宋体" w:cs="宋体"/>
                <w:kern w:val="0"/>
                <w:sz w:val="24"/>
              </w:rPr>
              <w:t>5分</w:t>
            </w:r>
            <w:bookmarkEnd w:id="72"/>
            <w:bookmarkEnd w:id="73"/>
          </w:p>
        </w:tc>
      </w:tr>
      <w:tr w14:paraId="5858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746" w:type="dxa"/>
            <w:vAlign w:val="center"/>
          </w:tcPr>
          <w:p w14:paraId="6AE93338">
            <w:pPr>
              <w:jc w:val="center"/>
              <w:rPr>
                <w:rFonts w:ascii="宋体" w:hAnsi="宋体" w:cs="仿宋"/>
                <w:spacing w:val="-3"/>
                <w:kern w:val="0"/>
                <w:sz w:val="24"/>
              </w:rPr>
            </w:pPr>
            <w:r>
              <w:rPr>
                <w:rFonts w:hint="eastAsia" w:ascii="宋体" w:hAnsi="宋体" w:cs="仿宋"/>
                <w:spacing w:val="-3"/>
                <w:kern w:val="0"/>
                <w:sz w:val="24"/>
              </w:rPr>
              <w:t>4</w:t>
            </w:r>
          </w:p>
        </w:tc>
        <w:tc>
          <w:tcPr>
            <w:tcW w:w="1489" w:type="dxa"/>
            <w:vAlign w:val="center"/>
          </w:tcPr>
          <w:p w14:paraId="3A554195">
            <w:pPr>
              <w:pStyle w:val="19"/>
              <w:spacing w:before="120" w:beforeLines="50" w:after="120" w:afterLines="50" w:line="360" w:lineRule="auto"/>
              <w:ind w:firstLine="0"/>
              <w:jc w:val="center"/>
              <w:rPr>
                <w:rFonts w:hAnsi="宋体" w:cs="宋体"/>
                <w:spacing w:val="0"/>
                <w:kern w:val="0"/>
                <w:sz w:val="24"/>
                <w:szCs w:val="24"/>
              </w:rPr>
            </w:pPr>
            <w:r>
              <w:rPr>
                <w:rFonts w:hint="eastAsia" w:hAnsi="宋体" w:cs="宋体"/>
                <w:spacing w:val="0"/>
                <w:kern w:val="0"/>
                <w:sz w:val="24"/>
                <w:szCs w:val="24"/>
              </w:rPr>
              <w:t>保证交货期的措施</w:t>
            </w:r>
          </w:p>
        </w:tc>
        <w:tc>
          <w:tcPr>
            <w:tcW w:w="6607" w:type="dxa"/>
          </w:tcPr>
          <w:p w14:paraId="49F18BE6">
            <w:pPr>
              <w:pStyle w:val="19"/>
              <w:spacing w:before="120" w:beforeLines="50" w:after="120" w:afterLines="50" w:line="360" w:lineRule="auto"/>
              <w:ind w:firstLine="0"/>
              <w:rPr>
                <w:rFonts w:hAnsi="宋体" w:cs="宋体"/>
                <w:spacing w:val="0"/>
                <w:kern w:val="0"/>
                <w:sz w:val="24"/>
                <w:szCs w:val="24"/>
              </w:rPr>
            </w:pPr>
            <w:r>
              <w:rPr>
                <w:rFonts w:hint="eastAsia" w:hAnsi="宋体" w:cs="宋体"/>
                <w:spacing w:val="0"/>
                <w:kern w:val="0"/>
                <w:sz w:val="24"/>
                <w:szCs w:val="24"/>
              </w:rPr>
              <w:t>确保项目工期进度计划安排、保证工期等应对措施科学、合理、切实可行的，项目过程中各阶段划分和控制等方案符合实际及项目需求，有针对性解释说明：5分；提供的方案和措施基本全面，有针对性解释说明：4分；提供方案和措施的不够全面，有针对性有解释说明3分；提供的方案和措施不全面，有针对性解释说明：2分；提供的方案和措施不全面，没有针对性有解释说明：1分；未提供不得分。</w:t>
            </w:r>
          </w:p>
        </w:tc>
        <w:tc>
          <w:tcPr>
            <w:tcW w:w="733" w:type="dxa"/>
            <w:vAlign w:val="center"/>
          </w:tcPr>
          <w:p w14:paraId="26798A60">
            <w:pPr>
              <w:jc w:val="center"/>
              <w:rPr>
                <w:rFonts w:ascii="宋体" w:hAnsi="宋体" w:cs="宋体"/>
                <w:kern w:val="0"/>
                <w:sz w:val="24"/>
              </w:rPr>
            </w:pPr>
            <w:r>
              <w:rPr>
                <w:rFonts w:hint="eastAsia" w:ascii="宋体" w:hAnsi="宋体" w:cs="宋体"/>
                <w:kern w:val="0"/>
                <w:sz w:val="24"/>
              </w:rPr>
              <w:t>5分</w:t>
            </w:r>
          </w:p>
        </w:tc>
      </w:tr>
      <w:tr w14:paraId="0D21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6" w:type="dxa"/>
            <w:vAlign w:val="center"/>
          </w:tcPr>
          <w:p w14:paraId="5B6DBA2A">
            <w:pPr>
              <w:jc w:val="center"/>
              <w:rPr>
                <w:rFonts w:ascii="宋体" w:hAnsi="宋体" w:cs="仿宋"/>
                <w:spacing w:val="-3"/>
                <w:kern w:val="0"/>
                <w:sz w:val="24"/>
              </w:rPr>
            </w:pPr>
            <w:r>
              <w:rPr>
                <w:rFonts w:hint="eastAsia" w:ascii="宋体" w:hAnsi="宋体" w:cs="仿宋"/>
                <w:spacing w:val="-3"/>
                <w:kern w:val="0"/>
                <w:sz w:val="24"/>
              </w:rPr>
              <w:t>5</w:t>
            </w:r>
          </w:p>
        </w:tc>
        <w:tc>
          <w:tcPr>
            <w:tcW w:w="1489" w:type="dxa"/>
            <w:vAlign w:val="center"/>
          </w:tcPr>
          <w:p w14:paraId="352FDD13">
            <w:pPr>
              <w:pStyle w:val="19"/>
              <w:spacing w:before="120" w:beforeLines="50" w:after="120" w:afterLines="50" w:line="360" w:lineRule="auto"/>
              <w:ind w:firstLine="0"/>
              <w:jc w:val="center"/>
              <w:rPr>
                <w:rFonts w:hAnsi="宋体" w:cs="宋体"/>
                <w:spacing w:val="0"/>
                <w:kern w:val="0"/>
                <w:sz w:val="24"/>
                <w:szCs w:val="24"/>
              </w:rPr>
            </w:pPr>
            <w:bookmarkStart w:id="74" w:name="OLE_LINK14"/>
            <w:bookmarkStart w:id="75" w:name="OLE_LINK15"/>
            <w:bookmarkStart w:id="76" w:name="OLE_LINK56"/>
            <w:r>
              <w:rPr>
                <w:rFonts w:hint="eastAsia" w:hAnsi="宋体" w:cs="宋体"/>
                <w:spacing w:val="0"/>
                <w:kern w:val="0"/>
                <w:sz w:val="24"/>
                <w:szCs w:val="24"/>
              </w:rPr>
              <w:t>安装调试、</w:t>
            </w:r>
            <w:bookmarkStart w:id="77" w:name="OLE_LINK47"/>
            <w:bookmarkStart w:id="78" w:name="OLE_LINK46"/>
            <w:r>
              <w:rPr>
                <w:rFonts w:hint="eastAsia" w:hAnsi="宋体" w:cs="宋体"/>
                <w:spacing w:val="0"/>
                <w:kern w:val="0"/>
                <w:sz w:val="24"/>
                <w:szCs w:val="24"/>
              </w:rPr>
              <w:t>验收</w:t>
            </w:r>
            <w:bookmarkEnd w:id="77"/>
            <w:bookmarkEnd w:id="78"/>
            <w:r>
              <w:rPr>
                <w:rFonts w:hint="eastAsia" w:hAnsi="宋体" w:cs="宋体"/>
                <w:spacing w:val="0"/>
                <w:kern w:val="0"/>
                <w:sz w:val="24"/>
                <w:szCs w:val="24"/>
              </w:rPr>
              <w:t>方案</w:t>
            </w:r>
            <w:bookmarkEnd w:id="74"/>
            <w:bookmarkEnd w:id="75"/>
            <w:bookmarkEnd w:id="76"/>
          </w:p>
        </w:tc>
        <w:tc>
          <w:tcPr>
            <w:tcW w:w="6607" w:type="dxa"/>
          </w:tcPr>
          <w:p w14:paraId="5D75667F">
            <w:pPr>
              <w:pStyle w:val="19"/>
              <w:spacing w:before="120" w:beforeLines="50" w:after="120" w:afterLines="50" w:line="360" w:lineRule="auto"/>
              <w:ind w:firstLine="0"/>
              <w:rPr>
                <w:rFonts w:hAnsi="宋体" w:cs="宋体"/>
                <w:spacing w:val="0"/>
                <w:kern w:val="0"/>
                <w:sz w:val="24"/>
                <w:szCs w:val="24"/>
              </w:rPr>
            </w:pPr>
            <w:r>
              <w:rPr>
                <w:rFonts w:hint="eastAsia" w:hAnsi="宋体" w:cs="宋体"/>
                <w:spacing w:val="0"/>
                <w:kern w:val="0"/>
                <w:sz w:val="24"/>
                <w:szCs w:val="24"/>
              </w:rPr>
              <w:t>安装调试、验收方案包括安排安装和调试工作的时间进度及措施、试运行及调优、与货物需方单位的配合有效、合理、科学，</w:t>
            </w:r>
            <w:bookmarkStart w:id="79" w:name="OLE_LINK100"/>
            <w:bookmarkStart w:id="80" w:name="OLE_LINK103"/>
            <w:r>
              <w:rPr>
                <w:rFonts w:hint="eastAsia" w:hAnsi="宋体" w:cs="宋体"/>
                <w:spacing w:val="0"/>
                <w:kern w:val="0"/>
                <w:sz w:val="24"/>
                <w:szCs w:val="24"/>
              </w:rPr>
              <w:t>符合实际及项目需求，有针对性解释说明：5分；提供的措施基本全面，有针对性解释说明：4分；提供措施的不够全面，有针对性有解释说明3分；提供的措施不全面，有针对性解释说明：2分；提供的措施不全面，没有针对性有解释说明：1分；未提供不得分。</w:t>
            </w:r>
            <w:bookmarkEnd w:id="79"/>
            <w:bookmarkEnd w:id="80"/>
          </w:p>
        </w:tc>
        <w:tc>
          <w:tcPr>
            <w:tcW w:w="733" w:type="dxa"/>
            <w:vAlign w:val="center"/>
          </w:tcPr>
          <w:p w14:paraId="65303C8D">
            <w:pPr>
              <w:jc w:val="center"/>
              <w:rPr>
                <w:rFonts w:ascii="宋体" w:hAnsi="宋体" w:cs="宋体"/>
                <w:kern w:val="0"/>
                <w:sz w:val="24"/>
              </w:rPr>
            </w:pPr>
            <w:bookmarkStart w:id="81" w:name="OLE_LINK8"/>
            <w:r>
              <w:rPr>
                <w:rFonts w:hint="eastAsia" w:ascii="宋体" w:hAnsi="宋体" w:cs="宋体"/>
                <w:kern w:val="0"/>
                <w:sz w:val="24"/>
              </w:rPr>
              <w:t>5分</w:t>
            </w:r>
            <w:bookmarkEnd w:id="81"/>
          </w:p>
        </w:tc>
      </w:tr>
      <w:tr w14:paraId="0E97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746" w:type="dxa"/>
            <w:vAlign w:val="center"/>
          </w:tcPr>
          <w:p w14:paraId="61C88635">
            <w:pPr>
              <w:jc w:val="center"/>
              <w:rPr>
                <w:rFonts w:ascii="宋体" w:hAnsi="宋体" w:cs="仿宋"/>
                <w:spacing w:val="-3"/>
                <w:kern w:val="0"/>
                <w:sz w:val="24"/>
              </w:rPr>
            </w:pPr>
            <w:r>
              <w:rPr>
                <w:rFonts w:hint="eastAsia" w:ascii="宋体" w:hAnsi="宋体" w:cs="仿宋"/>
                <w:spacing w:val="-3"/>
                <w:kern w:val="0"/>
                <w:sz w:val="24"/>
              </w:rPr>
              <w:t>6</w:t>
            </w:r>
          </w:p>
        </w:tc>
        <w:tc>
          <w:tcPr>
            <w:tcW w:w="1489" w:type="dxa"/>
            <w:vAlign w:val="center"/>
          </w:tcPr>
          <w:p w14:paraId="42B3D79E">
            <w:pPr>
              <w:pStyle w:val="19"/>
              <w:spacing w:before="120" w:beforeLines="50" w:after="120" w:afterLines="50" w:line="360" w:lineRule="auto"/>
              <w:ind w:firstLine="0"/>
              <w:jc w:val="center"/>
              <w:rPr>
                <w:rFonts w:hAnsi="宋体" w:cs="宋体"/>
                <w:spacing w:val="0"/>
                <w:kern w:val="0"/>
                <w:sz w:val="24"/>
                <w:szCs w:val="24"/>
              </w:rPr>
            </w:pPr>
            <w:r>
              <w:rPr>
                <w:rFonts w:hint="eastAsia" w:hAnsi="宋体" w:cs="宋体"/>
                <w:spacing w:val="0"/>
                <w:kern w:val="0"/>
                <w:sz w:val="24"/>
                <w:szCs w:val="24"/>
              </w:rPr>
              <w:t>功能演示</w:t>
            </w:r>
          </w:p>
        </w:tc>
        <w:tc>
          <w:tcPr>
            <w:tcW w:w="6607" w:type="dxa"/>
            <w:vAlign w:val="center"/>
          </w:tcPr>
          <w:p w14:paraId="3089817E">
            <w:pPr>
              <w:pStyle w:val="19"/>
              <w:spacing w:before="120" w:beforeLines="50" w:after="120" w:afterLines="50" w:line="360" w:lineRule="auto"/>
              <w:ind w:firstLine="0"/>
              <w:rPr>
                <w:rFonts w:hAnsi="宋体" w:cs="宋体"/>
                <w:spacing w:val="0"/>
                <w:kern w:val="0"/>
                <w:sz w:val="24"/>
                <w:szCs w:val="24"/>
              </w:rPr>
            </w:pPr>
            <w:r>
              <w:rPr>
                <w:rFonts w:hint="eastAsia" w:hAnsi="宋体" w:cs="宋体"/>
                <w:spacing w:val="0"/>
                <w:kern w:val="0"/>
                <w:sz w:val="24"/>
                <w:szCs w:val="24"/>
              </w:rPr>
              <w:t>高中生物3D实验室软件演示：</w:t>
            </w:r>
          </w:p>
          <w:p w14:paraId="2D31A914">
            <w:pPr>
              <w:pStyle w:val="19"/>
              <w:spacing w:before="120" w:beforeLines="50" w:after="120" w:afterLines="50" w:line="360" w:lineRule="auto"/>
              <w:ind w:firstLine="0"/>
              <w:rPr>
                <w:rFonts w:hAnsi="宋体" w:cs="宋体"/>
                <w:spacing w:val="0"/>
                <w:kern w:val="0"/>
                <w:sz w:val="24"/>
                <w:szCs w:val="24"/>
              </w:rPr>
            </w:pPr>
            <w:r>
              <w:rPr>
                <w:rFonts w:hint="eastAsia" w:hAnsi="宋体" w:cs="宋体"/>
                <w:spacing w:val="0"/>
                <w:kern w:val="0"/>
                <w:sz w:val="24"/>
                <w:szCs w:val="24"/>
              </w:rPr>
              <w:t>1、生物3D软件要求提供微观世界模块，要求提供的课程内容教学难点光反应3D动画提供多种教学交互，包括：动画的进度可以自由调整、动画的快慢可以通过控制面板选择倍率灵活调控；光反应过程中的相关化学物质提供了3D化学图例，可以自由打开与关闭，降低光反应过程的理解难度；光反应复杂的组成结构，点击任意结构标签，对应的结构高亮呈现，更好凸显教学重难点，提升课堂效率</w:t>
            </w:r>
            <w:bookmarkStart w:id="82" w:name="OLE_LINK120"/>
            <w:bookmarkStart w:id="83" w:name="OLE_LINK121"/>
            <w:r>
              <w:rPr>
                <w:rFonts w:hint="eastAsia" w:hAnsi="宋体" w:cs="宋体"/>
                <w:spacing w:val="0"/>
                <w:kern w:val="0"/>
                <w:sz w:val="24"/>
                <w:szCs w:val="24"/>
              </w:rPr>
              <w:t>；3分。</w:t>
            </w:r>
            <w:bookmarkEnd w:id="82"/>
            <w:bookmarkEnd w:id="83"/>
          </w:p>
          <w:p w14:paraId="72487E1A">
            <w:pPr>
              <w:pStyle w:val="19"/>
              <w:spacing w:before="120" w:beforeLines="50" w:after="120" w:afterLines="50" w:line="360" w:lineRule="auto"/>
              <w:ind w:firstLine="0"/>
              <w:rPr>
                <w:rFonts w:hAnsi="宋体" w:cs="宋体"/>
                <w:spacing w:val="0"/>
                <w:kern w:val="0"/>
                <w:sz w:val="24"/>
                <w:szCs w:val="24"/>
              </w:rPr>
            </w:pPr>
            <w:r>
              <w:rPr>
                <w:rFonts w:hint="eastAsia" w:hAnsi="宋体" w:cs="宋体"/>
                <w:spacing w:val="0"/>
                <w:kern w:val="0"/>
                <w:sz w:val="24"/>
                <w:szCs w:val="24"/>
              </w:rPr>
              <w:t>2、生物软件要求提供中学生物学科高清显微素材库，素材图片数量不少于75张，资源支持4X、10X、40X物镜进行观察。所有素材库图片都支持使用显微镜进行仿真实验操作，完全模拟真实操作</w:t>
            </w:r>
            <w:r>
              <w:rPr>
                <w:rFonts w:hint="eastAsia" w:hAnsi="宋体" w:cs="宋体"/>
                <w:kern w:val="0"/>
                <w:sz w:val="24"/>
              </w:rPr>
              <w:t>；</w:t>
            </w:r>
            <w:r>
              <w:rPr>
                <w:rFonts w:hAnsi="宋体" w:cs="宋体"/>
                <w:kern w:val="0"/>
                <w:sz w:val="24"/>
              </w:rPr>
              <w:t>3</w:t>
            </w:r>
            <w:r>
              <w:rPr>
                <w:rFonts w:hint="eastAsia" w:hAnsi="宋体" w:cs="宋体"/>
                <w:kern w:val="0"/>
                <w:sz w:val="24"/>
              </w:rPr>
              <w:t>分。</w:t>
            </w:r>
          </w:p>
          <w:p w14:paraId="5CF7A2DB">
            <w:pPr>
              <w:pStyle w:val="19"/>
              <w:spacing w:before="120" w:beforeLines="50" w:after="120" w:afterLines="50" w:line="360" w:lineRule="auto"/>
              <w:ind w:firstLine="0"/>
              <w:rPr>
                <w:rFonts w:hAnsi="宋体" w:cs="宋体"/>
                <w:spacing w:val="0"/>
                <w:kern w:val="0"/>
                <w:sz w:val="24"/>
                <w:szCs w:val="24"/>
              </w:rPr>
            </w:pPr>
            <w:r>
              <w:rPr>
                <w:rFonts w:hint="eastAsia" w:hAnsi="宋体" w:cs="宋体"/>
                <w:spacing w:val="0"/>
                <w:kern w:val="0"/>
                <w:sz w:val="24"/>
                <w:szCs w:val="24"/>
              </w:rPr>
              <w:t>超净工作台配套控制软件演示：</w:t>
            </w:r>
          </w:p>
          <w:p w14:paraId="1CC684DE">
            <w:pPr>
              <w:pStyle w:val="19"/>
              <w:spacing w:before="120" w:beforeLines="50" w:after="120" w:afterLines="50" w:line="360" w:lineRule="auto"/>
              <w:ind w:firstLine="0"/>
              <w:rPr>
                <w:rFonts w:hAnsi="宋体" w:cs="宋体"/>
                <w:spacing w:val="0"/>
                <w:kern w:val="0"/>
                <w:sz w:val="24"/>
                <w:szCs w:val="24"/>
              </w:rPr>
            </w:pPr>
            <w:r>
              <w:rPr>
                <w:rFonts w:hint="eastAsia" w:hAnsi="宋体" w:cs="宋体"/>
                <w:spacing w:val="0"/>
                <w:kern w:val="0"/>
                <w:sz w:val="24"/>
                <w:szCs w:val="24"/>
              </w:rPr>
              <w:t>1、教学管理模块支持用户定义终端，通过对不同厂家设备的参数配置，实现真正意义上的自定义物联；支持用户自行定义终端快捷动作，用户通过对终端指令的批量设置，可以实现方便地对设备进行多动作连续执行；支持用户自行定义传感器设备，不仅限某个指定厂家，只要协议兼容，都能方便接入传感器</w:t>
            </w:r>
            <w:r>
              <w:rPr>
                <w:rFonts w:hint="eastAsia" w:hAnsi="宋体" w:cs="宋体"/>
                <w:kern w:val="0"/>
                <w:sz w:val="24"/>
              </w:rPr>
              <w:t>；</w:t>
            </w:r>
            <w:r>
              <w:rPr>
                <w:rFonts w:hAnsi="宋体" w:cs="宋体"/>
                <w:kern w:val="0"/>
                <w:sz w:val="24"/>
              </w:rPr>
              <w:t>3</w:t>
            </w:r>
            <w:r>
              <w:rPr>
                <w:rFonts w:hint="eastAsia" w:hAnsi="宋体" w:cs="宋体"/>
                <w:kern w:val="0"/>
                <w:sz w:val="24"/>
              </w:rPr>
              <w:t>分。</w:t>
            </w:r>
          </w:p>
          <w:p w14:paraId="5A0640E4">
            <w:pPr>
              <w:pStyle w:val="19"/>
              <w:spacing w:before="120" w:beforeLines="50" w:after="120" w:afterLines="50" w:line="360" w:lineRule="auto"/>
              <w:ind w:firstLine="0"/>
              <w:rPr>
                <w:rFonts w:hAnsi="宋体" w:cs="宋体"/>
                <w:spacing w:val="0"/>
                <w:kern w:val="0"/>
                <w:sz w:val="24"/>
                <w:szCs w:val="24"/>
              </w:rPr>
            </w:pPr>
            <w:r>
              <w:rPr>
                <w:rFonts w:hint="eastAsia" w:hAnsi="宋体" w:cs="宋体"/>
                <w:spacing w:val="0"/>
                <w:kern w:val="0"/>
                <w:sz w:val="24"/>
                <w:szCs w:val="24"/>
              </w:rPr>
              <w:t>2、教学管理模块支持用户读取传感器信息，不同终端进入后可以看到挂载的不同传感器，对传感器数据进行实时读取并显示，支持市面上各类传感器类型；支持用户自定义任务计划，用户可以设置不同形式的任务计划，实现对终端的定时控制、定期循环控制等自执行操作；支持用户对特聘专家进行提问，并在专家回复后查看回复</w:t>
            </w:r>
            <w:r>
              <w:rPr>
                <w:rFonts w:hint="eastAsia" w:hAnsi="宋体" w:cs="宋体"/>
                <w:kern w:val="0"/>
                <w:sz w:val="24"/>
              </w:rPr>
              <w:t>；</w:t>
            </w:r>
            <w:r>
              <w:rPr>
                <w:rFonts w:hAnsi="宋体" w:cs="宋体"/>
                <w:kern w:val="0"/>
                <w:sz w:val="24"/>
              </w:rPr>
              <w:t>3</w:t>
            </w:r>
            <w:r>
              <w:rPr>
                <w:rFonts w:hint="eastAsia" w:hAnsi="宋体" w:cs="宋体"/>
                <w:kern w:val="0"/>
                <w:sz w:val="24"/>
              </w:rPr>
              <w:t>分。</w:t>
            </w:r>
          </w:p>
          <w:p w14:paraId="5C55BD0F">
            <w:pPr>
              <w:pStyle w:val="19"/>
              <w:spacing w:before="120" w:beforeLines="50" w:after="120" w:afterLines="50" w:line="360" w:lineRule="auto"/>
              <w:ind w:firstLine="0"/>
            </w:pPr>
            <w:r>
              <w:rPr>
                <w:rFonts w:hint="eastAsia" w:hAnsi="宋体" w:cs="宋体"/>
                <w:b/>
                <w:kern w:val="0"/>
                <w:sz w:val="24"/>
              </w:rPr>
              <w:t>投标人无需派专人参加现场演示，根据演示分评分标准要求提供真实系统演示（具有视频、音频的系统讲解）并完成视频录制（</w:t>
            </w:r>
            <w:r>
              <w:rPr>
                <w:rFonts w:hAnsi="宋体" w:cs="宋体"/>
                <w:b/>
                <w:kern w:val="0"/>
                <w:sz w:val="24"/>
              </w:rPr>
              <w:t>mp4</w:t>
            </w:r>
            <w:r>
              <w:rPr>
                <w:rFonts w:hint="eastAsia" w:hAnsi="宋体" w:cs="宋体"/>
                <w:b/>
                <w:kern w:val="0"/>
                <w:sz w:val="24"/>
              </w:rPr>
              <w:t>格式；时间控制在15分钟以内）。演示视频电子文件用</w:t>
            </w:r>
            <w:r>
              <w:rPr>
                <w:rFonts w:hAnsi="宋体" w:cs="宋体"/>
                <w:b/>
                <w:kern w:val="0"/>
                <w:sz w:val="24"/>
              </w:rPr>
              <w:t>U</w:t>
            </w:r>
            <w:r>
              <w:rPr>
                <w:rFonts w:hint="eastAsia" w:hAnsi="宋体" w:cs="宋体"/>
                <w:b/>
                <w:kern w:val="0"/>
                <w:sz w:val="24"/>
              </w:rPr>
              <w:t>盘拷贝，与备份投标文件一起邮寄；未提供不得分。</w:t>
            </w:r>
          </w:p>
        </w:tc>
        <w:tc>
          <w:tcPr>
            <w:tcW w:w="733" w:type="dxa"/>
            <w:vAlign w:val="center"/>
          </w:tcPr>
          <w:p w14:paraId="2F72D6B4">
            <w:pPr>
              <w:jc w:val="center"/>
              <w:rPr>
                <w:rFonts w:ascii="宋体" w:hAnsi="宋体" w:cs="仿宋"/>
                <w:spacing w:val="-3"/>
                <w:kern w:val="0"/>
                <w:sz w:val="24"/>
              </w:rPr>
            </w:pPr>
            <w:r>
              <w:rPr>
                <w:rFonts w:hint="eastAsia" w:ascii="宋体" w:hAnsi="宋体" w:cs="宋体"/>
                <w:kern w:val="0"/>
                <w:sz w:val="24"/>
              </w:rPr>
              <w:t>12分</w:t>
            </w:r>
          </w:p>
        </w:tc>
      </w:tr>
      <w:tr w14:paraId="0DCD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575" w:type="dxa"/>
            <w:gridSpan w:val="4"/>
            <w:vAlign w:val="center"/>
          </w:tcPr>
          <w:p w14:paraId="78D493C7">
            <w:pPr>
              <w:jc w:val="center"/>
              <w:rPr>
                <w:rFonts w:ascii="宋体" w:hAnsi="宋体" w:cs="仿宋"/>
                <w:spacing w:val="-3"/>
                <w:kern w:val="0"/>
                <w:sz w:val="24"/>
              </w:rPr>
            </w:pPr>
            <w:r>
              <w:rPr>
                <w:rFonts w:hint="eastAsia" w:ascii="宋体" w:hAnsi="宋体" w:cs="仿宋"/>
                <w:b/>
                <w:bCs/>
                <w:kern w:val="0"/>
                <w:sz w:val="24"/>
              </w:rPr>
              <w:t>商务、资信及其他分（18分）</w:t>
            </w:r>
          </w:p>
        </w:tc>
      </w:tr>
      <w:tr w14:paraId="7DAF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46" w:type="dxa"/>
            <w:vAlign w:val="center"/>
          </w:tcPr>
          <w:p w14:paraId="7A8F110B">
            <w:pPr>
              <w:jc w:val="center"/>
              <w:rPr>
                <w:rFonts w:ascii="宋体" w:hAnsi="宋体" w:cs="仿宋"/>
                <w:spacing w:val="-3"/>
                <w:kern w:val="0"/>
                <w:sz w:val="24"/>
              </w:rPr>
            </w:pPr>
            <w:r>
              <w:rPr>
                <w:rFonts w:hint="eastAsia" w:ascii="宋体" w:hAnsi="宋体" w:cs="仿宋"/>
                <w:spacing w:val="-3"/>
                <w:kern w:val="0"/>
                <w:sz w:val="24"/>
              </w:rPr>
              <w:t>8</w:t>
            </w:r>
          </w:p>
        </w:tc>
        <w:tc>
          <w:tcPr>
            <w:tcW w:w="1489" w:type="dxa"/>
            <w:vAlign w:val="center"/>
          </w:tcPr>
          <w:p w14:paraId="34F1B19A">
            <w:pPr>
              <w:pStyle w:val="19"/>
              <w:spacing w:before="120" w:beforeLines="50" w:after="120" w:afterLines="50" w:line="360" w:lineRule="auto"/>
              <w:ind w:firstLine="0"/>
              <w:jc w:val="left"/>
              <w:rPr>
                <w:rFonts w:hAnsi="宋体" w:cs="宋体"/>
                <w:spacing w:val="0"/>
                <w:kern w:val="0"/>
                <w:sz w:val="24"/>
                <w:szCs w:val="24"/>
              </w:rPr>
            </w:pPr>
            <w:r>
              <w:rPr>
                <w:rFonts w:hint="eastAsia" w:hAnsi="宋体" w:cs="宋体"/>
                <w:spacing w:val="0"/>
                <w:kern w:val="0"/>
                <w:sz w:val="24"/>
                <w:szCs w:val="24"/>
              </w:rPr>
              <w:t>企业业绩</w:t>
            </w:r>
          </w:p>
        </w:tc>
        <w:tc>
          <w:tcPr>
            <w:tcW w:w="6607" w:type="dxa"/>
            <w:vAlign w:val="center"/>
          </w:tcPr>
          <w:p w14:paraId="4FB0C913">
            <w:pPr>
              <w:spacing w:line="360" w:lineRule="auto"/>
              <w:jc w:val="left"/>
              <w:rPr>
                <w:rFonts w:ascii="宋体" w:hAnsi="宋体" w:cs="宋体"/>
                <w:kern w:val="0"/>
                <w:sz w:val="24"/>
              </w:rPr>
            </w:pPr>
            <w:bookmarkStart w:id="84" w:name="OLE_LINK49"/>
            <w:bookmarkStart w:id="85" w:name="OLE_LINK48"/>
            <w:r>
              <w:rPr>
                <w:rFonts w:hint="eastAsia" w:ascii="宋体" w:hAnsi="宋体" w:cs="宋体"/>
                <w:kern w:val="0"/>
                <w:sz w:val="24"/>
              </w:rPr>
              <w:t>投标人2022年1月1日至投标截止时间止（以合同签订时间为准）具有同类项目业绩的，每提供一个业绩得0.5分，最高得</w:t>
            </w:r>
            <w:bookmarkStart w:id="86" w:name="OLE_LINK83"/>
            <w:bookmarkStart w:id="87" w:name="OLE_LINK82"/>
            <w:r>
              <w:rPr>
                <w:rFonts w:hint="eastAsia" w:ascii="宋体" w:hAnsi="宋体" w:cs="宋体"/>
                <w:kern w:val="0"/>
                <w:sz w:val="24"/>
              </w:rPr>
              <w:t>1分</w:t>
            </w:r>
            <w:bookmarkEnd w:id="86"/>
            <w:bookmarkEnd w:id="87"/>
            <w:r>
              <w:rPr>
                <w:rFonts w:hint="eastAsia" w:ascii="宋体" w:hAnsi="宋体" w:cs="宋体"/>
                <w:kern w:val="0"/>
                <w:sz w:val="24"/>
              </w:rPr>
              <w:t>。</w:t>
            </w:r>
            <w:bookmarkEnd w:id="84"/>
            <w:bookmarkEnd w:id="85"/>
          </w:p>
        </w:tc>
        <w:tc>
          <w:tcPr>
            <w:tcW w:w="733" w:type="dxa"/>
            <w:vAlign w:val="center"/>
          </w:tcPr>
          <w:p w14:paraId="1A80CBF6">
            <w:pPr>
              <w:spacing w:line="398" w:lineRule="auto"/>
              <w:rPr>
                <w:rFonts w:ascii="宋体" w:hAnsi="宋体" w:cs="宋体"/>
                <w:kern w:val="0"/>
                <w:sz w:val="24"/>
              </w:rPr>
            </w:pPr>
            <w:r>
              <w:rPr>
                <w:rFonts w:hint="eastAsia" w:ascii="宋体" w:hAnsi="宋体" w:cs="宋体"/>
                <w:kern w:val="0"/>
                <w:sz w:val="24"/>
              </w:rPr>
              <w:t>1分</w:t>
            </w:r>
          </w:p>
        </w:tc>
      </w:tr>
      <w:tr w14:paraId="4975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14:paraId="15AFB4F3">
            <w:pPr>
              <w:jc w:val="center"/>
              <w:rPr>
                <w:rFonts w:ascii="宋体" w:hAnsi="宋体" w:cs="仿宋"/>
                <w:spacing w:val="-3"/>
                <w:kern w:val="0"/>
                <w:sz w:val="24"/>
              </w:rPr>
            </w:pPr>
            <w:r>
              <w:rPr>
                <w:rFonts w:hint="eastAsia" w:ascii="宋体" w:hAnsi="宋体" w:cs="仿宋"/>
                <w:spacing w:val="-3"/>
                <w:kern w:val="0"/>
                <w:sz w:val="24"/>
              </w:rPr>
              <w:t>9</w:t>
            </w:r>
          </w:p>
        </w:tc>
        <w:tc>
          <w:tcPr>
            <w:tcW w:w="1489" w:type="dxa"/>
            <w:vAlign w:val="center"/>
          </w:tcPr>
          <w:p w14:paraId="64A1E30D">
            <w:pPr>
              <w:pStyle w:val="19"/>
              <w:spacing w:before="120" w:beforeLines="50" w:after="120" w:afterLines="50" w:line="360" w:lineRule="auto"/>
              <w:ind w:firstLine="0"/>
              <w:jc w:val="left"/>
              <w:rPr>
                <w:rFonts w:hAnsi="宋体" w:cs="宋体"/>
                <w:spacing w:val="0"/>
                <w:kern w:val="0"/>
                <w:sz w:val="24"/>
                <w:szCs w:val="24"/>
              </w:rPr>
            </w:pPr>
            <w:r>
              <w:rPr>
                <w:rFonts w:hint="eastAsia" w:hAnsi="宋体" w:cs="宋体"/>
                <w:spacing w:val="0"/>
                <w:kern w:val="0"/>
                <w:sz w:val="24"/>
                <w:szCs w:val="24"/>
              </w:rPr>
              <w:t>权威认证</w:t>
            </w:r>
          </w:p>
        </w:tc>
        <w:tc>
          <w:tcPr>
            <w:tcW w:w="6607" w:type="dxa"/>
            <w:vAlign w:val="center"/>
          </w:tcPr>
          <w:p w14:paraId="19CB3F40">
            <w:pPr>
              <w:spacing w:line="360" w:lineRule="auto"/>
              <w:jc w:val="left"/>
              <w:rPr>
                <w:rFonts w:ascii="宋体" w:hAnsi="宋体" w:cs="宋体"/>
                <w:kern w:val="0"/>
                <w:sz w:val="24"/>
              </w:rPr>
            </w:pPr>
            <w:r>
              <w:rPr>
                <w:rFonts w:hint="eastAsia" w:ascii="宋体" w:hAnsi="宋体" w:cs="宋体"/>
                <w:kern w:val="0"/>
                <w:sz w:val="24"/>
              </w:rPr>
              <w:t>投标人具有有效期内的质量管理体系认证证书、环境管理体系认证证书、职业健康安全认证证书的，每项得0.5分，最高得</w:t>
            </w:r>
            <w:bookmarkStart w:id="88" w:name="OLE_LINK84"/>
            <w:bookmarkStart w:id="89" w:name="OLE_LINK85"/>
            <w:r>
              <w:rPr>
                <w:rFonts w:hint="eastAsia" w:ascii="宋体" w:hAnsi="宋体" w:cs="宋体"/>
                <w:kern w:val="0"/>
                <w:sz w:val="24"/>
              </w:rPr>
              <w:t>1.5分</w:t>
            </w:r>
            <w:bookmarkEnd w:id="88"/>
            <w:bookmarkEnd w:id="89"/>
            <w:r>
              <w:rPr>
                <w:rFonts w:hint="eastAsia" w:ascii="宋体" w:hAnsi="宋体" w:cs="宋体"/>
                <w:kern w:val="0"/>
                <w:sz w:val="24"/>
              </w:rPr>
              <w:t>。注：提供认证证书复印件及全国认证认可信息公共服务平台网站截图，未提供不得分。</w:t>
            </w:r>
          </w:p>
        </w:tc>
        <w:tc>
          <w:tcPr>
            <w:tcW w:w="733" w:type="dxa"/>
            <w:vAlign w:val="center"/>
          </w:tcPr>
          <w:p w14:paraId="38D5B622">
            <w:pPr>
              <w:pStyle w:val="19"/>
              <w:spacing w:before="120" w:beforeLines="50" w:after="120" w:afterLines="50" w:line="360" w:lineRule="auto"/>
              <w:ind w:firstLine="0"/>
              <w:jc w:val="left"/>
              <w:rPr>
                <w:rFonts w:hAnsi="宋体" w:cs="宋体"/>
                <w:spacing w:val="0"/>
                <w:kern w:val="0"/>
                <w:sz w:val="24"/>
                <w:szCs w:val="24"/>
              </w:rPr>
            </w:pPr>
            <w:r>
              <w:rPr>
                <w:rFonts w:hint="eastAsia" w:hAnsi="宋体" w:cs="宋体"/>
                <w:spacing w:val="0"/>
                <w:kern w:val="0"/>
                <w:sz w:val="24"/>
                <w:szCs w:val="24"/>
              </w:rPr>
              <w:t>1.5分</w:t>
            </w:r>
          </w:p>
        </w:tc>
      </w:tr>
      <w:tr w14:paraId="539F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14:paraId="524BB652">
            <w:pPr>
              <w:jc w:val="center"/>
              <w:rPr>
                <w:rFonts w:ascii="宋体" w:hAnsi="宋体" w:cs="仿宋"/>
                <w:spacing w:val="-3"/>
                <w:kern w:val="0"/>
                <w:sz w:val="24"/>
              </w:rPr>
            </w:pPr>
            <w:r>
              <w:rPr>
                <w:rFonts w:hint="eastAsia" w:ascii="宋体" w:hAnsi="宋体" w:cs="仿宋"/>
                <w:spacing w:val="-3"/>
                <w:kern w:val="0"/>
                <w:sz w:val="24"/>
              </w:rPr>
              <w:t>10</w:t>
            </w:r>
          </w:p>
        </w:tc>
        <w:tc>
          <w:tcPr>
            <w:tcW w:w="1489" w:type="dxa"/>
            <w:vAlign w:val="center"/>
          </w:tcPr>
          <w:p w14:paraId="4CE18942">
            <w:pPr>
              <w:pStyle w:val="19"/>
              <w:spacing w:before="120" w:beforeLines="50" w:after="120" w:afterLines="50" w:line="360" w:lineRule="auto"/>
              <w:ind w:firstLine="0"/>
              <w:jc w:val="left"/>
              <w:rPr>
                <w:rFonts w:hAnsi="宋体" w:cs="宋体"/>
                <w:spacing w:val="0"/>
                <w:kern w:val="0"/>
                <w:sz w:val="24"/>
                <w:szCs w:val="24"/>
              </w:rPr>
            </w:pPr>
            <w:r>
              <w:rPr>
                <w:rFonts w:hint="eastAsia" w:hAnsi="宋体" w:cs="宋体"/>
                <w:spacing w:val="0"/>
                <w:kern w:val="0"/>
                <w:sz w:val="24"/>
                <w:szCs w:val="24"/>
              </w:rPr>
              <w:t>企业荣誉</w:t>
            </w:r>
          </w:p>
        </w:tc>
        <w:tc>
          <w:tcPr>
            <w:tcW w:w="6607" w:type="dxa"/>
            <w:vAlign w:val="center"/>
          </w:tcPr>
          <w:p w14:paraId="58B765D0">
            <w:pPr>
              <w:spacing w:line="360" w:lineRule="auto"/>
              <w:jc w:val="left"/>
              <w:rPr>
                <w:rFonts w:ascii="宋体" w:hAnsi="宋体" w:cs="宋体"/>
                <w:kern w:val="0"/>
                <w:sz w:val="24"/>
              </w:rPr>
            </w:pPr>
            <w:r>
              <w:rPr>
                <w:rFonts w:hint="eastAsia" w:ascii="宋体" w:hAnsi="宋体" w:cs="宋体"/>
                <w:kern w:val="0"/>
                <w:sz w:val="24"/>
              </w:rPr>
              <w:t>投标人具有2022年1月1日至今有效的政府行政职能部门或行业主管部门的荣誉证书：省级及以上，包含省政府所属的部、委、办、局（厅）或行业主管部门的荣誉得</w:t>
            </w:r>
            <w:bookmarkStart w:id="90" w:name="OLE_LINK53"/>
            <w:bookmarkStart w:id="91" w:name="OLE_LINK52"/>
            <w:r>
              <w:rPr>
                <w:rFonts w:hint="eastAsia" w:ascii="宋体" w:hAnsi="宋体" w:cs="宋体"/>
                <w:kern w:val="0"/>
                <w:sz w:val="24"/>
              </w:rPr>
              <w:t>1分</w:t>
            </w:r>
            <w:bookmarkEnd w:id="90"/>
            <w:bookmarkEnd w:id="91"/>
            <w:r>
              <w:rPr>
                <w:rFonts w:hint="eastAsia" w:ascii="宋体" w:hAnsi="宋体" w:cs="宋体"/>
                <w:kern w:val="0"/>
                <w:sz w:val="24"/>
              </w:rPr>
              <w:t>；市级，包含市政府所属的部、委、办、局或区、县政府或行业主管部门的荣誉得0.5分；同个奖项以最高获奖计，本项最高得1分。</w:t>
            </w:r>
          </w:p>
          <w:p w14:paraId="49DBC0CD">
            <w:pPr>
              <w:spacing w:line="360" w:lineRule="auto"/>
              <w:jc w:val="left"/>
              <w:rPr>
                <w:rFonts w:ascii="宋体" w:hAnsi="宋体" w:cs="宋体"/>
                <w:kern w:val="0"/>
                <w:sz w:val="24"/>
              </w:rPr>
            </w:pPr>
            <w:r>
              <w:rPr>
                <w:rFonts w:hint="eastAsia" w:ascii="宋体" w:hAnsi="宋体" w:cs="宋体"/>
                <w:kern w:val="0"/>
                <w:sz w:val="24"/>
              </w:rPr>
              <w:t>注：需提供获奖证书或获奖文件复印件，时间以提供的获奖证书或</w:t>
            </w:r>
            <w:bookmarkStart w:id="92" w:name="OLE_LINK51"/>
            <w:r>
              <w:rPr>
                <w:rFonts w:hint="eastAsia" w:ascii="宋体" w:hAnsi="宋体" w:cs="宋体"/>
                <w:kern w:val="0"/>
                <w:sz w:val="24"/>
              </w:rPr>
              <w:t>获奖</w:t>
            </w:r>
            <w:bookmarkEnd w:id="92"/>
            <w:r>
              <w:rPr>
                <w:rFonts w:hint="eastAsia" w:ascii="宋体" w:hAnsi="宋体" w:cs="宋体"/>
                <w:kern w:val="0"/>
                <w:sz w:val="24"/>
              </w:rPr>
              <w:t>文件发文时间为准，</w:t>
            </w:r>
          </w:p>
        </w:tc>
        <w:tc>
          <w:tcPr>
            <w:tcW w:w="733" w:type="dxa"/>
            <w:vAlign w:val="center"/>
          </w:tcPr>
          <w:p w14:paraId="14F2B6FD">
            <w:pPr>
              <w:pStyle w:val="19"/>
              <w:spacing w:before="120" w:beforeLines="50" w:after="120" w:afterLines="50" w:line="360" w:lineRule="auto"/>
              <w:ind w:firstLine="0"/>
              <w:jc w:val="left"/>
              <w:rPr>
                <w:rFonts w:hAnsi="宋体" w:cs="宋体"/>
                <w:spacing w:val="0"/>
                <w:kern w:val="0"/>
                <w:sz w:val="24"/>
                <w:szCs w:val="24"/>
              </w:rPr>
            </w:pPr>
            <w:r>
              <w:rPr>
                <w:rFonts w:hint="eastAsia" w:hAnsi="宋体" w:cs="宋体"/>
                <w:kern w:val="0"/>
                <w:sz w:val="24"/>
                <w:szCs w:val="24"/>
              </w:rPr>
              <w:t>1分</w:t>
            </w:r>
          </w:p>
        </w:tc>
      </w:tr>
      <w:tr w14:paraId="51D0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14:paraId="05B88F45">
            <w:pPr>
              <w:jc w:val="center"/>
              <w:rPr>
                <w:rFonts w:ascii="宋体" w:hAnsi="宋体" w:cs="仿宋"/>
                <w:spacing w:val="-3"/>
                <w:kern w:val="0"/>
                <w:sz w:val="24"/>
              </w:rPr>
            </w:pPr>
            <w:r>
              <w:rPr>
                <w:rFonts w:hint="eastAsia" w:ascii="宋体" w:hAnsi="宋体" w:cs="仿宋"/>
                <w:spacing w:val="-3"/>
                <w:kern w:val="0"/>
                <w:sz w:val="24"/>
              </w:rPr>
              <w:t>11</w:t>
            </w:r>
          </w:p>
        </w:tc>
        <w:tc>
          <w:tcPr>
            <w:tcW w:w="1489" w:type="dxa"/>
            <w:vAlign w:val="center"/>
          </w:tcPr>
          <w:p w14:paraId="6296F2FE">
            <w:pPr>
              <w:pStyle w:val="19"/>
              <w:spacing w:before="120" w:beforeLines="50" w:after="120" w:afterLines="50" w:line="360" w:lineRule="auto"/>
              <w:ind w:firstLine="0"/>
              <w:jc w:val="left"/>
              <w:rPr>
                <w:rFonts w:hAnsi="宋体" w:cs="宋体"/>
                <w:spacing w:val="0"/>
                <w:kern w:val="0"/>
                <w:sz w:val="24"/>
                <w:szCs w:val="24"/>
              </w:rPr>
            </w:pPr>
            <w:r>
              <w:rPr>
                <w:rFonts w:hint="eastAsia" w:hAnsi="宋体" w:cs="宋体"/>
                <w:spacing w:val="0"/>
                <w:kern w:val="0"/>
                <w:sz w:val="24"/>
                <w:szCs w:val="24"/>
              </w:rPr>
              <w:t>质保期</w:t>
            </w:r>
          </w:p>
        </w:tc>
        <w:tc>
          <w:tcPr>
            <w:tcW w:w="6607" w:type="dxa"/>
            <w:vAlign w:val="center"/>
          </w:tcPr>
          <w:p w14:paraId="7340DF91">
            <w:pPr>
              <w:spacing w:line="360" w:lineRule="auto"/>
              <w:jc w:val="left"/>
              <w:rPr>
                <w:rFonts w:ascii="宋体" w:hAnsi="宋体" w:cs="宋体"/>
                <w:kern w:val="0"/>
                <w:sz w:val="24"/>
              </w:rPr>
            </w:pPr>
            <w:r>
              <w:rPr>
                <w:rFonts w:hint="eastAsia" w:ascii="宋体" w:hAnsi="宋体" w:cs="宋体"/>
                <w:kern w:val="0"/>
                <w:sz w:val="24"/>
              </w:rPr>
              <w:t>质保期超过招标文件规定的，每增加1年加1分，最高得2分。</w:t>
            </w:r>
          </w:p>
        </w:tc>
        <w:tc>
          <w:tcPr>
            <w:tcW w:w="733" w:type="dxa"/>
            <w:vAlign w:val="center"/>
          </w:tcPr>
          <w:p w14:paraId="0C63EAF6">
            <w:pPr>
              <w:pStyle w:val="35"/>
              <w:spacing w:line="400" w:lineRule="exact"/>
              <w:ind w:firstLine="0" w:firstLineChars="0"/>
              <w:rPr>
                <w:rFonts w:ascii="宋体" w:eastAsia="宋体" w:cs="宋体"/>
                <w:color w:val="auto"/>
                <w:kern w:val="0"/>
              </w:rPr>
            </w:pPr>
            <w:r>
              <w:rPr>
                <w:rFonts w:hint="eastAsia" w:ascii="宋体" w:eastAsia="宋体" w:cs="宋体"/>
                <w:color w:val="auto"/>
                <w:kern w:val="0"/>
              </w:rPr>
              <w:t>2分</w:t>
            </w:r>
          </w:p>
        </w:tc>
      </w:tr>
      <w:tr w14:paraId="398A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746" w:type="dxa"/>
            <w:vAlign w:val="center"/>
          </w:tcPr>
          <w:p w14:paraId="28ADB14E">
            <w:pPr>
              <w:jc w:val="center"/>
              <w:rPr>
                <w:rFonts w:ascii="宋体" w:hAnsi="宋体" w:cs="仿宋"/>
                <w:spacing w:val="-3"/>
                <w:kern w:val="0"/>
                <w:sz w:val="24"/>
              </w:rPr>
            </w:pPr>
            <w:r>
              <w:rPr>
                <w:rFonts w:hint="eastAsia" w:ascii="宋体" w:hAnsi="宋体" w:cs="仿宋"/>
                <w:spacing w:val="-3"/>
                <w:kern w:val="0"/>
                <w:sz w:val="24"/>
              </w:rPr>
              <w:t>12</w:t>
            </w:r>
          </w:p>
        </w:tc>
        <w:tc>
          <w:tcPr>
            <w:tcW w:w="1489" w:type="dxa"/>
            <w:vAlign w:val="center"/>
          </w:tcPr>
          <w:p w14:paraId="1FD49531">
            <w:pPr>
              <w:pStyle w:val="19"/>
              <w:spacing w:before="120" w:beforeLines="50" w:after="120" w:afterLines="50" w:line="360" w:lineRule="auto"/>
              <w:ind w:firstLine="0"/>
              <w:jc w:val="left"/>
              <w:rPr>
                <w:rFonts w:hAnsi="宋体" w:cs="宋体"/>
                <w:spacing w:val="0"/>
                <w:kern w:val="0"/>
                <w:sz w:val="24"/>
                <w:szCs w:val="24"/>
              </w:rPr>
            </w:pPr>
            <w:r>
              <w:rPr>
                <w:rFonts w:hint="eastAsia" w:hAnsi="宋体" w:cs="宋体"/>
                <w:spacing w:val="0"/>
                <w:kern w:val="0"/>
                <w:sz w:val="24"/>
                <w:szCs w:val="24"/>
              </w:rPr>
              <w:t>售后服务优惠承诺</w:t>
            </w:r>
          </w:p>
        </w:tc>
        <w:tc>
          <w:tcPr>
            <w:tcW w:w="6607" w:type="dxa"/>
            <w:vAlign w:val="center"/>
          </w:tcPr>
          <w:p w14:paraId="6621DFEF">
            <w:pPr>
              <w:spacing w:line="360" w:lineRule="auto"/>
              <w:jc w:val="left"/>
              <w:rPr>
                <w:rFonts w:ascii="宋体" w:hAnsi="宋体" w:cs="宋体"/>
                <w:kern w:val="0"/>
                <w:sz w:val="24"/>
              </w:rPr>
            </w:pPr>
            <w:r>
              <w:rPr>
                <w:rFonts w:hint="eastAsia" w:ascii="宋体" w:hAnsi="宋体" w:cs="宋体"/>
                <w:kern w:val="0"/>
                <w:sz w:val="24"/>
              </w:rPr>
              <w:t>1.售后服务方案，包括但不限于售后服务的具体内容、售后人员配置表、售后服务人员资格、质保期满后的配件及易损件的清单等方面合理、科学、可行，</w:t>
            </w:r>
            <w:bookmarkStart w:id="93" w:name="OLE_LINK57"/>
            <w:bookmarkStart w:id="94" w:name="OLE_LINK58"/>
            <w:r>
              <w:rPr>
                <w:rFonts w:hint="eastAsia" w:ascii="宋体" w:hAnsi="宋体" w:cs="宋体"/>
                <w:kern w:val="0"/>
                <w:sz w:val="24"/>
              </w:rPr>
              <w:t>符合实际及项目需求，有针对性解释说明：3分；提供的措施基本全面，有针对性解释说明：2.5分；提供措施的不够全面，有针对性有解释说明2分；提供的措施不全面，有针对性解释说明：1.5分；提供的措施不全面，没有针对性有解释说明：1分；未提供不得分。</w:t>
            </w:r>
          </w:p>
          <w:bookmarkEnd w:id="93"/>
          <w:bookmarkEnd w:id="94"/>
          <w:p w14:paraId="2084A1C6">
            <w:pPr>
              <w:spacing w:line="360" w:lineRule="auto"/>
              <w:jc w:val="left"/>
              <w:rPr>
                <w:rFonts w:ascii="宋体" w:hAnsi="宋体" w:cs="宋体"/>
                <w:kern w:val="0"/>
                <w:sz w:val="24"/>
              </w:rPr>
            </w:pPr>
            <w:r>
              <w:rPr>
                <w:rFonts w:hint="eastAsia" w:ascii="宋体" w:hAnsi="宋体" w:cs="宋体"/>
                <w:kern w:val="0"/>
                <w:sz w:val="24"/>
              </w:rPr>
              <w:t>2.项目后期的维护流程完善，在项目实施过程中积极向采购人联系并有对接方案，能对存在问题以及处理方式做出分析，并有针对性的提出解决方案，符合实际及项目需求，有针对性解释说明：3分；提供的措施基本全面，有针对性解释说明：2.5分；提供措施的不够全面，有针对性有解释说明2分；提供的措施不全面，有针对性解释说明：1.5分；提供的措施不全面，没有针对性有解释说明：1分；未提供不得分。</w:t>
            </w:r>
          </w:p>
        </w:tc>
        <w:tc>
          <w:tcPr>
            <w:tcW w:w="733" w:type="dxa"/>
            <w:vAlign w:val="center"/>
          </w:tcPr>
          <w:p w14:paraId="7B8767A7">
            <w:pPr>
              <w:spacing w:line="398" w:lineRule="auto"/>
              <w:rPr>
                <w:rFonts w:ascii="宋体" w:hAnsi="宋体" w:cs="宋体"/>
                <w:kern w:val="0"/>
                <w:sz w:val="24"/>
              </w:rPr>
            </w:pPr>
            <w:r>
              <w:rPr>
                <w:rFonts w:hint="eastAsia" w:ascii="宋体" w:hAnsi="宋体" w:cs="宋体"/>
                <w:kern w:val="0"/>
                <w:sz w:val="24"/>
              </w:rPr>
              <w:t>6分</w:t>
            </w:r>
          </w:p>
        </w:tc>
      </w:tr>
      <w:tr w14:paraId="6AF4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46" w:type="dxa"/>
            <w:vAlign w:val="center"/>
          </w:tcPr>
          <w:p w14:paraId="66FF117B">
            <w:pPr>
              <w:jc w:val="center"/>
              <w:rPr>
                <w:rFonts w:ascii="宋体" w:hAnsi="宋体" w:cs="仿宋"/>
                <w:spacing w:val="-3"/>
                <w:kern w:val="0"/>
                <w:sz w:val="24"/>
              </w:rPr>
            </w:pPr>
            <w:r>
              <w:rPr>
                <w:rFonts w:hint="eastAsia" w:ascii="宋体" w:hAnsi="宋体" w:cs="仿宋"/>
                <w:spacing w:val="-3"/>
                <w:kern w:val="0"/>
                <w:sz w:val="24"/>
              </w:rPr>
              <w:t>13</w:t>
            </w:r>
          </w:p>
        </w:tc>
        <w:tc>
          <w:tcPr>
            <w:tcW w:w="1489" w:type="dxa"/>
            <w:vAlign w:val="center"/>
          </w:tcPr>
          <w:p w14:paraId="066ECBB6">
            <w:pPr>
              <w:pStyle w:val="19"/>
              <w:spacing w:before="120" w:beforeLines="50" w:after="120" w:afterLines="50" w:line="360" w:lineRule="auto"/>
              <w:ind w:firstLine="0"/>
              <w:jc w:val="left"/>
              <w:rPr>
                <w:rFonts w:hAnsi="宋体" w:cs="宋体"/>
                <w:spacing w:val="0"/>
                <w:kern w:val="0"/>
                <w:sz w:val="24"/>
                <w:szCs w:val="24"/>
              </w:rPr>
            </w:pPr>
            <w:r>
              <w:rPr>
                <w:rFonts w:hint="eastAsia" w:hAnsi="宋体" w:cs="宋体"/>
                <w:spacing w:val="0"/>
                <w:kern w:val="0"/>
                <w:sz w:val="24"/>
                <w:szCs w:val="24"/>
              </w:rPr>
              <w:t>培训方案</w:t>
            </w:r>
          </w:p>
        </w:tc>
        <w:tc>
          <w:tcPr>
            <w:tcW w:w="6607" w:type="dxa"/>
            <w:vAlign w:val="center"/>
          </w:tcPr>
          <w:p w14:paraId="559D6C9F">
            <w:pPr>
              <w:spacing w:line="360" w:lineRule="auto"/>
              <w:jc w:val="left"/>
              <w:rPr>
                <w:rFonts w:ascii="宋体" w:hAnsi="宋体" w:cs="宋体"/>
                <w:kern w:val="0"/>
                <w:sz w:val="24"/>
              </w:rPr>
            </w:pPr>
            <w:r>
              <w:rPr>
                <w:rFonts w:hint="eastAsia" w:ascii="宋体" w:hAnsi="宋体" w:cs="宋体"/>
                <w:kern w:val="0"/>
                <w:sz w:val="24"/>
              </w:rPr>
              <w:t>根据本项目要求，提供针对本项目制定的培训方案（</w:t>
            </w:r>
            <w:bookmarkStart w:id="95" w:name="OLE_LINK63"/>
            <w:bookmarkStart w:id="96" w:name="OLE_LINK64"/>
            <w:r>
              <w:rPr>
                <w:rFonts w:hint="eastAsia" w:ascii="宋体" w:hAnsi="宋体" w:cs="宋体"/>
                <w:kern w:val="0"/>
                <w:sz w:val="24"/>
              </w:rPr>
              <w:t>包括但不限于培训计划、培训内容、培训对象、培训时间、培训形式、培训课程等方面</w:t>
            </w:r>
            <w:bookmarkEnd w:id="95"/>
            <w:bookmarkEnd w:id="96"/>
            <w:r>
              <w:rPr>
                <w:rFonts w:hint="eastAsia" w:ascii="宋体" w:hAnsi="宋体" w:cs="宋体"/>
                <w:kern w:val="0"/>
                <w:sz w:val="24"/>
              </w:rPr>
              <w:t>）合</w:t>
            </w:r>
            <w:bookmarkStart w:id="97" w:name="OLE_LINK27"/>
            <w:bookmarkStart w:id="98" w:name="OLE_LINK26"/>
            <w:r>
              <w:rPr>
                <w:rFonts w:hint="eastAsia" w:ascii="宋体" w:hAnsi="宋体" w:cs="宋体"/>
                <w:kern w:val="0"/>
                <w:sz w:val="24"/>
              </w:rPr>
              <w:t>理、科学、可行，符合实际及项目需求，有针对性解释说明</w:t>
            </w:r>
            <w:bookmarkEnd w:id="97"/>
            <w:bookmarkEnd w:id="98"/>
            <w:r>
              <w:rPr>
                <w:rFonts w:hint="eastAsia" w:ascii="宋体" w:hAnsi="宋体" w:cs="宋体"/>
                <w:kern w:val="0"/>
                <w:sz w:val="24"/>
              </w:rPr>
              <w:t>：5分；提供的措施基本全面，有针对性解释说明：4分；提供措施的不够全面，有针对性有解释说明3分；提供的措施不全面，有针对性解释说明：2分；提供的措施不全面，没有针对性有解释说明：1分；未提供不得分。</w:t>
            </w:r>
          </w:p>
        </w:tc>
        <w:tc>
          <w:tcPr>
            <w:tcW w:w="733" w:type="dxa"/>
            <w:vAlign w:val="center"/>
          </w:tcPr>
          <w:p w14:paraId="02AE6CCD">
            <w:pPr>
              <w:spacing w:line="398" w:lineRule="auto"/>
              <w:rPr>
                <w:rFonts w:ascii="宋体" w:hAnsi="宋体" w:cs="宋体"/>
                <w:kern w:val="0"/>
                <w:sz w:val="24"/>
              </w:rPr>
            </w:pPr>
            <w:r>
              <w:rPr>
                <w:rFonts w:hint="eastAsia" w:ascii="宋体" w:hAnsi="宋体" w:cs="宋体"/>
                <w:kern w:val="0"/>
                <w:sz w:val="24"/>
              </w:rPr>
              <w:t>5分</w:t>
            </w:r>
          </w:p>
        </w:tc>
      </w:tr>
      <w:tr w14:paraId="4BC6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46" w:type="dxa"/>
            <w:vAlign w:val="center"/>
          </w:tcPr>
          <w:p w14:paraId="026C5ADD">
            <w:pPr>
              <w:jc w:val="center"/>
              <w:rPr>
                <w:rFonts w:ascii="宋体" w:hAnsi="宋体" w:cs="仿宋"/>
                <w:spacing w:val="-3"/>
                <w:kern w:val="0"/>
                <w:sz w:val="24"/>
              </w:rPr>
            </w:pPr>
            <w:r>
              <w:rPr>
                <w:rFonts w:hint="eastAsia" w:ascii="宋体" w:hAnsi="宋体" w:cs="仿宋"/>
                <w:spacing w:val="-3"/>
                <w:kern w:val="0"/>
                <w:sz w:val="24"/>
              </w:rPr>
              <w:t>14</w:t>
            </w:r>
          </w:p>
        </w:tc>
        <w:tc>
          <w:tcPr>
            <w:tcW w:w="1489" w:type="dxa"/>
            <w:vAlign w:val="center"/>
          </w:tcPr>
          <w:p w14:paraId="0DB33304">
            <w:pPr>
              <w:spacing w:line="396" w:lineRule="auto"/>
              <w:rPr>
                <w:rFonts w:ascii="宋体" w:hAnsi="宋体" w:cs="宋体"/>
                <w:kern w:val="0"/>
                <w:sz w:val="24"/>
              </w:rPr>
            </w:pPr>
            <w:r>
              <w:rPr>
                <w:rFonts w:hint="eastAsia" w:ascii="宋体" w:hAnsi="宋体" w:cs="宋体"/>
                <w:kern w:val="0"/>
                <w:sz w:val="24"/>
              </w:rPr>
              <w:t>响应时间</w:t>
            </w:r>
          </w:p>
        </w:tc>
        <w:tc>
          <w:tcPr>
            <w:tcW w:w="6607" w:type="dxa"/>
            <w:vAlign w:val="center"/>
          </w:tcPr>
          <w:p w14:paraId="77B631F2">
            <w:pPr>
              <w:spacing w:line="360" w:lineRule="auto"/>
              <w:jc w:val="left"/>
              <w:rPr>
                <w:rFonts w:ascii="宋体" w:hAnsi="宋体" w:cs="宋体"/>
                <w:kern w:val="0"/>
                <w:sz w:val="24"/>
              </w:rPr>
            </w:pPr>
            <w:r>
              <w:rPr>
                <w:rFonts w:hint="eastAsia" w:ascii="宋体" w:hAnsi="宋体" w:cs="宋体"/>
                <w:kern w:val="0"/>
                <w:sz w:val="24"/>
              </w:rPr>
              <w:t>在采购人有需求时接到通知（电话、电传等）后2小时内到现场响应得1分，每减少1小时加0.5分，最多得1.5分。</w:t>
            </w:r>
          </w:p>
        </w:tc>
        <w:tc>
          <w:tcPr>
            <w:tcW w:w="733" w:type="dxa"/>
            <w:vAlign w:val="center"/>
          </w:tcPr>
          <w:p w14:paraId="4E3FAA94">
            <w:pPr>
              <w:spacing w:line="398" w:lineRule="auto"/>
              <w:rPr>
                <w:rFonts w:ascii="宋体" w:hAnsi="宋体" w:cs="宋体"/>
                <w:kern w:val="0"/>
                <w:sz w:val="24"/>
              </w:rPr>
            </w:pPr>
            <w:r>
              <w:rPr>
                <w:rFonts w:hint="eastAsia" w:ascii="宋体" w:hAnsi="宋体" w:cs="宋体"/>
                <w:kern w:val="0"/>
                <w:sz w:val="24"/>
              </w:rPr>
              <w:t>1.5分</w:t>
            </w:r>
          </w:p>
        </w:tc>
      </w:tr>
      <w:bookmarkEnd w:id="56"/>
      <w:bookmarkEnd w:id="57"/>
      <w:bookmarkEnd w:id="58"/>
      <w:bookmarkEnd w:id="59"/>
      <w:bookmarkEnd w:id="60"/>
    </w:tbl>
    <w:p w14:paraId="4B0B2D0A">
      <w:pPr>
        <w:spacing w:before="120" w:beforeLines="50" w:after="120" w:afterLines="50" w:line="360" w:lineRule="auto"/>
        <w:ind w:firstLine="472" w:firstLineChars="196"/>
        <w:rPr>
          <w:rFonts w:ascii="宋体" w:hAnsi="宋体"/>
          <w:b/>
          <w:bCs/>
          <w:sz w:val="24"/>
        </w:rPr>
      </w:pPr>
      <w:r>
        <w:rPr>
          <w:rFonts w:hint="eastAsia" w:ascii="宋体" w:hAnsi="宋体"/>
          <w:b/>
          <w:bCs/>
          <w:sz w:val="24"/>
        </w:rPr>
        <w:t>（三）技术、商务、资信及其他分的计算</w:t>
      </w:r>
    </w:p>
    <w:bookmarkEnd w:id="61"/>
    <w:bookmarkEnd w:id="62"/>
    <w:bookmarkEnd w:id="63"/>
    <w:p w14:paraId="0AEA1BD5">
      <w:pPr>
        <w:spacing w:before="120" w:beforeLines="50" w:after="120" w:afterLines="50" w:line="360" w:lineRule="auto"/>
        <w:ind w:firstLine="470" w:firstLineChars="196"/>
        <w:rPr>
          <w:rFonts w:ascii="宋体" w:hAnsi="宋体"/>
          <w:sz w:val="24"/>
        </w:rPr>
      </w:pPr>
      <w:r>
        <w:rPr>
          <w:rFonts w:hint="eastAsia" w:ascii="宋体" w:hAnsi="宋体"/>
          <w:sz w:val="24"/>
        </w:rPr>
        <w:t>技术、商务、资信及其他分按照评标委员会</w:t>
      </w:r>
      <w:bookmarkEnd w:id="64"/>
      <w:r>
        <w:rPr>
          <w:rFonts w:hint="eastAsia" w:ascii="宋体" w:hAnsi="宋体"/>
          <w:sz w:val="24"/>
        </w:rPr>
        <w:t>成员的独立评分结果汇总数的算术平均分计算，计算公式为：技术商务资信分=（评标委员会所有成员评分合计数）/（评标委员会组成人员数）</w:t>
      </w:r>
    </w:p>
    <w:p w14:paraId="2F2266AA">
      <w:pPr>
        <w:pStyle w:val="2"/>
        <w:ind w:firstLine="560"/>
      </w:pPr>
    </w:p>
    <w:bookmarkEnd w:id="65"/>
    <w:bookmarkEnd w:id="66"/>
    <w:p w14:paraId="0223E76C">
      <w:pPr>
        <w:pStyle w:val="2"/>
        <w:ind w:firstLine="480"/>
        <w:jc w:val="center"/>
        <w:rPr>
          <w:rFonts w:ascii="黑体" w:hAnsi="宋体" w:eastAsia="黑体"/>
          <w:bCs/>
          <w:sz w:val="30"/>
          <w:szCs w:val="30"/>
        </w:rPr>
      </w:pPr>
      <w:r>
        <w:rPr>
          <w:rFonts w:ascii="宋体" w:hAnsi="宋体"/>
          <w:sz w:val="24"/>
        </w:rPr>
        <w:br w:type="page"/>
      </w:r>
      <w:r>
        <w:rPr>
          <w:rFonts w:hint="eastAsia" w:ascii="黑体" w:hAnsi="宋体" w:eastAsia="黑体"/>
          <w:sz w:val="30"/>
          <w:szCs w:val="30"/>
        </w:rPr>
        <w:t xml:space="preserve">第五章  </w:t>
      </w:r>
      <w:r>
        <w:rPr>
          <w:rFonts w:hint="eastAsia" w:ascii="黑体" w:hAnsi="宋体" w:eastAsia="黑体"/>
          <w:bCs/>
          <w:sz w:val="30"/>
          <w:szCs w:val="30"/>
        </w:rPr>
        <w:t>合同主要条款（供参考）</w:t>
      </w:r>
    </w:p>
    <w:p w14:paraId="75ABD573">
      <w:pPr>
        <w:spacing w:line="360" w:lineRule="auto"/>
        <w:jc w:val="center"/>
        <w:rPr>
          <w:rFonts w:ascii="宋体" w:hAnsi="宋体" w:cs="宋体"/>
          <w:b/>
          <w:sz w:val="30"/>
        </w:rPr>
      </w:pPr>
      <w:r>
        <w:rPr>
          <w:rFonts w:ascii="宋体" w:hAnsi="宋体" w:cs="宋体"/>
          <w:b/>
          <w:sz w:val="30"/>
        </w:rPr>
        <w:t>浙江省政府采购合同指引</w:t>
      </w:r>
    </w:p>
    <w:p w14:paraId="7E35C609">
      <w:pPr>
        <w:spacing w:line="360" w:lineRule="auto"/>
        <w:rPr>
          <w:rFonts w:ascii="宋体" w:hAnsi="宋体" w:cs="宋体"/>
          <w:sz w:val="24"/>
        </w:rPr>
      </w:pPr>
      <w:r>
        <w:rPr>
          <w:rFonts w:ascii="宋体" w:hAnsi="宋体" w:cs="宋体"/>
          <w:sz w:val="24"/>
        </w:rPr>
        <w:t>项目名称：                                       项目编号：</w:t>
      </w:r>
    </w:p>
    <w:p w14:paraId="3BBCE92E">
      <w:pPr>
        <w:spacing w:line="360" w:lineRule="auto"/>
        <w:rPr>
          <w:rFonts w:ascii="宋体" w:hAnsi="宋体" w:cs="宋体"/>
          <w:sz w:val="24"/>
        </w:rPr>
      </w:pPr>
      <w:r>
        <w:rPr>
          <w:rFonts w:ascii="宋体" w:hAnsi="宋体" w:cs="宋体"/>
          <w:sz w:val="24"/>
        </w:rPr>
        <w:t>甲方：（买方）</w:t>
      </w:r>
    </w:p>
    <w:p w14:paraId="2CCEF797">
      <w:pPr>
        <w:spacing w:line="360" w:lineRule="auto"/>
        <w:rPr>
          <w:rFonts w:ascii="宋体" w:hAnsi="宋体" w:cs="宋体"/>
          <w:sz w:val="24"/>
        </w:rPr>
      </w:pPr>
      <w:r>
        <w:rPr>
          <w:rFonts w:ascii="宋体" w:hAnsi="宋体" w:cs="宋体"/>
          <w:sz w:val="24"/>
        </w:rPr>
        <w:t>乙方：（卖方）</w:t>
      </w:r>
    </w:p>
    <w:p w14:paraId="5F1250FB">
      <w:pPr>
        <w:spacing w:line="360" w:lineRule="auto"/>
        <w:rPr>
          <w:rFonts w:ascii="宋体" w:hAnsi="宋体" w:cs="宋体"/>
          <w:b/>
          <w:sz w:val="24"/>
        </w:rPr>
      </w:pPr>
      <w:r>
        <w:rPr>
          <w:rFonts w:ascii="宋体" w:hAnsi="宋体" w:cs="宋体"/>
          <w:sz w:val="24"/>
        </w:rPr>
        <w:t>甲、乙双方根据</w:t>
      </w:r>
      <w:r>
        <w:rPr>
          <w:rFonts w:ascii="宋体" w:hAnsi="宋体" w:cs="宋体"/>
          <w:sz w:val="24"/>
          <w:u w:val="single"/>
        </w:rPr>
        <w:t>浙江华耀建设咨询有限公司关于</w:t>
      </w:r>
      <w:r>
        <w:rPr>
          <w:rFonts w:ascii="宋体" w:hAnsi="宋体" w:cs="宋体"/>
          <w:spacing w:val="-20"/>
          <w:sz w:val="24"/>
          <w:u w:val="single"/>
        </w:rPr>
        <w:t xml:space="preserve">吴兴高级中学生物实验室改造项目  </w:t>
      </w:r>
      <w:r>
        <w:rPr>
          <w:rFonts w:ascii="宋体" w:hAnsi="宋体" w:cs="宋体"/>
          <w:sz w:val="24"/>
          <w:u w:val="single"/>
        </w:rPr>
        <w:t>公开招标  的</w:t>
      </w:r>
      <w:r>
        <w:rPr>
          <w:rFonts w:ascii="宋体" w:hAnsi="宋体" w:cs="宋体"/>
          <w:sz w:val="24"/>
        </w:rPr>
        <w:t>结果，签署本合同。</w:t>
      </w:r>
    </w:p>
    <w:p w14:paraId="2A446454">
      <w:pPr>
        <w:spacing w:line="360" w:lineRule="auto"/>
        <w:rPr>
          <w:rFonts w:ascii="宋体" w:hAnsi="宋体" w:cs="宋体"/>
          <w:b/>
          <w:sz w:val="24"/>
        </w:rPr>
      </w:pPr>
      <w:r>
        <w:rPr>
          <w:rFonts w:ascii="宋体" w:hAnsi="宋体" w:cs="宋体"/>
          <w:b/>
          <w:sz w:val="24"/>
        </w:rPr>
        <w:t>一、货物内容</w:t>
      </w:r>
    </w:p>
    <w:p w14:paraId="2C919F7E">
      <w:pPr>
        <w:spacing w:line="360" w:lineRule="auto"/>
        <w:rPr>
          <w:rFonts w:ascii="宋体" w:hAnsi="宋体" w:cs="宋体"/>
          <w:spacing w:val="-20"/>
          <w:sz w:val="24"/>
          <w:u w:val="single"/>
        </w:rPr>
      </w:pPr>
      <w:r>
        <w:rPr>
          <w:rFonts w:ascii="宋体" w:hAnsi="宋体" w:cs="宋体"/>
          <w:sz w:val="24"/>
        </w:rPr>
        <w:t>1. 货物名称：</w:t>
      </w:r>
      <w:r>
        <w:rPr>
          <w:rFonts w:ascii="宋体" w:hAnsi="宋体" w:cs="宋体"/>
          <w:spacing w:val="-20"/>
          <w:sz w:val="24"/>
          <w:u w:val="single"/>
        </w:rPr>
        <w:t xml:space="preserve">吴兴高级中学生物实验室改造项目  </w:t>
      </w:r>
    </w:p>
    <w:p w14:paraId="4429F6A3">
      <w:pPr>
        <w:spacing w:line="360" w:lineRule="auto"/>
        <w:rPr>
          <w:rFonts w:ascii="宋体" w:hAnsi="宋体" w:cs="宋体"/>
          <w:sz w:val="24"/>
        </w:rPr>
      </w:pPr>
      <w:r>
        <w:rPr>
          <w:rFonts w:ascii="宋体" w:hAnsi="宋体" w:cs="宋体"/>
          <w:sz w:val="24"/>
        </w:rPr>
        <w:t>2. 型号规格：</w:t>
      </w:r>
    </w:p>
    <w:p w14:paraId="5DF8E17D">
      <w:pPr>
        <w:spacing w:line="360" w:lineRule="auto"/>
        <w:rPr>
          <w:rFonts w:ascii="宋体" w:hAnsi="宋体" w:cs="宋体"/>
          <w:sz w:val="24"/>
        </w:rPr>
      </w:pPr>
      <w:r>
        <w:rPr>
          <w:rFonts w:ascii="宋体" w:hAnsi="宋体" w:cs="宋体"/>
          <w:sz w:val="24"/>
        </w:rPr>
        <w:t>3. 技术参数：</w:t>
      </w:r>
    </w:p>
    <w:p w14:paraId="384583AB">
      <w:pPr>
        <w:spacing w:line="360" w:lineRule="auto"/>
        <w:rPr>
          <w:rFonts w:ascii="宋体" w:hAnsi="宋体" w:cs="宋体"/>
          <w:sz w:val="24"/>
        </w:rPr>
      </w:pPr>
      <w:r>
        <w:rPr>
          <w:rFonts w:ascii="宋体" w:hAnsi="宋体" w:cs="宋体"/>
          <w:sz w:val="24"/>
        </w:rPr>
        <w:t>4. 数量（单位）：</w:t>
      </w:r>
    </w:p>
    <w:p w14:paraId="2BFB9A6D">
      <w:pPr>
        <w:spacing w:line="360" w:lineRule="auto"/>
        <w:rPr>
          <w:rFonts w:ascii="宋体" w:hAnsi="宋体" w:cs="宋体"/>
          <w:b/>
          <w:sz w:val="24"/>
        </w:rPr>
      </w:pPr>
      <w:r>
        <w:rPr>
          <w:rFonts w:ascii="宋体" w:hAnsi="宋体" w:cs="宋体"/>
          <w:b/>
          <w:sz w:val="24"/>
        </w:rPr>
        <w:t>二、合同金额</w:t>
      </w:r>
    </w:p>
    <w:p w14:paraId="7FD7A11F">
      <w:pPr>
        <w:spacing w:line="360" w:lineRule="auto"/>
        <w:ind w:left="410" w:hanging="410"/>
        <w:rPr>
          <w:rFonts w:ascii="宋体" w:hAnsi="宋体" w:cs="宋体"/>
          <w:sz w:val="24"/>
        </w:rPr>
      </w:pPr>
      <w:r>
        <w:rPr>
          <w:rFonts w:ascii="宋体" w:hAnsi="宋体" w:cs="宋体"/>
          <w:sz w:val="24"/>
        </w:rPr>
        <w:t xml:space="preserve"> 本合同金额为（大写）：人民币_________________________元（￥_______________元）。</w:t>
      </w:r>
    </w:p>
    <w:p w14:paraId="697C9634">
      <w:pPr>
        <w:spacing w:line="360" w:lineRule="auto"/>
        <w:rPr>
          <w:rFonts w:ascii="宋体" w:hAnsi="宋体" w:cs="宋体"/>
          <w:b/>
          <w:sz w:val="24"/>
        </w:rPr>
      </w:pPr>
      <w:r>
        <w:rPr>
          <w:rFonts w:ascii="宋体" w:hAnsi="宋体" w:cs="宋体"/>
          <w:b/>
          <w:sz w:val="24"/>
        </w:rPr>
        <w:t>三、技术资料</w:t>
      </w:r>
    </w:p>
    <w:p w14:paraId="69905AFA">
      <w:pPr>
        <w:spacing w:line="360" w:lineRule="auto"/>
        <w:ind w:left="410" w:hanging="410"/>
        <w:rPr>
          <w:rFonts w:ascii="宋体" w:hAnsi="宋体" w:cs="宋体"/>
          <w:sz w:val="24"/>
        </w:rPr>
      </w:pPr>
      <w:r>
        <w:rPr>
          <w:rFonts w:ascii="宋体" w:hAnsi="宋体" w:cs="宋体"/>
          <w:sz w:val="24"/>
        </w:rPr>
        <w:t>1.乙方应按招标文件规定的时间向甲方提供使用货物的有关技术资料。</w:t>
      </w:r>
    </w:p>
    <w:p w14:paraId="368B4807">
      <w:pPr>
        <w:spacing w:line="360" w:lineRule="auto"/>
        <w:ind w:left="410" w:hanging="410"/>
        <w:rPr>
          <w:rFonts w:ascii="宋体" w:hAnsi="宋体" w:cs="宋体"/>
          <w:sz w:val="24"/>
        </w:rPr>
      </w:pPr>
      <w:r>
        <w:rPr>
          <w:rFonts w:ascii="宋体" w:hAnsi="宋体" w:cs="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94D2AE1">
      <w:pPr>
        <w:spacing w:line="360" w:lineRule="auto"/>
        <w:ind w:left="412" w:hanging="412"/>
        <w:rPr>
          <w:rFonts w:ascii="宋体" w:hAnsi="宋体" w:cs="宋体"/>
          <w:b/>
          <w:sz w:val="24"/>
        </w:rPr>
      </w:pPr>
      <w:r>
        <w:rPr>
          <w:rFonts w:ascii="宋体" w:hAnsi="宋体" w:cs="宋体"/>
          <w:b/>
          <w:sz w:val="24"/>
        </w:rPr>
        <w:t>四、知识产权</w:t>
      </w:r>
    </w:p>
    <w:p w14:paraId="4A307488">
      <w:pPr>
        <w:spacing w:line="360" w:lineRule="auto"/>
        <w:rPr>
          <w:rFonts w:ascii="宋体" w:hAnsi="宋体" w:cs="宋体"/>
          <w:sz w:val="24"/>
        </w:rPr>
      </w:pPr>
      <w:r>
        <w:rPr>
          <w:rFonts w:ascii="宋体" w:hAnsi="宋体" w:cs="宋体"/>
          <w:sz w:val="24"/>
        </w:rPr>
        <w:t>乙方应保证所提供的货物或其任何一部分均不会侵犯任何第三方的知识产权。</w:t>
      </w:r>
    </w:p>
    <w:p w14:paraId="2C205992">
      <w:pPr>
        <w:spacing w:line="360" w:lineRule="auto"/>
        <w:rPr>
          <w:rFonts w:ascii="宋体" w:hAnsi="宋体" w:cs="宋体"/>
          <w:sz w:val="24"/>
          <w:u w:val="single"/>
        </w:rPr>
      </w:pPr>
      <w:r>
        <w:rPr>
          <w:rFonts w:ascii="宋体" w:hAnsi="宋体" w:cs="宋体"/>
          <w:b/>
          <w:sz w:val="24"/>
        </w:rPr>
        <w:t>五、产权担保</w:t>
      </w:r>
    </w:p>
    <w:p w14:paraId="533A0E83">
      <w:pPr>
        <w:spacing w:line="360" w:lineRule="auto"/>
        <w:ind w:left="408" w:hanging="408"/>
        <w:rPr>
          <w:rFonts w:ascii="宋体" w:hAnsi="宋体" w:cs="宋体"/>
          <w:sz w:val="24"/>
          <w:u w:val="single"/>
        </w:rPr>
      </w:pPr>
      <w:r>
        <w:rPr>
          <w:rFonts w:ascii="宋体" w:hAnsi="宋体" w:cs="宋体"/>
          <w:sz w:val="24"/>
        </w:rPr>
        <w:t>乙方保证所交付的货物的所有权完全属于乙方且无任何抵押、查封等产权瑕疵。</w:t>
      </w:r>
    </w:p>
    <w:p w14:paraId="6F1C0D43">
      <w:pPr>
        <w:spacing w:line="360" w:lineRule="auto"/>
        <w:ind w:left="410" w:hanging="410"/>
        <w:rPr>
          <w:rFonts w:ascii="宋体" w:hAnsi="宋体" w:cs="宋体"/>
          <w:b/>
          <w:sz w:val="24"/>
        </w:rPr>
      </w:pPr>
      <w:r>
        <w:rPr>
          <w:rFonts w:ascii="宋体" w:hAnsi="宋体" w:cs="宋体"/>
          <w:b/>
          <w:sz w:val="24"/>
        </w:rPr>
        <w:t>六、履约保证金</w:t>
      </w:r>
    </w:p>
    <w:p w14:paraId="12EAB850">
      <w:pPr>
        <w:spacing w:line="360" w:lineRule="auto"/>
        <w:ind w:left="1"/>
        <w:rPr>
          <w:rFonts w:ascii="宋体" w:hAnsi="宋体" w:cs="宋体"/>
          <w:sz w:val="24"/>
        </w:rPr>
      </w:pPr>
      <w:r>
        <w:rPr>
          <w:rFonts w:ascii="宋体" w:hAnsi="宋体" w:cs="宋体"/>
          <w:sz w:val="24"/>
        </w:rPr>
        <w:t>本项目的履约保证金为合同价的1%；履约保证金形式为：现金或银行、保险公司出具的保函；中标人应根据采购人要求汇入采购人指定账号或提供保函。项目终验合格后，退还履约保证金。</w:t>
      </w:r>
    </w:p>
    <w:p w14:paraId="2CD2203C">
      <w:pPr>
        <w:spacing w:line="360" w:lineRule="auto"/>
        <w:ind w:left="1"/>
        <w:rPr>
          <w:rFonts w:ascii="宋体" w:hAnsi="宋体" w:cs="宋体"/>
          <w:b/>
          <w:sz w:val="24"/>
        </w:rPr>
      </w:pPr>
      <w:r>
        <w:rPr>
          <w:rFonts w:ascii="宋体" w:hAnsi="宋体" w:cs="宋体"/>
          <w:b/>
          <w:sz w:val="24"/>
        </w:rPr>
        <w:t>七、转包或分包</w:t>
      </w:r>
    </w:p>
    <w:p w14:paraId="3598413E">
      <w:pPr>
        <w:spacing w:line="360" w:lineRule="auto"/>
        <w:rPr>
          <w:rFonts w:ascii="宋体" w:hAnsi="宋体" w:cs="宋体"/>
          <w:sz w:val="24"/>
        </w:rPr>
      </w:pPr>
      <w:r>
        <w:rPr>
          <w:rFonts w:ascii="宋体" w:hAnsi="宋体" w:cs="宋体"/>
          <w:sz w:val="24"/>
        </w:rPr>
        <w:t>1.本合同范围的货物，应由乙方直接供应，不得转让他人供应；</w:t>
      </w:r>
    </w:p>
    <w:p w14:paraId="2B68B250">
      <w:pPr>
        <w:spacing w:line="360" w:lineRule="auto"/>
        <w:rPr>
          <w:rFonts w:ascii="宋体" w:hAnsi="宋体" w:cs="宋体"/>
          <w:sz w:val="24"/>
        </w:rPr>
      </w:pPr>
      <w:r>
        <w:rPr>
          <w:rFonts w:ascii="宋体" w:hAnsi="宋体" w:cs="宋体"/>
          <w:sz w:val="24"/>
        </w:rPr>
        <w:t>2.本项目不允许分包；</w:t>
      </w:r>
    </w:p>
    <w:p w14:paraId="463F41CE">
      <w:pPr>
        <w:spacing w:line="360" w:lineRule="auto"/>
        <w:rPr>
          <w:rFonts w:ascii="宋体" w:hAnsi="宋体" w:cs="宋体"/>
          <w:sz w:val="24"/>
        </w:rPr>
      </w:pPr>
      <w:r>
        <w:rPr>
          <w:rFonts w:ascii="宋体" w:hAnsi="宋体" w:cs="宋体"/>
          <w:sz w:val="24"/>
        </w:rPr>
        <w:t>3.如有转让和未经甲方同意的分包行为，甲方有权解除合同，没收履约保证金并追究乙方的违约责任。</w:t>
      </w:r>
    </w:p>
    <w:p w14:paraId="4AB88C8A">
      <w:pPr>
        <w:spacing w:line="360" w:lineRule="auto"/>
        <w:rPr>
          <w:rFonts w:ascii="宋体" w:hAnsi="宋体" w:cs="宋体"/>
          <w:sz w:val="24"/>
        </w:rPr>
      </w:pPr>
      <w:r>
        <w:rPr>
          <w:rFonts w:ascii="宋体" w:hAnsi="宋体" w:cs="宋体"/>
          <w:b/>
          <w:sz w:val="24"/>
        </w:rPr>
        <w:t>八、质保期</w:t>
      </w:r>
    </w:p>
    <w:p w14:paraId="057DDDC4">
      <w:pPr>
        <w:spacing w:line="360" w:lineRule="auto"/>
        <w:ind w:left="410" w:hanging="410"/>
        <w:rPr>
          <w:rFonts w:ascii="宋体" w:hAnsi="宋体" w:cs="宋体"/>
          <w:sz w:val="24"/>
        </w:rPr>
      </w:pPr>
      <w:r>
        <w:rPr>
          <w:rFonts w:ascii="宋体" w:hAnsi="宋体" w:cs="宋体"/>
          <w:sz w:val="24"/>
        </w:rPr>
        <w:t>1. 质保期：</w:t>
      </w:r>
      <w:r>
        <w:rPr>
          <w:rFonts w:hint="eastAsia" w:ascii="宋体" w:hAnsi="宋体" w:cs="宋体"/>
          <w:sz w:val="24"/>
        </w:rPr>
        <w:t xml:space="preserve"> </w:t>
      </w:r>
      <w:r>
        <w:rPr>
          <w:rFonts w:ascii="宋体" w:hAnsi="宋体" w:cs="宋体"/>
          <w:sz w:val="24"/>
        </w:rPr>
        <w:t>年。（自验收合格之日起计）</w:t>
      </w:r>
    </w:p>
    <w:p w14:paraId="30127D8A">
      <w:pPr>
        <w:spacing w:line="360" w:lineRule="auto"/>
        <w:rPr>
          <w:rFonts w:ascii="宋体" w:hAnsi="宋体" w:cs="宋体"/>
          <w:b/>
          <w:sz w:val="24"/>
        </w:rPr>
      </w:pPr>
      <w:r>
        <w:rPr>
          <w:rFonts w:ascii="宋体" w:hAnsi="宋体" w:cs="宋体"/>
          <w:b/>
          <w:sz w:val="24"/>
        </w:rPr>
        <w:t>九、交货期、交货方式及交货地点</w:t>
      </w:r>
    </w:p>
    <w:p w14:paraId="11E80859">
      <w:pPr>
        <w:spacing w:line="360" w:lineRule="auto"/>
        <w:rPr>
          <w:rFonts w:ascii="宋体" w:hAnsi="宋体" w:cs="宋体"/>
          <w:sz w:val="24"/>
        </w:rPr>
      </w:pPr>
      <w:r>
        <w:rPr>
          <w:rFonts w:ascii="宋体" w:hAnsi="宋体" w:cs="宋体"/>
          <w:sz w:val="24"/>
        </w:rPr>
        <w:t>1. 交货期：</w:t>
      </w:r>
      <w:r>
        <w:rPr>
          <w:rFonts w:hint="eastAsia" w:ascii="宋体" w:hAnsi="宋体"/>
          <w:sz w:val="24"/>
        </w:rPr>
        <w:t>合同生效且接到采购方通知后 日历天内</w:t>
      </w:r>
    </w:p>
    <w:p w14:paraId="612FEE08">
      <w:pPr>
        <w:spacing w:line="360" w:lineRule="auto"/>
        <w:rPr>
          <w:rFonts w:ascii="宋体" w:hAnsi="宋体" w:cs="宋体"/>
          <w:sz w:val="24"/>
        </w:rPr>
      </w:pPr>
      <w:r>
        <w:rPr>
          <w:rFonts w:ascii="宋体" w:hAnsi="宋体" w:cs="宋体"/>
          <w:sz w:val="24"/>
        </w:rPr>
        <w:t>2. 交货方式：</w:t>
      </w:r>
    </w:p>
    <w:p w14:paraId="16188B9E">
      <w:pPr>
        <w:spacing w:line="360" w:lineRule="auto"/>
        <w:rPr>
          <w:rFonts w:ascii="宋体" w:hAnsi="宋体" w:cs="宋体"/>
          <w:b/>
          <w:sz w:val="24"/>
        </w:rPr>
      </w:pPr>
      <w:r>
        <w:rPr>
          <w:rFonts w:ascii="宋体" w:hAnsi="宋体" w:cs="宋体"/>
          <w:sz w:val="24"/>
        </w:rPr>
        <w:t>3. 交货地点：采购人指定</w:t>
      </w:r>
    </w:p>
    <w:p w14:paraId="4B3F2A7F">
      <w:pPr>
        <w:spacing w:line="360" w:lineRule="auto"/>
        <w:rPr>
          <w:rFonts w:ascii="宋体" w:hAnsi="宋体" w:cs="宋体"/>
          <w:b/>
          <w:sz w:val="24"/>
        </w:rPr>
      </w:pPr>
      <w:r>
        <w:rPr>
          <w:rFonts w:ascii="宋体" w:hAnsi="宋体" w:cs="宋体"/>
          <w:b/>
          <w:sz w:val="24"/>
        </w:rPr>
        <w:t>十、货款支付</w:t>
      </w:r>
    </w:p>
    <w:p w14:paraId="0A8087E4">
      <w:pPr>
        <w:spacing w:line="360" w:lineRule="auto"/>
        <w:rPr>
          <w:rFonts w:ascii="宋体" w:hAnsi="宋体" w:cs="宋体"/>
          <w:sz w:val="24"/>
        </w:rPr>
      </w:pPr>
      <w:r>
        <w:rPr>
          <w:rFonts w:ascii="宋体" w:hAnsi="宋体" w:cs="宋体"/>
          <w:sz w:val="24"/>
        </w:rPr>
        <w:t>1. 根据《保障中小企业款项支付条例》、省财政厅《关于坚决打赢疫情防控阻击战进一步做好政府采购资金支持企业发展工作的通知》（浙财采监</w:t>
      </w:r>
      <w:r>
        <w:rPr>
          <w:rFonts w:hint="eastAsia" w:ascii="宋体" w:hAnsi="宋体" w:cs="宋体"/>
          <w:sz w:val="24"/>
        </w:rPr>
        <w:t>[</w:t>
      </w:r>
      <w:r>
        <w:rPr>
          <w:rFonts w:ascii="宋体" w:hAnsi="宋体" w:cs="宋体"/>
          <w:sz w:val="24"/>
        </w:rPr>
        <w:t>2022]3号）要求</w:t>
      </w:r>
      <w:r>
        <w:rPr>
          <w:rFonts w:hint="eastAsia" w:ascii="宋体" w:hAnsi="宋体" w:cs="宋体"/>
          <w:sz w:val="24"/>
        </w:rPr>
        <w:t>，</w:t>
      </w:r>
      <w:r>
        <w:rPr>
          <w:rFonts w:ascii="宋体" w:hAnsi="宋体" w:cs="宋体"/>
          <w:sz w:val="24"/>
        </w:rPr>
        <w:t>制定如以下付款方式：自采购合同生效及具备实施条件后7个工作日内支付预付款，也即合同金额的</w:t>
      </w:r>
      <w:r>
        <w:rPr>
          <w:rFonts w:hint="eastAsia" w:ascii="宋体" w:hAnsi="宋体" w:cs="宋体"/>
          <w:sz w:val="24"/>
        </w:rPr>
        <w:t>4</w:t>
      </w:r>
      <w:r>
        <w:rPr>
          <w:rFonts w:ascii="宋体" w:hAnsi="宋体" w:cs="宋体"/>
          <w:sz w:val="24"/>
        </w:rPr>
        <w:t>0%</w:t>
      </w:r>
      <w:r>
        <w:rPr>
          <w:rFonts w:hint="eastAsia" w:ascii="宋体" w:hAnsi="宋体" w:cs="宋体"/>
          <w:sz w:val="24"/>
        </w:rPr>
        <w:t>，</w:t>
      </w:r>
      <w:r>
        <w:rPr>
          <w:rFonts w:ascii="宋体" w:hAnsi="宋体" w:cs="宋体"/>
          <w:sz w:val="24"/>
        </w:rPr>
        <w:t>采购人在向供应商支付预付款之前，供应商向采购人提供与预付款金额相对应的担保措施，担保措施可以是银行、保险公司等金融机构出具的预付款保函或其他担保措施；供应商在完成本项目并经采购人验收合格后，供应商依法依规开具相应金额发票，采购人应自收到供应商开具的发票后14个工作日内支付合同金额剩余款项。注：签订合同时供应商明确表示无需预付款（由供应商签订合同代表手抄并签字，手写文字上加盖供应商公章）或者要求降低预付款比例的，采购人可在合同中另行约定。</w:t>
      </w:r>
    </w:p>
    <w:p w14:paraId="45F75C62">
      <w:pPr>
        <w:spacing w:line="360" w:lineRule="auto"/>
        <w:rPr>
          <w:rFonts w:ascii="宋体" w:hAnsi="宋体" w:cs="宋体"/>
          <w:sz w:val="24"/>
        </w:rPr>
      </w:pPr>
      <w:r>
        <w:rPr>
          <w:rFonts w:hint="eastAsia" w:ascii="宋体" w:hAnsi="宋体"/>
          <w:sz w:val="24"/>
        </w:rPr>
        <w:t>1、中标供应商在采购人每次付款前需开具增值税专用发票，</w:t>
      </w:r>
      <w:r>
        <w:rPr>
          <w:rFonts w:ascii="宋体" w:hAnsi="宋体" w:cs="宋体"/>
          <w:sz w:val="24"/>
        </w:rPr>
        <w:t>采购人应自收到供应商开具的发票后15日内将上述相关款项支付到合同约定的供应商账户。</w:t>
      </w:r>
    </w:p>
    <w:p w14:paraId="583CE518">
      <w:pPr>
        <w:spacing w:line="360" w:lineRule="auto"/>
        <w:rPr>
          <w:rFonts w:ascii="宋体" w:hAnsi="宋体" w:cs="宋体"/>
          <w:sz w:val="24"/>
        </w:rPr>
      </w:pPr>
      <w:r>
        <w:rPr>
          <w:rFonts w:ascii="宋体" w:hAnsi="宋体" w:cs="宋体"/>
          <w:sz w:val="24"/>
        </w:rPr>
        <w:t>2.当采购数量与实际使用数量不一致时，乙方应根据实际使用量供货，合同的最终结算金额按实际使用量乘以成交单价进行计算。</w:t>
      </w:r>
    </w:p>
    <w:p w14:paraId="721F018F">
      <w:pPr>
        <w:spacing w:line="360" w:lineRule="auto"/>
        <w:rPr>
          <w:rFonts w:ascii="宋体" w:hAnsi="宋体" w:cs="宋体"/>
          <w:b/>
          <w:sz w:val="24"/>
        </w:rPr>
      </w:pPr>
      <w:r>
        <w:rPr>
          <w:rFonts w:ascii="宋体" w:hAnsi="宋体" w:cs="宋体"/>
          <w:b/>
          <w:sz w:val="24"/>
        </w:rPr>
        <w:t>十一、税费</w:t>
      </w:r>
    </w:p>
    <w:p w14:paraId="38770CAE">
      <w:pPr>
        <w:spacing w:line="360" w:lineRule="auto"/>
        <w:rPr>
          <w:rFonts w:ascii="宋体" w:hAnsi="宋体" w:cs="宋体"/>
          <w:sz w:val="24"/>
        </w:rPr>
      </w:pPr>
      <w:r>
        <w:rPr>
          <w:rFonts w:ascii="宋体" w:hAnsi="宋体" w:cs="宋体"/>
          <w:sz w:val="24"/>
        </w:rPr>
        <w:t>本合同执行中相关的一切税费均由乙方负担。</w:t>
      </w:r>
    </w:p>
    <w:p w14:paraId="3F862243">
      <w:pPr>
        <w:spacing w:line="360" w:lineRule="auto"/>
        <w:ind w:left="412" w:hanging="412"/>
        <w:rPr>
          <w:rFonts w:ascii="宋体" w:hAnsi="宋体" w:cs="宋体"/>
          <w:sz w:val="24"/>
        </w:rPr>
      </w:pPr>
      <w:r>
        <w:rPr>
          <w:rFonts w:ascii="宋体" w:hAnsi="宋体" w:cs="宋体"/>
          <w:b/>
          <w:sz w:val="24"/>
        </w:rPr>
        <w:t>十二、质量保证及售后服务</w:t>
      </w:r>
    </w:p>
    <w:p w14:paraId="3937130B">
      <w:pPr>
        <w:spacing w:line="360" w:lineRule="auto"/>
        <w:rPr>
          <w:rFonts w:ascii="宋体" w:hAnsi="宋体" w:cs="宋体"/>
          <w:sz w:val="24"/>
        </w:rPr>
      </w:pPr>
      <w:r>
        <w:rPr>
          <w:rFonts w:ascii="宋体" w:hAnsi="宋体" w:cs="宋体"/>
          <w:sz w:val="24"/>
        </w:rPr>
        <w:t>1. 乙方应按招标文件规定的货物性能、技术要求、质量标准向甲方提供未经使用的全新合格产品。</w:t>
      </w:r>
    </w:p>
    <w:p w14:paraId="5CFD3941">
      <w:pPr>
        <w:spacing w:line="360" w:lineRule="auto"/>
        <w:rPr>
          <w:rFonts w:ascii="宋体" w:hAnsi="宋体" w:cs="宋体"/>
          <w:sz w:val="24"/>
        </w:rPr>
      </w:pPr>
      <w:r>
        <w:rPr>
          <w:rFonts w:ascii="宋体" w:hAnsi="宋体" w:cs="宋体"/>
          <w:sz w:val="24"/>
        </w:rPr>
        <w:t>2. 乙方提供的货物在质保期内因货物本身的质量问题发生故障，乙方应负责免费更换。对达不到技术要求者，根据实际情况，经双方协商，可按以下办法处理：</w:t>
      </w:r>
    </w:p>
    <w:p w14:paraId="280E48A0">
      <w:pPr>
        <w:spacing w:line="360" w:lineRule="auto"/>
        <w:ind w:firstLine="420"/>
        <w:rPr>
          <w:rFonts w:ascii="宋体" w:hAnsi="宋体" w:cs="宋体"/>
          <w:sz w:val="24"/>
        </w:rPr>
      </w:pPr>
      <w:r>
        <w:rPr>
          <w:rFonts w:ascii="宋体" w:hAnsi="宋体" w:cs="宋体"/>
          <w:sz w:val="24"/>
        </w:rPr>
        <w:t>⑴更换：由乙方承担所发生的全部费用。</w:t>
      </w:r>
    </w:p>
    <w:p w14:paraId="0DCD16EE">
      <w:pPr>
        <w:spacing w:line="360" w:lineRule="auto"/>
        <w:ind w:firstLine="420"/>
        <w:rPr>
          <w:rFonts w:ascii="宋体" w:hAnsi="宋体" w:cs="宋体"/>
          <w:sz w:val="24"/>
        </w:rPr>
      </w:pPr>
      <w:r>
        <w:rPr>
          <w:rFonts w:ascii="宋体" w:hAnsi="宋体" w:cs="宋体"/>
          <w:sz w:val="24"/>
        </w:rPr>
        <w:t>⑵贬值处理：由甲乙双方合议定价。</w:t>
      </w:r>
    </w:p>
    <w:p w14:paraId="0949E7A6">
      <w:pPr>
        <w:spacing w:line="360" w:lineRule="auto"/>
        <w:rPr>
          <w:rFonts w:ascii="宋体" w:hAnsi="宋体" w:cs="宋体"/>
          <w:sz w:val="24"/>
        </w:rPr>
      </w:pPr>
      <w:r>
        <w:rPr>
          <w:rFonts w:ascii="宋体" w:hAnsi="宋体" w:cs="宋体"/>
          <w:sz w:val="24"/>
        </w:rPr>
        <w:t>⑶退货处理：乙方应退还甲方支付的合同款，同时应承担该货物的直接费用（运输、保险、检验、货款利息及银行手续费等）。</w:t>
      </w:r>
    </w:p>
    <w:p w14:paraId="6B4F0DE7">
      <w:pPr>
        <w:spacing w:line="360" w:lineRule="auto"/>
        <w:rPr>
          <w:rFonts w:ascii="宋体" w:hAnsi="宋体" w:cs="宋体"/>
          <w:sz w:val="24"/>
        </w:rPr>
      </w:pPr>
      <w:r>
        <w:rPr>
          <w:rFonts w:ascii="宋体" w:hAnsi="宋体" w:cs="宋体"/>
          <w:sz w:val="24"/>
        </w:rPr>
        <w:t>3. 如在使用过程中发生质量问题，乙方在接到甲方通知后在△小时内到达甲方现场。</w:t>
      </w:r>
    </w:p>
    <w:p w14:paraId="1690CCB7">
      <w:pPr>
        <w:spacing w:line="360" w:lineRule="auto"/>
        <w:rPr>
          <w:rFonts w:ascii="宋体" w:hAnsi="宋体" w:cs="宋体"/>
          <w:sz w:val="24"/>
        </w:rPr>
      </w:pPr>
      <w:r>
        <w:rPr>
          <w:rFonts w:ascii="宋体" w:hAnsi="宋体" w:cs="宋体"/>
          <w:sz w:val="24"/>
        </w:rPr>
        <w:t>4. 在质保期内，乙方应对货物出现的质量及安全问题负责处理解决并承担一切费用。</w:t>
      </w:r>
    </w:p>
    <w:p w14:paraId="7887EB19">
      <w:pPr>
        <w:spacing w:line="360" w:lineRule="auto"/>
        <w:rPr>
          <w:rFonts w:ascii="宋体" w:hAnsi="宋体" w:cs="宋体"/>
          <w:sz w:val="24"/>
        </w:rPr>
      </w:pPr>
      <w:r>
        <w:rPr>
          <w:rFonts w:ascii="宋体" w:hAnsi="宋体" w:cs="宋体"/>
          <w:sz w:val="24"/>
        </w:rPr>
        <w:t>5.上述的货物免费保修期为 年，因人为因素出现的故障不在免费保修范围内。超过保修期的机器设备，</w:t>
      </w:r>
      <w:r>
        <w:rPr>
          <w:rFonts w:hint="eastAsia" w:ascii="宋体" w:hAnsi="宋体" w:cs="宋体"/>
          <w:sz w:val="24"/>
        </w:rPr>
        <w:t>终身维修</w:t>
      </w:r>
      <w:r>
        <w:rPr>
          <w:rFonts w:ascii="宋体" w:hAnsi="宋体" w:cs="宋体"/>
          <w:sz w:val="24"/>
        </w:rPr>
        <w:t>，维修时只收部件成本费。</w:t>
      </w:r>
    </w:p>
    <w:p w14:paraId="27E53DAA">
      <w:pPr>
        <w:spacing w:line="360" w:lineRule="auto"/>
        <w:rPr>
          <w:rFonts w:ascii="宋体" w:hAnsi="宋体" w:cs="宋体"/>
          <w:b/>
          <w:sz w:val="24"/>
        </w:rPr>
      </w:pPr>
      <w:r>
        <w:rPr>
          <w:rFonts w:ascii="宋体" w:hAnsi="宋体" w:cs="宋体"/>
          <w:b/>
          <w:sz w:val="24"/>
        </w:rPr>
        <w:t>十三、调试和验收</w:t>
      </w:r>
    </w:p>
    <w:p w14:paraId="504423A3">
      <w:pPr>
        <w:spacing w:line="360" w:lineRule="auto"/>
        <w:jc w:val="left"/>
        <w:rPr>
          <w:rFonts w:ascii="宋体" w:hAnsi="宋体" w:cs="宋体"/>
          <w:sz w:val="24"/>
        </w:rPr>
      </w:pPr>
      <w:r>
        <w:rPr>
          <w:rFonts w:ascii="宋体" w:hAnsi="宋体" w:cs="宋体"/>
          <w:sz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65D222EB">
      <w:pPr>
        <w:spacing w:line="360" w:lineRule="auto"/>
        <w:rPr>
          <w:rFonts w:ascii="宋体" w:hAnsi="宋体" w:cs="宋体"/>
          <w:sz w:val="24"/>
        </w:rPr>
      </w:pPr>
      <w:r>
        <w:rPr>
          <w:rFonts w:ascii="宋体" w:hAnsi="宋体" w:cs="宋体"/>
          <w:sz w:val="24"/>
        </w:rPr>
        <w:t>2. 乙方交货前应对产品作出全面检查和对验收文件进行整理，并列出清单，作为甲方收货验收和使用的技术条件依据，检验的结果应随货物交甲方。</w:t>
      </w:r>
    </w:p>
    <w:p w14:paraId="5662268A">
      <w:pPr>
        <w:spacing w:line="360" w:lineRule="auto"/>
        <w:rPr>
          <w:rFonts w:ascii="宋体" w:hAnsi="宋体" w:cs="宋体"/>
          <w:sz w:val="24"/>
          <w:u w:val="single"/>
        </w:rPr>
      </w:pPr>
      <w:r>
        <w:rPr>
          <w:rFonts w:ascii="宋体" w:hAnsi="宋体" w:cs="宋体"/>
          <w:sz w:val="24"/>
        </w:rPr>
        <w:t>3. 甲方对乙方提供的货物在使用前进行调试时，乙方需负责安装并培训甲方的使用操作人员，并协助甲方一起调试，直到符合技术要求，甲方才做最终验收。</w:t>
      </w:r>
    </w:p>
    <w:p w14:paraId="04D88014">
      <w:pPr>
        <w:spacing w:line="360" w:lineRule="auto"/>
        <w:rPr>
          <w:rFonts w:ascii="宋体" w:hAnsi="宋体" w:cs="宋体"/>
          <w:sz w:val="24"/>
        </w:rPr>
      </w:pPr>
      <w:r>
        <w:rPr>
          <w:rFonts w:ascii="宋体" w:hAnsi="宋体" w:cs="宋体"/>
          <w:sz w:val="24"/>
        </w:rPr>
        <w:t>4. 对技术复杂的货物，甲方应请国家认可的专业检测机构参与初步验收及最终验收，并由其出具质量检测报告。</w:t>
      </w:r>
    </w:p>
    <w:p w14:paraId="641901B7">
      <w:pPr>
        <w:spacing w:line="360" w:lineRule="auto"/>
        <w:rPr>
          <w:rFonts w:ascii="宋体" w:hAnsi="宋体" w:cs="宋体"/>
          <w:sz w:val="24"/>
        </w:rPr>
      </w:pPr>
      <w:r>
        <w:rPr>
          <w:rFonts w:ascii="宋体" w:hAnsi="宋体" w:cs="宋体"/>
          <w:sz w:val="24"/>
        </w:rPr>
        <w:t>5. 验收时乙方必须在现场，验收完毕后作出验收结果报告；验收费用由乙方负责。</w:t>
      </w:r>
    </w:p>
    <w:p w14:paraId="718602FE">
      <w:pPr>
        <w:spacing w:line="360" w:lineRule="auto"/>
        <w:rPr>
          <w:rFonts w:ascii="宋体" w:hAnsi="宋体" w:cs="宋体"/>
          <w:b/>
          <w:sz w:val="24"/>
        </w:rPr>
      </w:pPr>
      <w:r>
        <w:rPr>
          <w:rFonts w:ascii="宋体" w:hAnsi="宋体" w:cs="宋体"/>
          <w:b/>
          <w:sz w:val="24"/>
        </w:rPr>
        <w:t>十四、货物包装、发运及运输</w:t>
      </w:r>
    </w:p>
    <w:p w14:paraId="6FCC8379">
      <w:pPr>
        <w:spacing w:line="360" w:lineRule="auto"/>
        <w:rPr>
          <w:rFonts w:ascii="宋体" w:hAnsi="宋体" w:cs="宋体"/>
          <w:sz w:val="24"/>
        </w:rPr>
      </w:pPr>
      <w:r>
        <w:rPr>
          <w:rFonts w:ascii="宋体" w:hAnsi="宋体" w:cs="宋体"/>
          <w:sz w:val="24"/>
        </w:rPr>
        <w:t>1. 乙方应在货物发运前对其进行满足运输距离、防潮、防震、防锈和防破损装卸等要求包装，以保证货物安全运达甲方指定地点。</w:t>
      </w:r>
    </w:p>
    <w:p w14:paraId="044DF274">
      <w:pPr>
        <w:spacing w:line="360" w:lineRule="auto"/>
        <w:rPr>
          <w:rFonts w:ascii="宋体" w:hAnsi="宋体" w:cs="宋体"/>
          <w:sz w:val="24"/>
        </w:rPr>
      </w:pPr>
      <w:r>
        <w:rPr>
          <w:rFonts w:ascii="宋体" w:hAnsi="宋体" w:cs="宋体"/>
          <w:sz w:val="24"/>
        </w:rPr>
        <w:t>2. 使用说明书、质量检验证明书、随配附件和工具以及清单一并附于货物内。</w:t>
      </w:r>
    </w:p>
    <w:p w14:paraId="7AF96A03">
      <w:pPr>
        <w:spacing w:line="360" w:lineRule="auto"/>
        <w:rPr>
          <w:rFonts w:ascii="宋体" w:hAnsi="宋体" w:cs="宋体"/>
          <w:sz w:val="24"/>
        </w:rPr>
      </w:pPr>
      <w:r>
        <w:rPr>
          <w:rFonts w:ascii="宋体" w:hAnsi="宋体" w:cs="宋体"/>
          <w:sz w:val="24"/>
        </w:rPr>
        <w:t>3. 乙方在货物发运手续办理完毕后24小时内或货到甲方48小时前通知甲方，以准备接货。</w:t>
      </w:r>
    </w:p>
    <w:p w14:paraId="4F286B4A">
      <w:pPr>
        <w:spacing w:line="360" w:lineRule="auto"/>
        <w:rPr>
          <w:rFonts w:ascii="宋体" w:hAnsi="宋体" w:cs="宋体"/>
          <w:sz w:val="24"/>
        </w:rPr>
      </w:pPr>
      <w:r>
        <w:rPr>
          <w:rFonts w:ascii="宋体" w:hAnsi="宋体" w:cs="宋体"/>
          <w:sz w:val="24"/>
        </w:rPr>
        <w:t>4. 货物在交付甲方前发生的风险均由乙方负责。</w:t>
      </w:r>
    </w:p>
    <w:p w14:paraId="02DAC38E">
      <w:pPr>
        <w:spacing w:line="360" w:lineRule="auto"/>
        <w:rPr>
          <w:rFonts w:ascii="宋体" w:hAnsi="宋体" w:cs="宋体"/>
          <w:sz w:val="24"/>
        </w:rPr>
      </w:pPr>
      <w:r>
        <w:rPr>
          <w:rFonts w:ascii="宋体" w:hAnsi="宋体" w:cs="宋体"/>
          <w:sz w:val="24"/>
        </w:rPr>
        <w:t>5. 货物在规定的交付期限内由乙方送达甲方指定的地点视为交付，乙方同时需通知甲方货物已送达。</w:t>
      </w:r>
    </w:p>
    <w:p w14:paraId="28915F52">
      <w:pPr>
        <w:spacing w:line="360" w:lineRule="auto"/>
        <w:rPr>
          <w:rFonts w:ascii="宋体" w:hAnsi="宋体" w:cs="宋体"/>
          <w:b/>
          <w:sz w:val="24"/>
        </w:rPr>
      </w:pPr>
      <w:r>
        <w:rPr>
          <w:rFonts w:ascii="宋体" w:hAnsi="宋体" w:cs="宋体"/>
          <w:b/>
          <w:sz w:val="24"/>
        </w:rPr>
        <w:t>十五、违约责任</w:t>
      </w:r>
    </w:p>
    <w:p w14:paraId="3B2E39D8">
      <w:pPr>
        <w:spacing w:line="360" w:lineRule="auto"/>
        <w:rPr>
          <w:rFonts w:ascii="宋体" w:hAnsi="宋体" w:cs="宋体"/>
          <w:sz w:val="24"/>
        </w:rPr>
      </w:pPr>
      <w:r>
        <w:rPr>
          <w:rFonts w:ascii="宋体" w:hAnsi="宋体" w:cs="宋体"/>
          <w:sz w:val="24"/>
        </w:rPr>
        <w:t>1. 甲方无正当理由拒收货物的，甲方向乙方偿付拒收货款总值的百分之五违约金。</w:t>
      </w:r>
    </w:p>
    <w:p w14:paraId="6EC7D72D">
      <w:pPr>
        <w:spacing w:line="360" w:lineRule="auto"/>
        <w:rPr>
          <w:rFonts w:ascii="宋体" w:hAnsi="宋体" w:cs="宋体"/>
          <w:sz w:val="24"/>
        </w:rPr>
      </w:pPr>
      <w:r>
        <w:rPr>
          <w:rFonts w:ascii="宋体" w:hAnsi="宋体" w:cs="宋体"/>
          <w:sz w:val="24"/>
        </w:rPr>
        <w:t>2. 甲方无故逾期验收和办理货款支付手续的</w:t>
      </w:r>
      <w:r>
        <w:rPr>
          <w:rFonts w:hint="eastAsia" w:ascii="宋体" w:hAnsi="宋体" w:cs="宋体"/>
          <w:sz w:val="24"/>
        </w:rPr>
        <w:t>，</w:t>
      </w:r>
      <w:r>
        <w:rPr>
          <w:rFonts w:ascii="宋体" w:hAnsi="宋体" w:cs="宋体"/>
          <w:sz w:val="24"/>
        </w:rPr>
        <w:t>甲方应按逾期付款总额每日万分之五向乙方支付违约金。</w:t>
      </w:r>
    </w:p>
    <w:p w14:paraId="1DB434FD">
      <w:pPr>
        <w:spacing w:line="360" w:lineRule="auto"/>
        <w:rPr>
          <w:rFonts w:ascii="宋体" w:hAnsi="宋体" w:cs="宋体"/>
          <w:sz w:val="24"/>
        </w:rPr>
      </w:pPr>
      <w:r>
        <w:rPr>
          <w:rFonts w:ascii="宋体" w:hAnsi="宋体" w:cs="宋体"/>
          <w:sz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01291A4">
      <w:pPr>
        <w:spacing w:line="360" w:lineRule="auto"/>
        <w:rPr>
          <w:rFonts w:ascii="宋体" w:hAnsi="宋体" w:cs="宋体"/>
          <w:sz w:val="24"/>
        </w:rPr>
      </w:pPr>
      <w:r>
        <w:rPr>
          <w:rFonts w:ascii="宋体" w:hAnsi="宋体" w:cs="宋体"/>
          <w:sz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DF569E0">
      <w:pPr>
        <w:spacing w:line="360" w:lineRule="auto"/>
        <w:rPr>
          <w:rFonts w:ascii="宋体" w:hAnsi="宋体" w:cs="宋体"/>
          <w:b/>
          <w:sz w:val="24"/>
        </w:rPr>
      </w:pPr>
      <w:r>
        <w:rPr>
          <w:rFonts w:ascii="宋体" w:hAnsi="宋体" w:cs="宋体"/>
          <w:b/>
          <w:sz w:val="24"/>
        </w:rPr>
        <w:t>十六、不可抗力事件处理</w:t>
      </w:r>
    </w:p>
    <w:p w14:paraId="275C12E9">
      <w:pPr>
        <w:spacing w:line="360" w:lineRule="auto"/>
        <w:rPr>
          <w:rFonts w:ascii="宋体" w:hAnsi="宋体" w:cs="宋体"/>
          <w:sz w:val="24"/>
        </w:rPr>
      </w:pPr>
      <w:r>
        <w:rPr>
          <w:rFonts w:ascii="宋体" w:hAnsi="宋体" w:cs="宋体"/>
          <w:sz w:val="24"/>
        </w:rPr>
        <w:t>1. 在合同有效期内，任何一方因不可抗力事件导致不能履行合同，则合同履行期可延长，其延长期与不可抗力影响期相同。</w:t>
      </w:r>
    </w:p>
    <w:p w14:paraId="2CCE6F4F">
      <w:pPr>
        <w:spacing w:line="360" w:lineRule="auto"/>
        <w:rPr>
          <w:rFonts w:ascii="宋体" w:hAnsi="宋体" w:cs="宋体"/>
          <w:sz w:val="24"/>
        </w:rPr>
      </w:pPr>
      <w:r>
        <w:rPr>
          <w:rFonts w:ascii="宋体" w:hAnsi="宋体" w:cs="宋体"/>
          <w:sz w:val="24"/>
        </w:rPr>
        <w:t>2. 不可抗力事件发生后，应立即通知对方，并寄送有关权威机构出具的证明。</w:t>
      </w:r>
    </w:p>
    <w:p w14:paraId="6081E75A">
      <w:pPr>
        <w:spacing w:line="360" w:lineRule="auto"/>
        <w:rPr>
          <w:rFonts w:ascii="宋体" w:hAnsi="宋体" w:cs="宋体"/>
          <w:sz w:val="24"/>
        </w:rPr>
      </w:pPr>
      <w:r>
        <w:rPr>
          <w:rFonts w:ascii="宋体" w:hAnsi="宋体" w:cs="宋体"/>
          <w:sz w:val="24"/>
        </w:rPr>
        <w:t>3. 不可抗力事件延续120天以上，双方应通过友好协商，确定是否继续履行合同。</w:t>
      </w:r>
    </w:p>
    <w:p w14:paraId="63BD06AD">
      <w:pPr>
        <w:spacing w:line="360" w:lineRule="auto"/>
        <w:rPr>
          <w:rFonts w:ascii="宋体" w:hAnsi="宋体" w:cs="宋体"/>
          <w:b/>
          <w:sz w:val="24"/>
        </w:rPr>
      </w:pPr>
      <w:r>
        <w:rPr>
          <w:rFonts w:ascii="宋体" w:hAnsi="宋体" w:cs="宋体"/>
          <w:b/>
          <w:sz w:val="24"/>
        </w:rPr>
        <w:t>十七、诉讼</w:t>
      </w:r>
    </w:p>
    <w:p w14:paraId="4CFFF184">
      <w:pPr>
        <w:spacing w:line="360" w:lineRule="auto"/>
        <w:rPr>
          <w:rFonts w:ascii="宋体" w:hAnsi="宋体" w:cs="宋体"/>
          <w:sz w:val="24"/>
        </w:rPr>
      </w:pPr>
      <w:r>
        <w:rPr>
          <w:rFonts w:ascii="宋体" w:hAnsi="宋体" w:cs="宋体"/>
          <w:sz w:val="24"/>
        </w:rPr>
        <w:t xml:space="preserve"> 双方在执行合同中所发生的一切争议，应通过协商解决。如协商不成，可向甲方所在地法院起诉。</w:t>
      </w:r>
    </w:p>
    <w:p w14:paraId="1A25CFEB">
      <w:pPr>
        <w:spacing w:line="360" w:lineRule="auto"/>
        <w:rPr>
          <w:rFonts w:ascii="宋体" w:hAnsi="宋体" w:cs="宋体"/>
          <w:b/>
          <w:sz w:val="24"/>
        </w:rPr>
      </w:pPr>
      <w:r>
        <w:rPr>
          <w:rFonts w:ascii="宋体" w:hAnsi="宋体" w:cs="宋体"/>
          <w:b/>
          <w:sz w:val="24"/>
        </w:rPr>
        <w:t>十八、合同生效及其它</w:t>
      </w:r>
    </w:p>
    <w:p w14:paraId="03C2D9DD">
      <w:pPr>
        <w:spacing w:line="360" w:lineRule="auto"/>
        <w:rPr>
          <w:rFonts w:ascii="宋体" w:hAnsi="宋体" w:cs="宋体"/>
          <w:sz w:val="24"/>
        </w:rPr>
      </w:pPr>
      <w:r>
        <w:rPr>
          <w:rFonts w:ascii="宋体" w:hAnsi="宋体" w:cs="宋体"/>
          <w:sz w:val="24"/>
        </w:rPr>
        <w:t>1.合同经双方法定代表人或授权代表签字并加盖单位公章后生效。</w:t>
      </w:r>
    </w:p>
    <w:p w14:paraId="54807649">
      <w:pPr>
        <w:spacing w:line="360" w:lineRule="auto"/>
        <w:rPr>
          <w:rFonts w:ascii="宋体" w:hAnsi="宋体" w:cs="宋体"/>
          <w:sz w:val="24"/>
        </w:rPr>
      </w:pPr>
      <w:r>
        <w:rPr>
          <w:rFonts w:ascii="宋体" w:hAnsi="宋体" w:cs="宋体"/>
          <w:sz w:val="24"/>
        </w:rPr>
        <w:t>2.合同执行中涉及采购资金和采购内容修改或补充的，须经财政部门审批，并签书面补充协议报政府采购监督管理部门备案，方可作为主合同不可分割的一部分。</w:t>
      </w:r>
    </w:p>
    <w:p w14:paraId="78980837">
      <w:pPr>
        <w:spacing w:line="360" w:lineRule="auto"/>
        <w:ind w:left="480" w:hanging="480"/>
        <w:rPr>
          <w:rFonts w:ascii="宋体" w:hAnsi="宋体" w:cs="宋体"/>
          <w:sz w:val="24"/>
        </w:rPr>
      </w:pPr>
      <w:r>
        <w:rPr>
          <w:rFonts w:ascii="宋体" w:hAnsi="宋体" w:cs="宋体"/>
          <w:sz w:val="24"/>
        </w:rPr>
        <w:t>3.本合同未尽事宜，遵照《中华人民共和国民法典》有关条文执行。</w:t>
      </w:r>
    </w:p>
    <w:p w14:paraId="5029D0CB">
      <w:pPr>
        <w:spacing w:line="360" w:lineRule="auto"/>
        <w:rPr>
          <w:rFonts w:ascii="宋体" w:hAnsi="宋体" w:cs="宋体"/>
          <w:sz w:val="24"/>
        </w:rPr>
      </w:pPr>
      <w:r>
        <w:rPr>
          <w:rFonts w:ascii="宋体" w:hAnsi="宋体" w:cs="宋体"/>
          <w:sz w:val="24"/>
        </w:rPr>
        <w:t>4.本合同正本一式六份，具有同等法律效力，甲方执三份，乙方执二份，采购代理机构执一份。</w:t>
      </w:r>
    </w:p>
    <w:p w14:paraId="3B242F55">
      <w:pPr>
        <w:spacing w:line="360" w:lineRule="auto"/>
        <w:ind w:left="480" w:hanging="480"/>
        <w:rPr>
          <w:rFonts w:ascii="宋体" w:hAnsi="宋体" w:cs="宋体"/>
          <w:sz w:val="24"/>
        </w:rPr>
      </w:pPr>
      <w:r>
        <w:rPr>
          <w:rFonts w:ascii="宋体" w:hAnsi="宋体" w:cs="宋体"/>
          <w:sz w:val="24"/>
        </w:rPr>
        <w:t xml:space="preserve">  甲方：                                   乙方： </w:t>
      </w:r>
    </w:p>
    <w:p w14:paraId="264CF551">
      <w:pPr>
        <w:spacing w:line="360" w:lineRule="auto"/>
        <w:rPr>
          <w:rFonts w:ascii="宋体" w:hAnsi="宋体" w:cs="宋体"/>
          <w:sz w:val="24"/>
        </w:rPr>
      </w:pPr>
      <w:r>
        <w:rPr>
          <w:rFonts w:ascii="宋体" w:hAnsi="宋体" w:cs="宋体"/>
          <w:sz w:val="24"/>
        </w:rPr>
        <w:t xml:space="preserve">  地址：                                   地址： </w:t>
      </w:r>
    </w:p>
    <w:p w14:paraId="3DD658F9">
      <w:pPr>
        <w:spacing w:line="360" w:lineRule="auto"/>
        <w:rPr>
          <w:rFonts w:ascii="宋体" w:hAnsi="宋体" w:cs="宋体"/>
          <w:sz w:val="24"/>
        </w:rPr>
      </w:pPr>
      <w:r>
        <w:rPr>
          <w:rFonts w:ascii="宋体" w:hAnsi="宋体" w:cs="宋体"/>
          <w:sz w:val="24"/>
        </w:rPr>
        <w:t xml:space="preserve">  法定（授权）代表人：                     法定（授权）代表人：</w:t>
      </w:r>
    </w:p>
    <w:p w14:paraId="359F5309">
      <w:pPr>
        <w:snapToGrid w:val="0"/>
        <w:spacing w:line="360" w:lineRule="auto"/>
        <w:ind w:firstLine="3720" w:firstLineChars="1550"/>
        <w:rPr>
          <w:sz w:val="30"/>
          <w:szCs w:val="30"/>
        </w:rPr>
      </w:pPr>
      <w:r>
        <w:rPr>
          <w:rFonts w:ascii="宋体" w:hAnsi="宋体" w:cs="宋体"/>
          <w:sz w:val="24"/>
        </w:rPr>
        <w:t xml:space="preserve">  签字日期：      年  月  日               签字日期：      年  月  日</w:t>
      </w:r>
      <w:r>
        <w:br w:type="page"/>
      </w:r>
      <w:r>
        <w:rPr>
          <w:rFonts w:hint="eastAsia"/>
        </w:rPr>
        <w:t xml:space="preserve">                            </w:t>
      </w:r>
      <w:r>
        <w:rPr>
          <w:rFonts w:hint="eastAsia"/>
          <w:sz w:val="30"/>
          <w:szCs w:val="30"/>
        </w:rPr>
        <w:t>第六章　投标文件格式</w:t>
      </w:r>
    </w:p>
    <w:p w14:paraId="21625498">
      <w:pPr>
        <w:snapToGrid w:val="0"/>
        <w:spacing w:line="360" w:lineRule="auto"/>
        <w:jc w:val="center"/>
        <w:outlineLvl w:val="1"/>
        <w:rPr>
          <w:rFonts w:ascii="宋体" w:hAnsi="宋体"/>
          <w:b/>
          <w:bCs/>
          <w:sz w:val="24"/>
        </w:rPr>
      </w:pPr>
      <w:r>
        <w:rPr>
          <w:rFonts w:hint="eastAsia" w:ascii="宋体" w:hAnsi="宋体"/>
          <w:b/>
          <w:bCs/>
          <w:sz w:val="24"/>
        </w:rPr>
        <w:t>一、资格文件格式</w:t>
      </w:r>
    </w:p>
    <w:p w14:paraId="2ADF6BB7">
      <w:pPr>
        <w:snapToGrid w:val="0"/>
        <w:spacing w:line="360" w:lineRule="auto"/>
        <w:jc w:val="center"/>
        <w:rPr>
          <w:rFonts w:ascii="宋体" w:hAnsi="宋体"/>
          <w:sz w:val="24"/>
          <w:szCs w:val="20"/>
        </w:rPr>
      </w:pPr>
    </w:p>
    <w:p w14:paraId="08E227F5">
      <w:pPr>
        <w:snapToGrid w:val="0"/>
        <w:spacing w:line="360" w:lineRule="auto"/>
        <w:rPr>
          <w:rFonts w:ascii="宋体" w:hAnsi="宋体"/>
          <w:sz w:val="24"/>
          <w:szCs w:val="20"/>
        </w:rPr>
      </w:pPr>
      <w:r>
        <w:rPr>
          <w:rFonts w:hint="eastAsia" w:ascii="宋体" w:hAnsi="宋体"/>
          <w:sz w:val="24"/>
        </w:rPr>
        <w:t>1.资格文件封面格式：</w:t>
      </w:r>
      <w:r>
        <w:rPr>
          <w:rFonts w:ascii="宋体" w:hAnsi="宋体"/>
          <w:sz w:val="24"/>
        </w:rPr>
        <w:t xml:space="preserve"> </w:t>
      </w:r>
    </w:p>
    <w:p w14:paraId="1743B646">
      <w:pPr>
        <w:snapToGrid w:val="0"/>
        <w:spacing w:line="360" w:lineRule="auto"/>
        <w:rPr>
          <w:rFonts w:ascii="宋体" w:hAnsi="宋体"/>
          <w:b/>
          <w:bCs/>
          <w:sz w:val="32"/>
          <w:szCs w:val="20"/>
        </w:rPr>
      </w:pPr>
      <w:r>
        <w:rPr>
          <w:rFonts w:ascii="宋体" w:hAnsi="宋体"/>
          <w:sz w:val="24"/>
        </w:rPr>
        <w:t xml:space="preserve">                                                    </w:t>
      </w:r>
      <w:r>
        <w:rPr>
          <w:rFonts w:hint="eastAsia" w:ascii="宋体" w:hAnsi="宋体"/>
          <w:b/>
          <w:bCs/>
        </w:rPr>
        <w:t>正本</w:t>
      </w:r>
      <w:r>
        <w:rPr>
          <w:rFonts w:ascii="宋体" w:hAnsi="宋体"/>
          <w:b/>
          <w:bCs/>
        </w:rPr>
        <w:t>/</w:t>
      </w:r>
      <w:r>
        <w:rPr>
          <w:rFonts w:hint="eastAsia" w:ascii="宋体" w:hAnsi="宋体"/>
          <w:b/>
          <w:bCs/>
        </w:rPr>
        <w:t>或副本</w:t>
      </w:r>
    </w:p>
    <w:p w14:paraId="3D1E8E1C">
      <w:pPr>
        <w:snapToGrid w:val="0"/>
        <w:spacing w:line="360" w:lineRule="auto"/>
        <w:jc w:val="center"/>
        <w:rPr>
          <w:rFonts w:ascii="宋体" w:hAnsi="宋体"/>
          <w:bCs/>
          <w:sz w:val="24"/>
          <w:szCs w:val="20"/>
        </w:rPr>
      </w:pPr>
    </w:p>
    <w:p w14:paraId="3D891D8A">
      <w:pPr>
        <w:snapToGrid w:val="0"/>
        <w:spacing w:line="360" w:lineRule="auto"/>
        <w:jc w:val="center"/>
        <w:rPr>
          <w:rFonts w:ascii="宋体" w:hAnsi="宋体"/>
          <w:bCs/>
          <w:sz w:val="24"/>
          <w:szCs w:val="20"/>
        </w:rPr>
      </w:pPr>
      <w:r>
        <w:rPr>
          <w:rFonts w:hint="eastAsia" w:ascii="宋体" w:hAnsi="宋体"/>
          <w:bCs/>
          <w:sz w:val="24"/>
        </w:rPr>
        <w:t>资 格 文</w:t>
      </w:r>
      <w:r>
        <w:rPr>
          <w:rFonts w:ascii="宋体" w:hAnsi="宋体"/>
          <w:bCs/>
          <w:sz w:val="24"/>
        </w:rPr>
        <w:t xml:space="preserve"> </w:t>
      </w:r>
      <w:r>
        <w:rPr>
          <w:rFonts w:hint="eastAsia" w:ascii="宋体" w:hAnsi="宋体"/>
          <w:bCs/>
          <w:sz w:val="24"/>
        </w:rPr>
        <w:t>件</w:t>
      </w:r>
    </w:p>
    <w:p w14:paraId="672F6EA6">
      <w:pPr>
        <w:snapToGrid w:val="0"/>
        <w:spacing w:line="360" w:lineRule="auto"/>
        <w:rPr>
          <w:rFonts w:ascii="宋体" w:hAnsi="宋体"/>
          <w:bCs/>
          <w:sz w:val="24"/>
          <w:szCs w:val="20"/>
        </w:rPr>
      </w:pPr>
    </w:p>
    <w:p w14:paraId="7D5DFCB9">
      <w:pPr>
        <w:snapToGrid w:val="0"/>
        <w:spacing w:line="360" w:lineRule="auto"/>
        <w:ind w:left="2237" w:leftChars="456" w:hanging="960" w:hangingChars="400"/>
        <w:rPr>
          <w:rFonts w:ascii="宋体" w:hAnsi="宋体"/>
          <w:bCs/>
          <w:sz w:val="24"/>
          <w:szCs w:val="20"/>
        </w:rPr>
      </w:pPr>
      <w:r>
        <w:rPr>
          <w:rFonts w:hint="eastAsia" w:ascii="宋体" w:hAnsi="宋体"/>
          <w:bCs/>
          <w:sz w:val="24"/>
        </w:rPr>
        <w:t>项目名称：</w:t>
      </w:r>
      <w:r>
        <w:rPr>
          <w:rFonts w:hint="eastAsia" w:ascii="宋体" w:hAnsi="宋体"/>
          <w:spacing w:val="-20"/>
          <w:sz w:val="24"/>
        </w:rPr>
        <w:t>吴兴高级中学生物实验室改造项目</w:t>
      </w:r>
    </w:p>
    <w:p w14:paraId="5730013B">
      <w:pPr>
        <w:snapToGrid w:val="0"/>
        <w:spacing w:line="360" w:lineRule="auto"/>
        <w:ind w:firstLine="480" w:firstLineChars="200"/>
        <w:rPr>
          <w:rFonts w:ascii="宋体" w:hAnsi="宋体"/>
          <w:bCs/>
          <w:sz w:val="24"/>
          <w:szCs w:val="20"/>
        </w:rPr>
      </w:pPr>
      <w:r>
        <w:rPr>
          <w:rFonts w:ascii="宋体" w:hAnsi="宋体"/>
          <w:bCs/>
          <w:sz w:val="24"/>
        </w:rPr>
        <w:t xml:space="preserve">    </w:t>
      </w:r>
      <w:r>
        <w:rPr>
          <w:rFonts w:hint="eastAsia" w:ascii="宋体" w:hAnsi="宋体"/>
          <w:bCs/>
          <w:sz w:val="24"/>
        </w:rPr>
        <w:t>项目编号：</w:t>
      </w:r>
      <w:r>
        <w:rPr>
          <w:rFonts w:hint="eastAsia" w:ascii="宋体" w:hAnsi="宋体"/>
          <w:sz w:val="24"/>
        </w:rPr>
        <w:t>HYHZ2025-69</w:t>
      </w:r>
    </w:p>
    <w:p w14:paraId="12C08F2E">
      <w:pPr>
        <w:pStyle w:val="13"/>
        <w:snapToGrid w:val="0"/>
        <w:spacing w:line="360" w:lineRule="auto"/>
        <w:ind w:firstLine="998" w:firstLineChars="416"/>
        <w:rPr>
          <w:rFonts w:ascii="宋体" w:hAnsi="宋体"/>
          <w:bCs/>
          <w:sz w:val="24"/>
        </w:rPr>
      </w:pPr>
      <w:r>
        <w:rPr>
          <w:rFonts w:hint="eastAsia" w:ascii="宋体" w:hAnsi="宋体"/>
          <w:bCs/>
          <w:sz w:val="24"/>
        </w:rPr>
        <w:t>投标人名称：</w:t>
      </w:r>
    </w:p>
    <w:p w14:paraId="2D4E1E1A">
      <w:pPr>
        <w:pStyle w:val="13"/>
        <w:snapToGrid w:val="0"/>
        <w:spacing w:line="360" w:lineRule="auto"/>
        <w:ind w:firstLine="998" w:firstLineChars="416"/>
        <w:rPr>
          <w:rFonts w:ascii="宋体" w:hAnsi="宋体"/>
          <w:bCs/>
          <w:sz w:val="24"/>
        </w:rPr>
      </w:pPr>
      <w:r>
        <w:rPr>
          <w:rFonts w:hint="eastAsia" w:ascii="宋体" w:hAnsi="宋体"/>
          <w:bCs/>
          <w:sz w:val="24"/>
        </w:rPr>
        <w:t>投标人地址：</w:t>
      </w:r>
    </w:p>
    <w:p w14:paraId="68450B2D">
      <w:pPr>
        <w:pStyle w:val="13"/>
        <w:snapToGrid w:val="0"/>
        <w:spacing w:line="360" w:lineRule="auto"/>
        <w:ind w:firstLine="960" w:firstLineChars="400"/>
        <w:rPr>
          <w:rFonts w:ascii="宋体" w:hAnsi="宋体"/>
          <w:bCs/>
          <w:sz w:val="24"/>
        </w:rPr>
      </w:pPr>
    </w:p>
    <w:p w14:paraId="15C75AD4">
      <w:pPr>
        <w:snapToGrid w:val="0"/>
        <w:spacing w:line="360" w:lineRule="auto"/>
        <w:ind w:firstLine="4080" w:firstLineChars="1700"/>
        <w:rPr>
          <w:rFonts w:ascii="宋体" w:hAnsi="宋体"/>
          <w:sz w:val="24"/>
          <w:szCs w:val="20"/>
        </w:rPr>
      </w:pPr>
    </w:p>
    <w:p w14:paraId="36C26D14">
      <w:pPr>
        <w:snapToGrid w:val="0"/>
        <w:spacing w:line="360" w:lineRule="auto"/>
        <w:ind w:firstLine="645"/>
        <w:jc w:val="center"/>
        <w:rPr>
          <w:rFonts w:ascii="宋体" w:hAnsi="宋体"/>
          <w:sz w:val="24"/>
          <w:szCs w:val="20"/>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24A9D552">
      <w:pPr>
        <w:snapToGrid w:val="0"/>
        <w:spacing w:line="360" w:lineRule="auto"/>
        <w:rPr>
          <w:rFonts w:ascii="宋体" w:hAnsi="宋体"/>
          <w:b/>
          <w:bCs/>
          <w:sz w:val="24"/>
        </w:rPr>
      </w:pPr>
      <w:r>
        <w:rPr>
          <w:rFonts w:hint="eastAsia" w:ascii="宋体" w:hAnsi="宋体"/>
          <w:sz w:val="24"/>
        </w:rPr>
        <w:t>2.</w:t>
      </w:r>
      <w:r>
        <w:rPr>
          <w:rFonts w:hint="eastAsia" w:ascii="宋体" w:hAnsi="宋体"/>
          <w:b/>
          <w:bCs/>
          <w:sz w:val="24"/>
        </w:rPr>
        <w:t>资格文件目录</w:t>
      </w:r>
    </w:p>
    <w:p w14:paraId="403C4D57">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）投标声明书————————（页码）</w:t>
      </w:r>
    </w:p>
    <w:p w14:paraId="4171D910">
      <w:pPr>
        <w:snapToGrid w:val="0"/>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）有效的营业执照、税务登记证、组织机构代码证或“三证合一”的营业执照或“五证合一”的营业执照————————</w:t>
      </w:r>
    </w:p>
    <w:p w14:paraId="3AEBE538">
      <w:pPr>
        <w:snapToGrid w:val="0"/>
        <w:spacing w:line="360" w:lineRule="auto"/>
        <w:jc w:val="left"/>
        <w:rPr>
          <w:rFonts w:ascii="宋体" w:hAnsi="宋体"/>
          <w:sz w:val="24"/>
        </w:rPr>
      </w:pPr>
      <w:r>
        <w:rPr>
          <w:rFonts w:hint="eastAsia" w:ascii="宋体" w:hAnsi="宋体"/>
          <w:sz w:val="24"/>
        </w:rPr>
        <w:t>（3）法定代表人有效身份证明书或法定代表人授权书</w:t>
      </w:r>
      <w:r>
        <w:rPr>
          <w:rFonts w:ascii="宋体" w:hAnsi="宋体"/>
          <w:sz w:val="24"/>
        </w:rPr>
        <w:t>及授权代理人社保证明复印件（社保机构出具的由本单位或分公司为其缴纳的</w:t>
      </w:r>
      <w:r>
        <w:rPr>
          <w:rFonts w:hint="eastAsia" w:ascii="宋体" w:hAnsi="宋体" w:cs="宋体"/>
          <w:kern w:val="0"/>
          <w:sz w:val="24"/>
        </w:rPr>
        <w:t>近一个月的社保证明</w:t>
      </w:r>
      <w:r>
        <w:rPr>
          <w:rFonts w:ascii="宋体" w:hAnsi="宋体"/>
          <w:sz w:val="24"/>
        </w:rPr>
        <w:t>）</w:t>
      </w:r>
      <w:r>
        <w:rPr>
          <w:rFonts w:hint="eastAsia" w:ascii="宋体" w:hAnsi="宋体"/>
          <w:sz w:val="24"/>
        </w:rPr>
        <w:t>————————</w:t>
      </w:r>
    </w:p>
    <w:p w14:paraId="6E5B9BAB">
      <w:pPr>
        <w:snapToGrid w:val="0"/>
        <w:spacing w:line="360" w:lineRule="auto"/>
        <w:jc w:val="left"/>
        <w:rPr>
          <w:rFonts w:ascii="宋体" w:hAnsi="宋体"/>
          <w:sz w:val="24"/>
        </w:rPr>
      </w:pPr>
      <w:r>
        <w:rPr>
          <w:rFonts w:hint="eastAsia" w:ascii="宋体" w:hAnsi="宋体"/>
          <w:sz w:val="24"/>
        </w:rPr>
        <w:t>（4）投标承诺书———————</w:t>
      </w:r>
    </w:p>
    <w:p w14:paraId="3B45B3BA">
      <w:pPr>
        <w:snapToGrid w:val="0"/>
        <w:spacing w:line="360" w:lineRule="auto"/>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）提供自招标公告发布之日起至投标截止日内任意时间的“信用中国”网站（www.creditchina.gov.cn）、中国政府采购网（www.ccgp.gov.cn）投标人信用查询网页截图————————</w:t>
      </w:r>
    </w:p>
    <w:p w14:paraId="264F0366">
      <w:pPr>
        <w:snapToGrid w:val="0"/>
        <w:spacing w:line="360" w:lineRule="auto"/>
        <w:jc w:val="left"/>
        <w:rPr>
          <w:rFonts w:ascii="宋体" w:hAnsi="宋体"/>
          <w:sz w:val="24"/>
        </w:rPr>
      </w:pPr>
      <w:r>
        <w:rPr>
          <w:rFonts w:hint="eastAsia" w:ascii="宋体" w:hAnsi="宋体" w:cs="Arial"/>
          <w:kern w:val="0"/>
          <w:sz w:val="24"/>
        </w:rPr>
        <w:t>（</w:t>
      </w:r>
      <w:r>
        <w:rPr>
          <w:rFonts w:ascii="宋体" w:hAnsi="宋体" w:cs="Arial"/>
          <w:kern w:val="0"/>
          <w:sz w:val="24"/>
        </w:rPr>
        <w:t>6</w:t>
      </w:r>
      <w:r>
        <w:rPr>
          <w:rFonts w:hint="eastAsia" w:ascii="宋体" w:hAnsi="宋体" w:cs="Arial"/>
          <w:kern w:val="0"/>
          <w:sz w:val="24"/>
        </w:rPr>
        <w:t>）</w:t>
      </w:r>
      <w:r>
        <w:rPr>
          <w:rFonts w:hint="eastAsia" w:ascii="宋体" w:hAnsi="宋体" w:cs="宋体"/>
          <w:sz w:val="24"/>
        </w:rPr>
        <w:t>信用承诺书</w:t>
      </w:r>
      <w:r>
        <w:rPr>
          <w:rFonts w:hint="eastAsia" w:ascii="宋体" w:hAnsi="宋体"/>
          <w:sz w:val="24"/>
        </w:rPr>
        <w:t>———————</w:t>
      </w:r>
    </w:p>
    <w:p w14:paraId="0BD370F2">
      <w:pPr>
        <w:snapToGrid w:val="0"/>
        <w:spacing w:line="360" w:lineRule="auto"/>
        <w:jc w:val="left"/>
        <w:rPr>
          <w:rFonts w:ascii="宋体" w:hAnsi="宋体"/>
          <w:sz w:val="24"/>
        </w:rPr>
      </w:pPr>
      <w:r>
        <w:rPr>
          <w:rFonts w:hint="eastAsia" w:ascii="宋体" w:hAnsi="宋体" w:cs="Arial"/>
          <w:kern w:val="0"/>
          <w:sz w:val="24"/>
        </w:rPr>
        <w:t>（</w:t>
      </w:r>
      <w:r>
        <w:rPr>
          <w:rFonts w:ascii="宋体" w:hAnsi="宋体" w:cs="Arial"/>
          <w:kern w:val="0"/>
          <w:sz w:val="24"/>
        </w:rPr>
        <w:t>7</w:t>
      </w:r>
      <w:r>
        <w:rPr>
          <w:rFonts w:hint="eastAsia" w:ascii="宋体" w:hAnsi="宋体" w:cs="Arial"/>
          <w:kern w:val="0"/>
          <w:sz w:val="24"/>
        </w:rPr>
        <w:t>）</w:t>
      </w:r>
      <w:r>
        <w:rPr>
          <w:rFonts w:hint="eastAsia" w:ascii="宋体" w:hAnsi="宋体"/>
          <w:sz w:val="24"/>
        </w:rPr>
        <w:t>《中小企业声明函》（格式见附件），残疾人福利性单位需提供《残疾人福利性单位声明函》，监狱企业需提供省级以</w:t>
      </w:r>
      <w:r>
        <w:rPr>
          <w:rFonts w:hint="eastAsia" w:ascii="宋体" w:hAnsi="宋体" w:cs="宋体"/>
          <w:sz w:val="24"/>
        </w:rPr>
        <w:t>上监狱管理局、戒毒管理局（含新疆生产建设兵团）出具的属于监狱企业的证明文件</w:t>
      </w:r>
      <w:r>
        <w:rPr>
          <w:rFonts w:hint="eastAsia" w:ascii="宋体" w:hAnsi="宋体"/>
          <w:sz w:val="24"/>
        </w:rPr>
        <w:t>————————</w:t>
      </w:r>
    </w:p>
    <w:p w14:paraId="4B1EB3D7">
      <w:pPr>
        <w:snapToGrid w:val="0"/>
        <w:spacing w:line="360" w:lineRule="auto"/>
        <w:jc w:val="left"/>
        <w:rPr>
          <w:rFonts w:ascii="宋体" w:hAnsi="宋体"/>
          <w:sz w:val="24"/>
          <w:szCs w:val="20"/>
        </w:rPr>
      </w:pPr>
      <w:r>
        <w:rPr>
          <w:rFonts w:ascii="宋体" w:hAnsi="宋体"/>
        </w:rPr>
        <w:br w:type="page"/>
      </w:r>
      <w:r>
        <w:rPr>
          <w:rFonts w:hint="eastAsia" w:ascii="宋体" w:hAnsi="宋体"/>
        </w:rPr>
        <w:t>3</w:t>
      </w:r>
      <w:r>
        <w:rPr>
          <w:rFonts w:hint="eastAsia" w:ascii="宋体" w:hAnsi="宋体"/>
          <w:sz w:val="24"/>
        </w:rPr>
        <w:t>.投标声明书格式：</w:t>
      </w:r>
    </w:p>
    <w:p w14:paraId="010D5669">
      <w:pPr>
        <w:snapToGrid w:val="0"/>
        <w:spacing w:line="360" w:lineRule="auto"/>
        <w:jc w:val="center"/>
        <w:rPr>
          <w:rFonts w:ascii="宋体" w:hAnsi="宋体"/>
          <w:sz w:val="24"/>
          <w:szCs w:val="20"/>
        </w:rPr>
      </w:pPr>
      <w:r>
        <w:rPr>
          <w:rFonts w:hint="eastAsia" w:ascii="宋体" w:hAnsi="宋体"/>
          <w:sz w:val="30"/>
        </w:rPr>
        <w:t>投标声明书</w:t>
      </w:r>
    </w:p>
    <w:p w14:paraId="2B855505">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14:paraId="6BA48206">
      <w:pPr>
        <w:snapToGrid w:val="0"/>
        <w:spacing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（投标人名称）系中华人民共和国合法企业，经营地址</w:t>
      </w:r>
      <w:r>
        <w:rPr>
          <w:rFonts w:ascii="宋体" w:hAnsi="宋体"/>
          <w:sz w:val="24"/>
          <w:u w:val="single"/>
        </w:rPr>
        <w:t xml:space="preserve">                               </w:t>
      </w:r>
      <w:r>
        <w:rPr>
          <w:rFonts w:hint="eastAsia" w:ascii="宋体" w:hAnsi="宋体"/>
          <w:sz w:val="24"/>
        </w:rPr>
        <w:t>。</w:t>
      </w:r>
    </w:p>
    <w:p w14:paraId="56BC788F">
      <w:pPr>
        <w:snapToGrid w:val="0"/>
        <w:spacing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14:paraId="1E31644C">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14:paraId="5FBC60B5">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14:paraId="3F7E7F41">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我方此次向贵方提供的产品名称为：</w:t>
      </w:r>
      <w:r>
        <w:rPr>
          <w:rFonts w:ascii="宋体" w:hAnsi="宋体"/>
          <w:sz w:val="24"/>
          <w:u w:val="single"/>
        </w:rPr>
        <w:t xml:space="preserve">                              </w:t>
      </w:r>
      <w:r>
        <w:rPr>
          <w:rFonts w:hint="eastAsia" w:ascii="宋体" w:hAnsi="宋体"/>
          <w:sz w:val="24"/>
        </w:rPr>
        <w:t>；规格型号：</w:t>
      </w:r>
      <w:r>
        <w:rPr>
          <w:rFonts w:ascii="宋体" w:hAnsi="宋体"/>
          <w:sz w:val="24"/>
          <w:u w:val="single"/>
        </w:rPr>
        <w:t xml:space="preserve">                           </w:t>
      </w:r>
      <w:r>
        <w:rPr>
          <w:rFonts w:hint="eastAsia" w:ascii="宋体" w:hAnsi="宋体"/>
          <w:sz w:val="24"/>
        </w:rPr>
        <w:t>；该型号产品我方有现货可供，并已于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月生产完工或向</w:t>
      </w:r>
      <w:r>
        <w:rPr>
          <w:rFonts w:hint="eastAsia" w:ascii="宋体" w:hAnsi="宋体"/>
          <w:sz w:val="24"/>
          <w:u w:val="single"/>
        </w:rPr>
        <w:t>　　</w:t>
      </w:r>
      <w:r>
        <w:rPr>
          <w:rFonts w:ascii="宋体" w:hAnsi="宋体"/>
          <w:sz w:val="24"/>
          <w:u w:val="single"/>
        </w:rPr>
        <w:t xml:space="preserve">              </w:t>
      </w:r>
      <w:r>
        <w:rPr>
          <w:rFonts w:hint="eastAsia" w:ascii="宋体" w:hAnsi="宋体"/>
          <w:sz w:val="24"/>
        </w:rPr>
        <w:t>（原厂商名称）购进［</w:t>
      </w:r>
      <w:r>
        <w:rPr>
          <w:rFonts w:hint="eastAsia" w:ascii="宋体" w:hAnsi="宋体"/>
          <w:b/>
          <w:bCs/>
          <w:sz w:val="24"/>
        </w:rPr>
        <w:t>或</w:t>
      </w:r>
      <w:r>
        <w:rPr>
          <w:rFonts w:hint="eastAsia" w:ascii="宋体" w:hAnsi="宋体"/>
          <w:sz w:val="24"/>
        </w:rPr>
        <w:t>需在中标后向</w:t>
      </w:r>
      <w:r>
        <w:rPr>
          <w:rFonts w:ascii="宋体" w:hAnsi="宋体"/>
          <w:sz w:val="24"/>
          <w:u w:val="single"/>
        </w:rPr>
        <w:t xml:space="preserve">               </w:t>
      </w:r>
      <w:r>
        <w:rPr>
          <w:rFonts w:hint="eastAsia" w:ascii="宋体" w:hAnsi="宋体"/>
          <w:sz w:val="24"/>
        </w:rPr>
        <w:t>订购］。</w:t>
      </w:r>
    </w:p>
    <w:p w14:paraId="733780B4">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我方诚意提请贵方关注：</w:t>
      </w:r>
      <w:r>
        <w:rPr>
          <w:rFonts w:hint="eastAsia" w:ascii="宋体" w:hAnsi="宋体"/>
          <w:sz w:val="24"/>
        </w:rPr>
        <w:t>近期</w:t>
      </w:r>
      <w:r>
        <w:rPr>
          <w:rFonts w:ascii="宋体" w:hAnsi="宋体"/>
          <w:sz w:val="24"/>
        </w:rPr>
        <w:t>有关该型号产品的</w:t>
      </w:r>
      <w:r>
        <w:rPr>
          <w:rFonts w:hint="eastAsia" w:ascii="宋体" w:hAnsi="宋体"/>
          <w:sz w:val="24"/>
        </w:rPr>
        <w:t>生产、供货、售后服务以及性能等方面的重大决策和事项有：</w:t>
      </w:r>
    </w:p>
    <w:p w14:paraId="790FE202">
      <w:pPr>
        <w:pStyle w:val="19"/>
        <w:snapToGrid w:val="0"/>
        <w:spacing w:line="360" w:lineRule="auto"/>
        <w:ind w:firstLine="464" w:firstLineChars="200"/>
        <w:rPr>
          <w:rFonts w:hAnsi="宋体"/>
          <w:sz w:val="24"/>
          <w:u w:val="single"/>
        </w:rPr>
      </w:pPr>
      <w:r>
        <w:rPr>
          <w:rFonts w:hAnsi="宋体"/>
          <w:sz w:val="24"/>
          <w:u w:val="single"/>
        </w:rPr>
        <w:t xml:space="preserve">                                                          </w:t>
      </w:r>
    </w:p>
    <w:p w14:paraId="6FF05F90">
      <w:pPr>
        <w:pStyle w:val="19"/>
        <w:snapToGrid w:val="0"/>
        <w:spacing w:line="360" w:lineRule="auto"/>
        <w:ind w:firstLine="464" w:firstLineChars="200"/>
        <w:rPr>
          <w:rFonts w:hAnsi="宋体"/>
          <w:sz w:val="24"/>
        </w:rPr>
      </w:pPr>
      <w:r>
        <w:rPr>
          <w:rFonts w:hAnsi="宋体"/>
          <w:sz w:val="24"/>
        </w:rPr>
        <w:t>5</w:t>
      </w:r>
      <w:r>
        <w:rPr>
          <w:rFonts w:hint="eastAsia" w:hAnsi="宋体"/>
          <w:sz w:val="24"/>
        </w:rPr>
        <w:t>.我方及由本人担任法定代表人的其他机构</w:t>
      </w:r>
      <w:r>
        <w:rPr>
          <w:rFonts w:hAnsi="宋体"/>
          <w:sz w:val="24"/>
        </w:rPr>
        <w:t>最近三年内被</w:t>
      </w:r>
      <w:r>
        <w:rPr>
          <w:rFonts w:hint="eastAsia" w:hAnsi="宋体"/>
          <w:sz w:val="24"/>
        </w:rPr>
        <w:t>通报或者被处罚的</w:t>
      </w:r>
      <w:r>
        <w:rPr>
          <w:rFonts w:hAnsi="宋体"/>
          <w:sz w:val="24"/>
        </w:rPr>
        <w:t>违法行为有：</w:t>
      </w:r>
    </w:p>
    <w:p w14:paraId="517A4781">
      <w:pPr>
        <w:pStyle w:val="19"/>
        <w:snapToGrid w:val="0"/>
        <w:spacing w:line="360" w:lineRule="auto"/>
        <w:ind w:firstLine="464" w:firstLineChars="200"/>
        <w:rPr>
          <w:rFonts w:hAnsi="宋体"/>
          <w:sz w:val="24"/>
          <w:u w:val="single"/>
        </w:rPr>
      </w:pPr>
      <w:r>
        <w:rPr>
          <w:rFonts w:hAnsi="宋体"/>
          <w:sz w:val="24"/>
          <w:u w:val="single"/>
        </w:rPr>
        <w:t xml:space="preserve">                                                          </w:t>
      </w:r>
    </w:p>
    <w:p w14:paraId="78E9BAE1">
      <w:pPr>
        <w:snapToGrid w:val="0"/>
        <w:spacing w:line="360" w:lineRule="auto"/>
        <w:ind w:firstLine="480" w:firstLineChars="200"/>
        <w:rPr>
          <w:rFonts w:ascii="宋体" w:hAnsi="宋体"/>
          <w:sz w:val="24"/>
          <w:szCs w:val="20"/>
        </w:rPr>
      </w:pPr>
      <w:r>
        <w:rPr>
          <w:rFonts w:hint="eastAsia" w:ascii="宋体" w:hAnsi="宋体"/>
          <w:sz w:val="24"/>
        </w:rPr>
        <w:t>6.以上事项如有虚假或隐瞒，我方愿意承担一切后果，并不再寻求任何旨在减轻或免除法律责任的辩解。</w:t>
      </w:r>
    </w:p>
    <w:p w14:paraId="2BFAD7D0">
      <w:pPr>
        <w:pStyle w:val="109"/>
        <w:snapToGrid w:val="0"/>
        <w:spacing w:line="360" w:lineRule="auto"/>
        <w:ind w:firstLine="200"/>
        <w:rPr>
          <w:rFonts w:ascii="宋体" w:hAnsi="宋体"/>
        </w:rPr>
      </w:pPr>
    </w:p>
    <w:p w14:paraId="1406B6AE">
      <w:pPr>
        <w:snapToGrid w:val="0"/>
        <w:spacing w:line="360" w:lineRule="auto"/>
        <w:ind w:firstLine="200"/>
        <w:rPr>
          <w:rFonts w:ascii="宋体" w:hAnsi="宋体"/>
          <w:sz w:val="24"/>
          <w:szCs w:val="20"/>
          <w:u w:val="single"/>
        </w:rPr>
      </w:pPr>
      <w:r>
        <w:rPr>
          <w:rFonts w:hint="eastAsia" w:ascii="宋体" w:hAnsi="宋体"/>
          <w:sz w:val="24"/>
        </w:rPr>
        <w:t>法定代表人签字：</w:t>
      </w:r>
      <w:r>
        <w:rPr>
          <w:rFonts w:ascii="宋体" w:hAnsi="宋体"/>
          <w:sz w:val="24"/>
          <w:u w:val="single"/>
        </w:rPr>
        <w:t xml:space="preserve">             </w:t>
      </w:r>
    </w:p>
    <w:p w14:paraId="0C6D2BBF">
      <w:pPr>
        <w:snapToGrid w:val="0"/>
        <w:spacing w:line="360" w:lineRule="auto"/>
        <w:ind w:firstLine="240" w:firstLineChars="100"/>
        <w:rPr>
          <w:rFonts w:ascii="宋体" w:hAnsi="宋体"/>
          <w:sz w:val="24"/>
        </w:rPr>
      </w:pPr>
      <w:r>
        <w:rPr>
          <w:rFonts w:hint="eastAsia" w:ascii="宋体" w:hAnsi="宋体"/>
          <w:sz w:val="24"/>
        </w:rPr>
        <w:t>投标人公章：</w:t>
      </w:r>
      <w:r>
        <w:rPr>
          <w:rFonts w:ascii="宋体" w:hAnsi="宋体"/>
          <w:sz w:val="24"/>
          <w:u w:val="single"/>
        </w:rPr>
        <w:t xml:space="preserve">               </w:t>
      </w:r>
      <w:r>
        <w:rPr>
          <w:rFonts w:ascii="宋体" w:hAnsi="宋体"/>
          <w:sz w:val="24"/>
        </w:rPr>
        <w:t xml:space="preserve">                      年    月    日</w:t>
      </w:r>
    </w:p>
    <w:p w14:paraId="0D3C699F">
      <w:pPr>
        <w:pStyle w:val="2"/>
        <w:ind w:firstLine="560"/>
      </w:pPr>
    </w:p>
    <w:p w14:paraId="4601E4A7">
      <w:pPr>
        <w:pStyle w:val="85"/>
        <w:rPr>
          <w:color w:val="auto"/>
        </w:rPr>
      </w:pPr>
    </w:p>
    <w:p w14:paraId="7EA02639">
      <w:pPr>
        <w:pStyle w:val="85"/>
        <w:rPr>
          <w:color w:val="auto"/>
        </w:rPr>
      </w:pPr>
    </w:p>
    <w:p w14:paraId="721E9426">
      <w:pPr>
        <w:snapToGrid w:val="0"/>
        <w:spacing w:line="360" w:lineRule="auto"/>
        <w:rPr>
          <w:rFonts w:ascii="宋体" w:hAnsi="宋体"/>
          <w:sz w:val="24"/>
        </w:rPr>
      </w:pPr>
      <w:r>
        <w:rPr>
          <w:rFonts w:hint="eastAsia" w:ascii="宋体" w:hAnsi="宋体"/>
          <w:sz w:val="24"/>
        </w:rPr>
        <w:t>4. 有效的营业执照、税务登记证、组织机构代码证或“三证合一”的营业执照或“五证合一”的营业执照复印件</w:t>
      </w:r>
    </w:p>
    <w:p w14:paraId="6828ECC8">
      <w:pPr>
        <w:spacing w:line="500" w:lineRule="exact"/>
        <w:rPr>
          <w:rFonts w:ascii="宋体" w:hAnsi="宋体"/>
          <w:sz w:val="24"/>
        </w:rPr>
      </w:pPr>
      <w:r>
        <w:rPr>
          <w:rFonts w:hint="eastAsia" w:ascii="宋体" w:hAnsi="宋体"/>
          <w:sz w:val="24"/>
        </w:rPr>
        <w:t>5.法定代表人有效身份证明书格式：</w:t>
      </w:r>
    </w:p>
    <w:p w14:paraId="6987C623">
      <w:pPr>
        <w:snapToGrid w:val="0"/>
        <w:spacing w:line="360" w:lineRule="auto"/>
        <w:rPr>
          <w:rFonts w:ascii="宋体" w:hAnsi="宋体"/>
          <w:sz w:val="24"/>
        </w:rPr>
      </w:pPr>
    </w:p>
    <w:p w14:paraId="676F3B30">
      <w:pPr>
        <w:snapToGrid w:val="0"/>
        <w:spacing w:line="360" w:lineRule="auto"/>
        <w:jc w:val="center"/>
        <w:rPr>
          <w:rFonts w:ascii="宋体" w:hAnsi="宋体"/>
          <w:sz w:val="24"/>
        </w:rPr>
      </w:pPr>
      <w:r>
        <w:rPr>
          <w:rFonts w:hint="eastAsia" w:ascii="宋体" w:hAnsi="宋体"/>
          <w:sz w:val="24"/>
        </w:rPr>
        <w:t>法定代表人有效身份证明书</w:t>
      </w:r>
    </w:p>
    <w:p w14:paraId="59577CBA">
      <w:pPr>
        <w:pStyle w:val="13"/>
        <w:spacing w:line="500" w:lineRule="exact"/>
        <w:ind w:firstLine="1080" w:firstLineChars="450"/>
        <w:rPr>
          <w:rFonts w:ascii="宋体" w:hAnsi="宋体" w:cs="仿宋"/>
          <w:sz w:val="24"/>
        </w:rPr>
      </w:pPr>
      <w:r>
        <w:rPr>
          <w:rFonts w:hint="eastAsia" w:ascii="宋体" w:hAnsi="宋体" w:cs="仿宋"/>
          <w:sz w:val="24"/>
          <w:u w:val="single"/>
        </w:rPr>
        <w:t>（姓名）</w:t>
      </w:r>
      <w:r>
        <w:rPr>
          <w:rFonts w:hint="eastAsia" w:ascii="宋体" w:hAnsi="宋体" w:cs="仿宋"/>
          <w:sz w:val="24"/>
        </w:rPr>
        <w:t>是 （单位全称）</w:t>
      </w:r>
    </w:p>
    <w:p w14:paraId="7A04A2EF">
      <w:pPr>
        <w:pStyle w:val="13"/>
        <w:spacing w:line="500" w:lineRule="exact"/>
        <w:ind w:firstLine="374" w:firstLineChars="156"/>
        <w:rPr>
          <w:rFonts w:ascii="宋体" w:hAnsi="宋体" w:cs="仿宋"/>
          <w:sz w:val="24"/>
        </w:rPr>
      </w:pPr>
      <w:r>
        <w:rPr>
          <w:rFonts w:hint="eastAsia" w:ascii="宋体" w:hAnsi="宋体" w:cs="仿宋"/>
          <w:sz w:val="24"/>
        </w:rPr>
        <w:t>的法定代表人，身份证号码为 。</w:t>
      </w:r>
    </w:p>
    <w:p w14:paraId="5371FB04">
      <w:pPr>
        <w:pStyle w:val="13"/>
        <w:spacing w:line="500" w:lineRule="exact"/>
        <w:ind w:firstLine="374" w:firstLineChars="156"/>
        <w:rPr>
          <w:rFonts w:ascii="宋体" w:hAnsi="宋体" w:cs="仿宋"/>
          <w:sz w:val="24"/>
        </w:rPr>
      </w:pPr>
    </w:p>
    <w:p w14:paraId="189F9B2D">
      <w:pPr>
        <w:pStyle w:val="13"/>
        <w:spacing w:line="500" w:lineRule="exact"/>
        <w:ind w:firstLine="374" w:firstLineChars="156"/>
        <w:rPr>
          <w:rFonts w:ascii="宋体" w:hAnsi="宋体" w:cs="仿宋"/>
          <w:sz w:val="24"/>
        </w:rPr>
      </w:pPr>
    </w:p>
    <w:p w14:paraId="1A210601">
      <w:pPr>
        <w:pStyle w:val="13"/>
        <w:spacing w:line="500" w:lineRule="exact"/>
        <w:ind w:firstLine="374" w:firstLineChars="156"/>
        <w:rPr>
          <w:rFonts w:ascii="宋体" w:hAnsi="宋体" w:cs="仿宋"/>
          <w:sz w:val="24"/>
        </w:rPr>
      </w:pPr>
      <w:r>
        <w:rPr>
          <w:rFonts w:hint="eastAsia" w:ascii="宋体" w:hAnsi="宋体" w:cs="仿宋"/>
          <w:sz w:val="24"/>
        </w:rPr>
        <w:t xml:space="preserve">    特此证明</w:t>
      </w:r>
    </w:p>
    <w:p w14:paraId="0E2E4FC5">
      <w:pPr>
        <w:pStyle w:val="13"/>
        <w:spacing w:line="500" w:lineRule="exact"/>
        <w:ind w:firstLine="374" w:firstLineChars="156"/>
        <w:rPr>
          <w:rFonts w:ascii="宋体" w:hAnsi="宋体" w:cs="仿宋"/>
          <w:sz w:val="24"/>
        </w:rPr>
      </w:pPr>
    </w:p>
    <w:p w14:paraId="3118985F">
      <w:pPr>
        <w:pStyle w:val="13"/>
        <w:spacing w:line="500" w:lineRule="exact"/>
        <w:ind w:firstLine="374" w:firstLineChars="156"/>
        <w:rPr>
          <w:rFonts w:ascii="宋体" w:hAnsi="宋体" w:cs="仿宋"/>
          <w:sz w:val="24"/>
        </w:rPr>
      </w:pPr>
      <w:r>
        <w:rPr>
          <w:rFonts w:hint="eastAsia" w:ascii="宋体" w:hAnsi="宋体" w:cs="仿宋"/>
          <w:sz w:val="24"/>
        </w:rPr>
        <w:t xml:space="preserve">          投标人：（电子签章）</w:t>
      </w:r>
    </w:p>
    <w:p w14:paraId="006D80B3">
      <w:pPr>
        <w:pStyle w:val="13"/>
        <w:spacing w:line="500" w:lineRule="exact"/>
        <w:ind w:firstLine="374" w:firstLineChars="156"/>
        <w:rPr>
          <w:rFonts w:ascii="宋体" w:hAnsi="宋体" w:cs="仿宋"/>
          <w:sz w:val="24"/>
        </w:rPr>
      </w:pPr>
    </w:p>
    <w:p w14:paraId="616695FA">
      <w:pPr>
        <w:pStyle w:val="13"/>
        <w:spacing w:line="500" w:lineRule="exact"/>
        <w:ind w:firstLine="1454" w:firstLineChars="606"/>
        <w:rPr>
          <w:rFonts w:ascii="宋体" w:hAnsi="宋体" w:cs="仿宋"/>
          <w:sz w:val="24"/>
        </w:rPr>
      </w:pPr>
      <w:r>
        <w:rPr>
          <w:rFonts w:hint="eastAsia" w:ascii="宋体" w:hAnsi="宋体" w:cs="仿宋"/>
          <w:sz w:val="24"/>
        </w:rPr>
        <w:t>法定代表人或其授权代理人（签名或盖章）</w:t>
      </w:r>
    </w:p>
    <w:p w14:paraId="7C24706B">
      <w:pPr>
        <w:pStyle w:val="13"/>
        <w:spacing w:line="500" w:lineRule="exact"/>
        <w:ind w:firstLine="374" w:firstLineChars="156"/>
        <w:jc w:val="center"/>
        <w:rPr>
          <w:rFonts w:ascii="宋体" w:hAnsi="宋体" w:cs="仿宋"/>
          <w:sz w:val="24"/>
        </w:rPr>
      </w:pPr>
    </w:p>
    <w:p w14:paraId="55D46B1C">
      <w:pPr>
        <w:pStyle w:val="13"/>
        <w:spacing w:line="500" w:lineRule="exact"/>
        <w:ind w:firstLine="374" w:firstLineChars="156"/>
        <w:rPr>
          <w:rFonts w:ascii="宋体" w:hAnsi="宋体" w:cs="仿宋"/>
          <w:sz w:val="24"/>
        </w:rPr>
      </w:pPr>
      <w:r>
        <w:rPr>
          <w:rFonts w:hint="eastAsia" w:ascii="宋体" w:hAnsi="宋体" w:cs="仿宋"/>
          <w:sz w:val="24"/>
        </w:rPr>
        <w:t xml:space="preserve">              日期：    年   月   日</w:t>
      </w:r>
    </w:p>
    <w:p w14:paraId="6DE94CC5">
      <w:pPr>
        <w:pStyle w:val="13"/>
        <w:spacing w:line="500" w:lineRule="exact"/>
        <w:ind w:firstLine="374" w:firstLineChars="156"/>
        <w:jc w:val="center"/>
        <w:rPr>
          <w:rFonts w:ascii="宋体" w:hAnsi="宋体" w:cs="仿宋"/>
          <w:sz w:val="24"/>
        </w:rPr>
      </w:pPr>
    </w:p>
    <w:p w14:paraId="5F1805E7">
      <w:pPr>
        <w:pStyle w:val="13"/>
        <w:spacing w:line="500" w:lineRule="exact"/>
        <w:ind w:firstLine="374" w:firstLineChars="156"/>
        <w:rPr>
          <w:rFonts w:ascii="宋体" w:hAnsi="宋体" w:cs="仿宋"/>
          <w:sz w:val="24"/>
        </w:rPr>
      </w:pPr>
      <w:r>
        <w:rPr>
          <w:rFonts w:hint="eastAsia" w:ascii="宋体" w:hAnsi="宋体" w:cs="仿宋"/>
          <w:sz w:val="24"/>
        </w:rPr>
        <w:t>————————————————————-----------</w:t>
      </w:r>
    </w:p>
    <w:p w14:paraId="556B23CC">
      <w:pPr>
        <w:pStyle w:val="13"/>
        <w:spacing w:line="500" w:lineRule="exact"/>
        <w:ind w:firstLine="480"/>
        <w:rPr>
          <w:rFonts w:ascii="宋体" w:hAnsi="宋体" w:cs="仿宋"/>
          <w:sz w:val="24"/>
        </w:rPr>
      </w:pPr>
    </w:p>
    <w:p w14:paraId="551B26A6">
      <w:pPr>
        <w:pStyle w:val="13"/>
        <w:spacing w:line="500" w:lineRule="exact"/>
        <w:ind w:firstLine="374" w:firstLineChars="156"/>
        <w:jc w:val="center"/>
        <w:rPr>
          <w:rFonts w:ascii="宋体" w:hAnsi="宋体" w:cs="仿宋"/>
          <w:sz w:val="24"/>
        </w:rPr>
      </w:pPr>
      <w:r>
        <w:rPr>
          <w:rFonts w:hint="eastAsia" w:ascii="宋体" w:hAnsi="宋体" w:cs="仿宋"/>
          <w:sz w:val="24"/>
        </w:rPr>
        <w:t>有效身份证明复印件粘贴处</w:t>
      </w:r>
    </w:p>
    <w:p w14:paraId="26E45AD9">
      <w:pPr>
        <w:spacing w:line="500" w:lineRule="exact"/>
        <w:rPr>
          <w:rFonts w:ascii="宋体" w:hAnsi="宋体"/>
          <w:sz w:val="24"/>
        </w:rPr>
      </w:pPr>
    </w:p>
    <w:p w14:paraId="4B45A30E">
      <w:pPr>
        <w:spacing w:line="500" w:lineRule="exact"/>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法定代表人授权委托书格式：</w:t>
      </w:r>
    </w:p>
    <w:p w14:paraId="063011A0">
      <w:pPr>
        <w:snapToGrid w:val="0"/>
        <w:spacing w:line="360" w:lineRule="auto"/>
        <w:jc w:val="center"/>
        <w:rPr>
          <w:rFonts w:ascii="宋体" w:hAnsi="宋体"/>
          <w:b/>
          <w:sz w:val="24"/>
          <w:szCs w:val="20"/>
        </w:rPr>
      </w:pPr>
      <w:r>
        <w:rPr>
          <w:rFonts w:hint="eastAsia" w:ascii="宋体" w:hAnsi="宋体"/>
          <w:b/>
          <w:sz w:val="24"/>
        </w:rPr>
        <w:t>法定代表人授权委托书</w:t>
      </w:r>
    </w:p>
    <w:p w14:paraId="0E70E699">
      <w:pPr>
        <w:snapToGrid w:val="0"/>
        <w:spacing w:line="360" w:lineRule="auto"/>
        <w:rPr>
          <w:rFonts w:ascii="宋体" w:hAnsi="宋体" w:cs="仿宋"/>
          <w:b/>
          <w:bCs/>
          <w:sz w:val="24"/>
        </w:rPr>
      </w:pPr>
      <w:r>
        <w:rPr>
          <w:rFonts w:hint="eastAsia" w:ascii="宋体" w:hAnsi="宋体" w:cs="仿宋"/>
          <w:bCs/>
          <w:sz w:val="24"/>
          <w:lang w:val="en"/>
        </w:rPr>
        <w:t>吴兴高级中学、</w:t>
      </w:r>
      <w:r>
        <w:rPr>
          <w:rFonts w:hint="eastAsia" w:ascii="宋体" w:hAnsi="宋体" w:cs="仿宋"/>
          <w:kern w:val="0"/>
          <w:sz w:val="24"/>
        </w:rPr>
        <w:t>浙江华耀建设咨询有限公司</w:t>
      </w:r>
      <w:r>
        <w:rPr>
          <w:rFonts w:hint="eastAsia" w:ascii="宋体" w:hAnsi="宋体" w:cs="仿宋"/>
          <w:bCs/>
          <w:sz w:val="24"/>
        </w:rPr>
        <w:t>：</w:t>
      </w:r>
    </w:p>
    <w:p w14:paraId="17C2067F">
      <w:pPr>
        <w:snapToGrid w:val="0"/>
        <w:spacing w:line="360" w:lineRule="auto"/>
        <w:ind w:firstLine="720" w:firstLineChars="300"/>
        <w:rPr>
          <w:rFonts w:ascii="宋体" w:hAnsi="宋体" w:cs="仿宋"/>
          <w:sz w:val="24"/>
          <w:u w:val="single"/>
        </w:rPr>
      </w:pPr>
      <w:r>
        <w:rPr>
          <w:rFonts w:hint="eastAsia" w:ascii="宋体" w:hAnsi="宋体" w:cs="仿宋"/>
          <w:sz w:val="24"/>
        </w:rPr>
        <w:t>我（姓名）系（投标人名称）的法定代表人，现授权委托本单位在职职工</w:t>
      </w:r>
      <w:r>
        <w:rPr>
          <w:rFonts w:hint="eastAsia" w:ascii="宋体" w:hAnsi="宋体" w:cs="仿宋"/>
          <w:sz w:val="24"/>
          <w:u w:val="single"/>
        </w:rPr>
        <w:t xml:space="preserve">      （</w:t>
      </w:r>
      <w:r>
        <w:rPr>
          <w:rFonts w:hint="eastAsia" w:ascii="宋体" w:hAnsi="宋体" w:cs="仿宋"/>
          <w:b/>
          <w:sz w:val="24"/>
        </w:rPr>
        <w:t xml:space="preserve">提供个人在本单位缴纳社保的证明) </w:t>
      </w:r>
    </w:p>
    <w:p w14:paraId="45AF6AF8">
      <w:pPr>
        <w:snapToGrid w:val="0"/>
        <w:spacing w:line="360" w:lineRule="auto"/>
        <w:rPr>
          <w:rFonts w:ascii="宋体" w:hAnsi="宋体" w:cs="仿宋"/>
          <w:sz w:val="24"/>
        </w:rPr>
      </w:pPr>
      <w:r>
        <w:rPr>
          <w:rFonts w:hint="eastAsia" w:ascii="宋体" w:hAnsi="宋体" w:cs="仿宋"/>
          <w:sz w:val="24"/>
        </w:rPr>
        <w:t>（姓名）为授权代表，以我方的名义参加项目编号：</w:t>
      </w:r>
      <w:r>
        <w:rPr>
          <w:rFonts w:hint="eastAsia" w:ascii="宋体" w:hAnsi="宋体" w:cs="仿宋"/>
          <w:sz w:val="24"/>
          <w:u w:val="single"/>
          <w:lang w:val="en"/>
        </w:rPr>
        <w:t xml:space="preserve"> </w:t>
      </w:r>
      <w:r>
        <w:rPr>
          <w:rFonts w:hint="eastAsia" w:ascii="宋体" w:hAnsi="宋体" w:cs="仿宋"/>
          <w:sz w:val="24"/>
          <w:u w:val="single"/>
        </w:rPr>
        <w:t xml:space="preserve">          </w:t>
      </w:r>
      <w:r>
        <w:rPr>
          <w:rFonts w:hint="eastAsia" w:ascii="宋体" w:hAnsi="宋体" w:cs="仿宋"/>
          <w:sz w:val="24"/>
          <w:u w:val="single"/>
          <w:lang w:val="en"/>
        </w:rPr>
        <w:t xml:space="preserve"> </w:t>
      </w:r>
      <w:r>
        <w:rPr>
          <w:rFonts w:hint="eastAsia" w:ascii="宋体" w:hAnsi="宋体" w:cs="仿宋"/>
          <w:sz w:val="24"/>
        </w:rPr>
        <w:t>项目名称</w:t>
      </w:r>
      <w:r>
        <w:rPr>
          <w:rFonts w:hint="eastAsia" w:ascii="宋体" w:hAnsi="宋体" w:cs="仿宋"/>
          <w:sz w:val="24"/>
          <w:u w:val="single"/>
        </w:rPr>
        <w:t>：</w:t>
      </w:r>
      <w:r>
        <w:rPr>
          <w:rFonts w:hint="eastAsia" w:ascii="宋体" w:hAnsi="宋体" w:cs="仿宋"/>
          <w:sz w:val="24"/>
          <w:u w:val="single"/>
          <w:lang w:val="en"/>
        </w:rPr>
        <w:t>吴兴高级中学生物实验室改造项目</w:t>
      </w:r>
      <w:r>
        <w:rPr>
          <w:rFonts w:hint="eastAsia" w:ascii="宋体" w:hAnsi="宋体" w:cs="仿宋"/>
          <w:sz w:val="24"/>
        </w:rPr>
        <w:t>的投标活动，并代表我方全权办理针对上述项目的投标、开标、评标、签约等具体事务和签署相关文件。我方对授权代表的签名事项负全部责任。</w:t>
      </w:r>
    </w:p>
    <w:p w14:paraId="53FFF4F6">
      <w:pPr>
        <w:snapToGrid w:val="0"/>
        <w:spacing w:line="360" w:lineRule="auto"/>
        <w:ind w:firstLine="480"/>
        <w:rPr>
          <w:rFonts w:ascii="宋体" w:hAnsi="宋体" w:cs="仿宋"/>
          <w:sz w:val="24"/>
        </w:rPr>
      </w:pPr>
      <w:r>
        <w:rPr>
          <w:rFonts w:hint="eastAsia" w:ascii="宋体" w:hAnsi="宋体" w:cs="仿宋"/>
          <w:sz w:val="24"/>
        </w:rPr>
        <w:t>在撤销授权的书面通知以前，本授权书一直有效。授权代表在授权书有效期内签署的所有文件不因授权的撤销而失效。</w:t>
      </w:r>
    </w:p>
    <w:p w14:paraId="72C7D6DB">
      <w:pPr>
        <w:snapToGrid w:val="0"/>
        <w:spacing w:line="360" w:lineRule="auto"/>
        <w:ind w:firstLine="480"/>
        <w:rPr>
          <w:rFonts w:ascii="宋体" w:hAnsi="宋体" w:cs="仿宋"/>
          <w:sz w:val="24"/>
        </w:rPr>
      </w:pPr>
      <w:r>
        <w:rPr>
          <w:rFonts w:hint="eastAsia" w:ascii="宋体" w:hAnsi="宋体" w:cs="仿宋"/>
          <w:sz w:val="24"/>
        </w:rPr>
        <w:t>授权代表无转委托权，特此委托。</w:t>
      </w:r>
    </w:p>
    <w:p w14:paraId="2A64A98F">
      <w:pPr>
        <w:snapToGrid w:val="0"/>
        <w:spacing w:line="360" w:lineRule="auto"/>
        <w:ind w:firstLine="480"/>
        <w:rPr>
          <w:rFonts w:ascii="宋体" w:hAnsi="宋体" w:cs="仿宋"/>
          <w:sz w:val="24"/>
        </w:rPr>
      </w:pPr>
    </w:p>
    <w:p w14:paraId="3A737614">
      <w:pPr>
        <w:snapToGrid w:val="0"/>
        <w:spacing w:before="120" w:beforeLines="50" w:after="50" w:line="460" w:lineRule="exact"/>
        <w:ind w:firstLine="480"/>
        <w:rPr>
          <w:rFonts w:ascii="宋体" w:hAnsi="宋体" w:cs="仿宋"/>
          <w:sz w:val="24"/>
        </w:rPr>
      </w:pPr>
    </w:p>
    <w:p w14:paraId="3AFD60FA">
      <w:pPr>
        <w:snapToGrid w:val="0"/>
        <w:spacing w:before="120" w:beforeLines="50" w:after="50" w:line="460" w:lineRule="exact"/>
        <w:rPr>
          <w:rFonts w:ascii="宋体" w:hAnsi="宋体" w:cs="仿宋"/>
          <w:sz w:val="24"/>
        </w:rPr>
      </w:pPr>
      <w:r>
        <w:rPr>
          <w:rFonts w:hint="eastAsia" w:ascii="宋体" w:hAnsi="宋体" w:cs="仿宋"/>
          <w:sz w:val="24"/>
        </w:rPr>
        <w:t>授权代表签名：     职务：</w:t>
      </w:r>
    </w:p>
    <w:p w14:paraId="1535F295">
      <w:pPr>
        <w:snapToGrid w:val="0"/>
        <w:spacing w:before="120" w:beforeLines="50" w:after="50" w:line="460" w:lineRule="exact"/>
        <w:rPr>
          <w:rFonts w:ascii="宋体" w:hAnsi="宋体" w:cs="仿宋"/>
          <w:sz w:val="24"/>
        </w:rPr>
      </w:pPr>
      <w:r>
        <w:rPr>
          <w:rFonts w:hint="eastAsia" w:ascii="宋体" w:hAnsi="宋体" w:cs="仿宋"/>
          <w:sz w:val="24"/>
        </w:rPr>
        <w:t>联系手机：（开评标期间务必保持通畅，用以询标联系）</w:t>
      </w:r>
    </w:p>
    <w:p w14:paraId="3053AD7C">
      <w:pPr>
        <w:snapToGrid w:val="0"/>
        <w:spacing w:before="120" w:beforeLines="50" w:after="50" w:line="460" w:lineRule="exact"/>
        <w:rPr>
          <w:rFonts w:ascii="宋体" w:hAnsi="宋体" w:cs="仿宋"/>
          <w:sz w:val="24"/>
        </w:rPr>
      </w:pPr>
      <w:r>
        <w:rPr>
          <w:rFonts w:hint="eastAsia" w:ascii="宋体" w:hAnsi="宋体" w:cs="仿宋"/>
          <w:sz w:val="24"/>
        </w:rPr>
        <w:t>授权代表身份证号码：</w:t>
      </w:r>
    </w:p>
    <w:p w14:paraId="45A3B532">
      <w:pPr>
        <w:snapToGrid w:val="0"/>
        <w:spacing w:before="120" w:beforeLines="50" w:after="50" w:line="460" w:lineRule="exact"/>
        <w:rPr>
          <w:rFonts w:ascii="宋体" w:hAnsi="宋体" w:cs="仿宋"/>
          <w:sz w:val="24"/>
        </w:rPr>
      </w:pPr>
      <w:r>
        <w:rPr>
          <w:rFonts w:hint="eastAsia" w:ascii="宋体" w:hAnsi="宋体" w:cs="仿宋"/>
          <w:sz w:val="24"/>
        </w:rPr>
        <w:t>法定代表人签名（或签名章）：   职务：</w:t>
      </w:r>
    </w:p>
    <w:p w14:paraId="4AA491FE">
      <w:pPr>
        <w:snapToGrid w:val="0"/>
        <w:spacing w:before="120" w:beforeLines="50" w:after="50" w:line="460" w:lineRule="exact"/>
        <w:rPr>
          <w:rFonts w:ascii="宋体" w:hAnsi="宋体" w:cs="仿宋"/>
          <w:sz w:val="24"/>
        </w:rPr>
      </w:pPr>
    </w:p>
    <w:p w14:paraId="7DBF854E">
      <w:pPr>
        <w:snapToGrid w:val="0"/>
        <w:spacing w:before="120" w:beforeLines="50" w:after="50" w:line="460" w:lineRule="exact"/>
        <w:rPr>
          <w:rFonts w:ascii="宋体" w:hAnsi="宋体" w:cs="仿宋"/>
          <w:sz w:val="24"/>
          <w:u w:val="single"/>
        </w:rPr>
      </w:pPr>
      <w:r>
        <w:rPr>
          <w:rFonts w:hint="eastAsia" w:ascii="宋体" w:hAnsi="宋体" w:cs="仿宋"/>
          <w:sz w:val="24"/>
        </w:rPr>
        <w:t>投标人全称（电子签章）：         日  期：</w:t>
      </w:r>
    </w:p>
    <w:p w14:paraId="29078E11">
      <w:pPr>
        <w:pStyle w:val="13"/>
        <w:spacing w:line="600" w:lineRule="exact"/>
        <w:ind w:firstLine="374" w:firstLineChars="156"/>
        <w:rPr>
          <w:rFonts w:ascii="宋体" w:hAnsi="宋体" w:cs="仿宋"/>
          <w:sz w:val="24"/>
        </w:rPr>
      </w:pPr>
      <w:r>
        <w:rPr>
          <w:rFonts w:hint="eastAsia" w:ascii="宋体" w:hAnsi="宋体" w:cs="仿宋"/>
          <w:sz w:val="24"/>
        </w:rPr>
        <w:t>————————————————————-----------</w:t>
      </w:r>
    </w:p>
    <w:p w14:paraId="5369E8F1">
      <w:pPr>
        <w:snapToGrid w:val="0"/>
        <w:spacing w:before="120" w:beforeLines="50" w:after="50" w:line="460" w:lineRule="exact"/>
        <w:jc w:val="center"/>
        <w:rPr>
          <w:rFonts w:ascii="宋体" w:hAnsi="宋体" w:cs="仿宋"/>
          <w:sz w:val="24"/>
          <w:u w:val="single"/>
        </w:rPr>
      </w:pPr>
      <w:r>
        <w:rPr>
          <w:rFonts w:hint="eastAsia" w:ascii="宋体" w:hAnsi="宋体" w:cs="仿宋"/>
          <w:sz w:val="24"/>
        </w:rPr>
        <w:t>授权代理人有效身份证明复印件粘贴处</w:t>
      </w:r>
    </w:p>
    <w:p w14:paraId="369E47AA">
      <w:pPr>
        <w:snapToGrid w:val="0"/>
        <w:spacing w:before="50" w:after="50"/>
        <w:rPr>
          <w:rFonts w:ascii="宋体" w:hAnsi="宋体" w:cs="仿宋"/>
          <w:b/>
          <w:sz w:val="24"/>
        </w:rPr>
      </w:pPr>
    </w:p>
    <w:p w14:paraId="262D41E3">
      <w:pPr>
        <w:snapToGrid w:val="0"/>
        <w:spacing w:before="50" w:after="50"/>
        <w:rPr>
          <w:rFonts w:ascii="宋体" w:hAnsi="宋体" w:cs="仿宋"/>
          <w:b/>
          <w:sz w:val="24"/>
        </w:rPr>
      </w:pPr>
    </w:p>
    <w:p w14:paraId="1E6A5B03">
      <w:pPr>
        <w:snapToGrid w:val="0"/>
        <w:spacing w:before="120" w:beforeLines="50" w:after="50"/>
        <w:rPr>
          <w:sz w:val="24"/>
        </w:rPr>
      </w:pPr>
      <w:r>
        <w:rPr>
          <w:rFonts w:hint="eastAsia"/>
          <w:sz w:val="24"/>
        </w:rPr>
        <w:t>附：</w:t>
      </w:r>
      <w:r>
        <w:rPr>
          <w:sz w:val="24"/>
        </w:rPr>
        <w:t>授权代理人社保证明复印件</w:t>
      </w:r>
      <w:r>
        <w:rPr>
          <w:rFonts w:hint="eastAsia"/>
          <w:sz w:val="24"/>
        </w:rPr>
        <w:t>（</w:t>
      </w:r>
      <w:r>
        <w:rPr>
          <w:sz w:val="24"/>
        </w:rPr>
        <w:t>社保机构出具的由本单位或分公司为其缴纳的近1个月的社保证明</w:t>
      </w:r>
      <w:r>
        <w:rPr>
          <w:rFonts w:hint="eastAsia"/>
          <w:sz w:val="24"/>
        </w:rPr>
        <w:t>）</w:t>
      </w:r>
    </w:p>
    <w:p w14:paraId="583A7CF4">
      <w:pPr>
        <w:snapToGrid w:val="0"/>
        <w:spacing w:line="360" w:lineRule="auto"/>
        <w:rPr>
          <w:rFonts w:ascii="宋体" w:hAnsi="宋体"/>
        </w:rPr>
      </w:pPr>
    </w:p>
    <w:p w14:paraId="11D3BD89"/>
    <w:p w14:paraId="3EC9F399">
      <w:pPr>
        <w:pStyle w:val="2"/>
        <w:ind w:firstLine="560"/>
      </w:pPr>
    </w:p>
    <w:p w14:paraId="174F266F">
      <w:pPr>
        <w:snapToGrid w:val="0"/>
        <w:spacing w:line="560" w:lineRule="exact"/>
        <w:rPr>
          <w:sz w:val="24"/>
        </w:rPr>
      </w:pPr>
      <w:r>
        <w:rPr>
          <w:rFonts w:ascii="宋体" w:hAnsi="宋体"/>
          <w:sz w:val="24"/>
        </w:rPr>
        <w:t>7.</w:t>
      </w:r>
      <w:r>
        <w:rPr>
          <w:rFonts w:hint="eastAsia"/>
          <w:sz w:val="24"/>
        </w:rPr>
        <w:t>投标承诺书</w:t>
      </w:r>
    </w:p>
    <w:p w14:paraId="4160760D">
      <w:pPr>
        <w:snapToGrid w:val="0"/>
        <w:spacing w:before="120" w:beforeLines="50" w:after="50" w:line="500" w:lineRule="exact"/>
        <w:rPr>
          <w:sz w:val="24"/>
        </w:rPr>
      </w:pPr>
      <w:r>
        <w:rPr>
          <w:rFonts w:hint="eastAsia"/>
          <w:sz w:val="24"/>
        </w:rPr>
        <w:t>（投标人）现参加               （项目名称）政府采购活动，我单位承诺如下：</w:t>
      </w:r>
    </w:p>
    <w:p w14:paraId="4F99752E">
      <w:pPr>
        <w:numPr>
          <w:ilvl w:val="0"/>
          <w:numId w:val="2"/>
        </w:numPr>
        <w:snapToGrid w:val="0"/>
        <w:spacing w:before="120" w:beforeLines="50" w:after="50" w:line="500" w:lineRule="exact"/>
        <w:ind w:firstLine="480" w:firstLineChars="200"/>
        <w:rPr>
          <w:sz w:val="24"/>
        </w:rPr>
      </w:pPr>
      <w:r>
        <w:rPr>
          <w:rFonts w:hint="eastAsia"/>
          <w:sz w:val="24"/>
        </w:rPr>
        <w:t>符合参与政府采购活动的资格条件（符合《中华人民共和国政府采购法》第二十二条规定和浙财采监【2013】24号《关于规范政府采购投标人资格设定及资格审查的通知》第六条规定，且未被“信用中国”www.creditchina.gov.cn、“中国政府采购网”www.ccgp.gov.cn列入失信被执行人、重大税收违法案件当事人名单、政府采购严重违法失信行为记录名单）。</w:t>
      </w:r>
    </w:p>
    <w:p w14:paraId="74CDF2D3">
      <w:pPr>
        <w:numPr>
          <w:ilvl w:val="0"/>
          <w:numId w:val="2"/>
        </w:numPr>
        <w:snapToGrid w:val="0"/>
        <w:spacing w:before="120" w:beforeLines="50" w:after="50" w:line="500" w:lineRule="exact"/>
        <w:ind w:firstLine="480" w:firstLineChars="200"/>
        <w:rPr>
          <w:sz w:val="24"/>
        </w:rPr>
      </w:pPr>
      <w:r>
        <w:rPr>
          <w:rFonts w:hint="eastAsia"/>
          <w:sz w:val="24"/>
        </w:rPr>
        <w:t>没有税收缴纳、社会保障等方面的失信记录，若违背以上承诺的，我单位愿意承担相应法律后果和责任，并依法依规列入严重失信名单。</w:t>
      </w:r>
    </w:p>
    <w:p w14:paraId="4813CE2F">
      <w:pPr>
        <w:snapToGrid w:val="0"/>
        <w:spacing w:before="120" w:beforeLines="50" w:after="50" w:line="500" w:lineRule="exact"/>
        <w:rPr>
          <w:sz w:val="24"/>
        </w:rPr>
      </w:pPr>
    </w:p>
    <w:p w14:paraId="61B7DD42">
      <w:pPr>
        <w:snapToGrid w:val="0"/>
        <w:spacing w:before="120" w:beforeLines="50" w:after="50" w:line="500" w:lineRule="exact"/>
        <w:rPr>
          <w:rFonts w:ascii="宋体" w:hAnsi="宋体"/>
          <w:sz w:val="24"/>
        </w:rPr>
      </w:pPr>
      <w:r>
        <w:rPr>
          <w:rFonts w:hint="eastAsia"/>
          <w:sz w:val="24"/>
        </w:rPr>
        <w:t xml:space="preserve"> </w:t>
      </w:r>
      <w:r>
        <w:rPr>
          <w:rFonts w:hint="eastAsia" w:ascii="宋体" w:hAnsi="宋体"/>
          <w:sz w:val="24"/>
        </w:rPr>
        <w:t>投标人公章：</w:t>
      </w:r>
    </w:p>
    <w:p w14:paraId="3F2110DC">
      <w:pPr>
        <w:snapToGrid w:val="0"/>
        <w:spacing w:before="120" w:beforeLines="50" w:after="50" w:line="500" w:lineRule="exact"/>
        <w:rPr>
          <w:sz w:val="24"/>
        </w:rPr>
      </w:pPr>
      <w:r>
        <w:rPr>
          <w:rFonts w:hint="eastAsia"/>
          <w:sz w:val="24"/>
        </w:rPr>
        <w:t>时  间：     年     月    日</w:t>
      </w:r>
    </w:p>
    <w:p w14:paraId="23660231">
      <w:pPr>
        <w:snapToGrid w:val="0"/>
        <w:spacing w:line="360" w:lineRule="auto"/>
        <w:rPr>
          <w:rFonts w:ascii="宋体" w:hAnsi="宋体"/>
          <w:sz w:val="24"/>
        </w:rPr>
      </w:pPr>
    </w:p>
    <w:p w14:paraId="265C8542">
      <w:pPr>
        <w:snapToGrid w:val="0"/>
        <w:spacing w:line="360" w:lineRule="auto"/>
        <w:rPr>
          <w:rFonts w:ascii="宋体" w:hAnsi="宋体"/>
          <w:sz w:val="24"/>
        </w:rPr>
      </w:pPr>
    </w:p>
    <w:p w14:paraId="402D7288">
      <w:pPr>
        <w:snapToGrid w:val="0"/>
        <w:spacing w:line="360" w:lineRule="auto"/>
        <w:rPr>
          <w:rFonts w:ascii="宋体" w:hAnsi="宋体"/>
          <w:sz w:val="24"/>
        </w:rPr>
      </w:pPr>
      <w:r>
        <w:rPr>
          <w:rFonts w:ascii="宋体" w:hAnsi="宋体"/>
          <w:sz w:val="24"/>
        </w:rPr>
        <w:t>8</w:t>
      </w:r>
      <w:r>
        <w:rPr>
          <w:rFonts w:hint="eastAsia" w:ascii="宋体" w:hAnsi="宋体"/>
          <w:sz w:val="24"/>
        </w:rPr>
        <w:t>.提供自招标公告发布之日起至投标截止日内任意时间的“信用中国”网站（www.creditchina.gov.cn）、中国政府采购网（www.ccgp.gov.cn）投标人信用查询网页截图</w:t>
      </w:r>
    </w:p>
    <w:p w14:paraId="5CF1EBE3">
      <w:pPr>
        <w:snapToGrid w:val="0"/>
        <w:spacing w:line="360" w:lineRule="auto"/>
        <w:jc w:val="left"/>
        <w:rPr>
          <w:rFonts w:ascii="宋体" w:hAnsi="宋体"/>
          <w:sz w:val="24"/>
        </w:rPr>
      </w:pPr>
    </w:p>
    <w:p w14:paraId="09DA831A">
      <w:pPr>
        <w:snapToGrid w:val="0"/>
        <w:spacing w:line="360" w:lineRule="auto"/>
        <w:jc w:val="left"/>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信用承诺书</w:t>
      </w:r>
    </w:p>
    <w:p w14:paraId="304FAD6A">
      <w:pPr>
        <w:tabs>
          <w:tab w:val="left" w:pos="1650"/>
        </w:tabs>
        <w:spacing w:line="360" w:lineRule="auto"/>
        <w:jc w:val="center"/>
        <w:rPr>
          <w:rFonts w:ascii="宋体" w:hAnsi="宋体"/>
          <w:sz w:val="44"/>
          <w:szCs w:val="44"/>
        </w:rPr>
      </w:pPr>
      <w:r>
        <w:rPr>
          <w:rFonts w:hint="eastAsia" w:ascii="宋体" w:hAnsi="宋体"/>
          <w:sz w:val="44"/>
          <w:szCs w:val="44"/>
        </w:rPr>
        <w:t>信用承诺书</w:t>
      </w:r>
    </w:p>
    <w:p w14:paraId="07C6C9D3">
      <w:pPr>
        <w:tabs>
          <w:tab w:val="left" w:pos="1650"/>
        </w:tabs>
        <w:spacing w:line="360" w:lineRule="auto"/>
        <w:jc w:val="left"/>
        <w:rPr>
          <w:rFonts w:ascii="宋体" w:hAnsi="宋体"/>
          <w:sz w:val="24"/>
        </w:rPr>
      </w:pPr>
      <w:r>
        <w:rPr>
          <w:rFonts w:hint="eastAsia" w:ascii="宋体" w:hAnsi="宋体"/>
          <w:sz w:val="24"/>
        </w:rPr>
        <w:t>（投标单位）现参加（采购项目）政府采购活动，郑重承诺如下：</w:t>
      </w:r>
    </w:p>
    <w:p w14:paraId="1A82A1A3">
      <w:pPr>
        <w:tabs>
          <w:tab w:val="left" w:pos="1650"/>
        </w:tabs>
        <w:spacing w:line="360" w:lineRule="auto"/>
        <w:ind w:firstLine="630"/>
        <w:rPr>
          <w:rFonts w:ascii="宋体" w:hAnsi="宋体"/>
          <w:sz w:val="24"/>
        </w:rPr>
      </w:pPr>
      <w:r>
        <w:rPr>
          <w:rFonts w:hint="eastAsia" w:ascii="宋体" w:hAnsi="宋体"/>
          <w:sz w:val="24"/>
        </w:rPr>
        <w:t>对所提供的资料合法性、真实性、准确性和有效性负责；</w:t>
      </w:r>
    </w:p>
    <w:p w14:paraId="64AC95EB">
      <w:pPr>
        <w:tabs>
          <w:tab w:val="left" w:pos="1650"/>
        </w:tabs>
        <w:spacing w:line="360" w:lineRule="auto"/>
        <w:ind w:firstLine="630"/>
        <w:rPr>
          <w:rFonts w:ascii="宋体" w:hAnsi="宋体"/>
          <w:sz w:val="24"/>
        </w:rPr>
      </w:pPr>
      <w:r>
        <w:rPr>
          <w:rFonts w:hint="eastAsia" w:ascii="宋体" w:hAnsi="宋体"/>
          <w:sz w:val="24"/>
        </w:rPr>
        <w:t>严格按照国家法律、法规和规章，依法开展相关经济活动，全面履行应尽的责任和义务；</w:t>
      </w:r>
    </w:p>
    <w:p w14:paraId="2B78D42B">
      <w:pPr>
        <w:tabs>
          <w:tab w:val="left" w:pos="1650"/>
        </w:tabs>
        <w:spacing w:line="360" w:lineRule="auto"/>
        <w:ind w:firstLine="630"/>
        <w:rPr>
          <w:rFonts w:ascii="宋体" w:hAnsi="宋体"/>
          <w:sz w:val="24"/>
        </w:rPr>
      </w:pPr>
      <w:r>
        <w:rPr>
          <w:rFonts w:hint="eastAsia" w:ascii="宋体" w:hAnsi="宋体"/>
          <w:sz w:val="24"/>
        </w:rPr>
        <w:t>加强自我约束、自我规范、自我管理，不制假售假、不虚假宣传、不违约毁约、不恶意逃债、不偷税漏税，诚信依法经营；</w:t>
      </w:r>
    </w:p>
    <w:p w14:paraId="499CC194">
      <w:pPr>
        <w:tabs>
          <w:tab w:val="left" w:pos="1650"/>
        </w:tabs>
        <w:spacing w:line="360" w:lineRule="auto"/>
        <w:ind w:firstLine="630"/>
        <w:rPr>
          <w:rFonts w:ascii="宋体" w:hAnsi="宋体"/>
          <w:sz w:val="24"/>
        </w:rPr>
      </w:pPr>
      <w:r>
        <w:rPr>
          <w:rFonts w:hint="eastAsia" w:ascii="宋体" w:hAnsi="宋体"/>
          <w:sz w:val="24"/>
        </w:rPr>
        <w:t>自愿接受行政主管部门的依法检查、违背承诺约定将自愿承担违约责任，并接受法律法规和相关部门规章制度的惩戒和约束；</w:t>
      </w:r>
    </w:p>
    <w:p w14:paraId="0246090A">
      <w:pPr>
        <w:tabs>
          <w:tab w:val="left" w:pos="1650"/>
        </w:tabs>
        <w:spacing w:line="360" w:lineRule="auto"/>
        <w:ind w:firstLine="630"/>
        <w:rPr>
          <w:rFonts w:ascii="宋体" w:hAnsi="宋体"/>
          <w:sz w:val="24"/>
        </w:rPr>
      </w:pPr>
      <w:r>
        <w:rPr>
          <w:rFonts w:hint="eastAsia" w:ascii="宋体" w:hAnsi="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271F21C8">
      <w:pPr>
        <w:pStyle w:val="116"/>
        <w:spacing w:before="0" w:beforeAutospacing="0" w:after="0" w:afterAutospacing="0" w:line="360" w:lineRule="auto"/>
        <w:ind w:firstLine="600" w:firstLineChars="250"/>
        <w:rPr>
          <w:rFonts w:cs="Times New Roman"/>
          <w:kern w:val="2"/>
        </w:rPr>
      </w:pPr>
      <w:r>
        <w:rPr>
          <w:rFonts w:hint="eastAsia" w:cs="Times New Roman"/>
          <w:kern w:val="2"/>
        </w:rPr>
        <w:t>统一社会信用代码：</w:t>
      </w:r>
    </w:p>
    <w:p w14:paraId="5BA61CCF">
      <w:pPr>
        <w:pStyle w:val="116"/>
        <w:spacing w:before="0" w:beforeAutospacing="0" w:after="0" w:afterAutospacing="0" w:line="360" w:lineRule="auto"/>
        <w:ind w:firstLine="565" w:firstLineChars="250"/>
        <w:rPr>
          <w:rFonts w:cs="Times New Roman"/>
          <w:spacing w:val="-7"/>
        </w:rPr>
      </w:pPr>
    </w:p>
    <w:p w14:paraId="764953F3">
      <w:pPr>
        <w:pStyle w:val="116"/>
        <w:spacing w:before="0" w:beforeAutospacing="0" w:after="0" w:afterAutospacing="0" w:line="360" w:lineRule="auto"/>
        <w:ind w:firstLine="3240" w:firstLineChars="1350"/>
        <w:rPr>
          <w:rFonts w:cs="Times New Roman"/>
          <w:kern w:val="2"/>
        </w:rPr>
      </w:pPr>
      <w:r>
        <w:rPr>
          <w:rFonts w:hint="eastAsia" w:cs="Times New Roman"/>
          <w:kern w:val="2"/>
        </w:rPr>
        <w:t>承诺单位</w:t>
      </w:r>
      <w:r>
        <w:rPr>
          <w:rFonts w:cs="Times New Roman"/>
          <w:kern w:val="2"/>
        </w:rPr>
        <w:t>/</w:t>
      </w:r>
      <w:r>
        <w:rPr>
          <w:rFonts w:hint="eastAsia" w:cs="Times New Roman"/>
          <w:kern w:val="2"/>
        </w:rPr>
        <w:t>个人（盖章</w:t>
      </w:r>
      <w:r>
        <w:rPr>
          <w:rFonts w:cs="Times New Roman"/>
          <w:kern w:val="2"/>
        </w:rPr>
        <w:t>/</w:t>
      </w:r>
      <w:r>
        <w:rPr>
          <w:rFonts w:hint="eastAsia" w:cs="Times New Roman"/>
          <w:kern w:val="2"/>
        </w:rPr>
        <w:t>签名）</w:t>
      </w:r>
    </w:p>
    <w:p w14:paraId="36BA1A69">
      <w:pPr>
        <w:spacing w:line="360" w:lineRule="auto"/>
        <w:ind w:firstLine="3480" w:firstLineChars="1450"/>
        <w:rPr>
          <w:rFonts w:ascii="宋体" w:hAnsi="宋体"/>
          <w:sz w:val="24"/>
        </w:rPr>
      </w:pPr>
      <w:r>
        <w:rPr>
          <w:rFonts w:hint="eastAsia" w:ascii="宋体" w:hAnsi="宋体"/>
          <w:sz w:val="24"/>
        </w:rPr>
        <w:t>时间：</w:t>
      </w:r>
      <w:r>
        <w:rPr>
          <w:rFonts w:ascii="宋体" w:hAnsi="宋体"/>
          <w:sz w:val="24"/>
        </w:rPr>
        <w:t>2025年</w:t>
      </w:r>
      <w:r>
        <w:rPr>
          <w:rFonts w:hint="eastAsia" w:ascii="宋体" w:hAnsi="宋体"/>
          <w:sz w:val="24"/>
        </w:rPr>
        <w:t xml:space="preserve"> 月 日</w:t>
      </w:r>
    </w:p>
    <w:p w14:paraId="29AFC42B">
      <w:pPr>
        <w:pStyle w:val="2"/>
      </w:pPr>
    </w:p>
    <w:p w14:paraId="12F999B0">
      <w:pPr>
        <w:pStyle w:val="3"/>
        <w:ind w:firstLine="280"/>
      </w:pPr>
    </w:p>
    <w:p w14:paraId="2F18CBCE">
      <w:pPr>
        <w:snapToGrid w:val="0"/>
        <w:spacing w:line="360" w:lineRule="auto"/>
        <w:jc w:val="left"/>
        <w:rPr>
          <w:rFonts w:ascii="宋体" w:hAnsi="宋体"/>
          <w:sz w:val="24"/>
        </w:rPr>
      </w:pPr>
      <w:r>
        <w:rPr>
          <w:rFonts w:ascii="宋体" w:hAnsi="宋体"/>
          <w:sz w:val="24"/>
        </w:rPr>
        <w:t>10.</w:t>
      </w:r>
      <w:r>
        <w:rPr>
          <w:rFonts w:hint="eastAsia" w:ascii="宋体" w:hAnsi="宋体"/>
          <w:sz w:val="24"/>
        </w:rPr>
        <w:t>中小企业声明函</w:t>
      </w:r>
    </w:p>
    <w:p w14:paraId="53235D7A">
      <w:pPr>
        <w:spacing w:line="360" w:lineRule="auto"/>
        <w:jc w:val="center"/>
        <w:rPr>
          <w:rFonts w:ascii="宋体" w:hAnsi="宋体"/>
          <w:szCs w:val="28"/>
        </w:rPr>
      </w:pPr>
      <w:r>
        <w:rPr>
          <w:rFonts w:hint="eastAsia" w:ascii="宋体" w:hAnsi="宋体"/>
          <w:b/>
          <w:szCs w:val="28"/>
        </w:rPr>
        <w:t>中小企业声明函</w:t>
      </w:r>
    </w:p>
    <w:p w14:paraId="199B953A">
      <w:pPr>
        <w:spacing w:line="360" w:lineRule="auto"/>
        <w:ind w:firstLine="480" w:firstLineChars="200"/>
        <w:rPr>
          <w:rFonts w:ascii="宋体" w:hAnsi="宋体" w:cs="仿宋"/>
          <w:kern w:val="0"/>
          <w:sz w:val="24"/>
        </w:rPr>
      </w:pPr>
      <w:r>
        <w:rPr>
          <w:rFonts w:hint="eastAsia" w:ascii="宋体" w:hAnsi="宋体" w:cs="仿宋"/>
          <w:kern w:val="0"/>
          <w:sz w:val="24"/>
        </w:rPr>
        <w:t>本公司（联合体）郑重声明，根据《政府采购促进中小企业发展管理办法》（财库</w:t>
      </w:r>
      <w:r>
        <w:rPr>
          <w:rFonts w:hint="eastAsia" w:ascii="宋体" w:hAnsi="宋体" w:cs="宋体"/>
          <w:kern w:val="0"/>
          <w:sz w:val="24"/>
        </w:rPr>
        <w:t>﹝</w:t>
      </w:r>
      <w:r>
        <w:rPr>
          <w:rFonts w:ascii="宋体" w:hAnsi="宋体" w:cs="仿宋"/>
          <w:kern w:val="0"/>
          <w:sz w:val="24"/>
        </w:rPr>
        <w:t>2020</w:t>
      </w:r>
      <w:r>
        <w:rPr>
          <w:rFonts w:hint="eastAsia" w:ascii="宋体" w:hAnsi="宋体" w:cs="宋体"/>
          <w:kern w:val="0"/>
          <w:sz w:val="24"/>
        </w:rPr>
        <w:t>﹞</w:t>
      </w:r>
      <w:r>
        <w:rPr>
          <w:rFonts w:ascii="宋体" w:hAnsi="宋体" w:cs="仿宋"/>
          <w:kern w:val="0"/>
          <w:sz w:val="24"/>
        </w:rPr>
        <w:t xml:space="preserve">46 </w:t>
      </w:r>
      <w:r>
        <w:rPr>
          <w:rFonts w:hint="eastAsia" w:ascii="宋体" w:hAnsi="宋体" w:cs="仿宋"/>
          <w:kern w:val="0"/>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236FD33B">
      <w:pPr>
        <w:spacing w:line="360" w:lineRule="auto"/>
        <w:ind w:firstLine="480" w:firstLineChars="200"/>
        <w:rPr>
          <w:rFonts w:ascii="宋体" w:hAnsi="宋体" w:cs="仿宋"/>
          <w:kern w:val="0"/>
          <w:sz w:val="24"/>
        </w:rPr>
      </w:pPr>
      <w:r>
        <w:rPr>
          <w:rFonts w:ascii="宋体" w:hAnsi="宋体" w:cs="仿宋"/>
          <w:kern w:val="0"/>
          <w:sz w:val="24"/>
        </w:rPr>
        <w:t xml:space="preserve">1. </w:t>
      </w:r>
      <w:r>
        <w:rPr>
          <w:rFonts w:hint="eastAsia" w:ascii="宋体" w:hAnsi="宋体" w:cs="仿宋"/>
          <w:kern w:val="0"/>
          <w:sz w:val="24"/>
        </w:rPr>
        <w:t>（标的名称），属于</w:t>
      </w:r>
      <w:bookmarkStart w:id="99" w:name="OLE_LINK88"/>
      <w:bookmarkStart w:id="100" w:name="OLE_LINK89"/>
      <w:r>
        <w:rPr>
          <w:rFonts w:hint="eastAsia" w:ascii="宋体" w:hAnsi="宋体" w:cs="仿宋"/>
          <w:kern w:val="0"/>
          <w:sz w:val="24"/>
        </w:rPr>
        <w:t>工业</w:t>
      </w:r>
      <w:bookmarkEnd w:id="99"/>
      <w:bookmarkEnd w:id="100"/>
      <w:r>
        <w:rPr>
          <w:rFonts w:hint="eastAsia" w:ascii="宋体" w:hAnsi="宋体" w:cs="仿宋"/>
          <w:kern w:val="0"/>
          <w:sz w:val="24"/>
        </w:rPr>
        <w:t>（采购文件中明确的所属行业）行业；制造商为（企业名称），从业人员人，营业收入为万元，资产总额为万元</w:t>
      </w:r>
      <w:r>
        <w:rPr>
          <w:rFonts w:hint="eastAsia" w:ascii="宋体" w:hAnsi="宋体" w:cs="TimesNewRomanPSMT"/>
          <w:kern w:val="0"/>
          <w:sz w:val="24"/>
        </w:rPr>
        <w:t>①</w:t>
      </w:r>
      <w:r>
        <w:rPr>
          <w:rFonts w:hint="eastAsia" w:ascii="宋体" w:hAnsi="宋体" w:cs="仿宋"/>
          <w:kern w:val="0"/>
          <w:sz w:val="24"/>
        </w:rPr>
        <w:t>，属于（中型企业、小型企业、微型企业）；</w:t>
      </w:r>
    </w:p>
    <w:p w14:paraId="32577009">
      <w:pPr>
        <w:spacing w:line="360" w:lineRule="auto"/>
        <w:ind w:firstLine="480" w:firstLineChars="200"/>
        <w:rPr>
          <w:rFonts w:ascii="宋体" w:hAnsi="宋体" w:cs="仿宋"/>
          <w:kern w:val="0"/>
          <w:sz w:val="24"/>
        </w:rPr>
      </w:pPr>
      <w:r>
        <w:rPr>
          <w:rFonts w:ascii="宋体" w:hAnsi="宋体" w:cs="仿宋"/>
          <w:kern w:val="0"/>
          <w:sz w:val="24"/>
        </w:rPr>
        <w:t xml:space="preserve">2. </w:t>
      </w:r>
      <w:r>
        <w:rPr>
          <w:rFonts w:hint="eastAsia" w:ascii="宋体" w:hAnsi="宋体" w:cs="仿宋"/>
          <w:kern w:val="0"/>
          <w:sz w:val="24"/>
        </w:rPr>
        <w:t>（标的名称），属于工业（采购文件中明确的所属行业）行业；制造商为（企业名称），从业人员人，营业收入为万元，资产总额为万元，属于（中型企业、小型企业、微型企业）；</w:t>
      </w:r>
    </w:p>
    <w:p w14:paraId="6ED8C3AB">
      <w:pPr>
        <w:spacing w:line="360" w:lineRule="auto"/>
        <w:ind w:firstLine="480" w:firstLineChars="200"/>
        <w:rPr>
          <w:rFonts w:ascii="宋体" w:hAnsi="宋体" w:cs="仿宋"/>
          <w:kern w:val="0"/>
          <w:sz w:val="24"/>
        </w:rPr>
      </w:pPr>
      <w:r>
        <w:rPr>
          <w:rFonts w:hint="eastAsia" w:ascii="宋体" w:hAnsi="宋体" w:cs="仿宋"/>
          <w:kern w:val="0"/>
          <w:sz w:val="24"/>
        </w:rPr>
        <w:t>……</w:t>
      </w:r>
    </w:p>
    <w:p w14:paraId="6923E48A">
      <w:pPr>
        <w:spacing w:line="360" w:lineRule="auto"/>
        <w:ind w:firstLine="480" w:firstLineChars="200"/>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14:paraId="5DBB3F39">
      <w:pPr>
        <w:spacing w:line="360" w:lineRule="auto"/>
        <w:ind w:firstLine="480" w:firstLineChars="200"/>
        <w:rPr>
          <w:rFonts w:ascii="宋体" w:hAnsi="宋体" w:cs="仿宋"/>
          <w:kern w:val="0"/>
          <w:sz w:val="24"/>
        </w:rPr>
      </w:pPr>
      <w:r>
        <w:rPr>
          <w:rFonts w:hint="eastAsia" w:ascii="宋体" w:hAnsi="宋体" w:cs="仿宋"/>
          <w:kern w:val="0"/>
          <w:sz w:val="24"/>
        </w:rPr>
        <w:t>本企业对上述声明内容的真实性负责。如有虚假，将依法承担相应责任。</w:t>
      </w:r>
    </w:p>
    <w:p w14:paraId="44AD4C6A">
      <w:pPr>
        <w:spacing w:line="360" w:lineRule="auto"/>
        <w:ind w:firstLine="5640" w:firstLineChars="2350"/>
        <w:rPr>
          <w:rFonts w:ascii="宋体" w:hAnsi="宋体" w:cs="仿宋"/>
          <w:kern w:val="0"/>
          <w:sz w:val="24"/>
        </w:rPr>
      </w:pPr>
    </w:p>
    <w:p w14:paraId="739122EF">
      <w:pPr>
        <w:spacing w:line="360" w:lineRule="auto"/>
        <w:ind w:firstLine="5640" w:firstLineChars="2350"/>
        <w:rPr>
          <w:rFonts w:ascii="宋体" w:hAnsi="宋体" w:cs="仿宋"/>
          <w:kern w:val="0"/>
          <w:sz w:val="24"/>
        </w:rPr>
      </w:pPr>
      <w:r>
        <w:rPr>
          <w:rFonts w:hint="eastAsia" w:ascii="宋体" w:hAnsi="宋体" w:cs="仿宋"/>
          <w:kern w:val="0"/>
          <w:sz w:val="24"/>
        </w:rPr>
        <w:t>企业名称（盖章）：</w:t>
      </w:r>
    </w:p>
    <w:p w14:paraId="7117F44A">
      <w:pPr>
        <w:spacing w:line="360" w:lineRule="auto"/>
        <w:ind w:firstLine="5640" w:firstLineChars="2350"/>
        <w:rPr>
          <w:rFonts w:ascii="宋体" w:hAnsi="宋体" w:cs="仿宋"/>
          <w:kern w:val="0"/>
          <w:sz w:val="24"/>
        </w:rPr>
      </w:pPr>
      <w:r>
        <w:rPr>
          <w:rFonts w:hint="eastAsia" w:ascii="宋体" w:hAnsi="宋体" w:cs="仿宋"/>
          <w:kern w:val="0"/>
          <w:sz w:val="24"/>
        </w:rPr>
        <w:t>日期：</w:t>
      </w:r>
    </w:p>
    <w:p w14:paraId="76036CF3">
      <w:pPr>
        <w:rPr>
          <w:rFonts w:ascii="宋体" w:hAnsi="宋体" w:cs="仿宋"/>
          <w:kern w:val="0"/>
          <w:sz w:val="24"/>
        </w:rPr>
      </w:pPr>
      <w:r>
        <w:rPr>
          <w:rFonts w:hint="eastAsia" w:ascii="宋体" w:hAnsi="宋体" w:cs="仿宋"/>
          <w:kern w:val="0"/>
          <w:sz w:val="24"/>
        </w:rPr>
        <w:t>注：填写要求：①“标的名称”、“文件中明确的所属行业”依据文件内容填写；②从业人员、营业收入、资产总额填报上一年度数据，无上一年度数据的新成立企业可不填报；③中型企业、小型企业、微型企业等3种企业类型，结合以上数据，依据《中小企业划型标准规定》（工信部联企业〔2011〕300号）确定；④《中小企业声明函》填写不清晰完整，被不予认可的，不享受中小企业扶持政策。声明内容不实的，属于提供虚假材料谋取中标、成交的，依法承担法律责任。</w:t>
      </w:r>
    </w:p>
    <w:p w14:paraId="598655B1">
      <w:pPr>
        <w:pStyle w:val="2"/>
        <w:ind w:firstLine="560"/>
      </w:pPr>
    </w:p>
    <w:p w14:paraId="7DC802F0">
      <w:pPr>
        <w:pStyle w:val="85"/>
        <w:rPr>
          <w:color w:val="auto"/>
        </w:rPr>
      </w:pPr>
    </w:p>
    <w:p w14:paraId="46DEFCD5">
      <w:pPr>
        <w:pStyle w:val="86"/>
      </w:pPr>
    </w:p>
    <w:p w14:paraId="0D320E72"/>
    <w:p w14:paraId="3EDAB3F9">
      <w:pPr>
        <w:pStyle w:val="2"/>
        <w:ind w:firstLine="560"/>
      </w:pPr>
    </w:p>
    <w:p w14:paraId="2E679B5E">
      <w:pPr>
        <w:pStyle w:val="85"/>
        <w:rPr>
          <w:color w:val="auto"/>
        </w:rPr>
      </w:pPr>
    </w:p>
    <w:p w14:paraId="4905A25D">
      <w:pPr>
        <w:pStyle w:val="86"/>
      </w:pPr>
    </w:p>
    <w:p w14:paraId="3F5EF2F4"/>
    <w:p w14:paraId="3B3C659A">
      <w:pPr>
        <w:pStyle w:val="2"/>
        <w:ind w:firstLine="560"/>
      </w:pPr>
    </w:p>
    <w:p w14:paraId="373355F6">
      <w:pPr>
        <w:snapToGrid w:val="0"/>
        <w:spacing w:line="360" w:lineRule="auto"/>
        <w:jc w:val="center"/>
        <w:outlineLvl w:val="1"/>
        <w:rPr>
          <w:rFonts w:ascii="宋体" w:hAnsi="宋体"/>
          <w:b/>
          <w:bCs/>
          <w:sz w:val="24"/>
        </w:rPr>
      </w:pPr>
      <w:r>
        <w:rPr>
          <w:rFonts w:hint="eastAsia" w:ascii="宋体" w:hAnsi="宋体"/>
          <w:b/>
          <w:bCs/>
          <w:sz w:val="24"/>
        </w:rPr>
        <w:t>二、技术/资信/商务文件格式</w:t>
      </w:r>
    </w:p>
    <w:p w14:paraId="0330C572">
      <w:pPr>
        <w:snapToGrid w:val="0"/>
        <w:spacing w:line="360" w:lineRule="auto"/>
        <w:jc w:val="center"/>
        <w:rPr>
          <w:rFonts w:ascii="宋体" w:hAnsi="宋体"/>
          <w:sz w:val="24"/>
          <w:szCs w:val="20"/>
        </w:rPr>
      </w:pPr>
    </w:p>
    <w:p w14:paraId="2840E984">
      <w:pPr>
        <w:snapToGrid w:val="0"/>
        <w:spacing w:line="360" w:lineRule="auto"/>
        <w:rPr>
          <w:rFonts w:ascii="宋体" w:hAnsi="宋体"/>
          <w:sz w:val="24"/>
          <w:szCs w:val="20"/>
        </w:rPr>
      </w:pPr>
      <w:r>
        <w:rPr>
          <w:rFonts w:hint="eastAsia" w:ascii="宋体" w:hAnsi="宋体"/>
          <w:sz w:val="24"/>
        </w:rPr>
        <w:t>11.技术/资信/商务文件封面格式：</w:t>
      </w:r>
      <w:r>
        <w:rPr>
          <w:rFonts w:ascii="宋体" w:hAnsi="宋体"/>
          <w:sz w:val="24"/>
        </w:rPr>
        <w:t xml:space="preserve"> </w:t>
      </w:r>
    </w:p>
    <w:p w14:paraId="50A515A9">
      <w:pPr>
        <w:snapToGrid w:val="0"/>
        <w:spacing w:line="360" w:lineRule="auto"/>
        <w:rPr>
          <w:rFonts w:ascii="宋体" w:hAnsi="宋体"/>
          <w:b/>
          <w:bCs/>
          <w:sz w:val="32"/>
          <w:szCs w:val="20"/>
        </w:rPr>
      </w:pPr>
      <w:r>
        <w:rPr>
          <w:rFonts w:ascii="宋体" w:hAnsi="宋体"/>
          <w:sz w:val="24"/>
        </w:rPr>
        <w:t xml:space="preserve">                                                    </w:t>
      </w:r>
      <w:r>
        <w:rPr>
          <w:rFonts w:hint="eastAsia" w:ascii="宋体" w:hAnsi="宋体"/>
          <w:b/>
          <w:bCs/>
        </w:rPr>
        <w:t>正本</w:t>
      </w:r>
      <w:r>
        <w:rPr>
          <w:rFonts w:ascii="宋体" w:hAnsi="宋体"/>
          <w:b/>
          <w:bCs/>
        </w:rPr>
        <w:t>/</w:t>
      </w:r>
      <w:r>
        <w:rPr>
          <w:rFonts w:hint="eastAsia" w:ascii="宋体" w:hAnsi="宋体"/>
          <w:b/>
          <w:bCs/>
        </w:rPr>
        <w:t>或副本</w:t>
      </w:r>
    </w:p>
    <w:p w14:paraId="18EDA7DA">
      <w:pPr>
        <w:snapToGrid w:val="0"/>
        <w:spacing w:line="360" w:lineRule="auto"/>
        <w:jc w:val="center"/>
        <w:rPr>
          <w:rFonts w:ascii="宋体" w:hAnsi="宋体"/>
          <w:bCs/>
          <w:sz w:val="24"/>
          <w:szCs w:val="20"/>
        </w:rPr>
      </w:pPr>
    </w:p>
    <w:p w14:paraId="1639D5B8">
      <w:pPr>
        <w:snapToGrid w:val="0"/>
        <w:spacing w:line="360" w:lineRule="auto"/>
        <w:jc w:val="center"/>
        <w:rPr>
          <w:rFonts w:ascii="宋体" w:hAnsi="宋体"/>
          <w:bCs/>
          <w:sz w:val="24"/>
          <w:szCs w:val="20"/>
        </w:rPr>
      </w:pPr>
      <w:r>
        <w:rPr>
          <w:rFonts w:hint="eastAsia" w:ascii="宋体" w:hAnsi="宋体"/>
          <w:bCs/>
          <w:sz w:val="24"/>
        </w:rPr>
        <w:t>技术/资信/商务</w:t>
      </w:r>
      <w:r>
        <w:rPr>
          <w:rFonts w:ascii="宋体" w:hAnsi="宋体"/>
          <w:bCs/>
          <w:sz w:val="24"/>
        </w:rPr>
        <w:t xml:space="preserve"> </w:t>
      </w:r>
      <w:r>
        <w:rPr>
          <w:rFonts w:hint="eastAsia" w:ascii="宋体" w:hAnsi="宋体"/>
          <w:bCs/>
          <w:sz w:val="24"/>
        </w:rPr>
        <w:t>文</w:t>
      </w:r>
      <w:r>
        <w:rPr>
          <w:rFonts w:ascii="宋体" w:hAnsi="宋体"/>
          <w:bCs/>
          <w:sz w:val="24"/>
        </w:rPr>
        <w:t xml:space="preserve"> </w:t>
      </w:r>
      <w:r>
        <w:rPr>
          <w:rFonts w:hint="eastAsia" w:ascii="宋体" w:hAnsi="宋体"/>
          <w:bCs/>
          <w:sz w:val="24"/>
        </w:rPr>
        <w:t>件</w:t>
      </w:r>
    </w:p>
    <w:p w14:paraId="093D86EA">
      <w:pPr>
        <w:snapToGrid w:val="0"/>
        <w:spacing w:line="360" w:lineRule="auto"/>
        <w:rPr>
          <w:rFonts w:ascii="宋体" w:hAnsi="宋体"/>
          <w:bCs/>
          <w:sz w:val="24"/>
          <w:szCs w:val="20"/>
        </w:rPr>
      </w:pPr>
    </w:p>
    <w:p w14:paraId="5ED6C740">
      <w:pPr>
        <w:snapToGrid w:val="0"/>
        <w:spacing w:line="360" w:lineRule="auto"/>
        <w:ind w:firstLine="960" w:firstLineChars="400"/>
        <w:rPr>
          <w:rFonts w:ascii="宋体" w:hAnsi="宋体"/>
          <w:bCs/>
          <w:sz w:val="24"/>
          <w:szCs w:val="20"/>
        </w:rPr>
      </w:pPr>
      <w:r>
        <w:rPr>
          <w:rFonts w:hint="eastAsia" w:ascii="宋体" w:hAnsi="宋体"/>
          <w:bCs/>
          <w:sz w:val="24"/>
        </w:rPr>
        <w:t>项目名称：</w:t>
      </w:r>
      <w:r>
        <w:rPr>
          <w:rFonts w:hint="eastAsia" w:ascii="宋体" w:hAnsi="宋体"/>
          <w:spacing w:val="-20"/>
          <w:sz w:val="24"/>
        </w:rPr>
        <w:t>吴兴高级中学生物实验室改造项目</w:t>
      </w:r>
    </w:p>
    <w:p w14:paraId="376B6601">
      <w:pPr>
        <w:snapToGrid w:val="0"/>
        <w:spacing w:line="360" w:lineRule="auto"/>
        <w:ind w:firstLine="480" w:firstLineChars="200"/>
        <w:rPr>
          <w:rFonts w:ascii="宋体" w:hAnsi="宋体"/>
          <w:bCs/>
          <w:sz w:val="24"/>
          <w:szCs w:val="20"/>
        </w:rPr>
      </w:pPr>
      <w:r>
        <w:rPr>
          <w:rFonts w:ascii="宋体" w:hAnsi="宋体"/>
          <w:bCs/>
          <w:sz w:val="24"/>
        </w:rPr>
        <w:t xml:space="preserve">    </w:t>
      </w:r>
      <w:r>
        <w:rPr>
          <w:rFonts w:hint="eastAsia" w:ascii="宋体" w:hAnsi="宋体"/>
          <w:bCs/>
          <w:sz w:val="24"/>
        </w:rPr>
        <w:t>项目编号：</w:t>
      </w:r>
      <w:r>
        <w:rPr>
          <w:rFonts w:hint="eastAsia" w:ascii="宋体" w:hAnsi="宋体"/>
          <w:sz w:val="24"/>
        </w:rPr>
        <w:t>HYHZ2025-69</w:t>
      </w:r>
    </w:p>
    <w:p w14:paraId="7DD0A65B">
      <w:pPr>
        <w:pStyle w:val="13"/>
        <w:snapToGrid w:val="0"/>
        <w:spacing w:line="360" w:lineRule="auto"/>
        <w:ind w:firstLine="998" w:firstLineChars="416"/>
        <w:rPr>
          <w:rFonts w:ascii="宋体" w:hAnsi="宋体"/>
          <w:bCs/>
          <w:sz w:val="24"/>
        </w:rPr>
      </w:pPr>
      <w:r>
        <w:rPr>
          <w:rFonts w:hint="eastAsia" w:ascii="宋体" w:hAnsi="宋体"/>
          <w:bCs/>
          <w:sz w:val="24"/>
        </w:rPr>
        <w:t>投标人名称：</w:t>
      </w:r>
    </w:p>
    <w:p w14:paraId="13C47D8A">
      <w:pPr>
        <w:pStyle w:val="13"/>
        <w:snapToGrid w:val="0"/>
        <w:spacing w:line="360" w:lineRule="auto"/>
        <w:ind w:firstLine="998" w:firstLineChars="416"/>
        <w:rPr>
          <w:rFonts w:ascii="宋体" w:hAnsi="宋体"/>
          <w:bCs/>
          <w:sz w:val="24"/>
        </w:rPr>
      </w:pPr>
      <w:r>
        <w:rPr>
          <w:rFonts w:hint="eastAsia" w:ascii="宋体" w:hAnsi="宋体"/>
          <w:bCs/>
          <w:sz w:val="24"/>
        </w:rPr>
        <w:t>投标人地址：</w:t>
      </w:r>
    </w:p>
    <w:p w14:paraId="3FC92316">
      <w:pPr>
        <w:pStyle w:val="13"/>
        <w:snapToGrid w:val="0"/>
        <w:spacing w:line="360" w:lineRule="auto"/>
        <w:ind w:firstLine="960" w:firstLineChars="400"/>
        <w:rPr>
          <w:rFonts w:ascii="宋体" w:hAnsi="宋体"/>
          <w:bCs/>
          <w:sz w:val="24"/>
        </w:rPr>
      </w:pPr>
    </w:p>
    <w:p w14:paraId="58C33954">
      <w:pPr>
        <w:snapToGrid w:val="0"/>
        <w:spacing w:line="360" w:lineRule="auto"/>
        <w:ind w:firstLine="4080" w:firstLineChars="1700"/>
        <w:rPr>
          <w:rFonts w:ascii="宋体" w:hAnsi="宋体"/>
          <w:sz w:val="24"/>
          <w:szCs w:val="20"/>
        </w:rPr>
      </w:pPr>
    </w:p>
    <w:p w14:paraId="450AB1A6">
      <w:pPr>
        <w:snapToGrid w:val="0"/>
        <w:spacing w:line="360" w:lineRule="auto"/>
        <w:ind w:firstLine="645"/>
        <w:jc w:val="center"/>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7F99275B">
      <w:pPr>
        <w:snapToGrid w:val="0"/>
        <w:spacing w:line="360" w:lineRule="auto"/>
        <w:ind w:firstLine="645"/>
        <w:jc w:val="center"/>
        <w:rPr>
          <w:rFonts w:ascii="宋体" w:hAnsi="宋体"/>
          <w:sz w:val="24"/>
        </w:rPr>
      </w:pPr>
    </w:p>
    <w:p w14:paraId="5AFBF857">
      <w:pPr>
        <w:pStyle w:val="2"/>
        <w:ind w:firstLine="560"/>
      </w:pPr>
    </w:p>
    <w:p w14:paraId="50D4B4DF">
      <w:pPr>
        <w:snapToGrid w:val="0"/>
        <w:spacing w:line="360" w:lineRule="auto"/>
        <w:rPr>
          <w:rFonts w:ascii="宋体" w:hAnsi="宋体"/>
          <w:sz w:val="24"/>
        </w:rPr>
      </w:pPr>
      <w:r>
        <w:rPr>
          <w:rFonts w:hint="eastAsia" w:ascii="宋体" w:hAnsi="宋体"/>
          <w:sz w:val="24"/>
        </w:rPr>
        <w:t>12.</w:t>
      </w:r>
      <w:r>
        <w:rPr>
          <w:rFonts w:hint="eastAsia" w:ascii="宋体" w:hAnsi="宋体"/>
          <w:b/>
          <w:bCs/>
          <w:sz w:val="24"/>
        </w:rPr>
        <w:t>技术/资信/商务文件目录</w:t>
      </w:r>
    </w:p>
    <w:p w14:paraId="663369A6">
      <w:pPr>
        <w:snapToGrid w:val="0"/>
        <w:spacing w:line="360" w:lineRule="auto"/>
        <w:rPr>
          <w:rFonts w:ascii="宋体" w:hAnsi="宋体"/>
          <w:sz w:val="24"/>
        </w:rPr>
      </w:pPr>
      <w:r>
        <w:rPr>
          <w:rFonts w:hint="eastAsia" w:ascii="宋体" w:hAnsi="宋体"/>
          <w:sz w:val="24"/>
        </w:rPr>
        <w:t>技术：</w:t>
      </w:r>
    </w:p>
    <w:p w14:paraId="71515621">
      <w:pPr>
        <w:spacing w:line="360" w:lineRule="auto"/>
        <w:jc w:val="left"/>
        <w:rPr>
          <w:rFonts w:ascii="宋体" w:hAnsi="宋体" w:cs="宋体"/>
          <w:sz w:val="24"/>
        </w:rPr>
      </w:pPr>
      <w:r>
        <w:rPr>
          <w:rFonts w:hint="eastAsia" w:ascii="宋体" w:hAnsi="宋体" w:cs="宋体"/>
          <w:sz w:val="24"/>
        </w:rPr>
        <w:t>（1）设计方案————————（页码）</w:t>
      </w:r>
    </w:p>
    <w:p w14:paraId="210E1228">
      <w:pPr>
        <w:spacing w:line="360" w:lineRule="auto"/>
        <w:jc w:val="left"/>
        <w:rPr>
          <w:rFonts w:ascii="宋体" w:hAnsi="宋体" w:cs="宋体"/>
          <w:sz w:val="24"/>
        </w:rPr>
      </w:pPr>
      <w:r>
        <w:rPr>
          <w:rFonts w:hint="eastAsia" w:ascii="宋体" w:hAnsi="宋体" w:cs="宋体"/>
          <w:sz w:val="24"/>
        </w:rPr>
        <w:t>（2）确保供应货物质量措施————————</w:t>
      </w:r>
    </w:p>
    <w:p w14:paraId="1C928995">
      <w:pPr>
        <w:spacing w:line="360" w:lineRule="auto"/>
        <w:jc w:val="left"/>
        <w:rPr>
          <w:rFonts w:ascii="宋体" w:hAnsi="宋体" w:cs="宋体"/>
          <w:sz w:val="24"/>
        </w:rPr>
      </w:pPr>
      <w:r>
        <w:rPr>
          <w:rFonts w:hint="eastAsia" w:ascii="宋体" w:hAnsi="宋体" w:cs="宋体"/>
          <w:sz w:val="24"/>
        </w:rPr>
        <w:t>（3）保证交货期的措施————————</w:t>
      </w:r>
    </w:p>
    <w:p w14:paraId="4780A290">
      <w:pPr>
        <w:spacing w:line="360" w:lineRule="auto"/>
        <w:jc w:val="left"/>
        <w:rPr>
          <w:rFonts w:ascii="宋体" w:hAnsi="宋体" w:cs="宋体"/>
          <w:sz w:val="24"/>
        </w:rPr>
      </w:pPr>
      <w:r>
        <w:rPr>
          <w:rFonts w:hint="eastAsia" w:ascii="宋体" w:hAnsi="宋体" w:cs="宋体"/>
          <w:sz w:val="24"/>
        </w:rPr>
        <w:t>（4）安装调试、验收方案</w:t>
      </w:r>
      <w:bookmarkStart w:id="101" w:name="OLE_LINK93"/>
      <w:bookmarkStart w:id="102" w:name="OLE_LINK92"/>
      <w:r>
        <w:rPr>
          <w:rFonts w:hint="eastAsia" w:ascii="宋体" w:hAnsi="宋体" w:cs="宋体"/>
          <w:sz w:val="24"/>
        </w:rPr>
        <w:t>————————</w:t>
      </w:r>
      <w:bookmarkEnd w:id="101"/>
      <w:bookmarkEnd w:id="102"/>
    </w:p>
    <w:p w14:paraId="014D2433">
      <w:pPr>
        <w:spacing w:line="360" w:lineRule="auto"/>
        <w:jc w:val="left"/>
        <w:rPr>
          <w:rFonts w:ascii="宋体" w:hAnsi="宋体" w:cs="宋体"/>
          <w:sz w:val="24"/>
        </w:rPr>
      </w:pPr>
      <w:r>
        <w:rPr>
          <w:rFonts w:hint="eastAsia" w:ascii="宋体" w:hAnsi="宋体" w:cs="宋体"/>
          <w:sz w:val="24"/>
        </w:rPr>
        <w:t>（5）</w:t>
      </w:r>
      <w:bookmarkStart w:id="103" w:name="OLE_LINK200"/>
      <w:bookmarkStart w:id="104" w:name="OLE_LINK201"/>
      <w:r>
        <w:rPr>
          <w:rFonts w:hint="eastAsia" w:ascii="宋体" w:hAnsi="宋体" w:cs="宋体"/>
          <w:sz w:val="24"/>
        </w:rPr>
        <w:t>设备配置清单————————</w:t>
      </w:r>
    </w:p>
    <w:p w14:paraId="5D570D35">
      <w:pPr>
        <w:spacing w:line="360" w:lineRule="auto"/>
        <w:jc w:val="left"/>
        <w:rPr>
          <w:rFonts w:ascii="宋体" w:hAnsi="宋体" w:cs="宋体"/>
          <w:sz w:val="24"/>
        </w:rPr>
      </w:pPr>
      <w:r>
        <w:rPr>
          <w:rFonts w:hint="eastAsia" w:ascii="宋体" w:hAnsi="宋体" w:cs="宋体"/>
          <w:sz w:val="24"/>
        </w:rPr>
        <w:t>（6）技术响应表————————</w:t>
      </w:r>
    </w:p>
    <w:bookmarkEnd w:id="103"/>
    <w:bookmarkEnd w:id="104"/>
    <w:p w14:paraId="1EB1B253">
      <w:pPr>
        <w:spacing w:line="360" w:lineRule="auto"/>
        <w:jc w:val="left"/>
        <w:rPr>
          <w:rFonts w:ascii="宋体" w:hAnsi="宋体" w:cs="宋体"/>
          <w:sz w:val="24"/>
        </w:rPr>
      </w:pPr>
      <w:r>
        <w:rPr>
          <w:rFonts w:hint="eastAsia" w:ascii="宋体" w:hAnsi="宋体" w:cs="宋体"/>
          <w:sz w:val="24"/>
        </w:rPr>
        <w:t>（7）投标人需要说明的其他文件和说明————————</w:t>
      </w:r>
    </w:p>
    <w:p w14:paraId="51EE5851">
      <w:pPr>
        <w:snapToGrid w:val="0"/>
        <w:spacing w:line="360" w:lineRule="auto"/>
        <w:rPr>
          <w:rFonts w:ascii="宋体" w:hAnsi="宋体"/>
          <w:sz w:val="24"/>
        </w:rPr>
      </w:pPr>
      <w:r>
        <w:rPr>
          <w:rFonts w:hint="eastAsia" w:ascii="宋体" w:hAnsi="宋体"/>
          <w:sz w:val="24"/>
        </w:rPr>
        <w:t>资信：</w:t>
      </w:r>
    </w:p>
    <w:p w14:paraId="50111CC3">
      <w:pPr>
        <w:spacing w:line="360" w:lineRule="auto"/>
        <w:jc w:val="left"/>
        <w:rPr>
          <w:rFonts w:ascii="宋体" w:hAnsi="宋体" w:cs="宋体"/>
          <w:sz w:val="24"/>
        </w:rPr>
      </w:pPr>
      <w:r>
        <w:rPr>
          <w:rFonts w:hint="eastAsia" w:ascii="宋体" w:hAnsi="宋体" w:cs="宋体"/>
          <w:sz w:val="24"/>
        </w:rPr>
        <w:t>（8）类似成功案例的业绩证明（投标人同类项目实施情况一览表、合同复印件）————————</w:t>
      </w:r>
    </w:p>
    <w:p w14:paraId="17E934A8">
      <w:pPr>
        <w:spacing w:line="360" w:lineRule="auto"/>
        <w:jc w:val="left"/>
        <w:rPr>
          <w:rFonts w:ascii="宋体" w:hAnsi="宋体" w:cs="宋体"/>
          <w:sz w:val="24"/>
        </w:rPr>
      </w:pPr>
      <w:r>
        <w:rPr>
          <w:rFonts w:hint="eastAsia" w:ascii="宋体" w:hAnsi="宋体" w:cs="宋体"/>
          <w:sz w:val="24"/>
        </w:rPr>
        <w:t>（9）权威认证证书</w:t>
      </w:r>
      <w:bookmarkStart w:id="105" w:name="OLE_LINK148"/>
      <w:bookmarkStart w:id="106" w:name="OLE_LINK149"/>
      <w:r>
        <w:rPr>
          <w:rFonts w:hint="eastAsia" w:ascii="宋体" w:hAnsi="宋体" w:cs="宋体"/>
          <w:sz w:val="24"/>
        </w:rPr>
        <w:t>—————</w:t>
      </w:r>
      <w:bookmarkEnd w:id="105"/>
      <w:bookmarkEnd w:id="106"/>
    </w:p>
    <w:p w14:paraId="0D51B49B">
      <w:pPr>
        <w:spacing w:line="360" w:lineRule="auto"/>
        <w:jc w:val="left"/>
        <w:rPr>
          <w:rFonts w:ascii="宋体" w:hAnsi="宋体" w:cs="宋体"/>
          <w:sz w:val="24"/>
        </w:rPr>
      </w:pPr>
      <w:r>
        <w:rPr>
          <w:rFonts w:hint="eastAsia" w:ascii="宋体" w:hAnsi="宋体"/>
          <w:sz w:val="24"/>
        </w:rPr>
        <w:t>（10</w:t>
      </w:r>
      <w:r>
        <w:rPr>
          <w:rFonts w:ascii="宋体" w:hAnsi="宋体"/>
          <w:sz w:val="24"/>
        </w:rPr>
        <w:t>）</w:t>
      </w:r>
      <w:r>
        <w:rPr>
          <w:rFonts w:hint="eastAsia" w:hAnsi="宋体" w:cs="宋体"/>
          <w:kern w:val="0"/>
          <w:sz w:val="24"/>
        </w:rPr>
        <w:t>企业荣誉证书或文件</w:t>
      </w:r>
      <w:r>
        <w:rPr>
          <w:rFonts w:hint="eastAsia" w:ascii="宋体" w:hAnsi="宋体" w:cs="宋体"/>
          <w:sz w:val="24"/>
        </w:rPr>
        <w:t>—————</w:t>
      </w:r>
    </w:p>
    <w:p w14:paraId="0CD85579">
      <w:pPr>
        <w:spacing w:line="360" w:lineRule="auto"/>
        <w:jc w:val="left"/>
        <w:rPr>
          <w:rFonts w:ascii="宋体" w:hAnsi="宋体" w:cs="宋体"/>
          <w:sz w:val="24"/>
        </w:rPr>
      </w:pPr>
      <w:r>
        <w:rPr>
          <w:rFonts w:hint="eastAsia" w:ascii="宋体" w:hAnsi="宋体"/>
          <w:sz w:val="24"/>
        </w:rPr>
        <w:t>（11</w:t>
      </w:r>
      <w:r>
        <w:rPr>
          <w:rFonts w:ascii="宋体" w:hAnsi="宋体"/>
          <w:sz w:val="24"/>
        </w:rPr>
        <w:t>）</w:t>
      </w:r>
      <w:r>
        <w:rPr>
          <w:rFonts w:hint="eastAsia" w:ascii="宋体" w:hAnsi="宋体" w:cs="宋体"/>
          <w:sz w:val="24"/>
        </w:rPr>
        <w:t>投标人认为可以证明其能力或业绩的其他材料————————</w:t>
      </w:r>
    </w:p>
    <w:p w14:paraId="3E966BD4">
      <w:pPr>
        <w:snapToGrid w:val="0"/>
        <w:spacing w:line="360" w:lineRule="auto"/>
        <w:rPr>
          <w:rFonts w:ascii="宋体" w:hAnsi="宋体"/>
          <w:sz w:val="24"/>
        </w:rPr>
      </w:pPr>
      <w:r>
        <w:rPr>
          <w:rFonts w:hint="eastAsia" w:ascii="宋体" w:hAnsi="宋体"/>
          <w:sz w:val="24"/>
        </w:rPr>
        <w:t>商务：</w:t>
      </w:r>
    </w:p>
    <w:p w14:paraId="6C91BE69">
      <w:pPr>
        <w:snapToGrid w:val="0"/>
        <w:spacing w:line="360" w:lineRule="auto"/>
        <w:jc w:val="left"/>
        <w:rPr>
          <w:rFonts w:ascii="宋体" w:hAnsi="宋体"/>
          <w:sz w:val="24"/>
        </w:rPr>
      </w:pPr>
      <w:r>
        <w:rPr>
          <w:rFonts w:hint="eastAsia" w:ascii="宋体" w:hAnsi="宋体"/>
          <w:sz w:val="24"/>
        </w:rPr>
        <w:t>（12）商务响应表————————</w:t>
      </w:r>
    </w:p>
    <w:p w14:paraId="280D8127">
      <w:pPr>
        <w:snapToGrid w:val="0"/>
        <w:spacing w:line="360" w:lineRule="auto"/>
        <w:jc w:val="left"/>
        <w:rPr>
          <w:rFonts w:ascii="宋体" w:hAnsi="宋体"/>
          <w:sz w:val="24"/>
        </w:rPr>
      </w:pPr>
      <w:bookmarkStart w:id="107" w:name="OLE_LINK154"/>
      <w:bookmarkStart w:id="108" w:name="OLE_LINK155"/>
      <w:r>
        <w:rPr>
          <w:rFonts w:hint="eastAsia" w:ascii="宋体" w:hAnsi="宋体"/>
          <w:sz w:val="24"/>
        </w:rPr>
        <w:t>（13）</w:t>
      </w:r>
      <w:bookmarkEnd w:id="107"/>
      <w:bookmarkEnd w:id="108"/>
      <w:r>
        <w:rPr>
          <w:rFonts w:hint="eastAsia" w:ascii="宋体" w:hAnsi="宋体"/>
          <w:sz w:val="24"/>
        </w:rPr>
        <w:t>售后服务优惠承诺</w:t>
      </w:r>
      <w:bookmarkStart w:id="109" w:name="OLE_LINK153"/>
      <w:bookmarkStart w:id="110" w:name="OLE_LINK152"/>
      <w:r>
        <w:rPr>
          <w:rFonts w:hint="eastAsia" w:ascii="宋体" w:hAnsi="宋体"/>
          <w:sz w:val="24"/>
        </w:rPr>
        <w:t>————————</w:t>
      </w:r>
      <w:bookmarkEnd w:id="109"/>
      <w:bookmarkEnd w:id="110"/>
    </w:p>
    <w:p w14:paraId="11594A57">
      <w:pPr>
        <w:snapToGrid w:val="0"/>
        <w:spacing w:line="360" w:lineRule="auto"/>
        <w:jc w:val="left"/>
        <w:rPr>
          <w:rFonts w:ascii="宋体" w:hAnsi="宋体"/>
          <w:sz w:val="24"/>
        </w:rPr>
      </w:pPr>
      <w:r>
        <w:rPr>
          <w:rFonts w:hint="eastAsia" w:ascii="宋体" w:hAnsi="宋体"/>
          <w:sz w:val="24"/>
        </w:rPr>
        <w:t>（14）培训方案————————</w:t>
      </w:r>
    </w:p>
    <w:p w14:paraId="4B9923A1">
      <w:pPr>
        <w:snapToGrid w:val="0"/>
        <w:spacing w:line="360" w:lineRule="auto"/>
        <w:jc w:val="left"/>
        <w:rPr>
          <w:rFonts w:ascii="宋体" w:hAnsi="宋体"/>
          <w:sz w:val="24"/>
        </w:rPr>
      </w:pPr>
      <w:r>
        <w:rPr>
          <w:rFonts w:hint="eastAsia" w:ascii="宋体" w:hAnsi="宋体"/>
          <w:sz w:val="24"/>
        </w:rPr>
        <w:t>（15）</w:t>
      </w:r>
      <w:r>
        <w:rPr>
          <w:rFonts w:hint="eastAsia" w:ascii="宋体" w:hAnsi="宋体" w:cs="宋体"/>
          <w:kern w:val="0"/>
          <w:sz w:val="24"/>
        </w:rPr>
        <w:t>响应时间</w:t>
      </w:r>
      <w:r>
        <w:rPr>
          <w:rFonts w:hint="eastAsia" w:ascii="宋体" w:hAnsi="宋体"/>
          <w:sz w:val="24"/>
        </w:rPr>
        <w:t>————————</w:t>
      </w:r>
    </w:p>
    <w:p w14:paraId="45A67723">
      <w:pPr>
        <w:snapToGrid w:val="0"/>
        <w:spacing w:line="360" w:lineRule="auto"/>
        <w:jc w:val="left"/>
        <w:rPr>
          <w:rFonts w:ascii="宋体" w:hAnsi="宋体"/>
          <w:sz w:val="24"/>
        </w:rPr>
      </w:pPr>
      <w:r>
        <w:rPr>
          <w:rFonts w:hint="eastAsia" w:ascii="宋体" w:hAnsi="宋体"/>
          <w:sz w:val="24"/>
        </w:rPr>
        <w:t>（16）技术、商务、资信及其他分自评表————————</w:t>
      </w:r>
    </w:p>
    <w:p w14:paraId="46C2EFBD">
      <w:pPr>
        <w:snapToGrid w:val="0"/>
        <w:spacing w:line="360" w:lineRule="auto"/>
        <w:jc w:val="left"/>
        <w:rPr>
          <w:rFonts w:ascii="宋体" w:hAnsi="宋体" w:cs="宋体"/>
          <w:sz w:val="24"/>
        </w:rPr>
      </w:pPr>
    </w:p>
    <w:p w14:paraId="38247615">
      <w:pPr>
        <w:snapToGrid w:val="0"/>
        <w:spacing w:line="360" w:lineRule="auto"/>
        <w:jc w:val="left"/>
        <w:rPr>
          <w:rFonts w:ascii="宋体" w:hAnsi="宋体" w:cs="宋体"/>
          <w:sz w:val="24"/>
        </w:rPr>
      </w:pPr>
    </w:p>
    <w:p w14:paraId="0282AD0F">
      <w:pPr>
        <w:pStyle w:val="2"/>
      </w:pPr>
    </w:p>
    <w:p w14:paraId="04986BC5">
      <w:pPr>
        <w:pStyle w:val="3"/>
        <w:ind w:firstLine="280"/>
      </w:pPr>
    </w:p>
    <w:p w14:paraId="3D1E8BB6"/>
    <w:p w14:paraId="52020857">
      <w:pPr>
        <w:snapToGrid w:val="0"/>
        <w:spacing w:line="360" w:lineRule="auto"/>
        <w:jc w:val="left"/>
        <w:rPr>
          <w:rFonts w:ascii="宋体" w:hAnsi="宋体" w:cs="宋体"/>
          <w:sz w:val="24"/>
        </w:rPr>
      </w:pPr>
      <w:r>
        <w:rPr>
          <w:rFonts w:hint="eastAsia" w:ascii="宋体" w:hAnsi="宋体" w:cs="宋体"/>
          <w:sz w:val="24"/>
        </w:rPr>
        <w:t>13.</w:t>
      </w:r>
      <w:r>
        <w:rPr>
          <w:rFonts w:ascii="宋体" w:hAnsi="宋体" w:cs="宋体"/>
          <w:sz w:val="24"/>
        </w:rPr>
        <w:t>设计方案（格式自拟）</w:t>
      </w:r>
    </w:p>
    <w:p w14:paraId="334133CD"/>
    <w:p w14:paraId="580B6FF9">
      <w:pPr>
        <w:pStyle w:val="2"/>
      </w:pPr>
    </w:p>
    <w:p w14:paraId="69EE47FD">
      <w:pPr>
        <w:pStyle w:val="3"/>
        <w:ind w:firstLine="280"/>
      </w:pPr>
    </w:p>
    <w:p w14:paraId="048C7E41"/>
    <w:p w14:paraId="563807C5">
      <w:pPr>
        <w:spacing w:line="360" w:lineRule="auto"/>
        <w:jc w:val="left"/>
        <w:rPr>
          <w:rFonts w:ascii="宋体" w:hAnsi="宋体" w:cs="宋体"/>
          <w:sz w:val="24"/>
        </w:rPr>
      </w:pPr>
      <w:r>
        <w:rPr>
          <w:rFonts w:ascii="宋体" w:hAnsi="宋体" w:cs="宋体"/>
          <w:sz w:val="24"/>
        </w:rPr>
        <w:t>1</w:t>
      </w:r>
      <w:r>
        <w:rPr>
          <w:rFonts w:hint="eastAsia" w:ascii="宋体" w:hAnsi="宋体" w:cs="宋体"/>
          <w:sz w:val="24"/>
        </w:rPr>
        <w:t>4</w:t>
      </w:r>
      <w:r>
        <w:rPr>
          <w:rFonts w:ascii="宋体" w:hAnsi="宋体" w:cs="宋体"/>
          <w:sz w:val="24"/>
        </w:rPr>
        <w:t>.确保供应货物质量措施（格式自拟）</w:t>
      </w:r>
    </w:p>
    <w:p w14:paraId="25F80FBB">
      <w:pPr>
        <w:pStyle w:val="2"/>
      </w:pPr>
    </w:p>
    <w:p w14:paraId="2E6670EA">
      <w:pPr>
        <w:pStyle w:val="3"/>
        <w:ind w:firstLine="280"/>
      </w:pPr>
    </w:p>
    <w:p w14:paraId="5A3DCE7B">
      <w:pPr>
        <w:pStyle w:val="3"/>
        <w:ind w:firstLine="280"/>
      </w:pPr>
    </w:p>
    <w:p w14:paraId="00354269"/>
    <w:p w14:paraId="2599CA5A">
      <w:pPr>
        <w:tabs>
          <w:tab w:val="left" w:pos="312"/>
        </w:tabs>
        <w:spacing w:line="360" w:lineRule="auto"/>
        <w:jc w:val="left"/>
        <w:rPr>
          <w:rFonts w:ascii="宋体" w:hAnsi="宋体" w:cs="宋体"/>
          <w:sz w:val="24"/>
        </w:rPr>
      </w:pPr>
      <w:r>
        <w:rPr>
          <w:rFonts w:hint="eastAsia" w:ascii="宋体" w:hAnsi="宋体" w:cs="宋体"/>
          <w:sz w:val="24"/>
        </w:rPr>
        <w:t>15.</w:t>
      </w:r>
      <w:r>
        <w:rPr>
          <w:rFonts w:ascii="宋体" w:hAnsi="宋体" w:cs="宋体"/>
          <w:sz w:val="24"/>
        </w:rPr>
        <w:t>保证交货期的措施（格式自拟）</w:t>
      </w:r>
    </w:p>
    <w:p w14:paraId="2BAC6E49">
      <w:pPr>
        <w:pStyle w:val="85"/>
        <w:rPr>
          <w:color w:val="auto"/>
        </w:rPr>
      </w:pPr>
    </w:p>
    <w:p w14:paraId="401B9114">
      <w:pPr>
        <w:pStyle w:val="86"/>
      </w:pPr>
    </w:p>
    <w:p w14:paraId="55A77663">
      <w:pPr>
        <w:pStyle w:val="85"/>
        <w:rPr>
          <w:color w:val="auto"/>
        </w:rPr>
      </w:pPr>
    </w:p>
    <w:p w14:paraId="29135E23">
      <w:pPr>
        <w:tabs>
          <w:tab w:val="left" w:pos="312"/>
        </w:tabs>
        <w:spacing w:line="360" w:lineRule="auto"/>
        <w:jc w:val="left"/>
        <w:rPr>
          <w:rFonts w:ascii="楷体" w:hAnsi="Arial" w:eastAsia="楷体" w:cs="Arial"/>
          <w:kern w:val="0"/>
          <w:sz w:val="24"/>
        </w:rPr>
      </w:pPr>
    </w:p>
    <w:p w14:paraId="5C7EEFF3">
      <w:pPr>
        <w:tabs>
          <w:tab w:val="left" w:pos="312"/>
        </w:tabs>
        <w:spacing w:line="360" w:lineRule="auto"/>
        <w:jc w:val="left"/>
        <w:rPr>
          <w:rFonts w:ascii="宋体" w:hAnsi="宋体" w:cs="宋体"/>
          <w:sz w:val="24"/>
        </w:rPr>
      </w:pPr>
      <w:r>
        <w:rPr>
          <w:rFonts w:hint="eastAsia" w:ascii="宋体" w:hAnsi="宋体" w:cs="宋体"/>
          <w:sz w:val="24"/>
        </w:rPr>
        <w:t>16.安装调试、验收方案</w:t>
      </w:r>
      <w:bookmarkStart w:id="111" w:name="OLE_LINK95"/>
      <w:bookmarkStart w:id="112" w:name="OLE_LINK96"/>
      <w:r>
        <w:rPr>
          <w:rFonts w:ascii="宋体" w:hAnsi="宋体" w:cs="宋体"/>
          <w:sz w:val="24"/>
        </w:rPr>
        <w:t>（格式自拟）</w:t>
      </w:r>
      <w:bookmarkEnd w:id="111"/>
      <w:bookmarkEnd w:id="112"/>
    </w:p>
    <w:p w14:paraId="5B3DBD5F">
      <w:pPr>
        <w:pStyle w:val="2"/>
        <w:rPr>
          <w:rFonts w:ascii="宋体" w:hAnsi="宋体"/>
          <w:sz w:val="24"/>
        </w:rPr>
      </w:pPr>
      <w:bookmarkStart w:id="113" w:name="OLE_LINK91"/>
      <w:bookmarkStart w:id="114" w:name="OLE_LINK90"/>
    </w:p>
    <w:p w14:paraId="5F719AB5">
      <w:pPr>
        <w:pStyle w:val="2"/>
        <w:rPr>
          <w:rFonts w:ascii="宋体" w:hAnsi="宋体"/>
          <w:sz w:val="24"/>
        </w:rPr>
      </w:pPr>
    </w:p>
    <w:p w14:paraId="165F2A44">
      <w:pPr>
        <w:pStyle w:val="2"/>
        <w:rPr>
          <w:rFonts w:ascii="宋体" w:hAnsi="宋体"/>
          <w:sz w:val="24"/>
        </w:rPr>
      </w:pPr>
    </w:p>
    <w:p w14:paraId="59A0E757">
      <w:pPr>
        <w:pStyle w:val="3"/>
        <w:ind w:firstLine="280"/>
      </w:pPr>
    </w:p>
    <w:p w14:paraId="6F1C7CBC">
      <w:pPr>
        <w:pStyle w:val="3"/>
        <w:ind w:firstLine="280"/>
      </w:pPr>
    </w:p>
    <w:p w14:paraId="086D9170">
      <w:pPr>
        <w:pStyle w:val="2"/>
        <w:rPr>
          <w:rFonts w:ascii="宋体" w:hAnsi="宋体"/>
          <w:sz w:val="24"/>
        </w:rPr>
      </w:pPr>
      <w:r>
        <w:rPr>
          <w:rFonts w:hint="eastAsia" w:ascii="宋体" w:hAnsi="宋体"/>
          <w:sz w:val="24"/>
        </w:rPr>
        <w:t>17</w:t>
      </w:r>
      <w:r>
        <w:rPr>
          <w:rFonts w:hint="eastAsia" w:ascii="宋体" w:hAnsi="宋体"/>
          <w:sz w:val="24"/>
          <w:lang w:eastAsia="zh-CN"/>
        </w:rPr>
        <w:t>.</w:t>
      </w:r>
      <w:bookmarkEnd w:id="113"/>
      <w:bookmarkEnd w:id="114"/>
      <w:r>
        <w:rPr>
          <w:rFonts w:hint="eastAsia" w:ascii="宋体" w:hAnsi="宋体"/>
          <w:sz w:val="24"/>
        </w:rPr>
        <w:t>设备配置清单格式：</w:t>
      </w:r>
    </w:p>
    <w:p w14:paraId="2B0D7CDE">
      <w:pPr>
        <w:spacing w:line="360" w:lineRule="auto"/>
        <w:rPr>
          <w:rFonts w:ascii="宋体" w:hAnsi="宋体" w:cs="仿宋"/>
          <w:sz w:val="24"/>
        </w:rPr>
      </w:pPr>
      <w:r>
        <w:rPr>
          <w:rFonts w:hint="eastAsia" w:ascii="宋体" w:hAnsi="宋体"/>
          <w:sz w:val="24"/>
        </w:rPr>
        <w:t>项目名称：</w:t>
      </w:r>
      <w:r>
        <w:rPr>
          <w:rFonts w:ascii="宋体" w:hAnsi="宋体"/>
          <w:sz w:val="24"/>
          <w:u w:val="single"/>
        </w:rPr>
        <w:t xml:space="preserve">              </w:t>
      </w:r>
    </w:p>
    <w:tbl>
      <w:tblPr>
        <w:tblStyle w:val="43"/>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649"/>
        <w:gridCol w:w="872"/>
        <w:gridCol w:w="900"/>
        <w:gridCol w:w="1497"/>
        <w:gridCol w:w="1745"/>
        <w:gridCol w:w="900"/>
        <w:gridCol w:w="1081"/>
      </w:tblGrid>
      <w:tr w14:paraId="2331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656" w:type="dxa"/>
            <w:tcBorders>
              <w:top w:val="single" w:color="auto" w:sz="4" w:space="0"/>
              <w:left w:val="single" w:color="auto" w:sz="4" w:space="0"/>
              <w:bottom w:val="single" w:color="auto" w:sz="4" w:space="0"/>
              <w:right w:val="single" w:color="auto" w:sz="4" w:space="0"/>
            </w:tcBorders>
          </w:tcPr>
          <w:p w14:paraId="4D8610AA">
            <w:pPr>
              <w:spacing w:line="320" w:lineRule="exact"/>
              <w:jc w:val="center"/>
              <w:rPr>
                <w:rFonts w:ascii="宋体" w:hAnsi="宋体" w:cs="仿宋"/>
                <w:bCs/>
                <w:sz w:val="24"/>
              </w:rPr>
            </w:pPr>
            <w:r>
              <w:rPr>
                <w:rFonts w:hint="eastAsia" w:ascii="宋体" w:hAnsi="宋体" w:cs="仿宋"/>
                <w:sz w:val="24"/>
              </w:rPr>
              <w:t>序号</w:t>
            </w:r>
          </w:p>
        </w:tc>
        <w:tc>
          <w:tcPr>
            <w:tcW w:w="1649" w:type="dxa"/>
            <w:tcBorders>
              <w:top w:val="single" w:color="auto" w:sz="4" w:space="0"/>
              <w:left w:val="single" w:color="auto" w:sz="4" w:space="0"/>
              <w:bottom w:val="single" w:color="auto" w:sz="4" w:space="0"/>
              <w:right w:val="single" w:color="auto" w:sz="4" w:space="0"/>
            </w:tcBorders>
            <w:vAlign w:val="center"/>
          </w:tcPr>
          <w:p w14:paraId="0EBFE785">
            <w:pPr>
              <w:spacing w:line="400" w:lineRule="exact"/>
              <w:jc w:val="center"/>
              <w:rPr>
                <w:rFonts w:ascii="宋体" w:hAnsi="宋体" w:cs="仿宋"/>
                <w:bCs/>
                <w:sz w:val="24"/>
              </w:rPr>
            </w:pPr>
            <w:r>
              <w:rPr>
                <w:rFonts w:hint="eastAsia" w:ascii="宋体" w:hAnsi="宋体" w:cs="仿宋"/>
                <w:bCs/>
                <w:sz w:val="24"/>
              </w:rPr>
              <w:t>部件名称</w:t>
            </w:r>
          </w:p>
        </w:tc>
        <w:tc>
          <w:tcPr>
            <w:tcW w:w="872" w:type="dxa"/>
            <w:tcBorders>
              <w:top w:val="single" w:color="auto" w:sz="4" w:space="0"/>
              <w:left w:val="single" w:color="auto" w:sz="4" w:space="0"/>
              <w:bottom w:val="single" w:color="auto" w:sz="4" w:space="0"/>
              <w:right w:val="single" w:color="auto" w:sz="4" w:space="0"/>
            </w:tcBorders>
            <w:vAlign w:val="center"/>
          </w:tcPr>
          <w:p w14:paraId="3133F10E">
            <w:pPr>
              <w:spacing w:line="400" w:lineRule="exact"/>
              <w:jc w:val="center"/>
              <w:rPr>
                <w:rFonts w:ascii="宋体" w:hAnsi="宋体" w:cs="仿宋"/>
                <w:bCs/>
                <w:sz w:val="24"/>
              </w:rPr>
            </w:pPr>
            <w:r>
              <w:rPr>
                <w:rFonts w:hint="eastAsia" w:ascii="宋体" w:hAnsi="宋体" w:cs="仿宋"/>
                <w:bCs/>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14:paraId="72ABD57F">
            <w:pPr>
              <w:spacing w:line="400" w:lineRule="exact"/>
              <w:jc w:val="center"/>
              <w:rPr>
                <w:rFonts w:ascii="宋体" w:hAnsi="宋体" w:cs="仿宋"/>
                <w:bCs/>
                <w:sz w:val="24"/>
              </w:rPr>
            </w:pPr>
            <w:r>
              <w:rPr>
                <w:rFonts w:hint="eastAsia" w:ascii="宋体" w:hAnsi="宋体" w:cs="仿宋"/>
                <w:bCs/>
                <w:sz w:val="24"/>
              </w:rPr>
              <w:t>产地</w:t>
            </w:r>
          </w:p>
        </w:tc>
        <w:tc>
          <w:tcPr>
            <w:tcW w:w="1497" w:type="dxa"/>
            <w:tcBorders>
              <w:top w:val="single" w:color="auto" w:sz="4" w:space="0"/>
              <w:left w:val="single" w:color="auto" w:sz="4" w:space="0"/>
              <w:bottom w:val="single" w:color="auto" w:sz="4" w:space="0"/>
              <w:right w:val="single" w:color="auto" w:sz="4" w:space="0"/>
            </w:tcBorders>
            <w:vAlign w:val="center"/>
          </w:tcPr>
          <w:p w14:paraId="1EC0472D">
            <w:pPr>
              <w:spacing w:line="400" w:lineRule="exact"/>
              <w:jc w:val="center"/>
              <w:rPr>
                <w:rFonts w:ascii="宋体" w:hAnsi="宋体" w:cs="仿宋"/>
                <w:bCs/>
                <w:sz w:val="24"/>
              </w:rPr>
            </w:pPr>
            <w:r>
              <w:rPr>
                <w:rFonts w:hint="eastAsia" w:ascii="宋体" w:hAnsi="宋体" w:cs="仿宋"/>
                <w:bCs/>
                <w:sz w:val="24"/>
              </w:rPr>
              <w:t>生产厂商</w:t>
            </w:r>
          </w:p>
        </w:tc>
        <w:tc>
          <w:tcPr>
            <w:tcW w:w="1745" w:type="dxa"/>
            <w:tcBorders>
              <w:top w:val="single" w:color="auto" w:sz="4" w:space="0"/>
              <w:left w:val="single" w:color="auto" w:sz="4" w:space="0"/>
              <w:bottom w:val="single" w:color="auto" w:sz="4" w:space="0"/>
              <w:right w:val="single" w:color="auto" w:sz="4" w:space="0"/>
            </w:tcBorders>
            <w:vAlign w:val="center"/>
          </w:tcPr>
          <w:p w14:paraId="4CFB316A">
            <w:pPr>
              <w:jc w:val="center"/>
              <w:rPr>
                <w:rFonts w:ascii="宋体" w:hAnsi="宋体" w:cs="仿宋"/>
                <w:bCs/>
                <w:sz w:val="24"/>
              </w:rPr>
            </w:pPr>
            <w:r>
              <w:rPr>
                <w:rFonts w:hint="eastAsia" w:ascii="宋体" w:hAnsi="宋体" w:cs="仿宋"/>
                <w:bCs/>
                <w:sz w:val="24"/>
              </w:rPr>
              <w:t>型号、规格、参数</w:t>
            </w:r>
          </w:p>
        </w:tc>
        <w:tc>
          <w:tcPr>
            <w:tcW w:w="900" w:type="dxa"/>
            <w:tcBorders>
              <w:top w:val="single" w:color="auto" w:sz="4" w:space="0"/>
              <w:left w:val="single" w:color="auto" w:sz="4" w:space="0"/>
              <w:bottom w:val="single" w:color="auto" w:sz="4" w:space="0"/>
              <w:right w:val="single" w:color="auto" w:sz="4" w:space="0"/>
            </w:tcBorders>
            <w:vAlign w:val="center"/>
          </w:tcPr>
          <w:p w14:paraId="3E1CA9D4">
            <w:pPr>
              <w:spacing w:line="400" w:lineRule="exact"/>
              <w:jc w:val="center"/>
              <w:rPr>
                <w:rFonts w:ascii="宋体" w:hAnsi="宋体" w:cs="仿宋"/>
                <w:bCs/>
                <w:sz w:val="24"/>
              </w:rPr>
            </w:pPr>
            <w:r>
              <w:rPr>
                <w:rFonts w:hint="eastAsia" w:ascii="宋体" w:hAnsi="宋体" w:cs="仿宋"/>
                <w:bCs/>
                <w:sz w:val="24"/>
              </w:rPr>
              <w:t>品牌</w:t>
            </w:r>
          </w:p>
        </w:tc>
        <w:tc>
          <w:tcPr>
            <w:tcW w:w="1081" w:type="dxa"/>
            <w:tcBorders>
              <w:top w:val="single" w:color="auto" w:sz="4" w:space="0"/>
              <w:left w:val="single" w:color="auto" w:sz="4" w:space="0"/>
              <w:bottom w:val="single" w:color="auto" w:sz="4" w:space="0"/>
              <w:right w:val="single" w:color="auto" w:sz="4" w:space="0"/>
            </w:tcBorders>
            <w:vAlign w:val="center"/>
          </w:tcPr>
          <w:p w14:paraId="5F883D72">
            <w:pPr>
              <w:spacing w:line="400" w:lineRule="exact"/>
              <w:jc w:val="center"/>
              <w:rPr>
                <w:rFonts w:ascii="宋体" w:hAnsi="宋体" w:cs="仿宋"/>
                <w:bCs/>
                <w:sz w:val="24"/>
              </w:rPr>
            </w:pPr>
            <w:r>
              <w:rPr>
                <w:rFonts w:hint="eastAsia" w:ascii="宋体" w:hAnsi="宋体" w:cs="仿宋"/>
                <w:bCs/>
                <w:sz w:val="24"/>
              </w:rPr>
              <w:t>备注</w:t>
            </w:r>
          </w:p>
        </w:tc>
      </w:tr>
      <w:tr w14:paraId="0232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6" w:type="dxa"/>
            <w:tcBorders>
              <w:top w:val="single" w:color="auto" w:sz="4" w:space="0"/>
              <w:left w:val="single" w:color="auto" w:sz="4" w:space="0"/>
              <w:bottom w:val="single" w:color="auto" w:sz="4" w:space="0"/>
              <w:right w:val="single" w:color="auto" w:sz="4" w:space="0"/>
            </w:tcBorders>
          </w:tcPr>
          <w:p w14:paraId="322FB179">
            <w:pPr>
              <w:spacing w:line="240" w:lineRule="exact"/>
              <w:jc w:val="center"/>
              <w:rPr>
                <w:rFonts w:ascii="宋体" w:hAnsi="宋体" w:cs="仿宋"/>
                <w:bCs/>
                <w:sz w:val="24"/>
              </w:rPr>
            </w:pPr>
          </w:p>
        </w:tc>
        <w:tc>
          <w:tcPr>
            <w:tcW w:w="1649" w:type="dxa"/>
            <w:tcBorders>
              <w:top w:val="single" w:color="auto" w:sz="4" w:space="0"/>
              <w:left w:val="single" w:color="auto" w:sz="4" w:space="0"/>
              <w:bottom w:val="single" w:color="auto" w:sz="4" w:space="0"/>
              <w:right w:val="single" w:color="auto" w:sz="4" w:space="0"/>
            </w:tcBorders>
            <w:vAlign w:val="center"/>
          </w:tcPr>
          <w:p w14:paraId="0C2AAB47">
            <w:pPr>
              <w:spacing w:line="240" w:lineRule="exact"/>
              <w:jc w:val="center"/>
              <w:rPr>
                <w:rFonts w:ascii="宋体" w:hAnsi="宋体" w:cs="仿宋"/>
                <w:bCs/>
                <w:sz w:val="24"/>
              </w:rPr>
            </w:pPr>
          </w:p>
        </w:tc>
        <w:tc>
          <w:tcPr>
            <w:tcW w:w="872" w:type="dxa"/>
            <w:tcBorders>
              <w:top w:val="single" w:color="auto" w:sz="4" w:space="0"/>
              <w:left w:val="single" w:color="auto" w:sz="4" w:space="0"/>
              <w:bottom w:val="single" w:color="auto" w:sz="4" w:space="0"/>
              <w:right w:val="single" w:color="auto" w:sz="4" w:space="0"/>
            </w:tcBorders>
            <w:vAlign w:val="center"/>
          </w:tcPr>
          <w:p w14:paraId="6D7BE97B">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68B29338">
            <w:pPr>
              <w:spacing w:line="240" w:lineRule="exact"/>
              <w:jc w:val="center"/>
              <w:rPr>
                <w:rFonts w:ascii="宋体" w:hAnsi="宋体" w:cs="仿宋"/>
                <w:bCs/>
                <w:sz w:val="24"/>
              </w:rPr>
            </w:pPr>
          </w:p>
        </w:tc>
        <w:tc>
          <w:tcPr>
            <w:tcW w:w="1497" w:type="dxa"/>
            <w:tcBorders>
              <w:top w:val="single" w:color="auto" w:sz="4" w:space="0"/>
              <w:left w:val="single" w:color="auto" w:sz="4" w:space="0"/>
              <w:bottom w:val="single" w:color="auto" w:sz="4" w:space="0"/>
              <w:right w:val="single" w:color="auto" w:sz="4" w:space="0"/>
            </w:tcBorders>
            <w:vAlign w:val="center"/>
          </w:tcPr>
          <w:p w14:paraId="3BB1DADB">
            <w:pPr>
              <w:spacing w:line="240" w:lineRule="exact"/>
              <w:jc w:val="center"/>
              <w:rPr>
                <w:rFonts w:ascii="宋体" w:hAnsi="宋体" w:cs="仿宋"/>
                <w:bCs/>
                <w:sz w:val="24"/>
              </w:rPr>
            </w:pPr>
          </w:p>
        </w:tc>
        <w:tc>
          <w:tcPr>
            <w:tcW w:w="1745" w:type="dxa"/>
            <w:tcBorders>
              <w:top w:val="single" w:color="auto" w:sz="4" w:space="0"/>
              <w:left w:val="single" w:color="auto" w:sz="4" w:space="0"/>
              <w:bottom w:val="single" w:color="auto" w:sz="4" w:space="0"/>
              <w:right w:val="single" w:color="auto" w:sz="4" w:space="0"/>
            </w:tcBorders>
            <w:vAlign w:val="center"/>
          </w:tcPr>
          <w:p w14:paraId="4131FCFD">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2942FCCC">
            <w:pPr>
              <w:spacing w:line="240" w:lineRule="exact"/>
              <w:jc w:val="center"/>
              <w:rPr>
                <w:rFonts w:ascii="宋体" w:hAnsi="宋体" w:cs="仿宋"/>
                <w:bCs/>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5EAE2D29">
            <w:pPr>
              <w:spacing w:line="240" w:lineRule="exact"/>
              <w:jc w:val="center"/>
              <w:rPr>
                <w:rFonts w:ascii="宋体" w:hAnsi="宋体" w:cs="仿宋"/>
                <w:bCs/>
                <w:sz w:val="24"/>
              </w:rPr>
            </w:pPr>
          </w:p>
        </w:tc>
      </w:tr>
      <w:tr w14:paraId="5C2D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6" w:type="dxa"/>
            <w:tcBorders>
              <w:top w:val="single" w:color="auto" w:sz="4" w:space="0"/>
              <w:left w:val="single" w:color="auto" w:sz="4" w:space="0"/>
              <w:bottom w:val="single" w:color="auto" w:sz="4" w:space="0"/>
              <w:right w:val="single" w:color="auto" w:sz="4" w:space="0"/>
            </w:tcBorders>
          </w:tcPr>
          <w:p w14:paraId="0E230E87">
            <w:pPr>
              <w:spacing w:line="240" w:lineRule="exact"/>
              <w:jc w:val="center"/>
              <w:rPr>
                <w:rFonts w:ascii="宋体" w:hAnsi="宋体" w:cs="仿宋"/>
                <w:bCs/>
                <w:sz w:val="24"/>
              </w:rPr>
            </w:pPr>
          </w:p>
        </w:tc>
        <w:tc>
          <w:tcPr>
            <w:tcW w:w="1649" w:type="dxa"/>
            <w:tcBorders>
              <w:top w:val="single" w:color="auto" w:sz="4" w:space="0"/>
              <w:left w:val="single" w:color="auto" w:sz="4" w:space="0"/>
              <w:bottom w:val="single" w:color="auto" w:sz="4" w:space="0"/>
              <w:right w:val="single" w:color="auto" w:sz="4" w:space="0"/>
            </w:tcBorders>
            <w:vAlign w:val="center"/>
          </w:tcPr>
          <w:p w14:paraId="329F9251">
            <w:pPr>
              <w:spacing w:line="240" w:lineRule="exact"/>
              <w:jc w:val="center"/>
              <w:rPr>
                <w:rFonts w:ascii="宋体" w:hAnsi="宋体" w:cs="仿宋"/>
                <w:bCs/>
                <w:sz w:val="24"/>
              </w:rPr>
            </w:pPr>
          </w:p>
        </w:tc>
        <w:tc>
          <w:tcPr>
            <w:tcW w:w="872" w:type="dxa"/>
            <w:tcBorders>
              <w:top w:val="single" w:color="auto" w:sz="4" w:space="0"/>
              <w:left w:val="single" w:color="auto" w:sz="4" w:space="0"/>
              <w:bottom w:val="single" w:color="auto" w:sz="4" w:space="0"/>
              <w:right w:val="single" w:color="auto" w:sz="4" w:space="0"/>
            </w:tcBorders>
            <w:vAlign w:val="center"/>
          </w:tcPr>
          <w:p w14:paraId="0AFB026D">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018DD643">
            <w:pPr>
              <w:spacing w:line="240" w:lineRule="exact"/>
              <w:jc w:val="center"/>
              <w:rPr>
                <w:rFonts w:ascii="宋体" w:hAnsi="宋体" w:cs="仿宋"/>
                <w:bCs/>
                <w:sz w:val="24"/>
              </w:rPr>
            </w:pPr>
          </w:p>
        </w:tc>
        <w:tc>
          <w:tcPr>
            <w:tcW w:w="1497" w:type="dxa"/>
            <w:tcBorders>
              <w:top w:val="single" w:color="auto" w:sz="4" w:space="0"/>
              <w:left w:val="single" w:color="auto" w:sz="4" w:space="0"/>
              <w:bottom w:val="single" w:color="auto" w:sz="4" w:space="0"/>
              <w:right w:val="single" w:color="auto" w:sz="4" w:space="0"/>
            </w:tcBorders>
            <w:vAlign w:val="center"/>
          </w:tcPr>
          <w:p w14:paraId="6AD9687E">
            <w:pPr>
              <w:spacing w:line="240" w:lineRule="exact"/>
              <w:jc w:val="center"/>
              <w:rPr>
                <w:rFonts w:ascii="宋体" w:hAnsi="宋体" w:cs="仿宋"/>
                <w:bCs/>
                <w:sz w:val="24"/>
              </w:rPr>
            </w:pPr>
          </w:p>
        </w:tc>
        <w:tc>
          <w:tcPr>
            <w:tcW w:w="1745" w:type="dxa"/>
            <w:tcBorders>
              <w:top w:val="single" w:color="auto" w:sz="4" w:space="0"/>
              <w:left w:val="single" w:color="auto" w:sz="4" w:space="0"/>
              <w:bottom w:val="single" w:color="auto" w:sz="4" w:space="0"/>
              <w:right w:val="single" w:color="auto" w:sz="4" w:space="0"/>
            </w:tcBorders>
            <w:vAlign w:val="center"/>
          </w:tcPr>
          <w:p w14:paraId="50456E13">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069645B9">
            <w:pPr>
              <w:spacing w:line="240" w:lineRule="exact"/>
              <w:jc w:val="center"/>
              <w:rPr>
                <w:rFonts w:ascii="宋体" w:hAnsi="宋体" w:cs="仿宋"/>
                <w:bCs/>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39C822EE">
            <w:pPr>
              <w:spacing w:line="240" w:lineRule="exact"/>
              <w:jc w:val="center"/>
              <w:rPr>
                <w:rFonts w:ascii="宋体" w:hAnsi="宋体" w:cs="仿宋"/>
                <w:bCs/>
                <w:sz w:val="24"/>
              </w:rPr>
            </w:pPr>
          </w:p>
        </w:tc>
      </w:tr>
      <w:tr w14:paraId="3629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6" w:type="dxa"/>
            <w:tcBorders>
              <w:top w:val="single" w:color="auto" w:sz="4" w:space="0"/>
              <w:left w:val="single" w:color="auto" w:sz="4" w:space="0"/>
              <w:bottom w:val="single" w:color="auto" w:sz="4" w:space="0"/>
              <w:right w:val="single" w:color="auto" w:sz="4" w:space="0"/>
            </w:tcBorders>
          </w:tcPr>
          <w:p w14:paraId="55D8401A">
            <w:pPr>
              <w:spacing w:line="240" w:lineRule="exact"/>
              <w:jc w:val="center"/>
              <w:rPr>
                <w:rFonts w:ascii="宋体" w:hAnsi="宋体" w:cs="仿宋"/>
                <w:bCs/>
                <w:sz w:val="24"/>
              </w:rPr>
            </w:pPr>
          </w:p>
        </w:tc>
        <w:tc>
          <w:tcPr>
            <w:tcW w:w="1649" w:type="dxa"/>
            <w:tcBorders>
              <w:top w:val="single" w:color="auto" w:sz="4" w:space="0"/>
              <w:left w:val="single" w:color="auto" w:sz="4" w:space="0"/>
              <w:bottom w:val="single" w:color="auto" w:sz="4" w:space="0"/>
              <w:right w:val="single" w:color="auto" w:sz="4" w:space="0"/>
            </w:tcBorders>
            <w:vAlign w:val="center"/>
          </w:tcPr>
          <w:p w14:paraId="06B1183C">
            <w:pPr>
              <w:spacing w:line="240" w:lineRule="exact"/>
              <w:jc w:val="center"/>
              <w:rPr>
                <w:rFonts w:ascii="宋体" w:hAnsi="宋体" w:cs="仿宋"/>
                <w:bCs/>
                <w:sz w:val="24"/>
              </w:rPr>
            </w:pPr>
          </w:p>
        </w:tc>
        <w:tc>
          <w:tcPr>
            <w:tcW w:w="872" w:type="dxa"/>
            <w:tcBorders>
              <w:top w:val="single" w:color="auto" w:sz="4" w:space="0"/>
              <w:left w:val="single" w:color="auto" w:sz="4" w:space="0"/>
              <w:bottom w:val="single" w:color="auto" w:sz="4" w:space="0"/>
              <w:right w:val="single" w:color="auto" w:sz="4" w:space="0"/>
            </w:tcBorders>
            <w:vAlign w:val="center"/>
          </w:tcPr>
          <w:p w14:paraId="4B8637CB">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6E9E8AEA">
            <w:pPr>
              <w:spacing w:line="240" w:lineRule="exact"/>
              <w:jc w:val="center"/>
              <w:rPr>
                <w:rFonts w:ascii="宋体" w:hAnsi="宋体" w:cs="仿宋"/>
                <w:bCs/>
                <w:sz w:val="24"/>
              </w:rPr>
            </w:pPr>
          </w:p>
        </w:tc>
        <w:tc>
          <w:tcPr>
            <w:tcW w:w="1497" w:type="dxa"/>
            <w:tcBorders>
              <w:top w:val="single" w:color="auto" w:sz="4" w:space="0"/>
              <w:left w:val="single" w:color="auto" w:sz="4" w:space="0"/>
              <w:bottom w:val="single" w:color="auto" w:sz="4" w:space="0"/>
              <w:right w:val="single" w:color="auto" w:sz="4" w:space="0"/>
            </w:tcBorders>
            <w:vAlign w:val="center"/>
          </w:tcPr>
          <w:p w14:paraId="697E162F">
            <w:pPr>
              <w:spacing w:line="240" w:lineRule="exact"/>
              <w:jc w:val="center"/>
              <w:rPr>
                <w:rFonts w:ascii="宋体" w:hAnsi="宋体" w:cs="仿宋"/>
                <w:bCs/>
                <w:sz w:val="24"/>
              </w:rPr>
            </w:pPr>
          </w:p>
        </w:tc>
        <w:tc>
          <w:tcPr>
            <w:tcW w:w="1745" w:type="dxa"/>
            <w:tcBorders>
              <w:top w:val="single" w:color="auto" w:sz="4" w:space="0"/>
              <w:left w:val="single" w:color="auto" w:sz="4" w:space="0"/>
              <w:bottom w:val="single" w:color="auto" w:sz="4" w:space="0"/>
              <w:right w:val="single" w:color="auto" w:sz="4" w:space="0"/>
            </w:tcBorders>
            <w:vAlign w:val="center"/>
          </w:tcPr>
          <w:p w14:paraId="39E131BB">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009573FD">
            <w:pPr>
              <w:spacing w:line="240" w:lineRule="exact"/>
              <w:jc w:val="center"/>
              <w:rPr>
                <w:rFonts w:ascii="宋体" w:hAnsi="宋体" w:cs="仿宋"/>
                <w:bCs/>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7CD1F093">
            <w:pPr>
              <w:spacing w:line="240" w:lineRule="exact"/>
              <w:jc w:val="center"/>
              <w:rPr>
                <w:rFonts w:ascii="宋体" w:hAnsi="宋体" w:cs="仿宋"/>
                <w:bCs/>
                <w:sz w:val="24"/>
              </w:rPr>
            </w:pPr>
          </w:p>
        </w:tc>
      </w:tr>
      <w:tr w14:paraId="4F13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6" w:type="dxa"/>
            <w:tcBorders>
              <w:top w:val="single" w:color="auto" w:sz="4" w:space="0"/>
              <w:left w:val="single" w:color="auto" w:sz="4" w:space="0"/>
              <w:bottom w:val="single" w:color="auto" w:sz="4" w:space="0"/>
              <w:right w:val="single" w:color="auto" w:sz="4" w:space="0"/>
            </w:tcBorders>
          </w:tcPr>
          <w:p w14:paraId="29809557">
            <w:pPr>
              <w:spacing w:line="240" w:lineRule="exact"/>
              <w:jc w:val="center"/>
              <w:rPr>
                <w:rFonts w:ascii="宋体" w:hAnsi="宋体" w:cs="仿宋"/>
                <w:bCs/>
                <w:sz w:val="24"/>
              </w:rPr>
            </w:pPr>
          </w:p>
        </w:tc>
        <w:tc>
          <w:tcPr>
            <w:tcW w:w="1649" w:type="dxa"/>
            <w:tcBorders>
              <w:top w:val="single" w:color="auto" w:sz="4" w:space="0"/>
              <w:left w:val="single" w:color="auto" w:sz="4" w:space="0"/>
              <w:bottom w:val="single" w:color="auto" w:sz="4" w:space="0"/>
              <w:right w:val="single" w:color="auto" w:sz="4" w:space="0"/>
            </w:tcBorders>
            <w:vAlign w:val="center"/>
          </w:tcPr>
          <w:p w14:paraId="72D2063A">
            <w:pPr>
              <w:spacing w:line="240" w:lineRule="exact"/>
              <w:jc w:val="center"/>
              <w:rPr>
                <w:rFonts w:ascii="宋体" w:hAnsi="宋体" w:cs="仿宋"/>
                <w:bCs/>
                <w:sz w:val="24"/>
              </w:rPr>
            </w:pPr>
          </w:p>
        </w:tc>
        <w:tc>
          <w:tcPr>
            <w:tcW w:w="872" w:type="dxa"/>
            <w:tcBorders>
              <w:top w:val="single" w:color="auto" w:sz="4" w:space="0"/>
              <w:left w:val="single" w:color="auto" w:sz="4" w:space="0"/>
              <w:bottom w:val="single" w:color="auto" w:sz="4" w:space="0"/>
              <w:right w:val="single" w:color="auto" w:sz="4" w:space="0"/>
            </w:tcBorders>
            <w:vAlign w:val="center"/>
          </w:tcPr>
          <w:p w14:paraId="4520CDBD">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02380066">
            <w:pPr>
              <w:spacing w:line="240" w:lineRule="exact"/>
              <w:jc w:val="center"/>
              <w:rPr>
                <w:rFonts w:ascii="宋体" w:hAnsi="宋体" w:cs="仿宋"/>
                <w:bCs/>
                <w:sz w:val="24"/>
              </w:rPr>
            </w:pPr>
          </w:p>
        </w:tc>
        <w:tc>
          <w:tcPr>
            <w:tcW w:w="1497" w:type="dxa"/>
            <w:tcBorders>
              <w:top w:val="single" w:color="auto" w:sz="4" w:space="0"/>
              <w:left w:val="single" w:color="auto" w:sz="4" w:space="0"/>
              <w:bottom w:val="single" w:color="auto" w:sz="4" w:space="0"/>
              <w:right w:val="single" w:color="auto" w:sz="4" w:space="0"/>
            </w:tcBorders>
            <w:vAlign w:val="center"/>
          </w:tcPr>
          <w:p w14:paraId="6862BE15">
            <w:pPr>
              <w:spacing w:line="240" w:lineRule="exact"/>
              <w:jc w:val="center"/>
              <w:rPr>
                <w:rFonts w:ascii="宋体" w:hAnsi="宋体" w:cs="仿宋"/>
                <w:bCs/>
                <w:sz w:val="24"/>
              </w:rPr>
            </w:pPr>
          </w:p>
        </w:tc>
        <w:tc>
          <w:tcPr>
            <w:tcW w:w="1745" w:type="dxa"/>
            <w:tcBorders>
              <w:top w:val="single" w:color="auto" w:sz="4" w:space="0"/>
              <w:left w:val="single" w:color="auto" w:sz="4" w:space="0"/>
              <w:bottom w:val="single" w:color="auto" w:sz="4" w:space="0"/>
              <w:right w:val="single" w:color="auto" w:sz="4" w:space="0"/>
            </w:tcBorders>
            <w:vAlign w:val="center"/>
          </w:tcPr>
          <w:p w14:paraId="2E49F938">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0180FDE4">
            <w:pPr>
              <w:spacing w:line="240" w:lineRule="exact"/>
              <w:jc w:val="center"/>
              <w:rPr>
                <w:rFonts w:ascii="宋体" w:hAnsi="宋体" w:cs="仿宋"/>
                <w:bCs/>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6648E075">
            <w:pPr>
              <w:spacing w:line="240" w:lineRule="exact"/>
              <w:jc w:val="center"/>
              <w:rPr>
                <w:rFonts w:ascii="宋体" w:hAnsi="宋体" w:cs="仿宋"/>
                <w:bCs/>
                <w:sz w:val="24"/>
              </w:rPr>
            </w:pPr>
          </w:p>
        </w:tc>
      </w:tr>
      <w:tr w14:paraId="6C19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6" w:type="dxa"/>
            <w:tcBorders>
              <w:top w:val="single" w:color="auto" w:sz="4" w:space="0"/>
              <w:left w:val="single" w:color="auto" w:sz="4" w:space="0"/>
              <w:bottom w:val="single" w:color="auto" w:sz="4" w:space="0"/>
              <w:right w:val="single" w:color="auto" w:sz="4" w:space="0"/>
            </w:tcBorders>
          </w:tcPr>
          <w:p w14:paraId="3321D95C">
            <w:pPr>
              <w:spacing w:line="240" w:lineRule="exact"/>
              <w:jc w:val="center"/>
              <w:rPr>
                <w:rFonts w:ascii="宋体" w:hAnsi="宋体" w:cs="仿宋"/>
                <w:bCs/>
                <w:sz w:val="24"/>
              </w:rPr>
            </w:pPr>
          </w:p>
        </w:tc>
        <w:tc>
          <w:tcPr>
            <w:tcW w:w="1649" w:type="dxa"/>
            <w:tcBorders>
              <w:top w:val="single" w:color="auto" w:sz="4" w:space="0"/>
              <w:left w:val="single" w:color="auto" w:sz="4" w:space="0"/>
              <w:bottom w:val="single" w:color="auto" w:sz="4" w:space="0"/>
              <w:right w:val="single" w:color="auto" w:sz="4" w:space="0"/>
            </w:tcBorders>
            <w:vAlign w:val="center"/>
          </w:tcPr>
          <w:p w14:paraId="6824D87B">
            <w:pPr>
              <w:spacing w:line="240" w:lineRule="exact"/>
              <w:jc w:val="center"/>
              <w:rPr>
                <w:rFonts w:ascii="宋体" w:hAnsi="宋体" w:cs="仿宋"/>
                <w:bCs/>
                <w:sz w:val="24"/>
              </w:rPr>
            </w:pPr>
          </w:p>
        </w:tc>
        <w:tc>
          <w:tcPr>
            <w:tcW w:w="872" w:type="dxa"/>
            <w:tcBorders>
              <w:top w:val="single" w:color="auto" w:sz="4" w:space="0"/>
              <w:left w:val="single" w:color="auto" w:sz="4" w:space="0"/>
              <w:bottom w:val="single" w:color="auto" w:sz="4" w:space="0"/>
              <w:right w:val="single" w:color="auto" w:sz="4" w:space="0"/>
            </w:tcBorders>
            <w:vAlign w:val="center"/>
          </w:tcPr>
          <w:p w14:paraId="224D4556">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6BFDFDA0">
            <w:pPr>
              <w:spacing w:line="240" w:lineRule="exact"/>
              <w:jc w:val="center"/>
              <w:rPr>
                <w:rFonts w:ascii="宋体" w:hAnsi="宋体" w:cs="仿宋"/>
                <w:bCs/>
                <w:sz w:val="24"/>
              </w:rPr>
            </w:pPr>
          </w:p>
        </w:tc>
        <w:tc>
          <w:tcPr>
            <w:tcW w:w="1497" w:type="dxa"/>
            <w:tcBorders>
              <w:top w:val="single" w:color="auto" w:sz="4" w:space="0"/>
              <w:left w:val="single" w:color="auto" w:sz="4" w:space="0"/>
              <w:bottom w:val="single" w:color="auto" w:sz="4" w:space="0"/>
              <w:right w:val="single" w:color="auto" w:sz="4" w:space="0"/>
            </w:tcBorders>
            <w:vAlign w:val="center"/>
          </w:tcPr>
          <w:p w14:paraId="6FFB20E4">
            <w:pPr>
              <w:spacing w:line="240" w:lineRule="exact"/>
              <w:jc w:val="center"/>
              <w:rPr>
                <w:rFonts w:ascii="宋体" w:hAnsi="宋体" w:cs="仿宋"/>
                <w:bCs/>
                <w:sz w:val="24"/>
              </w:rPr>
            </w:pPr>
          </w:p>
        </w:tc>
        <w:tc>
          <w:tcPr>
            <w:tcW w:w="1745" w:type="dxa"/>
            <w:tcBorders>
              <w:top w:val="single" w:color="auto" w:sz="4" w:space="0"/>
              <w:left w:val="single" w:color="auto" w:sz="4" w:space="0"/>
              <w:bottom w:val="single" w:color="auto" w:sz="4" w:space="0"/>
              <w:right w:val="single" w:color="auto" w:sz="4" w:space="0"/>
            </w:tcBorders>
            <w:vAlign w:val="center"/>
          </w:tcPr>
          <w:p w14:paraId="19AC5CDA">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519E006C">
            <w:pPr>
              <w:spacing w:line="240" w:lineRule="exact"/>
              <w:jc w:val="center"/>
              <w:rPr>
                <w:rFonts w:ascii="宋体" w:hAnsi="宋体" w:cs="仿宋"/>
                <w:bCs/>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62705255">
            <w:pPr>
              <w:spacing w:line="240" w:lineRule="exact"/>
              <w:jc w:val="center"/>
              <w:rPr>
                <w:rFonts w:ascii="宋体" w:hAnsi="宋体" w:cs="仿宋"/>
                <w:bCs/>
                <w:sz w:val="24"/>
              </w:rPr>
            </w:pPr>
          </w:p>
        </w:tc>
      </w:tr>
      <w:tr w14:paraId="528E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6" w:type="dxa"/>
            <w:tcBorders>
              <w:top w:val="single" w:color="auto" w:sz="4" w:space="0"/>
              <w:left w:val="single" w:color="auto" w:sz="4" w:space="0"/>
              <w:bottom w:val="single" w:color="auto" w:sz="4" w:space="0"/>
              <w:right w:val="single" w:color="auto" w:sz="4" w:space="0"/>
            </w:tcBorders>
          </w:tcPr>
          <w:p w14:paraId="7186AB29">
            <w:pPr>
              <w:spacing w:line="240" w:lineRule="exact"/>
              <w:jc w:val="center"/>
              <w:rPr>
                <w:rFonts w:ascii="宋体" w:hAnsi="宋体" w:cs="仿宋"/>
                <w:bCs/>
                <w:sz w:val="24"/>
              </w:rPr>
            </w:pPr>
          </w:p>
        </w:tc>
        <w:tc>
          <w:tcPr>
            <w:tcW w:w="1649" w:type="dxa"/>
            <w:tcBorders>
              <w:top w:val="single" w:color="auto" w:sz="4" w:space="0"/>
              <w:left w:val="single" w:color="auto" w:sz="4" w:space="0"/>
              <w:bottom w:val="single" w:color="auto" w:sz="4" w:space="0"/>
              <w:right w:val="single" w:color="auto" w:sz="4" w:space="0"/>
            </w:tcBorders>
            <w:vAlign w:val="center"/>
          </w:tcPr>
          <w:p w14:paraId="1E31FDA8">
            <w:pPr>
              <w:spacing w:line="240" w:lineRule="exact"/>
              <w:jc w:val="center"/>
              <w:rPr>
                <w:rFonts w:ascii="宋体" w:hAnsi="宋体" w:cs="仿宋"/>
                <w:bCs/>
                <w:sz w:val="24"/>
              </w:rPr>
            </w:pPr>
          </w:p>
        </w:tc>
        <w:tc>
          <w:tcPr>
            <w:tcW w:w="872" w:type="dxa"/>
            <w:tcBorders>
              <w:top w:val="single" w:color="auto" w:sz="4" w:space="0"/>
              <w:left w:val="single" w:color="auto" w:sz="4" w:space="0"/>
              <w:bottom w:val="single" w:color="auto" w:sz="4" w:space="0"/>
              <w:right w:val="single" w:color="auto" w:sz="4" w:space="0"/>
            </w:tcBorders>
            <w:vAlign w:val="center"/>
          </w:tcPr>
          <w:p w14:paraId="574CD511">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0984AAC4">
            <w:pPr>
              <w:spacing w:line="240" w:lineRule="exact"/>
              <w:jc w:val="center"/>
              <w:rPr>
                <w:rFonts w:ascii="宋体" w:hAnsi="宋体" w:cs="仿宋"/>
                <w:bCs/>
                <w:sz w:val="24"/>
              </w:rPr>
            </w:pPr>
          </w:p>
        </w:tc>
        <w:tc>
          <w:tcPr>
            <w:tcW w:w="1497" w:type="dxa"/>
            <w:tcBorders>
              <w:top w:val="single" w:color="auto" w:sz="4" w:space="0"/>
              <w:left w:val="single" w:color="auto" w:sz="4" w:space="0"/>
              <w:bottom w:val="single" w:color="auto" w:sz="4" w:space="0"/>
              <w:right w:val="single" w:color="auto" w:sz="4" w:space="0"/>
            </w:tcBorders>
            <w:vAlign w:val="center"/>
          </w:tcPr>
          <w:p w14:paraId="19859076">
            <w:pPr>
              <w:spacing w:line="240" w:lineRule="exact"/>
              <w:jc w:val="center"/>
              <w:rPr>
                <w:rFonts w:ascii="宋体" w:hAnsi="宋体" w:cs="仿宋"/>
                <w:bCs/>
                <w:sz w:val="24"/>
              </w:rPr>
            </w:pPr>
          </w:p>
        </w:tc>
        <w:tc>
          <w:tcPr>
            <w:tcW w:w="1745" w:type="dxa"/>
            <w:tcBorders>
              <w:top w:val="single" w:color="auto" w:sz="4" w:space="0"/>
              <w:left w:val="single" w:color="auto" w:sz="4" w:space="0"/>
              <w:bottom w:val="single" w:color="auto" w:sz="4" w:space="0"/>
              <w:right w:val="single" w:color="auto" w:sz="4" w:space="0"/>
            </w:tcBorders>
            <w:vAlign w:val="center"/>
          </w:tcPr>
          <w:p w14:paraId="57DF4FDC">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75114A28">
            <w:pPr>
              <w:spacing w:line="240" w:lineRule="exact"/>
              <w:jc w:val="center"/>
              <w:rPr>
                <w:rFonts w:ascii="宋体" w:hAnsi="宋体" w:cs="仿宋"/>
                <w:bCs/>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6452E4D9">
            <w:pPr>
              <w:spacing w:line="240" w:lineRule="exact"/>
              <w:jc w:val="center"/>
              <w:rPr>
                <w:rFonts w:ascii="宋体" w:hAnsi="宋体" w:cs="仿宋"/>
                <w:bCs/>
                <w:sz w:val="24"/>
              </w:rPr>
            </w:pPr>
          </w:p>
        </w:tc>
      </w:tr>
      <w:tr w14:paraId="311C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6" w:type="dxa"/>
            <w:tcBorders>
              <w:top w:val="single" w:color="auto" w:sz="4" w:space="0"/>
              <w:left w:val="single" w:color="auto" w:sz="4" w:space="0"/>
              <w:bottom w:val="single" w:color="auto" w:sz="4" w:space="0"/>
              <w:right w:val="single" w:color="auto" w:sz="4" w:space="0"/>
            </w:tcBorders>
          </w:tcPr>
          <w:p w14:paraId="72BBDEC2">
            <w:pPr>
              <w:spacing w:line="240" w:lineRule="exact"/>
              <w:jc w:val="center"/>
              <w:rPr>
                <w:rFonts w:ascii="宋体" w:hAnsi="宋体" w:cs="仿宋"/>
                <w:bCs/>
                <w:sz w:val="24"/>
              </w:rPr>
            </w:pPr>
          </w:p>
        </w:tc>
        <w:tc>
          <w:tcPr>
            <w:tcW w:w="1649" w:type="dxa"/>
            <w:tcBorders>
              <w:top w:val="single" w:color="auto" w:sz="4" w:space="0"/>
              <w:left w:val="single" w:color="auto" w:sz="4" w:space="0"/>
              <w:bottom w:val="single" w:color="auto" w:sz="4" w:space="0"/>
              <w:right w:val="single" w:color="auto" w:sz="4" w:space="0"/>
            </w:tcBorders>
            <w:vAlign w:val="center"/>
          </w:tcPr>
          <w:p w14:paraId="24931065">
            <w:pPr>
              <w:spacing w:line="240" w:lineRule="exact"/>
              <w:jc w:val="center"/>
              <w:rPr>
                <w:rFonts w:ascii="宋体" w:hAnsi="宋体" w:cs="仿宋"/>
                <w:bCs/>
                <w:sz w:val="24"/>
              </w:rPr>
            </w:pPr>
          </w:p>
        </w:tc>
        <w:tc>
          <w:tcPr>
            <w:tcW w:w="872" w:type="dxa"/>
            <w:tcBorders>
              <w:top w:val="single" w:color="auto" w:sz="4" w:space="0"/>
              <w:left w:val="single" w:color="auto" w:sz="4" w:space="0"/>
              <w:bottom w:val="single" w:color="auto" w:sz="4" w:space="0"/>
              <w:right w:val="single" w:color="auto" w:sz="4" w:space="0"/>
            </w:tcBorders>
            <w:vAlign w:val="center"/>
          </w:tcPr>
          <w:p w14:paraId="20995260">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38EF3517">
            <w:pPr>
              <w:spacing w:line="240" w:lineRule="exact"/>
              <w:jc w:val="center"/>
              <w:rPr>
                <w:rFonts w:ascii="宋体" w:hAnsi="宋体" w:cs="仿宋"/>
                <w:bCs/>
                <w:sz w:val="24"/>
              </w:rPr>
            </w:pPr>
          </w:p>
        </w:tc>
        <w:tc>
          <w:tcPr>
            <w:tcW w:w="1497" w:type="dxa"/>
            <w:tcBorders>
              <w:top w:val="single" w:color="auto" w:sz="4" w:space="0"/>
              <w:left w:val="single" w:color="auto" w:sz="4" w:space="0"/>
              <w:bottom w:val="single" w:color="auto" w:sz="4" w:space="0"/>
              <w:right w:val="single" w:color="auto" w:sz="4" w:space="0"/>
            </w:tcBorders>
            <w:vAlign w:val="center"/>
          </w:tcPr>
          <w:p w14:paraId="0BE85DB2">
            <w:pPr>
              <w:spacing w:line="240" w:lineRule="exact"/>
              <w:jc w:val="center"/>
              <w:rPr>
                <w:rFonts w:ascii="宋体" w:hAnsi="宋体" w:cs="仿宋"/>
                <w:bCs/>
                <w:sz w:val="24"/>
              </w:rPr>
            </w:pPr>
          </w:p>
        </w:tc>
        <w:tc>
          <w:tcPr>
            <w:tcW w:w="1745" w:type="dxa"/>
            <w:tcBorders>
              <w:top w:val="single" w:color="auto" w:sz="4" w:space="0"/>
              <w:left w:val="single" w:color="auto" w:sz="4" w:space="0"/>
              <w:bottom w:val="single" w:color="auto" w:sz="4" w:space="0"/>
              <w:right w:val="single" w:color="auto" w:sz="4" w:space="0"/>
            </w:tcBorders>
            <w:vAlign w:val="center"/>
          </w:tcPr>
          <w:p w14:paraId="338414B5">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293ADA6E">
            <w:pPr>
              <w:spacing w:line="240" w:lineRule="exact"/>
              <w:jc w:val="center"/>
              <w:rPr>
                <w:rFonts w:ascii="宋体" w:hAnsi="宋体" w:cs="仿宋"/>
                <w:bCs/>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7A50D2EE">
            <w:pPr>
              <w:spacing w:line="240" w:lineRule="exact"/>
              <w:jc w:val="center"/>
              <w:rPr>
                <w:rFonts w:ascii="宋体" w:hAnsi="宋体" w:cs="仿宋"/>
                <w:bCs/>
                <w:sz w:val="24"/>
              </w:rPr>
            </w:pPr>
          </w:p>
        </w:tc>
      </w:tr>
      <w:tr w14:paraId="5A2E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6" w:type="dxa"/>
            <w:tcBorders>
              <w:top w:val="single" w:color="auto" w:sz="4" w:space="0"/>
              <w:left w:val="single" w:color="auto" w:sz="4" w:space="0"/>
              <w:bottom w:val="single" w:color="auto" w:sz="4" w:space="0"/>
              <w:right w:val="single" w:color="auto" w:sz="4" w:space="0"/>
            </w:tcBorders>
          </w:tcPr>
          <w:p w14:paraId="387209DC">
            <w:pPr>
              <w:spacing w:line="240" w:lineRule="exact"/>
              <w:jc w:val="center"/>
              <w:rPr>
                <w:rFonts w:ascii="宋体" w:hAnsi="宋体" w:cs="仿宋"/>
                <w:bCs/>
                <w:sz w:val="24"/>
              </w:rPr>
            </w:pPr>
          </w:p>
        </w:tc>
        <w:tc>
          <w:tcPr>
            <w:tcW w:w="1649" w:type="dxa"/>
            <w:tcBorders>
              <w:top w:val="single" w:color="auto" w:sz="4" w:space="0"/>
              <w:left w:val="single" w:color="auto" w:sz="4" w:space="0"/>
              <w:bottom w:val="single" w:color="auto" w:sz="4" w:space="0"/>
              <w:right w:val="single" w:color="auto" w:sz="4" w:space="0"/>
            </w:tcBorders>
            <w:vAlign w:val="center"/>
          </w:tcPr>
          <w:p w14:paraId="274BE3A8">
            <w:pPr>
              <w:spacing w:line="240" w:lineRule="exact"/>
              <w:jc w:val="center"/>
              <w:rPr>
                <w:rFonts w:ascii="宋体" w:hAnsi="宋体" w:cs="仿宋"/>
                <w:bCs/>
                <w:sz w:val="24"/>
              </w:rPr>
            </w:pPr>
          </w:p>
        </w:tc>
        <w:tc>
          <w:tcPr>
            <w:tcW w:w="872" w:type="dxa"/>
            <w:tcBorders>
              <w:top w:val="single" w:color="auto" w:sz="4" w:space="0"/>
              <w:left w:val="single" w:color="auto" w:sz="4" w:space="0"/>
              <w:bottom w:val="single" w:color="auto" w:sz="4" w:space="0"/>
              <w:right w:val="single" w:color="auto" w:sz="4" w:space="0"/>
            </w:tcBorders>
            <w:vAlign w:val="center"/>
          </w:tcPr>
          <w:p w14:paraId="064D981F">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0BBDE3C5">
            <w:pPr>
              <w:spacing w:line="240" w:lineRule="exact"/>
              <w:jc w:val="center"/>
              <w:rPr>
                <w:rFonts w:ascii="宋体" w:hAnsi="宋体" w:cs="仿宋"/>
                <w:bCs/>
                <w:sz w:val="24"/>
              </w:rPr>
            </w:pPr>
          </w:p>
        </w:tc>
        <w:tc>
          <w:tcPr>
            <w:tcW w:w="1497" w:type="dxa"/>
            <w:tcBorders>
              <w:top w:val="single" w:color="auto" w:sz="4" w:space="0"/>
              <w:left w:val="single" w:color="auto" w:sz="4" w:space="0"/>
              <w:bottom w:val="single" w:color="auto" w:sz="4" w:space="0"/>
              <w:right w:val="single" w:color="auto" w:sz="4" w:space="0"/>
            </w:tcBorders>
            <w:vAlign w:val="center"/>
          </w:tcPr>
          <w:p w14:paraId="29C56EE9">
            <w:pPr>
              <w:spacing w:line="240" w:lineRule="exact"/>
              <w:jc w:val="center"/>
              <w:rPr>
                <w:rFonts w:ascii="宋体" w:hAnsi="宋体" w:cs="仿宋"/>
                <w:bCs/>
                <w:sz w:val="24"/>
              </w:rPr>
            </w:pPr>
          </w:p>
        </w:tc>
        <w:tc>
          <w:tcPr>
            <w:tcW w:w="1745" w:type="dxa"/>
            <w:tcBorders>
              <w:top w:val="single" w:color="auto" w:sz="4" w:space="0"/>
              <w:left w:val="single" w:color="auto" w:sz="4" w:space="0"/>
              <w:bottom w:val="single" w:color="auto" w:sz="4" w:space="0"/>
              <w:right w:val="single" w:color="auto" w:sz="4" w:space="0"/>
            </w:tcBorders>
            <w:vAlign w:val="center"/>
          </w:tcPr>
          <w:p w14:paraId="1997127E">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1E9D9E6F">
            <w:pPr>
              <w:spacing w:line="240" w:lineRule="exact"/>
              <w:jc w:val="center"/>
              <w:rPr>
                <w:rFonts w:ascii="宋体" w:hAnsi="宋体" w:cs="仿宋"/>
                <w:bCs/>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7CAAD57B">
            <w:pPr>
              <w:spacing w:line="240" w:lineRule="exact"/>
              <w:jc w:val="center"/>
              <w:rPr>
                <w:rFonts w:ascii="宋体" w:hAnsi="宋体" w:cs="仿宋"/>
                <w:bCs/>
                <w:sz w:val="24"/>
              </w:rPr>
            </w:pPr>
          </w:p>
        </w:tc>
      </w:tr>
      <w:tr w14:paraId="6DAF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6" w:type="dxa"/>
            <w:tcBorders>
              <w:top w:val="single" w:color="auto" w:sz="4" w:space="0"/>
              <w:left w:val="single" w:color="auto" w:sz="4" w:space="0"/>
              <w:bottom w:val="single" w:color="auto" w:sz="4" w:space="0"/>
              <w:right w:val="single" w:color="auto" w:sz="4" w:space="0"/>
            </w:tcBorders>
          </w:tcPr>
          <w:p w14:paraId="65A9DC2F">
            <w:pPr>
              <w:spacing w:line="240" w:lineRule="exact"/>
              <w:jc w:val="center"/>
              <w:rPr>
                <w:rFonts w:ascii="宋体" w:hAnsi="宋体" w:cs="仿宋"/>
                <w:bCs/>
                <w:sz w:val="24"/>
              </w:rPr>
            </w:pPr>
          </w:p>
        </w:tc>
        <w:tc>
          <w:tcPr>
            <w:tcW w:w="1649" w:type="dxa"/>
            <w:tcBorders>
              <w:top w:val="single" w:color="auto" w:sz="4" w:space="0"/>
              <w:left w:val="single" w:color="auto" w:sz="4" w:space="0"/>
              <w:bottom w:val="single" w:color="auto" w:sz="4" w:space="0"/>
              <w:right w:val="single" w:color="auto" w:sz="4" w:space="0"/>
            </w:tcBorders>
            <w:vAlign w:val="center"/>
          </w:tcPr>
          <w:p w14:paraId="28C4368A">
            <w:pPr>
              <w:spacing w:line="240" w:lineRule="exact"/>
              <w:jc w:val="center"/>
              <w:rPr>
                <w:rFonts w:ascii="宋体" w:hAnsi="宋体" w:cs="仿宋"/>
                <w:bCs/>
                <w:sz w:val="24"/>
              </w:rPr>
            </w:pPr>
          </w:p>
        </w:tc>
        <w:tc>
          <w:tcPr>
            <w:tcW w:w="872" w:type="dxa"/>
            <w:tcBorders>
              <w:top w:val="single" w:color="auto" w:sz="4" w:space="0"/>
              <w:left w:val="single" w:color="auto" w:sz="4" w:space="0"/>
              <w:bottom w:val="single" w:color="auto" w:sz="4" w:space="0"/>
              <w:right w:val="single" w:color="auto" w:sz="4" w:space="0"/>
            </w:tcBorders>
            <w:vAlign w:val="center"/>
          </w:tcPr>
          <w:p w14:paraId="2CED3116">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13C7336E">
            <w:pPr>
              <w:spacing w:line="240" w:lineRule="exact"/>
              <w:jc w:val="center"/>
              <w:rPr>
                <w:rFonts w:ascii="宋体" w:hAnsi="宋体" w:cs="仿宋"/>
                <w:bCs/>
                <w:sz w:val="24"/>
              </w:rPr>
            </w:pPr>
          </w:p>
        </w:tc>
        <w:tc>
          <w:tcPr>
            <w:tcW w:w="1497" w:type="dxa"/>
            <w:tcBorders>
              <w:top w:val="single" w:color="auto" w:sz="4" w:space="0"/>
              <w:left w:val="single" w:color="auto" w:sz="4" w:space="0"/>
              <w:bottom w:val="single" w:color="auto" w:sz="4" w:space="0"/>
              <w:right w:val="single" w:color="auto" w:sz="4" w:space="0"/>
            </w:tcBorders>
            <w:vAlign w:val="center"/>
          </w:tcPr>
          <w:p w14:paraId="23DF025B">
            <w:pPr>
              <w:spacing w:line="240" w:lineRule="exact"/>
              <w:jc w:val="center"/>
              <w:rPr>
                <w:rFonts w:ascii="宋体" w:hAnsi="宋体" w:cs="仿宋"/>
                <w:bCs/>
                <w:sz w:val="24"/>
              </w:rPr>
            </w:pPr>
          </w:p>
        </w:tc>
        <w:tc>
          <w:tcPr>
            <w:tcW w:w="1745" w:type="dxa"/>
            <w:tcBorders>
              <w:top w:val="single" w:color="auto" w:sz="4" w:space="0"/>
              <w:left w:val="single" w:color="auto" w:sz="4" w:space="0"/>
              <w:bottom w:val="single" w:color="auto" w:sz="4" w:space="0"/>
              <w:right w:val="single" w:color="auto" w:sz="4" w:space="0"/>
            </w:tcBorders>
            <w:vAlign w:val="center"/>
          </w:tcPr>
          <w:p w14:paraId="56CA9F9B">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305771E7">
            <w:pPr>
              <w:spacing w:line="240" w:lineRule="exact"/>
              <w:jc w:val="center"/>
              <w:rPr>
                <w:rFonts w:ascii="宋体" w:hAnsi="宋体" w:cs="仿宋"/>
                <w:bCs/>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01F1C0DF">
            <w:pPr>
              <w:spacing w:line="240" w:lineRule="exact"/>
              <w:jc w:val="center"/>
              <w:rPr>
                <w:rFonts w:ascii="宋体" w:hAnsi="宋体" w:cs="仿宋"/>
                <w:bCs/>
                <w:sz w:val="24"/>
              </w:rPr>
            </w:pPr>
          </w:p>
        </w:tc>
      </w:tr>
      <w:tr w14:paraId="7CF9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6" w:type="dxa"/>
            <w:tcBorders>
              <w:top w:val="single" w:color="auto" w:sz="4" w:space="0"/>
              <w:left w:val="single" w:color="auto" w:sz="4" w:space="0"/>
              <w:bottom w:val="single" w:color="auto" w:sz="4" w:space="0"/>
              <w:right w:val="single" w:color="auto" w:sz="4" w:space="0"/>
            </w:tcBorders>
          </w:tcPr>
          <w:p w14:paraId="17F95DE1">
            <w:pPr>
              <w:spacing w:line="240" w:lineRule="exact"/>
              <w:jc w:val="center"/>
              <w:rPr>
                <w:rFonts w:ascii="宋体" w:hAnsi="宋体" w:cs="仿宋"/>
                <w:bCs/>
                <w:sz w:val="24"/>
              </w:rPr>
            </w:pPr>
          </w:p>
        </w:tc>
        <w:tc>
          <w:tcPr>
            <w:tcW w:w="1649" w:type="dxa"/>
            <w:tcBorders>
              <w:top w:val="single" w:color="auto" w:sz="4" w:space="0"/>
              <w:left w:val="single" w:color="auto" w:sz="4" w:space="0"/>
              <w:bottom w:val="single" w:color="auto" w:sz="4" w:space="0"/>
              <w:right w:val="single" w:color="auto" w:sz="4" w:space="0"/>
            </w:tcBorders>
            <w:vAlign w:val="center"/>
          </w:tcPr>
          <w:p w14:paraId="2CD6DB96">
            <w:pPr>
              <w:spacing w:line="240" w:lineRule="exact"/>
              <w:jc w:val="center"/>
              <w:rPr>
                <w:rFonts w:ascii="宋体" w:hAnsi="宋体" w:cs="仿宋"/>
                <w:bCs/>
                <w:sz w:val="24"/>
              </w:rPr>
            </w:pPr>
          </w:p>
        </w:tc>
        <w:tc>
          <w:tcPr>
            <w:tcW w:w="872" w:type="dxa"/>
            <w:tcBorders>
              <w:top w:val="single" w:color="auto" w:sz="4" w:space="0"/>
              <w:left w:val="single" w:color="auto" w:sz="4" w:space="0"/>
              <w:bottom w:val="single" w:color="auto" w:sz="4" w:space="0"/>
              <w:right w:val="single" w:color="auto" w:sz="4" w:space="0"/>
            </w:tcBorders>
            <w:vAlign w:val="center"/>
          </w:tcPr>
          <w:p w14:paraId="5A9DA5A8">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7E24C887">
            <w:pPr>
              <w:spacing w:line="240" w:lineRule="exact"/>
              <w:jc w:val="center"/>
              <w:rPr>
                <w:rFonts w:ascii="宋体" w:hAnsi="宋体" w:cs="仿宋"/>
                <w:bCs/>
                <w:sz w:val="24"/>
              </w:rPr>
            </w:pPr>
          </w:p>
        </w:tc>
        <w:tc>
          <w:tcPr>
            <w:tcW w:w="1497" w:type="dxa"/>
            <w:tcBorders>
              <w:top w:val="single" w:color="auto" w:sz="4" w:space="0"/>
              <w:left w:val="single" w:color="auto" w:sz="4" w:space="0"/>
              <w:bottom w:val="single" w:color="auto" w:sz="4" w:space="0"/>
              <w:right w:val="single" w:color="auto" w:sz="4" w:space="0"/>
            </w:tcBorders>
            <w:vAlign w:val="center"/>
          </w:tcPr>
          <w:p w14:paraId="61A92ADC">
            <w:pPr>
              <w:spacing w:line="240" w:lineRule="exact"/>
              <w:jc w:val="center"/>
              <w:rPr>
                <w:rFonts w:ascii="宋体" w:hAnsi="宋体" w:cs="仿宋"/>
                <w:bCs/>
                <w:sz w:val="24"/>
              </w:rPr>
            </w:pPr>
          </w:p>
        </w:tc>
        <w:tc>
          <w:tcPr>
            <w:tcW w:w="1745" w:type="dxa"/>
            <w:tcBorders>
              <w:top w:val="single" w:color="auto" w:sz="4" w:space="0"/>
              <w:left w:val="single" w:color="auto" w:sz="4" w:space="0"/>
              <w:bottom w:val="single" w:color="auto" w:sz="4" w:space="0"/>
              <w:right w:val="single" w:color="auto" w:sz="4" w:space="0"/>
            </w:tcBorders>
            <w:vAlign w:val="center"/>
          </w:tcPr>
          <w:p w14:paraId="2CD74EBD">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6EA653C9">
            <w:pPr>
              <w:spacing w:line="240" w:lineRule="exact"/>
              <w:jc w:val="center"/>
              <w:rPr>
                <w:rFonts w:ascii="宋体" w:hAnsi="宋体" w:cs="仿宋"/>
                <w:bCs/>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4C716C0C">
            <w:pPr>
              <w:spacing w:line="240" w:lineRule="exact"/>
              <w:jc w:val="center"/>
              <w:rPr>
                <w:rFonts w:ascii="宋体" w:hAnsi="宋体" w:cs="仿宋"/>
                <w:bCs/>
                <w:sz w:val="24"/>
              </w:rPr>
            </w:pPr>
          </w:p>
        </w:tc>
      </w:tr>
      <w:tr w14:paraId="291F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6" w:type="dxa"/>
            <w:tcBorders>
              <w:top w:val="single" w:color="auto" w:sz="4" w:space="0"/>
              <w:left w:val="single" w:color="auto" w:sz="4" w:space="0"/>
              <w:bottom w:val="single" w:color="auto" w:sz="4" w:space="0"/>
              <w:right w:val="single" w:color="auto" w:sz="4" w:space="0"/>
            </w:tcBorders>
          </w:tcPr>
          <w:p w14:paraId="33BFD961">
            <w:pPr>
              <w:spacing w:line="240" w:lineRule="exact"/>
              <w:jc w:val="center"/>
              <w:rPr>
                <w:rFonts w:ascii="宋体" w:hAnsi="宋体" w:cs="仿宋"/>
                <w:bCs/>
                <w:sz w:val="24"/>
              </w:rPr>
            </w:pPr>
          </w:p>
        </w:tc>
        <w:tc>
          <w:tcPr>
            <w:tcW w:w="1649" w:type="dxa"/>
            <w:tcBorders>
              <w:top w:val="single" w:color="auto" w:sz="4" w:space="0"/>
              <w:left w:val="single" w:color="auto" w:sz="4" w:space="0"/>
              <w:bottom w:val="single" w:color="auto" w:sz="4" w:space="0"/>
              <w:right w:val="single" w:color="auto" w:sz="4" w:space="0"/>
            </w:tcBorders>
            <w:vAlign w:val="center"/>
          </w:tcPr>
          <w:p w14:paraId="69FC8513">
            <w:pPr>
              <w:spacing w:line="240" w:lineRule="exact"/>
              <w:jc w:val="center"/>
              <w:rPr>
                <w:rFonts w:ascii="宋体" w:hAnsi="宋体" w:cs="仿宋"/>
                <w:bCs/>
                <w:sz w:val="24"/>
              </w:rPr>
            </w:pPr>
          </w:p>
        </w:tc>
        <w:tc>
          <w:tcPr>
            <w:tcW w:w="872" w:type="dxa"/>
            <w:tcBorders>
              <w:top w:val="single" w:color="auto" w:sz="4" w:space="0"/>
              <w:left w:val="single" w:color="auto" w:sz="4" w:space="0"/>
              <w:bottom w:val="single" w:color="auto" w:sz="4" w:space="0"/>
              <w:right w:val="single" w:color="auto" w:sz="4" w:space="0"/>
            </w:tcBorders>
            <w:vAlign w:val="center"/>
          </w:tcPr>
          <w:p w14:paraId="5C4E6F9F">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25418501">
            <w:pPr>
              <w:spacing w:line="240" w:lineRule="exact"/>
              <w:jc w:val="center"/>
              <w:rPr>
                <w:rFonts w:ascii="宋体" w:hAnsi="宋体" w:cs="仿宋"/>
                <w:bCs/>
                <w:sz w:val="24"/>
              </w:rPr>
            </w:pPr>
          </w:p>
        </w:tc>
        <w:tc>
          <w:tcPr>
            <w:tcW w:w="1497" w:type="dxa"/>
            <w:tcBorders>
              <w:top w:val="single" w:color="auto" w:sz="4" w:space="0"/>
              <w:left w:val="single" w:color="auto" w:sz="4" w:space="0"/>
              <w:bottom w:val="single" w:color="auto" w:sz="4" w:space="0"/>
              <w:right w:val="single" w:color="auto" w:sz="4" w:space="0"/>
            </w:tcBorders>
            <w:vAlign w:val="center"/>
          </w:tcPr>
          <w:p w14:paraId="28961A7B">
            <w:pPr>
              <w:spacing w:line="240" w:lineRule="exact"/>
              <w:jc w:val="center"/>
              <w:rPr>
                <w:rFonts w:ascii="宋体" w:hAnsi="宋体" w:cs="仿宋"/>
                <w:bCs/>
                <w:sz w:val="24"/>
              </w:rPr>
            </w:pPr>
          </w:p>
        </w:tc>
        <w:tc>
          <w:tcPr>
            <w:tcW w:w="1745" w:type="dxa"/>
            <w:tcBorders>
              <w:top w:val="single" w:color="auto" w:sz="4" w:space="0"/>
              <w:left w:val="single" w:color="auto" w:sz="4" w:space="0"/>
              <w:bottom w:val="single" w:color="auto" w:sz="4" w:space="0"/>
              <w:right w:val="single" w:color="auto" w:sz="4" w:space="0"/>
            </w:tcBorders>
            <w:vAlign w:val="center"/>
          </w:tcPr>
          <w:p w14:paraId="4F463EB8">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2B849D68">
            <w:pPr>
              <w:spacing w:line="240" w:lineRule="exact"/>
              <w:jc w:val="center"/>
              <w:rPr>
                <w:rFonts w:ascii="宋体" w:hAnsi="宋体" w:cs="仿宋"/>
                <w:bCs/>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44E6480C">
            <w:pPr>
              <w:spacing w:line="240" w:lineRule="exact"/>
              <w:jc w:val="center"/>
              <w:rPr>
                <w:rFonts w:ascii="宋体" w:hAnsi="宋体" w:cs="仿宋"/>
                <w:bCs/>
                <w:sz w:val="24"/>
              </w:rPr>
            </w:pPr>
          </w:p>
        </w:tc>
      </w:tr>
      <w:tr w14:paraId="1729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6" w:type="dxa"/>
            <w:tcBorders>
              <w:top w:val="single" w:color="auto" w:sz="4" w:space="0"/>
              <w:left w:val="single" w:color="auto" w:sz="4" w:space="0"/>
              <w:bottom w:val="single" w:color="auto" w:sz="4" w:space="0"/>
              <w:right w:val="single" w:color="auto" w:sz="4" w:space="0"/>
            </w:tcBorders>
          </w:tcPr>
          <w:p w14:paraId="73BFACCA">
            <w:pPr>
              <w:spacing w:line="240" w:lineRule="exact"/>
              <w:jc w:val="center"/>
              <w:rPr>
                <w:rFonts w:ascii="宋体" w:hAnsi="宋体" w:cs="仿宋"/>
                <w:bCs/>
                <w:sz w:val="24"/>
              </w:rPr>
            </w:pPr>
          </w:p>
        </w:tc>
        <w:tc>
          <w:tcPr>
            <w:tcW w:w="1649" w:type="dxa"/>
            <w:tcBorders>
              <w:top w:val="single" w:color="auto" w:sz="4" w:space="0"/>
              <w:left w:val="single" w:color="auto" w:sz="4" w:space="0"/>
              <w:bottom w:val="single" w:color="auto" w:sz="4" w:space="0"/>
              <w:right w:val="single" w:color="auto" w:sz="4" w:space="0"/>
            </w:tcBorders>
            <w:vAlign w:val="center"/>
          </w:tcPr>
          <w:p w14:paraId="379E83C5">
            <w:pPr>
              <w:spacing w:line="240" w:lineRule="exact"/>
              <w:jc w:val="center"/>
              <w:rPr>
                <w:rFonts w:ascii="宋体" w:hAnsi="宋体" w:cs="仿宋"/>
                <w:bCs/>
                <w:sz w:val="24"/>
              </w:rPr>
            </w:pPr>
          </w:p>
        </w:tc>
        <w:tc>
          <w:tcPr>
            <w:tcW w:w="872" w:type="dxa"/>
            <w:tcBorders>
              <w:top w:val="single" w:color="auto" w:sz="4" w:space="0"/>
              <w:left w:val="single" w:color="auto" w:sz="4" w:space="0"/>
              <w:bottom w:val="single" w:color="auto" w:sz="4" w:space="0"/>
              <w:right w:val="single" w:color="auto" w:sz="4" w:space="0"/>
            </w:tcBorders>
            <w:vAlign w:val="center"/>
          </w:tcPr>
          <w:p w14:paraId="69BE19F5">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61258BA8">
            <w:pPr>
              <w:spacing w:line="240" w:lineRule="exact"/>
              <w:jc w:val="center"/>
              <w:rPr>
                <w:rFonts w:ascii="宋体" w:hAnsi="宋体" w:cs="仿宋"/>
                <w:bCs/>
                <w:sz w:val="24"/>
              </w:rPr>
            </w:pPr>
          </w:p>
        </w:tc>
        <w:tc>
          <w:tcPr>
            <w:tcW w:w="1497" w:type="dxa"/>
            <w:tcBorders>
              <w:top w:val="single" w:color="auto" w:sz="4" w:space="0"/>
              <w:left w:val="single" w:color="auto" w:sz="4" w:space="0"/>
              <w:bottom w:val="single" w:color="auto" w:sz="4" w:space="0"/>
              <w:right w:val="single" w:color="auto" w:sz="4" w:space="0"/>
            </w:tcBorders>
            <w:vAlign w:val="center"/>
          </w:tcPr>
          <w:p w14:paraId="45D087F2">
            <w:pPr>
              <w:spacing w:line="240" w:lineRule="exact"/>
              <w:jc w:val="center"/>
              <w:rPr>
                <w:rFonts w:ascii="宋体" w:hAnsi="宋体" w:cs="仿宋"/>
                <w:bCs/>
                <w:sz w:val="24"/>
              </w:rPr>
            </w:pPr>
          </w:p>
        </w:tc>
        <w:tc>
          <w:tcPr>
            <w:tcW w:w="1745" w:type="dxa"/>
            <w:tcBorders>
              <w:top w:val="single" w:color="auto" w:sz="4" w:space="0"/>
              <w:left w:val="single" w:color="auto" w:sz="4" w:space="0"/>
              <w:bottom w:val="single" w:color="auto" w:sz="4" w:space="0"/>
              <w:right w:val="single" w:color="auto" w:sz="4" w:space="0"/>
            </w:tcBorders>
            <w:vAlign w:val="center"/>
          </w:tcPr>
          <w:p w14:paraId="61D74CA2">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4063D1EA">
            <w:pPr>
              <w:spacing w:line="240" w:lineRule="exact"/>
              <w:jc w:val="center"/>
              <w:rPr>
                <w:rFonts w:ascii="宋体" w:hAnsi="宋体" w:cs="仿宋"/>
                <w:bCs/>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2E461C5F">
            <w:pPr>
              <w:spacing w:line="240" w:lineRule="exact"/>
              <w:jc w:val="center"/>
              <w:rPr>
                <w:rFonts w:ascii="宋体" w:hAnsi="宋体" w:cs="仿宋"/>
                <w:bCs/>
                <w:sz w:val="24"/>
              </w:rPr>
            </w:pPr>
          </w:p>
        </w:tc>
      </w:tr>
      <w:tr w14:paraId="0C52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6" w:type="dxa"/>
            <w:tcBorders>
              <w:top w:val="single" w:color="auto" w:sz="4" w:space="0"/>
              <w:left w:val="single" w:color="auto" w:sz="4" w:space="0"/>
              <w:bottom w:val="single" w:color="auto" w:sz="4" w:space="0"/>
              <w:right w:val="single" w:color="auto" w:sz="4" w:space="0"/>
            </w:tcBorders>
          </w:tcPr>
          <w:p w14:paraId="3764A182">
            <w:pPr>
              <w:spacing w:line="240" w:lineRule="exact"/>
              <w:jc w:val="center"/>
              <w:rPr>
                <w:rFonts w:ascii="宋体" w:hAnsi="宋体" w:cs="仿宋"/>
                <w:bCs/>
                <w:sz w:val="24"/>
              </w:rPr>
            </w:pPr>
          </w:p>
        </w:tc>
        <w:tc>
          <w:tcPr>
            <w:tcW w:w="1649" w:type="dxa"/>
            <w:tcBorders>
              <w:top w:val="single" w:color="auto" w:sz="4" w:space="0"/>
              <w:left w:val="single" w:color="auto" w:sz="4" w:space="0"/>
              <w:bottom w:val="single" w:color="auto" w:sz="4" w:space="0"/>
              <w:right w:val="single" w:color="auto" w:sz="4" w:space="0"/>
            </w:tcBorders>
            <w:vAlign w:val="center"/>
          </w:tcPr>
          <w:p w14:paraId="6DD16D42">
            <w:pPr>
              <w:spacing w:line="240" w:lineRule="exact"/>
              <w:jc w:val="center"/>
              <w:rPr>
                <w:rFonts w:ascii="宋体" w:hAnsi="宋体" w:cs="仿宋"/>
                <w:bCs/>
                <w:sz w:val="24"/>
              </w:rPr>
            </w:pPr>
          </w:p>
        </w:tc>
        <w:tc>
          <w:tcPr>
            <w:tcW w:w="872" w:type="dxa"/>
            <w:tcBorders>
              <w:top w:val="single" w:color="auto" w:sz="4" w:space="0"/>
              <w:left w:val="single" w:color="auto" w:sz="4" w:space="0"/>
              <w:bottom w:val="single" w:color="auto" w:sz="4" w:space="0"/>
              <w:right w:val="single" w:color="auto" w:sz="4" w:space="0"/>
            </w:tcBorders>
            <w:vAlign w:val="center"/>
          </w:tcPr>
          <w:p w14:paraId="14B7E4AD">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407ABE44">
            <w:pPr>
              <w:spacing w:line="240" w:lineRule="exact"/>
              <w:jc w:val="center"/>
              <w:rPr>
                <w:rFonts w:ascii="宋体" w:hAnsi="宋体" w:cs="仿宋"/>
                <w:bCs/>
                <w:sz w:val="24"/>
              </w:rPr>
            </w:pPr>
          </w:p>
        </w:tc>
        <w:tc>
          <w:tcPr>
            <w:tcW w:w="1497" w:type="dxa"/>
            <w:tcBorders>
              <w:top w:val="single" w:color="auto" w:sz="4" w:space="0"/>
              <w:left w:val="single" w:color="auto" w:sz="4" w:space="0"/>
              <w:bottom w:val="single" w:color="auto" w:sz="4" w:space="0"/>
              <w:right w:val="single" w:color="auto" w:sz="4" w:space="0"/>
            </w:tcBorders>
            <w:vAlign w:val="center"/>
          </w:tcPr>
          <w:p w14:paraId="66E4CEA4">
            <w:pPr>
              <w:spacing w:line="240" w:lineRule="exact"/>
              <w:jc w:val="center"/>
              <w:rPr>
                <w:rFonts w:ascii="宋体" w:hAnsi="宋体" w:cs="仿宋"/>
                <w:bCs/>
                <w:sz w:val="24"/>
              </w:rPr>
            </w:pPr>
          </w:p>
        </w:tc>
        <w:tc>
          <w:tcPr>
            <w:tcW w:w="1745" w:type="dxa"/>
            <w:tcBorders>
              <w:top w:val="single" w:color="auto" w:sz="4" w:space="0"/>
              <w:left w:val="single" w:color="auto" w:sz="4" w:space="0"/>
              <w:bottom w:val="single" w:color="auto" w:sz="4" w:space="0"/>
              <w:right w:val="single" w:color="auto" w:sz="4" w:space="0"/>
            </w:tcBorders>
            <w:vAlign w:val="center"/>
          </w:tcPr>
          <w:p w14:paraId="26780DBA">
            <w:pPr>
              <w:spacing w:line="240" w:lineRule="exact"/>
              <w:jc w:val="center"/>
              <w:rPr>
                <w:rFonts w:ascii="宋体" w:hAnsi="宋体" w:cs="仿宋"/>
                <w:bCs/>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0AA52DA5">
            <w:pPr>
              <w:spacing w:line="240" w:lineRule="exact"/>
              <w:jc w:val="center"/>
              <w:rPr>
                <w:rFonts w:ascii="宋体" w:hAnsi="宋体" w:cs="仿宋"/>
                <w:bCs/>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7C15F9CC">
            <w:pPr>
              <w:spacing w:line="240" w:lineRule="exact"/>
              <w:jc w:val="center"/>
              <w:rPr>
                <w:rFonts w:ascii="宋体" w:hAnsi="宋体" w:cs="仿宋"/>
                <w:bCs/>
                <w:sz w:val="24"/>
              </w:rPr>
            </w:pPr>
          </w:p>
        </w:tc>
      </w:tr>
    </w:tbl>
    <w:p w14:paraId="05322A8F">
      <w:pPr>
        <w:rPr>
          <w:rFonts w:ascii="宋体" w:hAnsi="宋体" w:cs="仿宋"/>
          <w:sz w:val="24"/>
        </w:rPr>
      </w:pPr>
      <w:r>
        <w:rPr>
          <w:rFonts w:hint="eastAsia" w:ascii="宋体" w:hAnsi="宋体" w:cs="仿宋"/>
          <w:sz w:val="24"/>
        </w:rPr>
        <w:t>注：1、本表所列项目应根据实际情况填写；</w:t>
      </w:r>
    </w:p>
    <w:p w14:paraId="0E43A3D1">
      <w:pPr>
        <w:spacing w:line="360" w:lineRule="auto"/>
        <w:ind w:firstLine="480"/>
        <w:jc w:val="center"/>
        <w:rPr>
          <w:rFonts w:ascii="宋体" w:hAnsi="宋体" w:cs="仿宋"/>
          <w:b/>
          <w:sz w:val="24"/>
        </w:rPr>
      </w:pPr>
      <w:r>
        <w:rPr>
          <w:rFonts w:hint="eastAsia" w:ascii="宋体" w:hAnsi="宋体" w:cs="仿宋"/>
          <w:sz w:val="24"/>
        </w:rPr>
        <w:t>2、此表仅提供了表格形式，投标人应根据需要准备足够数量的表格来填写</w:t>
      </w:r>
    </w:p>
    <w:p w14:paraId="3BE4766B">
      <w:pPr>
        <w:tabs>
          <w:tab w:val="left" w:pos="1418"/>
        </w:tabs>
        <w:snapToGrid w:val="0"/>
        <w:spacing w:line="360" w:lineRule="auto"/>
        <w:rPr>
          <w:rFonts w:ascii="宋体" w:hAnsi="宋体"/>
          <w:spacing w:val="20"/>
          <w:sz w:val="24"/>
          <w:u w:val="single"/>
        </w:rPr>
      </w:pPr>
      <w:r>
        <w:rPr>
          <w:rFonts w:hint="eastAsia" w:ascii="宋体" w:hAnsi="宋体"/>
          <w:spacing w:val="20"/>
          <w:sz w:val="24"/>
        </w:rPr>
        <w:t>授权代表签名：</w:t>
      </w:r>
      <w:r>
        <w:rPr>
          <w:rFonts w:ascii="宋体" w:hAnsi="宋体"/>
          <w:spacing w:val="20"/>
          <w:sz w:val="24"/>
          <w:u w:val="single"/>
        </w:rPr>
        <w:t xml:space="preserve">        </w:t>
      </w:r>
    </w:p>
    <w:p w14:paraId="370E5483">
      <w:pPr>
        <w:snapToGrid w:val="0"/>
        <w:spacing w:line="360" w:lineRule="auto"/>
        <w:rPr>
          <w:rFonts w:ascii="宋体" w:hAnsi="宋体"/>
          <w:spacing w:val="20"/>
          <w:sz w:val="24"/>
          <w:u w:val="single"/>
        </w:rPr>
      </w:pPr>
      <w:r>
        <w:rPr>
          <w:rFonts w:hint="eastAsia" w:ascii="宋体" w:hAnsi="宋体"/>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14:paraId="721D6E63">
      <w:pPr>
        <w:snapToGrid w:val="0"/>
        <w:spacing w:line="360" w:lineRule="auto"/>
        <w:rPr>
          <w:rFonts w:ascii="宋体" w:hAnsi="宋体"/>
          <w:spacing w:val="20"/>
          <w:sz w:val="24"/>
          <w:u w:val="single"/>
        </w:rPr>
      </w:pPr>
    </w:p>
    <w:p w14:paraId="1EE5F9D1">
      <w:pPr>
        <w:spacing w:line="360" w:lineRule="auto"/>
        <w:jc w:val="left"/>
        <w:rPr>
          <w:rFonts w:ascii="宋体" w:hAnsi="宋体" w:cs="宋体"/>
          <w:sz w:val="24"/>
        </w:rPr>
      </w:pPr>
    </w:p>
    <w:p w14:paraId="564E9D13">
      <w:pPr>
        <w:spacing w:line="360" w:lineRule="auto"/>
        <w:jc w:val="left"/>
        <w:rPr>
          <w:rFonts w:ascii="宋体" w:hAnsi="宋体" w:cs="宋体"/>
          <w:sz w:val="24"/>
        </w:rPr>
      </w:pPr>
      <w:r>
        <w:rPr>
          <w:rFonts w:hint="eastAsia" w:ascii="宋体" w:hAnsi="宋体" w:cs="宋体"/>
          <w:sz w:val="24"/>
        </w:rPr>
        <w:t>18.技术响应表格式：</w:t>
      </w:r>
    </w:p>
    <w:p w14:paraId="1608AC68">
      <w:pPr>
        <w:spacing w:line="360" w:lineRule="auto"/>
        <w:rPr>
          <w:rFonts w:ascii="宋体" w:hAnsi="宋体" w:cs="仿宋"/>
          <w:sz w:val="24"/>
        </w:rPr>
      </w:pPr>
      <w:r>
        <w:rPr>
          <w:rFonts w:hint="eastAsia" w:ascii="宋体" w:hAnsi="宋体"/>
          <w:sz w:val="24"/>
        </w:rPr>
        <w:t>项目名称：</w:t>
      </w:r>
      <w:r>
        <w:rPr>
          <w:rFonts w:ascii="宋体" w:hAnsi="宋体"/>
          <w:sz w:val="24"/>
          <w:u w:val="single"/>
        </w:rPr>
        <w:t xml:space="preserve">              </w:t>
      </w:r>
    </w:p>
    <w:tbl>
      <w:tblPr>
        <w:tblStyle w:val="43"/>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159"/>
        <w:gridCol w:w="1979"/>
        <w:gridCol w:w="1799"/>
        <w:gridCol w:w="1619"/>
      </w:tblGrid>
      <w:tr w14:paraId="0901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vAlign w:val="center"/>
          </w:tcPr>
          <w:p w14:paraId="222FF49B">
            <w:pPr>
              <w:spacing w:line="400" w:lineRule="exact"/>
              <w:jc w:val="center"/>
              <w:rPr>
                <w:rFonts w:ascii="宋体" w:hAnsi="宋体" w:cs="仿宋"/>
                <w:sz w:val="24"/>
              </w:rPr>
            </w:pPr>
            <w:r>
              <w:rPr>
                <w:rFonts w:hint="eastAsia" w:ascii="宋体" w:hAnsi="宋体" w:cs="仿宋"/>
                <w:sz w:val="24"/>
              </w:rPr>
              <w:t>序号</w:t>
            </w:r>
          </w:p>
        </w:tc>
        <w:tc>
          <w:tcPr>
            <w:tcW w:w="2159" w:type="dxa"/>
            <w:tcBorders>
              <w:top w:val="single" w:color="auto" w:sz="4" w:space="0"/>
              <w:left w:val="single" w:color="auto" w:sz="4" w:space="0"/>
              <w:bottom w:val="single" w:color="auto" w:sz="4" w:space="0"/>
              <w:right w:val="single" w:color="auto" w:sz="4" w:space="0"/>
            </w:tcBorders>
            <w:vAlign w:val="center"/>
          </w:tcPr>
          <w:p w14:paraId="7E91C392">
            <w:pPr>
              <w:spacing w:line="400" w:lineRule="exact"/>
              <w:jc w:val="center"/>
              <w:rPr>
                <w:rFonts w:ascii="宋体" w:hAnsi="宋体" w:cs="仿宋"/>
                <w:sz w:val="24"/>
              </w:rPr>
            </w:pPr>
            <w:r>
              <w:rPr>
                <w:rFonts w:hint="eastAsia" w:ascii="宋体" w:hAnsi="宋体" w:cs="仿宋"/>
                <w:sz w:val="24"/>
              </w:rPr>
              <w:t>招标文件要求</w:t>
            </w:r>
            <w:r>
              <w:rPr>
                <w:rFonts w:hint="eastAsia" w:ascii="宋体" w:hAnsi="宋体" w:cs="仿宋"/>
                <w:bCs/>
                <w:sz w:val="24"/>
              </w:rPr>
              <w:t>指标</w:t>
            </w:r>
            <w:r>
              <w:rPr>
                <w:rFonts w:hint="eastAsia" w:ascii="宋体" w:hAnsi="宋体" w:cs="仿宋"/>
                <w:sz w:val="24"/>
              </w:rPr>
              <w:t>参数</w:t>
            </w:r>
          </w:p>
        </w:tc>
        <w:tc>
          <w:tcPr>
            <w:tcW w:w="1979" w:type="dxa"/>
            <w:tcBorders>
              <w:top w:val="single" w:color="auto" w:sz="4" w:space="0"/>
              <w:left w:val="single" w:color="auto" w:sz="4" w:space="0"/>
              <w:bottom w:val="single" w:color="auto" w:sz="4" w:space="0"/>
              <w:right w:val="single" w:color="auto" w:sz="4" w:space="0"/>
            </w:tcBorders>
            <w:vAlign w:val="center"/>
          </w:tcPr>
          <w:p w14:paraId="5B55E19B">
            <w:pPr>
              <w:spacing w:line="400" w:lineRule="exact"/>
              <w:jc w:val="center"/>
              <w:rPr>
                <w:rFonts w:ascii="宋体" w:hAnsi="宋体" w:cs="仿宋"/>
                <w:sz w:val="24"/>
              </w:rPr>
            </w:pPr>
            <w:r>
              <w:rPr>
                <w:rFonts w:hint="eastAsia" w:ascii="宋体" w:hAnsi="宋体" w:cs="仿宋"/>
                <w:sz w:val="24"/>
              </w:rPr>
              <w:t>投标货物</w:t>
            </w:r>
          </w:p>
          <w:p w14:paraId="7828F60A">
            <w:pPr>
              <w:spacing w:line="400" w:lineRule="exact"/>
              <w:rPr>
                <w:rFonts w:ascii="宋体" w:hAnsi="宋体" w:cs="仿宋"/>
                <w:sz w:val="24"/>
              </w:rPr>
            </w:pPr>
            <w:r>
              <w:rPr>
                <w:rFonts w:hint="eastAsia" w:ascii="宋体" w:hAnsi="宋体" w:cs="仿宋"/>
                <w:sz w:val="24"/>
              </w:rPr>
              <w:t>实际</w:t>
            </w:r>
            <w:r>
              <w:rPr>
                <w:rFonts w:hint="eastAsia" w:ascii="宋体" w:hAnsi="宋体" w:cs="仿宋"/>
                <w:bCs/>
                <w:sz w:val="24"/>
              </w:rPr>
              <w:t>指标</w:t>
            </w:r>
            <w:r>
              <w:rPr>
                <w:rFonts w:hint="eastAsia" w:ascii="宋体" w:hAnsi="宋体" w:cs="仿宋"/>
                <w:sz w:val="24"/>
              </w:rPr>
              <w:t>参数</w:t>
            </w:r>
          </w:p>
        </w:tc>
        <w:tc>
          <w:tcPr>
            <w:tcW w:w="1799" w:type="dxa"/>
            <w:tcBorders>
              <w:top w:val="single" w:color="auto" w:sz="4" w:space="0"/>
              <w:left w:val="single" w:color="auto" w:sz="4" w:space="0"/>
              <w:bottom w:val="single" w:color="auto" w:sz="4" w:space="0"/>
              <w:right w:val="single" w:color="auto" w:sz="4" w:space="0"/>
            </w:tcBorders>
            <w:vAlign w:val="center"/>
          </w:tcPr>
          <w:p w14:paraId="13C8E6BC">
            <w:pPr>
              <w:spacing w:line="400" w:lineRule="exact"/>
              <w:jc w:val="center"/>
              <w:rPr>
                <w:rFonts w:ascii="宋体" w:hAnsi="宋体" w:cs="仿宋"/>
                <w:sz w:val="24"/>
              </w:rPr>
            </w:pPr>
            <w:r>
              <w:rPr>
                <w:rFonts w:hint="eastAsia" w:ascii="宋体" w:hAnsi="宋体" w:cs="仿宋"/>
                <w:sz w:val="24"/>
              </w:rPr>
              <w:t>偏离情况</w:t>
            </w:r>
          </w:p>
        </w:tc>
        <w:tc>
          <w:tcPr>
            <w:tcW w:w="1619" w:type="dxa"/>
            <w:tcBorders>
              <w:top w:val="single" w:color="auto" w:sz="4" w:space="0"/>
              <w:left w:val="single" w:color="auto" w:sz="4" w:space="0"/>
              <w:bottom w:val="single" w:color="auto" w:sz="4" w:space="0"/>
              <w:right w:val="single" w:color="auto" w:sz="4" w:space="0"/>
            </w:tcBorders>
            <w:vAlign w:val="center"/>
          </w:tcPr>
          <w:p w14:paraId="700456E7">
            <w:pPr>
              <w:spacing w:line="400" w:lineRule="exact"/>
              <w:jc w:val="center"/>
              <w:rPr>
                <w:rFonts w:ascii="宋体" w:hAnsi="宋体" w:cs="仿宋"/>
                <w:sz w:val="24"/>
              </w:rPr>
            </w:pPr>
            <w:r>
              <w:rPr>
                <w:rFonts w:hint="eastAsia" w:ascii="宋体" w:hAnsi="宋体" w:cs="仿宋"/>
                <w:sz w:val="24"/>
              </w:rPr>
              <w:t>偏离原因</w:t>
            </w:r>
          </w:p>
        </w:tc>
      </w:tr>
      <w:tr w14:paraId="7CE1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tcPr>
          <w:p w14:paraId="103CF08D">
            <w:pPr>
              <w:spacing w:line="360" w:lineRule="auto"/>
              <w:jc w:val="center"/>
              <w:rPr>
                <w:rFonts w:ascii="宋体" w:hAnsi="宋体" w:cs="仿宋"/>
                <w:b/>
                <w:bCs/>
                <w:sz w:val="24"/>
              </w:rPr>
            </w:pPr>
          </w:p>
        </w:tc>
        <w:tc>
          <w:tcPr>
            <w:tcW w:w="2159" w:type="dxa"/>
            <w:tcBorders>
              <w:top w:val="single" w:color="auto" w:sz="4" w:space="0"/>
              <w:left w:val="single" w:color="auto" w:sz="4" w:space="0"/>
              <w:bottom w:val="single" w:color="auto" w:sz="4" w:space="0"/>
              <w:right w:val="single" w:color="auto" w:sz="4" w:space="0"/>
            </w:tcBorders>
          </w:tcPr>
          <w:p w14:paraId="204D47D0">
            <w:pPr>
              <w:spacing w:line="360" w:lineRule="auto"/>
              <w:jc w:val="center"/>
              <w:rPr>
                <w:rFonts w:ascii="宋体" w:hAnsi="宋体" w:cs="仿宋"/>
                <w:b/>
                <w:bCs/>
                <w:sz w:val="24"/>
              </w:rPr>
            </w:pPr>
          </w:p>
        </w:tc>
        <w:tc>
          <w:tcPr>
            <w:tcW w:w="1979" w:type="dxa"/>
            <w:tcBorders>
              <w:top w:val="single" w:color="auto" w:sz="4" w:space="0"/>
              <w:left w:val="single" w:color="auto" w:sz="4" w:space="0"/>
              <w:bottom w:val="single" w:color="auto" w:sz="4" w:space="0"/>
              <w:right w:val="single" w:color="auto" w:sz="4" w:space="0"/>
            </w:tcBorders>
          </w:tcPr>
          <w:p w14:paraId="21789943">
            <w:pPr>
              <w:spacing w:line="360" w:lineRule="auto"/>
              <w:jc w:val="center"/>
              <w:rPr>
                <w:rFonts w:ascii="宋体" w:hAnsi="宋体" w:cs="仿宋"/>
                <w:b/>
                <w:bCs/>
                <w:sz w:val="24"/>
              </w:rPr>
            </w:pPr>
          </w:p>
        </w:tc>
        <w:tc>
          <w:tcPr>
            <w:tcW w:w="1799" w:type="dxa"/>
            <w:tcBorders>
              <w:top w:val="single" w:color="auto" w:sz="4" w:space="0"/>
              <w:left w:val="single" w:color="auto" w:sz="4" w:space="0"/>
              <w:bottom w:val="single" w:color="auto" w:sz="4" w:space="0"/>
              <w:right w:val="single" w:color="auto" w:sz="4" w:space="0"/>
            </w:tcBorders>
          </w:tcPr>
          <w:p w14:paraId="75594A0D">
            <w:pPr>
              <w:spacing w:line="360" w:lineRule="auto"/>
              <w:jc w:val="center"/>
              <w:rPr>
                <w:rFonts w:ascii="宋体" w:hAnsi="宋体" w:cs="仿宋"/>
                <w:b/>
                <w:bCs/>
                <w:sz w:val="24"/>
              </w:rPr>
            </w:pPr>
          </w:p>
        </w:tc>
        <w:tc>
          <w:tcPr>
            <w:tcW w:w="1619" w:type="dxa"/>
            <w:tcBorders>
              <w:top w:val="single" w:color="auto" w:sz="4" w:space="0"/>
              <w:left w:val="single" w:color="auto" w:sz="4" w:space="0"/>
              <w:bottom w:val="single" w:color="auto" w:sz="4" w:space="0"/>
              <w:right w:val="single" w:color="auto" w:sz="4" w:space="0"/>
            </w:tcBorders>
          </w:tcPr>
          <w:p w14:paraId="25E5CA24">
            <w:pPr>
              <w:spacing w:line="360" w:lineRule="auto"/>
              <w:jc w:val="center"/>
              <w:rPr>
                <w:rFonts w:ascii="宋体" w:hAnsi="宋体" w:cs="仿宋"/>
                <w:b/>
                <w:bCs/>
                <w:sz w:val="24"/>
              </w:rPr>
            </w:pPr>
          </w:p>
        </w:tc>
      </w:tr>
      <w:tr w14:paraId="6014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tcPr>
          <w:p w14:paraId="3B3C2887">
            <w:pPr>
              <w:spacing w:line="360" w:lineRule="auto"/>
              <w:jc w:val="center"/>
              <w:rPr>
                <w:rFonts w:ascii="宋体" w:hAnsi="宋体" w:cs="仿宋"/>
                <w:b/>
                <w:bCs/>
                <w:sz w:val="24"/>
              </w:rPr>
            </w:pPr>
          </w:p>
        </w:tc>
        <w:tc>
          <w:tcPr>
            <w:tcW w:w="2159" w:type="dxa"/>
            <w:tcBorders>
              <w:top w:val="single" w:color="auto" w:sz="4" w:space="0"/>
              <w:left w:val="single" w:color="auto" w:sz="4" w:space="0"/>
              <w:bottom w:val="single" w:color="auto" w:sz="4" w:space="0"/>
              <w:right w:val="single" w:color="auto" w:sz="4" w:space="0"/>
            </w:tcBorders>
          </w:tcPr>
          <w:p w14:paraId="6A08E6FC">
            <w:pPr>
              <w:spacing w:line="360" w:lineRule="auto"/>
              <w:jc w:val="center"/>
              <w:rPr>
                <w:rFonts w:ascii="宋体" w:hAnsi="宋体" w:cs="仿宋"/>
                <w:b/>
                <w:bCs/>
                <w:sz w:val="24"/>
              </w:rPr>
            </w:pPr>
          </w:p>
        </w:tc>
        <w:tc>
          <w:tcPr>
            <w:tcW w:w="1979" w:type="dxa"/>
            <w:tcBorders>
              <w:top w:val="single" w:color="auto" w:sz="4" w:space="0"/>
              <w:left w:val="single" w:color="auto" w:sz="4" w:space="0"/>
              <w:bottom w:val="single" w:color="auto" w:sz="4" w:space="0"/>
              <w:right w:val="single" w:color="auto" w:sz="4" w:space="0"/>
            </w:tcBorders>
          </w:tcPr>
          <w:p w14:paraId="54F10AFD">
            <w:pPr>
              <w:spacing w:line="360" w:lineRule="auto"/>
              <w:jc w:val="center"/>
              <w:rPr>
                <w:rFonts w:ascii="宋体" w:hAnsi="宋体" w:cs="仿宋"/>
                <w:b/>
                <w:bCs/>
                <w:sz w:val="24"/>
              </w:rPr>
            </w:pPr>
          </w:p>
        </w:tc>
        <w:tc>
          <w:tcPr>
            <w:tcW w:w="1799" w:type="dxa"/>
            <w:tcBorders>
              <w:top w:val="single" w:color="auto" w:sz="4" w:space="0"/>
              <w:left w:val="single" w:color="auto" w:sz="4" w:space="0"/>
              <w:bottom w:val="single" w:color="auto" w:sz="4" w:space="0"/>
              <w:right w:val="single" w:color="auto" w:sz="4" w:space="0"/>
            </w:tcBorders>
          </w:tcPr>
          <w:p w14:paraId="554B1AC6">
            <w:pPr>
              <w:spacing w:line="360" w:lineRule="auto"/>
              <w:jc w:val="center"/>
              <w:rPr>
                <w:rFonts w:ascii="宋体" w:hAnsi="宋体" w:cs="仿宋"/>
                <w:b/>
                <w:bCs/>
                <w:sz w:val="24"/>
              </w:rPr>
            </w:pPr>
          </w:p>
        </w:tc>
        <w:tc>
          <w:tcPr>
            <w:tcW w:w="1619" w:type="dxa"/>
            <w:tcBorders>
              <w:top w:val="single" w:color="auto" w:sz="4" w:space="0"/>
              <w:left w:val="single" w:color="auto" w:sz="4" w:space="0"/>
              <w:bottom w:val="single" w:color="auto" w:sz="4" w:space="0"/>
              <w:right w:val="single" w:color="auto" w:sz="4" w:space="0"/>
            </w:tcBorders>
          </w:tcPr>
          <w:p w14:paraId="4ECF0D15">
            <w:pPr>
              <w:spacing w:line="360" w:lineRule="auto"/>
              <w:jc w:val="center"/>
              <w:rPr>
                <w:rFonts w:ascii="宋体" w:hAnsi="宋体" w:cs="仿宋"/>
                <w:b/>
                <w:bCs/>
                <w:sz w:val="24"/>
              </w:rPr>
            </w:pPr>
          </w:p>
        </w:tc>
      </w:tr>
      <w:tr w14:paraId="0EF2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tcPr>
          <w:p w14:paraId="04D8D0EE">
            <w:pPr>
              <w:spacing w:line="360" w:lineRule="auto"/>
              <w:jc w:val="center"/>
              <w:rPr>
                <w:rFonts w:ascii="宋体" w:hAnsi="宋体" w:cs="仿宋"/>
                <w:b/>
                <w:bCs/>
                <w:sz w:val="24"/>
              </w:rPr>
            </w:pPr>
          </w:p>
        </w:tc>
        <w:tc>
          <w:tcPr>
            <w:tcW w:w="2159" w:type="dxa"/>
            <w:tcBorders>
              <w:top w:val="single" w:color="auto" w:sz="4" w:space="0"/>
              <w:left w:val="single" w:color="auto" w:sz="4" w:space="0"/>
              <w:bottom w:val="single" w:color="auto" w:sz="4" w:space="0"/>
              <w:right w:val="single" w:color="auto" w:sz="4" w:space="0"/>
            </w:tcBorders>
          </w:tcPr>
          <w:p w14:paraId="78874A81">
            <w:pPr>
              <w:spacing w:line="360" w:lineRule="auto"/>
              <w:jc w:val="center"/>
              <w:rPr>
                <w:rFonts w:ascii="宋体" w:hAnsi="宋体" w:cs="仿宋"/>
                <w:b/>
                <w:bCs/>
                <w:sz w:val="24"/>
              </w:rPr>
            </w:pPr>
          </w:p>
        </w:tc>
        <w:tc>
          <w:tcPr>
            <w:tcW w:w="1979" w:type="dxa"/>
            <w:tcBorders>
              <w:top w:val="single" w:color="auto" w:sz="4" w:space="0"/>
              <w:left w:val="single" w:color="auto" w:sz="4" w:space="0"/>
              <w:bottom w:val="single" w:color="auto" w:sz="4" w:space="0"/>
              <w:right w:val="single" w:color="auto" w:sz="4" w:space="0"/>
            </w:tcBorders>
          </w:tcPr>
          <w:p w14:paraId="062A7EF2">
            <w:pPr>
              <w:spacing w:line="360" w:lineRule="auto"/>
              <w:jc w:val="center"/>
              <w:rPr>
                <w:rFonts w:ascii="宋体" w:hAnsi="宋体" w:cs="仿宋"/>
                <w:b/>
                <w:bCs/>
                <w:sz w:val="24"/>
              </w:rPr>
            </w:pPr>
          </w:p>
        </w:tc>
        <w:tc>
          <w:tcPr>
            <w:tcW w:w="1799" w:type="dxa"/>
            <w:tcBorders>
              <w:top w:val="single" w:color="auto" w:sz="4" w:space="0"/>
              <w:left w:val="single" w:color="auto" w:sz="4" w:space="0"/>
              <w:bottom w:val="single" w:color="auto" w:sz="4" w:space="0"/>
              <w:right w:val="single" w:color="auto" w:sz="4" w:space="0"/>
            </w:tcBorders>
          </w:tcPr>
          <w:p w14:paraId="79F50163">
            <w:pPr>
              <w:spacing w:line="360" w:lineRule="auto"/>
              <w:jc w:val="center"/>
              <w:rPr>
                <w:rFonts w:ascii="宋体" w:hAnsi="宋体" w:cs="仿宋"/>
                <w:b/>
                <w:bCs/>
                <w:sz w:val="24"/>
              </w:rPr>
            </w:pPr>
          </w:p>
        </w:tc>
        <w:tc>
          <w:tcPr>
            <w:tcW w:w="1619" w:type="dxa"/>
            <w:tcBorders>
              <w:top w:val="single" w:color="auto" w:sz="4" w:space="0"/>
              <w:left w:val="single" w:color="auto" w:sz="4" w:space="0"/>
              <w:bottom w:val="single" w:color="auto" w:sz="4" w:space="0"/>
              <w:right w:val="single" w:color="auto" w:sz="4" w:space="0"/>
            </w:tcBorders>
          </w:tcPr>
          <w:p w14:paraId="70E9F8AE">
            <w:pPr>
              <w:spacing w:line="360" w:lineRule="auto"/>
              <w:jc w:val="center"/>
              <w:rPr>
                <w:rFonts w:ascii="宋体" w:hAnsi="宋体" w:cs="仿宋"/>
                <w:b/>
                <w:bCs/>
                <w:sz w:val="24"/>
              </w:rPr>
            </w:pPr>
          </w:p>
        </w:tc>
      </w:tr>
      <w:tr w14:paraId="0CB7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tcPr>
          <w:p w14:paraId="2E5EA655">
            <w:pPr>
              <w:spacing w:line="360" w:lineRule="auto"/>
              <w:jc w:val="center"/>
              <w:rPr>
                <w:rFonts w:ascii="宋体" w:hAnsi="宋体" w:cs="仿宋"/>
                <w:b/>
                <w:bCs/>
                <w:sz w:val="24"/>
              </w:rPr>
            </w:pPr>
          </w:p>
        </w:tc>
        <w:tc>
          <w:tcPr>
            <w:tcW w:w="2159" w:type="dxa"/>
            <w:tcBorders>
              <w:top w:val="single" w:color="auto" w:sz="4" w:space="0"/>
              <w:left w:val="single" w:color="auto" w:sz="4" w:space="0"/>
              <w:bottom w:val="single" w:color="auto" w:sz="4" w:space="0"/>
              <w:right w:val="single" w:color="auto" w:sz="4" w:space="0"/>
            </w:tcBorders>
          </w:tcPr>
          <w:p w14:paraId="19D6FEFB">
            <w:pPr>
              <w:spacing w:line="360" w:lineRule="auto"/>
              <w:jc w:val="center"/>
              <w:rPr>
                <w:rFonts w:ascii="宋体" w:hAnsi="宋体" w:cs="仿宋"/>
                <w:b/>
                <w:bCs/>
                <w:sz w:val="24"/>
              </w:rPr>
            </w:pPr>
          </w:p>
        </w:tc>
        <w:tc>
          <w:tcPr>
            <w:tcW w:w="1979" w:type="dxa"/>
            <w:tcBorders>
              <w:top w:val="single" w:color="auto" w:sz="4" w:space="0"/>
              <w:left w:val="single" w:color="auto" w:sz="4" w:space="0"/>
              <w:bottom w:val="single" w:color="auto" w:sz="4" w:space="0"/>
              <w:right w:val="single" w:color="auto" w:sz="4" w:space="0"/>
            </w:tcBorders>
          </w:tcPr>
          <w:p w14:paraId="0C00C373">
            <w:pPr>
              <w:spacing w:line="360" w:lineRule="auto"/>
              <w:jc w:val="center"/>
              <w:rPr>
                <w:rFonts w:ascii="宋体" w:hAnsi="宋体" w:cs="仿宋"/>
                <w:b/>
                <w:bCs/>
                <w:sz w:val="24"/>
              </w:rPr>
            </w:pPr>
          </w:p>
        </w:tc>
        <w:tc>
          <w:tcPr>
            <w:tcW w:w="1799" w:type="dxa"/>
            <w:tcBorders>
              <w:top w:val="single" w:color="auto" w:sz="4" w:space="0"/>
              <w:left w:val="single" w:color="auto" w:sz="4" w:space="0"/>
              <w:bottom w:val="single" w:color="auto" w:sz="4" w:space="0"/>
              <w:right w:val="single" w:color="auto" w:sz="4" w:space="0"/>
            </w:tcBorders>
          </w:tcPr>
          <w:p w14:paraId="3A8BCB82">
            <w:pPr>
              <w:spacing w:line="360" w:lineRule="auto"/>
              <w:jc w:val="center"/>
              <w:rPr>
                <w:rFonts w:ascii="宋体" w:hAnsi="宋体" w:cs="仿宋"/>
                <w:b/>
                <w:bCs/>
                <w:sz w:val="24"/>
              </w:rPr>
            </w:pPr>
          </w:p>
        </w:tc>
        <w:tc>
          <w:tcPr>
            <w:tcW w:w="1619" w:type="dxa"/>
            <w:tcBorders>
              <w:top w:val="single" w:color="auto" w:sz="4" w:space="0"/>
              <w:left w:val="single" w:color="auto" w:sz="4" w:space="0"/>
              <w:bottom w:val="single" w:color="auto" w:sz="4" w:space="0"/>
              <w:right w:val="single" w:color="auto" w:sz="4" w:space="0"/>
            </w:tcBorders>
          </w:tcPr>
          <w:p w14:paraId="631AFE12">
            <w:pPr>
              <w:spacing w:line="360" w:lineRule="auto"/>
              <w:jc w:val="center"/>
              <w:rPr>
                <w:rFonts w:ascii="宋体" w:hAnsi="宋体" w:cs="仿宋"/>
                <w:b/>
                <w:bCs/>
                <w:sz w:val="24"/>
              </w:rPr>
            </w:pPr>
          </w:p>
        </w:tc>
      </w:tr>
      <w:tr w14:paraId="2E3F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tcPr>
          <w:p w14:paraId="17242936">
            <w:pPr>
              <w:spacing w:line="360" w:lineRule="auto"/>
              <w:jc w:val="center"/>
              <w:rPr>
                <w:rFonts w:ascii="宋体" w:hAnsi="宋体" w:cs="仿宋"/>
                <w:b/>
                <w:bCs/>
                <w:sz w:val="24"/>
              </w:rPr>
            </w:pPr>
          </w:p>
        </w:tc>
        <w:tc>
          <w:tcPr>
            <w:tcW w:w="2159" w:type="dxa"/>
            <w:tcBorders>
              <w:top w:val="single" w:color="auto" w:sz="4" w:space="0"/>
              <w:left w:val="single" w:color="auto" w:sz="4" w:space="0"/>
              <w:bottom w:val="single" w:color="auto" w:sz="4" w:space="0"/>
              <w:right w:val="single" w:color="auto" w:sz="4" w:space="0"/>
            </w:tcBorders>
          </w:tcPr>
          <w:p w14:paraId="7AC57631">
            <w:pPr>
              <w:spacing w:line="360" w:lineRule="auto"/>
              <w:jc w:val="center"/>
              <w:rPr>
                <w:rFonts w:ascii="宋体" w:hAnsi="宋体" w:cs="仿宋"/>
                <w:b/>
                <w:bCs/>
                <w:sz w:val="24"/>
              </w:rPr>
            </w:pPr>
          </w:p>
        </w:tc>
        <w:tc>
          <w:tcPr>
            <w:tcW w:w="1979" w:type="dxa"/>
            <w:tcBorders>
              <w:top w:val="single" w:color="auto" w:sz="4" w:space="0"/>
              <w:left w:val="single" w:color="auto" w:sz="4" w:space="0"/>
              <w:bottom w:val="single" w:color="auto" w:sz="4" w:space="0"/>
              <w:right w:val="single" w:color="auto" w:sz="4" w:space="0"/>
            </w:tcBorders>
          </w:tcPr>
          <w:p w14:paraId="7BBEFAC0">
            <w:pPr>
              <w:spacing w:line="360" w:lineRule="auto"/>
              <w:jc w:val="center"/>
              <w:rPr>
                <w:rFonts w:ascii="宋体" w:hAnsi="宋体" w:cs="仿宋"/>
                <w:b/>
                <w:bCs/>
                <w:sz w:val="24"/>
              </w:rPr>
            </w:pPr>
          </w:p>
        </w:tc>
        <w:tc>
          <w:tcPr>
            <w:tcW w:w="1799" w:type="dxa"/>
            <w:tcBorders>
              <w:top w:val="single" w:color="auto" w:sz="4" w:space="0"/>
              <w:left w:val="single" w:color="auto" w:sz="4" w:space="0"/>
              <w:bottom w:val="single" w:color="auto" w:sz="4" w:space="0"/>
              <w:right w:val="single" w:color="auto" w:sz="4" w:space="0"/>
            </w:tcBorders>
          </w:tcPr>
          <w:p w14:paraId="0948EB95">
            <w:pPr>
              <w:spacing w:line="360" w:lineRule="auto"/>
              <w:jc w:val="center"/>
              <w:rPr>
                <w:rFonts w:ascii="宋体" w:hAnsi="宋体" w:cs="仿宋"/>
                <w:b/>
                <w:bCs/>
                <w:sz w:val="24"/>
              </w:rPr>
            </w:pPr>
          </w:p>
        </w:tc>
        <w:tc>
          <w:tcPr>
            <w:tcW w:w="1619" w:type="dxa"/>
            <w:tcBorders>
              <w:top w:val="single" w:color="auto" w:sz="4" w:space="0"/>
              <w:left w:val="single" w:color="auto" w:sz="4" w:space="0"/>
              <w:bottom w:val="single" w:color="auto" w:sz="4" w:space="0"/>
              <w:right w:val="single" w:color="auto" w:sz="4" w:space="0"/>
            </w:tcBorders>
          </w:tcPr>
          <w:p w14:paraId="66E0924D">
            <w:pPr>
              <w:spacing w:line="360" w:lineRule="auto"/>
              <w:jc w:val="center"/>
              <w:rPr>
                <w:rFonts w:ascii="宋体" w:hAnsi="宋体" w:cs="仿宋"/>
                <w:b/>
                <w:bCs/>
                <w:sz w:val="24"/>
              </w:rPr>
            </w:pPr>
          </w:p>
        </w:tc>
      </w:tr>
      <w:tr w14:paraId="5483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tcPr>
          <w:p w14:paraId="3DD5B10B">
            <w:pPr>
              <w:spacing w:line="360" w:lineRule="auto"/>
              <w:jc w:val="center"/>
              <w:rPr>
                <w:rFonts w:ascii="宋体" w:hAnsi="宋体" w:cs="仿宋"/>
                <w:b/>
                <w:bCs/>
                <w:sz w:val="24"/>
              </w:rPr>
            </w:pPr>
          </w:p>
        </w:tc>
        <w:tc>
          <w:tcPr>
            <w:tcW w:w="2159" w:type="dxa"/>
            <w:tcBorders>
              <w:top w:val="single" w:color="auto" w:sz="4" w:space="0"/>
              <w:left w:val="single" w:color="auto" w:sz="4" w:space="0"/>
              <w:bottom w:val="single" w:color="auto" w:sz="4" w:space="0"/>
              <w:right w:val="single" w:color="auto" w:sz="4" w:space="0"/>
            </w:tcBorders>
          </w:tcPr>
          <w:p w14:paraId="5224EB0D">
            <w:pPr>
              <w:spacing w:line="360" w:lineRule="auto"/>
              <w:jc w:val="center"/>
              <w:rPr>
                <w:rFonts w:ascii="宋体" w:hAnsi="宋体" w:cs="仿宋"/>
                <w:b/>
                <w:bCs/>
                <w:sz w:val="24"/>
              </w:rPr>
            </w:pPr>
          </w:p>
        </w:tc>
        <w:tc>
          <w:tcPr>
            <w:tcW w:w="1979" w:type="dxa"/>
            <w:tcBorders>
              <w:top w:val="single" w:color="auto" w:sz="4" w:space="0"/>
              <w:left w:val="single" w:color="auto" w:sz="4" w:space="0"/>
              <w:bottom w:val="single" w:color="auto" w:sz="4" w:space="0"/>
              <w:right w:val="single" w:color="auto" w:sz="4" w:space="0"/>
            </w:tcBorders>
          </w:tcPr>
          <w:p w14:paraId="24054692">
            <w:pPr>
              <w:spacing w:line="360" w:lineRule="auto"/>
              <w:jc w:val="center"/>
              <w:rPr>
                <w:rFonts w:ascii="宋体" w:hAnsi="宋体" w:cs="仿宋"/>
                <w:b/>
                <w:bCs/>
                <w:sz w:val="24"/>
              </w:rPr>
            </w:pPr>
          </w:p>
        </w:tc>
        <w:tc>
          <w:tcPr>
            <w:tcW w:w="1799" w:type="dxa"/>
            <w:tcBorders>
              <w:top w:val="single" w:color="auto" w:sz="4" w:space="0"/>
              <w:left w:val="single" w:color="auto" w:sz="4" w:space="0"/>
              <w:bottom w:val="single" w:color="auto" w:sz="4" w:space="0"/>
              <w:right w:val="single" w:color="auto" w:sz="4" w:space="0"/>
            </w:tcBorders>
          </w:tcPr>
          <w:p w14:paraId="74767CFC">
            <w:pPr>
              <w:spacing w:line="360" w:lineRule="auto"/>
              <w:jc w:val="center"/>
              <w:rPr>
                <w:rFonts w:ascii="宋体" w:hAnsi="宋体" w:cs="仿宋"/>
                <w:b/>
                <w:bCs/>
                <w:sz w:val="24"/>
              </w:rPr>
            </w:pPr>
          </w:p>
        </w:tc>
        <w:tc>
          <w:tcPr>
            <w:tcW w:w="1619" w:type="dxa"/>
            <w:tcBorders>
              <w:top w:val="single" w:color="auto" w:sz="4" w:space="0"/>
              <w:left w:val="single" w:color="auto" w:sz="4" w:space="0"/>
              <w:bottom w:val="single" w:color="auto" w:sz="4" w:space="0"/>
              <w:right w:val="single" w:color="auto" w:sz="4" w:space="0"/>
            </w:tcBorders>
          </w:tcPr>
          <w:p w14:paraId="7FDE153B">
            <w:pPr>
              <w:spacing w:line="360" w:lineRule="auto"/>
              <w:jc w:val="center"/>
              <w:rPr>
                <w:rFonts w:ascii="宋体" w:hAnsi="宋体" w:cs="仿宋"/>
                <w:b/>
                <w:bCs/>
                <w:sz w:val="24"/>
              </w:rPr>
            </w:pPr>
          </w:p>
        </w:tc>
      </w:tr>
      <w:tr w14:paraId="527A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tcPr>
          <w:p w14:paraId="06CEB91E">
            <w:pPr>
              <w:spacing w:line="360" w:lineRule="auto"/>
              <w:jc w:val="center"/>
              <w:rPr>
                <w:rFonts w:ascii="宋体" w:hAnsi="宋体" w:cs="仿宋"/>
                <w:b/>
                <w:bCs/>
                <w:sz w:val="24"/>
              </w:rPr>
            </w:pPr>
          </w:p>
        </w:tc>
        <w:tc>
          <w:tcPr>
            <w:tcW w:w="2159" w:type="dxa"/>
            <w:tcBorders>
              <w:top w:val="single" w:color="auto" w:sz="4" w:space="0"/>
              <w:left w:val="single" w:color="auto" w:sz="4" w:space="0"/>
              <w:bottom w:val="single" w:color="auto" w:sz="4" w:space="0"/>
              <w:right w:val="single" w:color="auto" w:sz="4" w:space="0"/>
            </w:tcBorders>
          </w:tcPr>
          <w:p w14:paraId="784DFE62">
            <w:pPr>
              <w:spacing w:line="360" w:lineRule="auto"/>
              <w:jc w:val="center"/>
              <w:rPr>
                <w:rFonts w:ascii="宋体" w:hAnsi="宋体" w:cs="仿宋"/>
                <w:b/>
                <w:bCs/>
                <w:sz w:val="24"/>
              </w:rPr>
            </w:pPr>
          </w:p>
        </w:tc>
        <w:tc>
          <w:tcPr>
            <w:tcW w:w="1979" w:type="dxa"/>
            <w:tcBorders>
              <w:top w:val="single" w:color="auto" w:sz="4" w:space="0"/>
              <w:left w:val="single" w:color="auto" w:sz="4" w:space="0"/>
              <w:bottom w:val="single" w:color="auto" w:sz="4" w:space="0"/>
              <w:right w:val="single" w:color="auto" w:sz="4" w:space="0"/>
            </w:tcBorders>
          </w:tcPr>
          <w:p w14:paraId="764B1BC4">
            <w:pPr>
              <w:spacing w:line="360" w:lineRule="auto"/>
              <w:jc w:val="center"/>
              <w:rPr>
                <w:rFonts w:ascii="宋体" w:hAnsi="宋体" w:cs="仿宋"/>
                <w:b/>
                <w:bCs/>
                <w:sz w:val="24"/>
              </w:rPr>
            </w:pPr>
          </w:p>
        </w:tc>
        <w:tc>
          <w:tcPr>
            <w:tcW w:w="1799" w:type="dxa"/>
            <w:tcBorders>
              <w:top w:val="single" w:color="auto" w:sz="4" w:space="0"/>
              <w:left w:val="single" w:color="auto" w:sz="4" w:space="0"/>
              <w:bottom w:val="single" w:color="auto" w:sz="4" w:space="0"/>
              <w:right w:val="single" w:color="auto" w:sz="4" w:space="0"/>
            </w:tcBorders>
          </w:tcPr>
          <w:p w14:paraId="69DC1496">
            <w:pPr>
              <w:spacing w:line="360" w:lineRule="auto"/>
              <w:jc w:val="center"/>
              <w:rPr>
                <w:rFonts w:ascii="宋体" w:hAnsi="宋体" w:cs="仿宋"/>
                <w:b/>
                <w:bCs/>
                <w:sz w:val="24"/>
              </w:rPr>
            </w:pPr>
          </w:p>
        </w:tc>
        <w:tc>
          <w:tcPr>
            <w:tcW w:w="1619" w:type="dxa"/>
            <w:tcBorders>
              <w:top w:val="single" w:color="auto" w:sz="4" w:space="0"/>
              <w:left w:val="single" w:color="auto" w:sz="4" w:space="0"/>
              <w:bottom w:val="single" w:color="auto" w:sz="4" w:space="0"/>
              <w:right w:val="single" w:color="auto" w:sz="4" w:space="0"/>
            </w:tcBorders>
          </w:tcPr>
          <w:p w14:paraId="2242052F">
            <w:pPr>
              <w:spacing w:line="360" w:lineRule="auto"/>
              <w:jc w:val="center"/>
              <w:rPr>
                <w:rFonts w:ascii="宋体" w:hAnsi="宋体" w:cs="仿宋"/>
                <w:b/>
                <w:bCs/>
                <w:sz w:val="24"/>
              </w:rPr>
            </w:pPr>
          </w:p>
        </w:tc>
      </w:tr>
      <w:tr w14:paraId="5FBF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tcPr>
          <w:p w14:paraId="69B6E750">
            <w:pPr>
              <w:spacing w:line="360" w:lineRule="auto"/>
              <w:rPr>
                <w:rFonts w:ascii="宋体" w:hAnsi="宋体" w:cs="仿宋"/>
                <w:b/>
                <w:bCs/>
                <w:sz w:val="24"/>
              </w:rPr>
            </w:pPr>
          </w:p>
        </w:tc>
        <w:tc>
          <w:tcPr>
            <w:tcW w:w="2159" w:type="dxa"/>
            <w:tcBorders>
              <w:top w:val="single" w:color="auto" w:sz="4" w:space="0"/>
              <w:left w:val="single" w:color="auto" w:sz="4" w:space="0"/>
              <w:bottom w:val="single" w:color="auto" w:sz="4" w:space="0"/>
              <w:right w:val="single" w:color="auto" w:sz="4" w:space="0"/>
            </w:tcBorders>
          </w:tcPr>
          <w:p w14:paraId="3DE11EFC">
            <w:pPr>
              <w:spacing w:line="360" w:lineRule="auto"/>
              <w:jc w:val="center"/>
              <w:rPr>
                <w:rFonts w:ascii="宋体" w:hAnsi="宋体" w:cs="仿宋"/>
                <w:b/>
                <w:bCs/>
                <w:sz w:val="24"/>
              </w:rPr>
            </w:pPr>
          </w:p>
        </w:tc>
        <w:tc>
          <w:tcPr>
            <w:tcW w:w="1979" w:type="dxa"/>
            <w:tcBorders>
              <w:top w:val="single" w:color="auto" w:sz="4" w:space="0"/>
              <w:left w:val="single" w:color="auto" w:sz="4" w:space="0"/>
              <w:bottom w:val="single" w:color="auto" w:sz="4" w:space="0"/>
              <w:right w:val="single" w:color="auto" w:sz="4" w:space="0"/>
            </w:tcBorders>
          </w:tcPr>
          <w:p w14:paraId="4382A83E">
            <w:pPr>
              <w:spacing w:line="360" w:lineRule="auto"/>
              <w:jc w:val="center"/>
              <w:rPr>
                <w:rFonts w:ascii="宋体" w:hAnsi="宋体" w:cs="仿宋"/>
                <w:b/>
                <w:bCs/>
                <w:sz w:val="24"/>
              </w:rPr>
            </w:pPr>
          </w:p>
        </w:tc>
        <w:tc>
          <w:tcPr>
            <w:tcW w:w="1799" w:type="dxa"/>
            <w:tcBorders>
              <w:top w:val="single" w:color="auto" w:sz="4" w:space="0"/>
              <w:left w:val="single" w:color="auto" w:sz="4" w:space="0"/>
              <w:bottom w:val="single" w:color="auto" w:sz="4" w:space="0"/>
              <w:right w:val="single" w:color="auto" w:sz="4" w:space="0"/>
            </w:tcBorders>
          </w:tcPr>
          <w:p w14:paraId="0A77B1AB">
            <w:pPr>
              <w:spacing w:line="360" w:lineRule="auto"/>
              <w:jc w:val="center"/>
              <w:rPr>
                <w:rFonts w:ascii="宋体" w:hAnsi="宋体" w:cs="仿宋"/>
                <w:b/>
                <w:bCs/>
                <w:sz w:val="24"/>
              </w:rPr>
            </w:pPr>
          </w:p>
        </w:tc>
        <w:tc>
          <w:tcPr>
            <w:tcW w:w="1619" w:type="dxa"/>
            <w:tcBorders>
              <w:top w:val="single" w:color="auto" w:sz="4" w:space="0"/>
              <w:left w:val="single" w:color="auto" w:sz="4" w:space="0"/>
              <w:bottom w:val="single" w:color="auto" w:sz="4" w:space="0"/>
              <w:right w:val="single" w:color="auto" w:sz="4" w:space="0"/>
            </w:tcBorders>
          </w:tcPr>
          <w:p w14:paraId="74D1CF52">
            <w:pPr>
              <w:spacing w:line="360" w:lineRule="auto"/>
              <w:jc w:val="center"/>
              <w:rPr>
                <w:rFonts w:ascii="宋体" w:hAnsi="宋体" w:cs="仿宋"/>
                <w:b/>
                <w:bCs/>
                <w:sz w:val="24"/>
              </w:rPr>
            </w:pPr>
          </w:p>
        </w:tc>
      </w:tr>
      <w:tr w14:paraId="0CB1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tcPr>
          <w:p w14:paraId="5AEF0954">
            <w:pPr>
              <w:spacing w:line="360" w:lineRule="auto"/>
              <w:rPr>
                <w:rFonts w:ascii="宋体" w:hAnsi="宋体" w:cs="仿宋"/>
                <w:b/>
                <w:bCs/>
                <w:sz w:val="24"/>
              </w:rPr>
            </w:pPr>
          </w:p>
        </w:tc>
        <w:tc>
          <w:tcPr>
            <w:tcW w:w="2159" w:type="dxa"/>
            <w:tcBorders>
              <w:top w:val="single" w:color="auto" w:sz="4" w:space="0"/>
              <w:left w:val="single" w:color="auto" w:sz="4" w:space="0"/>
              <w:bottom w:val="single" w:color="auto" w:sz="4" w:space="0"/>
              <w:right w:val="single" w:color="auto" w:sz="4" w:space="0"/>
            </w:tcBorders>
          </w:tcPr>
          <w:p w14:paraId="1B0FC283">
            <w:pPr>
              <w:spacing w:line="360" w:lineRule="auto"/>
              <w:jc w:val="center"/>
              <w:rPr>
                <w:rFonts w:ascii="宋体" w:hAnsi="宋体" w:cs="仿宋"/>
                <w:b/>
                <w:bCs/>
                <w:sz w:val="24"/>
              </w:rPr>
            </w:pPr>
          </w:p>
        </w:tc>
        <w:tc>
          <w:tcPr>
            <w:tcW w:w="1979" w:type="dxa"/>
            <w:tcBorders>
              <w:top w:val="single" w:color="auto" w:sz="4" w:space="0"/>
              <w:left w:val="single" w:color="auto" w:sz="4" w:space="0"/>
              <w:bottom w:val="single" w:color="auto" w:sz="4" w:space="0"/>
              <w:right w:val="single" w:color="auto" w:sz="4" w:space="0"/>
            </w:tcBorders>
          </w:tcPr>
          <w:p w14:paraId="7BFBB9D1">
            <w:pPr>
              <w:spacing w:line="360" w:lineRule="auto"/>
              <w:jc w:val="center"/>
              <w:rPr>
                <w:rFonts w:ascii="宋体" w:hAnsi="宋体" w:cs="仿宋"/>
                <w:b/>
                <w:bCs/>
                <w:sz w:val="24"/>
              </w:rPr>
            </w:pPr>
          </w:p>
        </w:tc>
        <w:tc>
          <w:tcPr>
            <w:tcW w:w="1799" w:type="dxa"/>
            <w:tcBorders>
              <w:top w:val="single" w:color="auto" w:sz="4" w:space="0"/>
              <w:left w:val="single" w:color="auto" w:sz="4" w:space="0"/>
              <w:bottom w:val="single" w:color="auto" w:sz="4" w:space="0"/>
              <w:right w:val="single" w:color="auto" w:sz="4" w:space="0"/>
            </w:tcBorders>
          </w:tcPr>
          <w:p w14:paraId="30583ED4">
            <w:pPr>
              <w:spacing w:line="360" w:lineRule="auto"/>
              <w:jc w:val="center"/>
              <w:rPr>
                <w:rFonts w:ascii="宋体" w:hAnsi="宋体" w:cs="仿宋"/>
                <w:b/>
                <w:bCs/>
                <w:sz w:val="24"/>
              </w:rPr>
            </w:pPr>
          </w:p>
        </w:tc>
        <w:tc>
          <w:tcPr>
            <w:tcW w:w="1619" w:type="dxa"/>
            <w:tcBorders>
              <w:top w:val="single" w:color="auto" w:sz="4" w:space="0"/>
              <w:left w:val="single" w:color="auto" w:sz="4" w:space="0"/>
              <w:bottom w:val="single" w:color="auto" w:sz="4" w:space="0"/>
              <w:right w:val="single" w:color="auto" w:sz="4" w:space="0"/>
            </w:tcBorders>
          </w:tcPr>
          <w:p w14:paraId="7D029EDF">
            <w:pPr>
              <w:spacing w:line="360" w:lineRule="auto"/>
              <w:jc w:val="center"/>
              <w:rPr>
                <w:rFonts w:ascii="宋体" w:hAnsi="宋体" w:cs="仿宋"/>
                <w:b/>
                <w:bCs/>
                <w:sz w:val="24"/>
              </w:rPr>
            </w:pPr>
          </w:p>
        </w:tc>
      </w:tr>
      <w:tr w14:paraId="092C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tcPr>
          <w:p w14:paraId="18BB5FB0">
            <w:pPr>
              <w:spacing w:line="360" w:lineRule="auto"/>
              <w:rPr>
                <w:rFonts w:ascii="宋体" w:hAnsi="宋体" w:cs="仿宋"/>
                <w:b/>
                <w:bCs/>
                <w:sz w:val="24"/>
              </w:rPr>
            </w:pPr>
          </w:p>
        </w:tc>
        <w:tc>
          <w:tcPr>
            <w:tcW w:w="2159" w:type="dxa"/>
            <w:tcBorders>
              <w:top w:val="single" w:color="auto" w:sz="4" w:space="0"/>
              <w:left w:val="single" w:color="auto" w:sz="4" w:space="0"/>
              <w:bottom w:val="single" w:color="auto" w:sz="4" w:space="0"/>
              <w:right w:val="single" w:color="auto" w:sz="4" w:space="0"/>
            </w:tcBorders>
          </w:tcPr>
          <w:p w14:paraId="4E6F4472">
            <w:pPr>
              <w:spacing w:line="360" w:lineRule="auto"/>
              <w:jc w:val="center"/>
              <w:rPr>
                <w:rFonts w:ascii="宋体" w:hAnsi="宋体" w:cs="仿宋"/>
                <w:b/>
                <w:bCs/>
                <w:sz w:val="24"/>
              </w:rPr>
            </w:pPr>
          </w:p>
        </w:tc>
        <w:tc>
          <w:tcPr>
            <w:tcW w:w="1979" w:type="dxa"/>
            <w:tcBorders>
              <w:top w:val="single" w:color="auto" w:sz="4" w:space="0"/>
              <w:left w:val="single" w:color="auto" w:sz="4" w:space="0"/>
              <w:bottom w:val="single" w:color="auto" w:sz="4" w:space="0"/>
              <w:right w:val="single" w:color="auto" w:sz="4" w:space="0"/>
            </w:tcBorders>
          </w:tcPr>
          <w:p w14:paraId="536BA2BF">
            <w:pPr>
              <w:spacing w:line="360" w:lineRule="auto"/>
              <w:jc w:val="center"/>
              <w:rPr>
                <w:rFonts w:ascii="宋体" w:hAnsi="宋体" w:cs="仿宋"/>
                <w:b/>
                <w:bCs/>
                <w:sz w:val="24"/>
              </w:rPr>
            </w:pPr>
          </w:p>
        </w:tc>
        <w:tc>
          <w:tcPr>
            <w:tcW w:w="1799" w:type="dxa"/>
            <w:tcBorders>
              <w:top w:val="single" w:color="auto" w:sz="4" w:space="0"/>
              <w:left w:val="single" w:color="auto" w:sz="4" w:space="0"/>
              <w:bottom w:val="single" w:color="auto" w:sz="4" w:space="0"/>
              <w:right w:val="single" w:color="auto" w:sz="4" w:space="0"/>
            </w:tcBorders>
          </w:tcPr>
          <w:p w14:paraId="5A22E15D">
            <w:pPr>
              <w:spacing w:line="360" w:lineRule="auto"/>
              <w:jc w:val="center"/>
              <w:rPr>
                <w:rFonts w:ascii="宋体" w:hAnsi="宋体" w:cs="仿宋"/>
                <w:b/>
                <w:bCs/>
                <w:sz w:val="24"/>
              </w:rPr>
            </w:pPr>
          </w:p>
        </w:tc>
        <w:tc>
          <w:tcPr>
            <w:tcW w:w="1619" w:type="dxa"/>
            <w:tcBorders>
              <w:top w:val="single" w:color="auto" w:sz="4" w:space="0"/>
              <w:left w:val="single" w:color="auto" w:sz="4" w:space="0"/>
              <w:bottom w:val="single" w:color="auto" w:sz="4" w:space="0"/>
              <w:right w:val="single" w:color="auto" w:sz="4" w:space="0"/>
            </w:tcBorders>
          </w:tcPr>
          <w:p w14:paraId="4453CA5C">
            <w:pPr>
              <w:spacing w:line="360" w:lineRule="auto"/>
              <w:jc w:val="center"/>
              <w:rPr>
                <w:rFonts w:ascii="宋体" w:hAnsi="宋体" w:cs="仿宋"/>
                <w:b/>
                <w:bCs/>
                <w:sz w:val="24"/>
              </w:rPr>
            </w:pPr>
          </w:p>
        </w:tc>
      </w:tr>
      <w:tr w14:paraId="7F37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tcPr>
          <w:p w14:paraId="18BB9790">
            <w:pPr>
              <w:spacing w:line="360" w:lineRule="auto"/>
              <w:rPr>
                <w:rFonts w:ascii="宋体" w:hAnsi="宋体" w:cs="仿宋"/>
                <w:b/>
                <w:bCs/>
                <w:sz w:val="24"/>
              </w:rPr>
            </w:pPr>
          </w:p>
        </w:tc>
        <w:tc>
          <w:tcPr>
            <w:tcW w:w="2159" w:type="dxa"/>
            <w:tcBorders>
              <w:top w:val="single" w:color="auto" w:sz="4" w:space="0"/>
              <w:left w:val="single" w:color="auto" w:sz="4" w:space="0"/>
              <w:bottom w:val="single" w:color="auto" w:sz="4" w:space="0"/>
              <w:right w:val="single" w:color="auto" w:sz="4" w:space="0"/>
            </w:tcBorders>
          </w:tcPr>
          <w:p w14:paraId="169AE2F1">
            <w:pPr>
              <w:spacing w:line="360" w:lineRule="auto"/>
              <w:jc w:val="center"/>
              <w:rPr>
                <w:rFonts w:ascii="宋体" w:hAnsi="宋体" w:cs="仿宋"/>
                <w:b/>
                <w:bCs/>
                <w:sz w:val="24"/>
              </w:rPr>
            </w:pPr>
          </w:p>
        </w:tc>
        <w:tc>
          <w:tcPr>
            <w:tcW w:w="1979" w:type="dxa"/>
            <w:tcBorders>
              <w:top w:val="single" w:color="auto" w:sz="4" w:space="0"/>
              <w:left w:val="single" w:color="auto" w:sz="4" w:space="0"/>
              <w:bottom w:val="single" w:color="auto" w:sz="4" w:space="0"/>
              <w:right w:val="single" w:color="auto" w:sz="4" w:space="0"/>
            </w:tcBorders>
          </w:tcPr>
          <w:p w14:paraId="0C3D630E">
            <w:pPr>
              <w:spacing w:line="360" w:lineRule="auto"/>
              <w:jc w:val="center"/>
              <w:rPr>
                <w:rFonts w:ascii="宋体" w:hAnsi="宋体" w:cs="仿宋"/>
                <w:b/>
                <w:bCs/>
                <w:sz w:val="24"/>
              </w:rPr>
            </w:pPr>
          </w:p>
        </w:tc>
        <w:tc>
          <w:tcPr>
            <w:tcW w:w="1799" w:type="dxa"/>
            <w:tcBorders>
              <w:top w:val="single" w:color="auto" w:sz="4" w:space="0"/>
              <w:left w:val="single" w:color="auto" w:sz="4" w:space="0"/>
              <w:bottom w:val="single" w:color="auto" w:sz="4" w:space="0"/>
              <w:right w:val="single" w:color="auto" w:sz="4" w:space="0"/>
            </w:tcBorders>
          </w:tcPr>
          <w:p w14:paraId="66FEB6DF">
            <w:pPr>
              <w:spacing w:line="360" w:lineRule="auto"/>
              <w:jc w:val="center"/>
              <w:rPr>
                <w:rFonts w:ascii="宋体" w:hAnsi="宋体" w:cs="仿宋"/>
                <w:b/>
                <w:bCs/>
                <w:sz w:val="24"/>
              </w:rPr>
            </w:pPr>
          </w:p>
        </w:tc>
        <w:tc>
          <w:tcPr>
            <w:tcW w:w="1619" w:type="dxa"/>
            <w:tcBorders>
              <w:top w:val="single" w:color="auto" w:sz="4" w:space="0"/>
              <w:left w:val="single" w:color="auto" w:sz="4" w:space="0"/>
              <w:bottom w:val="single" w:color="auto" w:sz="4" w:space="0"/>
              <w:right w:val="single" w:color="auto" w:sz="4" w:space="0"/>
            </w:tcBorders>
          </w:tcPr>
          <w:p w14:paraId="5EC9CAF7">
            <w:pPr>
              <w:spacing w:line="360" w:lineRule="auto"/>
              <w:jc w:val="center"/>
              <w:rPr>
                <w:rFonts w:ascii="宋体" w:hAnsi="宋体" w:cs="仿宋"/>
                <w:b/>
                <w:bCs/>
                <w:sz w:val="24"/>
              </w:rPr>
            </w:pPr>
          </w:p>
        </w:tc>
      </w:tr>
      <w:tr w14:paraId="4850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tcPr>
          <w:p w14:paraId="2B7D1687">
            <w:pPr>
              <w:spacing w:line="360" w:lineRule="auto"/>
              <w:jc w:val="center"/>
              <w:rPr>
                <w:rFonts w:ascii="宋体" w:hAnsi="宋体" w:cs="仿宋"/>
                <w:b/>
                <w:bCs/>
                <w:sz w:val="24"/>
              </w:rPr>
            </w:pPr>
          </w:p>
        </w:tc>
        <w:tc>
          <w:tcPr>
            <w:tcW w:w="2159" w:type="dxa"/>
            <w:tcBorders>
              <w:top w:val="single" w:color="auto" w:sz="4" w:space="0"/>
              <w:left w:val="single" w:color="auto" w:sz="4" w:space="0"/>
              <w:bottom w:val="single" w:color="auto" w:sz="4" w:space="0"/>
              <w:right w:val="single" w:color="auto" w:sz="4" w:space="0"/>
            </w:tcBorders>
          </w:tcPr>
          <w:p w14:paraId="6FC6B0B0">
            <w:pPr>
              <w:spacing w:line="360" w:lineRule="auto"/>
              <w:jc w:val="center"/>
              <w:rPr>
                <w:rFonts w:ascii="宋体" w:hAnsi="宋体" w:cs="仿宋"/>
                <w:b/>
                <w:bCs/>
                <w:sz w:val="24"/>
              </w:rPr>
            </w:pPr>
          </w:p>
        </w:tc>
        <w:tc>
          <w:tcPr>
            <w:tcW w:w="1979" w:type="dxa"/>
            <w:tcBorders>
              <w:top w:val="single" w:color="auto" w:sz="4" w:space="0"/>
              <w:left w:val="single" w:color="auto" w:sz="4" w:space="0"/>
              <w:bottom w:val="single" w:color="auto" w:sz="4" w:space="0"/>
              <w:right w:val="single" w:color="auto" w:sz="4" w:space="0"/>
            </w:tcBorders>
          </w:tcPr>
          <w:p w14:paraId="41CD8FDE">
            <w:pPr>
              <w:spacing w:line="360" w:lineRule="auto"/>
              <w:jc w:val="center"/>
              <w:rPr>
                <w:rFonts w:ascii="宋体" w:hAnsi="宋体" w:cs="仿宋"/>
                <w:b/>
                <w:bCs/>
                <w:sz w:val="24"/>
              </w:rPr>
            </w:pPr>
          </w:p>
        </w:tc>
        <w:tc>
          <w:tcPr>
            <w:tcW w:w="1799" w:type="dxa"/>
            <w:tcBorders>
              <w:top w:val="single" w:color="auto" w:sz="4" w:space="0"/>
              <w:left w:val="single" w:color="auto" w:sz="4" w:space="0"/>
              <w:bottom w:val="single" w:color="auto" w:sz="4" w:space="0"/>
              <w:right w:val="single" w:color="auto" w:sz="4" w:space="0"/>
            </w:tcBorders>
          </w:tcPr>
          <w:p w14:paraId="640CD8CC">
            <w:pPr>
              <w:spacing w:line="360" w:lineRule="auto"/>
              <w:jc w:val="center"/>
              <w:rPr>
                <w:rFonts w:ascii="宋体" w:hAnsi="宋体" w:cs="仿宋"/>
                <w:b/>
                <w:bCs/>
                <w:sz w:val="24"/>
              </w:rPr>
            </w:pPr>
          </w:p>
        </w:tc>
        <w:tc>
          <w:tcPr>
            <w:tcW w:w="1619" w:type="dxa"/>
            <w:tcBorders>
              <w:top w:val="single" w:color="auto" w:sz="4" w:space="0"/>
              <w:left w:val="single" w:color="auto" w:sz="4" w:space="0"/>
              <w:bottom w:val="single" w:color="auto" w:sz="4" w:space="0"/>
              <w:right w:val="single" w:color="auto" w:sz="4" w:space="0"/>
            </w:tcBorders>
          </w:tcPr>
          <w:p w14:paraId="121BC77E">
            <w:pPr>
              <w:spacing w:line="360" w:lineRule="auto"/>
              <w:jc w:val="center"/>
              <w:rPr>
                <w:rFonts w:ascii="宋体" w:hAnsi="宋体" w:cs="仿宋"/>
                <w:b/>
                <w:bCs/>
                <w:sz w:val="24"/>
              </w:rPr>
            </w:pPr>
          </w:p>
        </w:tc>
      </w:tr>
      <w:tr w14:paraId="0408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tcBorders>
              <w:top w:val="single" w:color="auto" w:sz="4" w:space="0"/>
              <w:left w:val="single" w:color="auto" w:sz="4" w:space="0"/>
              <w:bottom w:val="single" w:color="auto" w:sz="4" w:space="0"/>
              <w:right w:val="single" w:color="auto" w:sz="4" w:space="0"/>
            </w:tcBorders>
          </w:tcPr>
          <w:p w14:paraId="5CFBD682">
            <w:pPr>
              <w:spacing w:line="360" w:lineRule="auto"/>
              <w:jc w:val="center"/>
              <w:rPr>
                <w:rFonts w:ascii="宋体" w:hAnsi="宋体" w:cs="仿宋"/>
                <w:b/>
                <w:bCs/>
                <w:sz w:val="24"/>
              </w:rPr>
            </w:pPr>
          </w:p>
        </w:tc>
        <w:tc>
          <w:tcPr>
            <w:tcW w:w="2159" w:type="dxa"/>
            <w:tcBorders>
              <w:top w:val="single" w:color="auto" w:sz="4" w:space="0"/>
              <w:left w:val="single" w:color="auto" w:sz="4" w:space="0"/>
              <w:bottom w:val="single" w:color="auto" w:sz="4" w:space="0"/>
              <w:right w:val="single" w:color="auto" w:sz="4" w:space="0"/>
            </w:tcBorders>
          </w:tcPr>
          <w:p w14:paraId="3954FA7D">
            <w:pPr>
              <w:spacing w:line="360" w:lineRule="auto"/>
              <w:jc w:val="center"/>
              <w:rPr>
                <w:rFonts w:ascii="宋体" w:hAnsi="宋体" w:cs="仿宋"/>
                <w:b/>
                <w:bCs/>
                <w:sz w:val="24"/>
              </w:rPr>
            </w:pPr>
          </w:p>
        </w:tc>
        <w:tc>
          <w:tcPr>
            <w:tcW w:w="1979" w:type="dxa"/>
            <w:tcBorders>
              <w:top w:val="single" w:color="auto" w:sz="4" w:space="0"/>
              <w:left w:val="single" w:color="auto" w:sz="4" w:space="0"/>
              <w:bottom w:val="single" w:color="auto" w:sz="4" w:space="0"/>
              <w:right w:val="single" w:color="auto" w:sz="4" w:space="0"/>
            </w:tcBorders>
          </w:tcPr>
          <w:p w14:paraId="63018EB3">
            <w:pPr>
              <w:spacing w:line="360" w:lineRule="auto"/>
              <w:jc w:val="center"/>
              <w:rPr>
                <w:rFonts w:ascii="宋体" w:hAnsi="宋体" w:cs="仿宋"/>
                <w:b/>
                <w:bCs/>
                <w:sz w:val="24"/>
              </w:rPr>
            </w:pPr>
          </w:p>
        </w:tc>
        <w:tc>
          <w:tcPr>
            <w:tcW w:w="1799" w:type="dxa"/>
            <w:tcBorders>
              <w:top w:val="single" w:color="auto" w:sz="4" w:space="0"/>
              <w:left w:val="single" w:color="auto" w:sz="4" w:space="0"/>
              <w:bottom w:val="single" w:color="auto" w:sz="4" w:space="0"/>
              <w:right w:val="single" w:color="auto" w:sz="4" w:space="0"/>
            </w:tcBorders>
          </w:tcPr>
          <w:p w14:paraId="37C7F6D1">
            <w:pPr>
              <w:spacing w:line="360" w:lineRule="auto"/>
              <w:jc w:val="center"/>
              <w:rPr>
                <w:rFonts w:ascii="宋体" w:hAnsi="宋体" w:cs="仿宋"/>
                <w:b/>
                <w:bCs/>
                <w:sz w:val="24"/>
              </w:rPr>
            </w:pPr>
          </w:p>
        </w:tc>
        <w:tc>
          <w:tcPr>
            <w:tcW w:w="1619" w:type="dxa"/>
            <w:tcBorders>
              <w:top w:val="single" w:color="auto" w:sz="4" w:space="0"/>
              <w:left w:val="single" w:color="auto" w:sz="4" w:space="0"/>
              <w:bottom w:val="single" w:color="auto" w:sz="4" w:space="0"/>
              <w:right w:val="single" w:color="auto" w:sz="4" w:space="0"/>
            </w:tcBorders>
          </w:tcPr>
          <w:p w14:paraId="68673938">
            <w:pPr>
              <w:spacing w:line="360" w:lineRule="auto"/>
              <w:jc w:val="center"/>
              <w:rPr>
                <w:rFonts w:ascii="宋体" w:hAnsi="宋体" w:cs="仿宋"/>
                <w:b/>
                <w:bCs/>
                <w:sz w:val="24"/>
              </w:rPr>
            </w:pPr>
          </w:p>
        </w:tc>
      </w:tr>
    </w:tbl>
    <w:p w14:paraId="39842056">
      <w:pPr>
        <w:rPr>
          <w:rFonts w:ascii="宋体" w:hAnsi="宋体" w:cs="仿宋"/>
          <w:sz w:val="24"/>
        </w:rPr>
      </w:pPr>
      <w:r>
        <w:rPr>
          <w:rFonts w:hint="eastAsia" w:ascii="宋体" w:hAnsi="宋体" w:cs="仿宋"/>
          <w:sz w:val="24"/>
        </w:rPr>
        <w:t xml:space="preserve">                               </w:t>
      </w:r>
    </w:p>
    <w:p w14:paraId="1F6A1555">
      <w:pPr>
        <w:spacing w:line="360" w:lineRule="auto"/>
        <w:ind w:left="840" w:hanging="840" w:hangingChars="350"/>
        <w:rPr>
          <w:rFonts w:ascii="宋体" w:hAnsi="宋体" w:cs="仿宋"/>
          <w:b/>
          <w:bCs/>
          <w:sz w:val="24"/>
        </w:rPr>
      </w:pPr>
      <w:r>
        <w:rPr>
          <w:rFonts w:hint="eastAsia" w:ascii="宋体" w:hAnsi="宋体" w:cs="仿宋"/>
          <w:sz w:val="24"/>
        </w:rPr>
        <w:t>注：</w:t>
      </w:r>
      <w:r>
        <w:rPr>
          <w:rFonts w:hint="eastAsia" w:ascii="宋体" w:hAnsi="宋体" w:cs="仿宋"/>
          <w:b/>
          <w:bCs/>
          <w:spacing w:val="14"/>
          <w:sz w:val="24"/>
        </w:rPr>
        <w:t>1、投标人必须按采购需求一一对应，如实填写《</w:t>
      </w:r>
      <w:r>
        <w:rPr>
          <w:rFonts w:hint="eastAsia" w:ascii="宋体" w:hAnsi="宋体" w:cs="仿宋"/>
          <w:b/>
          <w:bCs/>
          <w:sz w:val="24"/>
        </w:rPr>
        <w:t>投标货物（设备)技术指标参数偏离表》，未按要求填写的，有可能作负偏离处理；</w:t>
      </w:r>
    </w:p>
    <w:p w14:paraId="1B66EB9C">
      <w:pPr>
        <w:spacing w:line="360" w:lineRule="auto"/>
        <w:ind w:firstLine="480" w:firstLineChars="200"/>
        <w:rPr>
          <w:rFonts w:ascii="宋体" w:hAnsi="宋体" w:cs="仿宋"/>
          <w:b/>
          <w:bCs/>
          <w:spacing w:val="14"/>
          <w:sz w:val="24"/>
        </w:rPr>
      </w:pPr>
      <w:r>
        <w:rPr>
          <w:rFonts w:hint="eastAsia" w:ascii="宋体" w:hAnsi="宋体" w:cs="仿宋"/>
          <w:sz w:val="24"/>
        </w:rPr>
        <w:t>2、此表仅提供了表格形式，投标人应根据需要准备足够数量的表格来填写。</w:t>
      </w:r>
    </w:p>
    <w:p w14:paraId="7BE1B9CD">
      <w:pPr>
        <w:tabs>
          <w:tab w:val="left" w:pos="1418"/>
        </w:tabs>
        <w:snapToGrid w:val="0"/>
        <w:spacing w:line="360" w:lineRule="auto"/>
        <w:rPr>
          <w:rFonts w:ascii="宋体" w:hAnsi="宋体"/>
          <w:spacing w:val="20"/>
          <w:sz w:val="24"/>
          <w:u w:val="single"/>
        </w:rPr>
      </w:pPr>
      <w:r>
        <w:rPr>
          <w:rFonts w:hint="eastAsia" w:ascii="宋体" w:hAnsi="宋体"/>
          <w:spacing w:val="20"/>
          <w:sz w:val="24"/>
        </w:rPr>
        <w:t>授权代表签名：</w:t>
      </w:r>
      <w:r>
        <w:rPr>
          <w:rFonts w:hint="eastAsia" w:ascii="宋体" w:hAnsi="宋体"/>
          <w:spacing w:val="20"/>
          <w:sz w:val="24"/>
          <w:u w:val="single"/>
        </w:rPr>
        <w:t xml:space="preserve">        </w:t>
      </w:r>
    </w:p>
    <w:p w14:paraId="24FE96AF">
      <w:pPr>
        <w:snapToGrid w:val="0"/>
        <w:spacing w:line="360" w:lineRule="auto"/>
        <w:rPr>
          <w:rFonts w:ascii="宋体" w:hAnsi="宋体"/>
          <w:spacing w:val="20"/>
          <w:sz w:val="24"/>
          <w:u w:val="single"/>
        </w:rPr>
      </w:pPr>
      <w:r>
        <w:rPr>
          <w:rFonts w:hint="eastAsia" w:ascii="宋体" w:hAnsi="宋体"/>
          <w:spacing w:val="20"/>
          <w:sz w:val="24"/>
        </w:rPr>
        <w:t>投标人盖章：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14:paraId="02D907DA">
      <w:pPr>
        <w:pStyle w:val="2"/>
        <w:ind w:firstLine="480"/>
        <w:rPr>
          <w:rFonts w:ascii="宋体" w:hAnsi="宋体"/>
          <w:sz w:val="24"/>
        </w:rPr>
      </w:pPr>
    </w:p>
    <w:p w14:paraId="2097B6F6">
      <w:pPr>
        <w:snapToGrid w:val="0"/>
        <w:spacing w:line="360" w:lineRule="auto"/>
        <w:jc w:val="left"/>
        <w:rPr>
          <w:rFonts w:ascii="宋体" w:hAnsi="宋体"/>
          <w:sz w:val="24"/>
          <w:szCs w:val="20"/>
        </w:rPr>
      </w:pPr>
    </w:p>
    <w:p w14:paraId="27C5ED45">
      <w:pPr>
        <w:spacing w:line="360" w:lineRule="auto"/>
        <w:jc w:val="left"/>
        <w:rPr>
          <w:rFonts w:ascii="宋体" w:hAnsi="宋体" w:cs="宋体"/>
          <w:sz w:val="24"/>
        </w:rPr>
      </w:pPr>
    </w:p>
    <w:p w14:paraId="51CE01D0">
      <w:pPr>
        <w:spacing w:line="360" w:lineRule="auto"/>
        <w:jc w:val="left"/>
        <w:rPr>
          <w:rFonts w:ascii="宋体" w:hAnsi="宋体" w:cs="宋体"/>
          <w:sz w:val="24"/>
        </w:rPr>
      </w:pPr>
    </w:p>
    <w:p w14:paraId="2D2DF83C">
      <w:pPr>
        <w:spacing w:line="360" w:lineRule="auto"/>
        <w:jc w:val="left"/>
        <w:rPr>
          <w:rFonts w:ascii="宋体" w:hAnsi="宋体" w:cs="宋体"/>
          <w:sz w:val="24"/>
        </w:rPr>
      </w:pPr>
    </w:p>
    <w:p w14:paraId="4A426F09">
      <w:pPr>
        <w:spacing w:line="360" w:lineRule="auto"/>
        <w:jc w:val="left"/>
        <w:rPr>
          <w:rFonts w:ascii="宋体" w:hAnsi="宋体" w:cs="宋体"/>
          <w:sz w:val="24"/>
        </w:rPr>
      </w:pPr>
    </w:p>
    <w:p w14:paraId="341684FA">
      <w:pPr>
        <w:pStyle w:val="2"/>
        <w:ind w:firstLine="560"/>
      </w:pPr>
    </w:p>
    <w:p w14:paraId="1E1298BB">
      <w:pPr>
        <w:pStyle w:val="85"/>
        <w:rPr>
          <w:color w:val="auto"/>
        </w:rPr>
      </w:pPr>
    </w:p>
    <w:p w14:paraId="50B58DF1">
      <w:pPr>
        <w:pStyle w:val="86"/>
      </w:pPr>
    </w:p>
    <w:p w14:paraId="79957A1F">
      <w:pPr>
        <w:pStyle w:val="85"/>
        <w:rPr>
          <w:color w:val="auto"/>
        </w:rPr>
      </w:pPr>
    </w:p>
    <w:p w14:paraId="6E18F097">
      <w:pPr>
        <w:pStyle w:val="86"/>
      </w:pPr>
    </w:p>
    <w:p w14:paraId="690AC1F5">
      <w:pPr>
        <w:snapToGrid w:val="0"/>
        <w:spacing w:line="360" w:lineRule="auto"/>
        <w:jc w:val="left"/>
        <w:rPr>
          <w:rFonts w:ascii="宋体" w:hAnsi="宋体"/>
          <w:sz w:val="24"/>
          <w:szCs w:val="20"/>
        </w:rPr>
      </w:pPr>
      <w:r>
        <w:rPr>
          <w:rFonts w:hint="eastAsia" w:ascii="宋体" w:hAnsi="宋体"/>
          <w:sz w:val="24"/>
        </w:rPr>
        <w:t>19.投标人需要说明的其他文件和说明（格式自拟）</w:t>
      </w:r>
    </w:p>
    <w:p w14:paraId="699BF4E9">
      <w:pPr>
        <w:snapToGrid w:val="0"/>
        <w:spacing w:line="360" w:lineRule="auto"/>
        <w:jc w:val="left"/>
        <w:rPr>
          <w:rFonts w:ascii="宋体" w:hAnsi="宋体"/>
          <w:sz w:val="24"/>
        </w:rPr>
      </w:pPr>
    </w:p>
    <w:p w14:paraId="1C20B94F">
      <w:pPr>
        <w:pStyle w:val="2"/>
        <w:ind w:firstLine="560"/>
        <w:sectPr>
          <w:headerReference r:id="rId3" w:type="default"/>
          <w:footerReference r:id="rId4" w:type="default"/>
          <w:footerReference r:id="rId5" w:type="even"/>
          <w:pgSz w:w="11906" w:h="16838"/>
          <w:pgMar w:top="1361" w:right="1247" w:bottom="1361" w:left="1247" w:header="851" w:footer="851" w:gutter="0"/>
          <w:cols w:space="720" w:num="1"/>
          <w:docGrid w:linePitch="312" w:charSpace="0"/>
        </w:sectPr>
      </w:pPr>
    </w:p>
    <w:p w14:paraId="55706836">
      <w:pPr>
        <w:snapToGrid w:val="0"/>
        <w:spacing w:line="360" w:lineRule="auto"/>
        <w:jc w:val="left"/>
        <w:rPr>
          <w:rFonts w:ascii="宋体" w:hAnsi="宋体"/>
          <w:sz w:val="24"/>
        </w:rPr>
      </w:pPr>
      <w:r>
        <w:rPr>
          <w:rFonts w:hint="eastAsia" w:ascii="宋体" w:hAnsi="宋体"/>
          <w:sz w:val="24"/>
        </w:rPr>
        <w:t>20.投标人的类似成功案例的业绩证明文件：</w:t>
      </w:r>
    </w:p>
    <w:p w14:paraId="67FA0D9F">
      <w:pPr>
        <w:pStyle w:val="33"/>
        <w:snapToGrid w:val="0"/>
        <w:spacing w:line="360" w:lineRule="auto"/>
        <w:ind w:left="480" w:hanging="480"/>
        <w:rPr>
          <w:rFonts w:ascii="宋体" w:hAnsi="宋体"/>
          <w:sz w:val="24"/>
        </w:rPr>
      </w:pPr>
      <w:r>
        <w:rPr>
          <w:rFonts w:ascii="宋体" w:hAnsi="宋体"/>
          <w:sz w:val="24"/>
        </w:rPr>
        <w:t>投标人同类项目实施情况一览表格式：（投标人同类项目合同复印件）</w:t>
      </w:r>
    </w:p>
    <w:tbl>
      <w:tblPr>
        <w:tblStyle w:val="4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14:paraId="29B87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AF01F8C">
            <w:pPr>
              <w:snapToGrid w:val="0"/>
              <w:spacing w:line="360" w:lineRule="auto"/>
              <w:jc w:val="center"/>
              <w:rPr>
                <w:rFonts w:ascii="宋体" w:hAnsi="宋体"/>
                <w:sz w:val="18"/>
                <w:szCs w:val="20"/>
              </w:rPr>
            </w:pPr>
            <w:r>
              <w:rPr>
                <w:rFonts w:hint="eastAsia" w:ascii="宋体" w:hAnsi="宋体"/>
                <w:sz w:val="18"/>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A94AE52">
            <w:pPr>
              <w:snapToGrid w:val="0"/>
              <w:spacing w:line="360" w:lineRule="auto"/>
              <w:jc w:val="center"/>
              <w:rPr>
                <w:rFonts w:ascii="宋体" w:hAnsi="宋体"/>
                <w:sz w:val="18"/>
                <w:szCs w:val="20"/>
              </w:rPr>
            </w:pPr>
            <w:r>
              <w:rPr>
                <w:rFonts w:hint="eastAsia" w:ascii="宋体" w:hAnsi="宋体"/>
                <w:sz w:val="18"/>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1939E0F">
            <w:pPr>
              <w:snapToGrid w:val="0"/>
              <w:spacing w:line="360" w:lineRule="auto"/>
              <w:jc w:val="center"/>
              <w:rPr>
                <w:rFonts w:ascii="宋体" w:hAnsi="宋体"/>
                <w:sz w:val="18"/>
                <w:szCs w:val="20"/>
              </w:rPr>
            </w:pPr>
            <w:r>
              <w:rPr>
                <w:rFonts w:hint="eastAsia" w:ascii="宋体" w:hAnsi="宋体"/>
                <w:sz w:val="18"/>
              </w:rPr>
              <w:t>采购</w:t>
            </w:r>
          </w:p>
          <w:p w14:paraId="3FCD7AF3">
            <w:pPr>
              <w:snapToGrid w:val="0"/>
              <w:spacing w:line="360" w:lineRule="auto"/>
              <w:jc w:val="center"/>
              <w:rPr>
                <w:rFonts w:ascii="宋体" w:hAnsi="宋体"/>
                <w:sz w:val="18"/>
                <w:szCs w:val="20"/>
              </w:rPr>
            </w:pPr>
            <w:r>
              <w:rPr>
                <w:rFonts w:hint="eastAsia" w:ascii="宋体" w:hAnsi="宋体"/>
                <w:sz w:val="18"/>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DC743AC">
            <w:pPr>
              <w:snapToGrid w:val="0"/>
              <w:spacing w:line="360" w:lineRule="auto"/>
              <w:jc w:val="center"/>
              <w:rPr>
                <w:rFonts w:ascii="宋体" w:hAnsi="宋体"/>
                <w:sz w:val="18"/>
                <w:szCs w:val="20"/>
              </w:rPr>
            </w:pPr>
            <w:r>
              <w:rPr>
                <w:rFonts w:hint="eastAsia" w:ascii="宋体" w:hAnsi="宋体"/>
                <w:sz w:val="18"/>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30BC5DC5">
            <w:pPr>
              <w:snapToGrid w:val="0"/>
              <w:spacing w:line="360" w:lineRule="auto"/>
              <w:jc w:val="center"/>
              <w:rPr>
                <w:rFonts w:ascii="宋体" w:hAnsi="宋体"/>
                <w:sz w:val="18"/>
                <w:szCs w:val="20"/>
              </w:rPr>
            </w:pPr>
            <w:r>
              <w:rPr>
                <w:rFonts w:hint="eastAsia" w:ascii="宋体" w:hAnsi="宋体"/>
                <w:sz w:val="18"/>
              </w:rPr>
              <w:t>合同</w:t>
            </w:r>
          </w:p>
          <w:p w14:paraId="1390B05A">
            <w:pPr>
              <w:snapToGrid w:val="0"/>
              <w:spacing w:line="360" w:lineRule="auto"/>
              <w:jc w:val="center"/>
              <w:rPr>
                <w:rFonts w:ascii="宋体" w:hAnsi="宋体"/>
                <w:sz w:val="18"/>
                <w:szCs w:val="20"/>
              </w:rPr>
            </w:pPr>
            <w:r>
              <w:rPr>
                <w:rFonts w:hint="eastAsia" w:ascii="宋体" w:hAnsi="宋体"/>
                <w:sz w:val="18"/>
              </w:rPr>
              <w:t>金额</w:t>
            </w:r>
          </w:p>
          <w:p w14:paraId="2B996C27">
            <w:pPr>
              <w:snapToGrid w:val="0"/>
              <w:spacing w:line="360" w:lineRule="auto"/>
              <w:jc w:val="center"/>
              <w:rPr>
                <w:rFonts w:ascii="宋体" w:hAnsi="宋体"/>
                <w:sz w:val="18"/>
                <w:szCs w:val="20"/>
              </w:rPr>
            </w:pPr>
            <w:r>
              <w:rPr>
                <w:rFonts w:hint="eastAsia" w:ascii="宋体" w:hAnsi="宋体"/>
                <w:sz w:val="18"/>
              </w:rPr>
              <w:t>（万元）</w:t>
            </w:r>
          </w:p>
        </w:tc>
        <w:tc>
          <w:tcPr>
            <w:tcW w:w="1800" w:type="dxa"/>
            <w:tcBorders>
              <w:top w:val="single" w:color="auto" w:sz="4" w:space="0"/>
              <w:left w:val="single" w:color="auto" w:sz="4" w:space="0"/>
              <w:bottom w:val="single" w:color="auto" w:sz="4" w:space="0"/>
              <w:right w:val="single" w:color="auto" w:sz="4" w:space="0"/>
            </w:tcBorders>
            <w:vAlign w:val="center"/>
          </w:tcPr>
          <w:p w14:paraId="2662FF57">
            <w:pPr>
              <w:snapToGrid w:val="0"/>
              <w:spacing w:line="360" w:lineRule="auto"/>
              <w:jc w:val="center"/>
              <w:rPr>
                <w:rFonts w:ascii="宋体" w:hAnsi="宋体"/>
                <w:sz w:val="18"/>
                <w:szCs w:val="20"/>
              </w:rPr>
            </w:pPr>
            <w:r>
              <w:rPr>
                <w:rFonts w:hint="eastAsia" w:ascii="宋体" w:hAnsi="宋体"/>
                <w:sz w:val="18"/>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21F3EE9E">
            <w:pPr>
              <w:snapToGrid w:val="0"/>
              <w:spacing w:line="360" w:lineRule="auto"/>
              <w:jc w:val="center"/>
              <w:rPr>
                <w:rFonts w:ascii="宋体" w:hAnsi="宋体"/>
                <w:sz w:val="18"/>
                <w:szCs w:val="20"/>
              </w:rPr>
            </w:pPr>
            <w:r>
              <w:rPr>
                <w:rFonts w:hint="eastAsia" w:ascii="宋体" w:hAnsi="宋体"/>
                <w:sz w:val="18"/>
              </w:rPr>
              <w:t>采购单位联系人及</w:t>
            </w:r>
          </w:p>
          <w:p w14:paraId="4F8182E2">
            <w:pPr>
              <w:snapToGrid w:val="0"/>
              <w:spacing w:line="360" w:lineRule="auto"/>
              <w:jc w:val="center"/>
              <w:rPr>
                <w:rFonts w:ascii="宋体" w:hAnsi="宋体"/>
                <w:sz w:val="18"/>
                <w:szCs w:val="20"/>
              </w:rPr>
            </w:pPr>
            <w:r>
              <w:rPr>
                <w:rFonts w:hint="eastAsia" w:ascii="宋体" w:hAnsi="宋体"/>
                <w:sz w:val="18"/>
              </w:rPr>
              <w:t>联系电话</w:t>
            </w:r>
          </w:p>
        </w:tc>
      </w:tr>
      <w:tr w14:paraId="62D5E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31C01721">
            <w:pPr>
              <w:widowControl/>
              <w:spacing w:line="360" w:lineRule="auto"/>
              <w:jc w:val="left"/>
              <w:rPr>
                <w:rFonts w:ascii="宋体" w:hAnsi="宋体"/>
                <w:sz w:val="18"/>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261B02ED">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E96C6DA">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62A42AB">
            <w:pPr>
              <w:widowControl/>
              <w:spacing w:line="360" w:lineRule="auto"/>
              <w:jc w:val="left"/>
              <w:rPr>
                <w:rFonts w:ascii="宋体" w:hAnsi="宋体"/>
                <w:sz w:val="18"/>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76C4C8C6">
            <w:pPr>
              <w:widowControl/>
              <w:spacing w:line="360" w:lineRule="auto"/>
              <w:jc w:val="left"/>
              <w:rPr>
                <w:rFonts w:ascii="宋体" w:hAnsi="宋体"/>
                <w:sz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05117412">
            <w:pPr>
              <w:snapToGrid w:val="0"/>
              <w:spacing w:line="360" w:lineRule="auto"/>
              <w:jc w:val="center"/>
              <w:rPr>
                <w:rFonts w:ascii="宋体" w:hAnsi="宋体"/>
                <w:sz w:val="18"/>
                <w:szCs w:val="20"/>
              </w:rPr>
            </w:pPr>
            <w:r>
              <w:rPr>
                <w:rFonts w:hint="eastAsia" w:ascii="宋体" w:hAnsi="宋体"/>
                <w:sz w:val="18"/>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30FB9C9F">
            <w:pPr>
              <w:widowControl/>
              <w:spacing w:line="360" w:lineRule="auto"/>
              <w:jc w:val="left"/>
              <w:rPr>
                <w:rFonts w:ascii="宋体" w:hAnsi="宋体"/>
                <w:sz w:val="18"/>
              </w:rPr>
            </w:pPr>
          </w:p>
        </w:tc>
      </w:tr>
      <w:tr w14:paraId="05F60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10A179E7">
            <w:pPr>
              <w:snapToGrid w:val="0"/>
              <w:spacing w:line="360" w:lineRule="auto"/>
              <w:jc w:val="left"/>
              <w:rPr>
                <w:rFonts w:ascii="宋体" w:hAnsi="宋体"/>
                <w:sz w:val="18"/>
                <w:szCs w:val="20"/>
              </w:rPr>
            </w:pPr>
          </w:p>
        </w:tc>
        <w:tc>
          <w:tcPr>
            <w:tcW w:w="3420" w:type="dxa"/>
            <w:tcBorders>
              <w:top w:val="single" w:color="auto" w:sz="4" w:space="0"/>
              <w:left w:val="single" w:color="auto" w:sz="4" w:space="0"/>
              <w:bottom w:val="single" w:color="auto" w:sz="4" w:space="0"/>
              <w:right w:val="single" w:color="auto" w:sz="4" w:space="0"/>
            </w:tcBorders>
          </w:tcPr>
          <w:p w14:paraId="5181742F">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14:paraId="10FA4B79">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14:paraId="4225748E">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14:paraId="3B854765">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14:paraId="593EC91A">
            <w:pPr>
              <w:snapToGrid w:val="0"/>
              <w:spacing w:line="360" w:lineRule="auto"/>
              <w:jc w:val="left"/>
              <w:rPr>
                <w:rFonts w:ascii="宋体" w:hAnsi="宋体"/>
                <w:sz w:val="18"/>
                <w:szCs w:val="20"/>
              </w:rPr>
            </w:pPr>
          </w:p>
        </w:tc>
        <w:tc>
          <w:tcPr>
            <w:tcW w:w="2160" w:type="dxa"/>
            <w:tcBorders>
              <w:top w:val="single" w:color="auto" w:sz="4" w:space="0"/>
              <w:left w:val="single" w:color="auto" w:sz="4" w:space="0"/>
              <w:bottom w:val="single" w:color="auto" w:sz="4" w:space="0"/>
              <w:right w:val="single" w:color="auto" w:sz="4" w:space="0"/>
            </w:tcBorders>
          </w:tcPr>
          <w:p w14:paraId="0CEB6515">
            <w:pPr>
              <w:snapToGrid w:val="0"/>
              <w:spacing w:line="360" w:lineRule="auto"/>
              <w:jc w:val="left"/>
              <w:rPr>
                <w:rFonts w:ascii="宋体" w:hAnsi="宋体"/>
                <w:sz w:val="18"/>
                <w:szCs w:val="20"/>
              </w:rPr>
            </w:pPr>
          </w:p>
        </w:tc>
      </w:tr>
      <w:tr w14:paraId="5CBFC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3C110E53">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416C3A4C">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3417D61">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0D2874D">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141FA334">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0D02D64F">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250688C5">
            <w:pPr>
              <w:snapToGrid w:val="0"/>
              <w:spacing w:line="360" w:lineRule="auto"/>
              <w:jc w:val="left"/>
              <w:rPr>
                <w:rFonts w:ascii="宋体" w:hAnsi="宋体"/>
                <w:sz w:val="24"/>
                <w:szCs w:val="20"/>
              </w:rPr>
            </w:pPr>
          </w:p>
        </w:tc>
      </w:tr>
      <w:tr w14:paraId="3CF6C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15429191">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72A48711">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409F231">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3B421E5">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3C722ADB">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7A932921">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5DB71917">
            <w:pPr>
              <w:snapToGrid w:val="0"/>
              <w:spacing w:line="360" w:lineRule="auto"/>
              <w:jc w:val="left"/>
              <w:rPr>
                <w:rFonts w:ascii="宋体" w:hAnsi="宋体"/>
                <w:sz w:val="24"/>
                <w:szCs w:val="20"/>
              </w:rPr>
            </w:pPr>
          </w:p>
        </w:tc>
      </w:tr>
      <w:tr w14:paraId="07DC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3F30566B">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22B3AC9E">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276BA2FC">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8C62236">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11487FA9">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2D1E5F12">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257497DB">
            <w:pPr>
              <w:snapToGrid w:val="0"/>
              <w:spacing w:line="360" w:lineRule="auto"/>
              <w:jc w:val="left"/>
              <w:rPr>
                <w:rFonts w:ascii="宋体" w:hAnsi="宋体"/>
                <w:sz w:val="24"/>
                <w:szCs w:val="20"/>
              </w:rPr>
            </w:pPr>
          </w:p>
        </w:tc>
      </w:tr>
      <w:tr w14:paraId="64184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25CE3897">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6DF0F039">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C88055D">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2C03A8D8">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58053486">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7253BECD">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4EAF05B1">
            <w:pPr>
              <w:snapToGrid w:val="0"/>
              <w:spacing w:line="360" w:lineRule="auto"/>
              <w:jc w:val="left"/>
              <w:rPr>
                <w:rFonts w:ascii="宋体" w:hAnsi="宋体"/>
                <w:sz w:val="24"/>
                <w:szCs w:val="20"/>
              </w:rPr>
            </w:pPr>
          </w:p>
        </w:tc>
      </w:tr>
    </w:tbl>
    <w:p w14:paraId="4A143614">
      <w:pPr>
        <w:pStyle w:val="14"/>
        <w:snapToGrid w:val="0"/>
        <w:spacing w:before="0" w:after="0" w:line="360" w:lineRule="auto"/>
        <w:rPr>
          <w:rFonts w:ascii="宋体" w:hAnsi="宋体" w:eastAsia="宋体"/>
          <w:sz w:val="24"/>
        </w:rPr>
      </w:pPr>
    </w:p>
    <w:p w14:paraId="653DA918">
      <w:pPr>
        <w:pStyle w:val="14"/>
        <w:snapToGrid w:val="0"/>
        <w:spacing w:before="0" w:after="0" w:line="360" w:lineRule="auto"/>
        <w:rPr>
          <w:rFonts w:ascii="宋体" w:hAnsi="宋体" w:eastAsia="宋体"/>
          <w:sz w:val="24"/>
          <w:u w:val="single"/>
        </w:rPr>
      </w:pPr>
      <w:r>
        <w:rPr>
          <w:rFonts w:hint="eastAsia" w:ascii="宋体" w:hAnsi="宋体" w:eastAsia="宋体"/>
          <w:sz w:val="24"/>
        </w:rPr>
        <w:t>法定代表人签字：</w:t>
      </w:r>
      <w:r>
        <w:rPr>
          <w:rFonts w:hint="eastAsia" w:ascii="宋体" w:hAnsi="宋体" w:eastAsia="宋体"/>
          <w:sz w:val="24"/>
          <w:u w:val="single"/>
        </w:rPr>
        <w:t>　　　　　</w:t>
      </w:r>
    </w:p>
    <w:p w14:paraId="73B028F4">
      <w:pPr>
        <w:snapToGrid w:val="0"/>
        <w:spacing w:line="360" w:lineRule="auto"/>
        <w:ind w:firstLine="480" w:firstLineChars="200"/>
        <w:jc w:val="left"/>
        <w:rPr>
          <w:rFonts w:ascii="宋体" w:hAnsi="宋体"/>
          <w:sz w:val="24"/>
        </w:rPr>
      </w:pPr>
      <w:r>
        <w:rPr>
          <w:rFonts w:hint="eastAsia" w:ascii="宋体" w:hAnsi="宋体"/>
          <w:sz w:val="24"/>
        </w:rPr>
        <w:t>投标人公章：</w:t>
      </w:r>
      <w:r>
        <w:rPr>
          <w:rFonts w:ascii="宋体" w:hAnsi="宋体"/>
          <w:sz w:val="24"/>
          <w:u w:val="single"/>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0D27CD9C">
      <w:pPr>
        <w:snapToGrid w:val="0"/>
        <w:spacing w:line="360" w:lineRule="auto"/>
        <w:ind w:firstLine="480" w:firstLineChars="200"/>
        <w:jc w:val="left"/>
        <w:rPr>
          <w:rFonts w:ascii="仿宋_GB2312" w:eastAsia="仿宋_GB2312"/>
          <w:sz w:val="24"/>
        </w:rPr>
      </w:pPr>
    </w:p>
    <w:p w14:paraId="59B22ED0">
      <w:pPr>
        <w:snapToGrid w:val="0"/>
        <w:spacing w:line="360" w:lineRule="auto"/>
        <w:jc w:val="left"/>
        <w:rPr>
          <w:rFonts w:ascii="宋体" w:hAnsi="宋体"/>
          <w:sz w:val="24"/>
        </w:rPr>
        <w:sectPr>
          <w:pgSz w:w="16838" w:h="11906" w:orient="landscape"/>
          <w:pgMar w:top="1797" w:right="1474" w:bottom="1797" w:left="1247" w:header="851" w:footer="851" w:gutter="0"/>
          <w:cols w:space="720" w:num="1"/>
          <w:docGrid w:linePitch="312" w:charSpace="0"/>
        </w:sectPr>
      </w:pPr>
    </w:p>
    <w:p w14:paraId="0B9988AC">
      <w:pPr>
        <w:snapToGrid w:val="0"/>
        <w:spacing w:line="360" w:lineRule="auto"/>
        <w:jc w:val="left"/>
        <w:rPr>
          <w:rFonts w:ascii="宋体" w:hAnsi="宋体"/>
          <w:sz w:val="24"/>
        </w:rPr>
      </w:pPr>
      <w:r>
        <w:rPr>
          <w:rFonts w:hint="eastAsia" w:ascii="宋体" w:hAnsi="宋体"/>
          <w:sz w:val="24"/>
        </w:rPr>
        <w:t>21.权威认证证书</w:t>
      </w:r>
      <w:bookmarkStart w:id="115" w:name="OLE_LINK74"/>
      <w:bookmarkStart w:id="116" w:name="OLE_LINK73"/>
      <w:bookmarkStart w:id="117" w:name="OLE_LINK160"/>
      <w:bookmarkStart w:id="118" w:name="OLE_LINK161"/>
      <w:r>
        <w:rPr>
          <w:rFonts w:hint="eastAsia" w:ascii="宋体" w:hAnsi="宋体"/>
          <w:sz w:val="24"/>
        </w:rPr>
        <w:t>复印件</w:t>
      </w:r>
      <w:bookmarkEnd w:id="115"/>
      <w:bookmarkEnd w:id="116"/>
    </w:p>
    <w:bookmarkEnd w:id="117"/>
    <w:bookmarkEnd w:id="118"/>
    <w:p w14:paraId="1627B912">
      <w:pPr>
        <w:pStyle w:val="2"/>
        <w:ind w:firstLine="560"/>
      </w:pPr>
    </w:p>
    <w:p w14:paraId="1F3AA3F2">
      <w:pPr>
        <w:pStyle w:val="85"/>
        <w:rPr>
          <w:color w:val="auto"/>
        </w:rPr>
      </w:pPr>
    </w:p>
    <w:p w14:paraId="39796A3A">
      <w:pPr>
        <w:pStyle w:val="86"/>
        <w:rPr>
          <w:rFonts w:ascii="宋体" w:hAnsi="宋体"/>
          <w:kern w:val="2"/>
          <w:sz w:val="24"/>
          <w:szCs w:val="24"/>
        </w:rPr>
      </w:pPr>
    </w:p>
    <w:p w14:paraId="7A78B98A">
      <w:pPr>
        <w:snapToGrid w:val="0"/>
        <w:spacing w:line="360" w:lineRule="auto"/>
        <w:jc w:val="left"/>
        <w:rPr>
          <w:rFonts w:ascii="宋体" w:hAnsi="宋体"/>
          <w:sz w:val="24"/>
        </w:rPr>
      </w:pPr>
      <w:r>
        <w:rPr>
          <w:rFonts w:hint="eastAsia" w:ascii="宋体" w:hAnsi="宋体"/>
          <w:sz w:val="24"/>
        </w:rPr>
        <w:t>22.</w:t>
      </w:r>
      <w:bookmarkStart w:id="119" w:name="OLE_LINK147"/>
      <w:bookmarkStart w:id="120" w:name="OLE_LINK146"/>
      <w:r>
        <w:rPr>
          <w:rFonts w:hint="eastAsia" w:ascii="宋体" w:hAnsi="宋体"/>
          <w:sz w:val="24"/>
        </w:rPr>
        <w:t>企业荣誉证书或文件</w:t>
      </w:r>
      <w:bookmarkEnd w:id="119"/>
      <w:bookmarkEnd w:id="120"/>
      <w:r>
        <w:rPr>
          <w:rFonts w:hint="eastAsia" w:ascii="宋体" w:hAnsi="宋体"/>
          <w:sz w:val="24"/>
        </w:rPr>
        <w:t>复印件</w:t>
      </w:r>
    </w:p>
    <w:p w14:paraId="5AF5C2D9">
      <w:pPr>
        <w:pStyle w:val="85"/>
        <w:rPr>
          <w:color w:val="auto"/>
        </w:rPr>
      </w:pPr>
    </w:p>
    <w:p w14:paraId="16A5D3D0"/>
    <w:p w14:paraId="77192049">
      <w:pPr>
        <w:pStyle w:val="2"/>
      </w:pPr>
    </w:p>
    <w:p w14:paraId="643812B5">
      <w:pPr>
        <w:snapToGrid w:val="0"/>
        <w:spacing w:line="360" w:lineRule="auto"/>
        <w:jc w:val="left"/>
        <w:rPr>
          <w:rFonts w:ascii="宋体" w:hAnsi="宋体"/>
          <w:sz w:val="24"/>
        </w:rPr>
      </w:pPr>
      <w:r>
        <w:rPr>
          <w:rFonts w:ascii="宋体" w:hAnsi="宋体"/>
          <w:sz w:val="24"/>
        </w:rPr>
        <w:t>2</w:t>
      </w:r>
      <w:r>
        <w:rPr>
          <w:rFonts w:hint="eastAsia" w:ascii="宋体" w:hAnsi="宋体"/>
          <w:sz w:val="24"/>
        </w:rPr>
        <w:t>3.投标人认为可以证明其能力或业绩的其他材料（格式自拟）</w:t>
      </w:r>
    </w:p>
    <w:p w14:paraId="19E520A6">
      <w:pPr>
        <w:pStyle w:val="85"/>
        <w:rPr>
          <w:color w:val="auto"/>
        </w:rPr>
      </w:pPr>
    </w:p>
    <w:p w14:paraId="7649C7AB">
      <w:pPr>
        <w:pStyle w:val="2"/>
        <w:ind w:firstLine="560"/>
      </w:pPr>
    </w:p>
    <w:p w14:paraId="625D07FA">
      <w:pPr>
        <w:snapToGrid w:val="0"/>
        <w:spacing w:line="360" w:lineRule="auto"/>
        <w:jc w:val="left"/>
        <w:rPr>
          <w:rFonts w:ascii="宋体" w:hAnsi="宋体"/>
          <w:sz w:val="24"/>
          <w:szCs w:val="20"/>
        </w:rPr>
      </w:pPr>
      <w:r>
        <w:rPr>
          <w:rFonts w:hint="eastAsia" w:ascii="宋体" w:hAnsi="宋体"/>
          <w:sz w:val="24"/>
        </w:rPr>
        <w:t>24.商务响应表格式：</w:t>
      </w:r>
    </w:p>
    <w:p w14:paraId="02964622">
      <w:pPr>
        <w:snapToGrid w:val="0"/>
        <w:spacing w:line="360" w:lineRule="auto"/>
        <w:jc w:val="left"/>
        <w:rPr>
          <w:rFonts w:ascii="宋体" w:hAnsi="宋体"/>
          <w:sz w:val="24"/>
          <w:szCs w:val="20"/>
          <w:u w:val="single"/>
        </w:rPr>
      </w:pPr>
      <w:r>
        <w:rPr>
          <w:rFonts w:hint="eastAsia" w:ascii="宋体" w:hAnsi="宋体"/>
          <w:sz w:val="24"/>
        </w:rPr>
        <w:t>项目名称：</w:t>
      </w:r>
      <w:r>
        <w:rPr>
          <w:rFonts w:ascii="宋体" w:hAnsi="宋体"/>
          <w:sz w:val="24"/>
          <w:u w:val="single"/>
        </w:rPr>
        <w:t xml:space="preserve">              </w:t>
      </w:r>
    </w:p>
    <w:tbl>
      <w:tblPr>
        <w:tblStyle w:val="43"/>
        <w:tblW w:w="100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6379"/>
        <w:gridCol w:w="708"/>
        <w:gridCol w:w="1418"/>
      </w:tblGrid>
      <w:tr w14:paraId="5F3B4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26" w:type="dxa"/>
            <w:tcBorders>
              <w:top w:val="single" w:color="auto" w:sz="4" w:space="0"/>
              <w:left w:val="single" w:color="auto" w:sz="4" w:space="0"/>
              <w:bottom w:val="single" w:color="auto" w:sz="4" w:space="0"/>
              <w:right w:val="single" w:color="auto" w:sz="4" w:space="0"/>
            </w:tcBorders>
          </w:tcPr>
          <w:p w14:paraId="0A0DDD0F">
            <w:pPr>
              <w:snapToGrid w:val="0"/>
              <w:spacing w:line="360" w:lineRule="auto"/>
              <w:rPr>
                <w:rFonts w:ascii="宋体" w:hAnsi="宋体"/>
                <w:sz w:val="24"/>
                <w:szCs w:val="20"/>
              </w:rPr>
            </w:pPr>
            <w:r>
              <w:rPr>
                <w:rFonts w:hint="eastAsia" w:ascii="宋体" w:hAnsi="宋体"/>
                <w:sz w:val="24"/>
              </w:rPr>
              <w:t>项目</w:t>
            </w:r>
          </w:p>
        </w:tc>
        <w:tc>
          <w:tcPr>
            <w:tcW w:w="6379" w:type="dxa"/>
            <w:tcBorders>
              <w:top w:val="single" w:color="auto" w:sz="4" w:space="0"/>
              <w:left w:val="single" w:color="auto" w:sz="4" w:space="0"/>
              <w:bottom w:val="single" w:color="auto" w:sz="4" w:space="0"/>
              <w:right w:val="single" w:color="auto" w:sz="4" w:space="0"/>
            </w:tcBorders>
          </w:tcPr>
          <w:p w14:paraId="4ABCEAC1">
            <w:pPr>
              <w:snapToGrid w:val="0"/>
              <w:spacing w:line="360" w:lineRule="auto"/>
              <w:rPr>
                <w:rFonts w:ascii="宋体" w:hAnsi="宋体"/>
                <w:sz w:val="24"/>
                <w:szCs w:val="20"/>
              </w:rPr>
            </w:pPr>
            <w:r>
              <w:rPr>
                <w:rFonts w:hint="eastAsia" w:ascii="宋体" w:hAnsi="宋体"/>
                <w:sz w:val="24"/>
              </w:rPr>
              <w:t>招标文件要求</w:t>
            </w:r>
          </w:p>
        </w:tc>
        <w:tc>
          <w:tcPr>
            <w:tcW w:w="708" w:type="dxa"/>
            <w:tcBorders>
              <w:top w:val="single" w:color="auto" w:sz="4" w:space="0"/>
              <w:left w:val="single" w:color="auto" w:sz="4" w:space="0"/>
              <w:bottom w:val="single" w:color="auto" w:sz="4" w:space="0"/>
              <w:right w:val="single" w:color="auto" w:sz="4" w:space="0"/>
            </w:tcBorders>
          </w:tcPr>
          <w:p w14:paraId="415D66F4">
            <w:pPr>
              <w:snapToGrid w:val="0"/>
              <w:spacing w:line="360" w:lineRule="auto"/>
              <w:rPr>
                <w:rFonts w:ascii="宋体" w:hAnsi="宋体"/>
                <w:sz w:val="24"/>
                <w:szCs w:val="20"/>
              </w:rPr>
            </w:pPr>
            <w:r>
              <w:rPr>
                <w:rFonts w:hint="eastAsia" w:ascii="宋体" w:hAnsi="宋体"/>
                <w:sz w:val="24"/>
              </w:rPr>
              <w:t>是否响应</w:t>
            </w:r>
          </w:p>
        </w:tc>
        <w:tc>
          <w:tcPr>
            <w:tcW w:w="1418" w:type="dxa"/>
            <w:tcBorders>
              <w:top w:val="single" w:color="auto" w:sz="4" w:space="0"/>
              <w:left w:val="single" w:color="auto" w:sz="4" w:space="0"/>
              <w:bottom w:val="single" w:color="auto" w:sz="4" w:space="0"/>
              <w:right w:val="single" w:color="auto" w:sz="4" w:space="0"/>
            </w:tcBorders>
          </w:tcPr>
          <w:p w14:paraId="5E3C9B78">
            <w:pPr>
              <w:snapToGrid w:val="0"/>
              <w:spacing w:line="360" w:lineRule="auto"/>
              <w:rPr>
                <w:rFonts w:ascii="宋体" w:hAnsi="宋体"/>
                <w:sz w:val="24"/>
                <w:szCs w:val="20"/>
              </w:rPr>
            </w:pPr>
            <w:r>
              <w:rPr>
                <w:rFonts w:hint="eastAsia" w:ascii="宋体" w:hAnsi="宋体"/>
                <w:sz w:val="24"/>
              </w:rPr>
              <w:t>投标人的承诺或说明</w:t>
            </w:r>
          </w:p>
        </w:tc>
      </w:tr>
      <w:tr w14:paraId="24890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26" w:type="dxa"/>
            <w:tcBorders>
              <w:top w:val="single" w:color="auto" w:sz="4" w:space="0"/>
              <w:left w:val="single" w:color="auto" w:sz="4" w:space="0"/>
              <w:bottom w:val="single" w:color="auto" w:sz="4" w:space="0"/>
              <w:right w:val="single" w:color="auto" w:sz="4" w:space="0"/>
            </w:tcBorders>
            <w:vAlign w:val="center"/>
          </w:tcPr>
          <w:p w14:paraId="38F11AEB">
            <w:pPr>
              <w:widowControl/>
              <w:jc w:val="left"/>
              <w:rPr>
                <w:rFonts w:ascii="宋体" w:hAnsi="宋体"/>
                <w:sz w:val="24"/>
              </w:rPr>
            </w:pPr>
            <w:r>
              <w:rPr>
                <w:rFonts w:hint="eastAsia" w:ascii="宋体" w:hAnsi="宋体"/>
                <w:b/>
                <w:bCs/>
                <w:sz w:val="24"/>
              </w:rPr>
              <w:t>质保期</w:t>
            </w:r>
          </w:p>
        </w:tc>
        <w:tc>
          <w:tcPr>
            <w:tcW w:w="6379" w:type="dxa"/>
            <w:tcBorders>
              <w:top w:val="single" w:color="auto" w:sz="4" w:space="0"/>
              <w:left w:val="single" w:color="auto" w:sz="4" w:space="0"/>
              <w:bottom w:val="single" w:color="auto" w:sz="4" w:space="0"/>
              <w:right w:val="single" w:color="auto" w:sz="4" w:space="0"/>
            </w:tcBorders>
            <w:vAlign w:val="center"/>
          </w:tcPr>
          <w:p w14:paraId="1A65806F">
            <w:pPr>
              <w:widowControl/>
              <w:jc w:val="left"/>
              <w:rPr>
                <w:rFonts w:ascii="宋体" w:hAnsi="宋体"/>
                <w:sz w:val="24"/>
              </w:rPr>
            </w:pPr>
            <w:r>
              <w:rPr>
                <w:rFonts w:hint="eastAsia" w:ascii="宋体" w:hAnsi="宋体"/>
                <w:sz w:val="24"/>
              </w:rPr>
              <w:t>▲验收合格交付使用之日起 年</w:t>
            </w:r>
          </w:p>
        </w:tc>
        <w:tc>
          <w:tcPr>
            <w:tcW w:w="708" w:type="dxa"/>
            <w:tcBorders>
              <w:top w:val="single" w:color="auto" w:sz="4" w:space="0"/>
              <w:left w:val="single" w:color="auto" w:sz="4" w:space="0"/>
              <w:bottom w:val="single" w:color="auto" w:sz="4" w:space="0"/>
              <w:right w:val="single" w:color="auto" w:sz="4" w:space="0"/>
            </w:tcBorders>
          </w:tcPr>
          <w:p w14:paraId="3B7C3C53">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14:paraId="4B9CCFAF">
            <w:pPr>
              <w:snapToGrid w:val="0"/>
              <w:spacing w:line="360" w:lineRule="auto"/>
              <w:rPr>
                <w:rFonts w:ascii="宋体" w:hAnsi="宋体"/>
                <w:sz w:val="24"/>
                <w:szCs w:val="20"/>
              </w:rPr>
            </w:pPr>
          </w:p>
        </w:tc>
      </w:tr>
      <w:tr w14:paraId="26175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526" w:type="dxa"/>
            <w:tcBorders>
              <w:top w:val="single" w:color="auto" w:sz="4" w:space="0"/>
              <w:left w:val="single" w:color="auto" w:sz="4" w:space="0"/>
              <w:bottom w:val="single" w:color="auto" w:sz="4" w:space="0"/>
              <w:right w:val="single" w:color="auto" w:sz="4" w:space="0"/>
            </w:tcBorders>
            <w:vAlign w:val="center"/>
          </w:tcPr>
          <w:p w14:paraId="716C9521">
            <w:pPr>
              <w:widowControl/>
              <w:jc w:val="left"/>
              <w:rPr>
                <w:rFonts w:ascii="宋体" w:hAnsi="宋体"/>
                <w:b/>
                <w:bCs/>
                <w:sz w:val="24"/>
              </w:rPr>
            </w:pPr>
            <w:r>
              <w:rPr>
                <w:rFonts w:hint="eastAsia" w:ascii="宋体" w:hAnsi="宋体"/>
                <w:b/>
                <w:bCs/>
                <w:sz w:val="24"/>
              </w:rPr>
              <w:t>售后技术服务要求</w:t>
            </w:r>
          </w:p>
        </w:tc>
        <w:tc>
          <w:tcPr>
            <w:tcW w:w="6379" w:type="dxa"/>
            <w:tcBorders>
              <w:top w:val="single" w:color="auto" w:sz="4" w:space="0"/>
              <w:left w:val="single" w:color="auto" w:sz="4" w:space="0"/>
              <w:bottom w:val="single" w:color="auto" w:sz="4" w:space="0"/>
              <w:right w:val="single" w:color="auto" w:sz="4" w:space="0"/>
            </w:tcBorders>
          </w:tcPr>
          <w:p w14:paraId="5068354D">
            <w:pPr>
              <w:widowControl/>
              <w:jc w:val="left"/>
              <w:rPr>
                <w:rFonts w:ascii="宋体" w:hAnsi="宋体"/>
                <w:sz w:val="24"/>
              </w:rPr>
            </w:pPr>
          </w:p>
        </w:tc>
        <w:tc>
          <w:tcPr>
            <w:tcW w:w="708" w:type="dxa"/>
            <w:tcBorders>
              <w:top w:val="single" w:color="auto" w:sz="4" w:space="0"/>
              <w:left w:val="single" w:color="auto" w:sz="4" w:space="0"/>
              <w:bottom w:val="single" w:color="auto" w:sz="4" w:space="0"/>
              <w:right w:val="single" w:color="auto" w:sz="4" w:space="0"/>
            </w:tcBorders>
          </w:tcPr>
          <w:p w14:paraId="26996A1C">
            <w:pPr>
              <w:snapToGrid w:val="0"/>
              <w:spacing w:line="360" w:lineRule="auto"/>
              <w:ind w:left="43"/>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14:paraId="40CA7C81">
            <w:pPr>
              <w:snapToGrid w:val="0"/>
              <w:spacing w:line="360" w:lineRule="auto"/>
              <w:ind w:left="43"/>
              <w:rPr>
                <w:rFonts w:ascii="宋体" w:hAnsi="宋体"/>
                <w:sz w:val="24"/>
                <w:szCs w:val="20"/>
              </w:rPr>
            </w:pPr>
          </w:p>
        </w:tc>
      </w:tr>
      <w:tr w14:paraId="7C6DC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26" w:type="dxa"/>
            <w:tcBorders>
              <w:top w:val="single" w:color="auto" w:sz="4" w:space="0"/>
              <w:left w:val="single" w:color="auto" w:sz="4" w:space="0"/>
              <w:bottom w:val="single" w:color="auto" w:sz="4" w:space="0"/>
              <w:right w:val="single" w:color="auto" w:sz="4" w:space="0"/>
            </w:tcBorders>
            <w:vAlign w:val="center"/>
          </w:tcPr>
          <w:p w14:paraId="0EBC7223">
            <w:pPr>
              <w:widowControl/>
              <w:jc w:val="left"/>
              <w:rPr>
                <w:rFonts w:ascii="宋体" w:hAnsi="宋体"/>
                <w:sz w:val="24"/>
              </w:rPr>
            </w:pPr>
            <w:r>
              <w:rPr>
                <w:rFonts w:hint="eastAsia" w:ascii="宋体" w:hAnsi="宋体"/>
                <w:b/>
                <w:bCs/>
                <w:sz w:val="24"/>
              </w:rPr>
              <w:t>交货时间及地点</w:t>
            </w:r>
          </w:p>
        </w:tc>
        <w:tc>
          <w:tcPr>
            <w:tcW w:w="6379" w:type="dxa"/>
            <w:tcBorders>
              <w:top w:val="single" w:color="auto" w:sz="4" w:space="0"/>
              <w:left w:val="single" w:color="auto" w:sz="4" w:space="0"/>
              <w:bottom w:val="single" w:color="auto" w:sz="4" w:space="0"/>
              <w:right w:val="single" w:color="auto" w:sz="4" w:space="0"/>
            </w:tcBorders>
          </w:tcPr>
          <w:p w14:paraId="2B698F25">
            <w:pPr>
              <w:widowControl/>
              <w:jc w:val="left"/>
              <w:rPr>
                <w:rFonts w:ascii="宋体" w:hAnsi="宋体"/>
                <w:sz w:val="24"/>
              </w:rPr>
            </w:pPr>
            <w:r>
              <w:rPr>
                <w:rFonts w:hint="eastAsia" w:ascii="宋体" w:hAnsi="宋体"/>
                <w:sz w:val="24"/>
              </w:rPr>
              <w:t>▲交货时间：合同生效且接到采购方通知后 日历天内</w:t>
            </w:r>
          </w:p>
          <w:p w14:paraId="1F90D6D1">
            <w:pPr>
              <w:widowControl/>
              <w:jc w:val="left"/>
              <w:rPr>
                <w:rFonts w:ascii="宋体" w:hAnsi="宋体"/>
                <w:sz w:val="24"/>
              </w:rPr>
            </w:pPr>
            <w:r>
              <w:rPr>
                <w:rFonts w:hint="eastAsia" w:ascii="宋体" w:hAnsi="宋体"/>
                <w:sz w:val="24"/>
              </w:rPr>
              <w:t xml:space="preserve">地点：采购人指定地点 </w:t>
            </w:r>
          </w:p>
        </w:tc>
        <w:tc>
          <w:tcPr>
            <w:tcW w:w="708" w:type="dxa"/>
            <w:tcBorders>
              <w:top w:val="single" w:color="auto" w:sz="4" w:space="0"/>
              <w:left w:val="single" w:color="auto" w:sz="4" w:space="0"/>
              <w:bottom w:val="single" w:color="auto" w:sz="4" w:space="0"/>
              <w:right w:val="single" w:color="auto" w:sz="4" w:space="0"/>
            </w:tcBorders>
          </w:tcPr>
          <w:p w14:paraId="753341F2">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14:paraId="01276112">
            <w:pPr>
              <w:snapToGrid w:val="0"/>
              <w:spacing w:line="360" w:lineRule="auto"/>
              <w:rPr>
                <w:rFonts w:ascii="宋体" w:hAnsi="宋体"/>
                <w:sz w:val="24"/>
                <w:szCs w:val="20"/>
              </w:rPr>
            </w:pPr>
          </w:p>
        </w:tc>
      </w:tr>
      <w:tr w14:paraId="42FB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26" w:type="dxa"/>
            <w:tcBorders>
              <w:top w:val="single" w:color="auto" w:sz="4" w:space="0"/>
              <w:left w:val="single" w:color="auto" w:sz="4" w:space="0"/>
              <w:bottom w:val="single" w:color="auto" w:sz="4" w:space="0"/>
              <w:right w:val="single" w:color="auto" w:sz="4" w:space="0"/>
            </w:tcBorders>
            <w:vAlign w:val="center"/>
          </w:tcPr>
          <w:p w14:paraId="6F6850DC">
            <w:pPr>
              <w:widowControl/>
              <w:jc w:val="left"/>
              <w:rPr>
                <w:rFonts w:ascii="宋体" w:hAnsi="宋体"/>
                <w:sz w:val="24"/>
              </w:rPr>
            </w:pPr>
            <w:r>
              <w:rPr>
                <w:rFonts w:hint="eastAsia" w:ascii="宋体" w:hAnsi="宋体"/>
                <w:b/>
                <w:bCs/>
                <w:sz w:val="24"/>
              </w:rPr>
              <w:t>履约保证金</w:t>
            </w:r>
          </w:p>
        </w:tc>
        <w:tc>
          <w:tcPr>
            <w:tcW w:w="6379" w:type="dxa"/>
            <w:tcBorders>
              <w:top w:val="single" w:color="auto" w:sz="4" w:space="0"/>
              <w:left w:val="single" w:color="auto" w:sz="4" w:space="0"/>
              <w:bottom w:val="single" w:color="auto" w:sz="4" w:space="0"/>
              <w:right w:val="single" w:color="auto" w:sz="4" w:space="0"/>
            </w:tcBorders>
            <w:vAlign w:val="center"/>
          </w:tcPr>
          <w:p w14:paraId="33434B24">
            <w:pPr>
              <w:widowControl/>
              <w:jc w:val="left"/>
              <w:rPr>
                <w:rFonts w:ascii="宋体" w:hAnsi="宋体"/>
                <w:sz w:val="24"/>
              </w:rPr>
            </w:pPr>
            <w:r>
              <w:rPr>
                <w:rFonts w:hint="eastAsia" w:ascii="宋体" w:hAnsi="宋体"/>
                <w:sz w:val="24"/>
              </w:rPr>
              <w:t>合同价的1%，履约保证金形式为：银行转账或银行、保险公司出具的保函；合同期限结束后由采购人无息退还。</w:t>
            </w:r>
          </w:p>
        </w:tc>
        <w:tc>
          <w:tcPr>
            <w:tcW w:w="708" w:type="dxa"/>
            <w:tcBorders>
              <w:top w:val="single" w:color="auto" w:sz="4" w:space="0"/>
              <w:left w:val="single" w:color="auto" w:sz="4" w:space="0"/>
              <w:bottom w:val="single" w:color="auto" w:sz="4" w:space="0"/>
              <w:right w:val="single" w:color="auto" w:sz="4" w:space="0"/>
            </w:tcBorders>
          </w:tcPr>
          <w:p w14:paraId="4A311C31">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14:paraId="393AEE66">
            <w:pPr>
              <w:snapToGrid w:val="0"/>
              <w:spacing w:line="360" w:lineRule="auto"/>
              <w:rPr>
                <w:rFonts w:ascii="宋体" w:hAnsi="宋体"/>
                <w:sz w:val="24"/>
                <w:szCs w:val="20"/>
              </w:rPr>
            </w:pPr>
          </w:p>
        </w:tc>
      </w:tr>
      <w:tr w14:paraId="330E2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26" w:type="dxa"/>
            <w:tcBorders>
              <w:top w:val="single" w:color="auto" w:sz="4" w:space="0"/>
              <w:left w:val="single" w:color="auto" w:sz="4" w:space="0"/>
              <w:bottom w:val="single" w:color="auto" w:sz="4" w:space="0"/>
              <w:right w:val="single" w:color="auto" w:sz="4" w:space="0"/>
            </w:tcBorders>
            <w:vAlign w:val="center"/>
          </w:tcPr>
          <w:p w14:paraId="74D43E98">
            <w:pPr>
              <w:widowControl/>
              <w:jc w:val="left"/>
              <w:rPr>
                <w:rFonts w:ascii="宋体" w:hAnsi="宋体"/>
                <w:sz w:val="24"/>
              </w:rPr>
            </w:pPr>
            <w:r>
              <w:rPr>
                <w:rFonts w:hint="eastAsia" w:ascii="宋体" w:hAnsi="宋体"/>
                <w:sz w:val="24"/>
              </w:rPr>
              <w:t>付款条件</w:t>
            </w:r>
          </w:p>
        </w:tc>
        <w:tc>
          <w:tcPr>
            <w:tcW w:w="6379" w:type="dxa"/>
            <w:tcBorders>
              <w:top w:val="single" w:color="auto" w:sz="4" w:space="0"/>
              <w:left w:val="single" w:color="auto" w:sz="4" w:space="0"/>
              <w:bottom w:val="single" w:color="auto" w:sz="4" w:space="0"/>
              <w:right w:val="single" w:color="auto" w:sz="4" w:space="0"/>
            </w:tcBorders>
          </w:tcPr>
          <w:p w14:paraId="7132207B">
            <w:pPr>
              <w:pStyle w:val="20"/>
              <w:spacing w:line="400" w:lineRule="exact"/>
              <w:rPr>
                <w:rFonts w:ascii="宋体" w:hAnsi="宋体" w:eastAsia="宋体"/>
                <w:sz w:val="24"/>
                <w:szCs w:val="24"/>
              </w:rPr>
            </w:pPr>
            <w:r>
              <w:rPr>
                <w:rFonts w:hint="eastAsia" w:ascii="宋体" w:hAnsi="宋体" w:eastAsia="Times New Roman"/>
                <w:sz w:val="24"/>
                <w:szCs w:val="24"/>
              </w:rPr>
              <w:t>▲根据《保障中小企业款项支付条例》、省财政厅《浙江省财政厅关于进一步发挥政府采购政策功能全力推动经济稳进提质的通知》（浙财采监[2022]3号）文件要求，制定如下付款方式：采购人自合同生效及具备实施条件后7个工作日内支付合同金额</w:t>
            </w:r>
            <w:r>
              <w:rPr>
                <w:rFonts w:hint="eastAsia" w:ascii="宋体" w:hAnsi="宋体" w:eastAsia="宋体"/>
                <w:sz w:val="24"/>
                <w:szCs w:val="24"/>
              </w:rPr>
              <w:t>4</w:t>
            </w:r>
            <w:r>
              <w:rPr>
                <w:rFonts w:hint="eastAsia" w:ascii="宋体" w:hAnsi="宋体" w:eastAsia="Times New Roman"/>
                <w:sz w:val="24"/>
                <w:szCs w:val="24"/>
              </w:rPr>
              <w:t>0%的预付款；终验合格后付清。</w:t>
            </w:r>
          </w:p>
          <w:p w14:paraId="3CA85FC6">
            <w:pPr>
              <w:pStyle w:val="20"/>
              <w:spacing w:line="400" w:lineRule="exact"/>
              <w:rPr>
                <w:rFonts w:ascii="宋体" w:hAnsi="宋体" w:eastAsia="Times New Roman"/>
                <w:sz w:val="24"/>
                <w:szCs w:val="24"/>
              </w:rPr>
            </w:pPr>
            <w:r>
              <w:rPr>
                <w:rFonts w:hint="eastAsia" w:ascii="宋体" w:hAnsi="宋体" w:eastAsia="Times New Roman"/>
                <w:sz w:val="24"/>
                <w:szCs w:val="24"/>
              </w:rPr>
              <w:t>注：若中标供应商明确表示无需预付款或者主动要求降低预付款比例的，采购人可不适用前述规定。</w:t>
            </w:r>
          </w:p>
        </w:tc>
        <w:tc>
          <w:tcPr>
            <w:tcW w:w="708" w:type="dxa"/>
            <w:tcBorders>
              <w:top w:val="single" w:color="auto" w:sz="4" w:space="0"/>
              <w:left w:val="single" w:color="auto" w:sz="4" w:space="0"/>
              <w:bottom w:val="single" w:color="auto" w:sz="4" w:space="0"/>
              <w:right w:val="single" w:color="auto" w:sz="4" w:space="0"/>
            </w:tcBorders>
          </w:tcPr>
          <w:p w14:paraId="2AEB67D0">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14:paraId="6A47343D">
            <w:pPr>
              <w:snapToGrid w:val="0"/>
              <w:spacing w:line="360" w:lineRule="auto"/>
              <w:rPr>
                <w:rFonts w:ascii="宋体" w:hAnsi="宋体"/>
                <w:sz w:val="24"/>
                <w:szCs w:val="20"/>
              </w:rPr>
            </w:pPr>
          </w:p>
        </w:tc>
      </w:tr>
      <w:tr w14:paraId="67996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26" w:type="dxa"/>
            <w:tcBorders>
              <w:top w:val="single" w:color="auto" w:sz="4" w:space="0"/>
              <w:left w:val="single" w:color="auto" w:sz="4" w:space="0"/>
              <w:bottom w:val="single" w:color="auto" w:sz="4" w:space="0"/>
              <w:right w:val="single" w:color="auto" w:sz="4" w:space="0"/>
            </w:tcBorders>
            <w:vAlign w:val="center"/>
          </w:tcPr>
          <w:p w14:paraId="395B9747">
            <w:pPr>
              <w:widowControl/>
              <w:jc w:val="left"/>
              <w:rPr>
                <w:rFonts w:ascii="宋体" w:hAnsi="宋体"/>
                <w:sz w:val="24"/>
              </w:rPr>
            </w:pPr>
            <w:r>
              <w:rPr>
                <w:rFonts w:hint="eastAsia" w:ascii="宋体" w:hAnsi="宋体"/>
                <w:b/>
                <w:bCs/>
                <w:sz w:val="24"/>
              </w:rPr>
              <w:t>备品备件及耗材等要求</w:t>
            </w:r>
          </w:p>
        </w:tc>
        <w:tc>
          <w:tcPr>
            <w:tcW w:w="6379" w:type="dxa"/>
            <w:tcBorders>
              <w:top w:val="single" w:color="auto" w:sz="4" w:space="0"/>
              <w:left w:val="single" w:color="auto" w:sz="4" w:space="0"/>
              <w:bottom w:val="single" w:color="auto" w:sz="4" w:space="0"/>
              <w:right w:val="single" w:color="auto" w:sz="4" w:space="0"/>
            </w:tcBorders>
          </w:tcPr>
          <w:p w14:paraId="27DA44C2">
            <w:pPr>
              <w:widowControl/>
              <w:jc w:val="left"/>
              <w:rPr>
                <w:rFonts w:ascii="宋体" w:hAnsi="宋体"/>
                <w:sz w:val="24"/>
              </w:rPr>
            </w:pPr>
          </w:p>
        </w:tc>
        <w:tc>
          <w:tcPr>
            <w:tcW w:w="708" w:type="dxa"/>
            <w:tcBorders>
              <w:top w:val="single" w:color="auto" w:sz="4" w:space="0"/>
              <w:left w:val="single" w:color="auto" w:sz="4" w:space="0"/>
              <w:bottom w:val="single" w:color="auto" w:sz="4" w:space="0"/>
              <w:right w:val="single" w:color="auto" w:sz="4" w:space="0"/>
            </w:tcBorders>
          </w:tcPr>
          <w:p w14:paraId="32FD186A">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14:paraId="590D0A87">
            <w:pPr>
              <w:snapToGrid w:val="0"/>
              <w:spacing w:line="360" w:lineRule="auto"/>
              <w:rPr>
                <w:rFonts w:ascii="宋体" w:hAnsi="宋体"/>
                <w:sz w:val="24"/>
                <w:szCs w:val="20"/>
              </w:rPr>
            </w:pPr>
          </w:p>
        </w:tc>
      </w:tr>
      <w:tr w14:paraId="664CB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26" w:type="dxa"/>
            <w:tcBorders>
              <w:top w:val="single" w:color="auto" w:sz="4" w:space="0"/>
              <w:left w:val="single" w:color="auto" w:sz="4" w:space="0"/>
              <w:bottom w:val="single" w:color="auto" w:sz="4" w:space="0"/>
              <w:right w:val="single" w:color="auto" w:sz="4" w:space="0"/>
            </w:tcBorders>
            <w:vAlign w:val="center"/>
          </w:tcPr>
          <w:p w14:paraId="3C5555CC">
            <w:pPr>
              <w:widowControl/>
              <w:jc w:val="left"/>
              <w:rPr>
                <w:rFonts w:ascii="宋体" w:hAnsi="宋体"/>
                <w:sz w:val="24"/>
              </w:rPr>
            </w:pPr>
            <w:r>
              <w:rPr>
                <w:rFonts w:hint="eastAsia" w:ascii="宋体" w:hAnsi="宋体"/>
                <w:b/>
                <w:bCs/>
                <w:sz w:val="24"/>
              </w:rPr>
              <w:t>培训要求</w:t>
            </w:r>
          </w:p>
        </w:tc>
        <w:tc>
          <w:tcPr>
            <w:tcW w:w="6379" w:type="dxa"/>
            <w:tcBorders>
              <w:top w:val="single" w:color="auto" w:sz="4" w:space="0"/>
              <w:left w:val="single" w:color="auto" w:sz="4" w:space="0"/>
              <w:bottom w:val="single" w:color="auto" w:sz="4" w:space="0"/>
              <w:right w:val="single" w:color="auto" w:sz="4" w:space="0"/>
            </w:tcBorders>
          </w:tcPr>
          <w:p w14:paraId="2ED06A3F">
            <w:pPr>
              <w:widowControl/>
              <w:jc w:val="left"/>
              <w:rPr>
                <w:rFonts w:ascii="宋体" w:hAnsi="宋体"/>
                <w:sz w:val="24"/>
              </w:rPr>
            </w:pPr>
          </w:p>
        </w:tc>
        <w:tc>
          <w:tcPr>
            <w:tcW w:w="708" w:type="dxa"/>
            <w:tcBorders>
              <w:top w:val="single" w:color="auto" w:sz="4" w:space="0"/>
              <w:left w:val="single" w:color="auto" w:sz="4" w:space="0"/>
              <w:bottom w:val="single" w:color="auto" w:sz="4" w:space="0"/>
              <w:right w:val="single" w:color="auto" w:sz="4" w:space="0"/>
            </w:tcBorders>
          </w:tcPr>
          <w:p w14:paraId="1932CCCD">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14:paraId="7600513B">
            <w:pPr>
              <w:snapToGrid w:val="0"/>
              <w:spacing w:line="360" w:lineRule="auto"/>
              <w:rPr>
                <w:rFonts w:ascii="宋体" w:hAnsi="宋体"/>
                <w:sz w:val="24"/>
                <w:szCs w:val="20"/>
              </w:rPr>
            </w:pPr>
          </w:p>
        </w:tc>
      </w:tr>
    </w:tbl>
    <w:p w14:paraId="2264ADF3">
      <w:pPr>
        <w:snapToGrid w:val="0"/>
        <w:spacing w:line="360" w:lineRule="auto"/>
        <w:jc w:val="left"/>
      </w:pPr>
      <w:r>
        <w:rPr>
          <w:rFonts w:hint="eastAsia" w:ascii="宋体" w:hAnsi="宋体"/>
          <w:sz w:val="24"/>
        </w:rPr>
        <w:t>25</w:t>
      </w:r>
      <w:r>
        <w:rPr>
          <w:rFonts w:ascii="宋体" w:hAnsi="宋体"/>
          <w:sz w:val="24"/>
        </w:rPr>
        <w:t>.</w:t>
      </w:r>
      <w:r>
        <w:rPr>
          <w:rFonts w:hint="eastAsia" w:ascii="宋体" w:hAnsi="宋体"/>
          <w:sz w:val="24"/>
        </w:rPr>
        <w:t>售后服务优惠承诺</w:t>
      </w:r>
      <w:bookmarkStart w:id="121" w:name="OLE_LINK163"/>
      <w:bookmarkStart w:id="122" w:name="OLE_LINK162"/>
      <w:r>
        <w:rPr>
          <w:rFonts w:hint="eastAsia" w:ascii="宋体" w:hAnsi="宋体"/>
          <w:sz w:val="24"/>
        </w:rPr>
        <w:t>（格式自拟）</w:t>
      </w:r>
      <w:bookmarkEnd w:id="121"/>
      <w:bookmarkEnd w:id="122"/>
    </w:p>
    <w:p w14:paraId="0F8B6271">
      <w:pPr>
        <w:pStyle w:val="85"/>
        <w:rPr>
          <w:color w:val="auto"/>
        </w:rPr>
      </w:pPr>
    </w:p>
    <w:p w14:paraId="12BE987C">
      <w:pPr>
        <w:pStyle w:val="86"/>
        <w:ind w:left="0"/>
      </w:pPr>
    </w:p>
    <w:p w14:paraId="00AA12DD"/>
    <w:p w14:paraId="4FA0E6D3">
      <w:pPr>
        <w:pStyle w:val="2"/>
      </w:pPr>
    </w:p>
    <w:p w14:paraId="40154B6F">
      <w:pPr>
        <w:pStyle w:val="85"/>
        <w:rPr>
          <w:rFonts w:ascii="宋体" w:hAnsi="宋体" w:eastAsia="宋体" w:cs="Times New Roman"/>
          <w:color w:val="auto"/>
          <w:kern w:val="2"/>
        </w:rPr>
      </w:pPr>
      <w:r>
        <w:rPr>
          <w:rFonts w:hint="eastAsia" w:ascii="宋体" w:hAnsi="宋体" w:eastAsia="宋体" w:cs="Times New Roman"/>
          <w:color w:val="auto"/>
          <w:kern w:val="2"/>
        </w:rPr>
        <w:t>26.培训方案</w:t>
      </w:r>
      <w:bookmarkStart w:id="123" w:name="OLE_LINK165"/>
      <w:r>
        <w:rPr>
          <w:rFonts w:hint="eastAsia" w:ascii="宋体" w:hAnsi="宋体" w:eastAsia="宋体" w:cs="Times New Roman"/>
          <w:color w:val="auto"/>
          <w:kern w:val="2"/>
        </w:rPr>
        <w:t>（格式自拟）</w:t>
      </w:r>
    </w:p>
    <w:bookmarkEnd w:id="123"/>
    <w:p w14:paraId="447F283E">
      <w:pPr>
        <w:pStyle w:val="2"/>
        <w:rPr>
          <w:rFonts w:ascii="宋体" w:hAnsi="宋体"/>
          <w:sz w:val="24"/>
        </w:rPr>
      </w:pPr>
    </w:p>
    <w:p w14:paraId="78813747"/>
    <w:p w14:paraId="54211E52">
      <w:pPr>
        <w:pStyle w:val="85"/>
        <w:rPr>
          <w:color w:val="auto"/>
        </w:rPr>
      </w:pPr>
    </w:p>
    <w:p w14:paraId="257CFFC9">
      <w:pPr>
        <w:pStyle w:val="86"/>
        <w:rPr>
          <w:rFonts w:ascii="宋体" w:hAnsi="宋体"/>
          <w:kern w:val="2"/>
          <w:sz w:val="24"/>
          <w:szCs w:val="24"/>
        </w:rPr>
      </w:pPr>
    </w:p>
    <w:p w14:paraId="186D3193">
      <w:pPr>
        <w:pStyle w:val="85"/>
        <w:rPr>
          <w:rFonts w:ascii="宋体" w:hAnsi="宋体" w:eastAsia="宋体" w:cs="Times New Roman"/>
          <w:color w:val="auto"/>
          <w:kern w:val="2"/>
        </w:rPr>
      </w:pPr>
      <w:bookmarkStart w:id="124" w:name="OLE_LINK151"/>
      <w:bookmarkStart w:id="125" w:name="OLE_LINK150"/>
      <w:r>
        <w:rPr>
          <w:rFonts w:hint="eastAsia" w:ascii="宋体" w:hAnsi="宋体" w:eastAsia="宋体" w:cs="Times New Roman"/>
          <w:color w:val="auto"/>
          <w:kern w:val="2"/>
        </w:rPr>
        <w:t>27.响应时间</w:t>
      </w:r>
      <w:bookmarkEnd w:id="124"/>
      <w:bookmarkEnd w:id="125"/>
      <w:r>
        <w:rPr>
          <w:rFonts w:hint="eastAsia" w:ascii="宋体" w:hAnsi="宋体" w:eastAsia="宋体" w:cs="Times New Roman"/>
          <w:color w:val="auto"/>
          <w:kern w:val="2"/>
        </w:rPr>
        <w:t>（格式自拟）</w:t>
      </w:r>
    </w:p>
    <w:p w14:paraId="5499EE94"/>
    <w:p w14:paraId="4DEFF761"/>
    <w:p w14:paraId="7CB63300">
      <w:pPr>
        <w:pStyle w:val="3"/>
        <w:ind w:firstLine="280"/>
      </w:pPr>
    </w:p>
    <w:p w14:paraId="0651A7F8">
      <w:pPr>
        <w:snapToGrid w:val="0"/>
        <w:spacing w:line="360" w:lineRule="auto"/>
        <w:rPr>
          <w:rFonts w:ascii="宋体" w:hAnsi="宋体"/>
          <w:sz w:val="24"/>
        </w:rPr>
      </w:pPr>
      <w:r>
        <w:rPr>
          <w:rFonts w:hint="eastAsia" w:ascii="宋体" w:hAnsi="宋体"/>
          <w:bCs/>
          <w:sz w:val="24"/>
        </w:rPr>
        <w:t>28.</w:t>
      </w:r>
      <w:r>
        <w:rPr>
          <w:rFonts w:hint="eastAsia" w:ascii="宋体" w:hAnsi="宋体"/>
          <w:sz w:val="24"/>
        </w:rPr>
        <w:t xml:space="preserve">技术、商务、资信及其他分自评表  </w:t>
      </w:r>
    </w:p>
    <w:p w14:paraId="41906A6D">
      <w:pPr>
        <w:pStyle w:val="19"/>
        <w:spacing w:line="360" w:lineRule="auto"/>
        <w:ind w:firstLine="300" w:firstLineChars="129"/>
        <w:rPr>
          <w:rFonts w:hAnsi="宋体"/>
          <w:b/>
          <w:sz w:val="24"/>
        </w:rPr>
      </w:pPr>
      <w:r>
        <w:rPr>
          <w:rFonts w:hint="eastAsia" w:hAnsi="宋体"/>
          <w:b/>
          <w:sz w:val="24"/>
        </w:rPr>
        <w:t>投标人名称</w:t>
      </w:r>
    </w:p>
    <w:tbl>
      <w:tblPr>
        <w:tblStyle w:val="43"/>
        <w:tblW w:w="0" w:type="auto"/>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533"/>
        <w:gridCol w:w="2268"/>
        <w:gridCol w:w="1276"/>
        <w:gridCol w:w="1701"/>
      </w:tblGrid>
      <w:tr w14:paraId="1238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556" w:type="dxa"/>
            <w:gridSpan w:val="2"/>
            <w:vAlign w:val="center"/>
          </w:tcPr>
          <w:p w14:paraId="79BA91D9">
            <w:pPr>
              <w:spacing w:line="360" w:lineRule="auto"/>
              <w:jc w:val="center"/>
              <w:rPr>
                <w:rFonts w:ascii="宋体" w:hAnsi="宋体"/>
                <w:sz w:val="24"/>
              </w:rPr>
            </w:pPr>
            <w:r>
              <w:rPr>
                <w:rFonts w:hint="eastAsia" w:ascii="宋体" w:hAnsi="宋体"/>
                <w:sz w:val="24"/>
              </w:rPr>
              <w:t>评分项目</w:t>
            </w:r>
          </w:p>
        </w:tc>
        <w:tc>
          <w:tcPr>
            <w:tcW w:w="2268" w:type="dxa"/>
            <w:vAlign w:val="center"/>
          </w:tcPr>
          <w:p w14:paraId="5551419C">
            <w:pPr>
              <w:snapToGrid w:val="0"/>
              <w:spacing w:line="360" w:lineRule="auto"/>
              <w:jc w:val="center"/>
              <w:rPr>
                <w:rFonts w:ascii="宋体" w:hAnsi="宋体"/>
                <w:sz w:val="24"/>
              </w:rPr>
            </w:pPr>
            <w:r>
              <w:rPr>
                <w:rFonts w:hint="eastAsia" w:ascii="宋体" w:hAnsi="宋体"/>
                <w:sz w:val="24"/>
              </w:rPr>
              <w:t>投标文件对应资料</w:t>
            </w:r>
          </w:p>
        </w:tc>
        <w:tc>
          <w:tcPr>
            <w:tcW w:w="1276" w:type="dxa"/>
            <w:vAlign w:val="center"/>
          </w:tcPr>
          <w:p w14:paraId="2608BAF0">
            <w:pPr>
              <w:snapToGrid w:val="0"/>
              <w:spacing w:line="360" w:lineRule="auto"/>
              <w:jc w:val="center"/>
              <w:rPr>
                <w:rFonts w:ascii="宋体" w:hAnsi="宋体"/>
                <w:sz w:val="24"/>
              </w:rPr>
            </w:pPr>
            <w:r>
              <w:rPr>
                <w:rFonts w:hint="eastAsia" w:ascii="宋体" w:hAnsi="宋体"/>
                <w:sz w:val="24"/>
              </w:rPr>
              <w:t>自评分</w:t>
            </w:r>
          </w:p>
        </w:tc>
        <w:tc>
          <w:tcPr>
            <w:tcW w:w="1701" w:type="dxa"/>
            <w:vAlign w:val="center"/>
          </w:tcPr>
          <w:p w14:paraId="206B59F8">
            <w:pPr>
              <w:snapToGrid w:val="0"/>
              <w:spacing w:line="360" w:lineRule="auto"/>
              <w:jc w:val="center"/>
              <w:rPr>
                <w:rFonts w:ascii="宋体" w:hAnsi="宋体"/>
                <w:sz w:val="24"/>
              </w:rPr>
            </w:pPr>
            <w:r>
              <w:rPr>
                <w:rFonts w:hint="eastAsia" w:ascii="宋体" w:hAnsi="宋体"/>
                <w:sz w:val="24"/>
              </w:rPr>
              <w:t>投标文件页码</w:t>
            </w:r>
          </w:p>
        </w:tc>
      </w:tr>
      <w:tr w14:paraId="3E4D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023" w:type="dxa"/>
            <w:vMerge w:val="restart"/>
            <w:vAlign w:val="center"/>
          </w:tcPr>
          <w:p w14:paraId="4E0994A8">
            <w:pPr>
              <w:spacing w:line="360" w:lineRule="auto"/>
              <w:jc w:val="center"/>
              <w:rPr>
                <w:rFonts w:ascii="宋体" w:hAnsi="宋体"/>
                <w:sz w:val="24"/>
              </w:rPr>
            </w:pPr>
            <w:r>
              <w:rPr>
                <w:rFonts w:hint="eastAsia" w:ascii="宋体" w:hAnsi="宋体"/>
                <w:sz w:val="24"/>
              </w:rPr>
              <w:t>技</w:t>
            </w:r>
          </w:p>
          <w:p w14:paraId="404159E6">
            <w:pPr>
              <w:spacing w:line="360" w:lineRule="auto"/>
              <w:jc w:val="center"/>
              <w:rPr>
                <w:rFonts w:ascii="宋体" w:hAnsi="宋体"/>
                <w:sz w:val="24"/>
              </w:rPr>
            </w:pPr>
            <w:r>
              <w:rPr>
                <w:rFonts w:hint="eastAsia" w:ascii="宋体" w:hAnsi="宋体"/>
                <w:sz w:val="24"/>
              </w:rPr>
              <w:t>术</w:t>
            </w:r>
          </w:p>
          <w:p w14:paraId="63776BFE">
            <w:pPr>
              <w:spacing w:line="360" w:lineRule="auto"/>
              <w:jc w:val="center"/>
              <w:rPr>
                <w:rFonts w:ascii="宋体" w:hAnsi="宋体"/>
                <w:sz w:val="24"/>
              </w:rPr>
            </w:pPr>
            <w:r>
              <w:rPr>
                <w:rFonts w:hint="eastAsia" w:ascii="宋体" w:hAnsi="宋体"/>
                <w:sz w:val="24"/>
              </w:rPr>
              <w:t>分</w:t>
            </w:r>
          </w:p>
          <w:p w14:paraId="41C4ABD6">
            <w:pPr>
              <w:spacing w:line="360" w:lineRule="auto"/>
              <w:jc w:val="center"/>
              <w:rPr>
                <w:rFonts w:ascii="宋体" w:hAnsi="宋体"/>
                <w:sz w:val="24"/>
              </w:rPr>
            </w:pPr>
            <w:r>
              <w:rPr>
                <w:rFonts w:hint="eastAsia" w:ascii="宋体" w:hAnsi="宋体"/>
                <w:sz w:val="24"/>
              </w:rPr>
              <w:t>52分</w:t>
            </w:r>
          </w:p>
        </w:tc>
        <w:tc>
          <w:tcPr>
            <w:tcW w:w="3533" w:type="dxa"/>
          </w:tcPr>
          <w:p w14:paraId="1AAE3DC4">
            <w:pPr>
              <w:spacing w:line="360" w:lineRule="auto"/>
              <w:jc w:val="left"/>
              <w:rPr>
                <w:rFonts w:ascii="宋体" w:hAnsi="宋体"/>
                <w:sz w:val="24"/>
              </w:rPr>
            </w:pPr>
          </w:p>
        </w:tc>
        <w:tc>
          <w:tcPr>
            <w:tcW w:w="2268" w:type="dxa"/>
          </w:tcPr>
          <w:p w14:paraId="52CE62B5">
            <w:pPr>
              <w:spacing w:line="360" w:lineRule="auto"/>
              <w:rPr>
                <w:rFonts w:ascii="宋体" w:hAnsi="宋体"/>
                <w:sz w:val="24"/>
              </w:rPr>
            </w:pPr>
          </w:p>
        </w:tc>
        <w:tc>
          <w:tcPr>
            <w:tcW w:w="1276" w:type="dxa"/>
          </w:tcPr>
          <w:p w14:paraId="37F8F32C">
            <w:pPr>
              <w:spacing w:line="360" w:lineRule="auto"/>
              <w:rPr>
                <w:rFonts w:ascii="宋体" w:hAnsi="宋体"/>
                <w:sz w:val="24"/>
              </w:rPr>
            </w:pPr>
          </w:p>
        </w:tc>
        <w:tc>
          <w:tcPr>
            <w:tcW w:w="1701" w:type="dxa"/>
          </w:tcPr>
          <w:p w14:paraId="257DF8FF">
            <w:pPr>
              <w:spacing w:line="360" w:lineRule="auto"/>
              <w:rPr>
                <w:rFonts w:ascii="宋体" w:hAnsi="宋体"/>
                <w:sz w:val="24"/>
              </w:rPr>
            </w:pPr>
          </w:p>
        </w:tc>
      </w:tr>
      <w:tr w14:paraId="151C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36D9B52D">
            <w:pPr>
              <w:spacing w:line="360" w:lineRule="auto"/>
              <w:rPr>
                <w:rFonts w:ascii="宋体" w:hAnsi="宋体"/>
                <w:sz w:val="24"/>
              </w:rPr>
            </w:pPr>
          </w:p>
        </w:tc>
        <w:tc>
          <w:tcPr>
            <w:tcW w:w="3533" w:type="dxa"/>
          </w:tcPr>
          <w:p w14:paraId="4B2872AE">
            <w:pPr>
              <w:spacing w:line="360" w:lineRule="auto"/>
              <w:jc w:val="left"/>
              <w:rPr>
                <w:rFonts w:ascii="宋体" w:hAnsi="宋体"/>
                <w:sz w:val="24"/>
              </w:rPr>
            </w:pPr>
          </w:p>
        </w:tc>
        <w:tc>
          <w:tcPr>
            <w:tcW w:w="2268" w:type="dxa"/>
          </w:tcPr>
          <w:p w14:paraId="655CB291">
            <w:pPr>
              <w:spacing w:line="360" w:lineRule="auto"/>
              <w:rPr>
                <w:rFonts w:ascii="宋体" w:hAnsi="宋体"/>
                <w:sz w:val="24"/>
              </w:rPr>
            </w:pPr>
          </w:p>
        </w:tc>
        <w:tc>
          <w:tcPr>
            <w:tcW w:w="1276" w:type="dxa"/>
          </w:tcPr>
          <w:p w14:paraId="46EEB616">
            <w:pPr>
              <w:spacing w:line="360" w:lineRule="auto"/>
              <w:rPr>
                <w:rFonts w:ascii="宋体" w:hAnsi="宋体"/>
                <w:sz w:val="24"/>
              </w:rPr>
            </w:pPr>
          </w:p>
        </w:tc>
        <w:tc>
          <w:tcPr>
            <w:tcW w:w="1701" w:type="dxa"/>
          </w:tcPr>
          <w:p w14:paraId="0CAAF605">
            <w:pPr>
              <w:spacing w:line="360" w:lineRule="auto"/>
              <w:rPr>
                <w:rFonts w:ascii="宋体" w:hAnsi="宋体"/>
                <w:sz w:val="24"/>
              </w:rPr>
            </w:pPr>
          </w:p>
        </w:tc>
      </w:tr>
      <w:tr w14:paraId="0288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63199D39">
            <w:pPr>
              <w:spacing w:line="360" w:lineRule="auto"/>
              <w:rPr>
                <w:rFonts w:ascii="宋体" w:hAnsi="宋体"/>
                <w:sz w:val="24"/>
              </w:rPr>
            </w:pPr>
          </w:p>
        </w:tc>
        <w:tc>
          <w:tcPr>
            <w:tcW w:w="3533" w:type="dxa"/>
          </w:tcPr>
          <w:p w14:paraId="157FF271">
            <w:pPr>
              <w:spacing w:line="360" w:lineRule="auto"/>
              <w:jc w:val="left"/>
              <w:rPr>
                <w:rFonts w:ascii="宋体" w:hAnsi="宋体"/>
                <w:sz w:val="24"/>
              </w:rPr>
            </w:pPr>
          </w:p>
        </w:tc>
        <w:tc>
          <w:tcPr>
            <w:tcW w:w="2268" w:type="dxa"/>
          </w:tcPr>
          <w:p w14:paraId="2019199B">
            <w:pPr>
              <w:spacing w:line="360" w:lineRule="auto"/>
              <w:rPr>
                <w:rFonts w:ascii="宋体" w:hAnsi="宋体"/>
                <w:sz w:val="24"/>
              </w:rPr>
            </w:pPr>
          </w:p>
        </w:tc>
        <w:tc>
          <w:tcPr>
            <w:tcW w:w="1276" w:type="dxa"/>
          </w:tcPr>
          <w:p w14:paraId="1E6CB06C">
            <w:pPr>
              <w:spacing w:line="360" w:lineRule="auto"/>
              <w:rPr>
                <w:rFonts w:ascii="宋体" w:hAnsi="宋体"/>
                <w:sz w:val="24"/>
              </w:rPr>
            </w:pPr>
          </w:p>
        </w:tc>
        <w:tc>
          <w:tcPr>
            <w:tcW w:w="1701" w:type="dxa"/>
          </w:tcPr>
          <w:p w14:paraId="150A8C6E">
            <w:pPr>
              <w:spacing w:line="360" w:lineRule="auto"/>
              <w:rPr>
                <w:rFonts w:ascii="宋体" w:hAnsi="宋体"/>
                <w:sz w:val="24"/>
              </w:rPr>
            </w:pPr>
          </w:p>
        </w:tc>
      </w:tr>
      <w:tr w14:paraId="68B1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48DDDE98">
            <w:pPr>
              <w:spacing w:line="360" w:lineRule="auto"/>
              <w:rPr>
                <w:rFonts w:ascii="宋体" w:hAnsi="宋体"/>
                <w:sz w:val="24"/>
              </w:rPr>
            </w:pPr>
          </w:p>
        </w:tc>
        <w:tc>
          <w:tcPr>
            <w:tcW w:w="3533" w:type="dxa"/>
          </w:tcPr>
          <w:p w14:paraId="637E5FD5">
            <w:pPr>
              <w:spacing w:line="360" w:lineRule="auto"/>
              <w:jc w:val="left"/>
              <w:rPr>
                <w:rFonts w:ascii="宋体" w:hAnsi="宋体"/>
                <w:sz w:val="24"/>
              </w:rPr>
            </w:pPr>
          </w:p>
        </w:tc>
        <w:tc>
          <w:tcPr>
            <w:tcW w:w="2268" w:type="dxa"/>
          </w:tcPr>
          <w:p w14:paraId="09B2C4BC">
            <w:pPr>
              <w:spacing w:line="360" w:lineRule="auto"/>
              <w:rPr>
                <w:rFonts w:ascii="宋体" w:hAnsi="宋体"/>
                <w:sz w:val="24"/>
              </w:rPr>
            </w:pPr>
          </w:p>
        </w:tc>
        <w:tc>
          <w:tcPr>
            <w:tcW w:w="1276" w:type="dxa"/>
          </w:tcPr>
          <w:p w14:paraId="2D8A91C8">
            <w:pPr>
              <w:spacing w:line="360" w:lineRule="auto"/>
              <w:rPr>
                <w:rFonts w:ascii="宋体" w:hAnsi="宋体"/>
                <w:sz w:val="24"/>
              </w:rPr>
            </w:pPr>
          </w:p>
        </w:tc>
        <w:tc>
          <w:tcPr>
            <w:tcW w:w="1701" w:type="dxa"/>
          </w:tcPr>
          <w:p w14:paraId="2A98C8ED">
            <w:pPr>
              <w:spacing w:line="360" w:lineRule="auto"/>
              <w:rPr>
                <w:rFonts w:ascii="宋体" w:hAnsi="宋体"/>
                <w:sz w:val="24"/>
              </w:rPr>
            </w:pPr>
          </w:p>
        </w:tc>
      </w:tr>
      <w:tr w14:paraId="2D8E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restart"/>
            <w:vAlign w:val="center"/>
          </w:tcPr>
          <w:p w14:paraId="7876569B">
            <w:pPr>
              <w:spacing w:line="360" w:lineRule="auto"/>
              <w:jc w:val="center"/>
              <w:rPr>
                <w:rFonts w:ascii="宋体" w:hAnsi="宋体"/>
                <w:sz w:val="24"/>
              </w:rPr>
            </w:pPr>
            <w:r>
              <w:rPr>
                <w:rFonts w:hint="eastAsia" w:ascii="宋体" w:hAnsi="宋体"/>
                <w:sz w:val="24"/>
              </w:rPr>
              <w:t>商务、</w:t>
            </w:r>
          </w:p>
          <w:p w14:paraId="63B03330">
            <w:pPr>
              <w:spacing w:line="360" w:lineRule="auto"/>
              <w:jc w:val="center"/>
              <w:rPr>
                <w:rFonts w:ascii="宋体" w:hAnsi="宋体"/>
                <w:sz w:val="24"/>
              </w:rPr>
            </w:pPr>
            <w:r>
              <w:rPr>
                <w:rFonts w:hint="eastAsia" w:ascii="宋体" w:hAnsi="宋体"/>
                <w:sz w:val="24"/>
              </w:rPr>
              <w:t>资信及其他18</w:t>
            </w:r>
          </w:p>
          <w:p w14:paraId="6D3425B0">
            <w:pPr>
              <w:spacing w:line="360" w:lineRule="auto"/>
              <w:rPr>
                <w:rFonts w:ascii="宋体" w:hAnsi="宋体"/>
                <w:sz w:val="24"/>
              </w:rPr>
            </w:pPr>
            <w:r>
              <w:rPr>
                <w:rFonts w:hint="eastAsia" w:ascii="宋体" w:hAnsi="宋体"/>
                <w:sz w:val="24"/>
              </w:rPr>
              <w:t>分</w:t>
            </w:r>
          </w:p>
        </w:tc>
        <w:tc>
          <w:tcPr>
            <w:tcW w:w="3533" w:type="dxa"/>
          </w:tcPr>
          <w:p w14:paraId="0723E9F9">
            <w:pPr>
              <w:spacing w:line="360" w:lineRule="auto"/>
              <w:jc w:val="left"/>
              <w:rPr>
                <w:rFonts w:ascii="宋体" w:hAnsi="宋体"/>
                <w:sz w:val="24"/>
              </w:rPr>
            </w:pPr>
          </w:p>
        </w:tc>
        <w:tc>
          <w:tcPr>
            <w:tcW w:w="2268" w:type="dxa"/>
          </w:tcPr>
          <w:p w14:paraId="30780D5E">
            <w:pPr>
              <w:spacing w:line="360" w:lineRule="auto"/>
              <w:rPr>
                <w:rFonts w:ascii="宋体" w:hAnsi="宋体"/>
                <w:sz w:val="24"/>
              </w:rPr>
            </w:pPr>
          </w:p>
        </w:tc>
        <w:tc>
          <w:tcPr>
            <w:tcW w:w="1276" w:type="dxa"/>
          </w:tcPr>
          <w:p w14:paraId="18799EF3">
            <w:pPr>
              <w:spacing w:line="360" w:lineRule="auto"/>
              <w:rPr>
                <w:rFonts w:ascii="宋体" w:hAnsi="宋体"/>
                <w:sz w:val="24"/>
              </w:rPr>
            </w:pPr>
          </w:p>
        </w:tc>
        <w:tc>
          <w:tcPr>
            <w:tcW w:w="1701" w:type="dxa"/>
          </w:tcPr>
          <w:p w14:paraId="52FE9F3F">
            <w:pPr>
              <w:spacing w:line="360" w:lineRule="auto"/>
              <w:rPr>
                <w:rFonts w:ascii="宋体" w:hAnsi="宋体"/>
                <w:sz w:val="24"/>
              </w:rPr>
            </w:pPr>
          </w:p>
        </w:tc>
      </w:tr>
      <w:tr w14:paraId="4D2A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023" w:type="dxa"/>
            <w:vMerge w:val="continue"/>
          </w:tcPr>
          <w:p w14:paraId="676BFB4A">
            <w:pPr>
              <w:spacing w:line="360" w:lineRule="auto"/>
              <w:jc w:val="center"/>
              <w:rPr>
                <w:rFonts w:ascii="宋体" w:hAnsi="宋体"/>
                <w:sz w:val="24"/>
              </w:rPr>
            </w:pPr>
          </w:p>
        </w:tc>
        <w:tc>
          <w:tcPr>
            <w:tcW w:w="3533" w:type="dxa"/>
          </w:tcPr>
          <w:p w14:paraId="7BC4AC7E">
            <w:pPr>
              <w:spacing w:line="360" w:lineRule="auto"/>
              <w:jc w:val="left"/>
              <w:rPr>
                <w:rFonts w:ascii="宋体" w:hAnsi="宋体"/>
                <w:sz w:val="24"/>
              </w:rPr>
            </w:pPr>
          </w:p>
        </w:tc>
        <w:tc>
          <w:tcPr>
            <w:tcW w:w="2268" w:type="dxa"/>
          </w:tcPr>
          <w:p w14:paraId="1E6C91D4">
            <w:pPr>
              <w:spacing w:line="360" w:lineRule="auto"/>
              <w:rPr>
                <w:rFonts w:ascii="宋体" w:hAnsi="宋体"/>
                <w:sz w:val="24"/>
              </w:rPr>
            </w:pPr>
          </w:p>
        </w:tc>
        <w:tc>
          <w:tcPr>
            <w:tcW w:w="1276" w:type="dxa"/>
          </w:tcPr>
          <w:p w14:paraId="19255D36">
            <w:pPr>
              <w:spacing w:line="360" w:lineRule="auto"/>
              <w:rPr>
                <w:rFonts w:ascii="宋体" w:hAnsi="宋体"/>
                <w:sz w:val="24"/>
              </w:rPr>
            </w:pPr>
          </w:p>
        </w:tc>
        <w:tc>
          <w:tcPr>
            <w:tcW w:w="1701" w:type="dxa"/>
          </w:tcPr>
          <w:p w14:paraId="5B3827C1">
            <w:pPr>
              <w:spacing w:line="360" w:lineRule="auto"/>
              <w:rPr>
                <w:rFonts w:ascii="宋体" w:hAnsi="宋体"/>
                <w:sz w:val="24"/>
              </w:rPr>
            </w:pPr>
          </w:p>
        </w:tc>
      </w:tr>
      <w:tr w14:paraId="7047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023" w:type="dxa"/>
            <w:vMerge w:val="continue"/>
            <w:vAlign w:val="center"/>
          </w:tcPr>
          <w:p w14:paraId="481B5E90">
            <w:pPr>
              <w:spacing w:line="360" w:lineRule="auto"/>
              <w:jc w:val="center"/>
              <w:rPr>
                <w:rFonts w:ascii="宋体" w:hAnsi="宋体"/>
                <w:sz w:val="24"/>
              </w:rPr>
            </w:pPr>
          </w:p>
        </w:tc>
        <w:tc>
          <w:tcPr>
            <w:tcW w:w="3533" w:type="dxa"/>
          </w:tcPr>
          <w:p w14:paraId="22F4E3C1">
            <w:pPr>
              <w:spacing w:line="360" w:lineRule="auto"/>
              <w:jc w:val="left"/>
              <w:rPr>
                <w:rFonts w:ascii="宋体" w:hAnsi="宋体"/>
                <w:sz w:val="24"/>
              </w:rPr>
            </w:pPr>
          </w:p>
        </w:tc>
        <w:tc>
          <w:tcPr>
            <w:tcW w:w="2268" w:type="dxa"/>
          </w:tcPr>
          <w:p w14:paraId="3DA881A9">
            <w:pPr>
              <w:spacing w:line="360" w:lineRule="auto"/>
              <w:rPr>
                <w:rFonts w:ascii="宋体" w:hAnsi="宋体"/>
                <w:sz w:val="24"/>
              </w:rPr>
            </w:pPr>
          </w:p>
        </w:tc>
        <w:tc>
          <w:tcPr>
            <w:tcW w:w="1276" w:type="dxa"/>
          </w:tcPr>
          <w:p w14:paraId="38338323">
            <w:pPr>
              <w:spacing w:line="360" w:lineRule="auto"/>
              <w:rPr>
                <w:rFonts w:ascii="宋体" w:hAnsi="宋体"/>
                <w:sz w:val="24"/>
              </w:rPr>
            </w:pPr>
          </w:p>
        </w:tc>
        <w:tc>
          <w:tcPr>
            <w:tcW w:w="1701" w:type="dxa"/>
          </w:tcPr>
          <w:p w14:paraId="1DFEB99D">
            <w:pPr>
              <w:spacing w:line="360" w:lineRule="auto"/>
              <w:rPr>
                <w:rFonts w:ascii="宋体" w:hAnsi="宋体"/>
                <w:sz w:val="24"/>
              </w:rPr>
            </w:pPr>
          </w:p>
        </w:tc>
      </w:tr>
      <w:tr w14:paraId="65A6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023" w:type="dxa"/>
            <w:vMerge w:val="continue"/>
            <w:vAlign w:val="center"/>
          </w:tcPr>
          <w:p w14:paraId="0AEC607F">
            <w:pPr>
              <w:spacing w:line="360" w:lineRule="auto"/>
              <w:jc w:val="center"/>
              <w:rPr>
                <w:rFonts w:ascii="宋体" w:hAnsi="宋体"/>
                <w:sz w:val="24"/>
              </w:rPr>
            </w:pPr>
          </w:p>
        </w:tc>
        <w:tc>
          <w:tcPr>
            <w:tcW w:w="3533" w:type="dxa"/>
          </w:tcPr>
          <w:p w14:paraId="46B4B05E">
            <w:pPr>
              <w:spacing w:line="360" w:lineRule="auto"/>
              <w:jc w:val="left"/>
              <w:rPr>
                <w:rFonts w:ascii="宋体" w:hAnsi="宋体"/>
                <w:sz w:val="24"/>
              </w:rPr>
            </w:pPr>
          </w:p>
        </w:tc>
        <w:tc>
          <w:tcPr>
            <w:tcW w:w="2268" w:type="dxa"/>
          </w:tcPr>
          <w:p w14:paraId="6B70CBCF">
            <w:pPr>
              <w:spacing w:line="360" w:lineRule="auto"/>
              <w:rPr>
                <w:rFonts w:ascii="宋体" w:hAnsi="宋体"/>
                <w:sz w:val="24"/>
              </w:rPr>
            </w:pPr>
          </w:p>
        </w:tc>
        <w:tc>
          <w:tcPr>
            <w:tcW w:w="1276" w:type="dxa"/>
          </w:tcPr>
          <w:p w14:paraId="59D7D601">
            <w:pPr>
              <w:spacing w:line="360" w:lineRule="auto"/>
              <w:rPr>
                <w:rFonts w:ascii="宋体" w:hAnsi="宋体"/>
                <w:sz w:val="24"/>
              </w:rPr>
            </w:pPr>
          </w:p>
        </w:tc>
        <w:tc>
          <w:tcPr>
            <w:tcW w:w="1701" w:type="dxa"/>
          </w:tcPr>
          <w:p w14:paraId="3806F7FB">
            <w:pPr>
              <w:spacing w:line="360" w:lineRule="auto"/>
              <w:rPr>
                <w:rFonts w:ascii="宋体" w:hAnsi="宋体"/>
                <w:sz w:val="24"/>
              </w:rPr>
            </w:pPr>
          </w:p>
        </w:tc>
      </w:tr>
      <w:tr w14:paraId="18B2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023" w:type="dxa"/>
            <w:vMerge w:val="continue"/>
            <w:vAlign w:val="center"/>
          </w:tcPr>
          <w:p w14:paraId="5A1F8AF9">
            <w:pPr>
              <w:spacing w:line="360" w:lineRule="auto"/>
              <w:jc w:val="center"/>
              <w:rPr>
                <w:rFonts w:ascii="宋体" w:hAnsi="宋体"/>
                <w:sz w:val="24"/>
              </w:rPr>
            </w:pPr>
          </w:p>
        </w:tc>
        <w:tc>
          <w:tcPr>
            <w:tcW w:w="3533" w:type="dxa"/>
          </w:tcPr>
          <w:p w14:paraId="29D186E1">
            <w:pPr>
              <w:spacing w:line="360" w:lineRule="auto"/>
              <w:jc w:val="left"/>
              <w:rPr>
                <w:rFonts w:ascii="宋体" w:hAnsi="宋体"/>
                <w:sz w:val="24"/>
              </w:rPr>
            </w:pPr>
          </w:p>
        </w:tc>
        <w:tc>
          <w:tcPr>
            <w:tcW w:w="2268" w:type="dxa"/>
          </w:tcPr>
          <w:p w14:paraId="75938348">
            <w:pPr>
              <w:spacing w:line="360" w:lineRule="auto"/>
              <w:rPr>
                <w:rFonts w:ascii="宋体" w:hAnsi="宋体"/>
                <w:sz w:val="24"/>
              </w:rPr>
            </w:pPr>
          </w:p>
        </w:tc>
        <w:tc>
          <w:tcPr>
            <w:tcW w:w="1276" w:type="dxa"/>
          </w:tcPr>
          <w:p w14:paraId="23FE2AFC">
            <w:pPr>
              <w:spacing w:line="360" w:lineRule="auto"/>
              <w:rPr>
                <w:rFonts w:ascii="宋体" w:hAnsi="宋体"/>
                <w:sz w:val="24"/>
              </w:rPr>
            </w:pPr>
          </w:p>
        </w:tc>
        <w:tc>
          <w:tcPr>
            <w:tcW w:w="1701" w:type="dxa"/>
          </w:tcPr>
          <w:p w14:paraId="266D941C">
            <w:pPr>
              <w:spacing w:line="360" w:lineRule="auto"/>
              <w:rPr>
                <w:rFonts w:ascii="宋体" w:hAnsi="宋体"/>
                <w:sz w:val="24"/>
              </w:rPr>
            </w:pPr>
          </w:p>
        </w:tc>
      </w:tr>
      <w:tr w14:paraId="776B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56" w:type="dxa"/>
            <w:gridSpan w:val="2"/>
            <w:vAlign w:val="center"/>
          </w:tcPr>
          <w:p w14:paraId="7EA2555D">
            <w:pPr>
              <w:spacing w:line="360" w:lineRule="auto"/>
              <w:jc w:val="center"/>
              <w:rPr>
                <w:rFonts w:ascii="宋体" w:hAnsi="宋体"/>
                <w:sz w:val="24"/>
              </w:rPr>
            </w:pPr>
            <w:r>
              <w:rPr>
                <w:rFonts w:hint="eastAsia" w:ascii="宋体" w:hAnsi="宋体" w:cs="宋体"/>
                <w:sz w:val="24"/>
              </w:rPr>
              <w:t>合计得分</w:t>
            </w:r>
          </w:p>
        </w:tc>
        <w:tc>
          <w:tcPr>
            <w:tcW w:w="2268" w:type="dxa"/>
          </w:tcPr>
          <w:p w14:paraId="75E22E4F">
            <w:pPr>
              <w:spacing w:line="360" w:lineRule="auto"/>
              <w:rPr>
                <w:rFonts w:ascii="宋体" w:hAnsi="宋体"/>
                <w:sz w:val="24"/>
              </w:rPr>
            </w:pPr>
          </w:p>
        </w:tc>
        <w:tc>
          <w:tcPr>
            <w:tcW w:w="2977" w:type="dxa"/>
            <w:gridSpan w:val="2"/>
          </w:tcPr>
          <w:p w14:paraId="2CF78140">
            <w:pPr>
              <w:spacing w:line="360" w:lineRule="auto"/>
              <w:rPr>
                <w:rFonts w:ascii="宋体" w:hAnsi="宋体"/>
                <w:sz w:val="24"/>
              </w:rPr>
            </w:pPr>
          </w:p>
        </w:tc>
      </w:tr>
    </w:tbl>
    <w:p w14:paraId="58C60934">
      <w:pPr>
        <w:pStyle w:val="85"/>
        <w:rPr>
          <w:rFonts w:hAnsi="宋体"/>
          <w:color w:val="auto"/>
        </w:rPr>
      </w:pPr>
      <w:r>
        <w:rPr>
          <w:color w:val="auto"/>
        </w:rPr>
        <w:br w:type="page"/>
      </w:r>
    </w:p>
    <w:p w14:paraId="09ACA176">
      <w:pPr>
        <w:snapToGrid w:val="0"/>
        <w:spacing w:line="360" w:lineRule="auto"/>
        <w:jc w:val="center"/>
        <w:rPr>
          <w:rFonts w:ascii="宋体" w:hAnsi="宋体"/>
          <w:sz w:val="30"/>
          <w:szCs w:val="20"/>
        </w:rPr>
      </w:pPr>
      <w:r>
        <w:rPr>
          <w:rFonts w:hint="eastAsia" w:ascii="宋体" w:hAnsi="宋体"/>
          <w:sz w:val="24"/>
        </w:rPr>
        <w:t>三、报价文件格式</w:t>
      </w:r>
    </w:p>
    <w:p w14:paraId="399C129F">
      <w:pPr>
        <w:snapToGrid w:val="0"/>
        <w:spacing w:line="360" w:lineRule="auto"/>
        <w:rPr>
          <w:rFonts w:ascii="宋体" w:hAnsi="宋体"/>
          <w:sz w:val="24"/>
          <w:szCs w:val="20"/>
        </w:rPr>
      </w:pPr>
      <w:r>
        <w:rPr>
          <w:rFonts w:hint="eastAsia" w:ascii="宋体" w:hAnsi="宋体"/>
          <w:sz w:val="24"/>
        </w:rPr>
        <w:t>29.报价文件封面格式：</w:t>
      </w:r>
      <w:r>
        <w:rPr>
          <w:rFonts w:ascii="宋体" w:hAnsi="宋体"/>
          <w:sz w:val="24"/>
        </w:rPr>
        <w:t xml:space="preserve"> </w:t>
      </w:r>
    </w:p>
    <w:p w14:paraId="6766F9BB">
      <w:pPr>
        <w:snapToGrid w:val="0"/>
        <w:spacing w:line="360" w:lineRule="auto"/>
        <w:rPr>
          <w:rFonts w:ascii="宋体" w:hAnsi="宋体"/>
          <w:b/>
          <w:bCs/>
          <w:sz w:val="32"/>
          <w:szCs w:val="20"/>
        </w:rPr>
      </w:pPr>
      <w:r>
        <w:rPr>
          <w:rFonts w:ascii="宋体" w:hAnsi="宋体"/>
          <w:sz w:val="24"/>
        </w:rPr>
        <w:t xml:space="preserve">                                                    </w:t>
      </w:r>
      <w:r>
        <w:rPr>
          <w:rFonts w:hint="eastAsia" w:ascii="宋体" w:hAnsi="宋体"/>
          <w:b/>
          <w:bCs/>
        </w:rPr>
        <w:t>正本</w:t>
      </w:r>
      <w:r>
        <w:rPr>
          <w:rFonts w:ascii="宋体" w:hAnsi="宋体"/>
          <w:b/>
          <w:bCs/>
        </w:rPr>
        <w:t>/</w:t>
      </w:r>
      <w:r>
        <w:rPr>
          <w:rFonts w:hint="eastAsia" w:ascii="宋体" w:hAnsi="宋体"/>
          <w:b/>
          <w:bCs/>
        </w:rPr>
        <w:t>或副本</w:t>
      </w:r>
    </w:p>
    <w:p w14:paraId="7F68C3D4">
      <w:pPr>
        <w:snapToGrid w:val="0"/>
        <w:spacing w:line="360" w:lineRule="auto"/>
        <w:rPr>
          <w:rFonts w:ascii="宋体" w:hAnsi="宋体"/>
          <w:sz w:val="24"/>
          <w:szCs w:val="20"/>
        </w:rPr>
      </w:pPr>
    </w:p>
    <w:p w14:paraId="4DC9170E">
      <w:pPr>
        <w:snapToGrid w:val="0"/>
        <w:spacing w:line="360" w:lineRule="auto"/>
        <w:jc w:val="center"/>
        <w:rPr>
          <w:rFonts w:ascii="宋体" w:hAnsi="宋体"/>
          <w:bCs/>
          <w:sz w:val="24"/>
          <w:szCs w:val="20"/>
        </w:rPr>
      </w:pPr>
    </w:p>
    <w:p w14:paraId="133ECF06">
      <w:pPr>
        <w:snapToGrid w:val="0"/>
        <w:spacing w:line="360" w:lineRule="auto"/>
        <w:jc w:val="center"/>
        <w:rPr>
          <w:rFonts w:ascii="宋体" w:hAnsi="宋体"/>
          <w:bCs/>
          <w:sz w:val="24"/>
          <w:szCs w:val="20"/>
        </w:rPr>
      </w:pPr>
      <w:r>
        <w:rPr>
          <w:rFonts w:hint="eastAsia" w:ascii="宋体" w:hAnsi="宋体"/>
          <w:bCs/>
          <w:sz w:val="24"/>
        </w:rPr>
        <w:t>报价</w:t>
      </w:r>
      <w:r>
        <w:rPr>
          <w:rFonts w:ascii="宋体" w:hAnsi="宋体"/>
          <w:bCs/>
          <w:sz w:val="24"/>
        </w:rPr>
        <w:t xml:space="preserve"> </w:t>
      </w:r>
      <w:r>
        <w:rPr>
          <w:rFonts w:hint="eastAsia" w:ascii="宋体" w:hAnsi="宋体"/>
          <w:bCs/>
          <w:sz w:val="24"/>
        </w:rPr>
        <w:t>文</w:t>
      </w:r>
      <w:r>
        <w:rPr>
          <w:rFonts w:ascii="宋体" w:hAnsi="宋体"/>
          <w:bCs/>
          <w:sz w:val="24"/>
        </w:rPr>
        <w:t xml:space="preserve"> </w:t>
      </w:r>
      <w:r>
        <w:rPr>
          <w:rFonts w:hint="eastAsia" w:ascii="宋体" w:hAnsi="宋体"/>
          <w:bCs/>
          <w:sz w:val="24"/>
        </w:rPr>
        <w:t>件</w:t>
      </w:r>
    </w:p>
    <w:p w14:paraId="2B3A8259">
      <w:pPr>
        <w:snapToGrid w:val="0"/>
        <w:spacing w:line="360" w:lineRule="auto"/>
        <w:rPr>
          <w:rFonts w:ascii="宋体" w:hAnsi="宋体"/>
          <w:bCs/>
          <w:sz w:val="24"/>
          <w:szCs w:val="20"/>
        </w:rPr>
      </w:pPr>
    </w:p>
    <w:p w14:paraId="727AD4B3">
      <w:pPr>
        <w:snapToGrid w:val="0"/>
        <w:spacing w:line="360" w:lineRule="auto"/>
        <w:ind w:firstLine="960" w:firstLineChars="400"/>
        <w:rPr>
          <w:rFonts w:ascii="宋体" w:hAnsi="宋体"/>
          <w:bCs/>
          <w:sz w:val="24"/>
        </w:rPr>
      </w:pPr>
      <w:r>
        <w:rPr>
          <w:rFonts w:hint="eastAsia" w:ascii="宋体" w:hAnsi="宋体"/>
          <w:bCs/>
          <w:sz w:val="24"/>
        </w:rPr>
        <w:t>项目名称：</w:t>
      </w:r>
      <w:r>
        <w:rPr>
          <w:rFonts w:hint="eastAsia" w:ascii="宋体" w:hAnsi="宋体"/>
          <w:spacing w:val="-20"/>
          <w:sz w:val="24"/>
        </w:rPr>
        <w:t>吴兴高级中学生物实验室改造项目</w:t>
      </w:r>
    </w:p>
    <w:p w14:paraId="38169A84">
      <w:pPr>
        <w:snapToGrid w:val="0"/>
        <w:spacing w:line="360" w:lineRule="auto"/>
        <w:ind w:firstLine="1080" w:firstLineChars="450"/>
        <w:jc w:val="left"/>
        <w:rPr>
          <w:rFonts w:ascii="宋体" w:hAnsi="宋体"/>
          <w:sz w:val="24"/>
        </w:rPr>
      </w:pPr>
      <w:r>
        <w:rPr>
          <w:rFonts w:hint="eastAsia" w:ascii="宋体" w:hAnsi="宋体"/>
          <w:bCs/>
          <w:sz w:val="24"/>
        </w:rPr>
        <w:t>项目编号：HYHZ2025-69</w:t>
      </w:r>
    </w:p>
    <w:p w14:paraId="454E5020">
      <w:pPr>
        <w:snapToGrid w:val="0"/>
        <w:spacing w:line="360" w:lineRule="auto"/>
        <w:ind w:firstLine="480" w:firstLineChars="200"/>
        <w:rPr>
          <w:sz w:val="24"/>
        </w:rPr>
      </w:pPr>
      <w:r>
        <w:rPr>
          <w:sz w:val="24"/>
        </w:rPr>
        <w:t xml:space="preserve">    </w:t>
      </w:r>
      <w:r>
        <w:rPr>
          <w:rFonts w:hint="eastAsia"/>
          <w:sz w:val="24"/>
        </w:rPr>
        <w:t xml:space="preserve"> 投标人名称：</w:t>
      </w:r>
    </w:p>
    <w:p w14:paraId="1525DEB9">
      <w:pPr>
        <w:pStyle w:val="13"/>
        <w:snapToGrid w:val="0"/>
        <w:spacing w:line="360" w:lineRule="auto"/>
        <w:ind w:firstLine="998" w:firstLineChars="416"/>
        <w:rPr>
          <w:rFonts w:ascii="宋体" w:hAnsi="宋体"/>
          <w:bCs/>
          <w:sz w:val="24"/>
        </w:rPr>
      </w:pPr>
      <w:r>
        <w:rPr>
          <w:rFonts w:hint="eastAsia" w:ascii="宋体" w:hAnsi="宋体"/>
          <w:bCs/>
          <w:sz w:val="24"/>
        </w:rPr>
        <w:t>投标人地址：</w:t>
      </w:r>
    </w:p>
    <w:p w14:paraId="4BE12B55">
      <w:pPr>
        <w:pStyle w:val="13"/>
        <w:snapToGrid w:val="0"/>
        <w:spacing w:line="360" w:lineRule="auto"/>
        <w:ind w:firstLine="960" w:firstLineChars="400"/>
        <w:rPr>
          <w:rFonts w:ascii="宋体" w:hAnsi="宋体"/>
          <w:bCs/>
          <w:sz w:val="24"/>
        </w:rPr>
      </w:pPr>
    </w:p>
    <w:p w14:paraId="6D06948A">
      <w:pPr>
        <w:pStyle w:val="13"/>
        <w:snapToGrid w:val="0"/>
        <w:spacing w:line="360" w:lineRule="auto"/>
        <w:ind w:firstLine="1497" w:firstLineChars="416"/>
        <w:rPr>
          <w:rFonts w:ascii="宋体" w:hAnsi="宋体"/>
          <w:sz w:val="36"/>
        </w:rPr>
      </w:pPr>
    </w:p>
    <w:p w14:paraId="40C1B1B3">
      <w:pPr>
        <w:snapToGrid w:val="0"/>
        <w:spacing w:line="360" w:lineRule="auto"/>
        <w:ind w:firstLine="4080" w:firstLineChars="1700"/>
        <w:rPr>
          <w:rFonts w:ascii="宋体" w:hAnsi="宋体"/>
          <w:sz w:val="24"/>
          <w:szCs w:val="20"/>
        </w:rPr>
      </w:pPr>
    </w:p>
    <w:p w14:paraId="577C4CC2">
      <w:pPr>
        <w:snapToGrid w:val="0"/>
        <w:spacing w:line="360" w:lineRule="auto"/>
        <w:jc w:val="center"/>
        <w:rPr>
          <w:rFonts w:ascii="宋体" w:hAnsi="宋体"/>
          <w:sz w:val="30"/>
          <w:szCs w:val="20"/>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33533602">
      <w:pPr>
        <w:snapToGrid w:val="0"/>
        <w:spacing w:line="360" w:lineRule="auto"/>
        <w:jc w:val="center"/>
        <w:rPr>
          <w:rFonts w:ascii="宋体" w:hAnsi="宋体"/>
          <w:sz w:val="30"/>
          <w:szCs w:val="20"/>
        </w:rPr>
      </w:pPr>
    </w:p>
    <w:p w14:paraId="4B23928E">
      <w:pPr>
        <w:snapToGrid w:val="0"/>
        <w:spacing w:line="360" w:lineRule="auto"/>
        <w:rPr>
          <w:rFonts w:ascii="宋体" w:hAnsi="宋体"/>
          <w:sz w:val="24"/>
          <w:szCs w:val="20"/>
        </w:rPr>
      </w:pPr>
      <w:r>
        <w:rPr>
          <w:rFonts w:ascii="宋体" w:hAnsi="宋体"/>
        </w:rPr>
        <w:br w:type="page"/>
      </w:r>
      <w:r>
        <w:rPr>
          <w:rFonts w:hint="eastAsia" w:ascii="宋体" w:hAnsi="宋体"/>
          <w:sz w:val="24"/>
        </w:rPr>
        <w:t>30.投标函格式：</w:t>
      </w:r>
    </w:p>
    <w:p w14:paraId="263603A7">
      <w:pPr>
        <w:snapToGrid w:val="0"/>
        <w:spacing w:line="360" w:lineRule="auto"/>
        <w:jc w:val="center"/>
        <w:rPr>
          <w:rFonts w:ascii="宋体" w:hAnsi="宋体"/>
          <w:b/>
          <w:sz w:val="24"/>
          <w:szCs w:val="20"/>
        </w:rPr>
      </w:pPr>
      <w:r>
        <w:rPr>
          <w:rFonts w:hint="eastAsia" w:ascii="宋体" w:hAnsi="宋体"/>
          <w:b/>
          <w:sz w:val="24"/>
        </w:rPr>
        <w:t>投</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函</w:t>
      </w:r>
    </w:p>
    <w:p w14:paraId="0C905500">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14:paraId="3F7B5064">
      <w:pPr>
        <w:snapToGrid w:val="0"/>
        <w:spacing w:line="360" w:lineRule="auto"/>
        <w:ind w:firstLine="480"/>
        <w:rPr>
          <w:rFonts w:ascii="宋体" w:hAnsi="宋体"/>
          <w:sz w:val="24"/>
          <w:szCs w:val="20"/>
        </w:rPr>
      </w:pPr>
      <w:r>
        <w:rPr>
          <w:rFonts w:hint="eastAsia" w:ascii="宋体" w:hAnsi="宋体"/>
          <w:sz w:val="24"/>
        </w:rPr>
        <w:t>根据贵方为</w:t>
      </w:r>
      <w:r>
        <w:rPr>
          <w:rFonts w:ascii="宋体" w:hAnsi="宋体"/>
          <w:sz w:val="24"/>
          <w:u w:val="single"/>
        </w:rPr>
        <w:t xml:space="preserve">                             </w:t>
      </w:r>
      <w:r>
        <w:rPr>
          <w:rFonts w:hint="eastAsia" w:ascii="宋体" w:hAnsi="宋体"/>
          <w:sz w:val="24"/>
        </w:rPr>
        <w:t>项目的招标公告</w:t>
      </w:r>
      <w:r>
        <w:rPr>
          <w:rFonts w:ascii="宋体" w:hAnsi="宋体"/>
          <w:sz w:val="24"/>
        </w:rPr>
        <w:t>/</w:t>
      </w:r>
      <w:r>
        <w:rPr>
          <w:rFonts w:hint="eastAsia" w:ascii="宋体" w:hAnsi="宋体"/>
          <w:sz w:val="24"/>
        </w:rPr>
        <w:t>投标邀请书</w:t>
      </w:r>
    </w:p>
    <w:p w14:paraId="195B0962">
      <w:pPr>
        <w:snapToGrid w:val="0"/>
        <w:spacing w:line="360" w:lineRule="auto"/>
        <w:rPr>
          <w:rFonts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（全名）经正式授权并代表投标人</w:t>
      </w:r>
      <w:r>
        <w:rPr>
          <w:rFonts w:ascii="宋体" w:hAnsi="宋体"/>
          <w:sz w:val="24"/>
        </w:rPr>
        <w:t>_____</w:t>
      </w:r>
      <w:r>
        <w:rPr>
          <w:rFonts w:ascii="宋体" w:hAnsi="宋体"/>
          <w:sz w:val="24"/>
          <w:u w:val="single"/>
        </w:rPr>
        <w:t>__                    __</w:t>
      </w:r>
      <w:r>
        <w:rPr>
          <w:rFonts w:hint="eastAsia" w:ascii="宋体" w:hAnsi="宋体"/>
          <w:sz w:val="24"/>
        </w:rPr>
        <w:t>（投标人名称）提交资格文件、技术/资信/商务文件</w:t>
      </w:r>
      <w:r>
        <w:rPr>
          <w:rFonts w:hint="eastAsia" w:ascii="宋体" w:hAnsi="宋体" w:cs="Arial"/>
          <w:sz w:val="24"/>
        </w:rPr>
        <w:t>、</w:t>
      </w:r>
      <w:r>
        <w:rPr>
          <w:rFonts w:hint="eastAsia" w:ascii="宋体" w:hAnsi="宋体"/>
          <w:sz w:val="24"/>
        </w:rPr>
        <w:t>投标报价文件各一份。</w:t>
      </w:r>
    </w:p>
    <w:p w14:paraId="252E8F05">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19F20DCF">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14:paraId="77598478">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14:paraId="30856C10">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 xml:space="preserve"> ______</w:t>
      </w:r>
      <w:r>
        <w:rPr>
          <w:rFonts w:hint="eastAsia" w:ascii="宋体" w:hAnsi="宋体"/>
          <w:sz w:val="24"/>
        </w:rPr>
        <w:t>个日。</w:t>
      </w:r>
    </w:p>
    <w:p w14:paraId="3A5A0DAB">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14:paraId="3C1C61F0">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14:paraId="3B77F8BD">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7B58929E">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14:paraId="259BDE68">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 xml:space="preserve"> ___________  </w:t>
      </w:r>
      <w:r>
        <w:rPr>
          <w:rFonts w:hint="eastAsia" w:ascii="宋体" w:hAnsi="宋体"/>
          <w:sz w:val="24"/>
        </w:rPr>
        <w:t>职务：</w:t>
      </w:r>
      <w:r>
        <w:rPr>
          <w:rFonts w:ascii="宋体" w:hAnsi="宋体"/>
          <w:sz w:val="24"/>
        </w:rPr>
        <w:t>______</w:t>
      </w:r>
      <w:r>
        <w:rPr>
          <w:rFonts w:ascii="宋体" w:hAnsi="宋体"/>
          <w:sz w:val="24"/>
          <w:u w:val="single"/>
        </w:rPr>
        <w:t xml:space="preserve"> </w:t>
      </w:r>
      <w:r>
        <w:rPr>
          <w:rFonts w:ascii="宋体" w:hAnsi="宋体"/>
          <w:sz w:val="24"/>
        </w:rPr>
        <w:t>_______</w:t>
      </w:r>
    </w:p>
    <w:p w14:paraId="2A6C5338">
      <w:pPr>
        <w:snapToGrid w:val="0"/>
        <w:spacing w:line="360" w:lineRule="auto"/>
        <w:rPr>
          <w:rFonts w:ascii="宋体" w:hAnsi="宋体"/>
          <w:sz w:val="24"/>
          <w:szCs w:val="20"/>
        </w:rPr>
      </w:pPr>
      <w:r>
        <w:rPr>
          <w:rFonts w:hint="eastAsia" w:ascii="宋体" w:hAnsi="宋体"/>
          <w:sz w:val="24"/>
        </w:rPr>
        <w:t>投标人名称（公章</w:t>
      </w:r>
      <w:r>
        <w:rPr>
          <w:rFonts w:ascii="宋体" w:hAnsi="宋体"/>
          <w:sz w:val="24"/>
        </w:rPr>
        <w:t>):___________________</w:t>
      </w:r>
    </w:p>
    <w:p w14:paraId="2973BD3C">
      <w:pPr>
        <w:snapToGrid w:val="0"/>
        <w:spacing w:line="360" w:lineRule="auto"/>
        <w:rPr>
          <w:rFonts w:ascii="宋体" w:hAnsi="宋体"/>
          <w:sz w:val="24"/>
          <w:szCs w:val="20"/>
        </w:rPr>
      </w:pPr>
      <w:r>
        <w:rPr>
          <w:rFonts w:hint="eastAsia" w:ascii="宋体" w:hAnsi="宋体"/>
          <w:sz w:val="24"/>
        </w:rPr>
        <w:t>开户银行：</w:t>
      </w:r>
      <w:r>
        <w:rPr>
          <w:rFonts w:ascii="宋体" w:hAnsi="宋体"/>
          <w:sz w:val="24"/>
          <w:u w:val="single"/>
        </w:rPr>
        <w:t xml:space="preserve">                      </w:t>
      </w:r>
      <w:r>
        <w:rPr>
          <w:rFonts w:ascii="宋体" w:hAnsi="宋体"/>
          <w:sz w:val="24"/>
        </w:rPr>
        <w:t xml:space="preserve">   </w:t>
      </w:r>
      <w:r>
        <w:rPr>
          <w:rFonts w:hint="eastAsia" w:ascii="宋体" w:hAnsi="宋体"/>
          <w:sz w:val="24"/>
        </w:rPr>
        <w:t>银行账号：</w:t>
      </w:r>
      <w:r>
        <w:rPr>
          <w:rFonts w:ascii="宋体" w:hAnsi="宋体"/>
          <w:sz w:val="24"/>
          <w:u w:val="single"/>
        </w:rPr>
        <w:t xml:space="preserve">                    </w:t>
      </w:r>
      <w:r>
        <w:rPr>
          <w:rFonts w:ascii="宋体" w:hAnsi="宋体"/>
          <w:sz w:val="24"/>
        </w:rPr>
        <w:t xml:space="preserve"> </w:t>
      </w:r>
    </w:p>
    <w:p w14:paraId="34E4173A">
      <w:pPr>
        <w:snapToGrid w:val="0"/>
        <w:spacing w:line="360" w:lineRule="auto"/>
        <w:rPr>
          <w:rFonts w:ascii="宋体" w:hAnsi="宋体"/>
          <w:sz w:val="30"/>
          <w:szCs w:val="20"/>
        </w:rPr>
      </w:pPr>
      <w:r>
        <w:rPr>
          <w:rFonts w:hint="eastAsia" w:ascii="宋体" w:hAnsi="宋体"/>
          <w:sz w:val="24"/>
        </w:rPr>
        <w:t>法定代表人签字：</w:t>
      </w:r>
      <w:r>
        <w:rPr>
          <w:rFonts w:ascii="宋体" w:hAnsi="宋体"/>
          <w:sz w:val="24"/>
        </w:rPr>
        <w:t xml:space="preserve">___________                      </w:t>
      </w: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14:paraId="1BD0519D">
      <w:pPr>
        <w:pStyle w:val="24"/>
        <w:snapToGrid w:val="0"/>
        <w:spacing w:beforeLines="0" w:afterLines="0" w:line="360" w:lineRule="auto"/>
        <w:rPr>
          <w:rFonts w:hAnsi="宋体"/>
        </w:rPr>
      </w:pPr>
    </w:p>
    <w:p w14:paraId="628C6B26">
      <w:pPr>
        <w:snapToGrid w:val="0"/>
        <w:spacing w:line="360" w:lineRule="auto"/>
        <w:jc w:val="left"/>
        <w:rPr>
          <w:sz w:val="24"/>
        </w:rPr>
      </w:pPr>
      <w:r>
        <w:rPr>
          <w:rFonts w:hAnsi="宋体"/>
        </w:rPr>
        <w:br w:type="page"/>
      </w:r>
      <w:r>
        <w:rPr>
          <w:rFonts w:hint="eastAsia" w:hAnsi="宋体"/>
        </w:rPr>
        <w:t>31</w:t>
      </w:r>
      <w:r>
        <w:rPr>
          <w:rFonts w:hint="eastAsia"/>
          <w:sz w:val="24"/>
        </w:rPr>
        <w:t>.</w:t>
      </w:r>
      <w:r>
        <w:rPr>
          <w:sz w:val="24"/>
        </w:rPr>
        <w:t xml:space="preserve">投标报价明细表格式（适用于货物类项目）：       </w:t>
      </w:r>
    </w:p>
    <w:p w14:paraId="11844A2F">
      <w:pPr>
        <w:pStyle w:val="24"/>
        <w:snapToGrid w:val="0"/>
        <w:spacing w:before="120" w:after="120"/>
        <w:jc w:val="center"/>
        <w:rPr>
          <w:rFonts w:hAnsi="宋体" w:cs="宋体"/>
          <w:szCs w:val="22"/>
        </w:rPr>
      </w:pPr>
      <w:r>
        <w:rPr>
          <w:rFonts w:hint="eastAsia" w:hAnsi="宋体" w:cs="宋体"/>
          <w:szCs w:val="22"/>
        </w:rPr>
        <w:t>投标报价明细表（按采购清单报价，格式可自拟）</w:t>
      </w:r>
    </w:p>
    <w:p w14:paraId="27C1A349">
      <w:pPr>
        <w:spacing w:line="360" w:lineRule="auto"/>
        <w:rPr>
          <w:rFonts w:ascii="宋体" w:hAnsi="宋体" w:cs="宋体"/>
          <w:spacing w:val="20"/>
          <w:sz w:val="24"/>
          <w:szCs w:val="22"/>
          <w:u w:val="single"/>
        </w:rPr>
      </w:pPr>
      <w:r>
        <w:rPr>
          <w:rFonts w:hint="eastAsia" w:ascii="宋体" w:hAnsi="宋体" w:cs="宋体"/>
          <w:sz w:val="24"/>
        </w:rPr>
        <w:t>项目名称：                             金额单位：人民币（元）</w:t>
      </w:r>
    </w:p>
    <w:tbl>
      <w:tblPr>
        <w:tblStyle w:val="43"/>
        <w:tblW w:w="104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8"/>
        <w:gridCol w:w="1612"/>
        <w:gridCol w:w="1260"/>
        <w:gridCol w:w="1440"/>
        <w:gridCol w:w="1440"/>
      </w:tblGrid>
      <w:tr w14:paraId="6C41B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19434C1F">
            <w:pPr>
              <w:tabs>
                <w:tab w:val="left" w:pos="1418"/>
              </w:tabs>
              <w:snapToGrid w:val="0"/>
              <w:spacing w:line="360" w:lineRule="auto"/>
              <w:jc w:val="center"/>
              <w:rPr>
                <w:rFonts w:ascii="宋体" w:hAnsi="宋体"/>
                <w:spacing w:val="20"/>
                <w:sz w:val="24"/>
                <w:szCs w:val="20"/>
              </w:rPr>
            </w:pPr>
            <w:r>
              <w:rPr>
                <w:rFonts w:hint="eastAsia" w:ascii="宋体" w:hAnsi="宋体"/>
                <w:sz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0F47BFDE">
            <w:pPr>
              <w:tabs>
                <w:tab w:val="left" w:pos="1418"/>
              </w:tabs>
              <w:snapToGrid w:val="0"/>
              <w:spacing w:line="360" w:lineRule="auto"/>
              <w:jc w:val="center"/>
              <w:rPr>
                <w:rFonts w:ascii="宋体" w:hAnsi="宋体"/>
                <w:spacing w:val="20"/>
                <w:sz w:val="24"/>
                <w:szCs w:val="20"/>
              </w:rPr>
            </w:pPr>
            <w:r>
              <w:rPr>
                <w:rFonts w:hint="eastAsia" w:ascii="宋体" w:hAnsi="宋体"/>
                <w:sz w:val="24"/>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14:paraId="5FA5DD0C">
            <w:pPr>
              <w:pStyle w:val="103"/>
              <w:snapToGrid w:val="0"/>
              <w:rPr>
                <w:rFonts w:ascii="宋体" w:hAnsi="宋体" w:eastAsia="宋体"/>
              </w:rPr>
            </w:pPr>
            <w:r>
              <w:rPr>
                <w:rFonts w:hint="eastAsia" w:ascii="宋体" w:hAnsi="宋体" w:eastAsia="宋体"/>
              </w:rPr>
              <w:t>品牌</w:t>
            </w:r>
          </w:p>
        </w:tc>
        <w:tc>
          <w:tcPr>
            <w:tcW w:w="1440" w:type="dxa"/>
            <w:tcBorders>
              <w:top w:val="single" w:color="auto" w:sz="4" w:space="0"/>
              <w:left w:val="single" w:color="auto" w:sz="4" w:space="0"/>
              <w:bottom w:val="single" w:color="auto" w:sz="4" w:space="0"/>
              <w:right w:val="single" w:color="auto" w:sz="4" w:space="0"/>
            </w:tcBorders>
            <w:vAlign w:val="center"/>
          </w:tcPr>
          <w:p w14:paraId="7B605AB4">
            <w:pPr>
              <w:tabs>
                <w:tab w:val="left" w:pos="1418"/>
              </w:tabs>
              <w:snapToGrid w:val="0"/>
              <w:spacing w:line="360" w:lineRule="auto"/>
              <w:jc w:val="center"/>
              <w:rPr>
                <w:rFonts w:ascii="宋体" w:hAnsi="宋体"/>
                <w:spacing w:val="20"/>
                <w:sz w:val="24"/>
                <w:szCs w:val="20"/>
              </w:rPr>
            </w:pPr>
            <w:r>
              <w:rPr>
                <w:rFonts w:hint="eastAsia" w:ascii="宋体" w:hAnsi="宋体"/>
                <w:sz w:val="24"/>
              </w:rPr>
              <w:t>规格型号</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67F4B97">
            <w:pPr>
              <w:tabs>
                <w:tab w:val="left" w:pos="1418"/>
              </w:tabs>
              <w:snapToGrid w:val="0"/>
              <w:spacing w:line="360" w:lineRule="auto"/>
              <w:jc w:val="center"/>
              <w:rPr>
                <w:rFonts w:ascii="宋体" w:hAnsi="宋体"/>
                <w:spacing w:val="20"/>
                <w:sz w:val="24"/>
                <w:szCs w:val="20"/>
              </w:rPr>
            </w:pPr>
            <w:r>
              <w:rPr>
                <w:rFonts w:hint="eastAsia" w:ascii="宋体" w:hAnsi="宋体"/>
                <w:sz w:val="24"/>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29BDB304">
            <w:pPr>
              <w:tabs>
                <w:tab w:val="left" w:pos="1418"/>
              </w:tabs>
              <w:snapToGrid w:val="0"/>
              <w:spacing w:line="360" w:lineRule="auto"/>
              <w:jc w:val="center"/>
              <w:rPr>
                <w:rFonts w:ascii="宋体" w:hAnsi="宋体"/>
                <w:spacing w:val="20"/>
                <w:sz w:val="24"/>
                <w:szCs w:val="20"/>
              </w:rPr>
            </w:pPr>
            <w:r>
              <w:rPr>
                <w:rFonts w:hint="eastAsia" w:ascii="宋体" w:hAnsi="宋体"/>
                <w:sz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47360B85">
            <w:pPr>
              <w:tabs>
                <w:tab w:val="left" w:pos="1418"/>
              </w:tabs>
              <w:snapToGrid w:val="0"/>
              <w:spacing w:line="360" w:lineRule="auto"/>
              <w:jc w:val="center"/>
              <w:rPr>
                <w:rFonts w:ascii="宋体" w:hAnsi="宋体"/>
                <w:spacing w:val="20"/>
                <w:sz w:val="24"/>
                <w:szCs w:val="20"/>
              </w:rPr>
            </w:pPr>
            <w:r>
              <w:rPr>
                <w:rFonts w:hint="eastAsia" w:ascii="宋体" w:hAnsi="宋体"/>
                <w:sz w:val="24"/>
              </w:rPr>
              <w:t>金额</w:t>
            </w:r>
          </w:p>
        </w:tc>
        <w:tc>
          <w:tcPr>
            <w:tcW w:w="1440" w:type="dxa"/>
            <w:tcBorders>
              <w:top w:val="single" w:color="auto" w:sz="4" w:space="0"/>
              <w:left w:val="single" w:color="auto" w:sz="4" w:space="0"/>
              <w:bottom w:val="single" w:color="auto" w:sz="4" w:space="0"/>
              <w:right w:val="single" w:color="auto" w:sz="4" w:space="0"/>
            </w:tcBorders>
            <w:vAlign w:val="center"/>
          </w:tcPr>
          <w:p w14:paraId="39579634">
            <w:pPr>
              <w:tabs>
                <w:tab w:val="left" w:pos="1418"/>
              </w:tabs>
              <w:snapToGrid w:val="0"/>
              <w:spacing w:line="360" w:lineRule="auto"/>
              <w:jc w:val="center"/>
              <w:rPr>
                <w:rFonts w:ascii="宋体" w:hAnsi="宋体"/>
                <w:sz w:val="24"/>
                <w:szCs w:val="22"/>
              </w:rPr>
            </w:pPr>
            <w:r>
              <w:rPr>
                <w:rFonts w:hint="eastAsia" w:ascii="宋体" w:hAnsi="宋体"/>
                <w:sz w:val="24"/>
              </w:rPr>
              <w:t>产地</w:t>
            </w:r>
          </w:p>
        </w:tc>
      </w:tr>
      <w:tr w14:paraId="6EAC8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43B5A49D">
            <w:pPr>
              <w:widowControl/>
              <w:jc w:val="left"/>
              <w:rPr>
                <w:rFonts w:ascii="Calibri" w:hAnsi="Calibri"/>
                <w:szCs w:val="22"/>
              </w:rPr>
            </w:pPr>
          </w:p>
        </w:tc>
        <w:tc>
          <w:tcPr>
            <w:tcW w:w="1620" w:type="dxa"/>
            <w:tcBorders>
              <w:top w:val="single" w:color="auto" w:sz="4" w:space="0"/>
              <w:left w:val="single" w:color="auto" w:sz="4" w:space="0"/>
              <w:bottom w:val="single" w:color="auto" w:sz="4" w:space="0"/>
              <w:right w:val="single" w:color="auto" w:sz="4" w:space="0"/>
            </w:tcBorders>
            <w:vAlign w:val="center"/>
          </w:tcPr>
          <w:p w14:paraId="26BADAB1">
            <w:pPr>
              <w:widowControl/>
              <w:jc w:val="left"/>
              <w:rPr>
                <w:rFonts w:ascii="Calibri" w:hAnsi="Calibri"/>
                <w:szCs w:val="22"/>
              </w:rPr>
            </w:pPr>
          </w:p>
        </w:tc>
        <w:tc>
          <w:tcPr>
            <w:tcW w:w="1080" w:type="dxa"/>
            <w:tcBorders>
              <w:top w:val="single" w:color="auto" w:sz="4" w:space="0"/>
              <w:left w:val="single" w:color="auto" w:sz="4" w:space="0"/>
              <w:bottom w:val="single" w:color="auto" w:sz="4" w:space="0"/>
              <w:right w:val="single" w:color="auto" w:sz="4" w:space="0"/>
            </w:tcBorders>
          </w:tcPr>
          <w:p w14:paraId="0079A9F7">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0AB3147F">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14:paraId="794A5D6D">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14:paraId="2692F6E9">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73459898">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75505B21">
            <w:pPr>
              <w:tabs>
                <w:tab w:val="left" w:pos="1418"/>
              </w:tabs>
              <w:snapToGrid w:val="0"/>
              <w:spacing w:line="360" w:lineRule="auto"/>
              <w:jc w:val="center"/>
              <w:rPr>
                <w:rFonts w:ascii="宋体" w:hAnsi="宋体"/>
                <w:spacing w:val="20"/>
                <w:sz w:val="24"/>
                <w:szCs w:val="20"/>
              </w:rPr>
            </w:pPr>
          </w:p>
        </w:tc>
      </w:tr>
      <w:tr w14:paraId="284F0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58B69A5A">
            <w:pPr>
              <w:widowControl/>
              <w:jc w:val="center"/>
              <w:rPr>
                <w:rFonts w:ascii="Calibri" w:hAnsi="Calibri"/>
                <w:szCs w:val="22"/>
              </w:rPr>
            </w:pPr>
          </w:p>
        </w:tc>
        <w:tc>
          <w:tcPr>
            <w:tcW w:w="1620" w:type="dxa"/>
            <w:tcBorders>
              <w:top w:val="single" w:color="auto" w:sz="4" w:space="0"/>
              <w:left w:val="single" w:color="auto" w:sz="4" w:space="0"/>
              <w:bottom w:val="single" w:color="auto" w:sz="4" w:space="0"/>
              <w:right w:val="single" w:color="auto" w:sz="4" w:space="0"/>
            </w:tcBorders>
            <w:vAlign w:val="center"/>
          </w:tcPr>
          <w:p w14:paraId="05D4701B">
            <w:pPr>
              <w:widowControl/>
              <w:jc w:val="left"/>
              <w:rPr>
                <w:rFonts w:ascii="Calibri" w:hAnsi="Calibri"/>
                <w:szCs w:val="22"/>
              </w:rPr>
            </w:pPr>
          </w:p>
        </w:tc>
        <w:tc>
          <w:tcPr>
            <w:tcW w:w="1080" w:type="dxa"/>
            <w:tcBorders>
              <w:top w:val="single" w:color="auto" w:sz="4" w:space="0"/>
              <w:left w:val="single" w:color="auto" w:sz="4" w:space="0"/>
              <w:bottom w:val="single" w:color="auto" w:sz="4" w:space="0"/>
              <w:right w:val="single" w:color="auto" w:sz="4" w:space="0"/>
            </w:tcBorders>
          </w:tcPr>
          <w:p w14:paraId="42CD52D0">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0DF24A82">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14:paraId="030FF694">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14:paraId="77B4FFF1">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711BD965">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0CFA6EA4">
            <w:pPr>
              <w:tabs>
                <w:tab w:val="left" w:pos="1418"/>
              </w:tabs>
              <w:snapToGrid w:val="0"/>
              <w:spacing w:line="360" w:lineRule="auto"/>
              <w:jc w:val="center"/>
              <w:rPr>
                <w:rFonts w:ascii="宋体" w:hAnsi="宋体"/>
                <w:spacing w:val="20"/>
                <w:sz w:val="24"/>
                <w:szCs w:val="20"/>
              </w:rPr>
            </w:pPr>
          </w:p>
        </w:tc>
      </w:tr>
      <w:tr w14:paraId="03331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7E13A5E8">
            <w:pPr>
              <w:widowControl/>
              <w:jc w:val="center"/>
              <w:rPr>
                <w:rFonts w:ascii="Calibri" w:hAnsi="Calibri"/>
                <w:szCs w:val="22"/>
              </w:rPr>
            </w:pPr>
          </w:p>
        </w:tc>
        <w:tc>
          <w:tcPr>
            <w:tcW w:w="1620" w:type="dxa"/>
            <w:tcBorders>
              <w:top w:val="single" w:color="auto" w:sz="4" w:space="0"/>
              <w:left w:val="single" w:color="auto" w:sz="4" w:space="0"/>
              <w:bottom w:val="single" w:color="auto" w:sz="4" w:space="0"/>
              <w:right w:val="single" w:color="auto" w:sz="4" w:space="0"/>
            </w:tcBorders>
            <w:vAlign w:val="center"/>
          </w:tcPr>
          <w:p w14:paraId="026CBA18">
            <w:pPr>
              <w:widowControl/>
              <w:jc w:val="left"/>
              <w:rPr>
                <w:rFonts w:ascii="Calibri" w:hAnsi="Calibri"/>
                <w:szCs w:val="22"/>
              </w:rPr>
            </w:pPr>
          </w:p>
        </w:tc>
        <w:tc>
          <w:tcPr>
            <w:tcW w:w="1080" w:type="dxa"/>
            <w:tcBorders>
              <w:top w:val="single" w:color="auto" w:sz="4" w:space="0"/>
              <w:left w:val="single" w:color="auto" w:sz="4" w:space="0"/>
              <w:bottom w:val="single" w:color="auto" w:sz="4" w:space="0"/>
              <w:right w:val="single" w:color="auto" w:sz="4" w:space="0"/>
            </w:tcBorders>
          </w:tcPr>
          <w:p w14:paraId="2A474825">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16B6F087">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14:paraId="46D2040A">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14:paraId="558247BC">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59D545BC">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1EBC00AB">
            <w:pPr>
              <w:tabs>
                <w:tab w:val="left" w:pos="1418"/>
              </w:tabs>
              <w:snapToGrid w:val="0"/>
              <w:spacing w:line="360" w:lineRule="auto"/>
              <w:jc w:val="center"/>
              <w:rPr>
                <w:rFonts w:ascii="宋体" w:hAnsi="宋体"/>
                <w:spacing w:val="20"/>
                <w:sz w:val="24"/>
                <w:szCs w:val="20"/>
              </w:rPr>
            </w:pPr>
          </w:p>
        </w:tc>
      </w:tr>
      <w:tr w14:paraId="45BA6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30E9D041">
            <w:pPr>
              <w:widowControl/>
              <w:jc w:val="center"/>
              <w:rPr>
                <w:rFonts w:ascii="Calibri" w:hAnsi="Calibri"/>
                <w:szCs w:val="22"/>
              </w:rPr>
            </w:pPr>
          </w:p>
        </w:tc>
        <w:tc>
          <w:tcPr>
            <w:tcW w:w="1620" w:type="dxa"/>
            <w:tcBorders>
              <w:top w:val="single" w:color="auto" w:sz="4" w:space="0"/>
              <w:left w:val="single" w:color="auto" w:sz="4" w:space="0"/>
              <w:bottom w:val="single" w:color="auto" w:sz="4" w:space="0"/>
              <w:right w:val="single" w:color="auto" w:sz="4" w:space="0"/>
            </w:tcBorders>
            <w:vAlign w:val="center"/>
          </w:tcPr>
          <w:p w14:paraId="02CBD7D0">
            <w:pPr>
              <w:widowControl/>
              <w:jc w:val="left"/>
              <w:rPr>
                <w:rFonts w:ascii="Calibri" w:hAnsi="Calibri"/>
                <w:szCs w:val="22"/>
              </w:rPr>
            </w:pPr>
          </w:p>
        </w:tc>
        <w:tc>
          <w:tcPr>
            <w:tcW w:w="1080" w:type="dxa"/>
            <w:tcBorders>
              <w:top w:val="single" w:color="auto" w:sz="4" w:space="0"/>
              <w:left w:val="single" w:color="auto" w:sz="4" w:space="0"/>
              <w:bottom w:val="single" w:color="auto" w:sz="4" w:space="0"/>
              <w:right w:val="single" w:color="auto" w:sz="4" w:space="0"/>
            </w:tcBorders>
          </w:tcPr>
          <w:p w14:paraId="5071DE74">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1549AE68">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14:paraId="428026FD">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14:paraId="2FA07374">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69DC4793">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7EC6E5C1">
            <w:pPr>
              <w:tabs>
                <w:tab w:val="left" w:pos="1418"/>
              </w:tabs>
              <w:snapToGrid w:val="0"/>
              <w:spacing w:line="360" w:lineRule="auto"/>
              <w:jc w:val="center"/>
              <w:rPr>
                <w:rFonts w:ascii="宋体" w:hAnsi="宋体"/>
                <w:spacing w:val="20"/>
                <w:sz w:val="24"/>
                <w:szCs w:val="20"/>
              </w:rPr>
            </w:pPr>
          </w:p>
        </w:tc>
      </w:tr>
      <w:tr w14:paraId="03E6D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55C95F52">
            <w:pPr>
              <w:widowControl/>
              <w:jc w:val="center"/>
              <w:rPr>
                <w:rFonts w:ascii="Calibri" w:hAnsi="Calibri"/>
                <w:szCs w:val="22"/>
              </w:rPr>
            </w:pPr>
          </w:p>
        </w:tc>
        <w:tc>
          <w:tcPr>
            <w:tcW w:w="1620" w:type="dxa"/>
            <w:tcBorders>
              <w:top w:val="single" w:color="auto" w:sz="4" w:space="0"/>
              <w:left w:val="single" w:color="auto" w:sz="4" w:space="0"/>
              <w:bottom w:val="single" w:color="auto" w:sz="4" w:space="0"/>
              <w:right w:val="single" w:color="auto" w:sz="4" w:space="0"/>
            </w:tcBorders>
            <w:vAlign w:val="center"/>
          </w:tcPr>
          <w:p w14:paraId="653CDACC">
            <w:pPr>
              <w:widowControl/>
              <w:jc w:val="left"/>
              <w:rPr>
                <w:rFonts w:ascii="Calibri" w:hAnsi="Calibri"/>
                <w:szCs w:val="22"/>
              </w:rPr>
            </w:pPr>
          </w:p>
        </w:tc>
        <w:tc>
          <w:tcPr>
            <w:tcW w:w="1080" w:type="dxa"/>
            <w:tcBorders>
              <w:top w:val="single" w:color="auto" w:sz="4" w:space="0"/>
              <w:left w:val="single" w:color="auto" w:sz="4" w:space="0"/>
              <w:bottom w:val="single" w:color="auto" w:sz="4" w:space="0"/>
              <w:right w:val="single" w:color="auto" w:sz="4" w:space="0"/>
            </w:tcBorders>
          </w:tcPr>
          <w:p w14:paraId="3BBCCF05">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5245F165">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14:paraId="265C480C">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14:paraId="08FACBD9">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527C4861">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78C7BF2B">
            <w:pPr>
              <w:tabs>
                <w:tab w:val="left" w:pos="1418"/>
              </w:tabs>
              <w:snapToGrid w:val="0"/>
              <w:spacing w:line="360" w:lineRule="auto"/>
              <w:jc w:val="center"/>
              <w:rPr>
                <w:rFonts w:ascii="宋体" w:hAnsi="宋体"/>
                <w:spacing w:val="20"/>
                <w:sz w:val="24"/>
                <w:szCs w:val="20"/>
              </w:rPr>
            </w:pPr>
          </w:p>
        </w:tc>
      </w:tr>
      <w:tr w14:paraId="1AA95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321302F0">
            <w:pPr>
              <w:widowControl/>
              <w:jc w:val="center"/>
              <w:rPr>
                <w:rFonts w:ascii="Calibri" w:hAnsi="Calibri"/>
                <w:szCs w:val="22"/>
              </w:rPr>
            </w:pPr>
          </w:p>
        </w:tc>
        <w:tc>
          <w:tcPr>
            <w:tcW w:w="1620" w:type="dxa"/>
            <w:tcBorders>
              <w:top w:val="single" w:color="auto" w:sz="4" w:space="0"/>
              <w:left w:val="single" w:color="auto" w:sz="4" w:space="0"/>
              <w:bottom w:val="single" w:color="auto" w:sz="4" w:space="0"/>
              <w:right w:val="single" w:color="auto" w:sz="4" w:space="0"/>
            </w:tcBorders>
            <w:vAlign w:val="center"/>
          </w:tcPr>
          <w:p w14:paraId="07DFF977">
            <w:pPr>
              <w:widowControl/>
              <w:jc w:val="left"/>
              <w:rPr>
                <w:rFonts w:ascii="Calibri" w:hAnsi="Calibri"/>
                <w:szCs w:val="22"/>
              </w:rPr>
            </w:pPr>
          </w:p>
        </w:tc>
        <w:tc>
          <w:tcPr>
            <w:tcW w:w="1080" w:type="dxa"/>
            <w:tcBorders>
              <w:top w:val="single" w:color="auto" w:sz="4" w:space="0"/>
              <w:left w:val="single" w:color="auto" w:sz="4" w:space="0"/>
              <w:bottom w:val="single" w:color="auto" w:sz="4" w:space="0"/>
              <w:right w:val="single" w:color="auto" w:sz="4" w:space="0"/>
            </w:tcBorders>
          </w:tcPr>
          <w:p w14:paraId="4C366CEE">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7BE35F94">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14:paraId="41C2C393">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14:paraId="00E55052">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66DEC831">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7238DFBA">
            <w:pPr>
              <w:tabs>
                <w:tab w:val="left" w:pos="1418"/>
              </w:tabs>
              <w:snapToGrid w:val="0"/>
              <w:spacing w:line="360" w:lineRule="auto"/>
              <w:jc w:val="center"/>
              <w:rPr>
                <w:rFonts w:ascii="宋体" w:hAnsi="宋体"/>
                <w:spacing w:val="20"/>
                <w:sz w:val="24"/>
                <w:szCs w:val="20"/>
              </w:rPr>
            </w:pPr>
          </w:p>
        </w:tc>
      </w:tr>
      <w:tr w14:paraId="2375D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14:paraId="61095426">
            <w:pPr>
              <w:widowControl/>
              <w:jc w:val="center"/>
              <w:rPr>
                <w:rFonts w:ascii="宋体" w:hAnsi="宋体" w:cs="宋体"/>
                <w:kern w:val="0"/>
                <w:sz w:val="24"/>
                <w:szCs w:val="22"/>
              </w:rPr>
            </w:pPr>
          </w:p>
        </w:tc>
        <w:tc>
          <w:tcPr>
            <w:tcW w:w="1620" w:type="dxa"/>
            <w:tcBorders>
              <w:top w:val="single" w:color="auto" w:sz="4" w:space="0"/>
              <w:left w:val="single" w:color="auto" w:sz="4" w:space="0"/>
              <w:bottom w:val="single" w:color="auto" w:sz="4" w:space="0"/>
              <w:right w:val="single" w:color="auto" w:sz="4" w:space="0"/>
            </w:tcBorders>
            <w:vAlign w:val="center"/>
          </w:tcPr>
          <w:p w14:paraId="1AEBD395">
            <w:pPr>
              <w:widowControl/>
              <w:jc w:val="left"/>
              <w:rPr>
                <w:rFonts w:ascii="宋体" w:hAnsi="宋体" w:cs="宋体"/>
                <w:kern w:val="0"/>
                <w:sz w:val="24"/>
                <w:szCs w:val="22"/>
              </w:rPr>
            </w:pPr>
          </w:p>
        </w:tc>
        <w:tc>
          <w:tcPr>
            <w:tcW w:w="1080" w:type="dxa"/>
            <w:tcBorders>
              <w:top w:val="single" w:color="auto" w:sz="4" w:space="0"/>
              <w:left w:val="single" w:color="auto" w:sz="4" w:space="0"/>
              <w:bottom w:val="single" w:color="auto" w:sz="4" w:space="0"/>
              <w:right w:val="single" w:color="auto" w:sz="4" w:space="0"/>
            </w:tcBorders>
          </w:tcPr>
          <w:p w14:paraId="4BE7D057">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0182970C">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14:paraId="147D93C8">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14:paraId="60786ABA">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7063D818">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09A89C56">
            <w:pPr>
              <w:tabs>
                <w:tab w:val="left" w:pos="1418"/>
              </w:tabs>
              <w:snapToGrid w:val="0"/>
              <w:spacing w:line="360" w:lineRule="auto"/>
              <w:jc w:val="center"/>
              <w:rPr>
                <w:rFonts w:ascii="宋体" w:hAnsi="宋体"/>
                <w:spacing w:val="20"/>
                <w:sz w:val="24"/>
                <w:szCs w:val="20"/>
              </w:rPr>
            </w:pPr>
          </w:p>
        </w:tc>
      </w:tr>
      <w:tr w14:paraId="6B93B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14:paraId="28C43FCA">
            <w:pPr>
              <w:widowControl/>
              <w:jc w:val="right"/>
              <w:textAlignment w:val="center"/>
              <w:rPr>
                <w:rFonts w:ascii="宋体" w:hAnsi="宋体" w:cs="宋体"/>
                <w:kern w:val="0"/>
                <w:sz w:val="24"/>
                <w:szCs w:val="22"/>
              </w:rPr>
            </w:pPr>
          </w:p>
        </w:tc>
        <w:tc>
          <w:tcPr>
            <w:tcW w:w="1620" w:type="dxa"/>
            <w:tcBorders>
              <w:top w:val="single" w:color="auto" w:sz="4" w:space="0"/>
              <w:left w:val="single" w:color="auto" w:sz="4" w:space="0"/>
              <w:bottom w:val="single" w:color="auto" w:sz="4" w:space="0"/>
              <w:right w:val="single" w:color="auto" w:sz="4" w:space="0"/>
            </w:tcBorders>
            <w:vAlign w:val="center"/>
          </w:tcPr>
          <w:p w14:paraId="6A135D6A">
            <w:pPr>
              <w:widowControl/>
              <w:jc w:val="left"/>
              <w:textAlignment w:val="center"/>
              <w:rPr>
                <w:rFonts w:ascii="宋体" w:hAnsi="宋体" w:cs="宋体"/>
                <w:kern w:val="0"/>
                <w:sz w:val="24"/>
                <w:szCs w:val="22"/>
              </w:rPr>
            </w:pPr>
          </w:p>
        </w:tc>
        <w:tc>
          <w:tcPr>
            <w:tcW w:w="1080" w:type="dxa"/>
            <w:tcBorders>
              <w:top w:val="single" w:color="auto" w:sz="4" w:space="0"/>
              <w:left w:val="single" w:color="auto" w:sz="4" w:space="0"/>
              <w:bottom w:val="single" w:color="auto" w:sz="4" w:space="0"/>
              <w:right w:val="single" w:color="auto" w:sz="4" w:space="0"/>
            </w:tcBorders>
          </w:tcPr>
          <w:p w14:paraId="7A73E73D">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4949A527">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14:paraId="51CF4B0A">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14:paraId="26EB1986">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324CE548">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39E13E62">
            <w:pPr>
              <w:tabs>
                <w:tab w:val="left" w:pos="1418"/>
              </w:tabs>
              <w:snapToGrid w:val="0"/>
              <w:spacing w:line="360" w:lineRule="auto"/>
              <w:jc w:val="center"/>
              <w:rPr>
                <w:rFonts w:ascii="宋体" w:hAnsi="宋体"/>
                <w:spacing w:val="20"/>
                <w:sz w:val="24"/>
                <w:szCs w:val="20"/>
              </w:rPr>
            </w:pPr>
          </w:p>
        </w:tc>
      </w:tr>
      <w:tr w14:paraId="21992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14:paraId="0E80058C">
            <w:pPr>
              <w:widowControl/>
              <w:jc w:val="right"/>
              <w:textAlignment w:val="center"/>
              <w:rPr>
                <w:rFonts w:ascii="宋体" w:hAnsi="宋体" w:cs="宋体"/>
                <w:kern w:val="0"/>
                <w:sz w:val="24"/>
                <w:szCs w:val="22"/>
              </w:rPr>
            </w:pPr>
          </w:p>
        </w:tc>
        <w:tc>
          <w:tcPr>
            <w:tcW w:w="1620" w:type="dxa"/>
            <w:tcBorders>
              <w:top w:val="single" w:color="auto" w:sz="4" w:space="0"/>
              <w:left w:val="single" w:color="auto" w:sz="4" w:space="0"/>
              <w:bottom w:val="single" w:color="auto" w:sz="4" w:space="0"/>
              <w:right w:val="single" w:color="auto" w:sz="4" w:space="0"/>
            </w:tcBorders>
            <w:vAlign w:val="center"/>
          </w:tcPr>
          <w:p w14:paraId="2C437012">
            <w:pPr>
              <w:widowControl/>
              <w:jc w:val="left"/>
              <w:textAlignment w:val="center"/>
              <w:rPr>
                <w:rFonts w:ascii="宋体" w:hAnsi="宋体" w:cs="宋体"/>
                <w:kern w:val="0"/>
                <w:sz w:val="24"/>
                <w:szCs w:val="22"/>
              </w:rPr>
            </w:pPr>
          </w:p>
        </w:tc>
        <w:tc>
          <w:tcPr>
            <w:tcW w:w="1080" w:type="dxa"/>
            <w:tcBorders>
              <w:top w:val="single" w:color="auto" w:sz="4" w:space="0"/>
              <w:left w:val="single" w:color="auto" w:sz="4" w:space="0"/>
              <w:bottom w:val="single" w:color="auto" w:sz="4" w:space="0"/>
              <w:right w:val="single" w:color="auto" w:sz="4" w:space="0"/>
            </w:tcBorders>
          </w:tcPr>
          <w:p w14:paraId="211AA7A5">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7312D81F">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14:paraId="2BBE2CA5">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14:paraId="3D9C6CB9">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300B4103">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69479179">
            <w:pPr>
              <w:tabs>
                <w:tab w:val="left" w:pos="1418"/>
              </w:tabs>
              <w:snapToGrid w:val="0"/>
              <w:spacing w:line="360" w:lineRule="auto"/>
              <w:jc w:val="center"/>
              <w:rPr>
                <w:rFonts w:ascii="宋体" w:hAnsi="宋体"/>
                <w:spacing w:val="20"/>
                <w:sz w:val="24"/>
                <w:szCs w:val="20"/>
              </w:rPr>
            </w:pPr>
          </w:p>
        </w:tc>
      </w:tr>
      <w:tr w14:paraId="06672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14:paraId="7295F8E2">
            <w:pPr>
              <w:widowControl/>
              <w:jc w:val="right"/>
              <w:textAlignment w:val="center"/>
              <w:rPr>
                <w:rFonts w:ascii="宋体" w:hAnsi="宋体" w:cs="宋体"/>
                <w:kern w:val="0"/>
                <w:sz w:val="24"/>
                <w:szCs w:val="22"/>
              </w:rPr>
            </w:pPr>
          </w:p>
        </w:tc>
        <w:tc>
          <w:tcPr>
            <w:tcW w:w="1620" w:type="dxa"/>
            <w:tcBorders>
              <w:top w:val="single" w:color="auto" w:sz="4" w:space="0"/>
              <w:left w:val="single" w:color="auto" w:sz="4" w:space="0"/>
              <w:bottom w:val="single" w:color="auto" w:sz="4" w:space="0"/>
              <w:right w:val="single" w:color="auto" w:sz="4" w:space="0"/>
            </w:tcBorders>
            <w:vAlign w:val="center"/>
          </w:tcPr>
          <w:p w14:paraId="745B9926">
            <w:pPr>
              <w:widowControl/>
              <w:jc w:val="left"/>
              <w:textAlignment w:val="center"/>
              <w:rPr>
                <w:rFonts w:ascii="宋体" w:hAnsi="宋体" w:cs="宋体"/>
                <w:kern w:val="0"/>
                <w:sz w:val="24"/>
                <w:szCs w:val="22"/>
              </w:rPr>
            </w:pPr>
          </w:p>
        </w:tc>
        <w:tc>
          <w:tcPr>
            <w:tcW w:w="1080" w:type="dxa"/>
            <w:tcBorders>
              <w:top w:val="single" w:color="auto" w:sz="4" w:space="0"/>
              <w:left w:val="single" w:color="auto" w:sz="4" w:space="0"/>
              <w:bottom w:val="single" w:color="auto" w:sz="4" w:space="0"/>
              <w:right w:val="single" w:color="auto" w:sz="4" w:space="0"/>
            </w:tcBorders>
          </w:tcPr>
          <w:p w14:paraId="1A08DE24">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74F34BDA">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14:paraId="2CF405E0">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14:paraId="558A05DD">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6A6E0AF1">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62FADD74">
            <w:pPr>
              <w:tabs>
                <w:tab w:val="left" w:pos="1418"/>
              </w:tabs>
              <w:snapToGrid w:val="0"/>
              <w:spacing w:line="360" w:lineRule="auto"/>
              <w:jc w:val="center"/>
              <w:rPr>
                <w:rFonts w:ascii="宋体" w:hAnsi="宋体"/>
                <w:spacing w:val="20"/>
                <w:sz w:val="24"/>
                <w:szCs w:val="20"/>
              </w:rPr>
            </w:pPr>
          </w:p>
        </w:tc>
      </w:tr>
      <w:tr w14:paraId="4CDD3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14:paraId="1D0698D1">
            <w:pPr>
              <w:widowControl/>
              <w:jc w:val="right"/>
              <w:textAlignment w:val="center"/>
              <w:rPr>
                <w:rFonts w:ascii="宋体" w:hAnsi="宋体" w:cs="宋体"/>
                <w:kern w:val="0"/>
                <w:sz w:val="24"/>
                <w:szCs w:val="22"/>
              </w:rPr>
            </w:pPr>
          </w:p>
        </w:tc>
        <w:tc>
          <w:tcPr>
            <w:tcW w:w="1620" w:type="dxa"/>
            <w:tcBorders>
              <w:top w:val="single" w:color="auto" w:sz="4" w:space="0"/>
              <w:left w:val="single" w:color="auto" w:sz="4" w:space="0"/>
              <w:bottom w:val="single" w:color="auto" w:sz="4" w:space="0"/>
              <w:right w:val="single" w:color="auto" w:sz="4" w:space="0"/>
            </w:tcBorders>
            <w:vAlign w:val="center"/>
          </w:tcPr>
          <w:p w14:paraId="26AB5BF0">
            <w:pPr>
              <w:widowControl/>
              <w:jc w:val="left"/>
              <w:textAlignment w:val="center"/>
              <w:rPr>
                <w:rFonts w:ascii="宋体" w:hAnsi="宋体" w:cs="宋体"/>
                <w:kern w:val="0"/>
                <w:sz w:val="24"/>
                <w:szCs w:val="22"/>
              </w:rPr>
            </w:pPr>
          </w:p>
        </w:tc>
        <w:tc>
          <w:tcPr>
            <w:tcW w:w="1080" w:type="dxa"/>
            <w:tcBorders>
              <w:top w:val="single" w:color="auto" w:sz="4" w:space="0"/>
              <w:left w:val="single" w:color="auto" w:sz="4" w:space="0"/>
              <w:bottom w:val="single" w:color="auto" w:sz="4" w:space="0"/>
              <w:right w:val="single" w:color="auto" w:sz="4" w:space="0"/>
            </w:tcBorders>
          </w:tcPr>
          <w:p w14:paraId="75FC394E">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52ECD160">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14:paraId="3571034D">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14:paraId="1D67357D">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725B7AF7">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0DFCA76B">
            <w:pPr>
              <w:tabs>
                <w:tab w:val="left" w:pos="1418"/>
              </w:tabs>
              <w:snapToGrid w:val="0"/>
              <w:spacing w:line="360" w:lineRule="auto"/>
              <w:jc w:val="center"/>
              <w:rPr>
                <w:rFonts w:ascii="宋体" w:hAnsi="宋体"/>
                <w:spacing w:val="20"/>
                <w:sz w:val="24"/>
                <w:szCs w:val="20"/>
              </w:rPr>
            </w:pPr>
          </w:p>
        </w:tc>
      </w:tr>
      <w:tr w14:paraId="6B453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14:paraId="3BD44C61">
            <w:pPr>
              <w:widowControl/>
              <w:jc w:val="right"/>
              <w:textAlignment w:val="center"/>
              <w:rPr>
                <w:rFonts w:ascii="宋体" w:hAnsi="宋体" w:cs="宋体"/>
                <w:kern w:val="0"/>
                <w:sz w:val="24"/>
                <w:szCs w:val="22"/>
              </w:rPr>
            </w:pPr>
          </w:p>
        </w:tc>
        <w:tc>
          <w:tcPr>
            <w:tcW w:w="1620" w:type="dxa"/>
            <w:tcBorders>
              <w:top w:val="single" w:color="auto" w:sz="4" w:space="0"/>
              <w:left w:val="single" w:color="auto" w:sz="4" w:space="0"/>
              <w:bottom w:val="single" w:color="auto" w:sz="4" w:space="0"/>
              <w:right w:val="single" w:color="auto" w:sz="4" w:space="0"/>
            </w:tcBorders>
            <w:vAlign w:val="center"/>
          </w:tcPr>
          <w:p w14:paraId="7E242AAC">
            <w:pPr>
              <w:widowControl/>
              <w:jc w:val="left"/>
              <w:textAlignment w:val="center"/>
              <w:rPr>
                <w:rFonts w:ascii="宋体" w:hAnsi="宋体" w:cs="宋体"/>
                <w:kern w:val="0"/>
                <w:sz w:val="24"/>
                <w:szCs w:val="22"/>
              </w:rPr>
            </w:pPr>
          </w:p>
        </w:tc>
        <w:tc>
          <w:tcPr>
            <w:tcW w:w="1080" w:type="dxa"/>
            <w:tcBorders>
              <w:top w:val="single" w:color="auto" w:sz="4" w:space="0"/>
              <w:left w:val="single" w:color="auto" w:sz="4" w:space="0"/>
              <w:bottom w:val="single" w:color="auto" w:sz="4" w:space="0"/>
              <w:right w:val="single" w:color="auto" w:sz="4" w:space="0"/>
            </w:tcBorders>
          </w:tcPr>
          <w:p w14:paraId="3DAACAA9">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3EE130EF">
            <w:pPr>
              <w:tabs>
                <w:tab w:val="left" w:pos="1418"/>
              </w:tabs>
              <w:snapToGrid w:val="0"/>
              <w:spacing w:line="360" w:lineRule="auto"/>
              <w:jc w:val="center"/>
              <w:rPr>
                <w:rFonts w:ascii="宋体" w:hAnsi="宋体"/>
                <w:spacing w:val="20"/>
                <w:sz w:val="24"/>
                <w:szCs w:val="20"/>
              </w:rPr>
            </w:pPr>
          </w:p>
        </w:tc>
        <w:tc>
          <w:tcPr>
            <w:tcW w:w="1620" w:type="dxa"/>
            <w:gridSpan w:val="2"/>
            <w:tcBorders>
              <w:top w:val="single" w:color="auto" w:sz="4" w:space="0"/>
              <w:left w:val="single" w:color="auto" w:sz="4" w:space="0"/>
              <w:bottom w:val="single" w:color="auto" w:sz="4" w:space="0"/>
              <w:right w:val="single" w:color="auto" w:sz="4" w:space="0"/>
            </w:tcBorders>
          </w:tcPr>
          <w:p w14:paraId="710EF732">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14:paraId="6D4D0B5F">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7C3621F5">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5843726C">
            <w:pPr>
              <w:tabs>
                <w:tab w:val="left" w:pos="1418"/>
              </w:tabs>
              <w:snapToGrid w:val="0"/>
              <w:spacing w:line="360" w:lineRule="auto"/>
              <w:jc w:val="center"/>
              <w:rPr>
                <w:rFonts w:ascii="宋体" w:hAnsi="宋体"/>
                <w:spacing w:val="20"/>
                <w:sz w:val="24"/>
                <w:szCs w:val="20"/>
              </w:rPr>
            </w:pPr>
          </w:p>
        </w:tc>
      </w:tr>
      <w:tr w14:paraId="684E9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8"/>
            <w:tcBorders>
              <w:top w:val="single" w:color="auto" w:sz="4" w:space="0"/>
              <w:left w:val="single" w:color="auto" w:sz="4" w:space="0"/>
              <w:bottom w:val="single" w:color="auto" w:sz="4" w:space="0"/>
              <w:right w:val="single" w:color="auto" w:sz="4" w:space="0"/>
            </w:tcBorders>
          </w:tcPr>
          <w:p w14:paraId="040C3CCB">
            <w:pPr>
              <w:tabs>
                <w:tab w:val="left" w:pos="1418"/>
              </w:tabs>
              <w:snapToGrid w:val="0"/>
              <w:spacing w:line="360" w:lineRule="auto"/>
              <w:jc w:val="center"/>
              <w:rPr>
                <w:rFonts w:ascii="宋体" w:hAnsi="宋体"/>
                <w:spacing w:val="20"/>
                <w:sz w:val="24"/>
                <w:szCs w:val="20"/>
              </w:rPr>
            </w:pPr>
            <w:r>
              <w:rPr>
                <w:rFonts w:hint="eastAsia" w:ascii="宋体" w:hAnsi="宋体"/>
                <w:spacing w:val="20"/>
                <w:sz w:val="24"/>
              </w:rPr>
              <w:t>投标费用及利润</w:t>
            </w:r>
          </w:p>
        </w:tc>
        <w:tc>
          <w:tcPr>
            <w:tcW w:w="1440" w:type="dxa"/>
            <w:tcBorders>
              <w:top w:val="single" w:color="auto" w:sz="4" w:space="0"/>
              <w:left w:val="single" w:color="auto" w:sz="4" w:space="0"/>
              <w:bottom w:val="single" w:color="auto" w:sz="4" w:space="0"/>
              <w:right w:val="single" w:color="auto" w:sz="4" w:space="0"/>
            </w:tcBorders>
          </w:tcPr>
          <w:p w14:paraId="6159AB4F">
            <w:pPr>
              <w:tabs>
                <w:tab w:val="left" w:pos="1418"/>
              </w:tabs>
              <w:snapToGrid w:val="0"/>
              <w:spacing w:line="360" w:lineRule="auto"/>
              <w:jc w:val="center"/>
              <w:rPr>
                <w:rFonts w:ascii="宋体" w:hAnsi="宋体"/>
                <w:spacing w:val="20"/>
                <w:sz w:val="24"/>
                <w:szCs w:val="22"/>
              </w:rPr>
            </w:pPr>
          </w:p>
        </w:tc>
      </w:tr>
      <w:tr w14:paraId="5C47A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1A99AD1E">
            <w:pPr>
              <w:tabs>
                <w:tab w:val="left" w:pos="1418"/>
              </w:tabs>
              <w:snapToGrid w:val="0"/>
              <w:spacing w:line="360" w:lineRule="auto"/>
              <w:jc w:val="center"/>
              <w:rPr>
                <w:rFonts w:ascii="宋体" w:hAnsi="宋体"/>
                <w:spacing w:val="20"/>
                <w:sz w:val="24"/>
                <w:szCs w:val="20"/>
              </w:rPr>
            </w:pPr>
          </w:p>
        </w:tc>
        <w:tc>
          <w:tcPr>
            <w:tcW w:w="4140" w:type="dxa"/>
            <w:gridSpan w:val="3"/>
            <w:tcBorders>
              <w:top w:val="single" w:color="auto" w:sz="4" w:space="0"/>
              <w:left w:val="single" w:color="auto" w:sz="4" w:space="0"/>
              <w:bottom w:val="single" w:color="auto" w:sz="4" w:space="0"/>
              <w:right w:val="single" w:color="auto" w:sz="4" w:space="0"/>
            </w:tcBorders>
          </w:tcPr>
          <w:p w14:paraId="399BA9BE">
            <w:pPr>
              <w:pStyle w:val="109"/>
              <w:tabs>
                <w:tab w:val="left" w:pos="1418"/>
              </w:tabs>
              <w:snapToGrid w:val="0"/>
              <w:spacing w:line="360" w:lineRule="auto"/>
              <w:rPr>
                <w:rFonts w:ascii="宋体" w:hAnsi="宋体"/>
                <w:spacing w:val="20"/>
                <w:szCs w:val="24"/>
              </w:rPr>
            </w:pPr>
            <w:r>
              <w:rPr>
                <w:rFonts w:hint="eastAsia" w:ascii="宋体" w:hAnsi="宋体"/>
                <w:spacing w:val="20"/>
                <w:szCs w:val="24"/>
              </w:rPr>
              <w:t>运输费、安装调试费</w:t>
            </w:r>
          </w:p>
        </w:tc>
        <w:tc>
          <w:tcPr>
            <w:tcW w:w="1620" w:type="dxa"/>
            <w:gridSpan w:val="2"/>
            <w:tcBorders>
              <w:top w:val="single" w:color="auto" w:sz="4" w:space="0"/>
              <w:left w:val="single" w:color="auto" w:sz="4" w:space="0"/>
              <w:bottom w:val="single" w:color="auto" w:sz="4" w:space="0"/>
              <w:right w:val="single" w:color="auto" w:sz="4" w:space="0"/>
            </w:tcBorders>
          </w:tcPr>
          <w:p w14:paraId="51BFBC1F">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14:paraId="71A74380">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098959D6">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3E62F68B">
            <w:pPr>
              <w:tabs>
                <w:tab w:val="left" w:pos="1418"/>
              </w:tabs>
              <w:snapToGrid w:val="0"/>
              <w:spacing w:line="360" w:lineRule="auto"/>
              <w:jc w:val="center"/>
              <w:rPr>
                <w:rFonts w:ascii="宋体" w:hAnsi="宋体"/>
                <w:spacing w:val="20"/>
                <w:sz w:val="24"/>
                <w:szCs w:val="20"/>
              </w:rPr>
            </w:pPr>
          </w:p>
        </w:tc>
      </w:tr>
      <w:tr w14:paraId="0C284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40" w:type="dxa"/>
            <w:tcBorders>
              <w:top w:val="single" w:color="auto" w:sz="4" w:space="0"/>
              <w:left w:val="single" w:color="auto" w:sz="4" w:space="0"/>
              <w:bottom w:val="single" w:color="auto" w:sz="4" w:space="0"/>
              <w:right w:val="single" w:color="auto" w:sz="4" w:space="0"/>
            </w:tcBorders>
          </w:tcPr>
          <w:p w14:paraId="56AB00A3">
            <w:pPr>
              <w:tabs>
                <w:tab w:val="left" w:pos="1418"/>
              </w:tabs>
              <w:snapToGrid w:val="0"/>
              <w:spacing w:line="360" w:lineRule="auto"/>
              <w:jc w:val="center"/>
              <w:rPr>
                <w:rFonts w:ascii="宋体" w:hAnsi="宋体"/>
                <w:spacing w:val="20"/>
                <w:sz w:val="24"/>
                <w:szCs w:val="20"/>
              </w:rPr>
            </w:pPr>
          </w:p>
        </w:tc>
        <w:tc>
          <w:tcPr>
            <w:tcW w:w="4140" w:type="dxa"/>
            <w:gridSpan w:val="3"/>
            <w:tcBorders>
              <w:top w:val="single" w:color="auto" w:sz="4" w:space="0"/>
              <w:left w:val="single" w:color="auto" w:sz="4" w:space="0"/>
              <w:bottom w:val="single" w:color="auto" w:sz="4" w:space="0"/>
              <w:right w:val="single" w:color="auto" w:sz="4" w:space="0"/>
            </w:tcBorders>
          </w:tcPr>
          <w:p w14:paraId="6F7CD950">
            <w:pPr>
              <w:pStyle w:val="109"/>
              <w:tabs>
                <w:tab w:val="left" w:pos="1418"/>
              </w:tabs>
              <w:snapToGrid w:val="0"/>
              <w:spacing w:line="360" w:lineRule="auto"/>
              <w:rPr>
                <w:rFonts w:ascii="宋体" w:hAnsi="宋体"/>
                <w:spacing w:val="20"/>
                <w:szCs w:val="24"/>
              </w:rPr>
            </w:pPr>
            <w:r>
              <w:rPr>
                <w:rFonts w:hint="eastAsia" w:ascii="宋体" w:hAnsi="宋体"/>
                <w:spacing w:val="20"/>
                <w:szCs w:val="24"/>
              </w:rPr>
              <w:t>代理费</w:t>
            </w:r>
          </w:p>
        </w:tc>
        <w:tc>
          <w:tcPr>
            <w:tcW w:w="1620" w:type="dxa"/>
            <w:gridSpan w:val="2"/>
            <w:tcBorders>
              <w:top w:val="single" w:color="auto" w:sz="4" w:space="0"/>
              <w:left w:val="single" w:color="auto" w:sz="4" w:space="0"/>
              <w:bottom w:val="single" w:color="auto" w:sz="4" w:space="0"/>
              <w:right w:val="single" w:color="auto" w:sz="4" w:space="0"/>
            </w:tcBorders>
          </w:tcPr>
          <w:p w14:paraId="1766243C">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14:paraId="20933C83">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20272BF7">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3194A007">
            <w:pPr>
              <w:tabs>
                <w:tab w:val="left" w:pos="1418"/>
              </w:tabs>
              <w:snapToGrid w:val="0"/>
              <w:spacing w:line="360" w:lineRule="auto"/>
              <w:jc w:val="center"/>
              <w:rPr>
                <w:rFonts w:ascii="宋体" w:hAnsi="宋体"/>
                <w:spacing w:val="20"/>
                <w:sz w:val="24"/>
                <w:szCs w:val="20"/>
              </w:rPr>
            </w:pPr>
          </w:p>
        </w:tc>
      </w:tr>
      <w:tr w14:paraId="1BAD5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40" w:type="dxa"/>
            <w:tcBorders>
              <w:top w:val="single" w:color="auto" w:sz="4" w:space="0"/>
              <w:left w:val="single" w:color="auto" w:sz="4" w:space="0"/>
              <w:bottom w:val="single" w:color="auto" w:sz="4" w:space="0"/>
              <w:right w:val="single" w:color="auto" w:sz="4" w:space="0"/>
            </w:tcBorders>
          </w:tcPr>
          <w:p w14:paraId="4036EE78">
            <w:pPr>
              <w:tabs>
                <w:tab w:val="left" w:pos="1418"/>
              </w:tabs>
              <w:snapToGrid w:val="0"/>
              <w:spacing w:line="360" w:lineRule="auto"/>
              <w:jc w:val="center"/>
              <w:rPr>
                <w:rFonts w:ascii="宋体" w:hAnsi="宋体"/>
                <w:spacing w:val="20"/>
                <w:sz w:val="24"/>
                <w:szCs w:val="20"/>
              </w:rPr>
            </w:pPr>
          </w:p>
        </w:tc>
        <w:tc>
          <w:tcPr>
            <w:tcW w:w="4140" w:type="dxa"/>
            <w:gridSpan w:val="3"/>
            <w:tcBorders>
              <w:top w:val="single" w:color="auto" w:sz="4" w:space="0"/>
              <w:left w:val="single" w:color="auto" w:sz="4" w:space="0"/>
              <w:bottom w:val="single" w:color="auto" w:sz="4" w:space="0"/>
              <w:right w:val="single" w:color="auto" w:sz="4" w:space="0"/>
            </w:tcBorders>
          </w:tcPr>
          <w:p w14:paraId="11236AA8">
            <w:pPr>
              <w:pStyle w:val="109"/>
              <w:tabs>
                <w:tab w:val="left" w:pos="1418"/>
              </w:tabs>
              <w:snapToGrid w:val="0"/>
              <w:spacing w:line="360" w:lineRule="auto"/>
              <w:rPr>
                <w:rFonts w:ascii="宋体" w:hAnsi="宋体"/>
                <w:spacing w:val="20"/>
                <w:szCs w:val="24"/>
              </w:rPr>
            </w:pPr>
            <w:r>
              <w:rPr>
                <w:rFonts w:hint="eastAsia" w:ascii="宋体" w:hAnsi="宋体"/>
                <w:spacing w:val="20"/>
                <w:szCs w:val="24"/>
              </w:rPr>
              <w:t>其他：</w:t>
            </w:r>
          </w:p>
        </w:tc>
        <w:tc>
          <w:tcPr>
            <w:tcW w:w="1620" w:type="dxa"/>
            <w:gridSpan w:val="2"/>
            <w:tcBorders>
              <w:top w:val="single" w:color="auto" w:sz="4" w:space="0"/>
              <w:left w:val="single" w:color="auto" w:sz="4" w:space="0"/>
              <w:bottom w:val="single" w:color="auto" w:sz="4" w:space="0"/>
              <w:right w:val="single" w:color="auto" w:sz="4" w:space="0"/>
            </w:tcBorders>
          </w:tcPr>
          <w:p w14:paraId="3555DE95">
            <w:pPr>
              <w:tabs>
                <w:tab w:val="left" w:pos="1418"/>
              </w:tabs>
              <w:snapToGrid w:val="0"/>
              <w:spacing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tcPr>
          <w:p w14:paraId="49C3433B">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5A7CC042">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3354483C">
            <w:pPr>
              <w:tabs>
                <w:tab w:val="left" w:pos="1418"/>
              </w:tabs>
              <w:snapToGrid w:val="0"/>
              <w:spacing w:line="360" w:lineRule="auto"/>
              <w:jc w:val="center"/>
              <w:rPr>
                <w:rFonts w:ascii="宋体" w:hAnsi="宋体"/>
                <w:spacing w:val="20"/>
                <w:sz w:val="24"/>
                <w:szCs w:val="20"/>
              </w:rPr>
            </w:pPr>
          </w:p>
        </w:tc>
      </w:tr>
      <w:tr w14:paraId="2AEA4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32B4E9AB">
            <w:pPr>
              <w:tabs>
                <w:tab w:val="left" w:pos="1418"/>
              </w:tabs>
              <w:snapToGrid w:val="0"/>
              <w:spacing w:line="360" w:lineRule="auto"/>
              <w:jc w:val="center"/>
              <w:rPr>
                <w:rFonts w:ascii="宋体" w:hAnsi="宋体"/>
                <w:spacing w:val="20"/>
                <w:sz w:val="24"/>
                <w:szCs w:val="20"/>
              </w:rPr>
            </w:pPr>
          </w:p>
        </w:tc>
        <w:tc>
          <w:tcPr>
            <w:tcW w:w="4148" w:type="dxa"/>
            <w:gridSpan w:val="4"/>
            <w:tcBorders>
              <w:top w:val="single" w:color="auto" w:sz="4" w:space="0"/>
              <w:left w:val="single" w:color="auto" w:sz="4" w:space="0"/>
              <w:bottom w:val="single" w:color="auto" w:sz="4" w:space="0"/>
              <w:right w:val="single" w:color="auto" w:sz="4" w:space="0"/>
            </w:tcBorders>
          </w:tcPr>
          <w:p w14:paraId="72F1360D">
            <w:pPr>
              <w:tabs>
                <w:tab w:val="left" w:pos="1418"/>
              </w:tabs>
              <w:snapToGrid w:val="0"/>
              <w:spacing w:line="360" w:lineRule="auto"/>
              <w:rPr>
                <w:rFonts w:ascii="宋体" w:hAnsi="宋体"/>
                <w:spacing w:val="20"/>
                <w:sz w:val="24"/>
                <w:szCs w:val="20"/>
              </w:rPr>
            </w:pPr>
            <w:r>
              <w:rPr>
                <w:rFonts w:hint="eastAsia" w:ascii="宋体" w:hAnsi="宋体"/>
                <w:spacing w:val="20"/>
                <w:sz w:val="24"/>
              </w:rPr>
              <w:t>税费及附加</w:t>
            </w:r>
          </w:p>
        </w:tc>
        <w:tc>
          <w:tcPr>
            <w:tcW w:w="2872" w:type="dxa"/>
            <w:gridSpan w:val="2"/>
            <w:tcBorders>
              <w:top w:val="single" w:color="auto" w:sz="4" w:space="0"/>
              <w:left w:val="single" w:color="auto" w:sz="4" w:space="0"/>
              <w:bottom w:val="single" w:color="auto" w:sz="4" w:space="0"/>
              <w:right w:val="single" w:color="auto" w:sz="4" w:space="0"/>
            </w:tcBorders>
          </w:tcPr>
          <w:p w14:paraId="0FFEF994">
            <w:pPr>
              <w:tabs>
                <w:tab w:val="left" w:pos="1418"/>
              </w:tabs>
              <w:snapToGrid w:val="0"/>
              <w:spacing w:line="360" w:lineRule="auto"/>
              <w:ind w:left="8"/>
              <w:rPr>
                <w:rFonts w:ascii="宋体" w:hAnsi="宋体"/>
                <w:spacing w:val="20"/>
                <w:sz w:val="24"/>
                <w:szCs w:val="20"/>
              </w:rPr>
            </w:pPr>
            <w:r>
              <w:rPr>
                <w:rFonts w:hint="eastAsia" w:ascii="宋体" w:hAnsi="宋体"/>
                <w:spacing w:val="20"/>
                <w:sz w:val="24"/>
              </w:rPr>
              <w:t xml:space="preserve">税费率： </w:t>
            </w:r>
            <w:r>
              <w:rPr>
                <w:rFonts w:hint="eastAsia" w:ascii="宋体" w:hAnsi="宋体"/>
                <w:spacing w:val="20"/>
                <w:sz w:val="24"/>
                <w:u w:val="single"/>
              </w:rPr>
              <w:t xml:space="preserve">       </w:t>
            </w:r>
            <w:r>
              <w:rPr>
                <w:rFonts w:hint="eastAsia" w:ascii="宋体" w:hAnsi="宋体"/>
                <w:spacing w:val="20"/>
                <w:sz w:val="24"/>
              </w:rPr>
              <w:t>%</w:t>
            </w:r>
          </w:p>
        </w:tc>
        <w:tc>
          <w:tcPr>
            <w:tcW w:w="1440" w:type="dxa"/>
            <w:tcBorders>
              <w:top w:val="single" w:color="auto" w:sz="4" w:space="0"/>
              <w:left w:val="single" w:color="auto" w:sz="4" w:space="0"/>
              <w:bottom w:val="single" w:color="auto" w:sz="4" w:space="0"/>
              <w:right w:val="single" w:color="auto" w:sz="4" w:space="0"/>
            </w:tcBorders>
          </w:tcPr>
          <w:p w14:paraId="01CA1C7E">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31D3C01B">
            <w:pPr>
              <w:tabs>
                <w:tab w:val="left" w:pos="1418"/>
              </w:tabs>
              <w:snapToGrid w:val="0"/>
              <w:spacing w:line="360" w:lineRule="auto"/>
              <w:jc w:val="center"/>
              <w:rPr>
                <w:rFonts w:ascii="宋体" w:hAnsi="宋体"/>
                <w:spacing w:val="20"/>
                <w:sz w:val="24"/>
                <w:szCs w:val="20"/>
              </w:rPr>
            </w:pPr>
          </w:p>
        </w:tc>
      </w:tr>
      <w:tr w14:paraId="7DBB0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54750B63">
            <w:pPr>
              <w:tabs>
                <w:tab w:val="left" w:pos="1418"/>
              </w:tabs>
              <w:snapToGrid w:val="0"/>
              <w:spacing w:line="360" w:lineRule="auto"/>
              <w:jc w:val="center"/>
              <w:rPr>
                <w:rFonts w:ascii="宋体" w:hAnsi="宋体"/>
                <w:spacing w:val="20"/>
                <w:sz w:val="24"/>
                <w:szCs w:val="20"/>
              </w:rPr>
            </w:pPr>
          </w:p>
        </w:tc>
        <w:tc>
          <w:tcPr>
            <w:tcW w:w="4148" w:type="dxa"/>
            <w:gridSpan w:val="4"/>
            <w:tcBorders>
              <w:top w:val="single" w:color="auto" w:sz="4" w:space="0"/>
              <w:left w:val="single" w:color="auto" w:sz="4" w:space="0"/>
              <w:bottom w:val="single" w:color="auto" w:sz="4" w:space="0"/>
              <w:right w:val="single" w:color="auto" w:sz="4" w:space="0"/>
            </w:tcBorders>
          </w:tcPr>
          <w:p w14:paraId="30655593">
            <w:pPr>
              <w:tabs>
                <w:tab w:val="left" w:pos="1418"/>
              </w:tabs>
              <w:snapToGrid w:val="0"/>
              <w:spacing w:line="360" w:lineRule="auto"/>
              <w:rPr>
                <w:rFonts w:ascii="宋体" w:hAnsi="宋体"/>
                <w:spacing w:val="20"/>
                <w:sz w:val="24"/>
                <w:szCs w:val="20"/>
              </w:rPr>
            </w:pPr>
            <w:r>
              <w:rPr>
                <w:rFonts w:hint="eastAsia" w:ascii="宋体" w:hAnsi="宋体"/>
                <w:spacing w:val="20"/>
                <w:sz w:val="24"/>
              </w:rPr>
              <w:t>项目毛利</w:t>
            </w:r>
          </w:p>
        </w:tc>
        <w:tc>
          <w:tcPr>
            <w:tcW w:w="2872" w:type="dxa"/>
            <w:gridSpan w:val="2"/>
            <w:tcBorders>
              <w:top w:val="single" w:color="auto" w:sz="4" w:space="0"/>
              <w:left w:val="single" w:color="auto" w:sz="4" w:space="0"/>
              <w:bottom w:val="single" w:color="auto" w:sz="4" w:space="0"/>
              <w:right w:val="single" w:color="auto" w:sz="4" w:space="0"/>
            </w:tcBorders>
          </w:tcPr>
          <w:p w14:paraId="548716AB">
            <w:pPr>
              <w:tabs>
                <w:tab w:val="left" w:pos="1418"/>
              </w:tabs>
              <w:snapToGrid w:val="0"/>
              <w:spacing w:line="360" w:lineRule="auto"/>
              <w:ind w:left="8"/>
              <w:rPr>
                <w:rFonts w:ascii="宋体" w:hAnsi="宋体"/>
                <w:spacing w:val="20"/>
                <w:sz w:val="24"/>
                <w:szCs w:val="20"/>
              </w:rPr>
            </w:pPr>
            <w:r>
              <w:rPr>
                <w:rFonts w:hint="eastAsia" w:ascii="宋体" w:hAnsi="宋体"/>
                <w:spacing w:val="20"/>
                <w:sz w:val="24"/>
              </w:rPr>
              <w:t>毛利率：</w:t>
            </w:r>
            <w:r>
              <w:rPr>
                <w:rFonts w:hint="eastAsia" w:ascii="宋体" w:hAnsi="宋体"/>
                <w:spacing w:val="20"/>
                <w:sz w:val="24"/>
                <w:u w:val="single"/>
              </w:rPr>
              <w:t xml:space="preserve">       </w:t>
            </w:r>
            <w:r>
              <w:rPr>
                <w:rFonts w:hint="eastAsia" w:ascii="宋体" w:hAnsi="宋体"/>
                <w:spacing w:val="20"/>
                <w:sz w:val="24"/>
              </w:rPr>
              <w:t>%</w:t>
            </w:r>
          </w:p>
        </w:tc>
        <w:tc>
          <w:tcPr>
            <w:tcW w:w="1440" w:type="dxa"/>
            <w:tcBorders>
              <w:top w:val="single" w:color="auto" w:sz="4" w:space="0"/>
              <w:left w:val="single" w:color="auto" w:sz="4" w:space="0"/>
              <w:bottom w:val="single" w:color="auto" w:sz="4" w:space="0"/>
              <w:right w:val="single" w:color="auto" w:sz="4" w:space="0"/>
            </w:tcBorders>
          </w:tcPr>
          <w:p w14:paraId="3911B76D">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727BD018">
            <w:pPr>
              <w:tabs>
                <w:tab w:val="left" w:pos="1418"/>
              </w:tabs>
              <w:snapToGrid w:val="0"/>
              <w:spacing w:line="360" w:lineRule="auto"/>
              <w:jc w:val="center"/>
              <w:rPr>
                <w:rFonts w:ascii="宋体" w:hAnsi="宋体"/>
                <w:spacing w:val="20"/>
                <w:sz w:val="24"/>
                <w:szCs w:val="20"/>
              </w:rPr>
            </w:pPr>
          </w:p>
        </w:tc>
      </w:tr>
      <w:tr w14:paraId="549E9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7"/>
            <w:tcBorders>
              <w:top w:val="single" w:color="auto" w:sz="4" w:space="0"/>
              <w:left w:val="single" w:color="auto" w:sz="4" w:space="0"/>
              <w:bottom w:val="single" w:color="auto" w:sz="4" w:space="0"/>
              <w:right w:val="single" w:color="auto" w:sz="4" w:space="0"/>
            </w:tcBorders>
          </w:tcPr>
          <w:p w14:paraId="6F03D744">
            <w:pPr>
              <w:tabs>
                <w:tab w:val="left" w:pos="1418"/>
              </w:tabs>
              <w:snapToGrid w:val="0"/>
              <w:spacing w:line="360" w:lineRule="auto"/>
              <w:jc w:val="center"/>
              <w:rPr>
                <w:rFonts w:ascii="宋体" w:hAnsi="宋体"/>
                <w:spacing w:val="20"/>
                <w:sz w:val="24"/>
                <w:szCs w:val="20"/>
              </w:rPr>
            </w:pPr>
            <w:r>
              <w:rPr>
                <w:rFonts w:hint="eastAsia" w:ascii="宋体" w:hAnsi="宋体"/>
                <w:spacing w:val="20"/>
                <w:sz w:val="24"/>
              </w:rPr>
              <w:t>投 标 总  价</w:t>
            </w:r>
          </w:p>
        </w:tc>
        <w:tc>
          <w:tcPr>
            <w:tcW w:w="1440" w:type="dxa"/>
            <w:tcBorders>
              <w:top w:val="single" w:color="auto" w:sz="4" w:space="0"/>
              <w:left w:val="single" w:color="auto" w:sz="4" w:space="0"/>
              <w:bottom w:val="single" w:color="auto" w:sz="4" w:space="0"/>
              <w:right w:val="single" w:color="auto" w:sz="4" w:space="0"/>
            </w:tcBorders>
          </w:tcPr>
          <w:p w14:paraId="0911F4F9">
            <w:pPr>
              <w:tabs>
                <w:tab w:val="left" w:pos="1418"/>
              </w:tabs>
              <w:snapToGrid w:val="0"/>
              <w:spacing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tcPr>
          <w:p w14:paraId="4DFAD2C1">
            <w:pPr>
              <w:tabs>
                <w:tab w:val="left" w:pos="1418"/>
              </w:tabs>
              <w:snapToGrid w:val="0"/>
              <w:spacing w:line="360" w:lineRule="auto"/>
              <w:jc w:val="center"/>
              <w:rPr>
                <w:rFonts w:ascii="宋体" w:hAnsi="宋体"/>
                <w:spacing w:val="20"/>
                <w:sz w:val="24"/>
                <w:szCs w:val="20"/>
              </w:rPr>
            </w:pPr>
          </w:p>
        </w:tc>
      </w:tr>
    </w:tbl>
    <w:p w14:paraId="20C8921A">
      <w:pPr>
        <w:rPr>
          <w:rFonts w:ascii="Calibri" w:hAnsi="Calibri"/>
          <w:szCs w:val="22"/>
        </w:rPr>
      </w:pPr>
    </w:p>
    <w:p w14:paraId="6CFF8FAB">
      <w:pPr>
        <w:spacing w:line="360" w:lineRule="auto"/>
        <w:rPr>
          <w:rFonts w:ascii="宋体" w:hAnsi="宋体" w:cs="宋体"/>
          <w:spacing w:val="20"/>
          <w:sz w:val="24"/>
          <w:u w:val="single"/>
        </w:rPr>
      </w:pPr>
      <w:r>
        <w:rPr>
          <w:rFonts w:hint="eastAsia" w:ascii="宋体" w:hAnsi="宋体" w:cs="宋体"/>
          <w:spacing w:val="20"/>
          <w:sz w:val="24"/>
        </w:rPr>
        <w:t>授权代表签名：</w:t>
      </w:r>
    </w:p>
    <w:p w14:paraId="7FB8FEC3">
      <w:pPr>
        <w:spacing w:line="360" w:lineRule="auto"/>
        <w:rPr>
          <w:rFonts w:ascii="宋体" w:hAnsi="宋体" w:cs="宋体"/>
          <w:spacing w:val="20"/>
          <w:sz w:val="24"/>
        </w:rPr>
      </w:pPr>
      <w:r>
        <w:rPr>
          <w:rFonts w:hint="eastAsia" w:ascii="宋体" w:hAnsi="宋体" w:cs="宋体"/>
          <w:spacing w:val="20"/>
          <w:sz w:val="24"/>
        </w:rPr>
        <w:t>投标人盖章：日期：</w:t>
      </w:r>
    </w:p>
    <w:p w14:paraId="123F7F0F">
      <w:pPr>
        <w:rPr>
          <w:rFonts w:ascii="Calibri" w:hAnsi="Calibri"/>
        </w:rPr>
      </w:pPr>
    </w:p>
    <w:p w14:paraId="3EA19751">
      <w:pPr>
        <w:pStyle w:val="86"/>
      </w:pPr>
    </w:p>
    <w:p w14:paraId="27BB1BCE">
      <w:pPr>
        <w:spacing w:line="360" w:lineRule="auto"/>
        <w:rPr>
          <w:sz w:val="24"/>
        </w:rPr>
      </w:pPr>
    </w:p>
    <w:p w14:paraId="01351CEE">
      <w:pPr>
        <w:spacing w:line="360" w:lineRule="auto"/>
        <w:rPr>
          <w:sz w:val="24"/>
        </w:rPr>
      </w:pPr>
      <w:r>
        <w:rPr>
          <w:rFonts w:hint="eastAsia"/>
          <w:sz w:val="24"/>
        </w:rPr>
        <w:t>32.招标代理服务费承诺函</w:t>
      </w:r>
    </w:p>
    <w:p w14:paraId="33C638B8">
      <w:pPr>
        <w:spacing w:line="360" w:lineRule="auto"/>
        <w:jc w:val="center"/>
        <w:rPr>
          <w:b/>
          <w:sz w:val="32"/>
        </w:rPr>
      </w:pPr>
    </w:p>
    <w:p w14:paraId="5870AC9C">
      <w:pPr>
        <w:tabs>
          <w:tab w:val="left" w:pos="2996"/>
        </w:tabs>
        <w:spacing w:line="360" w:lineRule="auto"/>
        <w:ind w:firstLine="480" w:firstLineChars="200"/>
        <w:rPr>
          <w:sz w:val="24"/>
        </w:rPr>
      </w:pPr>
      <w:r>
        <w:rPr>
          <w:rFonts w:hint="eastAsia"/>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14:paraId="46A6577F">
      <w:pPr>
        <w:spacing w:line="360" w:lineRule="auto"/>
        <w:rPr>
          <w:sz w:val="24"/>
        </w:rPr>
      </w:pPr>
    </w:p>
    <w:p w14:paraId="0506B45C">
      <w:pPr>
        <w:spacing w:line="360" w:lineRule="auto"/>
        <w:rPr>
          <w:sz w:val="24"/>
        </w:rPr>
      </w:pPr>
    </w:p>
    <w:p w14:paraId="5A152227">
      <w:pPr>
        <w:spacing w:line="360" w:lineRule="auto"/>
        <w:rPr>
          <w:sz w:val="24"/>
        </w:rPr>
      </w:pPr>
    </w:p>
    <w:p w14:paraId="0D1EE6AE">
      <w:pPr>
        <w:spacing w:line="360" w:lineRule="auto"/>
        <w:rPr>
          <w:sz w:val="24"/>
        </w:rPr>
      </w:pPr>
    </w:p>
    <w:p w14:paraId="00164113">
      <w:pPr>
        <w:spacing w:line="360" w:lineRule="auto"/>
        <w:ind w:firstLine="480" w:firstLineChars="200"/>
        <w:rPr>
          <w:sz w:val="24"/>
        </w:rPr>
      </w:pPr>
    </w:p>
    <w:p w14:paraId="6AB85ABE">
      <w:pPr>
        <w:spacing w:line="360" w:lineRule="auto"/>
        <w:ind w:firstLine="480" w:firstLineChars="200"/>
        <w:rPr>
          <w:sz w:val="24"/>
        </w:rPr>
      </w:pPr>
    </w:p>
    <w:p w14:paraId="07899695">
      <w:pPr>
        <w:spacing w:line="360" w:lineRule="auto"/>
        <w:ind w:firstLine="480" w:firstLineChars="200"/>
        <w:rPr>
          <w:sz w:val="24"/>
        </w:rPr>
      </w:pPr>
    </w:p>
    <w:p w14:paraId="37F513FC">
      <w:pPr>
        <w:pStyle w:val="13"/>
        <w:spacing w:line="360" w:lineRule="auto"/>
        <w:ind w:firstLine="1454" w:firstLineChars="606"/>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（盖章）</w:t>
      </w:r>
    </w:p>
    <w:p w14:paraId="22397C5F">
      <w:pPr>
        <w:pStyle w:val="13"/>
        <w:spacing w:line="360" w:lineRule="auto"/>
        <w:ind w:firstLine="374" w:firstLineChars="156"/>
        <w:rPr>
          <w:rFonts w:ascii="宋体" w:hAnsi="宋体"/>
          <w:sz w:val="24"/>
        </w:rPr>
      </w:pPr>
      <w:r>
        <w:rPr>
          <w:rFonts w:hint="eastAsia" w:ascii="宋体" w:hAnsi="宋体"/>
          <w:sz w:val="24"/>
        </w:rPr>
        <w:t xml:space="preserve">                      </w:t>
      </w:r>
    </w:p>
    <w:p w14:paraId="05CB2FF3">
      <w:pPr>
        <w:pStyle w:val="13"/>
        <w:spacing w:line="360" w:lineRule="auto"/>
        <w:ind w:firstLine="1334" w:firstLineChars="556"/>
        <w:rPr>
          <w:rFonts w:ascii="宋体" w:hAnsi="宋体"/>
          <w:sz w:val="24"/>
        </w:rPr>
      </w:pPr>
      <w:r>
        <w:rPr>
          <w:rFonts w:hint="eastAsia" w:ascii="宋体" w:hAnsi="宋体"/>
          <w:sz w:val="24"/>
        </w:rPr>
        <w:t>法定代表人或其授权代理人（签名或盖章）</w:t>
      </w:r>
    </w:p>
    <w:p w14:paraId="13EBD527">
      <w:pPr>
        <w:pStyle w:val="13"/>
        <w:spacing w:line="360" w:lineRule="auto"/>
        <w:ind w:firstLine="374" w:firstLineChars="156"/>
        <w:jc w:val="center"/>
        <w:rPr>
          <w:rFonts w:ascii="宋体" w:hAnsi="宋体"/>
          <w:sz w:val="24"/>
        </w:rPr>
      </w:pPr>
    </w:p>
    <w:p w14:paraId="6B7A5765">
      <w:pPr>
        <w:pStyle w:val="13"/>
        <w:spacing w:line="360" w:lineRule="auto"/>
        <w:ind w:left="840" w:firstLine="374" w:firstLineChars="156"/>
        <w:rPr>
          <w:rFonts w:ascii="宋体" w:hAnsi="宋体"/>
          <w:sz w:val="24"/>
        </w:rPr>
      </w:pPr>
      <w:r>
        <w:rPr>
          <w:rFonts w:hint="eastAsia" w:ascii="宋体" w:hAnsi="宋体"/>
          <w:sz w:val="24"/>
        </w:rPr>
        <w:t xml:space="preserve">              日期：    年   月   日</w:t>
      </w:r>
    </w:p>
    <w:p w14:paraId="010029F6">
      <w:pPr>
        <w:pStyle w:val="24"/>
        <w:snapToGrid w:val="0"/>
        <w:spacing w:beforeLines="0" w:afterLines="0" w:line="360" w:lineRule="auto"/>
      </w:pPr>
    </w:p>
    <w:p w14:paraId="4D612B1A">
      <w:pPr>
        <w:pStyle w:val="13"/>
        <w:spacing w:line="500" w:lineRule="exact"/>
        <w:ind w:firstLine="480"/>
        <w:jc w:val="left"/>
        <w:rPr>
          <w:rFonts w:ascii="宋体" w:hAnsi="宋体"/>
          <w:sz w:val="24"/>
          <w:u w:val="single"/>
        </w:rPr>
      </w:pPr>
    </w:p>
    <w:p w14:paraId="60DB0675">
      <w:pPr>
        <w:pStyle w:val="13"/>
        <w:spacing w:line="500" w:lineRule="exact"/>
        <w:ind w:firstLine="480"/>
        <w:jc w:val="left"/>
        <w:rPr>
          <w:rFonts w:ascii="宋体" w:hAnsi="宋体"/>
          <w:sz w:val="24"/>
        </w:rPr>
      </w:pPr>
      <w:r>
        <w:rPr>
          <w:rFonts w:hint="eastAsia" w:ascii="宋体" w:hAnsi="宋体"/>
          <w:sz w:val="24"/>
        </w:rPr>
        <w:t>____________________________________________________________________________</w:t>
      </w:r>
    </w:p>
    <w:p w14:paraId="39E8EC19">
      <w:pPr>
        <w:pStyle w:val="13"/>
        <w:spacing w:line="500" w:lineRule="exact"/>
        <w:ind w:firstLine="480"/>
        <w:jc w:val="left"/>
        <w:rPr>
          <w:rFonts w:ascii="宋体" w:hAnsi="宋体"/>
          <w:sz w:val="24"/>
        </w:rPr>
      </w:pPr>
      <w:r>
        <w:rPr>
          <w:rFonts w:hint="eastAsia" w:ascii="宋体" w:hAnsi="宋体"/>
          <w:sz w:val="24"/>
        </w:rPr>
        <w:t>代理费汇款账号：</w:t>
      </w:r>
    </w:p>
    <w:p w14:paraId="7BE6F635">
      <w:pPr>
        <w:snapToGrid w:val="0"/>
        <w:jc w:val="left"/>
        <w:rPr>
          <w:rFonts w:ascii="宋体" w:hAnsi="宋体"/>
          <w:sz w:val="24"/>
        </w:rPr>
      </w:pPr>
    </w:p>
    <w:p w14:paraId="2156D0E6">
      <w:pPr>
        <w:snapToGrid w:val="0"/>
        <w:jc w:val="left"/>
        <w:rPr>
          <w:rFonts w:ascii="宋体" w:hAnsi="宋体"/>
          <w:sz w:val="24"/>
        </w:rPr>
      </w:pPr>
    </w:p>
    <w:p w14:paraId="5CD12DA0">
      <w:pPr>
        <w:snapToGrid w:val="0"/>
        <w:rPr>
          <w:rFonts w:ascii="宋体" w:hAnsi="宋体"/>
          <w:sz w:val="24"/>
        </w:rPr>
      </w:pPr>
      <w:r>
        <w:rPr>
          <w:rFonts w:hint="eastAsia" w:ascii="宋体" w:hAnsi="宋体"/>
          <w:sz w:val="24"/>
        </w:rPr>
        <w:t>单位名称：浙江华耀建设咨询有限公司龙溪北路分公司</w:t>
      </w:r>
    </w:p>
    <w:p w14:paraId="388E7BCD">
      <w:pPr>
        <w:snapToGrid w:val="0"/>
        <w:rPr>
          <w:rFonts w:ascii="宋体" w:hAnsi="宋体"/>
          <w:sz w:val="24"/>
        </w:rPr>
      </w:pPr>
      <w:r>
        <w:rPr>
          <w:rFonts w:hint="eastAsia" w:ascii="宋体" w:hAnsi="宋体"/>
          <w:sz w:val="24"/>
        </w:rPr>
        <w:t>开户银行：中国工商银行股份有限公司湖州经济开发区支行</w:t>
      </w:r>
    </w:p>
    <w:p w14:paraId="68CB7DFC">
      <w:pPr>
        <w:tabs>
          <w:tab w:val="left" w:pos="1418"/>
        </w:tabs>
        <w:snapToGrid w:val="0"/>
        <w:spacing w:before="50" w:after="50"/>
        <w:rPr>
          <w:rFonts w:ascii="宋体" w:hAnsi="宋体"/>
          <w:spacing w:val="20"/>
          <w:sz w:val="24"/>
          <w:szCs w:val="20"/>
          <w:u w:val="single"/>
        </w:rPr>
      </w:pPr>
      <w:r>
        <w:rPr>
          <w:rFonts w:hint="eastAsia" w:ascii="宋体" w:hAnsi="宋体"/>
          <w:sz w:val="24"/>
        </w:rPr>
        <w:t>银行账号：1205210409001029749</w:t>
      </w:r>
    </w:p>
    <w:p w14:paraId="566E3B82">
      <w:pPr>
        <w:pStyle w:val="24"/>
        <w:snapToGrid w:val="0"/>
        <w:spacing w:beforeLines="0" w:afterLines="0" w:line="360" w:lineRule="auto"/>
      </w:pPr>
    </w:p>
    <w:p w14:paraId="5170B012">
      <w:pPr>
        <w:tabs>
          <w:tab w:val="left" w:pos="1418"/>
        </w:tabs>
        <w:snapToGrid w:val="0"/>
        <w:spacing w:line="360" w:lineRule="auto"/>
        <w:ind w:left="1418" w:hanging="567"/>
        <w:jc w:val="center"/>
        <w:rPr>
          <w:rFonts w:ascii="宋体" w:hAnsi="宋体"/>
          <w:spacing w:val="20"/>
          <w:sz w:val="24"/>
          <w:szCs w:val="20"/>
          <w:u w:val="single"/>
        </w:rPr>
        <w:sectPr>
          <w:headerReference r:id="rId7" w:type="first"/>
          <w:footerReference r:id="rId10" w:type="first"/>
          <w:headerReference r:id="rId6" w:type="default"/>
          <w:footerReference r:id="rId8" w:type="default"/>
          <w:footerReference r:id="rId9" w:type="even"/>
          <w:pgSz w:w="11906" w:h="16838"/>
          <w:pgMar w:top="1440" w:right="1080" w:bottom="1440" w:left="1080" w:header="851" w:footer="851" w:gutter="0"/>
          <w:cols w:space="720" w:num="1"/>
          <w:docGrid w:linePitch="312" w:charSpace="0"/>
        </w:sectPr>
      </w:pPr>
    </w:p>
    <w:p w14:paraId="373949FC">
      <w:pPr>
        <w:snapToGrid w:val="0"/>
        <w:spacing w:line="360" w:lineRule="auto"/>
        <w:rPr>
          <w:rFonts w:ascii="宋体" w:hAnsi="宋体"/>
          <w:b/>
          <w:sz w:val="24"/>
          <w:szCs w:val="20"/>
        </w:rPr>
      </w:pPr>
      <w:r>
        <w:rPr>
          <w:rFonts w:hint="eastAsia" w:ascii="宋体" w:hAnsi="宋体"/>
          <w:sz w:val="24"/>
        </w:rPr>
        <w:t>33.</w:t>
      </w:r>
      <w:r>
        <w:rPr>
          <w:rFonts w:hint="eastAsia" w:ascii="宋体" w:hAnsi="宋体"/>
          <w:b/>
          <w:sz w:val="24"/>
        </w:rPr>
        <w:t xml:space="preserve">开标一览表 </w:t>
      </w:r>
    </w:p>
    <w:p w14:paraId="3A519196">
      <w:pPr>
        <w:snapToGrid w:val="0"/>
        <w:spacing w:line="360" w:lineRule="auto"/>
        <w:jc w:val="center"/>
        <w:rPr>
          <w:rFonts w:ascii="宋体" w:hAnsi="宋体"/>
          <w:b/>
          <w:sz w:val="30"/>
          <w:szCs w:val="20"/>
        </w:rPr>
      </w:pPr>
      <w:r>
        <w:rPr>
          <w:rFonts w:hint="eastAsia" w:ascii="宋体" w:hAnsi="宋体"/>
          <w:b/>
          <w:sz w:val="30"/>
        </w:rPr>
        <w:t>开标一览表</w:t>
      </w:r>
    </w:p>
    <w:p w14:paraId="64AAE8A0">
      <w:pPr>
        <w:snapToGrid w:val="0"/>
        <w:spacing w:line="360" w:lineRule="auto"/>
        <w:rPr>
          <w:rFonts w:ascii="宋体" w:hAnsi="宋体"/>
          <w:sz w:val="24"/>
          <w:szCs w:val="20"/>
        </w:rPr>
      </w:pPr>
      <w:r>
        <w:rPr>
          <w:rFonts w:hint="eastAsia" w:ascii="宋体" w:hAnsi="宋体"/>
          <w:sz w:val="24"/>
        </w:rPr>
        <w:t>招标编号：</w:t>
      </w:r>
      <w:r>
        <w:rPr>
          <w:rFonts w:ascii="宋体" w:hAnsi="宋体"/>
          <w:sz w:val="24"/>
          <w:u w:val="single"/>
        </w:rPr>
        <w:t xml:space="preserve">       </w:t>
      </w:r>
      <w:r>
        <w:rPr>
          <w:rFonts w:ascii="宋体" w:hAnsi="宋体"/>
          <w:sz w:val="24"/>
        </w:rPr>
        <w:t xml:space="preserve">  </w:t>
      </w:r>
      <w:r>
        <w:rPr>
          <w:rFonts w:hint="eastAsia" w:ascii="宋体" w:hAnsi="宋体"/>
          <w:sz w:val="24"/>
        </w:rPr>
        <w:t>项目名称：</w:t>
      </w:r>
      <w:r>
        <w:rPr>
          <w:rFonts w:ascii="宋体" w:hAnsi="宋体"/>
          <w:sz w:val="24"/>
          <w:u w:val="single"/>
        </w:rPr>
        <w:t xml:space="preserve">         </w:t>
      </w:r>
      <w:r>
        <w:rPr>
          <w:rFonts w:hint="eastAsia" w:ascii="宋体" w:hAnsi="宋体"/>
          <w:sz w:val="24"/>
        </w:rPr>
        <w:t>投标人名称：</w:t>
      </w:r>
      <w:r>
        <w:rPr>
          <w:rFonts w:ascii="宋体" w:hAnsi="宋体"/>
          <w:sz w:val="24"/>
          <w:u w:val="single"/>
        </w:rPr>
        <w:t xml:space="preserve">                     </w:t>
      </w:r>
      <w:r>
        <w:rPr>
          <w:rFonts w:ascii="宋体" w:hAnsi="宋体"/>
          <w:sz w:val="24"/>
        </w:rPr>
        <w:t xml:space="preserve">           </w:t>
      </w:r>
      <w:r>
        <w:rPr>
          <w:rFonts w:hint="eastAsia" w:ascii="宋体" w:hAnsi="宋体"/>
          <w:sz w:val="24"/>
        </w:rPr>
        <w:t>单位：元</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1603"/>
        <w:gridCol w:w="810"/>
        <w:gridCol w:w="1003"/>
        <w:gridCol w:w="3071"/>
        <w:gridCol w:w="1978"/>
        <w:gridCol w:w="1079"/>
        <w:gridCol w:w="1518"/>
      </w:tblGrid>
      <w:tr w14:paraId="63FD0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C39E292">
            <w:pPr>
              <w:snapToGrid w:val="0"/>
              <w:spacing w:line="360" w:lineRule="auto"/>
              <w:jc w:val="center"/>
              <w:rPr>
                <w:rFonts w:ascii="宋体" w:hAnsi="宋体"/>
                <w:b/>
                <w:szCs w:val="30"/>
              </w:rPr>
            </w:pPr>
            <w:r>
              <w:rPr>
                <w:rFonts w:hint="eastAsia" w:ascii="宋体" w:hAnsi="宋体"/>
                <w:b/>
                <w:szCs w:val="30"/>
              </w:rPr>
              <w:t>项目名称</w:t>
            </w:r>
          </w:p>
        </w:tc>
        <w:tc>
          <w:tcPr>
            <w:tcW w:w="1603" w:type="dxa"/>
            <w:tcBorders>
              <w:top w:val="single" w:color="auto" w:sz="4" w:space="0"/>
              <w:left w:val="single" w:color="auto" w:sz="4" w:space="0"/>
              <w:bottom w:val="single" w:color="auto" w:sz="4" w:space="0"/>
              <w:right w:val="single" w:color="auto" w:sz="4" w:space="0"/>
            </w:tcBorders>
            <w:vAlign w:val="center"/>
          </w:tcPr>
          <w:p w14:paraId="0B92B925">
            <w:pPr>
              <w:snapToGrid w:val="0"/>
              <w:spacing w:line="360" w:lineRule="auto"/>
              <w:jc w:val="center"/>
              <w:rPr>
                <w:rFonts w:ascii="宋体" w:hAnsi="宋体"/>
                <w:b/>
                <w:szCs w:val="30"/>
              </w:rPr>
            </w:pPr>
            <w:r>
              <w:rPr>
                <w:rFonts w:hint="eastAsia" w:ascii="宋体" w:hAnsi="宋体"/>
                <w:b/>
                <w:szCs w:val="30"/>
              </w:rPr>
              <w:t>货物名称</w:t>
            </w:r>
          </w:p>
        </w:tc>
        <w:tc>
          <w:tcPr>
            <w:tcW w:w="810" w:type="dxa"/>
            <w:tcBorders>
              <w:top w:val="single" w:color="auto" w:sz="4" w:space="0"/>
              <w:left w:val="single" w:color="auto" w:sz="4" w:space="0"/>
              <w:bottom w:val="single" w:color="auto" w:sz="4" w:space="0"/>
              <w:right w:val="single" w:color="auto" w:sz="4" w:space="0"/>
            </w:tcBorders>
            <w:vAlign w:val="center"/>
          </w:tcPr>
          <w:p w14:paraId="1A607212">
            <w:pPr>
              <w:snapToGrid w:val="0"/>
              <w:spacing w:line="360" w:lineRule="auto"/>
              <w:jc w:val="center"/>
              <w:rPr>
                <w:rFonts w:ascii="宋体" w:hAnsi="宋体"/>
                <w:b/>
                <w:szCs w:val="30"/>
              </w:rPr>
            </w:pPr>
            <w:r>
              <w:rPr>
                <w:rFonts w:hint="eastAsia" w:ascii="宋体" w:hAnsi="宋体"/>
                <w:b/>
                <w:szCs w:val="30"/>
              </w:rPr>
              <w:t>数量</w:t>
            </w:r>
          </w:p>
        </w:tc>
        <w:tc>
          <w:tcPr>
            <w:tcW w:w="1003" w:type="dxa"/>
            <w:tcBorders>
              <w:top w:val="single" w:color="auto" w:sz="4" w:space="0"/>
              <w:left w:val="single" w:color="auto" w:sz="4" w:space="0"/>
              <w:bottom w:val="single" w:color="auto" w:sz="4" w:space="0"/>
              <w:right w:val="single" w:color="auto" w:sz="4" w:space="0"/>
            </w:tcBorders>
            <w:vAlign w:val="center"/>
          </w:tcPr>
          <w:p w14:paraId="4D83CA03">
            <w:pPr>
              <w:snapToGrid w:val="0"/>
              <w:spacing w:line="360" w:lineRule="auto"/>
              <w:jc w:val="center"/>
              <w:rPr>
                <w:rFonts w:ascii="宋体" w:hAnsi="宋体"/>
                <w:b/>
                <w:szCs w:val="30"/>
              </w:rPr>
            </w:pPr>
            <w:r>
              <w:rPr>
                <w:rFonts w:hint="eastAsia" w:ascii="宋体" w:hAnsi="宋体"/>
                <w:b/>
                <w:szCs w:val="30"/>
              </w:rPr>
              <w:t>产地</w:t>
            </w:r>
          </w:p>
        </w:tc>
        <w:tc>
          <w:tcPr>
            <w:tcW w:w="3071" w:type="dxa"/>
            <w:tcBorders>
              <w:top w:val="single" w:color="auto" w:sz="4" w:space="0"/>
              <w:left w:val="single" w:color="auto" w:sz="4" w:space="0"/>
              <w:bottom w:val="single" w:color="auto" w:sz="4" w:space="0"/>
              <w:right w:val="single" w:color="auto" w:sz="4" w:space="0"/>
            </w:tcBorders>
            <w:vAlign w:val="center"/>
          </w:tcPr>
          <w:p w14:paraId="45B62AC8">
            <w:pPr>
              <w:snapToGrid w:val="0"/>
              <w:spacing w:line="360" w:lineRule="auto"/>
              <w:jc w:val="center"/>
              <w:rPr>
                <w:rFonts w:ascii="宋体" w:hAnsi="宋体"/>
                <w:b/>
                <w:szCs w:val="30"/>
              </w:rPr>
            </w:pPr>
            <w:r>
              <w:rPr>
                <w:rFonts w:hint="eastAsia" w:ascii="宋体" w:hAnsi="宋体"/>
                <w:b/>
                <w:szCs w:val="30"/>
              </w:rPr>
              <w:t>品牌及厂家</w:t>
            </w:r>
          </w:p>
        </w:tc>
        <w:tc>
          <w:tcPr>
            <w:tcW w:w="1978" w:type="dxa"/>
            <w:tcBorders>
              <w:top w:val="single" w:color="auto" w:sz="4" w:space="0"/>
              <w:left w:val="single" w:color="auto" w:sz="4" w:space="0"/>
              <w:bottom w:val="single" w:color="auto" w:sz="4" w:space="0"/>
              <w:right w:val="single" w:color="auto" w:sz="4" w:space="0"/>
            </w:tcBorders>
            <w:vAlign w:val="center"/>
          </w:tcPr>
          <w:p w14:paraId="7CB5FD08">
            <w:pPr>
              <w:snapToGrid w:val="0"/>
              <w:spacing w:line="360" w:lineRule="auto"/>
              <w:jc w:val="center"/>
              <w:rPr>
                <w:rFonts w:ascii="宋体" w:hAnsi="宋体"/>
                <w:b/>
                <w:szCs w:val="30"/>
              </w:rPr>
            </w:pPr>
            <w:r>
              <w:rPr>
                <w:rFonts w:hint="eastAsia" w:ascii="宋体" w:hAnsi="宋体"/>
                <w:b/>
                <w:szCs w:val="30"/>
              </w:rPr>
              <w:t>规格型号</w:t>
            </w:r>
          </w:p>
        </w:tc>
        <w:tc>
          <w:tcPr>
            <w:tcW w:w="1079" w:type="dxa"/>
            <w:tcBorders>
              <w:top w:val="single" w:color="auto" w:sz="4" w:space="0"/>
              <w:left w:val="single" w:color="auto" w:sz="4" w:space="0"/>
              <w:bottom w:val="single" w:color="auto" w:sz="4" w:space="0"/>
              <w:right w:val="single" w:color="auto" w:sz="4" w:space="0"/>
            </w:tcBorders>
            <w:vAlign w:val="center"/>
          </w:tcPr>
          <w:p w14:paraId="1E15E4C7">
            <w:pPr>
              <w:snapToGrid w:val="0"/>
              <w:spacing w:line="360" w:lineRule="auto"/>
              <w:jc w:val="center"/>
              <w:rPr>
                <w:rFonts w:ascii="宋体" w:hAnsi="宋体"/>
                <w:b/>
                <w:szCs w:val="30"/>
              </w:rPr>
            </w:pPr>
            <w:r>
              <w:rPr>
                <w:rFonts w:hint="eastAsia" w:ascii="宋体" w:hAnsi="宋体"/>
                <w:b/>
                <w:szCs w:val="30"/>
              </w:rPr>
              <w:t>单价</w:t>
            </w:r>
          </w:p>
        </w:tc>
        <w:tc>
          <w:tcPr>
            <w:tcW w:w="1518" w:type="dxa"/>
            <w:tcBorders>
              <w:top w:val="single" w:color="auto" w:sz="4" w:space="0"/>
              <w:left w:val="single" w:color="auto" w:sz="4" w:space="0"/>
              <w:bottom w:val="single" w:color="auto" w:sz="4" w:space="0"/>
              <w:right w:val="single" w:color="auto" w:sz="4" w:space="0"/>
            </w:tcBorders>
            <w:vAlign w:val="center"/>
          </w:tcPr>
          <w:p w14:paraId="127593EA">
            <w:pPr>
              <w:snapToGrid w:val="0"/>
              <w:spacing w:line="360" w:lineRule="auto"/>
              <w:jc w:val="center"/>
              <w:rPr>
                <w:rFonts w:ascii="宋体" w:hAnsi="宋体"/>
                <w:b/>
                <w:szCs w:val="30"/>
              </w:rPr>
            </w:pPr>
            <w:r>
              <w:rPr>
                <w:rFonts w:hint="eastAsia" w:ascii="宋体" w:hAnsi="宋体"/>
                <w:b/>
                <w:szCs w:val="30"/>
              </w:rPr>
              <w:t>投标报价</w:t>
            </w:r>
          </w:p>
        </w:tc>
      </w:tr>
      <w:tr w14:paraId="198B9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742" w:type="dxa"/>
            <w:vMerge w:val="restart"/>
            <w:tcBorders>
              <w:top w:val="single" w:color="auto" w:sz="4" w:space="0"/>
              <w:left w:val="single" w:color="auto" w:sz="4" w:space="0"/>
              <w:bottom w:val="single" w:color="auto" w:sz="4" w:space="0"/>
              <w:right w:val="single" w:color="auto" w:sz="4" w:space="0"/>
            </w:tcBorders>
            <w:vAlign w:val="center"/>
          </w:tcPr>
          <w:p w14:paraId="2113C538">
            <w:pPr>
              <w:snapToGrid w:val="0"/>
              <w:spacing w:line="360" w:lineRule="auto"/>
              <w:jc w:val="center"/>
              <w:rPr>
                <w:rFonts w:ascii="宋体" w:hAnsi="宋体"/>
                <w:sz w:val="32"/>
                <w:szCs w:val="20"/>
              </w:rPr>
            </w:pPr>
          </w:p>
          <w:p w14:paraId="2FA64ED8">
            <w:pPr>
              <w:snapToGrid w:val="0"/>
              <w:spacing w:line="360" w:lineRule="auto"/>
              <w:jc w:val="center"/>
              <w:rPr>
                <w:rFonts w:ascii="宋体" w:hAnsi="宋体"/>
                <w:sz w:val="32"/>
                <w:szCs w:val="20"/>
              </w:rPr>
            </w:pPr>
          </w:p>
        </w:tc>
        <w:tc>
          <w:tcPr>
            <w:tcW w:w="1603" w:type="dxa"/>
            <w:tcBorders>
              <w:top w:val="single" w:color="auto" w:sz="4" w:space="0"/>
              <w:left w:val="single" w:color="auto" w:sz="4" w:space="0"/>
              <w:bottom w:val="single" w:color="auto" w:sz="4" w:space="0"/>
              <w:right w:val="single" w:color="auto" w:sz="4" w:space="0"/>
            </w:tcBorders>
            <w:vAlign w:val="center"/>
          </w:tcPr>
          <w:p w14:paraId="68F6FD75">
            <w:pPr>
              <w:snapToGrid w:val="0"/>
              <w:spacing w:line="360" w:lineRule="auto"/>
              <w:jc w:val="left"/>
              <w:rPr>
                <w:rFonts w:ascii="宋体" w:hAnsi="宋体"/>
                <w:bCs/>
                <w:sz w:val="32"/>
                <w:szCs w:val="20"/>
              </w:rPr>
            </w:pPr>
          </w:p>
        </w:tc>
        <w:tc>
          <w:tcPr>
            <w:tcW w:w="810" w:type="dxa"/>
            <w:tcBorders>
              <w:top w:val="single" w:color="auto" w:sz="4" w:space="0"/>
              <w:left w:val="single" w:color="auto" w:sz="4" w:space="0"/>
              <w:bottom w:val="single" w:color="auto" w:sz="4" w:space="0"/>
              <w:right w:val="single" w:color="auto" w:sz="4" w:space="0"/>
            </w:tcBorders>
            <w:vAlign w:val="center"/>
          </w:tcPr>
          <w:p w14:paraId="5F6D0591">
            <w:pPr>
              <w:snapToGrid w:val="0"/>
              <w:spacing w:line="360" w:lineRule="auto"/>
              <w:jc w:val="left"/>
              <w:rPr>
                <w:rFonts w:ascii="宋体" w:hAnsi="宋体"/>
                <w:bCs/>
                <w:sz w:val="32"/>
                <w:szCs w:val="20"/>
              </w:rPr>
            </w:pPr>
          </w:p>
        </w:tc>
        <w:tc>
          <w:tcPr>
            <w:tcW w:w="1003" w:type="dxa"/>
            <w:tcBorders>
              <w:top w:val="single" w:color="auto" w:sz="4" w:space="0"/>
              <w:left w:val="single" w:color="auto" w:sz="4" w:space="0"/>
              <w:bottom w:val="single" w:color="auto" w:sz="4" w:space="0"/>
              <w:right w:val="single" w:color="auto" w:sz="4" w:space="0"/>
            </w:tcBorders>
            <w:vAlign w:val="center"/>
          </w:tcPr>
          <w:p w14:paraId="5F431AC1">
            <w:pPr>
              <w:snapToGrid w:val="0"/>
              <w:spacing w:line="360" w:lineRule="auto"/>
              <w:jc w:val="center"/>
              <w:rPr>
                <w:rFonts w:ascii="宋体" w:hAnsi="宋体"/>
                <w:sz w:val="32"/>
                <w:szCs w:val="21"/>
              </w:rPr>
            </w:pPr>
          </w:p>
        </w:tc>
        <w:tc>
          <w:tcPr>
            <w:tcW w:w="3071" w:type="dxa"/>
            <w:tcBorders>
              <w:top w:val="single" w:color="auto" w:sz="4" w:space="0"/>
              <w:left w:val="single" w:color="auto" w:sz="4" w:space="0"/>
              <w:bottom w:val="single" w:color="auto" w:sz="4" w:space="0"/>
              <w:right w:val="single" w:color="auto" w:sz="4" w:space="0"/>
            </w:tcBorders>
            <w:vAlign w:val="center"/>
          </w:tcPr>
          <w:p w14:paraId="77FECE41">
            <w:pPr>
              <w:snapToGrid w:val="0"/>
              <w:spacing w:line="360" w:lineRule="auto"/>
              <w:jc w:val="center"/>
              <w:rPr>
                <w:rFonts w:ascii="宋体" w:hAnsi="宋体"/>
                <w:sz w:val="32"/>
                <w:szCs w:val="21"/>
              </w:rPr>
            </w:pPr>
          </w:p>
        </w:tc>
        <w:tc>
          <w:tcPr>
            <w:tcW w:w="1978" w:type="dxa"/>
            <w:tcBorders>
              <w:top w:val="single" w:color="auto" w:sz="4" w:space="0"/>
              <w:left w:val="single" w:color="auto" w:sz="4" w:space="0"/>
              <w:bottom w:val="single" w:color="auto" w:sz="4" w:space="0"/>
              <w:right w:val="single" w:color="auto" w:sz="4" w:space="0"/>
            </w:tcBorders>
            <w:vAlign w:val="center"/>
          </w:tcPr>
          <w:p w14:paraId="57FB5E64">
            <w:pPr>
              <w:snapToGrid w:val="0"/>
              <w:spacing w:line="360" w:lineRule="auto"/>
              <w:rPr>
                <w:rFonts w:ascii="宋体" w:hAnsi="宋体"/>
                <w:sz w:val="32"/>
                <w:szCs w:val="21"/>
              </w:rPr>
            </w:pPr>
          </w:p>
        </w:tc>
        <w:tc>
          <w:tcPr>
            <w:tcW w:w="1079" w:type="dxa"/>
            <w:tcBorders>
              <w:top w:val="single" w:color="auto" w:sz="4" w:space="0"/>
              <w:left w:val="single" w:color="auto" w:sz="4" w:space="0"/>
              <w:bottom w:val="single" w:color="auto" w:sz="4" w:space="0"/>
              <w:right w:val="single" w:color="auto" w:sz="4" w:space="0"/>
            </w:tcBorders>
            <w:vAlign w:val="center"/>
          </w:tcPr>
          <w:p w14:paraId="2EF46BB2">
            <w:pPr>
              <w:snapToGrid w:val="0"/>
              <w:spacing w:line="360" w:lineRule="auto"/>
              <w:rPr>
                <w:rFonts w:ascii="宋体" w:hAnsi="宋体"/>
                <w:sz w:val="32"/>
                <w:szCs w:val="21"/>
              </w:rPr>
            </w:pPr>
          </w:p>
        </w:tc>
        <w:tc>
          <w:tcPr>
            <w:tcW w:w="1518" w:type="dxa"/>
            <w:tcBorders>
              <w:top w:val="single" w:color="auto" w:sz="4" w:space="0"/>
              <w:left w:val="single" w:color="auto" w:sz="4" w:space="0"/>
              <w:bottom w:val="single" w:color="auto" w:sz="4" w:space="0"/>
              <w:right w:val="single" w:color="auto" w:sz="4" w:space="0"/>
            </w:tcBorders>
            <w:vAlign w:val="center"/>
          </w:tcPr>
          <w:p w14:paraId="678972D5">
            <w:pPr>
              <w:snapToGrid w:val="0"/>
              <w:spacing w:line="360" w:lineRule="auto"/>
              <w:rPr>
                <w:rFonts w:ascii="宋体" w:hAnsi="宋体"/>
                <w:sz w:val="32"/>
                <w:szCs w:val="21"/>
              </w:rPr>
            </w:pPr>
          </w:p>
        </w:tc>
      </w:tr>
      <w:tr w14:paraId="27582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42" w:type="dxa"/>
            <w:vMerge w:val="continue"/>
            <w:tcBorders>
              <w:top w:val="single" w:color="auto" w:sz="4" w:space="0"/>
              <w:left w:val="single" w:color="auto" w:sz="4" w:space="0"/>
              <w:bottom w:val="single" w:color="auto" w:sz="4" w:space="0"/>
              <w:right w:val="single" w:color="auto" w:sz="4" w:space="0"/>
            </w:tcBorders>
            <w:vAlign w:val="center"/>
          </w:tcPr>
          <w:p w14:paraId="19BD2B77">
            <w:pPr>
              <w:widowControl/>
              <w:spacing w:line="360" w:lineRule="auto"/>
              <w:jc w:val="left"/>
              <w:rPr>
                <w:rFonts w:ascii="宋体" w:hAnsi="宋体"/>
                <w:sz w:val="32"/>
              </w:rPr>
            </w:pPr>
          </w:p>
        </w:tc>
        <w:tc>
          <w:tcPr>
            <w:tcW w:w="1603" w:type="dxa"/>
            <w:tcBorders>
              <w:top w:val="single" w:color="auto" w:sz="4" w:space="0"/>
              <w:left w:val="single" w:color="auto" w:sz="4" w:space="0"/>
              <w:bottom w:val="single" w:color="auto" w:sz="4" w:space="0"/>
              <w:right w:val="single" w:color="auto" w:sz="4" w:space="0"/>
            </w:tcBorders>
            <w:vAlign w:val="center"/>
          </w:tcPr>
          <w:p w14:paraId="55767A04">
            <w:pPr>
              <w:snapToGrid w:val="0"/>
              <w:spacing w:line="360" w:lineRule="auto"/>
              <w:jc w:val="left"/>
              <w:rPr>
                <w:rFonts w:ascii="宋体" w:hAnsi="宋体"/>
                <w:bCs/>
                <w:sz w:val="32"/>
                <w:szCs w:val="20"/>
              </w:rPr>
            </w:pPr>
          </w:p>
        </w:tc>
        <w:tc>
          <w:tcPr>
            <w:tcW w:w="810" w:type="dxa"/>
            <w:tcBorders>
              <w:top w:val="single" w:color="auto" w:sz="4" w:space="0"/>
              <w:left w:val="single" w:color="auto" w:sz="4" w:space="0"/>
              <w:bottom w:val="single" w:color="auto" w:sz="4" w:space="0"/>
              <w:right w:val="single" w:color="auto" w:sz="4" w:space="0"/>
            </w:tcBorders>
            <w:vAlign w:val="center"/>
          </w:tcPr>
          <w:p w14:paraId="611726B9">
            <w:pPr>
              <w:snapToGrid w:val="0"/>
              <w:spacing w:line="360" w:lineRule="auto"/>
              <w:jc w:val="left"/>
              <w:rPr>
                <w:rFonts w:ascii="宋体" w:hAnsi="宋体"/>
                <w:bCs/>
                <w:sz w:val="32"/>
                <w:szCs w:val="20"/>
              </w:rPr>
            </w:pPr>
          </w:p>
        </w:tc>
        <w:tc>
          <w:tcPr>
            <w:tcW w:w="1003" w:type="dxa"/>
            <w:tcBorders>
              <w:top w:val="single" w:color="auto" w:sz="4" w:space="0"/>
              <w:left w:val="single" w:color="auto" w:sz="4" w:space="0"/>
              <w:bottom w:val="single" w:color="auto" w:sz="4" w:space="0"/>
              <w:right w:val="single" w:color="auto" w:sz="4" w:space="0"/>
            </w:tcBorders>
            <w:vAlign w:val="center"/>
          </w:tcPr>
          <w:p w14:paraId="0BBC5C56">
            <w:pPr>
              <w:snapToGrid w:val="0"/>
              <w:spacing w:line="360" w:lineRule="auto"/>
              <w:jc w:val="center"/>
              <w:rPr>
                <w:rFonts w:ascii="宋体" w:hAnsi="宋体"/>
                <w:sz w:val="32"/>
                <w:szCs w:val="21"/>
              </w:rPr>
            </w:pPr>
          </w:p>
        </w:tc>
        <w:tc>
          <w:tcPr>
            <w:tcW w:w="3071" w:type="dxa"/>
            <w:tcBorders>
              <w:top w:val="single" w:color="auto" w:sz="4" w:space="0"/>
              <w:left w:val="single" w:color="auto" w:sz="4" w:space="0"/>
              <w:bottom w:val="single" w:color="auto" w:sz="4" w:space="0"/>
              <w:right w:val="single" w:color="auto" w:sz="4" w:space="0"/>
            </w:tcBorders>
            <w:vAlign w:val="center"/>
          </w:tcPr>
          <w:p w14:paraId="30B93856">
            <w:pPr>
              <w:snapToGrid w:val="0"/>
              <w:spacing w:line="360" w:lineRule="auto"/>
              <w:jc w:val="center"/>
              <w:rPr>
                <w:rFonts w:ascii="宋体" w:hAnsi="宋体"/>
                <w:sz w:val="32"/>
                <w:szCs w:val="21"/>
              </w:rPr>
            </w:pPr>
          </w:p>
        </w:tc>
        <w:tc>
          <w:tcPr>
            <w:tcW w:w="1978" w:type="dxa"/>
            <w:tcBorders>
              <w:top w:val="single" w:color="auto" w:sz="4" w:space="0"/>
              <w:left w:val="single" w:color="auto" w:sz="4" w:space="0"/>
              <w:bottom w:val="single" w:color="auto" w:sz="4" w:space="0"/>
              <w:right w:val="single" w:color="auto" w:sz="4" w:space="0"/>
            </w:tcBorders>
            <w:vAlign w:val="center"/>
          </w:tcPr>
          <w:p w14:paraId="7308DF3A">
            <w:pPr>
              <w:snapToGrid w:val="0"/>
              <w:spacing w:line="360" w:lineRule="auto"/>
              <w:rPr>
                <w:rFonts w:ascii="宋体" w:hAnsi="宋体"/>
                <w:sz w:val="32"/>
                <w:szCs w:val="21"/>
              </w:rPr>
            </w:pPr>
          </w:p>
        </w:tc>
        <w:tc>
          <w:tcPr>
            <w:tcW w:w="1079" w:type="dxa"/>
            <w:tcBorders>
              <w:top w:val="single" w:color="auto" w:sz="4" w:space="0"/>
              <w:left w:val="single" w:color="auto" w:sz="4" w:space="0"/>
              <w:bottom w:val="single" w:color="auto" w:sz="4" w:space="0"/>
              <w:right w:val="single" w:color="auto" w:sz="4" w:space="0"/>
            </w:tcBorders>
            <w:vAlign w:val="center"/>
          </w:tcPr>
          <w:p w14:paraId="5D45E8E5">
            <w:pPr>
              <w:snapToGrid w:val="0"/>
              <w:spacing w:line="360" w:lineRule="auto"/>
              <w:rPr>
                <w:rFonts w:ascii="宋体" w:hAnsi="宋体"/>
                <w:sz w:val="32"/>
                <w:szCs w:val="21"/>
              </w:rPr>
            </w:pPr>
          </w:p>
        </w:tc>
        <w:tc>
          <w:tcPr>
            <w:tcW w:w="1518" w:type="dxa"/>
            <w:tcBorders>
              <w:top w:val="single" w:color="auto" w:sz="4" w:space="0"/>
              <w:left w:val="single" w:color="auto" w:sz="4" w:space="0"/>
              <w:bottom w:val="single" w:color="auto" w:sz="4" w:space="0"/>
              <w:right w:val="single" w:color="auto" w:sz="4" w:space="0"/>
            </w:tcBorders>
            <w:vAlign w:val="center"/>
          </w:tcPr>
          <w:p w14:paraId="5A8CD45B">
            <w:pPr>
              <w:snapToGrid w:val="0"/>
              <w:spacing w:line="360" w:lineRule="auto"/>
              <w:rPr>
                <w:rFonts w:ascii="宋体" w:hAnsi="宋体"/>
                <w:sz w:val="32"/>
                <w:szCs w:val="21"/>
              </w:rPr>
            </w:pPr>
          </w:p>
        </w:tc>
      </w:tr>
      <w:tr w14:paraId="5BC0B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742" w:type="dxa"/>
            <w:vMerge w:val="continue"/>
            <w:tcBorders>
              <w:top w:val="single" w:color="auto" w:sz="4" w:space="0"/>
              <w:left w:val="single" w:color="auto" w:sz="4" w:space="0"/>
              <w:bottom w:val="single" w:color="auto" w:sz="4" w:space="0"/>
              <w:right w:val="single" w:color="auto" w:sz="4" w:space="0"/>
            </w:tcBorders>
            <w:vAlign w:val="center"/>
          </w:tcPr>
          <w:p w14:paraId="3EFCBE62">
            <w:pPr>
              <w:widowControl/>
              <w:spacing w:line="360" w:lineRule="auto"/>
              <w:jc w:val="left"/>
              <w:rPr>
                <w:rFonts w:ascii="宋体" w:hAnsi="宋体"/>
                <w:sz w:val="24"/>
              </w:rPr>
            </w:pPr>
          </w:p>
        </w:tc>
        <w:tc>
          <w:tcPr>
            <w:tcW w:w="1603" w:type="dxa"/>
            <w:tcBorders>
              <w:top w:val="single" w:color="auto" w:sz="4" w:space="0"/>
              <w:left w:val="single" w:color="auto" w:sz="4" w:space="0"/>
              <w:bottom w:val="single" w:color="auto" w:sz="4" w:space="0"/>
              <w:right w:val="single" w:color="auto" w:sz="4" w:space="0"/>
            </w:tcBorders>
            <w:vAlign w:val="center"/>
          </w:tcPr>
          <w:p w14:paraId="0E568EBB">
            <w:pPr>
              <w:snapToGrid w:val="0"/>
              <w:spacing w:line="360" w:lineRule="auto"/>
              <w:jc w:val="left"/>
              <w:rPr>
                <w:rFonts w:ascii="宋体" w:hAnsi="宋体"/>
                <w:bCs/>
                <w:sz w:val="24"/>
                <w:szCs w:val="20"/>
              </w:rPr>
            </w:pPr>
          </w:p>
        </w:tc>
        <w:tc>
          <w:tcPr>
            <w:tcW w:w="810" w:type="dxa"/>
            <w:tcBorders>
              <w:top w:val="single" w:color="auto" w:sz="4" w:space="0"/>
              <w:left w:val="single" w:color="auto" w:sz="4" w:space="0"/>
              <w:bottom w:val="single" w:color="auto" w:sz="4" w:space="0"/>
              <w:right w:val="single" w:color="auto" w:sz="4" w:space="0"/>
            </w:tcBorders>
            <w:vAlign w:val="center"/>
          </w:tcPr>
          <w:p w14:paraId="094F3391">
            <w:pPr>
              <w:snapToGrid w:val="0"/>
              <w:spacing w:line="360" w:lineRule="auto"/>
              <w:jc w:val="left"/>
              <w:rPr>
                <w:rFonts w:ascii="宋体" w:hAnsi="宋体"/>
                <w:bCs/>
                <w:sz w:val="24"/>
                <w:szCs w:val="20"/>
              </w:rPr>
            </w:pPr>
          </w:p>
        </w:tc>
        <w:tc>
          <w:tcPr>
            <w:tcW w:w="1003" w:type="dxa"/>
            <w:tcBorders>
              <w:top w:val="single" w:color="auto" w:sz="4" w:space="0"/>
              <w:left w:val="single" w:color="auto" w:sz="4" w:space="0"/>
              <w:bottom w:val="single" w:color="auto" w:sz="4" w:space="0"/>
              <w:right w:val="single" w:color="auto" w:sz="4" w:space="0"/>
            </w:tcBorders>
            <w:vAlign w:val="center"/>
          </w:tcPr>
          <w:p w14:paraId="3F0183F0">
            <w:pPr>
              <w:snapToGrid w:val="0"/>
              <w:spacing w:line="360" w:lineRule="auto"/>
              <w:jc w:val="center"/>
              <w:rPr>
                <w:rFonts w:ascii="宋体" w:hAnsi="宋体"/>
                <w:sz w:val="24"/>
                <w:szCs w:val="21"/>
              </w:rPr>
            </w:pPr>
          </w:p>
        </w:tc>
        <w:tc>
          <w:tcPr>
            <w:tcW w:w="3071" w:type="dxa"/>
            <w:tcBorders>
              <w:top w:val="single" w:color="auto" w:sz="4" w:space="0"/>
              <w:left w:val="single" w:color="auto" w:sz="4" w:space="0"/>
              <w:bottom w:val="single" w:color="auto" w:sz="4" w:space="0"/>
              <w:right w:val="single" w:color="auto" w:sz="4" w:space="0"/>
            </w:tcBorders>
            <w:vAlign w:val="center"/>
          </w:tcPr>
          <w:p w14:paraId="013B8D24">
            <w:pPr>
              <w:snapToGrid w:val="0"/>
              <w:spacing w:line="360" w:lineRule="auto"/>
              <w:jc w:val="center"/>
              <w:rPr>
                <w:rFonts w:ascii="宋体" w:hAnsi="宋体"/>
                <w:sz w:val="24"/>
                <w:szCs w:val="21"/>
              </w:rPr>
            </w:pPr>
          </w:p>
        </w:tc>
        <w:tc>
          <w:tcPr>
            <w:tcW w:w="1978" w:type="dxa"/>
            <w:tcBorders>
              <w:top w:val="single" w:color="auto" w:sz="4" w:space="0"/>
              <w:left w:val="single" w:color="auto" w:sz="4" w:space="0"/>
              <w:bottom w:val="single" w:color="auto" w:sz="4" w:space="0"/>
              <w:right w:val="single" w:color="auto" w:sz="4" w:space="0"/>
            </w:tcBorders>
            <w:vAlign w:val="center"/>
          </w:tcPr>
          <w:p w14:paraId="63D6148F">
            <w:pPr>
              <w:snapToGrid w:val="0"/>
              <w:spacing w:line="360" w:lineRule="auto"/>
              <w:rPr>
                <w:rFonts w:ascii="宋体" w:hAnsi="宋体"/>
                <w:sz w:val="24"/>
                <w:szCs w:val="21"/>
              </w:rPr>
            </w:pPr>
          </w:p>
        </w:tc>
        <w:tc>
          <w:tcPr>
            <w:tcW w:w="1079" w:type="dxa"/>
            <w:tcBorders>
              <w:top w:val="single" w:color="auto" w:sz="4" w:space="0"/>
              <w:left w:val="single" w:color="auto" w:sz="4" w:space="0"/>
              <w:bottom w:val="single" w:color="auto" w:sz="4" w:space="0"/>
              <w:right w:val="single" w:color="auto" w:sz="4" w:space="0"/>
            </w:tcBorders>
            <w:vAlign w:val="center"/>
          </w:tcPr>
          <w:p w14:paraId="6C36096F">
            <w:pPr>
              <w:snapToGrid w:val="0"/>
              <w:spacing w:line="360" w:lineRule="auto"/>
              <w:rPr>
                <w:rFonts w:ascii="宋体" w:hAnsi="宋体"/>
                <w:sz w:val="24"/>
                <w:szCs w:val="21"/>
              </w:rPr>
            </w:pPr>
          </w:p>
        </w:tc>
        <w:tc>
          <w:tcPr>
            <w:tcW w:w="1518" w:type="dxa"/>
            <w:tcBorders>
              <w:top w:val="single" w:color="auto" w:sz="4" w:space="0"/>
              <w:left w:val="single" w:color="auto" w:sz="4" w:space="0"/>
              <w:bottom w:val="single" w:color="auto" w:sz="4" w:space="0"/>
              <w:right w:val="single" w:color="auto" w:sz="4" w:space="0"/>
            </w:tcBorders>
            <w:vAlign w:val="center"/>
          </w:tcPr>
          <w:p w14:paraId="5E4F5C76">
            <w:pPr>
              <w:snapToGrid w:val="0"/>
              <w:spacing w:line="360" w:lineRule="auto"/>
              <w:rPr>
                <w:rFonts w:ascii="宋体" w:hAnsi="宋体"/>
                <w:sz w:val="24"/>
                <w:szCs w:val="21"/>
              </w:rPr>
            </w:pPr>
          </w:p>
        </w:tc>
      </w:tr>
      <w:tr w14:paraId="1157F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1804" w:type="dxa"/>
            <w:gridSpan w:val="8"/>
            <w:tcBorders>
              <w:top w:val="single" w:color="auto" w:sz="4" w:space="0"/>
              <w:left w:val="single" w:color="auto" w:sz="4" w:space="0"/>
              <w:bottom w:val="single" w:color="auto" w:sz="4" w:space="0"/>
              <w:right w:val="single" w:color="auto" w:sz="4" w:space="0"/>
            </w:tcBorders>
            <w:vAlign w:val="center"/>
          </w:tcPr>
          <w:p w14:paraId="797F724C">
            <w:pPr>
              <w:snapToGrid w:val="0"/>
              <w:spacing w:line="360" w:lineRule="auto"/>
              <w:rPr>
                <w:rFonts w:ascii="宋体" w:hAnsi="宋体"/>
                <w:sz w:val="24"/>
                <w:szCs w:val="21"/>
                <w:u w:val="single"/>
              </w:rPr>
            </w:pPr>
            <w:r>
              <w:rPr>
                <w:rFonts w:hint="eastAsia" w:ascii="宋体" w:hAnsi="宋体"/>
                <w:sz w:val="24"/>
                <w:szCs w:val="21"/>
              </w:rPr>
              <w:t>合计金额大写：</w:t>
            </w:r>
            <w:r>
              <w:rPr>
                <w:rFonts w:ascii="宋体" w:hAnsi="宋体"/>
                <w:sz w:val="24"/>
                <w:szCs w:val="21"/>
              </w:rPr>
              <w:t xml:space="preserve">                                   </w:t>
            </w:r>
            <w:r>
              <w:rPr>
                <w:rFonts w:hint="eastAsia" w:ascii="宋体" w:hAnsi="宋体"/>
                <w:sz w:val="24"/>
                <w:szCs w:val="21"/>
              </w:rPr>
              <w:t xml:space="preserve">          </w:t>
            </w:r>
            <w:r>
              <w:rPr>
                <w:rFonts w:ascii="宋体" w:hAnsi="宋体"/>
                <w:sz w:val="24"/>
                <w:szCs w:val="21"/>
              </w:rPr>
              <w:t xml:space="preserve"> </w:t>
            </w:r>
            <w:r>
              <w:rPr>
                <w:rFonts w:hint="eastAsia" w:ascii="宋体" w:hAnsi="宋体"/>
                <w:sz w:val="24"/>
                <w:szCs w:val="21"/>
              </w:rPr>
              <w:t xml:space="preserve">                     </w:t>
            </w:r>
            <w:r>
              <w:rPr>
                <w:rFonts w:ascii="宋体" w:hAnsi="宋体"/>
                <w:sz w:val="24"/>
                <w:szCs w:val="21"/>
              </w:rPr>
              <w:t xml:space="preserve">      </w:t>
            </w:r>
            <w:r>
              <w:rPr>
                <w:rFonts w:hint="eastAsia" w:ascii="宋体" w:hAnsi="宋体"/>
                <w:sz w:val="24"/>
                <w:szCs w:val="21"/>
              </w:rPr>
              <w:t>￥</w:t>
            </w:r>
            <w:r>
              <w:rPr>
                <w:rFonts w:ascii="宋体" w:hAnsi="宋体"/>
                <w:sz w:val="24"/>
                <w:szCs w:val="21"/>
                <w:u w:val="single"/>
              </w:rPr>
              <w:t xml:space="preserve">            </w:t>
            </w:r>
          </w:p>
        </w:tc>
      </w:tr>
    </w:tbl>
    <w:p w14:paraId="747A341E">
      <w:pPr>
        <w:snapToGrid w:val="0"/>
        <w:spacing w:line="360" w:lineRule="auto"/>
        <w:jc w:val="left"/>
        <w:rPr>
          <w:rFonts w:ascii="宋体" w:hAnsi="宋体"/>
          <w:sz w:val="24"/>
          <w:szCs w:val="20"/>
        </w:rPr>
      </w:pPr>
      <w:r>
        <w:rPr>
          <w:rFonts w:hint="eastAsia" w:ascii="宋体" w:hAnsi="宋体"/>
          <w:sz w:val="24"/>
        </w:rPr>
        <w:t>注：</w:t>
      </w:r>
      <w:r>
        <w:rPr>
          <w:rFonts w:ascii="宋体" w:hAnsi="宋体"/>
          <w:sz w:val="24"/>
        </w:rPr>
        <w:t xml:space="preserve"> 1</w:t>
      </w:r>
      <w:r>
        <w:rPr>
          <w:rFonts w:hint="eastAsia" w:ascii="宋体" w:hAnsi="宋体"/>
          <w:sz w:val="24"/>
        </w:rPr>
        <w:t>、报价一经涂改，应在涂改处加盖单位公章</w:t>
      </w:r>
      <w:bookmarkStart w:id="128" w:name="_GoBack"/>
      <w:r>
        <w:rPr>
          <w:rFonts w:hint="eastAsia" w:ascii="宋体" w:hAnsi="宋体"/>
          <w:sz w:val="24"/>
        </w:rPr>
        <w:t>或者</w:t>
      </w:r>
      <w:bookmarkEnd w:id="128"/>
      <w:r>
        <w:rPr>
          <w:rFonts w:hint="eastAsia" w:ascii="宋体" w:hAnsi="宋体"/>
          <w:sz w:val="24"/>
        </w:rPr>
        <w:t>由法定代表人或授权委托人签字或盖章，否则其投标作无效标处理。</w:t>
      </w:r>
    </w:p>
    <w:p w14:paraId="5C4612D8">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、凡需用专用耗材的专用设备类采购项目，应按招标文件规定的耗材量或按耗材的常规使用量提供报价。</w:t>
      </w:r>
    </w:p>
    <w:p w14:paraId="404C20EB">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、投标费用包括项目实施所需的人工费、服务费、运输费、安装调试费、购买及制作标书费、税费及其他一切费用。</w:t>
      </w:r>
    </w:p>
    <w:p w14:paraId="69F65CAD">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、以上报价应与“投标设备报价明细表”中的“投标总价”相一致。</w:t>
      </w:r>
    </w:p>
    <w:p w14:paraId="76D9B048">
      <w:pPr>
        <w:snapToGrid w:val="0"/>
        <w:spacing w:line="360" w:lineRule="auto"/>
        <w:ind w:left="-3" w:leftChars="-1" w:right="-1089" w:rightChars="-389"/>
        <w:rPr>
          <w:rFonts w:ascii="宋体" w:hAnsi="宋体"/>
          <w:sz w:val="24"/>
          <w:szCs w:val="20"/>
        </w:rPr>
      </w:pPr>
      <w:r>
        <w:rPr>
          <w:rFonts w:hint="eastAsia" w:ascii="宋体" w:hAnsi="宋体"/>
          <w:sz w:val="24"/>
        </w:rPr>
        <w:t>法定代表人签字：</w:t>
      </w:r>
      <w:r>
        <w:rPr>
          <w:rFonts w:ascii="宋体" w:hAnsi="宋体"/>
          <w:sz w:val="24"/>
        </w:rPr>
        <w:t xml:space="preserve">                    </w:t>
      </w:r>
    </w:p>
    <w:p w14:paraId="74AE2C59">
      <w:pPr>
        <w:snapToGrid w:val="0"/>
        <w:spacing w:line="360" w:lineRule="auto"/>
        <w:ind w:right="-1089" w:rightChars="-389"/>
        <w:rPr>
          <w:rFonts w:ascii="宋体" w:hAnsi="宋体"/>
          <w:sz w:val="24"/>
        </w:rPr>
      </w:pPr>
      <w:r>
        <w:rPr>
          <w:rFonts w:hint="eastAsia" w:ascii="宋体" w:hAnsi="宋体"/>
          <w:sz w:val="24"/>
        </w:rPr>
        <w:t>投标人名称（盖章）：</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10F54CE4">
      <w:pPr>
        <w:pStyle w:val="3"/>
        <w:ind w:firstLine="280"/>
      </w:pPr>
    </w:p>
    <w:p w14:paraId="4E6F5CB1">
      <w:pPr>
        <w:spacing w:line="360" w:lineRule="auto"/>
        <w:rPr>
          <w:szCs w:val="28"/>
        </w:rPr>
      </w:pPr>
      <w:r>
        <w:rPr>
          <w:rFonts w:hint="eastAsia"/>
          <w:szCs w:val="28"/>
        </w:rPr>
        <w:t>附件：</w:t>
      </w:r>
      <w:r>
        <w:rPr>
          <w:szCs w:val="28"/>
        </w:rPr>
        <w:t xml:space="preserve"> “</w:t>
      </w:r>
      <w:r>
        <w:rPr>
          <w:rFonts w:hint="eastAsia"/>
          <w:szCs w:val="28"/>
        </w:rPr>
        <w:t>信用中国</w:t>
      </w:r>
      <w:r>
        <w:rPr>
          <w:szCs w:val="28"/>
        </w:rPr>
        <w:t>”</w:t>
      </w:r>
      <w:r>
        <w:rPr>
          <w:rFonts w:hint="eastAsia"/>
          <w:szCs w:val="28"/>
        </w:rPr>
        <w:t>（</w:t>
      </w:r>
      <w:r>
        <w:rPr>
          <w:szCs w:val="28"/>
        </w:rPr>
        <w:t>www.creditchina.gov.cn</w:t>
      </w:r>
      <w:r>
        <w:rPr>
          <w:rFonts w:hint="eastAsia"/>
          <w:szCs w:val="28"/>
        </w:rPr>
        <w:t>）、</w:t>
      </w:r>
      <w:r>
        <w:rPr>
          <w:szCs w:val="28"/>
        </w:rPr>
        <w:t>“</w:t>
      </w:r>
      <w:r>
        <w:rPr>
          <w:rFonts w:hint="eastAsia"/>
          <w:szCs w:val="28"/>
        </w:rPr>
        <w:t>中国政府采购网</w:t>
      </w:r>
      <w:r>
        <w:rPr>
          <w:szCs w:val="28"/>
        </w:rPr>
        <w:t>”</w:t>
      </w:r>
      <w:r>
        <w:rPr>
          <w:rFonts w:hint="eastAsia"/>
          <w:szCs w:val="28"/>
        </w:rPr>
        <w:t>（</w:t>
      </w:r>
      <w:r>
        <w:rPr>
          <w:szCs w:val="28"/>
        </w:rPr>
        <w:t>www.ccgp.gov.cn</w:t>
      </w:r>
      <w:r>
        <w:rPr>
          <w:rFonts w:hint="eastAsia"/>
          <w:szCs w:val="28"/>
        </w:rPr>
        <w:t>）网页截图</w:t>
      </w:r>
      <w:r>
        <w:rPr>
          <w:szCs w:val="28"/>
        </w:rPr>
        <w:t>模板</w:t>
      </w:r>
    </w:p>
    <w:p w14:paraId="2CCDF3AB">
      <w:pPr>
        <w:spacing w:line="360" w:lineRule="auto"/>
        <w:rPr>
          <w:i/>
          <w:szCs w:val="28"/>
        </w:rPr>
      </w:pPr>
    </w:p>
    <w:p w14:paraId="03DA2988">
      <w:r>
        <w:drawing>
          <wp:inline distT="0" distB="0" distL="0" distR="0">
            <wp:extent cx="5175885" cy="3847465"/>
            <wp:effectExtent l="0" t="0" r="571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75885" cy="3847465"/>
                    </a:xfrm>
                    <a:prstGeom prst="rect">
                      <a:avLst/>
                    </a:prstGeom>
                    <a:noFill/>
                    <a:ln>
                      <a:noFill/>
                    </a:ln>
                  </pic:spPr>
                </pic:pic>
              </a:graphicData>
            </a:graphic>
          </wp:inline>
        </w:drawing>
      </w:r>
      <w:r>
        <w:drawing>
          <wp:inline distT="0" distB="0" distL="0" distR="0">
            <wp:extent cx="5279390" cy="30708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9390" cy="3070860"/>
                    </a:xfrm>
                    <a:prstGeom prst="rect">
                      <a:avLst/>
                    </a:prstGeom>
                    <a:noFill/>
                    <a:ln>
                      <a:noFill/>
                    </a:ln>
                  </pic:spPr>
                </pic:pic>
              </a:graphicData>
            </a:graphic>
          </wp:inline>
        </w:drawing>
      </w:r>
    </w:p>
    <w:p w14:paraId="4858707F">
      <w:pPr>
        <w:pStyle w:val="2"/>
        <w:ind w:firstLine="560"/>
      </w:pPr>
    </w:p>
    <w:p w14:paraId="7417FCA0"/>
    <w:sectPr>
      <w:pgSz w:w="16838" w:h="11906" w:orient="landscape"/>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 new roman">
    <w:altName w:val="Times New Roman"/>
    <w:panose1 w:val="00000000000000000000"/>
    <w:charset w:val="00"/>
    <w:family w:val="roman"/>
    <w:pitch w:val="default"/>
    <w:sig w:usb0="00000000" w:usb1="00000000" w:usb2="00000000" w:usb3="00000000" w:csb0="00040001" w:csb1="00000000"/>
  </w:font>
  <w:font w:name="长城粗隶书">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0000000000000000000"/>
    <w:charset w:val="86"/>
    <w:family w:val="modern"/>
    <w:pitch w:val="default"/>
    <w:sig w:usb0="00000000" w:usb1="00000000" w:usb2="00000000" w:usb3="00000000" w:csb0="00040000" w:csb1="00000000"/>
  </w:font>
  <w:font w:name="Malgun Gothic Semilight">
    <w:altName w:val="Malgun Gothic"/>
    <w:panose1 w:val="00000000000000000000"/>
    <w:charset w:val="00"/>
    <w:family w:val="auto"/>
    <w:pitch w:val="default"/>
    <w:sig w:usb0="00000000" w:usb1="00000000" w:usb2="00000000" w:usb3="00000000" w:csb0="00000000" w:csb1="00000000"/>
  </w:font>
  <w:font w:name="Arial Narrow">
    <w:altName w:val="Arial"/>
    <w:panose1 w:val="00000000000000000000"/>
    <w:charset w:val="00"/>
    <w:family w:val="swiss"/>
    <w:pitch w:val="default"/>
    <w:sig w:usb0="00000000" w:usb1="00000000" w:usb2="00000000" w:usb3="00000000" w:csb0="2000009F" w:csb1="DFD70000"/>
  </w:font>
  <w:font w:name="创艺简标宋">
    <w:altName w:val="宋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6B262">
    <w:pPr>
      <w:pStyle w:val="29"/>
      <w:framePr w:wrap="around" w:vAnchor="text" w:hAnchor="margin" w:xAlign="outside" w:y="1"/>
      <w:rPr>
        <w:rStyle w:val="47"/>
        <w:rFonts w:ascii="宋体" w:hAnsi="宋体"/>
        <w:sz w:val="28"/>
        <w:szCs w:val="28"/>
      </w:rPr>
    </w:pPr>
  </w:p>
  <w:p w14:paraId="7997E3D1">
    <w:pPr>
      <w:pStyle w:val="107"/>
      <w:ind w:firstLine="420"/>
      <w:rPr>
        <w:sz w:val="24"/>
        <w:szCs w:val="24"/>
      </w:rPr>
    </w:pPr>
    <w:r>
      <w:rPr>
        <w:rFonts w:hint="eastAsia"/>
      </w:rPr>
      <w:t xml:space="preserve">   浙江华耀建设咨询有限公司                                  </w:t>
    </w:r>
    <w: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65</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EB20">
    <w:pPr>
      <w:pStyle w:val="29"/>
      <w:framePr w:wrap="around" w:vAnchor="text" w:hAnchor="margin" w:xAlign="outside" w:y="1"/>
      <w:rPr>
        <w:rStyle w:val="47"/>
      </w:rPr>
    </w:pPr>
    <w:r>
      <w:fldChar w:fldCharType="begin"/>
    </w:r>
    <w:r>
      <w:rPr>
        <w:rStyle w:val="47"/>
      </w:rPr>
      <w:instrText xml:space="preserve">PAGE  </w:instrText>
    </w:r>
    <w:r>
      <w:fldChar w:fldCharType="end"/>
    </w:r>
  </w:p>
  <w:p w14:paraId="5CD2CA97">
    <w:pPr>
      <w:pStyle w:val="29"/>
      <w:ind w:right="360" w:firstLine="360"/>
    </w:pPr>
  </w:p>
  <w:p w14:paraId="78EFDEC0"/>
  <w:p w14:paraId="46A4EE08"/>
  <w:p w14:paraId="6189C33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BCE3D">
    <w:pPr>
      <w:pStyle w:val="29"/>
      <w:framePr w:wrap="around" w:vAnchor="text" w:hAnchor="margin" w:xAlign="outside" w:y="1"/>
      <w:rPr>
        <w:rStyle w:val="47"/>
        <w:rFonts w:ascii="宋体" w:hAnsi="宋体"/>
        <w:sz w:val="28"/>
        <w:szCs w:val="28"/>
      </w:rPr>
    </w:pPr>
  </w:p>
  <w:p w14:paraId="37DEC1FE">
    <w:pPr>
      <w:pStyle w:val="29"/>
      <w:ind w:right="960" w:rightChars="343" w:firstLine="240" w:firstLineChars="100"/>
      <w:jc w:val="center"/>
      <w:rPr>
        <w:sz w:val="24"/>
        <w:szCs w:val="24"/>
      </w:rP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73</w:t>
    </w:r>
    <w:r>
      <w:rPr>
        <w:sz w:val="24"/>
        <w:szCs w:val="24"/>
      </w:rPr>
      <w:fldChar w:fldCharType="end"/>
    </w:r>
    <w:r>
      <w:rPr>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BFF19">
    <w:pPr>
      <w:pStyle w:val="29"/>
      <w:framePr w:wrap="around" w:vAnchor="text" w:hAnchor="margin" w:xAlign="outside" w:y="1"/>
      <w:rPr>
        <w:rStyle w:val="47"/>
      </w:rPr>
    </w:pPr>
    <w:r>
      <w:fldChar w:fldCharType="begin"/>
    </w:r>
    <w:r>
      <w:rPr>
        <w:rStyle w:val="47"/>
      </w:rPr>
      <w:instrText xml:space="preserve">PAGE  </w:instrText>
    </w:r>
    <w:r>
      <w:fldChar w:fldCharType="end"/>
    </w:r>
  </w:p>
  <w:p w14:paraId="01D89D23">
    <w:pPr>
      <w:pStyle w:val="2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045F7">
    <w:pPr>
      <w:pStyle w:val="29"/>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9B612">
    <w:pPr>
      <w:pStyle w:val="24"/>
      <w:snapToGrid w:val="0"/>
      <w:spacing w:before="120" w:beforeLines="0" w:after="120" w:afterLines="0" w:line="360" w:lineRule="auto"/>
      <w:rPr>
        <w:rFonts w:hAnsi="宋体"/>
        <w:sz w:val="21"/>
        <w:szCs w:val="21"/>
        <w:u w:val="single"/>
      </w:rPr>
    </w:pPr>
    <w:bookmarkStart w:id="126" w:name="OLE_LINK198"/>
    <w:bookmarkStart w:id="127" w:name="OLE_LINK199"/>
    <w:r>
      <w:rPr>
        <w:rFonts w:hint="eastAsia" w:cs="Arial"/>
        <w:sz w:val="21"/>
        <w:szCs w:val="21"/>
        <w:u w:val="single"/>
      </w:rPr>
      <w:t xml:space="preserve">吴兴高级中学生物实验室改造项目  </w:t>
    </w:r>
    <w:bookmarkEnd w:id="126"/>
    <w:bookmarkEnd w:id="127"/>
    <w:r>
      <w:rPr>
        <w:rFonts w:hint="eastAsia" w:cs="Arial"/>
        <w:sz w:val="21"/>
        <w:szCs w:val="21"/>
        <w:u w:val="single"/>
      </w:rPr>
      <w:t xml:space="preserve">                                              </w:t>
    </w:r>
    <w:r>
      <w:rPr>
        <w:rFonts w:hint="eastAsia" w:hAnsi="宋体" w:cs="Arial"/>
        <w:sz w:val="21"/>
        <w:szCs w:val="21"/>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B5ADA">
    <w:pPr>
      <w:pStyle w:val="24"/>
      <w:snapToGrid w:val="0"/>
      <w:spacing w:before="120" w:beforeLines="0" w:after="120" w:afterLines="0" w:line="360" w:lineRule="auto"/>
      <w:rPr>
        <w:rFonts w:hAnsi="宋体"/>
        <w:sz w:val="21"/>
        <w:szCs w:val="21"/>
        <w:u w:val="single"/>
      </w:rPr>
    </w:pPr>
    <w:r>
      <w:rPr>
        <w:rFonts w:hint="eastAsia" w:cs="Arial"/>
        <w:sz w:val="21"/>
        <w:szCs w:val="21"/>
        <w:u w:val="single"/>
      </w:rPr>
      <w:t xml:space="preserve">吴兴高级中学生物实验室改造项目                                   </w:t>
    </w:r>
    <w:r>
      <w:rPr>
        <w:rFonts w:hint="eastAsia" w:hAnsi="宋体" w:cs="Arial"/>
        <w:sz w:val="21"/>
        <w:szCs w:val="21"/>
        <w:u w:val="single"/>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A2F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
    <w:nsid w:val="3D7572D5"/>
    <w:multiLevelType w:val="singleLevel"/>
    <w:tmpl w:val="3D7572D5"/>
    <w:lvl w:ilvl="0" w:tentative="0">
      <w:start w:val="1"/>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5B"/>
    <w:rsid w:val="00005AD4"/>
    <w:rsid w:val="00027174"/>
    <w:rsid w:val="00032EA1"/>
    <w:rsid w:val="000C0D5D"/>
    <w:rsid w:val="00113658"/>
    <w:rsid w:val="00127E42"/>
    <w:rsid w:val="00144D51"/>
    <w:rsid w:val="001666FE"/>
    <w:rsid w:val="00171EEA"/>
    <w:rsid w:val="001766FF"/>
    <w:rsid w:val="001A4D72"/>
    <w:rsid w:val="001A5723"/>
    <w:rsid w:val="001A7B7D"/>
    <w:rsid w:val="001C051D"/>
    <w:rsid w:val="001D0B42"/>
    <w:rsid w:val="001D47F9"/>
    <w:rsid w:val="001D5611"/>
    <w:rsid w:val="001D7CEC"/>
    <w:rsid w:val="001E0066"/>
    <w:rsid w:val="001E7CFA"/>
    <w:rsid w:val="001F0FB4"/>
    <w:rsid w:val="001F1ED7"/>
    <w:rsid w:val="00206D08"/>
    <w:rsid w:val="0021491D"/>
    <w:rsid w:val="002260B7"/>
    <w:rsid w:val="002524A1"/>
    <w:rsid w:val="00271AF2"/>
    <w:rsid w:val="00287A20"/>
    <w:rsid w:val="002C4018"/>
    <w:rsid w:val="002D6A65"/>
    <w:rsid w:val="002E1FF6"/>
    <w:rsid w:val="002E7DA2"/>
    <w:rsid w:val="002F1B08"/>
    <w:rsid w:val="00305611"/>
    <w:rsid w:val="00344092"/>
    <w:rsid w:val="0034493B"/>
    <w:rsid w:val="00354CEC"/>
    <w:rsid w:val="0037547E"/>
    <w:rsid w:val="0039456F"/>
    <w:rsid w:val="003A3271"/>
    <w:rsid w:val="003E360B"/>
    <w:rsid w:val="00401BA9"/>
    <w:rsid w:val="00426ADF"/>
    <w:rsid w:val="004321A0"/>
    <w:rsid w:val="004479FC"/>
    <w:rsid w:val="004A04FB"/>
    <w:rsid w:val="004A0C1B"/>
    <w:rsid w:val="004B4AD9"/>
    <w:rsid w:val="004C06AE"/>
    <w:rsid w:val="004D05CB"/>
    <w:rsid w:val="004E2DD6"/>
    <w:rsid w:val="004F507D"/>
    <w:rsid w:val="004F6A4D"/>
    <w:rsid w:val="00501601"/>
    <w:rsid w:val="0051329D"/>
    <w:rsid w:val="00530F5C"/>
    <w:rsid w:val="00543488"/>
    <w:rsid w:val="0056036F"/>
    <w:rsid w:val="005A633A"/>
    <w:rsid w:val="005F17B7"/>
    <w:rsid w:val="0061635A"/>
    <w:rsid w:val="00625C50"/>
    <w:rsid w:val="00630290"/>
    <w:rsid w:val="00631318"/>
    <w:rsid w:val="00634B6A"/>
    <w:rsid w:val="0063594F"/>
    <w:rsid w:val="0066085E"/>
    <w:rsid w:val="00671104"/>
    <w:rsid w:val="006717C1"/>
    <w:rsid w:val="006D4083"/>
    <w:rsid w:val="006E6459"/>
    <w:rsid w:val="006E78CB"/>
    <w:rsid w:val="00714BE0"/>
    <w:rsid w:val="00723881"/>
    <w:rsid w:val="007247AC"/>
    <w:rsid w:val="007258A7"/>
    <w:rsid w:val="00795A3E"/>
    <w:rsid w:val="007C1682"/>
    <w:rsid w:val="007E5F67"/>
    <w:rsid w:val="00837D58"/>
    <w:rsid w:val="008527E6"/>
    <w:rsid w:val="008606D0"/>
    <w:rsid w:val="0088178D"/>
    <w:rsid w:val="008A7FDE"/>
    <w:rsid w:val="008C5945"/>
    <w:rsid w:val="00912F3D"/>
    <w:rsid w:val="00925B92"/>
    <w:rsid w:val="0095343D"/>
    <w:rsid w:val="00975CB1"/>
    <w:rsid w:val="0097696E"/>
    <w:rsid w:val="0099389D"/>
    <w:rsid w:val="009A08E3"/>
    <w:rsid w:val="009C1755"/>
    <w:rsid w:val="009D2E44"/>
    <w:rsid w:val="009D4FF2"/>
    <w:rsid w:val="009F52F2"/>
    <w:rsid w:val="00A049C5"/>
    <w:rsid w:val="00A14298"/>
    <w:rsid w:val="00A15F07"/>
    <w:rsid w:val="00A209A8"/>
    <w:rsid w:val="00A27AC0"/>
    <w:rsid w:val="00A455B5"/>
    <w:rsid w:val="00A97D57"/>
    <w:rsid w:val="00AA6F5A"/>
    <w:rsid w:val="00AB704F"/>
    <w:rsid w:val="00AC6AB0"/>
    <w:rsid w:val="00AD6E09"/>
    <w:rsid w:val="00AD759A"/>
    <w:rsid w:val="00B054B0"/>
    <w:rsid w:val="00B13963"/>
    <w:rsid w:val="00B1765B"/>
    <w:rsid w:val="00B21A19"/>
    <w:rsid w:val="00B27908"/>
    <w:rsid w:val="00B342E3"/>
    <w:rsid w:val="00B545DB"/>
    <w:rsid w:val="00B62E4C"/>
    <w:rsid w:val="00B85456"/>
    <w:rsid w:val="00BA6EBE"/>
    <w:rsid w:val="00BC448A"/>
    <w:rsid w:val="00BD10DF"/>
    <w:rsid w:val="00BD4657"/>
    <w:rsid w:val="00C01804"/>
    <w:rsid w:val="00C02D38"/>
    <w:rsid w:val="00C11751"/>
    <w:rsid w:val="00C609C5"/>
    <w:rsid w:val="00C63F88"/>
    <w:rsid w:val="00C815B1"/>
    <w:rsid w:val="00C8187F"/>
    <w:rsid w:val="00CD12F0"/>
    <w:rsid w:val="00CD6434"/>
    <w:rsid w:val="00CF1909"/>
    <w:rsid w:val="00D040F1"/>
    <w:rsid w:val="00D1665D"/>
    <w:rsid w:val="00D32DB1"/>
    <w:rsid w:val="00D43F6C"/>
    <w:rsid w:val="00D51D2A"/>
    <w:rsid w:val="00D53C7B"/>
    <w:rsid w:val="00D83825"/>
    <w:rsid w:val="00D909F9"/>
    <w:rsid w:val="00DA29E8"/>
    <w:rsid w:val="00DB67F2"/>
    <w:rsid w:val="00DB7729"/>
    <w:rsid w:val="00DD2C4A"/>
    <w:rsid w:val="00DD418B"/>
    <w:rsid w:val="00DD75F0"/>
    <w:rsid w:val="00DE083F"/>
    <w:rsid w:val="00E173EE"/>
    <w:rsid w:val="00E3192D"/>
    <w:rsid w:val="00E46CFC"/>
    <w:rsid w:val="00E94AFC"/>
    <w:rsid w:val="00EA06CC"/>
    <w:rsid w:val="00EB2C30"/>
    <w:rsid w:val="00F21140"/>
    <w:rsid w:val="00F420C4"/>
    <w:rsid w:val="00F9159C"/>
    <w:rsid w:val="00FA17AE"/>
    <w:rsid w:val="00FD0AE0"/>
    <w:rsid w:val="00FF4800"/>
    <w:rsid w:val="03323E9D"/>
    <w:rsid w:val="06C039E7"/>
    <w:rsid w:val="0B242A11"/>
    <w:rsid w:val="17074B2B"/>
    <w:rsid w:val="215F72DB"/>
    <w:rsid w:val="23A75859"/>
    <w:rsid w:val="2ABF7AE4"/>
    <w:rsid w:val="2D816D07"/>
    <w:rsid w:val="3C691A52"/>
    <w:rsid w:val="4C5A354F"/>
    <w:rsid w:val="4EF60885"/>
    <w:rsid w:val="519C3342"/>
    <w:rsid w:val="54B71A4A"/>
    <w:rsid w:val="636F3527"/>
    <w:rsid w:val="681A5D7E"/>
    <w:rsid w:val="71503FD8"/>
    <w:rsid w:val="71C62782"/>
    <w:rsid w:val="73427564"/>
    <w:rsid w:val="75690A5B"/>
    <w:rsid w:val="75A9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qFormat="1" w:unhideWhenUsed="0" w:uiPriority="0" w:semiHidden="0" w:name="toc 4"/>
    <w:lsdException w:uiPriority="39" w:name="toc 5"/>
    <w:lsdException w:qFormat="1" w:uiPriority="0" w:semiHidden="0" w:name="toc 6"/>
    <w:lsdException w:uiPriority="39" w:name="toc 7"/>
    <w:lsdException w:qFormat="1" w:unhideWhenUsed="0" w:uiPriority="0" w:semiHidden="0" w:name="toc 8"/>
    <w:lsdException w:uiPriority="39" w:name="toc 9"/>
    <w:lsdException w:qFormat="1" w:uiPriority="0" w:semiHidden="0" w:name="Normal Indent"/>
    <w:lsdException w:uiPriority="99" w:name="footnote text"/>
    <w:lsdException w:qFormat="1" w:unhideWhenUsed="0" w:uiPriority="99" w:semiHidden="0"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6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60"/>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7">
    <w:name w:val="heading 4"/>
    <w:basedOn w:val="1"/>
    <w:next w:val="1"/>
    <w:link w:val="65"/>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paragraph" w:styleId="8">
    <w:name w:val="heading 5"/>
    <w:basedOn w:val="1"/>
    <w:next w:val="1"/>
    <w:link w:val="70"/>
    <w:unhideWhenUsed/>
    <w:qFormat/>
    <w:uiPriority w:val="0"/>
    <w:pPr>
      <w:keepNext/>
      <w:keepLines/>
      <w:spacing w:before="280" w:after="290" w:line="376" w:lineRule="auto"/>
      <w:outlineLvl w:val="4"/>
    </w:pPr>
    <w:rPr>
      <w:b/>
      <w:bCs/>
      <w:szCs w:val="28"/>
    </w:rPr>
  </w:style>
  <w:style w:type="paragraph" w:styleId="9">
    <w:name w:val="heading 6"/>
    <w:basedOn w:val="1"/>
    <w:next w:val="1"/>
    <w:link w:val="71"/>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10">
    <w:name w:val="heading 7"/>
    <w:basedOn w:val="1"/>
    <w:next w:val="1"/>
    <w:link w:val="72"/>
    <w:unhideWhenUsed/>
    <w:qFormat/>
    <w:uiPriority w:val="0"/>
    <w:pPr>
      <w:keepNext/>
      <w:keepLines/>
      <w:spacing w:before="240" w:after="64" w:line="320" w:lineRule="auto"/>
      <w:outlineLvl w:val="6"/>
    </w:pPr>
    <w:rPr>
      <w:b/>
      <w:bCs/>
      <w:sz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6"/>
    <w:unhideWhenUsed/>
    <w:qFormat/>
    <w:uiPriority w:val="0"/>
    <w:pPr>
      <w:spacing w:after="120"/>
    </w:pPr>
  </w:style>
  <w:style w:type="paragraph" w:styleId="3">
    <w:name w:val="Body Text First Indent"/>
    <w:basedOn w:val="2"/>
    <w:next w:val="1"/>
    <w:link w:val="69"/>
    <w:unhideWhenUsed/>
    <w:qFormat/>
    <w:uiPriority w:val="0"/>
    <w:pPr>
      <w:ind w:firstLine="420" w:firstLineChars="100"/>
    </w:pPr>
  </w:style>
  <w:style w:type="paragraph" w:styleId="11">
    <w:name w:val="Note Heading"/>
    <w:basedOn w:val="1"/>
    <w:next w:val="1"/>
    <w:link w:val="73"/>
    <w:qFormat/>
    <w:uiPriority w:val="0"/>
    <w:pPr>
      <w:jc w:val="center"/>
    </w:pPr>
    <w:rPr>
      <w:rFonts w:ascii="time new roman" w:hAnsi="time new roman" w:eastAsia="长城粗隶书"/>
      <w:sz w:val="21"/>
    </w:rPr>
  </w:style>
  <w:style w:type="paragraph" w:styleId="12">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3">
    <w:name w:val="Normal Indent"/>
    <w:basedOn w:val="1"/>
    <w:link w:val="88"/>
    <w:unhideWhenUsed/>
    <w:qFormat/>
    <w:uiPriority w:val="0"/>
    <w:pPr>
      <w:ind w:firstLine="420" w:firstLineChars="200"/>
    </w:p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74"/>
    <w:qFormat/>
    <w:uiPriority w:val="0"/>
    <w:pPr>
      <w:shd w:val="clear" w:color="auto" w:fill="000080"/>
    </w:pPr>
    <w:rPr>
      <w:sz w:val="21"/>
    </w:rPr>
  </w:style>
  <w:style w:type="paragraph" w:styleId="16">
    <w:name w:val="annotation text"/>
    <w:basedOn w:val="1"/>
    <w:link w:val="75"/>
    <w:qFormat/>
    <w:uiPriority w:val="99"/>
    <w:pPr>
      <w:jc w:val="left"/>
    </w:pPr>
    <w:rPr>
      <w:sz w:val="21"/>
    </w:rPr>
  </w:style>
  <w:style w:type="paragraph" w:styleId="17">
    <w:name w:val="Salutation"/>
    <w:basedOn w:val="1"/>
    <w:next w:val="1"/>
    <w:link w:val="141"/>
    <w:qFormat/>
    <w:uiPriority w:val="0"/>
    <w:pPr>
      <w:tabs>
        <w:tab w:val="left" w:pos="360"/>
        <w:tab w:val="left" w:pos="720"/>
        <w:tab w:val="left" w:pos="1200"/>
      </w:tabs>
      <w:ind w:left="360" w:hanging="360" w:hangingChars="200"/>
    </w:pPr>
    <w:rPr>
      <w:sz w:val="24"/>
      <w:szCs w:val="20"/>
    </w:rPr>
  </w:style>
  <w:style w:type="paragraph" w:styleId="18">
    <w:name w:val="Body Text 3"/>
    <w:basedOn w:val="1"/>
    <w:link w:val="76"/>
    <w:qFormat/>
    <w:uiPriority w:val="0"/>
    <w:pPr>
      <w:snapToGrid w:val="0"/>
      <w:spacing w:before="50" w:after="50"/>
    </w:pPr>
    <w:rPr>
      <w:rFonts w:hAnsi="宋体" w:eastAsia="仿宋_GB2312"/>
      <w:b/>
      <w:bCs/>
      <w:sz w:val="24"/>
      <w:szCs w:val="20"/>
    </w:rPr>
  </w:style>
  <w:style w:type="paragraph" w:styleId="19">
    <w:name w:val="Body Text Indent"/>
    <w:basedOn w:val="1"/>
    <w:next w:val="20"/>
    <w:link w:val="57"/>
    <w:qFormat/>
    <w:uiPriority w:val="0"/>
    <w:pPr>
      <w:spacing w:line="200" w:lineRule="exact"/>
      <w:ind w:firstLine="301"/>
    </w:pPr>
    <w:rPr>
      <w:rFonts w:ascii="宋体" w:hAnsi="Courier New"/>
      <w:spacing w:val="-4"/>
      <w:sz w:val="18"/>
      <w:szCs w:val="20"/>
    </w:rPr>
  </w:style>
  <w:style w:type="paragraph" w:styleId="20">
    <w:name w:val="envelope return"/>
    <w:basedOn w:val="1"/>
    <w:unhideWhenUsed/>
    <w:qFormat/>
    <w:uiPriority w:val="0"/>
    <w:pPr>
      <w:snapToGrid w:val="0"/>
    </w:pPr>
    <w:rPr>
      <w:rFonts w:asciiTheme="majorHAnsi" w:hAnsiTheme="majorHAnsi" w:eastAsiaTheme="majorEastAsia" w:cstheme="majorBidi"/>
      <w:sz w:val="21"/>
      <w:szCs w:val="22"/>
    </w:rPr>
  </w:style>
  <w:style w:type="paragraph" w:styleId="21">
    <w:name w:val="List Number 3"/>
    <w:basedOn w:val="1"/>
    <w:qFormat/>
    <w:uiPriority w:val="0"/>
    <w:pPr>
      <w:tabs>
        <w:tab w:val="left" w:pos="1200"/>
      </w:tabs>
      <w:ind w:left="1200" w:hanging="360"/>
    </w:pPr>
    <w:rPr>
      <w:sz w:val="21"/>
    </w:rPr>
  </w:style>
  <w:style w:type="paragraph" w:styleId="22">
    <w:name w:val="List 2"/>
    <w:basedOn w:val="1"/>
    <w:qFormat/>
    <w:uiPriority w:val="0"/>
    <w:pPr>
      <w:ind w:left="100" w:leftChars="200" w:hanging="200" w:hangingChars="200"/>
    </w:pPr>
  </w:style>
  <w:style w:type="paragraph" w:styleId="23">
    <w:name w:val="Block Text"/>
    <w:basedOn w:val="1"/>
    <w:qFormat/>
    <w:uiPriority w:val="0"/>
    <w:pPr>
      <w:spacing w:after="120"/>
      <w:ind w:left="1440" w:leftChars="700" w:right="1440" w:rightChars="700"/>
    </w:pPr>
    <w:rPr>
      <w:rFonts w:ascii="time new roman" w:hAnsi="time new roman" w:eastAsia="长城粗隶书" w:cs="Courier New"/>
      <w:sz w:val="21"/>
    </w:rPr>
  </w:style>
  <w:style w:type="paragraph" w:styleId="24">
    <w:name w:val="Plain Text"/>
    <w:basedOn w:val="1"/>
    <w:link w:val="89"/>
    <w:qFormat/>
    <w:uiPriority w:val="0"/>
    <w:pPr>
      <w:spacing w:beforeLines="50" w:afterLines="50" w:line="400" w:lineRule="exact"/>
    </w:pPr>
    <w:rPr>
      <w:rFonts w:ascii="宋体" w:hAnsi="Courier New"/>
      <w:sz w:val="24"/>
    </w:rPr>
  </w:style>
  <w:style w:type="paragraph" w:styleId="25">
    <w:name w:val="toc 8"/>
    <w:basedOn w:val="1"/>
    <w:next w:val="1"/>
    <w:qFormat/>
    <w:uiPriority w:val="0"/>
    <w:pPr>
      <w:ind w:left="2940" w:leftChars="1400"/>
    </w:pPr>
    <w:rPr>
      <w:sz w:val="21"/>
    </w:rPr>
  </w:style>
  <w:style w:type="paragraph" w:styleId="26">
    <w:name w:val="Date"/>
    <w:basedOn w:val="1"/>
    <w:next w:val="1"/>
    <w:link w:val="78"/>
    <w:qFormat/>
    <w:uiPriority w:val="0"/>
    <w:pPr>
      <w:ind w:left="2500" w:leftChars="2500"/>
    </w:pPr>
    <w:rPr>
      <w:rFonts w:eastAsia="楷体_GB2312"/>
      <w:sz w:val="32"/>
      <w:szCs w:val="20"/>
    </w:rPr>
  </w:style>
  <w:style w:type="paragraph" w:styleId="27">
    <w:name w:val="Body Text Indent 2"/>
    <w:basedOn w:val="1"/>
    <w:link w:val="79"/>
    <w:qFormat/>
    <w:uiPriority w:val="0"/>
    <w:pPr>
      <w:snapToGrid w:val="0"/>
      <w:ind w:firstLine="542" w:firstLineChars="225"/>
    </w:pPr>
    <w:rPr>
      <w:rFonts w:ascii="仿宋_GB2312" w:hAnsi="宋体" w:cs="Arial"/>
      <w:b/>
      <w:bCs/>
      <w:color w:val="000000"/>
      <w:sz w:val="24"/>
    </w:rPr>
  </w:style>
  <w:style w:type="paragraph" w:styleId="28">
    <w:name w:val="Balloon Text"/>
    <w:basedOn w:val="1"/>
    <w:link w:val="53"/>
    <w:unhideWhenUsed/>
    <w:qFormat/>
    <w:uiPriority w:val="0"/>
    <w:rPr>
      <w:sz w:val="18"/>
      <w:szCs w:val="18"/>
    </w:rPr>
  </w:style>
  <w:style w:type="paragraph" w:styleId="29">
    <w:name w:val="footer"/>
    <w:basedOn w:val="1"/>
    <w:link w:val="59"/>
    <w:qFormat/>
    <w:uiPriority w:val="99"/>
    <w:pPr>
      <w:tabs>
        <w:tab w:val="center" w:pos="4153"/>
        <w:tab w:val="right" w:pos="8306"/>
      </w:tabs>
      <w:snapToGrid w:val="0"/>
      <w:jc w:val="left"/>
    </w:pPr>
    <w:rPr>
      <w:sz w:val="18"/>
      <w:szCs w:val="18"/>
    </w:rPr>
  </w:style>
  <w:style w:type="paragraph" w:styleId="30">
    <w:name w:val="header"/>
    <w:basedOn w:val="1"/>
    <w:link w:val="80"/>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style>
  <w:style w:type="paragraph" w:styleId="32">
    <w:name w:val="toc 4"/>
    <w:basedOn w:val="1"/>
    <w:next w:val="1"/>
    <w:qFormat/>
    <w:uiPriority w:val="0"/>
    <w:pPr>
      <w:wordWrap w:val="0"/>
      <w:ind w:left="850"/>
    </w:pPr>
    <w:rPr>
      <w:rFonts w:cs="黑体"/>
      <w:sz w:val="21"/>
      <w:szCs w:val="22"/>
    </w:rPr>
  </w:style>
  <w:style w:type="paragraph" w:styleId="33">
    <w:name w:val="List"/>
    <w:basedOn w:val="1"/>
    <w:qFormat/>
    <w:uiPriority w:val="0"/>
    <w:pPr>
      <w:ind w:left="200" w:hanging="200" w:hangingChars="200"/>
    </w:pPr>
  </w:style>
  <w:style w:type="paragraph" w:styleId="34">
    <w:name w:val="toc 6"/>
    <w:basedOn w:val="1"/>
    <w:next w:val="1"/>
    <w:unhideWhenUsed/>
    <w:qFormat/>
    <w:uiPriority w:val="0"/>
    <w:pPr>
      <w:ind w:left="2100" w:leftChars="1000"/>
    </w:pPr>
    <w:rPr>
      <w:sz w:val="21"/>
    </w:rPr>
  </w:style>
  <w:style w:type="paragraph" w:styleId="35">
    <w:name w:val="Body Text Indent 3"/>
    <w:basedOn w:val="1"/>
    <w:link w:val="81"/>
    <w:qFormat/>
    <w:uiPriority w:val="0"/>
    <w:pPr>
      <w:snapToGrid w:val="0"/>
      <w:ind w:firstLine="480" w:firstLineChars="200"/>
      <w:jc w:val="left"/>
    </w:pPr>
    <w:rPr>
      <w:rFonts w:ascii="仿宋_GB2312" w:hAnsi="宋体" w:eastAsia="仿宋_GB2312"/>
      <w:color w:val="000000"/>
      <w:sz w:val="24"/>
    </w:rPr>
  </w:style>
  <w:style w:type="paragraph" w:styleId="36">
    <w:name w:val="index 7"/>
    <w:basedOn w:val="1"/>
    <w:next w:val="1"/>
    <w:qFormat/>
    <w:uiPriority w:val="0"/>
    <w:pPr>
      <w:ind w:left="1200" w:leftChars="1200"/>
    </w:pPr>
    <w:rPr>
      <w:sz w:val="21"/>
    </w:rPr>
  </w:style>
  <w:style w:type="paragraph" w:styleId="37">
    <w:name w:val="toc 2"/>
    <w:basedOn w:val="1"/>
    <w:next w:val="1"/>
    <w:qFormat/>
    <w:uiPriority w:val="39"/>
    <w:pPr>
      <w:tabs>
        <w:tab w:val="right" w:leader="dot" w:pos="8302"/>
      </w:tabs>
      <w:ind w:left="420" w:leftChars="200"/>
    </w:pPr>
    <w:rPr>
      <w:color w:val="000000"/>
      <w:sz w:val="30"/>
      <w:szCs w:val="30"/>
    </w:rPr>
  </w:style>
  <w:style w:type="paragraph" w:styleId="38">
    <w:name w:val="Body Text 2"/>
    <w:basedOn w:val="1"/>
    <w:link w:val="82"/>
    <w:qFormat/>
    <w:uiPriority w:val="0"/>
    <w:pPr>
      <w:widowControl/>
      <w:snapToGrid w:val="0"/>
      <w:spacing w:before="50" w:afterLines="50" w:line="400" w:lineRule="exact"/>
      <w:jc w:val="left"/>
    </w:pPr>
    <w:rPr>
      <w:rFonts w:ascii="宋体" w:hAnsi="宋体"/>
      <w:color w:val="00000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Title"/>
    <w:basedOn w:val="1"/>
    <w:next w:val="1"/>
    <w:link w:val="83"/>
    <w:qFormat/>
    <w:uiPriority w:val="0"/>
    <w:pPr>
      <w:spacing w:before="240" w:after="60" w:line="480" w:lineRule="exact"/>
      <w:outlineLvl w:val="0"/>
    </w:pPr>
    <w:rPr>
      <w:rFonts w:ascii="宋体" w:hAnsi="宋体" w:cs="宋体"/>
      <w:sz w:val="24"/>
    </w:rPr>
  </w:style>
  <w:style w:type="paragraph" w:styleId="41">
    <w:name w:val="annotation subject"/>
    <w:basedOn w:val="16"/>
    <w:next w:val="16"/>
    <w:link w:val="84"/>
    <w:qFormat/>
    <w:uiPriority w:val="99"/>
    <w:rPr>
      <w:b/>
      <w:bCs/>
    </w:rPr>
  </w:style>
  <w:style w:type="paragraph" w:styleId="42">
    <w:name w:val="Body Text First Indent 2"/>
    <w:basedOn w:val="19"/>
    <w:next w:val="1"/>
    <w:link w:val="58"/>
    <w:qFormat/>
    <w:uiPriority w:val="0"/>
    <w:pPr>
      <w:spacing w:after="120" w:line="240" w:lineRule="auto"/>
      <w:ind w:left="420" w:leftChars="200" w:firstLine="420" w:firstLineChars="200"/>
    </w:pPr>
    <w:rPr>
      <w:rFonts w:ascii="Times New Roman" w:hAnsi="Times New Roman"/>
      <w:spacing w:val="0"/>
      <w:sz w:val="21"/>
      <w:szCs w:val="24"/>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20"/>
    <w:rPr>
      <w:i/>
      <w:iCs/>
    </w:rPr>
  </w:style>
  <w:style w:type="character" w:styleId="50">
    <w:name w:val="Hyperlink"/>
    <w:basedOn w:val="45"/>
    <w:unhideWhenUsed/>
    <w:qFormat/>
    <w:uiPriority w:val="99"/>
    <w:rPr>
      <w:color w:val="0000FF" w:themeColor="hyperlink"/>
      <w:u w:val="single"/>
      <w14:textFill>
        <w14:solidFill>
          <w14:schemeClr w14:val="hlink"/>
        </w14:solidFill>
      </w14:textFill>
    </w:rPr>
  </w:style>
  <w:style w:type="character" w:styleId="51">
    <w:name w:val="annotation reference"/>
    <w:qFormat/>
    <w:uiPriority w:val="99"/>
    <w:rPr>
      <w:sz w:val="21"/>
      <w:szCs w:val="21"/>
    </w:rPr>
  </w:style>
  <w:style w:type="character" w:customStyle="1" w:styleId="52">
    <w:name w:val="text-high-light"/>
    <w:basedOn w:val="45"/>
    <w:qFormat/>
    <w:uiPriority w:val="0"/>
  </w:style>
  <w:style w:type="character" w:customStyle="1" w:styleId="53">
    <w:name w:val="批注框文本 Char"/>
    <w:basedOn w:val="45"/>
    <w:link w:val="28"/>
    <w:qFormat/>
    <w:uiPriority w:val="0"/>
    <w:rPr>
      <w:sz w:val="18"/>
      <w:szCs w:val="18"/>
    </w:rPr>
  </w:style>
  <w:style w:type="paragraph" w:customStyle="1" w:styleId="54">
    <w:name w:val="marklang-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55">
    <w:name w:val="cos-tooltip"/>
    <w:basedOn w:val="45"/>
    <w:qFormat/>
    <w:uiPriority w:val="0"/>
  </w:style>
  <w:style w:type="character" w:customStyle="1" w:styleId="56">
    <w:name w:val="cosd-citation-citationid"/>
    <w:basedOn w:val="45"/>
    <w:qFormat/>
    <w:uiPriority w:val="0"/>
  </w:style>
  <w:style w:type="character" w:customStyle="1" w:styleId="57">
    <w:name w:val="正文文本缩进 Char"/>
    <w:basedOn w:val="45"/>
    <w:link w:val="19"/>
    <w:qFormat/>
    <w:uiPriority w:val="0"/>
    <w:rPr>
      <w:rFonts w:ascii="宋体" w:hAnsi="Courier New" w:eastAsia="宋体" w:cs="Times New Roman"/>
      <w:spacing w:val="-4"/>
      <w:sz w:val="18"/>
      <w:szCs w:val="20"/>
    </w:rPr>
  </w:style>
  <w:style w:type="character" w:customStyle="1" w:styleId="58">
    <w:name w:val="正文首行缩进 2 Char"/>
    <w:basedOn w:val="57"/>
    <w:link w:val="42"/>
    <w:qFormat/>
    <w:uiPriority w:val="0"/>
    <w:rPr>
      <w:rFonts w:ascii="Times New Roman" w:hAnsi="Times New Roman" w:eastAsia="宋体" w:cs="Times New Roman"/>
      <w:spacing w:val="-4"/>
      <w:sz w:val="18"/>
      <w:szCs w:val="24"/>
    </w:rPr>
  </w:style>
  <w:style w:type="character" w:customStyle="1" w:styleId="59">
    <w:name w:val="页脚 Char"/>
    <w:basedOn w:val="45"/>
    <w:link w:val="29"/>
    <w:qFormat/>
    <w:uiPriority w:val="99"/>
    <w:rPr>
      <w:rFonts w:ascii="Times New Roman" w:hAnsi="Times New Roman" w:eastAsia="宋体" w:cs="Times New Roman"/>
      <w:sz w:val="18"/>
      <w:szCs w:val="18"/>
    </w:rPr>
  </w:style>
  <w:style w:type="character" w:customStyle="1" w:styleId="60">
    <w:name w:val="标题 3 Char"/>
    <w:basedOn w:val="45"/>
    <w:link w:val="6"/>
    <w:qFormat/>
    <w:uiPriority w:val="0"/>
    <w:rPr>
      <w:rFonts w:ascii="宋体" w:hAnsi="宋体" w:eastAsia="宋体" w:cs="宋体"/>
      <w:b/>
      <w:bCs/>
      <w:kern w:val="0"/>
      <w:sz w:val="27"/>
      <w:szCs w:val="27"/>
    </w:rPr>
  </w:style>
  <w:style w:type="paragraph" w:styleId="61">
    <w:name w:val="List Paragraph"/>
    <w:basedOn w:val="1"/>
    <w:link w:val="99"/>
    <w:qFormat/>
    <w:uiPriority w:val="34"/>
    <w:pPr>
      <w:ind w:firstLine="420" w:firstLineChars="200"/>
    </w:pPr>
  </w:style>
  <w:style w:type="paragraph" w:customStyle="1" w:styleId="62">
    <w:name w:val="_Style 1"/>
    <w:next w:val="1"/>
    <w:qFormat/>
    <w:uiPriority w:val="99"/>
    <w:rPr>
      <w:rFonts w:ascii="Times New Roman" w:hAnsi="Times New Roman" w:eastAsia="宋体" w:cs="Times New Roman"/>
      <w:kern w:val="2"/>
      <w:sz w:val="28"/>
      <w:szCs w:val="22"/>
      <w:lang w:val="en-US" w:eastAsia="zh-CN" w:bidi="ar-SA"/>
    </w:rPr>
  </w:style>
  <w:style w:type="paragraph" w:customStyle="1" w:styleId="63">
    <w:name w:val="Other|1"/>
    <w:basedOn w:val="1"/>
    <w:qFormat/>
    <w:uiPriority w:val="0"/>
    <w:pPr>
      <w:spacing w:line="456" w:lineRule="auto"/>
      <w:ind w:firstLine="400"/>
    </w:pPr>
    <w:rPr>
      <w:rFonts w:ascii="宋体" w:hAnsi="宋体" w:cs="宋体"/>
      <w:sz w:val="22"/>
      <w:szCs w:val="22"/>
      <w:lang w:val="zh-TW" w:eastAsia="zh-TW" w:bidi="zh-TW"/>
    </w:rPr>
  </w:style>
  <w:style w:type="paragraph" w:customStyle="1" w:styleId="64">
    <w:name w:val="Body text|1"/>
    <w:basedOn w:val="1"/>
    <w:qFormat/>
    <w:uiPriority w:val="0"/>
    <w:pPr>
      <w:spacing w:line="456" w:lineRule="auto"/>
      <w:ind w:firstLine="400"/>
    </w:pPr>
    <w:rPr>
      <w:rFonts w:ascii="宋体" w:hAnsi="宋体" w:cs="宋体"/>
      <w:sz w:val="22"/>
      <w:szCs w:val="22"/>
      <w:lang w:val="zh-TW" w:eastAsia="zh-TW" w:bidi="zh-TW"/>
    </w:rPr>
  </w:style>
  <w:style w:type="character" w:customStyle="1" w:styleId="65">
    <w:name w:val="标题 4 Char"/>
    <w:basedOn w:val="45"/>
    <w:link w:val="7"/>
    <w:qFormat/>
    <w:uiPriority w:val="0"/>
    <w:rPr>
      <w:rFonts w:asciiTheme="majorHAnsi" w:hAnsiTheme="majorHAnsi" w:eastAsiaTheme="majorEastAsia" w:cstheme="majorBidi"/>
      <w:b/>
      <w:bCs/>
      <w:sz w:val="28"/>
      <w:szCs w:val="28"/>
    </w:rPr>
  </w:style>
  <w:style w:type="character" w:customStyle="1" w:styleId="66">
    <w:name w:val="正文文本 Char"/>
    <w:basedOn w:val="45"/>
    <w:link w:val="2"/>
    <w:qFormat/>
    <w:uiPriority w:val="0"/>
    <w:rPr>
      <w:rFonts w:ascii="Times New Roman" w:hAnsi="Times New Roman" w:eastAsia="宋体" w:cs="Times New Roman"/>
      <w:kern w:val="2"/>
      <w:sz w:val="28"/>
      <w:szCs w:val="24"/>
    </w:rPr>
  </w:style>
  <w:style w:type="character" w:customStyle="1" w:styleId="67">
    <w:name w:val="标题 1 Char"/>
    <w:basedOn w:val="45"/>
    <w:link w:val="4"/>
    <w:qFormat/>
    <w:uiPriority w:val="0"/>
    <w:rPr>
      <w:rFonts w:ascii="Times New Roman" w:hAnsi="Times New Roman" w:eastAsia="宋体" w:cs="Times New Roman"/>
      <w:b/>
      <w:bCs/>
      <w:kern w:val="44"/>
      <w:sz w:val="44"/>
      <w:szCs w:val="44"/>
    </w:rPr>
  </w:style>
  <w:style w:type="character" w:customStyle="1" w:styleId="68">
    <w:name w:val="标题 2 Char"/>
    <w:basedOn w:val="45"/>
    <w:link w:val="5"/>
    <w:qFormat/>
    <w:uiPriority w:val="0"/>
    <w:rPr>
      <w:rFonts w:asciiTheme="majorHAnsi" w:hAnsiTheme="majorHAnsi" w:eastAsiaTheme="majorEastAsia" w:cstheme="majorBidi"/>
      <w:b/>
      <w:bCs/>
      <w:kern w:val="2"/>
      <w:sz w:val="32"/>
      <w:szCs w:val="32"/>
    </w:rPr>
  </w:style>
  <w:style w:type="character" w:customStyle="1" w:styleId="69">
    <w:name w:val="正文首行缩进 Char"/>
    <w:basedOn w:val="66"/>
    <w:link w:val="3"/>
    <w:qFormat/>
    <w:uiPriority w:val="0"/>
    <w:rPr>
      <w:rFonts w:ascii="Times New Roman" w:hAnsi="Times New Roman" w:eastAsia="宋体" w:cs="Times New Roman"/>
      <w:kern w:val="2"/>
      <w:sz w:val="28"/>
      <w:szCs w:val="24"/>
    </w:rPr>
  </w:style>
  <w:style w:type="character" w:customStyle="1" w:styleId="70">
    <w:name w:val="标题 5 Char"/>
    <w:basedOn w:val="45"/>
    <w:link w:val="8"/>
    <w:qFormat/>
    <w:uiPriority w:val="0"/>
    <w:rPr>
      <w:rFonts w:ascii="Times New Roman" w:hAnsi="Times New Roman" w:eastAsia="宋体" w:cs="Times New Roman"/>
      <w:b/>
      <w:bCs/>
      <w:kern w:val="2"/>
      <w:sz w:val="28"/>
      <w:szCs w:val="28"/>
    </w:rPr>
  </w:style>
  <w:style w:type="character" w:customStyle="1" w:styleId="71">
    <w:name w:val="标题 6 Char"/>
    <w:basedOn w:val="45"/>
    <w:link w:val="9"/>
    <w:qFormat/>
    <w:uiPriority w:val="0"/>
    <w:rPr>
      <w:rFonts w:asciiTheme="majorHAnsi" w:hAnsiTheme="majorHAnsi" w:eastAsiaTheme="majorEastAsia" w:cstheme="majorBidi"/>
      <w:b/>
      <w:bCs/>
      <w:kern w:val="2"/>
      <w:sz w:val="24"/>
      <w:szCs w:val="24"/>
    </w:rPr>
  </w:style>
  <w:style w:type="character" w:customStyle="1" w:styleId="72">
    <w:name w:val="标题 7 Char"/>
    <w:basedOn w:val="45"/>
    <w:link w:val="10"/>
    <w:qFormat/>
    <w:uiPriority w:val="0"/>
    <w:rPr>
      <w:rFonts w:ascii="Times New Roman" w:hAnsi="Times New Roman" w:eastAsia="宋体" w:cs="Times New Roman"/>
      <w:b/>
      <w:bCs/>
      <w:kern w:val="2"/>
      <w:sz w:val="24"/>
      <w:szCs w:val="24"/>
    </w:rPr>
  </w:style>
  <w:style w:type="character" w:customStyle="1" w:styleId="73">
    <w:name w:val="注释标题 Char"/>
    <w:basedOn w:val="45"/>
    <w:link w:val="11"/>
    <w:qFormat/>
    <w:uiPriority w:val="0"/>
    <w:rPr>
      <w:rFonts w:ascii="time new roman" w:hAnsi="time new roman" w:eastAsia="长城粗隶书" w:cs="Times New Roman"/>
      <w:kern w:val="2"/>
      <w:sz w:val="21"/>
      <w:szCs w:val="24"/>
    </w:rPr>
  </w:style>
  <w:style w:type="character" w:customStyle="1" w:styleId="74">
    <w:name w:val="文档结构图 Char"/>
    <w:basedOn w:val="45"/>
    <w:link w:val="15"/>
    <w:qFormat/>
    <w:uiPriority w:val="0"/>
    <w:rPr>
      <w:rFonts w:ascii="Times New Roman" w:hAnsi="Times New Roman" w:eastAsia="宋体" w:cs="Times New Roman"/>
      <w:kern w:val="2"/>
      <w:sz w:val="21"/>
      <w:szCs w:val="24"/>
      <w:shd w:val="clear" w:color="auto" w:fill="000080"/>
    </w:rPr>
  </w:style>
  <w:style w:type="character" w:customStyle="1" w:styleId="75">
    <w:name w:val="批注文字 Char"/>
    <w:basedOn w:val="45"/>
    <w:link w:val="16"/>
    <w:qFormat/>
    <w:uiPriority w:val="99"/>
    <w:rPr>
      <w:rFonts w:ascii="Times New Roman" w:hAnsi="Times New Roman" w:eastAsia="宋体" w:cs="Times New Roman"/>
      <w:kern w:val="2"/>
      <w:sz w:val="21"/>
      <w:szCs w:val="24"/>
    </w:rPr>
  </w:style>
  <w:style w:type="character" w:customStyle="1" w:styleId="76">
    <w:name w:val="正文文本 3 Char"/>
    <w:basedOn w:val="45"/>
    <w:link w:val="18"/>
    <w:qFormat/>
    <w:uiPriority w:val="0"/>
    <w:rPr>
      <w:rFonts w:ascii="Times New Roman" w:hAnsi="宋体" w:eastAsia="仿宋_GB2312" w:cs="Times New Roman"/>
      <w:b/>
      <w:bCs/>
      <w:kern w:val="2"/>
      <w:sz w:val="24"/>
    </w:rPr>
  </w:style>
  <w:style w:type="character" w:customStyle="1" w:styleId="77">
    <w:name w:val="纯文本 Char"/>
    <w:basedOn w:val="45"/>
    <w:qFormat/>
    <w:uiPriority w:val="0"/>
    <w:rPr>
      <w:rFonts w:ascii="宋体" w:hAnsi="Courier New" w:eastAsia="宋体" w:cs="Courier New"/>
      <w:kern w:val="2"/>
      <w:sz w:val="21"/>
      <w:szCs w:val="21"/>
    </w:rPr>
  </w:style>
  <w:style w:type="character" w:customStyle="1" w:styleId="78">
    <w:name w:val="日期 Char"/>
    <w:basedOn w:val="45"/>
    <w:link w:val="26"/>
    <w:qFormat/>
    <w:uiPriority w:val="0"/>
    <w:rPr>
      <w:rFonts w:ascii="Times New Roman" w:hAnsi="Times New Roman" w:eastAsia="楷体_GB2312" w:cs="Times New Roman"/>
      <w:kern w:val="2"/>
      <w:sz w:val="32"/>
    </w:rPr>
  </w:style>
  <w:style w:type="character" w:customStyle="1" w:styleId="79">
    <w:name w:val="正文文本缩进 2 Char"/>
    <w:basedOn w:val="45"/>
    <w:link w:val="27"/>
    <w:qFormat/>
    <w:uiPriority w:val="0"/>
    <w:rPr>
      <w:rFonts w:ascii="仿宋_GB2312" w:hAnsi="宋体" w:eastAsia="宋体" w:cs="Arial"/>
      <w:b/>
      <w:bCs/>
      <w:color w:val="000000"/>
      <w:kern w:val="2"/>
      <w:sz w:val="24"/>
      <w:szCs w:val="24"/>
    </w:rPr>
  </w:style>
  <w:style w:type="character" w:customStyle="1" w:styleId="80">
    <w:name w:val="页眉 Char"/>
    <w:basedOn w:val="45"/>
    <w:link w:val="30"/>
    <w:qFormat/>
    <w:uiPriority w:val="99"/>
    <w:rPr>
      <w:rFonts w:ascii="Times New Roman" w:hAnsi="Times New Roman" w:eastAsia="宋体" w:cs="Times New Roman"/>
      <w:kern w:val="2"/>
      <w:sz w:val="18"/>
      <w:szCs w:val="18"/>
    </w:rPr>
  </w:style>
  <w:style w:type="character" w:customStyle="1" w:styleId="81">
    <w:name w:val="正文文本缩进 3 Char"/>
    <w:basedOn w:val="45"/>
    <w:link w:val="35"/>
    <w:qFormat/>
    <w:uiPriority w:val="0"/>
    <w:rPr>
      <w:rFonts w:ascii="仿宋_GB2312" w:hAnsi="宋体" w:eastAsia="仿宋_GB2312" w:cs="Times New Roman"/>
      <w:color w:val="000000"/>
      <w:kern w:val="2"/>
      <w:sz w:val="24"/>
      <w:szCs w:val="24"/>
    </w:rPr>
  </w:style>
  <w:style w:type="character" w:customStyle="1" w:styleId="82">
    <w:name w:val="正文文本 2 Char"/>
    <w:basedOn w:val="45"/>
    <w:link w:val="38"/>
    <w:qFormat/>
    <w:uiPriority w:val="0"/>
    <w:rPr>
      <w:rFonts w:ascii="宋体" w:hAnsi="宋体" w:eastAsia="宋体" w:cs="Times New Roman"/>
      <w:color w:val="000000"/>
      <w:kern w:val="2"/>
      <w:sz w:val="24"/>
      <w:szCs w:val="24"/>
    </w:rPr>
  </w:style>
  <w:style w:type="character" w:customStyle="1" w:styleId="83">
    <w:name w:val="标题 Char"/>
    <w:basedOn w:val="45"/>
    <w:link w:val="40"/>
    <w:qFormat/>
    <w:uiPriority w:val="0"/>
    <w:rPr>
      <w:rFonts w:ascii="宋体" w:hAnsi="宋体" w:eastAsia="宋体" w:cs="宋体"/>
      <w:kern w:val="2"/>
      <w:sz w:val="24"/>
      <w:szCs w:val="24"/>
    </w:rPr>
  </w:style>
  <w:style w:type="character" w:customStyle="1" w:styleId="84">
    <w:name w:val="批注主题 Char"/>
    <w:basedOn w:val="75"/>
    <w:link w:val="41"/>
    <w:qFormat/>
    <w:uiPriority w:val="99"/>
    <w:rPr>
      <w:rFonts w:ascii="Times New Roman" w:hAnsi="Times New Roman" w:eastAsia="宋体" w:cs="Times New Roman"/>
      <w:b/>
      <w:bCs/>
      <w:kern w:val="2"/>
      <w:sz w:val="21"/>
      <w:szCs w:val="24"/>
    </w:rPr>
  </w:style>
  <w:style w:type="paragraph" w:customStyle="1" w:styleId="85">
    <w:name w:val="Default"/>
    <w:next w:val="86"/>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86">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87">
    <w:name w:val="正文文本 Char1"/>
    <w:basedOn w:val="45"/>
    <w:qFormat/>
    <w:uiPriority w:val="0"/>
    <w:rPr>
      <w:rFonts w:ascii="Times New Roman" w:hAnsi="Times New Roman" w:eastAsia="宋体" w:cs="Times New Roman"/>
      <w:sz w:val="28"/>
      <w:szCs w:val="24"/>
    </w:rPr>
  </w:style>
  <w:style w:type="character" w:customStyle="1" w:styleId="88">
    <w:name w:val="正文缩进 Char"/>
    <w:link w:val="13"/>
    <w:qFormat/>
    <w:uiPriority w:val="0"/>
    <w:rPr>
      <w:rFonts w:ascii="Times New Roman" w:hAnsi="Times New Roman" w:eastAsia="宋体" w:cs="Times New Roman"/>
      <w:kern w:val="2"/>
      <w:sz w:val="28"/>
      <w:szCs w:val="24"/>
    </w:rPr>
  </w:style>
  <w:style w:type="character" w:customStyle="1" w:styleId="89">
    <w:name w:val="纯文本 Char1"/>
    <w:link w:val="24"/>
    <w:qFormat/>
    <w:uiPriority w:val="0"/>
    <w:rPr>
      <w:rFonts w:ascii="宋体" w:hAnsi="Courier New" w:eastAsia="宋体" w:cs="Times New Roman"/>
      <w:kern w:val="2"/>
      <w:sz w:val="24"/>
      <w:szCs w:val="24"/>
    </w:rPr>
  </w:style>
  <w:style w:type="character" w:customStyle="1" w:styleId="90">
    <w:name w:val="font51"/>
    <w:qFormat/>
    <w:uiPriority w:val="0"/>
    <w:rPr>
      <w:rFonts w:hint="eastAsia" w:ascii="宋体" w:hAnsi="宋体" w:eastAsia="宋体" w:cs="宋体"/>
      <w:color w:val="000000"/>
      <w:sz w:val="22"/>
      <w:szCs w:val="22"/>
      <w:u w:val="none"/>
    </w:rPr>
  </w:style>
  <w:style w:type="character" w:customStyle="1" w:styleId="91">
    <w:name w:val="font21"/>
    <w:qFormat/>
    <w:uiPriority w:val="0"/>
    <w:rPr>
      <w:rFonts w:hint="eastAsia" w:ascii="宋体" w:hAnsi="宋体" w:eastAsia="宋体" w:cs="宋体"/>
      <w:color w:val="000000"/>
      <w:sz w:val="22"/>
      <w:szCs w:val="22"/>
      <w:u w:val="none"/>
    </w:rPr>
  </w:style>
  <w:style w:type="character" w:customStyle="1" w:styleId="92">
    <w:name w:val="font11"/>
    <w:basedOn w:val="45"/>
    <w:qFormat/>
    <w:uiPriority w:val="0"/>
    <w:rPr>
      <w:rFonts w:hint="default" w:ascii="Times New Roman" w:hAnsi="Times New Roman" w:cs="Times New Roman"/>
      <w:color w:val="000000"/>
      <w:sz w:val="21"/>
      <w:szCs w:val="21"/>
      <w:u w:val="none"/>
    </w:rPr>
  </w:style>
  <w:style w:type="character" w:customStyle="1" w:styleId="93">
    <w:name w:val="纯文本 Char3"/>
    <w:qFormat/>
    <w:uiPriority w:val="0"/>
    <w:rPr>
      <w:rFonts w:ascii="宋体" w:hAnsi="Courier New" w:eastAsia="宋体"/>
      <w:kern w:val="2"/>
      <w:sz w:val="24"/>
      <w:szCs w:val="24"/>
      <w:lang w:val="en-US" w:eastAsia="zh-CN" w:bidi="ar-SA"/>
    </w:rPr>
  </w:style>
  <w:style w:type="character" w:customStyle="1" w:styleId="94">
    <w:name w:val="font01"/>
    <w:basedOn w:val="45"/>
    <w:qFormat/>
    <w:uiPriority w:val="0"/>
    <w:rPr>
      <w:rFonts w:hint="eastAsia" w:ascii="长城粗隶书" w:eastAsia="长城粗隶书"/>
      <w:color w:val="000000"/>
      <w:sz w:val="21"/>
      <w:szCs w:val="21"/>
      <w:u w:val="none"/>
    </w:rPr>
  </w:style>
  <w:style w:type="character" w:customStyle="1" w:styleId="95">
    <w:name w:val="ca-22"/>
    <w:qFormat/>
    <w:uiPriority w:val="0"/>
  </w:style>
  <w:style w:type="character" w:customStyle="1" w:styleId="96">
    <w:name w:val="apple-converted-space"/>
    <w:qFormat/>
    <w:uiPriority w:val="0"/>
  </w:style>
  <w:style w:type="character" w:customStyle="1" w:styleId="97">
    <w:name w:val="style8"/>
    <w:qFormat/>
    <w:uiPriority w:val="0"/>
  </w:style>
  <w:style w:type="character" w:customStyle="1" w:styleId="98">
    <w:name w:val="apple-style-span"/>
    <w:qFormat/>
    <w:uiPriority w:val="0"/>
  </w:style>
  <w:style w:type="character" w:customStyle="1" w:styleId="99">
    <w:name w:val="列出段落 Char"/>
    <w:link w:val="61"/>
    <w:qFormat/>
    <w:uiPriority w:val="34"/>
    <w:rPr>
      <w:rFonts w:ascii="Times New Roman" w:hAnsi="Times New Roman" w:eastAsia="宋体" w:cs="Times New Roman"/>
      <w:kern w:val="2"/>
      <w:sz w:val="28"/>
      <w:szCs w:val="24"/>
    </w:rPr>
  </w:style>
  <w:style w:type="character" w:customStyle="1" w:styleId="100">
    <w:name w:val="普通文字 Char1"/>
    <w:qFormat/>
    <w:uiPriority w:val="0"/>
    <w:rPr>
      <w:rFonts w:ascii="宋体" w:hAnsi="Courier New" w:eastAsia="宋体"/>
      <w:kern w:val="2"/>
      <w:sz w:val="21"/>
      <w:szCs w:val="24"/>
      <w:lang w:val="en-US" w:eastAsia="zh-CN" w:bidi="ar-SA"/>
    </w:rPr>
  </w:style>
  <w:style w:type="character" w:customStyle="1" w:styleId="101">
    <w:name w:val="unnamed11"/>
    <w:qFormat/>
    <w:uiPriority w:val="0"/>
    <w:rPr>
      <w:color w:val="000000"/>
      <w:sz w:val="20"/>
      <w:szCs w:val="20"/>
    </w:rPr>
  </w:style>
  <w:style w:type="paragraph" w:customStyle="1" w:styleId="102">
    <w:name w:val="正文2"/>
    <w:basedOn w:val="1"/>
    <w:qFormat/>
    <w:uiPriority w:val="0"/>
    <w:pPr>
      <w:spacing w:before="156" w:line="360" w:lineRule="auto"/>
      <w:ind w:firstLine="510" w:firstLineChars="200"/>
    </w:pPr>
    <w:rPr>
      <w:sz w:val="24"/>
      <w:szCs w:val="20"/>
    </w:rPr>
  </w:style>
  <w:style w:type="paragraph" w:customStyle="1" w:styleId="10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04">
    <w:name w:val="正文段"/>
    <w:basedOn w:val="1"/>
    <w:qFormat/>
    <w:uiPriority w:val="0"/>
    <w:pPr>
      <w:widowControl/>
      <w:snapToGrid w:val="0"/>
      <w:spacing w:afterLines="50"/>
      <w:ind w:firstLine="200" w:firstLineChars="200"/>
    </w:pPr>
    <w:rPr>
      <w:kern w:val="0"/>
      <w:sz w:val="24"/>
      <w:szCs w:val="20"/>
    </w:rPr>
  </w:style>
  <w:style w:type="paragraph" w:customStyle="1" w:styleId="105">
    <w:name w:val="A_正文_注释"/>
    <w:basedOn w:val="1"/>
    <w:qFormat/>
    <w:uiPriority w:val="0"/>
    <w:pPr>
      <w:tabs>
        <w:tab w:val="left" w:pos="1547"/>
      </w:tabs>
      <w:spacing w:line="360" w:lineRule="auto"/>
      <w:ind w:left="200" w:leftChars="200" w:firstLine="600" w:firstLineChars="200"/>
    </w:pPr>
    <w:rPr>
      <w:rFonts w:eastAsia="仿宋"/>
      <w:color w:val="0070C0"/>
      <w:sz w:val="30"/>
      <w:szCs w:val="22"/>
    </w:rPr>
  </w:style>
  <w:style w:type="paragraph" w:customStyle="1" w:styleId="10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07">
    <w:name w:val="Char"/>
    <w:basedOn w:val="1"/>
    <w:qFormat/>
    <w:uiPriority w:val="0"/>
    <w:pPr>
      <w:ind w:firstLine="640" w:firstLineChars="200"/>
    </w:pPr>
    <w:rPr>
      <w:rFonts w:ascii="宋体" w:hAnsi="宋体" w:cs="宋体"/>
      <w:color w:val="000000"/>
      <w:kern w:val="0"/>
      <w:sz w:val="21"/>
      <w:szCs w:val="21"/>
    </w:rPr>
  </w:style>
  <w:style w:type="paragraph" w:styleId="108">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09">
    <w:name w:val="默认段落字体 Para Char Char Char Char Char Char Char Char Char1 Char Char Char Char"/>
    <w:basedOn w:val="1"/>
    <w:qFormat/>
    <w:uiPriority w:val="0"/>
    <w:rPr>
      <w:rFonts w:ascii="Tahoma" w:hAnsi="Tahoma"/>
      <w:sz w:val="24"/>
      <w:szCs w:val="20"/>
    </w:rPr>
  </w:style>
  <w:style w:type="paragraph" w:customStyle="1" w:styleId="11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p0"/>
    <w:next w:val="36"/>
    <w:qFormat/>
    <w:uiPriority w:val="0"/>
    <w:pPr>
      <w:snapToGrid w:val="0"/>
    </w:pPr>
    <w:rPr>
      <w:rFonts w:ascii="Times New Roman" w:hAnsi="Times New Roman" w:eastAsia="宋体" w:cs="Times New Roman"/>
      <w:sz w:val="21"/>
      <w:szCs w:val="21"/>
      <w:lang w:val="en-US" w:eastAsia="zh-CN" w:bidi="ar-SA"/>
    </w:rPr>
  </w:style>
  <w:style w:type="paragraph" w:customStyle="1" w:styleId="11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Char1 Char Char1 Char"/>
    <w:basedOn w:val="1"/>
    <w:qFormat/>
    <w:uiPriority w:val="0"/>
    <w:pPr>
      <w:widowControl/>
      <w:spacing w:line="400" w:lineRule="exact"/>
      <w:jc w:val="center"/>
    </w:pPr>
    <w:rPr>
      <w:rFonts w:ascii="Verdana" w:hAnsi="Verdana"/>
      <w:kern w:val="0"/>
      <w:sz w:val="21"/>
      <w:szCs w:val="20"/>
      <w:lang w:eastAsia="en-US"/>
    </w:rPr>
  </w:style>
  <w:style w:type="paragraph" w:customStyle="1" w:styleId="114">
    <w:name w:val="Char2"/>
    <w:basedOn w:val="15"/>
    <w:next w:val="1"/>
    <w:qFormat/>
    <w:uiPriority w:val="0"/>
    <w:rPr>
      <w:rFonts w:ascii="宋体" w:hAnsi="宋体"/>
    </w:rPr>
  </w:style>
  <w:style w:type="paragraph" w:customStyle="1" w:styleId="115">
    <w:name w:val="Char Char Char"/>
    <w:basedOn w:val="15"/>
    <w:qFormat/>
    <w:uiPriority w:val="0"/>
    <w:rPr>
      <w:rFonts w:ascii="Tahoma" w:hAnsi="Tahoma"/>
      <w:sz w:val="24"/>
    </w:rPr>
  </w:style>
  <w:style w:type="paragraph" w:customStyle="1" w:styleId="11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Char1"/>
    <w:basedOn w:val="1"/>
    <w:qFormat/>
    <w:uiPriority w:val="0"/>
    <w:rPr>
      <w:rFonts w:ascii="Tahoma" w:hAnsi="Tahoma"/>
      <w:sz w:val="24"/>
    </w:rPr>
  </w:style>
  <w:style w:type="paragraph" w:customStyle="1" w:styleId="118">
    <w:name w:val="正文文字"/>
    <w:basedOn w:val="1"/>
    <w:qFormat/>
    <w:uiPriority w:val="0"/>
    <w:pPr>
      <w:spacing w:line="360" w:lineRule="auto"/>
      <w:ind w:firstLine="420"/>
    </w:pPr>
    <w:rPr>
      <w:sz w:val="24"/>
    </w:rPr>
  </w:style>
  <w:style w:type="paragraph" w:customStyle="1" w:styleId="11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0">
    <w:name w:val="列表段落1"/>
    <w:basedOn w:val="1"/>
    <w:qFormat/>
    <w:uiPriority w:val="34"/>
    <w:pPr>
      <w:ind w:firstLine="420" w:firstLineChars="200"/>
    </w:pPr>
    <w:rPr>
      <w:rFonts w:asciiTheme="minorHAnsi" w:hAnsiTheme="minorHAnsi" w:eastAsiaTheme="minorEastAsia" w:cstheme="minorBidi"/>
      <w:sz w:val="21"/>
      <w:szCs w:val="22"/>
    </w:rPr>
  </w:style>
  <w:style w:type="paragraph" w:customStyle="1" w:styleId="121">
    <w:name w:val="正文样式1"/>
    <w:basedOn w:val="1"/>
    <w:link w:val="122"/>
    <w:qFormat/>
    <w:uiPriority w:val="0"/>
    <w:pPr>
      <w:spacing w:beforeLines="50" w:afterLines="50" w:line="360" w:lineRule="auto"/>
      <w:ind w:firstLine="200" w:firstLineChars="200"/>
    </w:pPr>
    <w:rPr>
      <w:sz w:val="21"/>
      <w:szCs w:val="20"/>
    </w:rPr>
  </w:style>
  <w:style w:type="character" w:customStyle="1" w:styleId="122">
    <w:name w:val="正文样式1 Char"/>
    <w:link w:val="121"/>
    <w:qFormat/>
    <w:uiPriority w:val="0"/>
    <w:rPr>
      <w:rFonts w:ascii="Times New Roman" w:hAnsi="Times New Roman" w:eastAsia="宋体" w:cs="Times New Roman"/>
      <w:kern w:val="2"/>
      <w:sz w:val="21"/>
    </w:rPr>
  </w:style>
  <w:style w:type="character" w:customStyle="1" w:styleId="123">
    <w:name w:val="纯文本 Char2"/>
    <w:basedOn w:val="45"/>
    <w:qFormat/>
    <w:uiPriority w:val="0"/>
    <w:rPr>
      <w:rFonts w:ascii="宋体" w:hAnsi="Courier New" w:eastAsia="宋体" w:cs="Courier New"/>
      <w:szCs w:val="21"/>
    </w:rPr>
  </w:style>
  <w:style w:type="paragraph" w:customStyle="1" w:styleId="124">
    <w:name w:val="段"/>
    <w:next w:val="1"/>
    <w:qFormat/>
    <w:uiPriority w:val="0"/>
    <w:pPr>
      <w:autoSpaceDE w:val="0"/>
      <w:autoSpaceDN w:val="0"/>
      <w:ind w:firstLine="200" w:firstLineChars="200"/>
      <w:jc w:val="both"/>
    </w:pPr>
    <w:rPr>
      <w:rFonts w:ascii="Arial" w:hAnsi="Arial" w:eastAsia="宋体" w:cs="Times New Roman"/>
      <w:kern w:val="2"/>
      <w:sz w:val="21"/>
      <w:szCs w:val="22"/>
      <w:lang w:val="en-US" w:eastAsia="zh-CN" w:bidi="ar-SA"/>
    </w:rPr>
  </w:style>
  <w:style w:type="character" w:customStyle="1" w:styleId="125">
    <w:name w:val="纯文本 Char4"/>
    <w:qFormat/>
    <w:uiPriority w:val="99"/>
    <w:rPr>
      <w:rFonts w:ascii="宋体" w:hAnsi="Courier New" w:eastAsia="宋体" w:cs="Times New Roman"/>
      <w:kern w:val="0"/>
      <w:szCs w:val="21"/>
    </w:rPr>
  </w:style>
  <w:style w:type="paragraph" w:customStyle="1" w:styleId="126">
    <w:name w:val="Body Text First Indent1"/>
    <w:basedOn w:val="2"/>
    <w:qFormat/>
    <w:uiPriority w:val="0"/>
    <w:pPr>
      <w:spacing w:after="0"/>
      <w:ind w:firstLine="100" w:firstLineChars="100"/>
    </w:pPr>
    <w:rPr>
      <w:rFonts w:ascii="Tahoma" w:hAnsi="Tahoma"/>
      <w:sz w:val="21"/>
    </w:rPr>
  </w:style>
  <w:style w:type="paragraph" w:customStyle="1" w:styleId="127">
    <w:name w:val="正文1"/>
    <w:basedOn w:val="1"/>
    <w:next w:val="128"/>
    <w:qFormat/>
    <w:uiPriority w:val="0"/>
    <w:pPr>
      <w:spacing w:line="360" w:lineRule="atLeast"/>
      <w:ind w:firstLine="883" w:firstLineChars="200"/>
      <w:jc w:val="left"/>
    </w:pPr>
    <w:rPr>
      <w:rFonts w:ascii="宋体" w:hAnsi="Calibri"/>
      <w:sz w:val="24"/>
      <w:szCs w:val="20"/>
    </w:rPr>
  </w:style>
  <w:style w:type="paragraph" w:customStyle="1" w:styleId="128">
    <w:name w:val="正文文本1"/>
    <w:basedOn w:val="127"/>
    <w:next w:val="129"/>
    <w:qFormat/>
    <w:uiPriority w:val="0"/>
    <w:pPr>
      <w:spacing w:after="120"/>
    </w:pPr>
    <w:rPr>
      <w:lang w:eastAsia="en-US"/>
    </w:rPr>
  </w:style>
  <w:style w:type="paragraph" w:customStyle="1" w:styleId="129">
    <w:name w:val="一级条标题"/>
    <w:basedOn w:val="130"/>
    <w:next w:val="124"/>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30">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131">
    <w:name w:val="表格文字"/>
    <w:basedOn w:val="1"/>
    <w:next w:val="2"/>
    <w:qFormat/>
    <w:uiPriority w:val="0"/>
    <w:pPr>
      <w:autoSpaceDE w:val="0"/>
      <w:autoSpaceDN w:val="0"/>
      <w:adjustRightInd w:val="0"/>
      <w:spacing w:line="420" w:lineRule="atLeast"/>
      <w:ind w:firstLine="883" w:firstLineChars="200"/>
      <w:jc w:val="left"/>
      <w:textAlignment w:val="baseline"/>
    </w:pPr>
    <w:rPr>
      <w:rFonts w:hAnsi="宋体" w:eastAsia="仿宋_GB2312" w:cs="宋体"/>
      <w:kern w:val="0"/>
      <w:sz w:val="22"/>
      <w:szCs w:val="21"/>
      <w:lang w:val="zh-CN" w:bidi="zh-CN"/>
    </w:rPr>
  </w:style>
  <w:style w:type="paragraph" w:customStyle="1" w:styleId="132">
    <w:name w:val="_正文"/>
    <w:qFormat/>
    <w:uiPriority w:val="0"/>
    <w:pPr>
      <w:widowControl w:val="0"/>
      <w:adjustRightInd w:val="0"/>
      <w:snapToGrid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33">
    <w:name w:val="*正文"/>
    <w:basedOn w:val="1"/>
    <w:qFormat/>
    <w:uiPriority w:val="0"/>
    <w:pPr>
      <w:widowControl/>
      <w:spacing w:line="360" w:lineRule="auto"/>
      <w:ind w:firstLine="200" w:firstLineChars="200"/>
      <w:jc w:val="left"/>
    </w:pPr>
    <w:rPr>
      <w:kern w:val="0"/>
      <w:sz w:val="24"/>
    </w:rPr>
  </w:style>
  <w:style w:type="character" w:customStyle="1" w:styleId="134">
    <w:name w:val="font31"/>
    <w:basedOn w:val="45"/>
    <w:qFormat/>
    <w:uiPriority w:val="0"/>
    <w:rPr>
      <w:rFonts w:hint="eastAsia" w:ascii="等线" w:hAnsi="等线" w:eastAsia="等线" w:cs="等线"/>
      <w:color w:val="000000"/>
      <w:sz w:val="22"/>
      <w:szCs w:val="22"/>
      <w:u w:val="none"/>
    </w:rPr>
  </w:style>
  <w:style w:type="paragraph" w:customStyle="1" w:styleId="135">
    <w:name w:val="Table Paragraph"/>
    <w:basedOn w:val="1"/>
    <w:qFormat/>
    <w:uiPriority w:val="1"/>
    <w:pPr>
      <w:autoSpaceDE w:val="0"/>
      <w:autoSpaceDN w:val="0"/>
      <w:spacing w:line="360" w:lineRule="auto"/>
      <w:ind w:firstLine="883" w:firstLineChars="200"/>
      <w:jc w:val="left"/>
    </w:pPr>
    <w:rPr>
      <w:rFonts w:ascii="宋体" w:hAnsi="宋体" w:eastAsia="仿宋_GB2312" w:cs="宋体"/>
      <w:kern w:val="0"/>
      <w:sz w:val="22"/>
      <w:szCs w:val="22"/>
      <w:lang w:val="zh-CN" w:bidi="zh-CN"/>
    </w:rPr>
  </w:style>
  <w:style w:type="paragraph" w:customStyle="1" w:styleId="13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3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38">
    <w:name w:val="正文 A"/>
    <w:qFormat/>
    <w:uiPriority w:val="0"/>
    <w:pPr>
      <w:spacing w:line="520" w:lineRule="exact"/>
    </w:pPr>
    <w:rPr>
      <w:rFonts w:cs="仿宋_GB2312" w:asciiTheme="majorEastAsia" w:hAnsiTheme="majorEastAsia" w:eastAsiaTheme="majorEastAsia"/>
      <w:b/>
      <w:kern w:val="2"/>
      <w:sz w:val="24"/>
      <w:szCs w:val="24"/>
      <w:lang w:val="en-US" w:eastAsia="zh-CN" w:bidi="ar-SA"/>
    </w:rPr>
  </w:style>
  <w:style w:type="paragraph" w:customStyle="1" w:styleId="139">
    <w:name w:val="章正文"/>
    <w:basedOn w:val="1"/>
    <w:qFormat/>
    <w:uiPriority w:val="99"/>
    <w:pPr>
      <w:spacing w:beforeLines="50" w:after="120" w:line="300" w:lineRule="auto"/>
      <w:ind w:firstLine="480"/>
    </w:pPr>
    <w:rPr>
      <w:rFonts w:ascii="Helvetica" w:hAnsi="Helvetica"/>
      <w:kern w:val="0"/>
      <w:sz w:val="24"/>
    </w:rPr>
  </w:style>
  <w:style w:type="paragraph" w:customStyle="1" w:styleId="140">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1">
    <w:name w:val="称呼 Char"/>
    <w:basedOn w:val="45"/>
    <w:link w:val="17"/>
    <w:qFormat/>
    <w:uiPriority w:val="0"/>
    <w:rPr>
      <w:rFonts w:ascii="Times New Roman" w:hAnsi="Times New Roman" w:eastAsia="宋体" w:cs="Times New Roman"/>
      <w:kern w:val="2"/>
      <w:sz w:val="24"/>
    </w:rPr>
  </w:style>
  <w:style w:type="character" w:customStyle="1" w:styleId="142">
    <w:name w:val="纯文本 字符"/>
    <w:qFormat/>
    <w:uiPriority w:val="0"/>
    <w:rPr>
      <w:rFonts w:ascii="宋体" w:hAnsi="Courier New" w:cs="宋体"/>
      <w:sz w:val="21"/>
      <w:szCs w:val="24"/>
    </w:rPr>
  </w:style>
  <w:style w:type="character" w:customStyle="1" w:styleId="143">
    <w:name w:val="正文文本缩进 字符"/>
    <w:qFormat/>
    <w:uiPriority w:val="0"/>
    <w:rPr>
      <w:rFonts w:ascii="Times New Roman" w:hAnsi="Times New Roman" w:eastAsia="宋体" w:cs="Times New Roman"/>
    </w:rPr>
  </w:style>
  <w:style w:type="paragraph" w:customStyle="1" w:styleId="144">
    <w:name w:val="Char Char Char1"/>
    <w:basedOn w:val="15"/>
    <w:qFormat/>
    <w:uiPriority w:val="0"/>
    <w:rPr>
      <w:rFonts w:ascii="Tahoma" w:hAnsi="Tahoma"/>
      <w:sz w:val="24"/>
    </w:rPr>
  </w:style>
  <w:style w:type="paragraph" w:customStyle="1" w:styleId="145">
    <w:name w:val="Char21"/>
    <w:basedOn w:val="15"/>
    <w:next w:val="1"/>
    <w:qFormat/>
    <w:uiPriority w:val="0"/>
    <w:rPr>
      <w:rFonts w:ascii="宋体" w:hAnsi="宋体"/>
    </w:rPr>
  </w:style>
  <w:style w:type="paragraph" w:customStyle="1" w:styleId="146">
    <w:name w:val="Char11"/>
    <w:basedOn w:val="1"/>
    <w:qFormat/>
    <w:uiPriority w:val="0"/>
    <w:rPr>
      <w:rFonts w:ascii="Tahoma" w:hAnsi="Tahoma"/>
      <w:sz w:val="24"/>
    </w:rPr>
  </w:style>
  <w:style w:type="paragraph" w:customStyle="1" w:styleId="147">
    <w:name w:val="Char1 Char Char1 Char1"/>
    <w:basedOn w:val="1"/>
    <w:qFormat/>
    <w:uiPriority w:val="0"/>
    <w:pPr>
      <w:widowControl/>
      <w:spacing w:line="400" w:lineRule="exact"/>
      <w:jc w:val="center"/>
    </w:pPr>
    <w:rPr>
      <w:rFonts w:ascii="Verdana" w:hAnsi="Verdana"/>
      <w:kern w:val="0"/>
      <w:sz w:val="21"/>
      <w:szCs w:val="20"/>
      <w:lang w:eastAsia="en-US"/>
    </w:rPr>
  </w:style>
  <w:style w:type="paragraph" w:customStyle="1" w:styleId="148">
    <w:name w:val="Table Text"/>
    <w:basedOn w:val="1"/>
    <w:qFormat/>
    <w:uiPriority w:val="0"/>
    <w:pPr>
      <w:widowControl/>
      <w:spacing w:before="60" w:after="60"/>
      <w:jc w:val="left"/>
    </w:pPr>
    <w:rPr>
      <w:kern w:val="0"/>
      <w:sz w:val="24"/>
    </w:rPr>
  </w:style>
  <w:style w:type="character" w:customStyle="1" w:styleId="149">
    <w:name w:val="font61"/>
    <w:qFormat/>
    <w:uiPriority w:val="0"/>
    <w:rPr>
      <w:rFonts w:hint="default" w:ascii="Calibri" w:hAnsi="Calibri" w:cs="Calibri"/>
      <w:color w:val="000000"/>
      <w:sz w:val="20"/>
      <w:szCs w:val="20"/>
      <w:u w:val="none"/>
    </w:rPr>
  </w:style>
  <w:style w:type="character" w:customStyle="1" w:styleId="150">
    <w:name w:val="font112"/>
    <w:qFormat/>
    <w:uiPriority w:val="0"/>
    <w:rPr>
      <w:rFonts w:hint="default" w:ascii="仿宋_GB2312" w:eastAsia="仿宋_GB2312" w:cs="仿宋_GB2312"/>
      <w:color w:val="000000"/>
      <w:sz w:val="20"/>
      <w:szCs w:val="20"/>
      <w:u w:val="none"/>
    </w:rPr>
  </w:style>
  <w:style w:type="character" w:customStyle="1" w:styleId="151">
    <w:name w:val="font131"/>
    <w:qFormat/>
    <w:uiPriority w:val="0"/>
    <w:rPr>
      <w:rFonts w:hint="default" w:ascii="仿宋_GB2312" w:eastAsia="仿宋_GB2312" w:cs="仿宋_GB2312"/>
      <w:color w:val="000000"/>
      <w:sz w:val="20"/>
      <w:szCs w:val="20"/>
      <w:u w:val="none"/>
      <w:vertAlign w:val="superscript"/>
    </w:rPr>
  </w:style>
  <w:style w:type="character" w:customStyle="1" w:styleId="152">
    <w:name w:val="NormalCharacter"/>
    <w:semiHidden/>
    <w:qFormat/>
    <w:uiPriority w:val="0"/>
  </w:style>
  <w:style w:type="character" w:customStyle="1" w:styleId="153">
    <w:name w:val="font101"/>
    <w:qFormat/>
    <w:uiPriority w:val="0"/>
    <w:rPr>
      <w:rFonts w:ascii="MS Gothic" w:hAnsi="MS Gothic" w:eastAsia="MS Gothic" w:cs="MS Gothic"/>
      <w:color w:val="000000"/>
      <w:sz w:val="20"/>
      <w:szCs w:val="20"/>
      <w:u w:val="none"/>
    </w:rPr>
  </w:style>
  <w:style w:type="character" w:customStyle="1" w:styleId="154">
    <w:name w:val="font141"/>
    <w:qFormat/>
    <w:uiPriority w:val="0"/>
    <w:rPr>
      <w:rFonts w:hint="default" w:ascii="Calibri" w:hAnsi="Calibri" w:cs="Calibri"/>
      <w:color w:val="000000"/>
      <w:sz w:val="20"/>
      <w:szCs w:val="20"/>
      <w:u w:val="none"/>
      <w:vertAlign w:val="superscript"/>
    </w:rPr>
  </w:style>
  <w:style w:type="paragraph" w:customStyle="1" w:styleId="155">
    <w:name w:val="首行缩进"/>
    <w:basedOn w:val="1"/>
    <w:qFormat/>
    <w:uiPriority w:val="0"/>
    <w:pPr>
      <w:ind w:firstLine="480" w:firstLineChars="200"/>
    </w:pPr>
    <w:rPr>
      <w:sz w:val="21"/>
      <w:lang w:val="zh-CN"/>
    </w:rPr>
  </w:style>
  <w:style w:type="paragraph" w:customStyle="1" w:styleId="156">
    <w:name w:val="DAS正文"/>
    <w:basedOn w:val="1"/>
    <w:qFormat/>
    <w:uiPriority w:val="0"/>
    <w:pPr>
      <w:spacing w:line="360" w:lineRule="auto"/>
      <w:ind w:right="181" w:firstLine="480" w:firstLineChars="200"/>
    </w:pPr>
    <w:rPr>
      <w:rFonts w:ascii="Verdana" w:hAnsi="Verdana"/>
      <w:sz w:val="21"/>
    </w:rPr>
  </w:style>
  <w:style w:type="paragraph" w:customStyle="1" w:styleId="157">
    <w:name w:val="HtmlNormal"/>
    <w:basedOn w:val="1"/>
    <w:qFormat/>
    <w:uiPriority w:val="0"/>
    <w:pPr>
      <w:spacing w:before="100" w:beforeAutospacing="1" w:after="100" w:afterAutospacing="1"/>
      <w:jc w:val="left"/>
    </w:pPr>
    <w:rPr>
      <w:rFonts w:ascii="宋体" w:hAnsi="宋体"/>
      <w:kern w:val="0"/>
      <w:sz w:val="24"/>
    </w:rPr>
  </w:style>
  <w:style w:type="paragraph" w:customStyle="1" w:styleId="158">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159">
    <w:name w:val="font41"/>
    <w:qFormat/>
    <w:uiPriority w:val="0"/>
    <w:rPr>
      <w:rFonts w:hint="eastAsia" w:ascii="宋体" w:hAnsi="宋体" w:eastAsia="宋体" w:cs="宋体"/>
      <w:color w:val="000000"/>
      <w:sz w:val="16"/>
      <w:szCs w:val="16"/>
      <w:u w:val="none"/>
    </w:rPr>
  </w:style>
  <w:style w:type="paragraph" w:customStyle="1" w:styleId="160">
    <w:name w:val="标题3"/>
    <w:basedOn w:val="6"/>
    <w:qFormat/>
    <w:uiPriority w:val="0"/>
    <w:pPr>
      <w:widowControl w:val="0"/>
      <w:spacing w:before="260" w:beforeAutospacing="0" w:after="260" w:afterAutospacing="0" w:line="416" w:lineRule="auto"/>
      <w:jc w:val="both"/>
    </w:pPr>
    <w:rPr>
      <w:rFonts w:ascii="Times New Roman" w:hAnsi="Times New Roman" w:eastAsia="仿宋_GB2312" w:cs="Times New Roman"/>
      <w:b w:val="0"/>
      <w:sz w:val="30"/>
      <w:szCs w:val="32"/>
    </w:rPr>
  </w:style>
  <w:style w:type="table" w:customStyle="1" w:styleId="161">
    <w:name w:val="Table Normal"/>
    <w:unhideWhenUsed/>
    <w:qFormat/>
    <w:uiPriority w:val="0"/>
    <w:tblPr>
      <w:tblCellMar>
        <w:top w:w="0" w:type="dxa"/>
        <w:left w:w="0" w:type="dxa"/>
        <w:bottom w:w="0" w:type="dxa"/>
        <w:right w:w="0" w:type="dxa"/>
      </w:tblCellMar>
    </w:tblPr>
  </w:style>
  <w:style w:type="paragraph" w:customStyle="1" w:styleId="162">
    <w:name w:val="Char Char Char Char"/>
    <w:basedOn w:val="1"/>
    <w:qFormat/>
    <w:uiPriority w:val="0"/>
    <w:rPr>
      <w:rFonts w:ascii="Tahoma" w:hAnsi="Tahoma"/>
      <w:sz w:val="24"/>
      <w:szCs w:val="20"/>
    </w:rPr>
  </w:style>
  <w:style w:type="paragraph" w:customStyle="1" w:styleId="163">
    <w:name w:val="正文表格"/>
    <w:basedOn w:val="1"/>
    <w:qFormat/>
    <w:uiPriority w:val="0"/>
    <w:pPr>
      <w:adjustRightInd w:val="0"/>
    </w:pPr>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725C03-1EEF-4756-847C-88605B346EAC}">
  <ds:schemaRefs/>
</ds:datastoreItem>
</file>

<file path=docProps/app.xml><?xml version="1.0" encoding="utf-8"?>
<Properties xmlns="http://schemas.openxmlformats.org/officeDocument/2006/extended-properties" xmlns:vt="http://schemas.openxmlformats.org/officeDocument/2006/docPropsVTypes">
  <Template>Normal.dotm</Template>
  <Pages>75</Pages>
  <Words>7284</Words>
  <Characters>9147</Characters>
  <Lines>393</Lines>
  <Paragraphs>110</Paragraphs>
  <TotalTime>21</TotalTime>
  <ScaleCrop>false</ScaleCrop>
  <LinksUpToDate>false</LinksUpToDate>
  <CharactersWithSpaces>9439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2025-04-02T08:25:00Z</dcterms:created>
  <dc:creator>xb21cn</dc:creator>
  <cp:lastModifiedBy>NTKO</cp:lastModifiedBy>
  <dcterms:modified xsi:type="dcterms:W3CDTF">2025-06-04T01:46:39Z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eyJoZGlkIjoiMGI3YzJlMmZmMDkwMzU3M2RlN2ZjMTllNmYwMDAxODAiLCJ1c2VySWQiOiI5NDU3ODA3MTMifQ==</vt:lpwstr>
  </property>
  <property fmtid="{D5CDD505-2E9C-101B-9397-08002B2CF9AE}" pid="3" name="KSOProductBuildVer">
    <vt:lpwstr>2052-12.1.0.21171</vt:lpwstr>
  </property>
  <property fmtid="{D5CDD505-2E9C-101B-9397-08002B2CF9AE}" pid="4" name="ICV">
    <vt:lpwstr>D17165B7597A4790AF1F63A7A6659DE8_12</vt:lpwstr>
  </property>
</Properties>
</file>