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C78BE">
      <w:pPr>
        <w:spacing w:line="360" w:lineRule="auto"/>
        <w:jc w:val="center"/>
        <w:rPr>
          <w:rFonts w:ascii="仿宋_GB2312" w:hAnsi="宋体" w:eastAsia="仿宋_GB2312"/>
          <w:b/>
          <w:color w:val="auto"/>
          <w:sz w:val="52"/>
          <w:szCs w:val="52"/>
          <w:highlight w:val="none"/>
        </w:rPr>
      </w:pPr>
    </w:p>
    <w:p w14:paraId="4480E013">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湖州南太湖新区市本级移交道路绿化养护补植项目（2025-2027年度）</w:t>
      </w:r>
    </w:p>
    <w:p w14:paraId="1F210495">
      <w:pPr>
        <w:spacing w:line="360" w:lineRule="auto"/>
        <w:rPr>
          <w:rFonts w:ascii="宋体" w:hAnsi="宋体"/>
          <w:b/>
          <w:color w:val="auto"/>
          <w:sz w:val="28"/>
          <w:szCs w:val="28"/>
          <w:highlight w:val="none"/>
        </w:rPr>
      </w:pPr>
    </w:p>
    <w:p w14:paraId="50B98D23">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（财政审批编号：临[2025]2212号）</w:t>
      </w:r>
    </w:p>
    <w:p w14:paraId="79685CB7">
      <w:pPr>
        <w:snapToGrid w:val="0"/>
        <w:spacing w:before="120" w:beforeLines="50" w:line="360" w:lineRule="auto"/>
        <w:jc w:val="center"/>
        <w:rPr>
          <w:rFonts w:ascii="隶书" w:hAnsi="Arial Narrow" w:eastAsia="楷体_GB2312"/>
          <w:color w:val="auto"/>
          <w:sz w:val="30"/>
          <w:szCs w:val="72"/>
          <w:highlight w:val="none"/>
        </w:rPr>
      </w:pPr>
      <w:r>
        <w:rPr>
          <w:rFonts w:hint="eastAsia" w:ascii="宋体" w:hAnsi="宋体" w:cs="宋体"/>
          <w:b/>
          <w:color w:val="auto"/>
          <w:sz w:val="52"/>
          <w:szCs w:val="52"/>
          <w:highlight w:val="none"/>
        </w:rPr>
        <w:t>（电子招投标）</w:t>
      </w:r>
    </w:p>
    <w:p w14:paraId="33B9D2FD">
      <w:pPr>
        <w:snapToGrid w:val="0"/>
        <w:spacing w:before="120" w:beforeLines="50" w:line="360" w:lineRule="auto"/>
        <w:rPr>
          <w:rFonts w:ascii="隶书" w:hAnsi="Arial Narrow" w:eastAsia="楷体_GB2312"/>
          <w:color w:val="auto"/>
          <w:sz w:val="30"/>
          <w:szCs w:val="72"/>
          <w:highlight w:val="none"/>
        </w:rPr>
      </w:pPr>
    </w:p>
    <w:p w14:paraId="7AE00D25">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14:paraId="00655176">
      <w:pPr>
        <w:snapToGrid w:val="0"/>
        <w:spacing w:line="360" w:lineRule="auto"/>
        <w:rPr>
          <w:rFonts w:ascii="宋体" w:hAnsi="宋体"/>
          <w:color w:val="auto"/>
          <w:sz w:val="30"/>
          <w:szCs w:val="72"/>
          <w:highlight w:val="none"/>
        </w:rPr>
      </w:pPr>
    </w:p>
    <w:p w14:paraId="49F2C9A6">
      <w:pPr>
        <w:snapToGrid w:val="0"/>
        <w:spacing w:line="360" w:lineRule="auto"/>
        <w:rPr>
          <w:rFonts w:ascii="宋体" w:hAnsi="宋体"/>
          <w:color w:val="auto"/>
          <w:sz w:val="30"/>
          <w:szCs w:val="72"/>
          <w:highlight w:val="none"/>
        </w:rPr>
      </w:pPr>
    </w:p>
    <w:p w14:paraId="022EBE7A">
      <w:pPr>
        <w:snapToGrid w:val="0"/>
        <w:spacing w:line="360" w:lineRule="auto"/>
        <w:rPr>
          <w:rFonts w:ascii="宋体" w:hAnsi="宋体"/>
          <w:color w:val="auto"/>
          <w:sz w:val="30"/>
          <w:szCs w:val="72"/>
          <w:highlight w:val="none"/>
        </w:rPr>
      </w:pPr>
    </w:p>
    <w:p w14:paraId="564DEFAA">
      <w:pPr>
        <w:pStyle w:val="26"/>
        <w:snapToGrid w:val="0"/>
        <w:spacing w:beforeLines="0" w:afterLines="0" w:line="360" w:lineRule="auto"/>
        <w:ind w:firstLine="596" w:firstLineChars="198"/>
        <w:rPr>
          <w:rFonts w:hAnsi="宋体"/>
          <w:b/>
          <w:color w:val="auto"/>
          <w:sz w:val="30"/>
          <w:szCs w:val="30"/>
          <w:highlight w:val="none"/>
        </w:rPr>
      </w:pPr>
      <w:r>
        <w:rPr>
          <w:rFonts w:hAnsi="宋体"/>
          <w:b/>
          <w:color w:val="auto"/>
          <w:sz w:val="30"/>
          <w:szCs w:val="30"/>
          <w:highlight w:val="none"/>
        </w:rPr>
        <w:t>项目编号：</w:t>
      </w:r>
      <w:r>
        <w:rPr>
          <w:rFonts w:hint="eastAsia" w:hAnsi="宋体"/>
          <w:b/>
          <w:color w:val="auto"/>
          <w:sz w:val="30"/>
          <w:szCs w:val="30"/>
          <w:highlight w:val="none"/>
        </w:rPr>
        <w:t>HYHZ2025-103</w:t>
      </w:r>
    </w:p>
    <w:p w14:paraId="06F02016">
      <w:pPr>
        <w:pStyle w:val="26"/>
        <w:snapToGrid w:val="0"/>
        <w:spacing w:beforeLines="0" w:afterLines="0" w:line="360" w:lineRule="auto"/>
        <w:ind w:left="2086" w:leftChars="282" w:hanging="1494" w:hangingChars="496"/>
        <w:rPr>
          <w:rFonts w:hAnsi="宋体"/>
          <w:b/>
          <w:color w:val="auto"/>
          <w:sz w:val="30"/>
          <w:szCs w:val="30"/>
          <w:highlight w:val="none"/>
        </w:rPr>
      </w:pPr>
      <w:r>
        <w:rPr>
          <w:rFonts w:hint="eastAsia" w:hAnsi="宋体"/>
          <w:b/>
          <w:color w:val="auto"/>
          <w:sz w:val="30"/>
          <w:szCs w:val="30"/>
          <w:highlight w:val="none"/>
        </w:rPr>
        <w:t>项目名称：湖州南太湖新区市本级移交道路绿化养护补植项目（2025-2027年度）</w:t>
      </w:r>
    </w:p>
    <w:p w14:paraId="450B8F82">
      <w:pPr>
        <w:pStyle w:val="26"/>
        <w:snapToGrid w:val="0"/>
        <w:spacing w:beforeLines="0" w:afterLines="0" w:line="360" w:lineRule="auto"/>
        <w:ind w:left="2087" w:leftChars="284" w:hanging="1491" w:hangingChars="495"/>
        <w:rPr>
          <w:rFonts w:hAnsi="宋体"/>
          <w:b/>
          <w:color w:val="auto"/>
          <w:sz w:val="30"/>
          <w:szCs w:val="30"/>
          <w:highlight w:val="none"/>
        </w:rPr>
      </w:pPr>
      <w:r>
        <w:rPr>
          <w:rFonts w:hAnsi="宋体"/>
          <w:b/>
          <w:color w:val="auto"/>
          <w:sz w:val="30"/>
          <w:szCs w:val="30"/>
          <w:highlight w:val="none"/>
        </w:rPr>
        <w:t>采购单位：</w:t>
      </w:r>
      <w:r>
        <w:rPr>
          <w:rFonts w:hint="eastAsia" w:hAnsi="宋体"/>
          <w:b/>
          <w:color w:val="auto"/>
          <w:sz w:val="30"/>
          <w:szCs w:val="30"/>
          <w:highlight w:val="none"/>
        </w:rPr>
        <w:t>湖州南太湖新区公用事业管理中心</w:t>
      </w:r>
    </w:p>
    <w:p w14:paraId="678D4BCF">
      <w:pPr>
        <w:pStyle w:val="26"/>
        <w:snapToGrid w:val="0"/>
        <w:spacing w:beforeLines="0" w:afterLines="0" w:line="360" w:lineRule="auto"/>
        <w:ind w:firstLine="590" w:firstLineChars="196"/>
        <w:rPr>
          <w:rFonts w:hAnsi="宋体"/>
          <w:b/>
          <w:color w:val="auto"/>
          <w:sz w:val="30"/>
          <w:szCs w:val="30"/>
          <w:highlight w:val="none"/>
        </w:rPr>
      </w:pPr>
      <w:r>
        <w:rPr>
          <w:rFonts w:hAnsi="宋体"/>
          <w:b/>
          <w:color w:val="auto"/>
          <w:sz w:val="30"/>
          <w:szCs w:val="30"/>
          <w:highlight w:val="none"/>
        </w:rPr>
        <w:t>代理机构：</w:t>
      </w:r>
      <w:r>
        <w:rPr>
          <w:rFonts w:hint="eastAsia" w:hAnsi="宋体"/>
          <w:b/>
          <w:color w:val="auto"/>
          <w:sz w:val="30"/>
          <w:szCs w:val="30"/>
          <w:highlight w:val="none"/>
        </w:rPr>
        <w:t>浙江华耀建设咨询有限公司</w:t>
      </w:r>
    </w:p>
    <w:p w14:paraId="32A23F62">
      <w:pPr>
        <w:pStyle w:val="26"/>
        <w:snapToGrid w:val="0"/>
        <w:spacing w:beforeLines="0" w:afterLines="0" w:line="360" w:lineRule="auto"/>
        <w:ind w:firstLine="590" w:firstLineChars="196"/>
        <w:rPr>
          <w:rFonts w:hAnsi="宋体"/>
          <w:b/>
          <w:color w:val="auto"/>
          <w:sz w:val="30"/>
          <w:szCs w:val="30"/>
          <w:highlight w:val="none"/>
        </w:rPr>
      </w:pPr>
    </w:p>
    <w:p w14:paraId="15665DC2">
      <w:pPr>
        <w:snapToGrid w:val="0"/>
        <w:spacing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 xml:space="preserve">                      2025年 月 日</w:t>
      </w:r>
    </w:p>
    <w:p w14:paraId="13279613">
      <w:pPr>
        <w:pStyle w:val="26"/>
        <w:spacing w:beforeLines="0" w:afterLines="0" w:line="360" w:lineRule="auto"/>
        <w:jc w:val="center"/>
        <w:rPr>
          <w:rFonts w:ascii="创艺简标宋" w:hAnsi="宋体" w:eastAsia="创艺简标宋"/>
          <w:b/>
          <w:color w:val="auto"/>
          <w:sz w:val="44"/>
          <w:szCs w:val="44"/>
          <w:highlight w:val="none"/>
        </w:rPr>
      </w:pPr>
    </w:p>
    <w:p w14:paraId="70B50C06">
      <w:pPr>
        <w:pStyle w:val="26"/>
        <w:spacing w:beforeLines="0" w:afterLines="0" w:line="360" w:lineRule="auto"/>
        <w:jc w:val="center"/>
        <w:rPr>
          <w:rFonts w:ascii="创艺简标宋" w:hAnsi="宋体" w:eastAsia="创艺简标宋"/>
          <w:b/>
          <w:color w:val="auto"/>
          <w:sz w:val="44"/>
          <w:szCs w:val="44"/>
          <w:highlight w:val="none"/>
        </w:rPr>
      </w:pPr>
    </w:p>
    <w:p w14:paraId="6C9B3A10">
      <w:pPr>
        <w:pStyle w:val="26"/>
        <w:spacing w:beforeLines="0" w:afterLines="0" w:line="360" w:lineRule="auto"/>
        <w:jc w:val="center"/>
        <w:rPr>
          <w:rFonts w:ascii="创艺简标宋" w:hAnsi="宋体" w:eastAsia="创艺简标宋"/>
          <w:b/>
          <w:color w:val="auto"/>
          <w:sz w:val="44"/>
          <w:szCs w:val="44"/>
          <w:highlight w:val="none"/>
        </w:rPr>
      </w:pPr>
    </w:p>
    <w:p w14:paraId="1A0F69A2">
      <w:pPr>
        <w:pStyle w:val="26"/>
        <w:spacing w:beforeLines="0" w:afterLines="0" w:line="360" w:lineRule="auto"/>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14:paraId="36FD9CD7">
      <w:pPr>
        <w:spacing w:line="360" w:lineRule="auto"/>
        <w:rPr>
          <w:rFonts w:ascii="宋体" w:hAnsi="宋体" w:cs="宋体"/>
          <w:color w:val="auto"/>
          <w:szCs w:val="24"/>
          <w:highlight w:val="none"/>
        </w:rPr>
      </w:pPr>
    </w:p>
    <w:p w14:paraId="3A76BE52">
      <w:pPr>
        <w:spacing w:line="360" w:lineRule="auto"/>
        <w:ind w:left="165"/>
        <w:rPr>
          <w:rFonts w:ascii="宋体" w:hAnsi="宋体"/>
          <w:color w:val="auto"/>
          <w:sz w:val="30"/>
          <w:szCs w:val="20"/>
          <w:highlight w:val="none"/>
        </w:rPr>
      </w:pPr>
      <w:r>
        <w:rPr>
          <w:rFonts w:hint="eastAsia" w:ascii="宋体" w:hAnsi="宋体"/>
          <w:color w:val="auto"/>
          <w:sz w:val="30"/>
          <w:szCs w:val="20"/>
          <w:highlight w:val="none"/>
        </w:rPr>
        <w:t xml:space="preserve"> </w:t>
      </w:r>
    </w:p>
    <w:p w14:paraId="5273B854">
      <w:pPr>
        <w:spacing w:line="360" w:lineRule="auto"/>
        <w:rPr>
          <w:rFonts w:ascii="宋体" w:hAnsi="宋体"/>
          <w:color w:val="auto"/>
          <w:sz w:val="30"/>
          <w:highlight w:val="none"/>
        </w:rPr>
      </w:pPr>
      <w:r>
        <w:rPr>
          <w:rFonts w:hint="eastAsia" w:ascii="宋体" w:hAnsi="宋体"/>
          <w:color w:val="auto"/>
          <w:sz w:val="30"/>
          <w:highlight w:val="none"/>
        </w:rPr>
        <w:t>第一章</w:t>
      </w:r>
      <w:r>
        <w:rPr>
          <w:rFonts w:ascii="宋体" w:hAnsi="宋体"/>
          <w:color w:val="auto"/>
          <w:sz w:val="30"/>
          <w:highlight w:val="none"/>
        </w:rPr>
        <w:tab/>
      </w:r>
      <w:r>
        <w:rPr>
          <w:rFonts w:ascii="宋体" w:hAnsi="宋体"/>
          <w:color w:val="auto"/>
          <w:sz w:val="30"/>
          <w:highlight w:val="none"/>
        </w:rPr>
        <w:t>公开招标采购公告   -------------------------3</w:t>
      </w:r>
    </w:p>
    <w:p w14:paraId="3C735D69">
      <w:pPr>
        <w:spacing w:line="360" w:lineRule="auto"/>
        <w:rPr>
          <w:rFonts w:ascii="宋体" w:hAnsi="宋体"/>
          <w:color w:val="auto"/>
          <w:sz w:val="30"/>
          <w:highlight w:val="none"/>
        </w:rPr>
      </w:pPr>
      <w:r>
        <w:rPr>
          <w:rFonts w:hint="eastAsia" w:ascii="宋体" w:hAnsi="宋体"/>
          <w:color w:val="auto"/>
          <w:sz w:val="30"/>
          <w:highlight w:val="none"/>
        </w:rPr>
        <w:t>第二章</w:t>
      </w:r>
      <w:r>
        <w:rPr>
          <w:rFonts w:ascii="宋体" w:hAnsi="宋体"/>
          <w:color w:val="auto"/>
          <w:sz w:val="30"/>
          <w:highlight w:val="none"/>
        </w:rPr>
        <w:tab/>
      </w:r>
      <w:r>
        <w:rPr>
          <w:rFonts w:ascii="宋体" w:hAnsi="宋体"/>
          <w:color w:val="auto"/>
          <w:sz w:val="30"/>
          <w:highlight w:val="none"/>
        </w:rPr>
        <w:t>招标需求     -------------------------------7</w:t>
      </w:r>
    </w:p>
    <w:p w14:paraId="30D35864">
      <w:pPr>
        <w:spacing w:line="360" w:lineRule="auto"/>
        <w:rPr>
          <w:rFonts w:ascii="宋体" w:hAnsi="宋体"/>
          <w:color w:val="auto"/>
          <w:sz w:val="30"/>
          <w:highlight w:val="none"/>
        </w:rPr>
      </w:pPr>
      <w:r>
        <w:rPr>
          <w:rFonts w:hint="eastAsia" w:ascii="宋体" w:hAnsi="宋体"/>
          <w:color w:val="auto"/>
          <w:sz w:val="30"/>
          <w:highlight w:val="none"/>
        </w:rPr>
        <w:t>第三章</w:t>
      </w:r>
      <w:r>
        <w:rPr>
          <w:rFonts w:ascii="宋体" w:hAnsi="宋体"/>
          <w:color w:val="auto"/>
          <w:sz w:val="30"/>
          <w:highlight w:val="none"/>
        </w:rPr>
        <w:tab/>
      </w:r>
      <w:r>
        <w:rPr>
          <w:rFonts w:ascii="宋体" w:hAnsi="宋体"/>
          <w:color w:val="auto"/>
          <w:sz w:val="30"/>
          <w:highlight w:val="none"/>
        </w:rPr>
        <w:t>投标人须知   ------------------------------30</w:t>
      </w:r>
    </w:p>
    <w:p w14:paraId="36F2C69A">
      <w:pPr>
        <w:spacing w:line="360" w:lineRule="auto"/>
        <w:rPr>
          <w:rFonts w:ascii="宋体" w:hAnsi="宋体"/>
          <w:color w:val="auto"/>
          <w:sz w:val="30"/>
          <w:highlight w:val="none"/>
        </w:rPr>
      </w:pPr>
      <w:r>
        <w:rPr>
          <w:rFonts w:hint="eastAsia" w:ascii="宋体" w:hAnsi="宋体"/>
          <w:color w:val="auto"/>
          <w:sz w:val="30"/>
          <w:highlight w:val="none"/>
        </w:rPr>
        <w:t>一、总则</w:t>
      </w:r>
      <w:r>
        <w:rPr>
          <w:rFonts w:ascii="宋体" w:hAnsi="宋体"/>
          <w:color w:val="auto"/>
          <w:sz w:val="30"/>
          <w:highlight w:val="none"/>
        </w:rPr>
        <w:t xml:space="preserve">            --------------------------------31</w:t>
      </w:r>
    </w:p>
    <w:p w14:paraId="1AB9C65C">
      <w:pPr>
        <w:spacing w:line="360" w:lineRule="auto"/>
        <w:rPr>
          <w:rFonts w:ascii="宋体" w:hAnsi="宋体"/>
          <w:color w:val="auto"/>
          <w:sz w:val="30"/>
          <w:highlight w:val="none"/>
        </w:rPr>
      </w:pPr>
      <w:r>
        <w:rPr>
          <w:rFonts w:hint="eastAsia" w:ascii="宋体" w:hAnsi="宋体"/>
          <w:color w:val="auto"/>
          <w:sz w:val="30"/>
          <w:highlight w:val="none"/>
        </w:rPr>
        <w:t>二、招标文件</w:t>
      </w:r>
      <w:r>
        <w:rPr>
          <w:rFonts w:ascii="宋体" w:hAnsi="宋体"/>
          <w:color w:val="auto"/>
          <w:sz w:val="30"/>
          <w:highlight w:val="none"/>
        </w:rPr>
        <w:t xml:space="preserve">            ----------------------------34</w:t>
      </w:r>
    </w:p>
    <w:p w14:paraId="63FB64AD">
      <w:pPr>
        <w:spacing w:line="360" w:lineRule="auto"/>
        <w:rPr>
          <w:rFonts w:ascii="宋体" w:hAnsi="宋体"/>
          <w:color w:val="auto"/>
          <w:sz w:val="30"/>
          <w:highlight w:val="none"/>
        </w:rPr>
      </w:pPr>
      <w:r>
        <w:rPr>
          <w:rFonts w:hint="eastAsia" w:ascii="宋体" w:hAnsi="宋体"/>
          <w:color w:val="auto"/>
          <w:sz w:val="30"/>
          <w:highlight w:val="none"/>
        </w:rPr>
        <w:t>三、投标文件的编制</w:t>
      </w:r>
      <w:r>
        <w:rPr>
          <w:rFonts w:ascii="宋体" w:hAnsi="宋体"/>
          <w:color w:val="auto"/>
          <w:sz w:val="30"/>
          <w:highlight w:val="none"/>
        </w:rPr>
        <w:t xml:space="preserve">             ---------------------35</w:t>
      </w:r>
    </w:p>
    <w:p w14:paraId="3E5235F6">
      <w:pPr>
        <w:spacing w:line="360" w:lineRule="auto"/>
        <w:rPr>
          <w:rFonts w:ascii="宋体" w:hAnsi="宋体"/>
          <w:color w:val="auto"/>
          <w:sz w:val="30"/>
          <w:highlight w:val="none"/>
        </w:rPr>
      </w:pPr>
      <w:r>
        <w:rPr>
          <w:rFonts w:hint="eastAsia" w:ascii="宋体" w:hAnsi="宋体"/>
          <w:color w:val="auto"/>
          <w:sz w:val="30"/>
          <w:highlight w:val="none"/>
        </w:rPr>
        <w:t>四、开标</w:t>
      </w:r>
      <w:r>
        <w:rPr>
          <w:rFonts w:ascii="宋体" w:hAnsi="宋体"/>
          <w:color w:val="auto"/>
          <w:sz w:val="30"/>
          <w:highlight w:val="none"/>
        </w:rPr>
        <w:t xml:space="preserve">           ---------------------------------41</w:t>
      </w:r>
    </w:p>
    <w:p w14:paraId="72ECF488">
      <w:pPr>
        <w:spacing w:line="360" w:lineRule="auto"/>
        <w:rPr>
          <w:rFonts w:ascii="宋体" w:hAnsi="宋体"/>
          <w:color w:val="auto"/>
          <w:sz w:val="30"/>
          <w:highlight w:val="none"/>
        </w:rPr>
      </w:pPr>
      <w:r>
        <w:rPr>
          <w:rFonts w:hint="eastAsia" w:ascii="宋体" w:hAnsi="宋体"/>
          <w:color w:val="auto"/>
          <w:sz w:val="30"/>
          <w:highlight w:val="none"/>
        </w:rPr>
        <w:t>五、评标</w:t>
      </w:r>
      <w:r>
        <w:rPr>
          <w:rFonts w:ascii="宋体" w:hAnsi="宋体"/>
          <w:color w:val="auto"/>
          <w:sz w:val="30"/>
          <w:highlight w:val="none"/>
        </w:rPr>
        <w:t xml:space="preserve">           ---------------------------------42</w:t>
      </w:r>
    </w:p>
    <w:p w14:paraId="076E0144">
      <w:pPr>
        <w:spacing w:line="360" w:lineRule="auto"/>
        <w:rPr>
          <w:rFonts w:ascii="宋体" w:hAnsi="宋体"/>
          <w:color w:val="auto"/>
          <w:sz w:val="30"/>
          <w:highlight w:val="none"/>
        </w:rPr>
      </w:pPr>
      <w:r>
        <w:rPr>
          <w:rFonts w:hint="eastAsia" w:ascii="宋体" w:hAnsi="宋体"/>
          <w:color w:val="auto"/>
          <w:sz w:val="30"/>
          <w:highlight w:val="none"/>
        </w:rPr>
        <w:t>六、定标</w:t>
      </w:r>
      <w:r>
        <w:rPr>
          <w:rFonts w:ascii="宋体" w:hAnsi="宋体"/>
          <w:color w:val="auto"/>
          <w:sz w:val="30"/>
          <w:highlight w:val="none"/>
        </w:rPr>
        <w:t xml:space="preserve">           ---------------------------------44</w:t>
      </w:r>
    </w:p>
    <w:p w14:paraId="22334AEC">
      <w:pPr>
        <w:spacing w:line="360" w:lineRule="auto"/>
        <w:rPr>
          <w:rFonts w:ascii="宋体" w:hAnsi="宋体"/>
          <w:color w:val="auto"/>
          <w:sz w:val="30"/>
          <w:highlight w:val="none"/>
        </w:rPr>
      </w:pPr>
      <w:r>
        <w:rPr>
          <w:rFonts w:hint="eastAsia" w:ascii="宋体" w:hAnsi="宋体"/>
          <w:color w:val="auto"/>
          <w:sz w:val="30"/>
          <w:highlight w:val="none"/>
        </w:rPr>
        <w:t>七、合同授予</w:t>
      </w:r>
      <w:r>
        <w:rPr>
          <w:rFonts w:ascii="宋体" w:hAnsi="宋体"/>
          <w:color w:val="auto"/>
          <w:sz w:val="30"/>
          <w:highlight w:val="none"/>
        </w:rPr>
        <w:t xml:space="preserve">           -----------------------------45</w:t>
      </w:r>
    </w:p>
    <w:p w14:paraId="24CE0293">
      <w:pPr>
        <w:spacing w:line="360" w:lineRule="auto"/>
        <w:rPr>
          <w:rFonts w:ascii="宋体" w:hAnsi="宋体"/>
          <w:color w:val="auto"/>
          <w:sz w:val="30"/>
          <w:highlight w:val="none"/>
        </w:rPr>
      </w:pPr>
      <w:r>
        <w:rPr>
          <w:rFonts w:hint="eastAsia" w:ascii="宋体" w:hAnsi="宋体"/>
          <w:color w:val="auto"/>
          <w:sz w:val="30"/>
          <w:highlight w:val="none"/>
        </w:rPr>
        <w:t>第四章</w:t>
      </w:r>
      <w:r>
        <w:rPr>
          <w:rFonts w:ascii="宋体" w:hAnsi="宋体"/>
          <w:color w:val="auto"/>
          <w:sz w:val="30"/>
          <w:highlight w:val="none"/>
        </w:rPr>
        <w:tab/>
      </w:r>
      <w:r>
        <w:rPr>
          <w:rFonts w:ascii="宋体" w:hAnsi="宋体"/>
          <w:color w:val="auto"/>
          <w:sz w:val="30"/>
          <w:highlight w:val="none"/>
        </w:rPr>
        <w:t>评标办法及评分标准-------------------------46</w:t>
      </w:r>
    </w:p>
    <w:p w14:paraId="0E4575C8">
      <w:pPr>
        <w:spacing w:line="360" w:lineRule="auto"/>
        <w:rPr>
          <w:rFonts w:ascii="宋体" w:hAnsi="宋体"/>
          <w:color w:val="auto"/>
          <w:sz w:val="30"/>
          <w:highlight w:val="none"/>
        </w:rPr>
      </w:pPr>
      <w:r>
        <w:rPr>
          <w:rFonts w:hint="eastAsia" w:ascii="宋体" w:hAnsi="宋体"/>
          <w:color w:val="auto"/>
          <w:sz w:val="30"/>
          <w:highlight w:val="none"/>
        </w:rPr>
        <w:t>第五章</w:t>
      </w:r>
      <w:r>
        <w:rPr>
          <w:rFonts w:ascii="宋体" w:hAnsi="宋体"/>
          <w:color w:val="auto"/>
          <w:sz w:val="30"/>
          <w:highlight w:val="none"/>
        </w:rPr>
        <w:tab/>
      </w:r>
      <w:r>
        <w:rPr>
          <w:rFonts w:ascii="宋体" w:hAnsi="宋体"/>
          <w:color w:val="auto"/>
          <w:sz w:val="30"/>
          <w:highlight w:val="none"/>
        </w:rPr>
        <w:t>政府采购合同主要条款-----------------------50</w:t>
      </w:r>
    </w:p>
    <w:p w14:paraId="19C42BDC">
      <w:pPr>
        <w:spacing w:line="360" w:lineRule="auto"/>
        <w:rPr>
          <w:rFonts w:ascii="宋体" w:hAnsi="宋体"/>
          <w:color w:val="auto"/>
          <w:sz w:val="30"/>
          <w:highlight w:val="none"/>
        </w:rPr>
      </w:pPr>
      <w:r>
        <w:rPr>
          <w:rFonts w:hint="eastAsia" w:ascii="宋体" w:hAnsi="宋体"/>
          <w:color w:val="auto"/>
          <w:sz w:val="30"/>
          <w:highlight w:val="none"/>
        </w:rPr>
        <w:t>第六章</w:t>
      </w:r>
      <w:r>
        <w:rPr>
          <w:rFonts w:ascii="宋体" w:hAnsi="宋体"/>
          <w:color w:val="auto"/>
          <w:sz w:val="30"/>
          <w:highlight w:val="none"/>
        </w:rPr>
        <w:tab/>
      </w:r>
      <w:r>
        <w:rPr>
          <w:rFonts w:ascii="宋体" w:hAnsi="宋体"/>
          <w:color w:val="auto"/>
          <w:sz w:val="30"/>
          <w:highlight w:val="none"/>
        </w:rPr>
        <w:t>投标文件格式    ---------------------------29</w:t>
      </w:r>
    </w:p>
    <w:p w14:paraId="78701DF0">
      <w:pPr>
        <w:spacing w:line="360" w:lineRule="auto"/>
        <w:ind w:left="165"/>
        <w:rPr>
          <w:rFonts w:ascii="宋体" w:hAnsi="宋体"/>
          <w:color w:val="auto"/>
          <w:sz w:val="30"/>
          <w:highlight w:val="none"/>
        </w:rPr>
      </w:pPr>
    </w:p>
    <w:p w14:paraId="00396B57">
      <w:pPr>
        <w:rPr>
          <w:rFonts w:ascii="宋体" w:hAnsi="宋体"/>
          <w:color w:val="auto"/>
          <w:sz w:val="30"/>
          <w:highlight w:val="none"/>
        </w:rPr>
      </w:pPr>
    </w:p>
    <w:p w14:paraId="35D7927E">
      <w:pPr>
        <w:pStyle w:val="26"/>
        <w:numPr>
          <w:ilvl w:val="0"/>
          <w:numId w:val="2"/>
        </w:numPr>
        <w:snapToGrid w:val="0"/>
        <w:spacing w:beforeLines="0" w:afterLines="0" w:line="360" w:lineRule="auto"/>
        <w:jc w:val="center"/>
        <w:outlineLvl w:val="0"/>
        <w:rPr>
          <w:rFonts w:ascii="黑体" w:hAnsi="宋体" w:eastAsia="黑体"/>
          <w:color w:val="auto"/>
          <w:sz w:val="30"/>
          <w:szCs w:val="30"/>
          <w:highlight w:val="none"/>
        </w:rPr>
      </w:pPr>
      <w:r>
        <w:rPr>
          <w:rFonts w:hAnsi="宋体"/>
          <w:color w:val="auto"/>
          <w:highlight w:val="none"/>
        </w:rPr>
        <w:br w:type="page"/>
      </w:r>
      <w:r>
        <w:rPr>
          <w:rFonts w:hint="eastAsia" w:ascii="黑体" w:hAnsi="宋体" w:eastAsia="黑体"/>
          <w:color w:val="auto"/>
          <w:sz w:val="30"/>
          <w:szCs w:val="30"/>
          <w:highlight w:val="none"/>
        </w:rPr>
        <w:t>公开招标采购公告</w:t>
      </w:r>
    </w:p>
    <w:p w14:paraId="2A1BB3D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03CFB6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湖州南太湖新区市本级移交道路绿化养护补植项目（2025-2027年度）招标项目的潜在投标人应在浙江政府采购网（http://zfcg.czt.zj.gov.cn/)获取招标文件，并于2025年 月 日</w:t>
      </w:r>
      <w:r>
        <w:rPr>
          <w:rFonts w:hint="eastAsia" w:ascii="宋体" w:hAnsi="宋体" w:cs="仿宋"/>
          <w:color w:val="auto"/>
          <w:sz w:val="24"/>
          <w:highlight w:val="none"/>
        </w:rPr>
        <w:t>9点00分</w:t>
      </w:r>
      <w:r>
        <w:rPr>
          <w:rFonts w:hint="eastAsia" w:ascii="宋体" w:hAnsi="宋体"/>
          <w:color w:val="auto"/>
          <w:sz w:val="24"/>
          <w:highlight w:val="none"/>
        </w:rPr>
        <w:t>（北京时间）前递交投标文件。</w:t>
      </w:r>
    </w:p>
    <w:p w14:paraId="52A27D3A">
      <w:pPr>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一、项目基本情况</w:t>
      </w:r>
    </w:p>
    <w:p w14:paraId="3EAAEA9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项目编号：HYHZ2025-103（临[2025]2212号）</w:t>
      </w:r>
    </w:p>
    <w:p w14:paraId="270F19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采购需求：</w:t>
      </w:r>
    </w:p>
    <w:tbl>
      <w:tblPr>
        <w:tblStyle w:val="47"/>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992"/>
        <w:gridCol w:w="993"/>
        <w:gridCol w:w="2126"/>
        <w:gridCol w:w="2342"/>
      </w:tblGrid>
      <w:tr w14:paraId="22F1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5" w:type="dxa"/>
            <w:vAlign w:val="center"/>
          </w:tcPr>
          <w:p w14:paraId="1C05FAD5">
            <w:pPr>
              <w:spacing w:line="360" w:lineRule="auto"/>
              <w:rPr>
                <w:rFonts w:ascii="宋体" w:hAnsi="宋体" w:cs="仿宋"/>
                <w:color w:val="auto"/>
                <w:sz w:val="24"/>
                <w:highlight w:val="none"/>
              </w:rPr>
            </w:pPr>
            <w:bookmarkStart w:id="0" w:name="_Hlk193873768"/>
            <w:r>
              <w:rPr>
                <w:rFonts w:hint="eastAsia" w:ascii="宋体" w:hAnsi="宋体" w:cs="仿宋"/>
                <w:color w:val="auto"/>
                <w:sz w:val="24"/>
                <w:highlight w:val="none"/>
              </w:rPr>
              <w:t>序号</w:t>
            </w:r>
          </w:p>
        </w:tc>
        <w:tc>
          <w:tcPr>
            <w:tcW w:w="2977" w:type="dxa"/>
            <w:vAlign w:val="center"/>
          </w:tcPr>
          <w:p w14:paraId="2C7484F0">
            <w:pPr>
              <w:spacing w:line="360" w:lineRule="auto"/>
              <w:jc w:val="center"/>
              <w:rPr>
                <w:rFonts w:ascii="宋体" w:hAnsi="宋体" w:cs="仿宋"/>
                <w:color w:val="auto"/>
                <w:sz w:val="24"/>
                <w:highlight w:val="none"/>
              </w:rPr>
            </w:pPr>
            <w:r>
              <w:rPr>
                <w:rFonts w:hint="eastAsia" w:ascii="宋体" w:hAnsi="宋体" w:cs="仿宋"/>
                <w:color w:val="auto"/>
                <w:sz w:val="24"/>
                <w:highlight w:val="none"/>
              </w:rPr>
              <w:t>项目名称</w:t>
            </w:r>
          </w:p>
        </w:tc>
        <w:tc>
          <w:tcPr>
            <w:tcW w:w="992" w:type="dxa"/>
            <w:vAlign w:val="center"/>
          </w:tcPr>
          <w:p w14:paraId="0D1CB093">
            <w:pPr>
              <w:spacing w:line="360" w:lineRule="auto"/>
              <w:jc w:val="center"/>
              <w:rPr>
                <w:rFonts w:ascii="宋体" w:hAnsi="宋体" w:cs="仿宋"/>
                <w:color w:val="auto"/>
                <w:sz w:val="24"/>
                <w:highlight w:val="none"/>
              </w:rPr>
            </w:pPr>
            <w:r>
              <w:rPr>
                <w:rFonts w:hint="eastAsia" w:ascii="宋体" w:hAnsi="宋体" w:cs="仿宋"/>
                <w:color w:val="auto"/>
                <w:sz w:val="24"/>
                <w:highlight w:val="none"/>
              </w:rPr>
              <w:t>单位及数量</w:t>
            </w:r>
          </w:p>
        </w:tc>
        <w:tc>
          <w:tcPr>
            <w:tcW w:w="993" w:type="dxa"/>
            <w:vAlign w:val="center"/>
          </w:tcPr>
          <w:p w14:paraId="20AEB286">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服务期</w:t>
            </w:r>
          </w:p>
        </w:tc>
        <w:tc>
          <w:tcPr>
            <w:tcW w:w="2126" w:type="dxa"/>
            <w:vAlign w:val="center"/>
          </w:tcPr>
          <w:p w14:paraId="69037E37">
            <w:pPr>
              <w:spacing w:line="360" w:lineRule="auto"/>
              <w:ind w:firstLine="240" w:firstLineChars="100"/>
              <w:rPr>
                <w:rFonts w:ascii="宋体" w:hAnsi="宋体" w:cs="仿宋"/>
                <w:color w:val="auto"/>
                <w:sz w:val="24"/>
                <w:highlight w:val="none"/>
              </w:rPr>
            </w:pPr>
            <w:r>
              <w:rPr>
                <w:rFonts w:hint="eastAsia" w:ascii="宋体" w:hAnsi="宋体"/>
                <w:color w:val="auto"/>
                <w:sz w:val="24"/>
                <w:highlight w:val="none"/>
              </w:rPr>
              <w:t>预算金额</w:t>
            </w:r>
          </w:p>
        </w:tc>
        <w:tc>
          <w:tcPr>
            <w:tcW w:w="2342" w:type="dxa"/>
            <w:vAlign w:val="center"/>
          </w:tcPr>
          <w:p w14:paraId="460E0562">
            <w:pPr>
              <w:spacing w:line="360" w:lineRule="auto"/>
              <w:jc w:val="center"/>
              <w:rPr>
                <w:rFonts w:ascii="宋体" w:hAnsi="宋体"/>
                <w:color w:val="auto"/>
                <w:sz w:val="24"/>
                <w:highlight w:val="none"/>
              </w:rPr>
            </w:pPr>
            <w:r>
              <w:rPr>
                <w:rFonts w:hint="eastAsia" w:ascii="宋体" w:hAnsi="宋体"/>
                <w:color w:val="auto"/>
                <w:sz w:val="24"/>
                <w:highlight w:val="none"/>
              </w:rPr>
              <w:t>最高限价</w:t>
            </w:r>
          </w:p>
        </w:tc>
      </w:tr>
      <w:bookmarkEnd w:id="0"/>
      <w:tr w14:paraId="39F9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5" w:type="dxa"/>
            <w:vAlign w:val="center"/>
          </w:tcPr>
          <w:p w14:paraId="1E642707">
            <w:pPr>
              <w:spacing w:line="360" w:lineRule="auto"/>
              <w:rPr>
                <w:rFonts w:ascii="宋体" w:hAnsi="宋体" w:cs="仿宋"/>
                <w:color w:val="auto"/>
                <w:sz w:val="24"/>
                <w:highlight w:val="none"/>
              </w:rPr>
            </w:pPr>
            <w:bookmarkStart w:id="1" w:name="_Hlk193283865"/>
            <w:r>
              <w:rPr>
                <w:rFonts w:hint="eastAsia" w:ascii="宋体" w:hAnsi="宋体" w:cs="仿宋"/>
                <w:color w:val="auto"/>
                <w:sz w:val="24"/>
                <w:highlight w:val="none"/>
              </w:rPr>
              <w:t>1</w:t>
            </w:r>
          </w:p>
        </w:tc>
        <w:tc>
          <w:tcPr>
            <w:tcW w:w="2977" w:type="dxa"/>
            <w:vAlign w:val="center"/>
          </w:tcPr>
          <w:p w14:paraId="033A0BC4">
            <w:pPr>
              <w:spacing w:line="360" w:lineRule="auto"/>
              <w:rPr>
                <w:rFonts w:ascii="宋体" w:hAnsi="宋体"/>
                <w:color w:val="auto"/>
                <w:sz w:val="24"/>
                <w:highlight w:val="none"/>
              </w:rPr>
            </w:pPr>
            <w:r>
              <w:rPr>
                <w:rFonts w:hint="eastAsia" w:ascii="宋体" w:hAnsi="宋体"/>
                <w:color w:val="auto"/>
                <w:sz w:val="24"/>
                <w:highlight w:val="none"/>
              </w:rPr>
              <w:t>湖州南太湖新区市本级移交道路绿化养护补植项目（2025-2027年度）</w:t>
            </w:r>
          </w:p>
        </w:tc>
        <w:tc>
          <w:tcPr>
            <w:tcW w:w="992" w:type="dxa"/>
            <w:vAlign w:val="center"/>
          </w:tcPr>
          <w:p w14:paraId="64E217F9">
            <w:pPr>
              <w:spacing w:line="360" w:lineRule="auto"/>
              <w:jc w:val="center"/>
              <w:rPr>
                <w:rFonts w:ascii="宋体" w:hAnsi="宋体"/>
                <w:color w:val="auto"/>
                <w:sz w:val="24"/>
                <w:highlight w:val="none"/>
              </w:rPr>
            </w:pPr>
            <w:r>
              <w:rPr>
                <w:rFonts w:hint="eastAsia" w:ascii="宋体" w:hAnsi="宋体"/>
                <w:color w:val="auto"/>
                <w:sz w:val="24"/>
                <w:highlight w:val="none"/>
              </w:rPr>
              <w:t>1项</w:t>
            </w:r>
          </w:p>
        </w:tc>
        <w:tc>
          <w:tcPr>
            <w:tcW w:w="993" w:type="dxa"/>
            <w:vAlign w:val="center"/>
          </w:tcPr>
          <w:p w14:paraId="50BE8705">
            <w:pPr>
              <w:spacing w:line="360" w:lineRule="auto"/>
              <w:jc w:val="center"/>
              <w:rPr>
                <w:rFonts w:ascii="宋体" w:hAnsi="宋体"/>
                <w:color w:val="auto"/>
                <w:sz w:val="24"/>
                <w:highlight w:val="none"/>
              </w:rPr>
            </w:pPr>
            <w:r>
              <w:rPr>
                <w:rFonts w:hint="eastAsia" w:ascii="宋体" w:hAnsi="宋体"/>
                <w:color w:val="auto"/>
                <w:sz w:val="24"/>
                <w:highlight w:val="none"/>
              </w:rPr>
              <w:t>3年</w:t>
            </w:r>
          </w:p>
        </w:tc>
        <w:tc>
          <w:tcPr>
            <w:tcW w:w="2126" w:type="dxa"/>
            <w:vAlign w:val="center"/>
          </w:tcPr>
          <w:p w14:paraId="384EBA4F">
            <w:pPr>
              <w:spacing w:line="360" w:lineRule="auto"/>
              <w:jc w:val="center"/>
              <w:rPr>
                <w:color w:val="auto"/>
                <w:highlight w:val="none"/>
              </w:rPr>
            </w:pPr>
            <w:r>
              <w:rPr>
                <w:rFonts w:hint="eastAsia" w:ascii="宋体" w:hAnsi="宋体"/>
                <w:color w:val="auto"/>
                <w:sz w:val="24"/>
                <w:highlight w:val="none"/>
              </w:rPr>
              <w:t>人民币427.5万元（142.5万元/年）</w:t>
            </w:r>
          </w:p>
        </w:tc>
        <w:tc>
          <w:tcPr>
            <w:tcW w:w="2342" w:type="dxa"/>
            <w:vAlign w:val="center"/>
          </w:tcPr>
          <w:p w14:paraId="3F4E4D54">
            <w:pPr>
              <w:spacing w:line="360" w:lineRule="auto"/>
              <w:jc w:val="center"/>
              <w:rPr>
                <w:rFonts w:ascii="宋体" w:hAnsi="宋体"/>
                <w:color w:val="auto"/>
                <w:sz w:val="24"/>
                <w:highlight w:val="none"/>
              </w:rPr>
            </w:pPr>
            <w:bookmarkStart w:id="2" w:name="OLE_LINK17"/>
            <w:r>
              <w:rPr>
                <w:rFonts w:hint="eastAsia" w:ascii="宋体" w:hAnsi="宋体"/>
                <w:color w:val="auto"/>
                <w:sz w:val="24"/>
                <w:highlight w:val="none"/>
              </w:rPr>
              <w:t>人民币</w:t>
            </w:r>
            <w:bookmarkEnd w:id="2"/>
            <w:r>
              <w:rPr>
                <w:rFonts w:hint="eastAsia" w:ascii="宋体" w:hAnsi="宋体"/>
                <w:color w:val="auto"/>
                <w:sz w:val="24"/>
                <w:highlight w:val="none"/>
              </w:rPr>
              <w:t>427.5万元（142.5万元/年）</w:t>
            </w:r>
          </w:p>
        </w:tc>
      </w:tr>
      <w:bookmarkEnd w:id="1"/>
      <w:tr w14:paraId="24F4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105" w:type="dxa"/>
            <w:gridSpan w:val="6"/>
            <w:vAlign w:val="center"/>
          </w:tcPr>
          <w:p w14:paraId="09E082FF">
            <w:pPr>
              <w:spacing w:line="360" w:lineRule="auto"/>
              <w:rPr>
                <w:rFonts w:ascii="宋体" w:hAnsi="宋体"/>
                <w:color w:val="auto"/>
                <w:sz w:val="24"/>
                <w:highlight w:val="none"/>
              </w:rPr>
            </w:pPr>
            <w:r>
              <w:rPr>
                <w:rFonts w:hint="eastAsia"/>
                <w:color w:val="auto"/>
                <w:sz w:val="24"/>
                <w:szCs w:val="24"/>
                <w:highlight w:val="none"/>
              </w:rPr>
              <w:t>▲</w:t>
            </w:r>
            <w:r>
              <w:rPr>
                <w:rFonts w:hint="eastAsia" w:ascii="宋体" w:hAnsi="宋体"/>
                <w:color w:val="auto"/>
                <w:sz w:val="24"/>
                <w:highlight w:val="none"/>
              </w:rPr>
              <w:t>注：1、绿化养护面积约23.061万平方米；绿化养护单价最高限价为4.87元/m2/年；养护费：112.5万元/年。</w:t>
            </w:r>
          </w:p>
          <w:p w14:paraId="1E065EA4">
            <w:pPr>
              <w:spacing w:line="360" w:lineRule="auto"/>
              <w:rPr>
                <w:rFonts w:ascii="宋体" w:hAnsi="宋体"/>
                <w:color w:val="auto"/>
                <w:sz w:val="24"/>
                <w:highlight w:val="none"/>
              </w:rPr>
            </w:pPr>
            <w:r>
              <w:rPr>
                <w:rFonts w:hint="eastAsia" w:ascii="宋体" w:hAnsi="宋体"/>
                <w:color w:val="auto"/>
                <w:sz w:val="24"/>
                <w:highlight w:val="none"/>
              </w:rPr>
              <w:t>2、绿化补植（含草花）单价最高限价为审计单位审定价格的95%。补植费：约30万元/年</w:t>
            </w:r>
          </w:p>
          <w:p w14:paraId="19DBEBDE">
            <w:pPr>
              <w:spacing w:line="360" w:lineRule="auto"/>
              <w:rPr>
                <w:rFonts w:ascii="宋体" w:hAnsi="宋体"/>
                <w:color w:val="auto"/>
                <w:sz w:val="24"/>
                <w:highlight w:val="none"/>
              </w:rPr>
            </w:pPr>
            <w:r>
              <w:rPr>
                <w:rFonts w:hint="eastAsia" w:ascii="宋体" w:hAnsi="宋体"/>
                <w:color w:val="auto"/>
                <w:sz w:val="24"/>
                <w:highlight w:val="none"/>
              </w:rPr>
              <w:t>3、绿化养护为单价报价，绿化补植为折扣报价，投标报价及投标报价组成超最高限价均作无效标处理。</w:t>
            </w:r>
          </w:p>
        </w:tc>
      </w:tr>
    </w:tbl>
    <w:p w14:paraId="25BFDD2B">
      <w:pPr>
        <w:spacing w:line="360" w:lineRule="auto"/>
        <w:ind w:firstLine="480" w:firstLineChars="200"/>
        <w:rPr>
          <w:rFonts w:ascii="宋体" w:hAnsi="宋体" w:cs="仿宋"/>
          <w:color w:val="auto"/>
          <w:sz w:val="24"/>
          <w:highlight w:val="none"/>
        </w:rPr>
      </w:pPr>
      <w:r>
        <w:rPr>
          <w:rFonts w:hint="eastAsia" w:ascii="宋体" w:hAnsi="宋体"/>
          <w:color w:val="auto"/>
          <w:sz w:val="24"/>
          <w:highlight w:val="none"/>
        </w:rPr>
        <w:t>详</w:t>
      </w:r>
      <w:r>
        <w:rPr>
          <w:rFonts w:hint="eastAsia" w:ascii="宋体" w:hAnsi="宋体" w:cs="仿宋"/>
          <w:color w:val="auto"/>
          <w:sz w:val="24"/>
          <w:highlight w:val="none"/>
        </w:rPr>
        <w:t>见招标文件第二章采购需求</w:t>
      </w:r>
    </w:p>
    <w:p w14:paraId="4C947763">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本项目（否）接受联合体投标。 </w:t>
      </w:r>
    </w:p>
    <w:p w14:paraId="76B4F6B7">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二、申请人的资格要求：</w:t>
      </w:r>
    </w:p>
    <w:p w14:paraId="1769BDF3">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592979C">
      <w:pPr>
        <w:snapToGrid w:val="0"/>
        <w:spacing w:line="360" w:lineRule="auto"/>
        <w:ind w:firstLine="470" w:firstLineChars="196"/>
        <w:rPr>
          <w:rFonts w:ascii="宋体" w:hAnsi="宋体"/>
          <w:bCs/>
          <w:color w:val="auto"/>
          <w:sz w:val="24"/>
          <w:highlight w:val="none"/>
        </w:rPr>
      </w:pPr>
      <w:r>
        <w:rPr>
          <w:rFonts w:hint="eastAsia" w:ascii="宋体" w:hAnsi="宋体" w:cs="仿宋"/>
          <w:color w:val="auto"/>
          <w:sz w:val="24"/>
          <w:highlight w:val="none"/>
        </w:rPr>
        <w:t>2.落实政府采购政策需满足的资格要求：本项目专门面向中小企业采购，供应商需提</w:t>
      </w:r>
      <w:r>
        <w:rPr>
          <w:rFonts w:hint="eastAsia" w:ascii="宋体" w:hAnsi="宋体"/>
          <w:bCs/>
          <w:color w:val="auto"/>
          <w:sz w:val="24"/>
          <w:highlight w:val="none"/>
        </w:rPr>
        <w:t>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716D1070">
      <w:pPr>
        <w:snapToGrid w:val="0"/>
        <w:spacing w:line="360" w:lineRule="auto"/>
        <w:ind w:firstLine="480" w:firstLineChars="200"/>
        <w:rPr>
          <w:rFonts w:ascii="宋体" w:hAnsi="宋体"/>
          <w:bCs/>
          <w:color w:val="auto"/>
          <w:sz w:val="24"/>
          <w:highlight w:val="none"/>
        </w:rPr>
      </w:pPr>
      <w:r>
        <w:rPr>
          <w:rFonts w:ascii="宋体" w:hAnsi="宋体"/>
          <w:bCs/>
          <w:color w:val="auto"/>
          <w:sz w:val="24"/>
          <w:highlight w:val="none"/>
        </w:rPr>
        <w:t>本项目采购标的对应的中小企业划分标准所属行业为：</w:t>
      </w:r>
      <w:r>
        <w:rPr>
          <w:rFonts w:hint="eastAsia" w:ascii="宋体" w:hAnsi="宋体"/>
          <w:bCs/>
          <w:color w:val="auto"/>
          <w:sz w:val="24"/>
          <w:highlight w:val="none"/>
        </w:rPr>
        <w:t>其他未列明行业。</w:t>
      </w:r>
    </w:p>
    <w:p w14:paraId="001C7C0C">
      <w:pPr>
        <w:spacing w:line="360" w:lineRule="auto"/>
        <w:ind w:firstLine="480" w:firstLineChars="200"/>
        <w:rPr>
          <w:rFonts w:ascii="宋体" w:hAnsi="宋体" w:cs="仿宋"/>
          <w:color w:val="auto"/>
          <w:sz w:val="24"/>
          <w:highlight w:val="none"/>
        </w:rPr>
      </w:pPr>
      <w:r>
        <w:rPr>
          <w:rFonts w:hint="eastAsia"/>
          <w:color w:val="auto"/>
          <w:sz w:val="24"/>
          <w:szCs w:val="24"/>
          <w:highlight w:val="none"/>
        </w:rPr>
        <w:t>▲</w:t>
      </w:r>
      <w:r>
        <w:rPr>
          <w:rFonts w:hint="eastAsia" w:ascii="宋体" w:hAnsi="宋体" w:cs="仿宋"/>
          <w:color w:val="auto"/>
          <w:sz w:val="24"/>
          <w:highlight w:val="none"/>
        </w:rPr>
        <w:t>3.本项目的特定资格要求：无</w:t>
      </w:r>
    </w:p>
    <w:p w14:paraId="5FCF8670">
      <w:pPr>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三、获取招标文件：</w:t>
      </w:r>
    </w:p>
    <w:p w14:paraId="37656BBA">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时间：2025年 月 日至2025年 月 日，每天上午00:00至12:00，下午12:00至23:59</w:t>
      </w:r>
    </w:p>
    <w:p w14:paraId="48E29C28">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388D7F5A">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方式：本次招标文件实行网上获取，不接受供应商现场报名。</w:t>
      </w:r>
    </w:p>
    <w:p w14:paraId="275B6ADA">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售价：0</w:t>
      </w:r>
    </w:p>
    <w:p w14:paraId="791EE7C9">
      <w:pPr>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四、提交投标文件截止时间、开标时间和地点：</w:t>
      </w:r>
    </w:p>
    <w:p w14:paraId="31AF0BDF">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2025年 月 日9点00分</w:t>
      </w:r>
      <w:r>
        <w:rPr>
          <w:rFonts w:hint="eastAsia" w:ascii="宋体" w:hAnsi="宋体"/>
          <w:color w:val="auto"/>
          <w:sz w:val="24"/>
          <w:highlight w:val="none"/>
        </w:rPr>
        <w:t>（北京时间）</w:t>
      </w:r>
    </w:p>
    <w:p w14:paraId="23673B9C">
      <w:pPr>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地点：浙江省湖州市公共资源交易中心二楼开标室（湖州市仁皇山片区金盖山路</w:t>
      </w:r>
      <w:r>
        <w:rPr>
          <w:rFonts w:ascii="宋体" w:hAnsi="宋体" w:cs="仿宋"/>
          <w:color w:val="auto"/>
          <w:sz w:val="24"/>
          <w:highlight w:val="none"/>
        </w:rPr>
        <w:t>66</w:t>
      </w:r>
      <w:r>
        <w:rPr>
          <w:rFonts w:hint="eastAsia" w:ascii="宋体" w:hAnsi="宋体" w:cs="仿宋"/>
          <w:color w:val="auto"/>
          <w:sz w:val="24"/>
          <w:highlight w:val="none"/>
        </w:rPr>
        <w:t>号</w:t>
      </w:r>
      <w:r>
        <w:rPr>
          <w:rFonts w:ascii="宋体" w:hAnsi="宋体" w:cs="仿宋"/>
          <w:color w:val="auto"/>
          <w:sz w:val="24"/>
          <w:highlight w:val="none"/>
        </w:rPr>
        <w:t>2</w:t>
      </w:r>
      <w:r>
        <w:rPr>
          <w:rFonts w:hint="eastAsia" w:ascii="宋体" w:hAnsi="宋体" w:cs="仿宋"/>
          <w:color w:val="auto"/>
          <w:sz w:val="24"/>
          <w:highlight w:val="none"/>
        </w:rPr>
        <w:t>号楼）(通过“政府采购云平台（http://www.zcygov.cn）”实行在线投标及开标)</w:t>
      </w:r>
    </w:p>
    <w:p w14:paraId="4A66A218">
      <w:pPr>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五、公告期限</w:t>
      </w:r>
    </w:p>
    <w:p w14:paraId="5E654510">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自本公告发布之日起5个工作日。</w:t>
      </w:r>
    </w:p>
    <w:p w14:paraId="6E17688D">
      <w:pPr>
        <w:spacing w:line="360" w:lineRule="auto"/>
        <w:rPr>
          <w:rFonts w:ascii="宋体" w:hAnsi="宋体" w:cs="仿宋"/>
          <w:b/>
          <w:color w:val="auto"/>
          <w:sz w:val="24"/>
          <w:highlight w:val="none"/>
        </w:rPr>
      </w:pPr>
      <w:r>
        <w:rPr>
          <w:rFonts w:hint="eastAsia" w:ascii="宋体" w:hAnsi="宋体" w:cs="仿宋"/>
          <w:b/>
          <w:color w:val="auto"/>
          <w:kern w:val="0"/>
          <w:sz w:val="24"/>
          <w:highlight w:val="none"/>
        </w:rPr>
        <w:t>六、</w:t>
      </w:r>
      <w:r>
        <w:rPr>
          <w:rFonts w:hint="eastAsia" w:ascii="宋体" w:hAnsi="宋体" w:cs="仿宋"/>
          <w:b/>
          <w:color w:val="auto"/>
          <w:sz w:val="24"/>
          <w:highlight w:val="none"/>
        </w:rPr>
        <w:t>其他补充事宜</w:t>
      </w:r>
    </w:p>
    <w:p w14:paraId="1312DF17">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051E31">
      <w:pPr>
        <w:spacing w:line="360" w:lineRule="auto"/>
        <w:ind w:firstLine="360" w:firstLineChars="150"/>
        <w:rPr>
          <w:rFonts w:ascii="宋体" w:hAnsi="宋体" w:cs="仿宋"/>
          <w:color w:val="auto"/>
          <w:kern w:val="0"/>
          <w:sz w:val="24"/>
          <w:highlight w:val="none"/>
        </w:rPr>
      </w:pPr>
      <w:r>
        <w:rPr>
          <w:rFonts w:hint="eastAsia" w:ascii="宋体" w:hAnsi="宋体" w:cs="仿宋"/>
          <w:color w:val="auto"/>
          <w:sz w:val="24"/>
          <w:highlight w:val="none"/>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1D64176B">
      <w:pPr>
        <w:spacing w:line="360" w:lineRule="auto"/>
        <w:ind w:firstLine="360" w:firstLineChars="150"/>
        <w:rPr>
          <w:rFonts w:ascii="宋体" w:hAnsi="宋体" w:cs="仿宋"/>
          <w:color w:val="auto"/>
          <w:kern w:val="0"/>
          <w:sz w:val="24"/>
          <w:highlight w:val="none"/>
        </w:rPr>
      </w:pPr>
      <w:r>
        <w:rPr>
          <w:rFonts w:hint="eastAsia" w:ascii="宋体" w:hAnsi="宋体" w:cs="仿宋"/>
          <w:color w:val="auto"/>
          <w:sz w:val="24"/>
          <w:highlight w:val="none"/>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23E320A4">
      <w:pPr>
        <w:spacing w:line="360" w:lineRule="auto"/>
        <w:ind w:firstLine="360" w:firstLineChars="150"/>
        <w:rPr>
          <w:rFonts w:ascii="宋体" w:hAnsi="宋体" w:cs="仿宋"/>
          <w:color w:val="auto"/>
          <w:kern w:val="0"/>
          <w:sz w:val="24"/>
          <w:highlight w:val="none"/>
        </w:rPr>
      </w:pPr>
      <w:r>
        <w:rPr>
          <w:rFonts w:hint="eastAsia" w:ascii="宋体" w:hAnsi="宋体" w:cs="仿宋"/>
          <w:color w:val="auto"/>
          <w:sz w:val="24"/>
          <w:highlight w:val="none"/>
        </w:rPr>
        <w:t>4、答疑内容是招标文件的组成部分，并将在网上发布补充（答疑、澄清）文件，潜在供应商应自行关注网站公告，采购人不再一一通知，供应商因自身贻误行为导致投标失效的，责任自负。</w:t>
      </w:r>
    </w:p>
    <w:p w14:paraId="5B67F2F7">
      <w:pPr>
        <w:spacing w:line="360" w:lineRule="auto"/>
        <w:ind w:firstLine="360" w:firstLineChars="150"/>
        <w:rPr>
          <w:rFonts w:ascii="宋体" w:hAnsi="宋体" w:cs="仿宋"/>
          <w:color w:val="auto"/>
          <w:sz w:val="24"/>
          <w:highlight w:val="none"/>
        </w:rPr>
      </w:pPr>
      <w:r>
        <w:rPr>
          <w:rFonts w:hint="eastAsia" w:ascii="宋体" w:hAnsi="宋体" w:cs="仿宋"/>
          <w:color w:val="auto"/>
          <w:sz w:val="24"/>
          <w:highlight w:val="none"/>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DE0E132">
      <w:pPr>
        <w:spacing w:line="360" w:lineRule="auto"/>
        <w:ind w:firstLine="360" w:firstLineChars="150"/>
        <w:rPr>
          <w:rFonts w:ascii="宋体" w:hAnsi="宋体" w:cs="Arial"/>
          <w:b/>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、根据《政府采购促进中小企业发展管理办法》，本项目是否专门面向中小企业采购：</w:t>
      </w:r>
      <w:r>
        <w:rPr>
          <w:rFonts w:hint="eastAsia" w:ascii="宋体" w:hAnsi="宋体" w:cs="宋体"/>
          <w:color w:val="auto"/>
          <w:sz w:val="24"/>
          <w:highlight w:val="none"/>
        </w:rPr>
        <w:t>是</w:t>
      </w:r>
      <w:r>
        <w:rPr>
          <w:rFonts w:hint="eastAsia" w:ascii="宋体" w:hAnsi="宋体" w:cs="宋体"/>
          <w:color w:val="auto"/>
          <w:kern w:val="0"/>
          <w:sz w:val="24"/>
          <w:highlight w:val="none"/>
        </w:rPr>
        <w:t>。</w:t>
      </w:r>
    </w:p>
    <w:p w14:paraId="772C117A">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7、本项目公告发布网站：浙江政府采购网：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58"/>
          <w:rFonts w:hint="eastAsia" w:hAnsi="宋体" w:cs="仿宋"/>
          <w:color w:val="auto"/>
          <w:highlight w:val="none"/>
        </w:rPr>
        <w:t>http://zfcg.czt.zj.gov.cn/</w:t>
      </w:r>
      <w:r>
        <w:rPr>
          <w:rStyle w:val="58"/>
          <w:rFonts w:hint="eastAsia" w:hAnsi="宋体" w:cs="仿宋"/>
          <w:color w:val="auto"/>
          <w:highlight w:val="none"/>
        </w:rPr>
        <w:fldChar w:fldCharType="end"/>
      </w:r>
      <w:r>
        <w:rPr>
          <w:rFonts w:hint="eastAsia"/>
          <w:color w:val="auto"/>
          <w:highlight w:val="none"/>
        </w:rPr>
        <w:t>，</w:t>
      </w:r>
      <w:r>
        <w:rPr>
          <w:rFonts w:hint="eastAsia" w:ascii="宋体" w:hAnsi="宋体" w:cs="仿宋"/>
          <w:color w:val="auto"/>
          <w:sz w:val="24"/>
          <w:highlight w:val="none"/>
        </w:rPr>
        <w:t>湖州市公共资源交易信息网：http://ggzy.huzhou.gov.cn/hzfront/-“政府采购”-“分散采购”模块</w:t>
      </w:r>
    </w:p>
    <w:p w14:paraId="70A77F1C">
      <w:pPr>
        <w:spacing w:line="360" w:lineRule="auto"/>
        <w:ind w:firstLine="360" w:firstLineChars="150"/>
        <w:rPr>
          <w:rFonts w:ascii="宋体" w:hAnsi="宋体" w:cs="仿宋"/>
          <w:color w:val="auto"/>
          <w:kern w:val="0"/>
          <w:sz w:val="24"/>
          <w:highlight w:val="none"/>
        </w:rPr>
      </w:pPr>
      <w:r>
        <w:rPr>
          <w:rFonts w:hint="eastAsia" w:ascii="宋体" w:hAnsi="宋体" w:cs="仿宋"/>
          <w:color w:val="auto"/>
          <w:sz w:val="24"/>
          <w:highlight w:val="none"/>
        </w:rPr>
        <w:t>8、投标事项：（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64C456DF">
      <w:pPr>
        <w:spacing w:line="360" w:lineRule="auto"/>
        <w:rPr>
          <w:rFonts w:ascii="宋体" w:hAnsi="宋体" w:cs="仿宋"/>
          <w:color w:val="auto"/>
          <w:sz w:val="24"/>
          <w:highlight w:val="none"/>
        </w:rPr>
      </w:pPr>
      <w:r>
        <w:rPr>
          <w:rFonts w:hint="eastAsia" w:ascii="宋体" w:hAnsi="宋体" w:cs="仿宋"/>
          <w:color w:val="auto"/>
          <w:sz w:val="24"/>
          <w:highlight w:val="none"/>
        </w:rPr>
        <w:t>（2）参与政府采购项目的注册供应商，需登录浙江政府采购云平台（http://www.zcygov.cn）进行网上报名，尚未注册的供应商应当先在浙江政府采购云平台上申请注册。</w:t>
      </w:r>
    </w:p>
    <w:p w14:paraId="5B459309">
      <w:pPr>
        <w:spacing w:line="360" w:lineRule="auto"/>
        <w:rPr>
          <w:rFonts w:ascii="宋体" w:hAnsi="宋体" w:cs="仿宋"/>
          <w:color w:val="auto"/>
          <w:kern w:val="0"/>
          <w:sz w:val="24"/>
          <w:highlight w:val="none"/>
        </w:rPr>
      </w:pPr>
      <w:r>
        <w:rPr>
          <w:rFonts w:hint="eastAsia" w:ascii="宋体" w:hAnsi="宋体" w:cs="仿宋"/>
          <w:color w:val="auto"/>
          <w:sz w:val="24"/>
          <w:highlight w:val="none"/>
        </w:rPr>
        <w:t>（3）政府采购项目电子交易操作指南：</w:t>
      </w:r>
      <w:r>
        <w:rPr>
          <w:color w:val="auto"/>
          <w:highlight w:val="none"/>
        </w:rPr>
        <w:t>https://service.zcygov.cn/#/knowledges/CW1EtGwBFdiHxlNd6I3m/6IMVAG0BFdiHxlNdQ8Na</w:t>
      </w:r>
    </w:p>
    <w:p w14:paraId="17269AF0">
      <w:pPr>
        <w:spacing w:line="360" w:lineRule="auto"/>
        <w:rPr>
          <w:rFonts w:ascii="宋体" w:hAnsi="宋体" w:cs="仿宋"/>
          <w:color w:val="auto"/>
          <w:kern w:val="0"/>
          <w:sz w:val="24"/>
          <w:highlight w:val="none"/>
        </w:rPr>
      </w:pPr>
      <w:r>
        <w:rPr>
          <w:rFonts w:hint="eastAsia" w:ascii="宋体" w:hAnsi="宋体" w:cs="仿宋"/>
          <w:color w:val="auto"/>
          <w:sz w:val="24"/>
          <w:highlight w:val="none"/>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3F12946C">
      <w:pPr>
        <w:spacing w:line="360" w:lineRule="auto"/>
        <w:rPr>
          <w:rFonts w:ascii="宋体" w:hAnsi="宋体" w:cs="仿宋"/>
          <w:color w:val="auto"/>
          <w:sz w:val="24"/>
          <w:highlight w:val="none"/>
        </w:rPr>
      </w:pPr>
      <w:r>
        <w:rPr>
          <w:rFonts w:hint="eastAsia" w:ascii="宋体" w:hAnsi="宋体" w:cs="仿宋"/>
          <w:color w:val="auto"/>
          <w:sz w:val="24"/>
          <w:highlight w:val="none"/>
        </w:rPr>
        <w:t>（5）投标供应商应当在投标截止时间前，将生成的“电子加密投标文件”上传递交至“政府采购云平台”。投标截止时间以后上传递交的投标文件将被“政府采购云平台”拒收。</w:t>
      </w:r>
    </w:p>
    <w:p w14:paraId="46D4C5A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（6）备</w:t>
      </w:r>
      <w:r>
        <w:rPr>
          <w:rFonts w:hint="eastAsia" w:ascii="宋体" w:hAnsi="宋体"/>
          <w:color w:val="auto"/>
          <w:sz w:val="24"/>
          <w:highlight w:val="none"/>
        </w:rPr>
        <w:t>份</w:t>
      </w:r>
      <w:r>
        <w:rPr>
          <w:rFonts w:hint="eastAsia" w:ascii="宋体" w:hAnsi="宋体" w:cs="宋体"/>
          <w:color w:val="auto"/>
          <w:kern w:val="0"/>
          <w:sz w:val="24"/>
          <w:highlight w:val="none"/>
        </w:rPr>
        <w:t>投标文件</w:t>
      </w:r>
      <w:r>
        <w:rPr>
          <w:rFonts w:hint="eastAsia" w:ascii="宋体" w:hAnsi="宋体"/>
          <w:color w:val="auto"/>
          <w:sz w:val="24"/>
          <w:highlight w:val="none"/>
        </w:rPr>
        <w:t>：根据“浙江省政府采购项目电子交易管理暂行办法”第二十条规定，本次招标允许供应商递交备份</w:t>
      </w:r>
      <w:r>
        <w:rPr>
          <w:rFonts w:hint="eastAsia" w:ascii="宋体" w:hAnsi="宋体" w:cs="宋体"/>
          <w:color w:val="auto"/>
          <w:kern w:val="0"/>
          <w:sz w:val="24"/>
          <w:highlight w:val="none"/>
        </w:rPr>
        <w:t>投标文件</w:t>
      </w:r>
      <w:r>
        <w:rPr>
          <w:rFonts w:hint="eastAsia" w:ascii="宋体" w:hAnsi="宋体"/>
          <w:color w:val="auto"/>
          <w:sz w:val="24"/>
          <w:highlight w:val="none"/>
        </w:rPr>
        <w:t>，仅提交备份</w:t>
      </w:r>
      <w:r>
        <w:rPr>
          <w:rFonts w:hint="eastAsia" w:ascii="宋体" w:hAnsi="宋体" w:cs="宋体"/>
          <w:color w:val="auto"/>
          <w:kern w:val="0"/>
          <w:sz w:val="24"/>
          <w:highlight w:val="none"/>
        </w:rPr>
        <w:t>投标文件</w:t>
      </w:r>
      <w:r>
        <w:rPr>
          <w:rFonts w:hint="eastAsia" w:ascii="宋体" w:hAnsi="宋体"/>
          <w:color w:val="auto"/>
          <w:sz w:val="24"/>
          <w:highlight w:val="none"/>
        </w:rPr>
        <w:t>的，</w:t>
      </w:r>
      <w:r>
        <w:rPr>
          <w:rFonts w:hint="eastAsia" w:ascii="宋体" w:hAnsi="宋体" w:cs="宋体"/>
          <w:color w:val="auto"/>
          <w:kern w:val="0"/>
          <w:sz w:val="24"/>
          <w:highlight w:val="none"/>
        </w:rPr>
        <w:t>投标</w:t>
      </w:r>
      <w:r>
        <w:rPr>
          <w:rFonts w:hint="eastAsia" w:ascii="宋体" w:hAnsi="宋体"/>
          <w:color w:val="auto"/>
          <w:sz w:val="24"/>
          <w:highlight w:val="none"/>
        </w:rPr>
        <w:t>无效。本项目不强制要求供应商提交备份</w:t>
      </w:r>
      <w:r>
        <w:rPr>
          <w:rFonts w:hint="eastAsia" w:ascii="宋体" w:hAnsi="宋体" w:cs="宋体"/>
          <w:color w:val="auto"/>
          <w:kern w:val="0"/>
          <w:sz w:val="24"/>
          <w:highlight w:val="none"/>
        </w:rPr>
        <w:t>投标文件</w:t>
      </w:r>
      <w:r>
        <w:rPr>
          <w:rFonts w:hint="eastAsia" w:ascii="宋体" w:hAnsi="宋体"/>
          <w:color w:val="auto"/>
          <w:sz w:val="24"/>
          <w:highlight w:val="none"/>
        </w:rPr>
        <w:t>，但由于未提交备份</w:t>
      </w:r>
      <w:r>
        <w:rPr>
          <w:rFonts w:hint="eastAsia" w:ascii="宋体" w:hAnsi="宋体" w:cs="宋体"/>
          <w:color w:val="auto"/>
          <w:kern w:val="0"/>
          <w:sz w:val="24"/>
          <w:highlight w:val="none"/>
        </w:rPr>
        <w:t>投标文件</w:t>
      </w:r>
      <w:r>
        <w:rPr>
          <w:rFonts w:hint="eastAsia" w:ascii="宋体" w:hAnsi="宋体"/>
          <w:color w:val="auto"/>
          <w:sz w:val="24"/>
          <w:highlight w:val="none"/>
        </w:rPr>
        <w:t>而造成项目开评标活动无法进行下去的，</w:t>
      </w:r>
      <w:r>
        <w:rPr>
          <w:rFonts w:hint="eastAsia" w:ascii="宋体" w:hAnsi="宋体" w:cs="宋体"/>
          <w:color w:val="auto"/>
          <w:kern w:val="0"/>
          <w:sz w:val="24"/>
          <w:highlight w:val="none"/>
        </w:rPr>
        <w:t>投标</w:t>
      </w:r>
      <w:r>
        <w:rPr>
          <w:rFonts w:hint="eastAsia" w:ascii="宋体" w:hAnsi="宋体"/>
          <w:color w:val="auto"/>
          <w:sz w:val="24"/>
          <w:highlight w:val="none"/>
        </w:rPr>
        <w:t>无效的，相关风险由供应商自行承担。</w:t>
      </w:r>
      <w:r>
        <w:rPr>
          <w:rFonts w:ascii="宋体" w:hAnsi="宋体"/>
          <w:color w:val="auto"/>
          <w:sz w:val="24"/>
          <w:highlight w:val="none"/>
        </w:rPr>
        <w:t>备份</w:t>
      </w:r>
      <w:r>
        <w:rPr>
          <w:rFonts w:hint="eastAsia" w:ascii="宋体" w:hAnsi="宋体" w:cs="宋体"/>
          <w:color w:val="auto"/>
          <w:kern w:val="0"/>
          <w:sz w:val="24"/>
          <w:highlight w:val="none"/>
        </w:rPr>
        <w:t>投标文件</w:t>
      </w:r>
      <w:r>
        <w:rPr>
          <w:rFonts w:ascii="宋体" w:hAnsi="宋体"/>
          <w:color w:val="auto"/>
          <w:sz w:val="24"/>
          <w:highlight w:val="none"/>
        </w:rPr>
        <w:t>:</w:t>
      </w:r>
      <w:r>
        <w:rPr>
          <w:rFonts w:hint="eastAsia" w:ascii="宋体" w:hAnsi="宋体"/>
          <w:color w:val="auto"/>
          <w:sz w:val="24"/>
          <w:highlight w:val="none"/>
        </w:rPr>
        <w:t>1份。</w:t>
      </w:r>
      <w:r>
        <w:rPr>
          <w:rFonts w:ascii="宋体" w:hAnsi="宋体"/>
          <w:color w:val="auto"/>
          <w:sz w:val="24"/>
          <w:highlight w:val="none"/>
        </w:rPr>
        <w:t>以介质存储的数据电文形式的备份</w:t>
      </w:r>
      <w:r>
        <w:rPr>
          <w:rFonts w:hint="eastAsia" w:ascii="宋体" w:hAnsi="宋体" w:cs="宋体"/>
          <w:color w:val="auto"/>
          <w:kern w:val="0"/>
          <w:sz w:val="24"/>
          <w:highlight w:val="none"/>
        </w:rPr>
        <w:t>投标文件</w:t>
      </w:r>
      <w:r>
        <w:rPr>
          <w:rFonts w:ascii="宋体" w:hAnsi="宋体"/>
          <w:color w:val="auto"/>
          <w:sz w:val="24"/>
          <w:highlight w:val="none"/>
        </w:rPr>
        <w:t>(BFBS格式)，按政采云平台项目采购-电子交易操作指南中上传的电子</w:t>
      </w:r>
      <w:r>
        <w:rPr>
          <w:rFonts w:hint="eastAsia" w:ascii="宋体" w:hAnsi="宋体" w:cs="宋体"/>
          <w:color w:val="auto"/>
          <w:kern w:val="0"/>
          <w:sz w:val="24"/>
          <w:highlight w:val="none"/>
        </w:rPr>
        <w:t>投标文件</w:t>
      </w:r>
      <w:r>
        <w:rPr>
          <w:rFonts w:ascii="宋体" w:hAnsi="宋体"/>
          <w:color w:val="auto"/>
          <w:sz w:val="24"/>
          <w:highlight w:val="none"/>
        </w:rPr>
        <w:t>格式，以U盘形式存储提供)。U盘盘面上粘贴标签，标注单位名称，装入一个外包封袋中进行邮寄.邮寄时，总的外包封袋上可不注明单位名</w:t>
      </w:r>
      <w:r>
        <w:rPr>
          <w:rFonts w:ascii="宋体" w:hAnsi="宋体" w:cs="宋体"/>
          <w:color w:val="auto"/>
          <w:kern w:val="0"/>
          <w:sz w:val="24"/>
          <w:highlight w:val="none"/>
        </w:rPr>
        <w:t>称，但应注明单位的联系人、联系电话及项目名称</w:t>
      </w:r>
      <w:r>
        <w:rPr>
          <w:rFonts w:hint="eastAsia" w:ascii="宋体" w:hAnsi="宋体" w:cs="宋体"/>
          <w:color w:val="auto"/>
          <w:kern w:val="0"/>
          <w:sz w:val="24"/>
          <w:highlight w:val="none"/>
        </w:rPr>
        <w:t>。邮寄地址为：浙江华耀建设</w:t>
      </w:r>
      <w:r>
        <w:rPr>
          <w:rFonts w:hint="eastAsia" w:ascii="宋体" w:hAnsi="宋体"/>
          <w:color w:val="auto"/>
          <w:sz w:val="24"/>
          <w:highlight w:val="none"/>
        </w:rPr>
        <w:t>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olor w:val="auto"/>
          <w:sz w:val="24"/>
          <w:highlight w:val="none"/>
        </w:rPr>
        <w:t>。</w:t>
      </w:r>
      <w:r>
        <w:rPr>
          <w:rFonts w:hint="eastAsia" w:ascii="宋体" w:hAnsi="宋体"/>
          <w:color w:val="auto"/>
          <w:sz w:val="24"/>
          <w:highlight w:val="none"/>
        </w:rPr>
        <w:fldChar w:fldCharType="end"/>
      </w:r>
      <w:r>
        <w:rPr>
          <w:rFonts w:hint="eastAsia" w:ascii="宋体" w:hAnsi="宋体"/>
          <w:color w:val="auto"/>
          <w:sz w:val="24"/>
          <w:highlight w:val="none"/>
        </w:rPr>
        <w:t>以收件人实际签收时间为准，</w:t>
      </w:r>
      <w:r>
        <w:rPr>
          <w:rFonts w:hint="eastAsia" w:ascii="宋体" w:hAnsi="宋体" w:cs="宋体"/>
          <w:color w:val="auto"/>
          <w:kern w:val="0"/>
          <w:sz w:val="24"/>
          <w:highlight w:val="none"/>
        </w:rPr>
        <w:t>逾期送达的将拒绝接收。</w:t>
      </w:r>
    </w:p>
    <w:p w14:paraId="6BAF9060">
      <w:pPr>
        <w:spacing w:line="360" w:lineRule="auto"/>
        <w:rPr>
          <w:rFonts w:ascii="宋体" w:hAnsi="宋体"/>
          <w:color w:val="auto"/>
          <w:sz w:val="24"/>
          <w:highlight w:val="none"/>
        </w:rPr>
      </w:pPr>
      <w:r>
        <w:rPr>
          <w:rFonts w:hint="eastAsia" w:ascii="宋体" w:hAnsi="宋体"/>
          <w:color w:val="auto"/>
          <w:sz w:val="24"/>
          <w:highlight w:val="none"/>
        </w:rPr>
        <w:t>（7）本项目开评标会议通过政采云电子交易系统在线完成，请潜在供应商代表自行准备联网的计算机设备、“政府采购云平台”CA数字证书。开评标会议开始后，应全程关注政采云电子交易系统的各类通知：在线询标等，及时澄清、响应，避免逾期无效等情况的发生。</w:t>
      </w:r>
    </w:p>
    <w:p w14:paraId="4942A49E">
      <w:pPr>
        <w:snapToGrid w:val="0"/>
        <w:spacing w:line="360" w:lineRule="auto"/>
        <w:ind w:firstLine="542" w:firstLineChars="225"/>
        <w:rPr>
          <w:rFonts w:ascii="宋体" w:hAnsi="宋体" w:cs="Arial"/>
          <w:b/>
          <w:color w:val="auto"/>
          <w:sz w:val="24"/>
          <w:highlight w:val="none"/>
        </w:rPr>
      </w:pPr>
      <w:r>
        <w:rPr>
          <w:rFonts w:hint="eastAsia" w:ascii="宋体" w:hAnsi="宋体" w:cs="Arial"/>
          <w:b/>
          <w:color w:val="auto"/>
          <w:sz w:val="24"/>
          <w:highlight w:val="none"/>
        </w:rPr>
        <w:t>十三、业务咨询：</w:t>
      </w:r>
    </w:p>
    <w:p w14:paraId="1CB2110D">
      <w:pPr>
        <w:snapToGrid w:val="0"/>
        <w:spacing w:line="360" w:lineRule="auto"/>
        <w:ind w:firstLine="470" w:firstLineChars="196"/>
        <w:rPr>
          <w:rFonts w:ascii="宋体" w:hAnsi="宋体" w:cs="Arial"/>
          <w:b/>
          <w:color w:val="auto"/>
          <w:sz w:val="24"/>
          <w:highlight w:val="none"/>
        </w:rPr>
      </w:pPr>
      <w:r>
        <w:rPr>
          <w:rFonts w:hint="eastAsia" w:ascii="宋体" w:hAnsi="宋体"/>
          <w:color w:val="auto"/>
          <w:sz w:val="24"/>
          <w:highlight w:val="none"/>
        </w:rPr>
        <w:t>1.采购代理机构名称：浙江华耀建设咨询有限公司</w:t>
      </w:r>
    </w:p>
    <w:p w14:paraId="7644D66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kern w:val="0"/>
          <w:sz w:val="24"/>
          <w:highlight w:val="none"/>
        </w:rPr>
        <w:t>浙江省湖州市静江公寓1单元1101室</w:t>
      </w:r>
    </w:p>
    <w:p w14:paraId="49E2B7A3">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联系人：张治中；联系电话：0572-2198738；传真：0572-2198739。</w:t>
      </w:r>
    </w:p>
    <w:p w14:paraId="19ABD04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供应商质疑函接收人：何女士   联系电话：0572-2371910</w:t>
      </w:r>
    </w:p>
    <w:p w14:paraId="6F628C2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Fonts w:hint="eastAsia" w:ascii="宋体" w:hAnsi="宋体"/>
          <w:color w:val="auto"/>
          <w:sz w:val="24"/>
          <w:highlight w:val="none"/>
        </w:rPr>
        <w:t>huayaohz@163.com</w:t>
      </w:r>
      <w:r>
        <w:rPr>
          <w:rFonts w:hint="eastAsia" w:ascii="宋体" w:hAnsi="宋体"/>
          <w:color w:val="auto"/>
          <w:sz w:val="24"/>
          <w:highlight w:val="none"/>
        </w:rPr>
        <w:fldChar w:fldCharType="end"/>
      </w:r>
    </w:p>
    <w:p w14:paraId="746662A7">
      <w:pPr>
        <w:snapToGrid w:val="0"/>
        <w:spacing w:line="360" w:lineRule="auto"/>
        <w:ind w:firstLine="480" w:firstLineChars="200"/>
        <w:rPr>
          <w:rFonts w:ascii="宋体" w:hAnsi="宋体" w:cs="Arial"/>
          <w:color w:val="auto"/>
          <w:sz w:val="24"/>
          <w:highlight w:val="none"/>
        </w:rPr>
      </w:pPr>
    </w:p>
    <w:p w14:paraId="32A8D718">
      <w:pPr>
        <w:snapToGrid w:val="0"/>
        <w:spacing w:line="360" w:lineRule="auto"/>
        <w:ind w:firstLine="480" w:firstLineChars="200"/>
        <w:rPr>
          <w:rFonts w:ascii="宋体" w:hAnsi="宋体"/>
          <w:color w:val="auto"/>
          <w:sz w:val="24"/>
          <w:highlight w:val="none"/>
        </w:rPr>
      </w:pPr>
      <w:r>
        <w:rPr>
          <w:rFonts w:hint="eastAsia" w:ascii="宋体" w:hAnsi="宋体" w:cs="Arial"/>
          <w:color w:val="auto"/>
          <w:sz w:val="24"/>
          <w:highlight w:val="none"/>
        </w:rPr>
        <w:t>2.采购人名称：</w:t>
      </w:r>
      <w:r>
        <w:rPr>
          <w:rFonts w:hint="eastAsia" w:ascii="宋体" w:hAnsi="宋体"/>
          <w:color w:val="auto"/>
          <w:sz w:val="24"/>
          <w:highlight w:val="none"/>
        </w:rPr>
        <w:t>湖州南太湖新区公用事业管理中心</w:t>
      </w:r>
    </w:p>
    <w:p w14:paraId="12507C7A">
      <w:pPr>
        <w:snapToGrid w:val="0"/>
        <w:spacing w:line="360" w:lineRule="auto"/>
        <w:ind w:firstLine="511" w:firstLineChars="213"/>
        <w:rPr>
          <w:rFonts w:ascii="宋体" w:hAnsi="宋体"/>
          <w:color w:val="auto"/>
          <w:sz w:val="24"/>
          <w:highlight w:val="none"/>
        </w:rPr>
      </w:pPr>
      <w:r>
        <w:rPr>
          <w:rFonts w:hint="eastAsia" w:ascii="宋体" w:hAnsi="宋体"/>
          <w:color w:val="auto"/>
          <w:sz w:val="24"/>
          <w:highlight w:val="none"/>
        </w:rPr>
        <w:t>地址：</w:t>
      </w:r>
      <w:r>
        <w:rPr>
          <w:rFonts w:hint="eastAsia" w:ascii="宋体" w:hAnsi="宋体" w:cs="Arial"/>
          <w:color w:val="auto"/>
          <w:sz w:val="24"/>
          <w:highlight w:val="none"/>
        </w:rPr>
        <w:t>红丰西路1516号</w:t>
      </w:r>
    </w:p>
    <w:p w14:paraId="34C4161C">
      <w:pPr>
        <w:snapToGrid w:val="0"/>
        <w:spacing w:line="360" w:lineRule="auto"/>
        <w:ind w:firstLine="480" w:firstLineChars="200"/>
        <w:rPr>
          <w:rFonts w:ascii="宋体" w:hAnsi="宋体"/>
          <w:color w:val="auto"/>
          <w:kern w:val="0"/>
          <w:sz w:val="24"/>
          <w:highlight w:val="none"/>
        </w:rPr>
      </w:pPr>
      <w:r>
        <w:rPr>
          <w:rFonts w:hint="eastAsia" w:ascii="宋体" w:hAnsi="宋体" w:cs="Arial"/>
          <w:color w:val="auto"/>
          <w:sz w:val="24"/>
          <w:highlight w:val="none"/>
        </w:rPr>
        <w:t>联系人：朱先生   电话：</w:t>
      </w:r>
      <w:r>
        <w:rPr>
          <w:rFonts w:hint="eastAsia" w:ascii="宋体" w:hAnsi="宋体"/>
          <w:color w:val="auto"/>
          <w:kern w:val="0"/>
          <w:sz w:val="24"/>
          <w:highlight w:val="none"/>
        </w:rPr>
        <w:t>0572-2110206</w:t>
      </w:r>
    </w:p>
    <w:p w14:paraId="6190F614">
      <w:p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采购人质疑联系人：</w:t>
      </w:r>
      <w:r>
        <w:rPr>
          <w:rFonts w:ascii="宋体" w:hAnsi="宋体"/>
          <w:color w:val="auto"/>
          <w:kern w:val="0"/>
          <w:sz w:val="24"/>
          <w:highlight w:val="none"/>
        </w:rPr>
        <w:t>戴</w:t>
      </w:r>
      <w:r>
        <w:rPr>
          <w:rFonts w:hint="eastAsia" w:ascii="宋体" w:hAnsi="宋体"/>
          <w:color w:val="auto"/>
          <w:kern w:val="0"/>
          <w:sz w:val="24"/>
          <w:highlight w:val="none"/>
        </w:rPr>
        <w:t>先生</w:t>
      </w:r>
      <w:r>
        <w:rPr>
          <w:rFonts w:ascii="宋体" w:hAnsi="宋体"/>
          <w:color w:val="auto"/>
          <w:kern w:val="0"/>
          <w:sz w:val="24"/>
          <w:highlight w:val="none"/>
        </w:rPr>
        <w:t>  质疑联系方式：0572-2102907 </w:t>
      </w:r>
    </w:p>
    <w:p w14:paraId="113D492A">
      <w:pPr>
        <w:snapToGrid w:val="0"/>
        <w:spacing w:line="360" w:lineRule="auto"/>
        <w:ind w:firstLine="480" w:firstLineChars="200"/>
        <w:rPr>
          <w:rFonts w:ascii="宋体" w:hAnsi="宋体" w:cs="Arial"/>
          <w:color w:val="auto"/>
          <w:sz w:val="24"/>
          <w:highlight w:val="none"/>
        </w:rPr>
      </w:pPr>
    </w:p>
    <w:p w14:paraId="772C994F">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3.同级政府采购监督管理部门名称：湖州市财政局政府采购监管处</w:t>
      </w:r>
    </w:p>
    <w:p w14:paraId="05026FBA">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地址：浙江省湖州市龙王山路518号</w:t>
      </w:r>
    </w:p>
    <w:p w14:paraId="4984E825">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联系人：程先生；监督投诉电话：0572-2150216</w:t>
      </w:r>
    </w:p>
    <w:p w14:paraId="553DEDAE">
      <w:pPr>
        <w:snapToGrid w:val="0"/>
        <w:spacing w:line="360" w:lineRule="auto"/>
        <w:ind w:left="237" w:leftChars="113" w:firstLine="4800" w:firstLineChars="2000"/>
        <w:rPr>
          <w:rFonts w:ascii="宋体" w:hAnsi="宋体" w:cs="Arial"/>
          <w:color w:val="auto"/>
          <w:sz w:val="24"/>
          <w:highlight w:val="none"/>
        </w:rPr>
      </w:pPr>
    </w:p>
    <w:p w14:paraId="0ACAA86A">
      <w:pPr>
        <w:snapToGrid w:val="0"/>
        <w:spacing w:line="360" w:lineRule="auto"/>
        <w:ind w:left="237" w:leftChars="113" w:firstLine="4800" w:firstLineChars="2000"/>
        <w:rPr>
          <w:rFonts w:ascii="宋体" w:hAnsi="宋体"/>
          <w:color w:val="auto"/>
          <w:sz w:val="24"/>
          <w:highlight w:val="none"/>
        </w:rPr>
      </w:pPr>
      <w:r>
        <w:rPr>
          <w:rFonts w:hint="eastAsia" w:ascii="宋体" w:hAnsi="宋体" w:cs="Arial"/>
          <w:color w:val="auto"/>
          <w:sz w:val="24"/>
          <w:highlight w:val="none"/>
        </w:rPr>
        <w:t>湖州南太湖新区公用事业管理中心</w:t>
      </w:r>
    </w:p>
    <w:p w14:paraId="1BAB9D3D">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浙江华耀建设咨询有限公司</w:t>
      </w:r>
    </w:p>
    <w:p w14:paraId="21BBDF84">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2025年 月 日</w:t>
      </w:r>
    </w:p>
    <w:p w14:paraId="3F7A80D4">
      <w:pPr>
        <w:jc w:val="left"/>
        <w:rPr>
          <w:rFonts w:ascii="宋体" w:hAnsi="宋体" w:cs="仿宋"/>
          <w:b/>
          <w:color w:val="auto"/>
          <w:sz w:val="24"/>
          <w:highlight w:val="none"/>
        </w:rPr>
      </w:pPr>
      <w:r>
        <w:rPr>
          <w:rFonts w:hint="eastAsia" w:ascii="宋体" w:hAnsi="宋体" w:cs="仿宋"/>
          <w:b/>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9AD0F7E">
      <w:pPr>
        <w:rPr>
          <w:rFonts w:ascii="宋体" w:hAnsi="宋体" w:cs="仿宋"/>
          <w:b/>
          <w:color w:val="auto"/>
          <w:sz w:val="24"/>
          <w:highlight w:val="none"/>
        </w:rPr>
      </w:pPr>
      <w:r>
        <w:rPr>
          <w:rFonts w:hint="eastAsia" w:ascii="宋体" w:hAnsi="宋体" w:cs="仿宋"/>
          <w:b/>
          <w:color w:val="auto"/>
          <w:sz w:val="24"/>
          <w:highlight w:val="none"/>
        </w:rPr>
        <w:t>CA问题联系电话（人工）：汇信CA 400-888-4636；天谷CA 400-087-8198。</w:t>
      </w:r>
    </w:p>
    <w:p w14:paraId="331E5986">
      <w:pPr>
        <w:snapToGrid w:val="0"/>
        <w:spacing w:line="360" w:lineRule="auto"/>
        <w:ind w:left="238"/>
        <w:jc w:val="center"/>
        <w:rPr>
          <w:rFonts w:ascii="黑体" w:hAnsi="宋体" w:eastAsia="黑体"/>
          <w:color w:val="auto"/>
          <w:sz w:val="30"/>
          <w:szCs w:val="30"/>
          <w:highlight w:val="none"/>
        </w:rPr>
      </w:pPr>
    </w:p>
    <w:p w14:paraId="3D198ED9">
      <w:pPr>
        <w:snapToGrid w:val="0"/>
        <w:spacing w:line="360" w:lineRule="auto"/>
        <w:ind w:left="238"/>
        <w:jc w:val="center"/>
        <w:rPr>
          <w:rFonts w:ascii="黑体" w:hAnsi="宋体" w:eastAsia="黑体"/>
          <w:color w:val="auto"/>
          <w:sz w:val="30"/>
          <w:szCs w:val="30"/>
          <w:highlight w:val="none"/>
        </w:rPr>
      </w:pPr>
    </w:p>
    <w:p w14:paraId="4BAD266F">
      <w:pPr>
        <w:snapToGrid w:val="0"/>
        <w:spacing w:line="360" w:lineRule="auto"/>
        <w:ind w:left="238"/>
        <w:jc w:val="center"/>
        <w:rPr>
          <w:rFonts w:ascii="黑体" w:hAnsi="宋体" w:eastAsia="黑体"/>
          <w:color w:val="auto"/>
          <w:sz w:val="30"/>
          <w:szCs w:val="30"/>
          <w:highlight w:val="none"/>
        </w:rPr>
      </w:pPr>
    </w:p>
    <w:p w14:paraId="5F3843BE">
      <w:pPr>
        <w:snapToGrid w:val="0"/>
        <w:spacing w:line="360" w:lineRule="auto"/>
        <w:ind w:left="238"/>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标需求</w:t>
      </w:r>
    </w:p>
    <w:p w14:paraId="0C8BAA3E">
      <w:pPr>
        <w:widowControl/>
        <w:spacing w:line="360" w:lineRule="auto"/>
        <w:jc w:val="left"/>
        <w:rPr>
          <w:rFonts w:ascii="宋体" w:hAnsi="宋体"/>
          <w:color w:val="auto"/>
          <w:sz w:val="24"/>
          <w:highlight w:val="none"/>
        </w:rPr>
      </w:pPr>
      <w:r>
        <w:rPr>
          <w:rFonts w:hint="eastAsia" w:ascii="宋体" w:hAnsi="宋体"/>
          <w:b/>
          <w:color w:val="auto"/>
          <w:sz w:val="24"/>
          <w:highlight w:val="none"/>
        </w:rPr>
        <w:t>一、采购项目名称：湖州南太湖新区市本级移交道路绿化养护补植项目（2025-2027年度）</w:t>
      </w:r>
    </w:p>
    <w:p w14:paraId="650EB44F">
      <w:pPr>
        <w:widowControl/>
        <w:spacing w:line="360" w:lineRule="auto"/>
        <w:ind w:firstLine="470" w:firstLineChars="195"/>
        <w:jc w:val="left"/>
        <w:rPr>
          <w:rFonts w:ascii="宋体" w:hAnsi="宋体"/>
          <w:b/>
          <w:color w:val="auto"/>
          <w:sz w:val="24"/>
          <w:highlight w:val="none"/>
        </w:rPr>
      </w:pPr>
      <w:r>
        <w:rPr>
          <w:rFonts w:hint="eastAsia" w:ascii="宋体" w:hAnsi="宋体"/>
          <w:b/>
          <w:color w:val="auto"/>
          <w:sz w:val="24"/>
          <w:highlight w:val="none"/>
        </w:rPr>
        <w:t>采购项目编号：HYHZ2025-103</w:t>
      </w:r>
    </w:p>
    <w:p w14:paraId="002825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预算金额：427.5万元（人民币142.5万元/年*3年）</w:t>
      </w:r>
    </w:p>
    <w:p w14:paraId="1F40C5EF">
      <w:pPr>
        <w:widowControl/>
        <w:spacing w:line="360" w:lineRule="auto"/>
        <w:ind w:firstLine="480" w:firstLineChars="200"/>
        <w:jc w:val="left"/>
        <w:rPr>
          <w:rFonts w:ascii="宋体" w:hAnsi="宋体"/>
          <w:color w:val="auto"/>
          <w:sz w:val="24"/>
          <w:highlight w:val="none"/>
        </w:rPr>
      </w:pPr>
    </w:p>
    <w:p w14:paraId="12F61BF9">
      <w:pPr>
        <w:spacing w:line="360" w:lineRule="auto"/>
        <w:rPr>
          <w:rFonts w:ascii="宋体" w:hAnsi="宋体"/>
          <w:b/>
          <w:color w:val="auto"/>
          <w:sz w:val="24"/>
          <w:highlight w:val="none"/>
        </w:rPr>
      </w:pPr>
      <w:r>
        <w:rPr>
          <w:rFonts w:hint="eastAsia" w:ascii="宋体" w:hAnsi="宋体"/>
          <w:b/>
          <w:color w:val="auto"/>
          <w:sz w:val="24"/>
          <w:highlight w:val="none"/>
        </w:rPr>
        <w:t>二、采购项目采购清单和</w:t>
      </w:r>
      <w:r>
        <w:rPr>
          <w:rFonts w:ascii="宋体" w:hAnsi="宋体"/>
          <w:b/>
          <w:color w:val="auto"/>
          <w:sz w:val="24"/>
          <w:highlight w:val="none"/>
        </w:rPr>
        <w:t>要求</w:t>
      </w:r>
      <w:r>
        <w:rPr>
          <w:rFonts w:hint="eastAsia" w:ascii="宋体" w:hAnsi="宋体"/>
          <w:b/>
          <w:color w:val="auto"/>
          <w:sz w:val="24"/>
          <w:highlight w:val="none"/>
        </w:rPr>
        <w:t>等：</w:t>
      </w:r>
    </w:p>
    <w:p w14:paraId="069BDF86">
      <w:pPr>
        <w:spacing w:line="360" w:lineRule="auto"/>
        <w:rPr>
          <w:rFonts w:ascii="宋体" w:hAnsi="宋体"/>
          <w:b/>
          <w:color w:val="auto"/>
          <w:sz w:val="24"/>
          <w:highlight w:val="none"/>
        </w:rPr>
      </w:pPr>
      <w:r>
        <w:rPr>
          <w:rFonts w:hint="eastAsia" w:ascii="宋体" w:hAnsi="宋体"/>
          <w:b/>
          <w:color w:val="auto"/>
          <w:sz w:val="24"/>
          <w:highlight w:val="none"/>
        </w:rPr>
        <w:t>1.采购内容</w:t>
      </w:r>
    </w:p>
    <w:p w14:paraId="24DAD6C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县道X306鹿山至吴司宫平交口停止线前段（K0+000～K3+715），长3.715公里，位于康山街道；县道X887五一大桥北堍至鹿山立交北堍段（K3+110～K9+650），长6.54公里，位于康山街道。绿化养护总面积约23.061万平方米。（公路绿化面积：22.6114万平方米，花箱面积：0.1万平方米，行道树面积：0.3496万平方米）</w:t>
      </w:r>
    </w:p>
    <w:p w14:paraId="7A6E1B28">
      <w:pPr>
        <w:spacing w:line="360" w:lineRule="auto"/>
        <w:ind w:firstLine="480" w:firstLineChars="200"/>
        <w:rPr>
          <w:rFonts w:ascii="宋体" w:hAnsi="宋体"/>
          <w:color w:val="auto"/>
          <w:sz w:val="24"/>
          <w:highlight w:val="none"/>
        </w:rPr>
      </w:pPr>
      <w:bookmarkStart w:id="3" w:name="OLE_LINK15"/>
      <w:bookmarkStart w:id="4" w:name="OLE_LINK16"/>
      <w:r>
        <w:rPr>
          <w:rFonts w:hint="eastAsia" w:ascii="宋体" w:hAnsi="宋体"/>
          <w:color w:val="auto"/>
          <w:sz w:val="24"/>
          <w:highlight w:val="none"/>
        </w:rPr>
        <w:t>养护费：112.5万元/年,</w:t>
      </w:r>
      <w:bookmarkStart w:id="5" w:name="OLE_LINK13"/>
      <w:bookmarkStart w:id="6" w:name="OLE_LINK14"/>
      <w:r>
        <w:rPr>
          <w:rFonts w:hint="eastAsia" w:ascii="宋体" w:hAnsi="宋体"/>
          <w:color w:val="auto"/>
          <w:sz w:val="24"/>
          <w:highlight w:val="none"/>
        </w:rPr>
        <w:t>绿化养护面积约23.061万平方米</w:t>
      </w:r>
      <w:bookmarkEnd w:id="5"/>
      <w:bookmarkEnd w:id="6"/>
      <w:r>
        <w:rPr>
          <w:rFonts w:hint="eastAsia" w:ascii="宋体" w:hAnsi="宋体"/>
          <w:color w:val="auto"/>
          <w:sz w:val="24"/>
          <w:highlight w:val="none"/>
        </w:rPr>
        <w:t>。</w:t>
      </w:r>
    </w:p>
    <w:p w14:paraId="6D14B45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补植费：30万元/年,包括树池提升，绿化带护栏修复、局部提升及活动环境保障、绿化草坪退化等修复、草花布置（国庆、洽谈会、春节）、企业开口等绿化移植修复。</w:t>
      </w:r>
    </w:p>
    <w:bookmarkEnd w:id="3"/>
    <w:bookmarkEnd w:id="4"/>
    <w:p w14:paraId="4E5702CF">
      <w:pPr>
        <w:spacing w:line="360" w:lineRule="auto"/>
        <w:ind w:firstLine="480" w:firstLineChars="200"/>
        <w:rPr>
          <w:rFonts w:ascii="宋体" w:hAnsi="宋体"/>
          <w:color w:val="auto"/>
          <w:sz w:val="24"/>
          <w:highlight w:val="none"/>
        </w:rPr>
      </w:pPr>
      <w:bookmarkStart w:id="7" w:name="OLE_LINK12"/>
      <w:bookmarkStart w:id="8" w:name="OLE_LINK11"/>
      <w:r>
        <w:rPr>
          <w:rFonts w:hint="eastAsia"/>
          <w:color w:val="auto"/>
          <w:sz w:val="24"/>
          <w:szCs w:val="24"/>
          <w:highlight w:val="none"/>
        </w:rPr>
        <w:t>▲</w:t>
      </w:r>
      <w:r>
        <w:rPr>
          <w:rFonts w:hint="eastAsia" w:ascii="宋体" w:hAnsi="宋体"/>
          <w:color w:val="auto"/>
          <w:sz w:val="24"/>
          <w:highlight w:val="none"/>
        </w:rPr>
        <w:t>注：1、绿化养护单价最高限价为4.87元/m2/年；</w:t>
      </w:r>
    </w:p>
    <w:p w14:paraId="7B13A8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2、绿化补植（含草花）单价最高限价为审计单位审定价格的95%。</w:t>
      </w:r>
    </w:p>
    <w:p w14:paraId="3C38CB6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3、绿化养护为单价报价，绿化补植为折扣报价，投标报价及投标报价组成超最高限价均作无效标处理。</w:t>
      </w:r>
    </w:p>
    <w:bookmarkEnd w:id="7"/>
    <w:bookmarkEnd w:id="8"/>
    <w:p w14:paraId="69E02122">
      <w:pPr>
        <w:spacing w:line="360" w:lineRule="auto"/>
        <w:ind w:firstLine="480" w:firstLineChars="200"/>
        <w:rPr>
          <w:rFonts w:cs="微软雅黑" w:asciiTheme="majorEastAsia" w:hAnsiTheme="majorEastAsia" w:eastAsiaTheme="majorEastAsia"/>
          <w:color w:val="auto"/>
          <w:sz w:val="24"/>
          <w:szCs w:val="24"/>
          <w:highlight w:val="none"/>
        </w:rPr>
      </w:pPr>
    </w:p>
    <w:p w14:paraId="5663F2B6">
      <w:pPr>
        <w:spacing w:line="360" w:lineRule="auto"/>
        <w:rPr>
          <w:rFonts w:ascii="宋体" w:hAnsi="宋体" w:cs="宋体"/>
          <w:b/>
          <w:color w:val="auto"/>
          <w:sz w:val="24"/>
          <w:szCs w:val="24"/>
          <w:highlight w:val="none"/>
        </w:rPr>
      </w:pPr>
      <w:bookmarkStart w:id="9" w:name="_Toc157410886"/>
      <w:bookmarkStart w:id="10" w:name="_Toc30778"/>
      <w:r>
        <w:rPr>
          <w:rFonts w:hint="eastAsia" w:ascii="宋体" w:hAnsi="宋体" w:cs="宋体"/>
          <w:b/>
          <w:color w:val="auto"/>
          <w:sz w:val="24"/>
          <w:szCs w:val="24"/>
          <w:highlight w:val="none"/>
        </w:rPr>
        <w:t>2.园林养护</w:t>
      </w:r>
      <w:bookmarkStart w:id="11" w:name="OLE_LINK5"/>
      <w:bookmarkStart w:id="12" w:name="OLE_LINK6"/>
      <w:r>
        <w:rPr>
          <w:rFonts w:hint="eastAsia" w:ascii="宋体" w:hAnsi="宋体" w:cs="宋体"/>
          <w:b/>
          <w:color w:val="auto"/>
          <w:sz w:val="24"/>
          <w:szCs w:val="24"/>
          <w:highlight w:val="none"/>
        </w:rPr>
        <w:t>结算</w:t>
      </w:r>
      <w:bookmarkEnd w:id="11"/>
      <w:bookmarkEnd w:id="12"/>
      <w:r>
        <w:rPr>
          <w:rFonts w:hint="eastAsia" w:ascii="宋体" w:hAnsi="宋体" w:cs="宋体"/>
          <w:b/>
          <w:color w:val="auto"/>
          <w:sz w:val="24"/>
          <w:szCs w:val="24"/>
          <w:highlight w:val="none"/>
        </w:rPr>
        <w:t>编制依据：</w:t>
      </w:r>
    </w:p>
    <w:p w14:paraId="53631665">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1、有关定额、规范等依据： </w:t>
      </w:r>
    </w:p>
    <w:p w14:paraId="1B5EF836">
      <w:pPr>
        <w:spacing w:line="360" w:lineRule="auto"/>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（1）《建设工程工程量清单计价规范》（GB50500-2013）及建设工程工程量清单计价规范（2013）浙江省补充规定（浙建站计〔2013〕63号）；</w:t>
      </w:r>
    </w:p>
    <w:p w14:paraId="2564E917">
      <w:pPr>
        <w:pStyle w:val="45"/>
        <w:spacing w:line="360" w:lineRule="auto"/>
        <w:ind w:firstLine="240"/>
        <w:rPr>
          <w:rFonts w:eastAsia="宋体"/>
          <w:bCs/>
          <w:color w:val="auto"/>
          <w:sz w:val="24"/>
          <w:szCs w:val="24"/>
          <w:highlight w:val="none"/>
        </w:rPr>
      </w:pPr>
      <w:r>
        <w:rPr>
          <w:rFonts w:hint="eastAsia" w:hAnsi="宋体" w:cs="宋体"/>
          <w:bCs/>
          <w:color w:val="auto"/>
          <w:sz w:val="24"/>
          <w:szCs w:val="24"/>
          <w:highlight w:val="none"/>
        </w:rPr>
        <w:t>（2）《浙江省园林绿化养护预算定额（2018版）》</w:t>
      </w:r>
    </w:p>
    <w:p w14:paraId="2B4ED70C">
      <w:pPr>
        <w:pStyle w:val="45"/>
        <w:spacing w:line="360" w:lineRule="auto"/>
        <w:ind w:firstLine="240"/>
        <w:rPr>
          <w:rFonts w:hAnsi="宋体" w:cs="宋体"/>
          <w:bCs/>
          <w:color w:val="auto"/>
          <w:sz w:val="24"/>
          <w:szCs w:val="24"/>
          <w:highlight w:val="none"/>
        </w:rPr>
      </w:pPr>
      <w:r>
        <w:rPr>
          <w:rFonts w:hint="eastAsia" w:hAnsi="宋体" w:cs="宋体"/>
          <w:bCs/>
          <w:color w:val="auto"/>
          <w:sz w:val="24"/>
          <w:szCs w:val="24"/>
          <w:highlight w:val="none"/>
        </w:rPr>
        <w:t>（3）《浙江省园林绿化及仿古建筑工程预算定额（2018版）》</w:t>
      </w:r>
    </w:p>
    <w:p w14:paraId="0A9CA9F9">
      <w:pPr>
        <w:pStyle w:val="45"/>
        <w:spacing w:line="360" w:lineRule="auto"/>
        <w:ind w:firstLine="240"/>
        <w:rPr>
          <w:rFonts w:eastAsia="宋体"/>
          <w:bCs/>
          <w:color w:val="auto"/>
          <w:sz w:val="24"/>
          <w:szCs w:val="24"/>
          <w:highlight w:val="none"/>
        </w:rPr>
      </w:pPr>
      <w:r>
        <w:rPr>
          <w:rFonts w:hint="eastAsia" w:hAnsi="宋体" w:cs="宋体"/>
          <w:bCs/>
          <w:color w:val="auto"/>
          <w:sz w:val="24"/>
          <w:szCs w:val="24"/>
          <w:highlight w:val="none"/>
        </w:rPr>
        <w:t>（4）《浙江省建设工程计价依据（2018版）》中的其他内容；</w:t>
      </w:r>
    </w:p>
    <w:p w14:paraId="37317B4B">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2、费率标准：</w:t>
      </w:r>
    </w:p>
    <w:p w14:paraId="0053AAD1">
      <w:pPr>
        <w:numPr>
          <w:ilvl w:val="0"/>
          <w:numId w:val="3"/>
        </w:numPr>
        <w:spacing w:line="360" w:lineRule="auto"/>
        <w:ind w:firstLine="240" w:firstLineChars="100"/>
        <w:rPr>
          <w:rFonts w:hAnsi="宋体" w:cs="宋体"/>
          <w:bCs/>
          <w:color w:val="auto"/>
          <w:sz w:val="24"/>
          <w:szCs w:val="24"/>
          <w:highlight w:val="none"/>
        </w:rPr>
      </w:pPr>
      <w:r>
        <w:rPr>
          <w:rFonts w:hint="eastAsia" w:ascii="宋体" w:hAnsi="宋体" w:cs="宋体"/>
          <w:bCs/>
          <w:color w:val="auto"/>
          <w:sz w:val="24"/>
          <w:szCs w:val="24"/>
          <w:highlight w:val="none"/>
        </w:rPr>
        <w:t>企业管理费、利润费率根据</w:t>
      </w:r>
      <w:r>
        <w:rPr>
          <w:rFonts w:hint="eastAsia" w:hAnsi="宋体" w:cs="宋体"/>
          <w:bCs/>
          <w:color w:val="auto"/>
          <w:sz w:val="24"/>
          <w:szCs w:val="24"/>
          <w:highlight w:val="none"/>
        </w:rPr>
        <w:t>《浙江省园林绿化养护预算定额（2018版）》规定</w:t>
      </w:r>
      <w:r>
        <w:rPr>
          <w:rFonts w:hint="eastAsia" w:ascii="宋体" w:hAnsi="宋体" w:cs="宋体"/>
          <w:bCs/>
          <w:color w:val="auto"/>
          <w:sz w:val="24"/>
          <w:szCs w:val="24"/>
          <w:highlight w:val="none"/>
        </w:rPr>
        <w:t>中间值</w:t>
      </w:r>
      <w:r>
        <w:rPr>
          <w:rFonts w:hint="eastAsia" w:hAnsi="宋体" w:cs="宋体"/>
          <w:bCs/>
          <w:color w:val="auto"/>
          <w:sz w:val="24"/>
          <w:szCs w:val="24"/>
          <w:highlight w:val="none"/>
        </w:rPr>
        <w:t>计取（一般计税）</w:t>
      </w:r>
      <w:r>
        <w:rPr>
          <w:rFonts w:hint="eastAsia" w:ascii="宋体" w:hAnsi="宋体" w:cs="宋体"/>
          <w:bCs/>
          <w:color w:val="auto"/>
          <w:sz w:val="24"/>
          <w:szCs w:val="24"/>
          <w:highlight w:val="none"/>
        </w:rPr>
        <w:t>，以定额的“人工费＋机械费”作为取费基数</w:t>
      </w:r>
      <w:r>
        <w:rPr>
          <w:rFonts w:hint="eastAsia" w:hAnsi="宋体" w:cs="宋体"/>
          <w:bCs/>
          <w:color w:val="auto"/>
          <w:sz w:val="24"/>
          <w:szCs w:val="24"/>
          <w:highlight w:val="none"/>
        </w:rPr>
        <w:t>；</w:t>
      </w:r>
    </w:p>
    <w:p w14:paraId="24CCBABE">
      <w:pPr>
        <w:spacing w:line="360" w:lineRule="auto"/>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（2）施工组织措施项目费费率根据</w:t>
      </w:r>
      <w:r>
        <w:rPr>
          <w:rFonts w:hint="eastAsia" w:hAnsi="宋体" w:cs="宋体"/>
          <w:bCs/>
          <w:color w:val="auto"/>
          <w:sz w:val="24"/>
          <w:szCs w:val="24"/>
          <w:highlight w:val="none"/>
        </w:rPr>
        <w:t>《浙江省园林绿化养护预算定额（2018版）》及</w:t>
      </w:r>
      <w:r>
        <w:rPr>
          <w:rFonts w:hint="eastAsia" w:ascii="宋体" w:hAnsi="宋体" w:cs="宋体"/>
          <w:bCs/>
          <w:color w:val="auto"/>
          <w:sz w:val="24"/>
          <w:szCs w:val="24"/>
          <w:highlight w:val="none"/>
        </w:rPr>
        <w:t>《浙江省建设工程计价规则》（2018版）规定中间值</w:t>
      </w:r>
      <w:r>
        <w:rPr>
          <w:rFonts w:hint="eastAsia" w:hAnsi="宋体" w:cs="宋体"/>
          <w:bCs/>
          <w:color w:val="auto"/>
          <w:sz w:val="24"/>
          <w:szCs w:val="24"/>
          <w:highlight w:val="none"/>
        </w:rPr>
        <w:t>计取（一般计税）</w:t>
      </w:r>
      <w:r>
        <w:rPr>
          <w:rFonts w:hint="eastAsia" w:ascii="宋体" w:hAnsi="宋体" w:cs="宋体"/>
          <w:bCs/>
          <w:color w:val="auto"/>
          <w:sz w:val="24"/>
          <w:szCs w:val="24"/>
          <w:highlight w:val="none"/>
        </w:rPr>
        <w:t>，以定额的“人工费＋机械费”作为取费基数。施工组织措施费只计取安全文明施工基本费、冬雨季施工增加费和行车、行人干扰增加费，其它的组织措施费均不另计取。其中安全文明施工基本费按市区工程计取；</w:t>
      </w:r>
    </w:p>
    <w:p w14:paraId="5D24C1F2">
      <w:pPr>
        <w:spacing w:line="360" w:lineRule="auto"/>
        <w:ind w:firstLine="240" w:firstLineChars="100"/>
        <w:rPr>
          <w:bCs/>
          <w:color w:val="auto"/>
          <w:sz w:val="24"/>
          <w:szCs w:val="24"/>
          <w:highlight w:val="none"/>
        </w:rPr>
      </w:pPr>
      <w:r>
        <w:rPr>
          <w:rFonts w:hint="eastAsia" w:ascii="宋体" w:hAnsi="宋体" w:cs="宋体"/>
          <w:bCs/>
          <w:color w:val="auto"/>
          <w:sz w:val="24"/>
          <w:szCs w:val="24"/>
          <w:highlight w:val="none"/>
        </w:rPr>
        <w:t>（3）规费费率根据</w:t>
      </w:r>
      <w:r>
        <w:rPr>
          <w:rFonts w:hint="eastAsia" w:hAnsi="宋体" w:cs="宋体"/>
          <w:bCs/>
          <w:color w:val="auto"/>
          <w:sz w:val="24"/>
          <w:szCs w:val="24"/>
          <w:highlight w:val="none"/>
        </w:rPr>
        <w:t>《浙江省园林绿化养护预算定额（2018版）》及</w:t>
      </w:r>
      <w:r>
        <w:rPr>
          <w:rFonts w:hint="eastAsia" w:ascii="宋体" w:hAnsi="宋体" w:cs="宋体"/>
          <w:bCs/>
          <w:color w:val="auto"/>
          <w:sz w:val="24"/>
          <w:szCs w:val="24"/>
          <w:highlight w:val="none"/>
        </w:rPr>
        <w:t>《浙江省建设工程计价规则》（2018版）规定计取；</w:t>
      </w:r>
    </w:p>
    <w:p w14:paraId="66314E9B">
      <w:pPr>
        <w:spacing w:line="360" w:lineRule="auto"/>
        <w:ind w:firstLine="240" w:firstLineChars="100"/>
        <w:rPr>
          <w:rFonts w:ascii="宋体" w:hAnsi="宋体" w:eastAsia="宋体" w:cs="宋体"/>
          <w:bCs/>
          <w:color w:val="auto"/>
          <w:sz w:val="24"/>
          <w:szCs w:val="24"/>
          <w:highlight w:val="none"/>
        </w:rPr>
      </w:pPr>
      <w:r>
        <w:rPr>
          <w:rFonts w:hint="eastAsia" w:ascii="宋体" w:hAnsi="宋体" w:cs="宋体"/>
          <w:bCs/>
          <w:color w:val="auto"/>
          <w:sz w:val="24"/>
          <w:szCs w:val="24"/>
          <w:highlight w:val="none"/>
        </w:rPr>
        <w:t>（4）税金按增值税（一般计税）计取。</w:t>
      </w:r>
    </w:p>
    <w:p w14:paraId="0CA18D84">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3、人工、材料价格：</w:t>
      </w:r>
    </w:p>
    <w:p w14:paraId="2CBEC870">
      <w:pPr>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cs="宋体"/>
          <w:bCs/>
          <w:color w:val="auto"/>
          <w:sz w:val="24"/>
          <w:szCs w:val="24"/>
          <w:highlight w:val="none"/>
        </w:rPr>
        <w:t>造价管理部门发布的正刊除税信息价（信息价套用正刊发布的价格顺序：湖州造价信息、浙江省信息价、浙江省信息价中没有的按除税市场价执行）计取。信息价中没有的按除税市场价执行（除税市场价须经发包人、承包人及第三方审计单位共同确认）。</w:t>
      </w:r>
      <w:bookmarkEnd w:id="9"/>
      <w:bookmarkEnd w:id="10"/>
      <w:r>
        <w:rPr>
          <w:rFonts w:hint="eastAsia" w:ascii="宋体" w:hAnsi="宋体" w:cs="宋体"/>
          <w:b/>
          <w:color w:val="auto"/>
          <w:sz w:val="24"/>
          <w:szCs w:val="24"/>
          <w:highlight w:val="none"/>
        </w:rPr>
        <w:t>零星人工（综合考虑大工、小工）按施工期湖州信息价的一类人工计取(只计取税金)。</w:t>
      </w:r>
    </w:p>
    <w:p w14:paraId="2E1C2F1B">
      <w:pPr>
        <w:spacing w:line="360" w:lineRule="auto"/>
        <w:ind w:firstLine="480" w:firstLineChars="200"/>
        <w:rPr>
          <w:rFonts w:cs="微软雅黑" w:asciiTheme="majorEastAsia" w:hAnsiTheme="majorEastAsia" w:eastAsiaTheme="majorEastAsia"/>
          <w:color w:val="auto"/>
          <w:sz w:val="24"/>
          <w:szCs w:val="24"/>
          <w:highlight w:val="none"/>
        </w:rPr>
      </w:pPr>
    </w:p>
    <w:p w14:paraId="0A47DE0D">
      <w:pPr>
        <w:spacing w:line="360" w:lineRule="auto"/>
        <w:ind w:firstLine="480" w:firstLineChars="20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（二）人员配置</w:t>
      </w:r>
    </w:p>
    <w:p w14:paraId="021E57E4">
      <w:pPr>
        <w:pStyle w:val="45"/>
        <w:spacing w:line="400" w:lineRule="exact"/>
        <w:ind w:firstLine="480" w:firstLineChars="20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 xml:space="preserve">以下配置清单要求仅为本项目初始要求，采购人可根据本项目服务内容及服务量的调整要求中标人进行调配，中标人须按采购人要求结合人员调班、辅助岗位等情况进行合理调配后向采购人提交配置清单。采购人以核准的配置清单为主要依据对中标人进行考核。 </w:t>
      </w:r>
    </w:p>
    <w:tbl>
      <w:tblPr>
        <w:tblStyle w:val="47"/>
        <w:tblW w:w="9612" w:type="dxa"/>
        <w:tblInd w:w="93" w:type="dxa"/>
        <w:tblLayout w:type="fixed"/>
        <w:tblCellMar>
          <w:top w:w="0" w:type="dxa"/>
          <w:left w:w="108" w:type="dxa"/>
          <w:bottom w:w="0" w:type="dxa"/>
          <w:right w:w="108" w:type="dxa"/>
        </w:tblCellMar>
      </w:tblPr>
      <w:tblGrid>
        <w:gridCol w:w="736"/>
        <w:gridCol w:w="2171"/>
        <w:gridCol w:w="6705"/>
      </w:tblGrid>
      <w:tr w14:paraId="010EBF33">
        <w:tblPrEx>
          <w:tblCellMar>
            <w:top w:w="0" w:type="dxa"/>
            <w:left w:w="108" w:type="dxa"/>
            <w:bottom w:w="0" w:type="dxa"/>
            <w:right w:w="108" w:type="dxa"/>
          </w:tblCellMar>
        </w:tblPrEx>
        <w:trPr>
          <w:trHeight w:val="405" w:hRule="atLeast"/>
        </w:trPr>
        <w:tc>
          <w:tcPr>
            <w:tcW w:w="736" w:type="dxa"/>
            <w:tcBorders>
              <w:top w:val="single" w:color="auto" w:sz="4" w:space="0"/>
              <w:left w:val="single" w:color="auto" w:sz="4" w:space="0"/>
              <w:bottom w:val="single" w:color="auto" w:sz="4" w:space="0"/>
              <w:right w:val="single" w:color="auto" w:sz="4" w:space="0"/>
            </w:tcBorders>
            <w:vAlign w:val="center"/>
          </w:tcPr>
          <w:p w14:paraId="611E7E06">
            <w:pPr>
              <w:widowControl/>
              <w:spacing w:line="400" w:lineRule="exact"/>
              <w:jc w:val="left"/>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序号</w:t>
            </w:r>
          </w:p>
        </w:tc>
        <w:tc>
          <w:tcPr>
            <w:tcW w:w="2171" w:type="dxa"/>
            <w:tcBorders>
              <w:top w:val="single" w:color="auto" w:sz="4" w:space="0"/>
              <w:left w:val="nil"/>
              <w:bottom w:val="single" w:color="auto" w:sz="4" w:space="0"/>
              <w:right w:val="single" w:color="auto" w:sz="4" w:space="0"/>
            </w:tcBorders>
            <w:vAlign w:val="center"/>
          </w:tcPr>
          <w:p w14:paraId="69D58EDC">
            <w:pPr>
              <w:widowControl/>
              <w:spacing w:line="400" w:lineRule="exact"/>
              <w:jc w:val="center"/>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工种</w:t>
            </w:r>
          </w:p>
        </w:tc>
        <w:tc>
          <w:tcPr>
            <w:tcW w:w="6705" w:type="dxa"/>
            <w:tcBorders>
              <w:top w:val="single" w:color="auto" w:sz="4" w:space="0"/>
              <w:left w:val="nil"/>
              <w:bottom w:val="single" w:color="auto" w:sz="4" w:space="0"/>
              <w:right w:val="single" w:color="auto" w:sz="4" w:space="0"/>
            </w:tcBorders>
            <w:vAlign w:val="center"/>
          </w:tcPr>
          <w:p w14:paraId="40D6873B">
            <w:pPr>
              <w:widowControl/>
              <w:spacing w:line="400" w:lineRule="exact"/>
              <w:jc w:val="center"/>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要求</w:t>
            </w:r>
          </w:p>
        </w:tc>
      </w:tr>
      <w:tr w14:paraId="2B163963">
        <w:tblPrEx>
          <w:tblCellMar>
            <w:top w:w="0" w:type="dxa"/>
            <w:left w:w="108" w:type="dxa"/>
            <w:bottom w:w="0" w:type="dxa"/>
            <w:right w:w="108" w:type="dxa"/>
          </w:tblCellMar>
        </w:tblPrEx>
        <w:trPr>
          <w:trHeight w:val="591" w:hRule="atLeast"/>
        </w:trPr>
        <w:tc>
          <w:tcPr>
            <w:tcW w:w="736" w:type="dxa"/>
            <w:tcBorders>
              <w:top w:val="nil"/>
              <w:left w:val="single" w:color="auto" w:sz="4" w:space="0"/>
              <w:bottom w:val="single" w:color="auto" w:sz="4" w:space="0"/>
              <w:right w:val="single" w:color="auto" w:sz="4" w:space="0"/>
            </w:tcBorders>
            <w:vAlign w:val="center"/>
          </w:tcPr>
          <w:p w14:paraId="2DC9B60F">
            <w:pPr>
              <w:widowControl/>
              <w:spacing w:line="400" w:lineRule="exact"/>
              <w:jc w:val="center"/>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1</w:t>
            </w:r>
          </w:p>
        </w:tc>
        <w:tc>
          <w:tcPr>
            <w:tcW w:w="2171" w:type="dxa"/>
            <w:tcBorders>
              <w:top w:val="nil"/>
              <w:left w:val="nil"/>
              <w:bottom w:val="single" w:color="auto" w:sz="4" w:space="0"/>
              <w:right w:val="single" w:color="auto" w:sz="4" w:space="0"/>
            </w:tcBorders>
            <w:vAlign w:val="center"/>
          </w:tcPr>
          <w:p w14:paraId="2E5A2F93">
            <w:pPr>
              <w:widowControl/>
              <w:spacing w:line="400" w:lineRule="exact"/>
              <w:jc w:val="left"/>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项目负责人</w:t>
            </w:r>
          </w:p>
        </w:tc>
        <w:tc>
          <w:tcPr>
            <w:tcW w:w="6705" w:type="dxa"/>
            <w:tcBorders>
              <w:top w:val="nil"/>
              <w:left w:val="nil"/>
              <w:bottom w:val="single" w:color="auto" w:sz="4" w:space="0"/>
              <w:right w:val="single" w:color="auto" w:sz="4" w:space="0"/>
            </w:tcBorders>
            <w:vAlign w:val="center"/>
          </w:tcPr>
          <w:p w14:paraId="54DFDC60">
            <w:pPr>
              <w:widowControl/>
              <w:spacing w:line="400" w:lineRule="exact"/>
              <w:jc w:val="left"/>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不得少于1人。</w:t>
            </w:r>
          </w:p>
        </w:tc>
      </w:tr>
      <w:tr w14:paraId="53523499">
        <w:tblPrEx>
          <w:tblCellMar>
            <w:top w:w="0" w:type="dxa"/>
            <w:left w:w="108" w:type="dxa"/>
            <w:bottom w:w="0" w:type="dxa"/>
            <w:right w:w="108" w:type="dxa"/>
          </w:tblCellMar>
        </w:tblPrEx>
        <w:trPr>
          <w:trHeight w:val="90" w:hRule="atLeast"/>
        </w:trPr>
        <w:tc>
          <w:tcPr>
            <w:tcW w:w="736" w:type="dxa"/>
            <w:tcBorders>
              <w:top w:val="nil"/>
              <w:left w:val="single" w:color="auto" w:sz="4" w:space="0"/>
              <w:bottom w:val="single" w:color="auto" w:sz="4" w:space="0"/>
              <w:right w:val="single" w:color="auto" w:sz="4" w:space="0"/>
            </w:tcBorders>
            <w:vAlign w:val="center"/>
          </w:tcPr>
          <w:p w14:paraId="0EA45958">
            <w:pPr>
              <w:widowControl/>
              <w:spacing w:line="400" w:lineRule="exact"/>
              <w:jc w:val="center"/>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2</w:t>
            </w:r>
          </w:p>
        </w:tc>
        <w:tc>
          <w:tcPr>
            <w:tcW w:w="2171" w:type="dxa"/>
            <w:tcBorders>
              <w:top w:val="nil"/>
              <w:left w:val="nil"/>
              <w:bottom w:val="single" w:color="auto" w:sz="4" w:space="0"/>
              <w:right w:val="single" w:color="auto" w:sz="4" w:space="0"/>
            </w:tcBorders>
            <w:vAlign w:val="center"/>
          </w:tcPr>
          <w:p w14:paraId="5204384B">
            <w:pPr>
              <w:widowControl/>
              <w:spacing w:line="400" w:lineRule="exact"/>
              <w:jc w:val="left"/>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项目技术负责人</w:t>
            </w:r>
          </w:p>
        </w:tc>
        <w:tc>
          <w:tcPr>
            <w:tcW w:w="6705" w:type="dxa"/>
            <w:tcBorders>
              <w:top w:val="nil"/>
              <w:left w:val="nil"/>
              <w:bottom w:val="single" w:color="auto" w:sz="4" w:space="0"/>
              <w:right w:val="single" w:color="auto" w:sz="4" w:space="0"/>
            </w:tcBorders>
            <w:vAlign w:val="center"/>
          </w:tcPr>
          <w:p w14:paraId="06F07F59">
            <w:pPr>
              <w:autoSpaceDE w:val="0"/>
              <w:autoSpaceDN w:val="0"/>
              <w:spacing w:line="400" w:lineRule="exact"/>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不得少于2人。</w:t>
            </w:r>
          </w:p>
        </w:tc>
      </w:tr>
      <w:tr w14:paraId="5129AB12">
        <w:tblPrEx>
          <w:tblCellMar>
            <w:top w:w="0" w:type="dxa"/>
            <w:left w:w="108" w:type="dxa"/>
            <w:bottom w:w="0" w:type="dxa"/>
            <w:right w:w="108" w:type="dxa"/>
          </w:tblCellMar>
        </w:tblPrEx>
        <w:trPr>
          <w:trHeight w:val="371" w:hRule="atLeast"/>
        </w:trPr>
        <w:tc>
          <w:tcPr>
            <w:tcW w:w="736" w:type="dxa"/>
            <w:tcBorders>
              <w:top w:val="single" w:color="auto" w:sz="4" w:space="0"/>
              <w:left w:val="single" w:color="auto" w:sz="4" w:space="0"/>
              <w:bottom w:val="single" w:color="auto" w:sz="4" w:space="0"/>
              <w:right w:val="single" w:color="auto" w:sz="4" w:space="0"/>
            </w:tcBorders>
            <w:vAlign w:val="center"/>
          </w:tcPr>
          <w:p w14:paraId="13B8C56D">
            <w:pPr>
              <w:widowControl/>
              <w:spacing w:line="400" w:lineRule="exact"/>
              <w:jc w:val="center"/>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3</w:t>
            </w:r>
          </w:p>
        </w:tc>
        <w:tc>
          <w:tcPr>
            <w:tcW w:w="2171" w:type="dxa"/>
            <w:tcBorders>
              <w:top w:val="single" w:color="auto" w:sz="4" w:space="0"/>
              <w:left w:val="single" w:color="auto" w:sz="4" w:space="0"/>
              <w:bottom w:val="single" w:color="auto" w:sz="4" w:space="0"/>
              <w:right w:val="single" w:color="auto" w:sz="4" w:space="0"/>
            </w:tcBorders>
            <w:vAlign w:val="center"/>
          </w:tcPr>
          <w:p w14:paraId="327A9308">
            <w:pPr>
              <w:widowControl/>
              <w:spacing w:line="400" w:lineRule="exact"/>
              <w:jc w:val="left"/>
              <w:rPr>
                <w:rFonts w:cs="微软雅黑" w:asciiTheme="majorEastAsia" w:hAnsiTheme="majorEastAsia" w:eastAsiaTheme="majorEastAsia"/>
                <w:color w:val="auto"/>
                <w:kern w:val="0"/>
                <w:sz w:val="24"/>
                <w:highlight w:val="none"/>
              </w:rPr>
            </w:pPr>
            <w:r>
              <w:rPr>
                <w:rFonts w:hint="eastAsia" w:cs="微软雅黑" w:asciiTheme="majorEastAsia" w:hAnsiTheme="majorEastAsia" w:eastAsiaTheme="majorEastAsia"/>
                <w:color w:val="auto"/>
                <w:kern w:val="0"/>
                <w:sz w:val="24"/>
                <w:highlight w:val="none"/>
              </w:rPr>
              <w:t>作业人员</w:t>
            </w:r>
          </w:p>
        </w:tc>
        <w:tc>
          <w:tcPr>
            <w:tcW w:w="6705" w:type="dxa"/>
            <w:tcBorders>
              <w:top w:val="single" w:color="auto" w:sz="4" w:space="0"/>
              <w:left w:val="single" w:color="auto" w:sz="4" w:space="0"/>
              <w:bottom w:val="single" w:color="auto" w:sz="4" w:space="0"/>
              <w:right w:val="single" w:color="auto" w:sz="4" w:space="0"/>
            </w:tcBorders>
            <w:vAlign w:val="center"/>
          </w:tcPr>
          <w:p w14:paraId="236768BC">
            <w:pPr>
              <w:pStyle w:val="21"/>
              <w:spacing w:line="360" w:lineRule="auto"/>
              <w:ind w:firstLine="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每8000平方米现场养护工不少于1人(含绿化、草坪、水电、植保等技术工)。以此作为全年养护用工标准，各承包单位必须根据养护季节及实际需要合理安排、调配养护用工，在绿化生长旺季必须增加养护人员，确保修剪、除草、浇水等工作有序、到位。</w:t>
            </w:r>
          </w:p>
        </w:tc>
      </w:tr>
    </w:tbl>
    <w:p w14:paraId="4694A2E9">
      <w:pPr>
        <w:spacing w:line="400" w:lineRule="exact"/>
        <w:ind w:firstLine="480" w:firstLineChars="200"/>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注：中标单位应严格执行各项国家有关规定，有关技术人员必须持证上岗，专人专职负责安全。工作人员统一着装，佩戴工作证，标志明显，管理方式应文明、礼貌（相关工作服及设施设备要符合行业规定）。</w:t>
      </w:r>
    </w:p>
    <w:p w14:paraId="4F3AA886">
      <w:pPr>
        <w:spacing w:line="400" w:lineRule="exact"/>
        <w:ind w:firstLine="480" w:firstLineChars="200"/>
        <w:rPr>
          <w:color w:val="auto"/>
          <w:sz w:val="24"/>
          <w:szCs w:val="24"/>
          <w:highlight w:val="none"/>
        </w:rPr>
      </w:pPr>
    </w:p>
    <w:p w14:paraId="185FFB64">
      <w:pPr>
        <w:tabs>
          <w:tab w:val="left" w:pos="454"/>
        </w:tabs>
        <w:spacing w:line="360" w:lineRule="auto"/>
        <w:rPr>
          <w:rFonts w:cs="微软雅黑" w:asciiTheme="majorEastAsia" w:hAnsiTheme="majorEastAsia" w:eastAsiaTheme="majorEastAsia"/>
          <w:color w:val="auto"/>
          <w:sz w:val="24"/>
          <w:highlight w:val="none"/>
        </w:rPr>
      </w:pPr>
      <w:r>
        <w:rPr>
          <w:rFonts w:hint="eastAsia"/>
          <w:color w:val="auto"/>
          <w:sz w:val="24"/>
          <w:szCs w:val="24"/>
          <w:highlight w:val="none"/>
        </w:rPr>
        <w:t>（三）</w:t>
      </w:r>
      <w:r>
        <w:rPr>
          <w:rFonts w:hint="eastAsia" w:cs="微软雅黑" w:asciiTheme="majorEastAsia" w:hAnsiTheme="majorEastAsia" w:eastAsiaTheme="majorEastAsia"/>
          <w:color w:val="auto"/>
          <w:sz w:val="24"/>
          <w:highlight w:val="none"/>
        </w:rPr>
        <w:t>车辆、设备配置</w:t>
      </w:r>
      <w:r>
        <w:rPr>
          <w:rFonts w:cs="微软雅黑" w:asciiTheme="majorEastAsia" w:hAnsiTheme="majorEastAsia" w:eastAsiaTheme="majorEastAsia"/>
          <w:color w:val="auto"/>
          <w:sz w:val="24"/>
          <w:highlight w:val="none"/>
        </w:rPr>
        <w:t>工程量</w:t>
      </w:r>
    </w:p>
    <w:tbl>
      <w:tblPr>
        <w:tblStyle w:val="47"/>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71"/>
        <w:gridCol w:w="2083"/>
        <w:gridCol w:w="3177"/>
        <w:gridCol w:w="1380"/>
      </w:tblGrid>
      <w:tr w14:paraId="54DB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39" w:type="dxa"/>
            <w:noWrap/>
            <w:vAlign w:val="center"/>
          </w:tcPr>
          <w:p w14:paraId="353BF595">
            <w:pPr>
              <w:spacing w:line="400" w:lineRule="exact"/>
              <w:ind w:left="-405" w:leftChars="-193"/>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序号</w:t>
            </w:r>
          </w:p>
        </w:tc>
        <w:tc>
          <w:tcPr>
            <w:tcW w:w="2071" w:type="dxa"/>
            <w:noWrap/>
            <w:vAlign w:val="center"/>
          </w:tcPr>
          <w:p w14:paraId="58492F31">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名称</w:t>
            </w:r>
          </w:p>
        </w:tc>
        <w:tc>
          <w:tcPr>
            <w:tcW w:w="2083" w:type="dxa"/>
            <w:noWrap/>
            <w:vAlign w:val="center"/>
          </w:tcPr>
          <w:p w14:paraId="0AA45162">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数量</w:t>
            </w:r>
          </w:p>
        </w:tc>
        <w:tc>
          <w:tcPr>
            <w:tcW w:w="3177" w:type="dxa"/>
            <w:noWrap/>
            <w:vAlign w:val="center"/>
          </w:tcPr>
          <w:p w14:paraId="5CD2C343">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规格要求</w:t>
            </w:r>
          </w:p>
        </w:tc>
        <w:tc>
          <w:tcPr>
            <w:tcW w:w="1380" w:type="dxa"/>
            <w:noWrap/>
            <w:vAlign w:val="center"/>
          </w:tcPr>
          <w:p w14:paraId="1C99D70E">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备注</w:t>
            </w:r>
          </w:p>
        </w:tc>
      </w:tr>
      <w:tr w14:paraId="2B17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9" w:type="dxa"/>
            <w:noWrap/>
            <w:vAlign w:val="center"/>
          </w:tcPr>
          <w:p w14:paraId="155D5952">
            <w:pPr>
              <w:spacing w:line="400" w:lineRule="exact"/>
              <w:ind w:left="-405" w:leftChars="-193"/>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1</w:t>
            </w:r>
          </w:p>
        </w:tc>
        <w:tc>
          <w:tcPr>
            <w:tcW w:w="2071" w:type="dxa"/>
            <w:noWrap/>
            <w:vAlign w:val="center"/>
          </w:tcPr>
          <w:p w14:paraId="39385EEE">
            <w:pPr>
              <w:widowControl/>
              <w:autoSpaceDE w:val="0"/>
              <w:autoSpaceDN w:val="0"/>
              <w:adjustRightInd w:val="0"/>
              <w:spacing w:line="440" w:lineRule="exact"/>
              <w:jc w:val="center"/>
              <w:textAlignment w:val="bottom"/>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洒水车</w:t>
            </w:r>
          </w:p>
        </w:tc>
        <w:tc>
          <w:tcPr>
            <w:tcW w:w="2083" w:type="dxa"/>
            <w:noWrap/>
            <w:vAlign w:val="center"/>
          </w:tcPr>
          <w:p w14:paraId="429E9685">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1辆</w:t>
            </w:r>
          </w:p>
        </w:tc>
        <w:tc>
          <w:tcPr>
            <w:tcW w:w="3177" w:type="dxa"/>
            <w:noWrap/>
            <w:vAlign w:val="center"/>
          </w:tcPr>
          <w:p w14:paraId="59013FC9">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核定载质量≥9吨</w:t>
            </w:r>
          </w:p>
        </w:tc>
        <w:tc>
          <w:tcPr>
            <w:tcW w:w="1380" w:type="dxa"/>
            <w:noWrap/>
            <w:vAlign w:val="center"/>
          </w:tcPr>
          <w:p w14:paraId="1FF8E933">
            <w:pPr>
              <w:spacing w:line="400" w:lineRule="exact"/>
              <w:jc w:val="center"/>
              <w:rPr>
                <w:rFonts w:cs="微软雅黑" w:asciiTheme="majorEastAsia" w:hAnsiTheme="majorEastAsia" w:eastAsiaTheme="majorEastAsia"/>
                <w:bCs/>
                <w:color w:val="auto"/>
                <w:sz w:val="24"/>
                <w:highlight w:val="none"/>
              </w:rPr>
            </w:pPr>
          </w:p>
        </w:tc>
      </w:tr>
      <w:tr w14:paraId="2019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9" w:type="dxa"/>
            <w:noWrap/>
            <w:vAlign w:val="center"/>
          </w:tcPr>
          <w:p w14:paraId="2CA43926">
            <w:pPr>
              <w:tabs>
                <w:tab w:val="center" w:pos="377"/>
              </w:tabs>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2</w:t>
            </w:r>
          </w:p>
        </w:tc>
        <w:tc>
          <w:tcPr>
            <w:tcW w:w="2071" w:type="dxa"/>
            <w:noWrap/>
            <w:vAlign w:val="center"/>
          </w:tcPr>
          <w:p w14:paraId="33312AFE">
            <w:pPr>
              <w:widowControl/>
              <w:autoSpaceDE w:val="0"/>
              <w:autoSpaceDN w:val="0"/>
              <w:adjustRightInd w:val="0"/>
              <w:spacing w:line="440" w:lineRule="exact"/>
              <w:jc w:val="center"/>
              <w:textAlignment w:val="bottom"/>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挖掘机</w:t>
            </w:r>
          </w:p>
        </w:tc>
        <w:tc>
          <w:tcPr>
            <w:tcW w:w="2083" w:type="dxa"/>
            <w:noWrap/>
            <w:vAlign w:val="center"/>
          </w:tcPr>
          <w:p w14:paraId="004B10FE">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1辆</w:t>
            </w:r>
          </w:p>
        </w:tc>
        <w:tc>
          <w:tcPr>
            <w:tcW w:w="3177" w:type="dxa"/>
            <w:noWrap/>
            <w:vAlign w:val="center"/>
          </w:tcPr>
          <w:p w14:paraId="5AD79506">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w:t>
            </w:r>
          </w:p>
        </w:tc>
        <w:tc>
          <w:tcPr>
            <w:tcW w:w="1380" w:type="dxa"/>
            <w:noWrap/>
            <w:vAlign w:val="center"/>
          </w:tcPr>
          <w:p w14:paraId="1B7CDC3A">
            <w:pPr>
              <w:spacing w:line="400" w:lineRule="exact"/>
              <w:jc w:val="center"/>
              <w:rPr>
                <w:rFonts w:cs="微软雅黑" w:asciiTheme="majorEastAsia" w:hAnsiTheme="majorEastAsia" w:eastAsiaTheme="majorEastAsia"/>
                <w:bCs/>
                <w:color w:val="auto"/>
                <w:sz w:val="24"/>
                <w:highlight w:val="none"/>
              </w:rPr>
            </w:pPr>
          </w:p>
        </w:tc>
      </w:tr>
      <w:tr w14:paraId="7FC4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39" w:type="dxa"/>
            <w:noWrap/>
            <w:vAlign w:val="center"/>
          </w:tcPr>
          <w:p w14:paraId="094A58F8">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3</w:t>
            </w:r>
          </w:p>
        </w:tc>
        <w:tc>
          <w:tcPr>
            <w:tcW w:w="2071" w:type="dxa"/>
            <w:noWrap/>
            <w:vAlign w:val="center"/>
          </w:tcPr>
          <w:p w14:paraId="0443E6BB">
            <w:pPr>
              <w:widowControl/>
              <w:autoSpaceDE w:val="0"/>
              <w:autoSpaceDN w:val="0"/>
              <w:adjustRightInd w:val="0"/>
              <w:spacing w:line="440" w:lineRule="exact"/>
              <w:jc w:val="center"/>
              <w:textAlignment w:val="bottom"/>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运输车</w:t>
            </w:r>
          </w:p>
        </w:tc>
        <w:tc>
          <w:tcPr>
            <w:tcW w:w="2083" w:type="dxa"/>
            <w:noWrap/>
            <w:vAlign w:val="center"/>
          </w:tcPr>
          <w:p w14:paraId="3BF75619">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1辆</w:t>
            </w:r>
          </w:p>
        </w:tc>
        <w:tc>
          <w:tcPr>
            <w:tcW w:w="3177" w:type="dxa"/>
            <w:noWrap/>
            <w:vAlign w:val="center"/>
          </w:tcPr>
          <w:p w14:paraId="1AAEBF79">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核定载质量≥650KG</w:t>
            </w:r>
          </w:p>
        </w:tc>
        <w:tc>
          <w:tcPr>
            <w:tcW w:w="1380" w:type="dxa"/>
            <w:noWrap/>
            <w:vAlign w:val="center"/>
          </w:tcPr>
          <w:p w14:paraId="3CF435E3">
            <w:pPr>
              <w:spacing w:line="400" w:lineRule="exact"/>
              <w:jc w:val="center"/>
              <w:rPr>
                <w:rFonts w:cs="微软雅黑" w:asciiTheme="majorEastAsia" w:hAnsiTheme="majorEastAsia" w:eastAsiaTheme="majorEastAsia"/>
                <w:bCs/>
                <w:color w:val="auto"/>
                <w:sz w:val="24"/>
                <w:highlight w:val="none"/>
              </w:rPr>
            </w:pPr>
          </w:p>
        </w:tc>
      </w:tr>
      <w:tr w14:paraId="4471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39" w:type="dxa"/>
            <w:noWrap/>
            <w:vAlign w:val="center"/>
          </w:tcPr>
          <w:p w14:paraId="1FB5BEBF">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4</w:t>
            </w:r>
          </w:p>
        </w:tc>
        <w:tc>
          <w:tcPr>
            <w:tcW w:w="2071" w:type="dxa"/>
            <w:noWrap/>
            <w:vAlign w:val="center"/>
          </w:tcPr>
          <w:p w14:paraId="1A6366F4">
            <w:pPr>
              <w:widowControl/>
              <w:autoSpaceDE w:val="0"/>
              <w:autoSpaceDN w:val="0"/>
              <w:adjustRightInd w:val="0"/>
              <w:spacing w:line="440" w:lineRule="exact"/>
              <w:jc w:val="center"/>
              <w:textAlignment w:val="bottom"/>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水泵</w:t>
            </w:r>
          </w:p>
        </w:tc>
        <w:tc>
          <w:tcPr>
            <w:tcW w:w="2083" w:type="dxa"/>
            <w:noWrap/>
            <w:vAlign w:val="center"/>
          </w:tcPr>
          <w:p w14:paraId="72714FA4">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8台</w:t>
            </w:r>
          </w:p>
        </w:tc>
        <w:tc>
          <w:tcPr>
            <w:tcW w:w="3177" w:type="dxa"/>
            <w:noWrap/>
            <w:vAlign w:val="center"/>
          </w:tcPr>
          <w:p w14:paraId="00093ED8">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w:t>
            </w:r>
          </w:p>
        </w:tc>
        <w:tc>
          <w:tcPr>
            <w:tcW w:w="1380" w:type="dxa"/>
            <w:noWrap/>
            <w:vAlign w:val="center"/>
          </w:tcPr>
          <w:p w14:paraId="7DBC861C">
            <w:pPr>
              <w:spacing w:line="400" w:lineRule="exact"/>
              <w:jc w:val="center"/>
              <w:rPr>
                <w:rFonts w:cs="微软雅黑" w:asciiTheme="majorEastAsia" w:hAnsiTheme="majorEastAsia" w:eastAsiaTheme="majorEastAsia"/>
                <w:bCs/>
                <w:color w:val="auto"/>
                <w:sz w:val="24"/>
                <w:highlight w:val="none"/>
              </w:rPr>
            </w:pPr>
          </w:p>
        </w:tc>
      </w:tr>
      <w:tr w14:paraId="5939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39" w:type="dxa"/>
            <w:noWrap/>
            <w:vAlign w:val="center"/>
          </w:tcPr>
          <w:p w14:paraId="5D2D1FB0">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5</w:t>
            </w:r>
          </w:p>
        </w:tc>
        <w:tc>
          <w:tcPr>
            <w:tcW w:w="2071" w:type="dxa"/>
            <w:noWrap/>
            <w:vAlign w:val="center"/>
          </w:tcPr>
          <w:p w14:paraId="27259B46">
            <w:pPr>
              <w:widowControl/>
              <w:autoSpaceDE w:val="0"/>
              <w:autoSpaceDN w:val="0"/>
              <w:adjustRightInd w:val="0"/>
              <w:spacing w:line="440" w:lineRule="exact"/>
              <w:jc w:val="center"/>
              <w:textAlignment w:val="bottom"/>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绿篱机</w:t>
            </w:r>
          </w:p>
        </w:tc>
        <w:tc>
          <w:tcPr>
            <w:tcW w:w="2083" w:type="dxa"/>
            <w:noWrap/>
            <w:vAlign w:val="center"/>
          </w:tcPr>
          <w:p w14:paraId="68C29B54">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8台</w:t>
            </w:r>
          </w:p>
        </w:tc>
        <w:tc>
          <w:tcPr>
            <w:tcW w:w="3177" w:type="dxa"/>
            <w:noWrap/>
            <w:vAlign w:val="center"/>
          </w:tcPr>
          <w:p w14:paraId="0CCDC9A0">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w:t>
            </w:r>
          </w:p>
        </w:tc>
        <w:tc>
          <w:tcPr>
            <w:tcW w:w="1380" w:type="dxa"/>
            <w:noWrap/>
            <w:vAlign w:val="center"/>
          </w:tcPr>
          <w:p w14:paraId="4DBCA603">
            <w:pPr>
              <w:spacing w:line="400" w:lineRule="exact"/>
              <w:jc w:val="center"/>
              <w:rPr>
                <w:rFonts w:cs="微软雅黑" w:asciiTheme="majorEastAsia" w:hAnsiTheme="majorEastAsia" w:eastAsiaTheme="majorEastAsia"/>
                <w:bCs/>
                <w:color w:val="auto"/>
                <w:sz w:val="24"/>
                <w:highlight w:val="none"/>
              </w:rPr>
            </w:pPr>
          </w:p>
        </w:tc>
      </w:tr>
      <w:tr w14:paraId="2A3E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39" w:type="dxa"/>
            <w:noWrap/>
            <w:vAlign w:val="center"/>
          </w:tcPr>
          <w:p w14:paraId="1388FC29">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6</w:t>
            </w:r>
          </w:p>
        </w:tc>
        <w:tc>
          <w:tcPr>
            <w:tcW w:w="2071" w:type="dxa"/>
            <w:noWrap/>
            <w:vAlign w:val="center"/>
          </w:tcPr>
          <w:p w14:paraId="093E668C">
            <w:pPr>
              <w:widowControl/>
              <w:autoSpaceDE w:val="0"/>
              <w:autoSpaceDN w:val="0"/>
              <w:adjustRightInd w:val="0"/>
              <w:spacing w:line="440" w:lineRule="exact"/>
              <w:jc w:val="center"/>
              <w:textAlignment w:val="bottom"/>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草坪机</w:t>
            </w:r>
          </w:p>
        </w:tc>
        <w:tc>
          <w:tcPr>
            <w:tcW w:w="2083" w:type="dxa"/>
            <w:noWrap/>
            <w:vAlign w:val="center"/>
          </w:tcPr>
          <w:p w14:paraId="39F0BE6F">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6台</w:t>
            </w:r>
          </w:p>
        </w:tc>
        <w:tc>
          <w:tcPr>
            <w:tcW w:w="3177" w:type="dxa"/>
            <w:noWrap/>
            <w:vAlign w:val="center"/>
          </w:tcPr>
          <w:p w14:paraId="63C67D4B">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w:t>
            </w:r>
          </w:p>
        </w:tc>
        <w:tc>
          <w:tcPr>
            <w:tcW w:w="1380" w:type="dxa"/>
            <w:noWrap/>
            <w:vAlign w:val="center"/>
          </w:tcPr>
          <w:p w14:paraId="50C17F56">
            <w:pPr>
              <w:spacing w:line="400" w:lineRule="exact"/>
              <w:jc w:val="center"/>
              <w:rPr>
                <w:rFonts w:cs="微软雅黑" w:asciiTheme="majorEastAsia" w:hAnsiTheme="majorEastAsia" w:eastAsiaTheme="majorEastAsia"/>
                <w:bCs/>
                <w:color w:val="auto"/>
                <w:sz w:val="24"/>
                <w:highlight w:val="none"/>
              </w:rPr>
            </w:pPr>
          </w:p>
        </w:tc>
      </w:tr>
      <w:tr w14:paraId="52B9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39" w:type="dxa"/>
            <w:noWrap/>
            <w:vAlign w:val="center"/>
          </w:tcPr>
          <w:p w14:paraId="48FC393E">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7</w:t>
            </w:r>
          </w:p>
        </w:tc>
        <w:tc>
          <w:tcPr>
            <w:tcW w:w="2071" w:type="dxa"/>
            <w:noWrap/>
            <w:vAlign w:val="center"/>
          </w:tcPr>
          <w:p w14:paraId="0F2CCA01">
            <w:pPr>
              <w:widowControl/>
              <w:autoSpaceDE w:val="0"/>
              <w:autoSpaceDN w:val="0"/>
              <w:adjustRightInd w:val="0"/>
              <w:spacing w:line="440" w:lineRule="exact"/>
              <w:jc w:val="center"/>
              <w:textAlignment w:val="bottom"/>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割灌机</w:t>
            </w:r>
          </w:p>
        </w:tc>
        <w:tc>
          <w:tcPr>
            <w:tcW w:w="2083" w:type="dxa"/>
            <w:noWrap/>
            <w:vAlign w:val="center"/>
          </w:tcPr>
          <w:p w14:paraId="444E50F8">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10台</w:t>
            </w:r>
          </w:p>
        </w:tc>
        <w:tc>
          <w:tcPr>
            <w:tcW w:w="3177" w:type="dxa"/>
            <w:noWrap/>
            <w:vAlign w:val="center"/>
          </w:tcPr>
          <w:p w14:paraId="0B851450">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w:t>
            </w:r>
          </w:p>
        </w:tc>
        <w:tc>
          <w:tcPr>
            <w:tcW w:w="1380" w:type="dxa"/>
            <w:noWrap/>
            <w:vAlign w:val="center"/>
          </w:tcPr>
          <w:p w14:paraId="0B68E8DA">
            <w:pPr>
              <w:spacing w:line="400" w:lineRule="exact"/>
              <w:jc w:val="center"/>
              <w:rPr>
                <w:rFonts w:cs="微软雅黑" w:asciiTheme="majorEastAsia" w:hAnsiTheme="majorEastAsia" w:eastAsiaTheme="majorEastAsia"/>
                <w:bCs/>
                <w:color w:val="auto"/>
                <w:sz w:val="24"/>
                <w:highlight w:val="none"/>
              </w:rPr>
            </w:pPr>
          </w:p>
        </w:tc>
      </w:tr>
      <w:tr w14:paraId="4E75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39" w:type="dxa"/>
            <w:noWrap/>
            <w:vAlign w:val="center"/>
          </w:tcPr>
          <w:p w14:paraId="39D3E848">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8</w:t>
            </w:r>
          </w:p>
        </w:tc>
        <w:tc>
          <w:tcPr>
            <w:tcW w:w="2071" w:type="dxa"/>
            <w:noWrap/>
            <w:vAlign w:val="center"/>
          </w:tcPr>
          <w:p w14:paraId="1182F2AB">
            <w:pPr>
              <w:widowControl/>
              <w:autoSpaceDE w:val="0"/>
              <w:autoSpaceDN w:val="0"/>
              <w:adjustRightInd w:val="0"/>
              <w:spacing w:line="440" w:lineRule="exact"/>
              <w:jc w:val="center"/>
              <w:textAlignment w:val="bottom"/>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打药机</w:t>
            </w:r>
          </w:p>
        </w:tc>
        <w:tc>
          <w:tcPr>
            <w:tcW w:w="2083" w:type="dxa"/>
            <w:noWrap/>
            <w:vAlign w:val="center"/>
          </w:tcPr>
          <w:p w14:paraId="67A43BCC">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4台</w:t>
            </w:r>
          </w:p>
        </w:tc>
        <w:tc>
          <w:tcPr>
            <w:tcW w:w="3177" w:type="dxa"/>
            <w:noWrap/>
            <w:vAlign w:val="center"/>
          </w:tcPr>
          <w:p w14:paraId="2296EB5C">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w:t>
            </w:r>
          </w:p>
        </w:tc>
        <w:tc>
          <w:tcPr>
            <w:tcW w:w="1380" w:type="dxa"/>
            <w:noWrap/>
            <w:vAlign w:val="center"/>
          </w:tcPr>
          <w:p w14:paraId="12CFF1A1">
            <w:pPr>
              <w:spacing w:line="400" w:lineRule="exact"/>
              <w:jc w:val="center"/>
              <w:rPr>
                <w:rFonts w:cs="微软雅黑" w:asciiTheme="majorEastAsia" w:hAnsiTheme="majorEastAsia" w:eastAsiaTheme="majorEastAsia"/>
                <w:bCs/>
                <w:color w:val="auto"/>
                <w:sz w:val="24"/>
                <w:highlight w:val="none"/>
              </w:rPr>
            </w:pPr>
          </w:p>
        </w:tc>
      </w:tr>
      <w:tr w14:paraId="5A9B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9" w:type="dxa"/>
            <w:noWrap/>
            <w:vAlign w:val="center"/>
          </w:tcPr>
          <w:p w14:paraId="0ABEF6C1">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9</w:t>
            </w:r>
          </w:p>
        </w:tc>
        <w:tc>
          <w:tcPr>
            <w:tcW w:w="2071" w:type="dxa"/>
            <w:noWrap/>
            <w:vAlign w:val="center"/>
          </w:tcPr>
          <w:p w14:paraId="5B0D11E5">
            <w:pPr>
              <w:widowControl/>
              <w:autoSpaceDE w:val="0"/>
              <w:autoSpaceDN w:val="0"/>
              <w:adjustRightInd w:val="0"/>
              <w:spacing w:line="440" w:lineRule="exact"/>
              <w:jc w:val="center"/>
              <w:textAlignment w:val="bottom"/>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巡查车（5座）</w:t>
            </w:r>
          </w:p>
        </w:tc>
        <w:tc>
          <w:tcPr>
            <w:tcW w:w="2083" w:type="dxa"/>
            <w:noWrap/>
            <w:vAlign w:val="center"/>
          </w:tcPr>
          <w:p w14:paraId="1F74587B">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1辆</w:t>
            </w:r>
          </w:p>
        </w:tc>
        <w:tc>
          <w:tcPr>
            <w:tcW w:w="3177" w:type="dxa"/>
            <w:noWrap/>
            <w:vAlign w:val="center"/>
          </w:tcPr>
          <w:p w14:paraId="4D733BCD">
            <w:pPr>
              <w:spacing w:line="400" w:lineRule="exact"/>
              <w:jc w:val="center"/>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机动车辆排放达到国五标准。</w:t>
            </w:r>
          </w:p>
        </w:tc>
        <w:tc>
          <w:tcPr>
            <w:tcW w:w="1380" w:type="dxa"/>
            <w:noWrap/>
            <w:vAlign w:val="center"/>
          </w:tcPr>
          <w:p w14:paraId="58CA0E7F">
            <w:pPr>
              <w:spacing w:line="400" w:lineRule="exact"/>
              <w:jc w:val="center"/>
              <w:rPr>
                <w:rFonts w:cs="微软雅黑" w:asciiTheme="majorEastAsia" w:hAnsiTheme="majorEastAsia" w:eastAsiaTheme="majorEastAsia"/>
                <w:bCs/>
                <w:color w:val="auto"/>
                <w:sz w:val="24"/>
                <w:highlight w:val="none"/>
              </w:rPr>
            </w:pPr>
          </w:p>
        </w:tc>
      </w:tr>
    </w:tbl>
    <w:p w14:paraId="0A807172">
      <w:pPr>
        <w:spacing w:line="400" w:lineRule="exact"/>
        <w:rPr>
          <w:rFonts w:cs="微软雅黑" w:asciiTheme="majorEastAsia" w:hAnsiTheme="majorEastAsia" w:eastAsiaTheme="majorEastAsia"/>
          <w:color w:val="auto"/>
          <w:spacing w:val="-3"/>
          <w:kern w:val="0"/>
          <w:sz w:val="24"/>
          <w:highlight w:val="none"/>
          <w:lang w:val="zh-CN" w:eastAsia="zh-TW" w:bidi="zh-CN"/>
        </w:rPr>
      </w:pPr>
      <w:r>
        <w:rPr>
          <w:rFonts w:hint="eastAsia" w:cs="微软雅黑" w:asciiTheme="majorEastAsia" w:hAnsiTheme="majorEastAsia" w:eastAsiaTheme="majorEastAsia"/>
          <w:color w:val="auto"/>
          <w:kern w:val="0"/>
          <w:sz w:val="24"/>
          <w:highlight w:val="none"/>
        </w:rPr>
        <w:t>注：1、</w:t>
      </w:r>
      <w:r>
        <w:rPr>
          <w:rFonts w:hint="eastAsia" w:cs="微软雅黑" w:asciiTheme="majorEastAsia" w:hAnsiTheme="majorEastAsia" w:eastAsiaTheme="majorEastAsia"/>
          <w:color w:val="auto"/>
          <w:sz w:val="24"/>
          <w:highlight w:val="none"/>
        </w:rPr>
        <w:t>本项目作业除表中所必需的机械外，人工及工具材料（锄头、铁耙、喷雾机、修枝剪、手锯、支撑桩、遮阴网、铅丝、皮管、警示桩等）承包方必须满足日常需要。</w:t>
      </w:r>
    </w:p>
    <w:p w14:paraId="7C8CE5D9">
      <w:pPr>
        <w:numPr>
          <w:ilvl w:val="0"/>
          <w:numId w:val="4"/>
        </w:numPr>
        <w:kinsoku w:val="0"/>
        <w:overflowPunct w:val="0"/>
        <w:spacing w:before="84" w:line="307" w:lineRule="auto"/>
        <w:ind w:right="146" w:firstLine="468" w:firstLineChars="200"/>
        <w:rPr>
          <w:rFonts w:cs="微软雅黑" w:asciiTheme="majorEastAsia" w:hAnsiTheme="majorEastAsia" w:eastAsiaTheme="majorEastAsia"/>
          <w:color w:val="auto"/>
          <w:spacing w:val="-3"/>
          <w:kern w:val="0"/>
          <w:sz w:val="24"/>
          <w:highlight w:val="none"/>
          <w:lang w:bidi="zh-CN"/>
        </w:rPr>
      </w:pPr>
      <w:r>
        <w:rPr>
          <w:rFonts w:hint="eastAsia" w:cs="微软雅黑" w:asciiTheme="majorEastAsia" w:hAnsiTheme="majorEastAsia" w:eastAsiaTheme="majorEastAsia"/>
          <w:color w:val="auto"/>
          <w:spacing w:val="-3"/>
          <w:kern w:val="0"/>
          <w:sz w:val="24"/>
          <w:highlight w:val="none"/>
          <w:lang w:bidi="zh-CN"/>
        </w:rPr>
        <w:t>中标后投标人实际投入本项目使用车辆若涉及更换的，须经采购人书面同意，实际使用车辆必须不低于投标时响应车辆的条件与配置。</w:t>
      </w:r>
    </w:p>
    <w:p w14:paraId="445AA1F4">
      <w:pPr>
        <w:pStyle w:val="45"/>
        <w:ind w:firstLine="0" w:firstLineChars="0"/>
        <w:rPr>
          <w:rFonts w:asciiTheme="majorEastAsia" w:hAnsiTheme="majorEastAsia" w:eastAsiaTheme="majorEastAsia"/>
          <w:color w:val="auto"/>
          <w:sz w:val="24"/>
          <w:szCs w:val="24"/>
          <w:highlight w:val="none"/>
        </w:rPr>
      </w:pPr>
    </w:p>
    <w:p w14:paraId="6403EBAC">
      <w:pPr>
        <w:spacing w:line="360" w:lineRule="auto"/>
        <w:jc w:val="left"/>
        <w:rPr>
          <w:b/>
          <w:bCs/>
          <w:color w:val="auto"/>
          <w:sz w:val="24"/>
          <w:szCs w:val="24"/>
          <w:highlight w:val="none"/>
        </w:rPr>
      </w:pPr>
      <w:r>
        <w:rPr>
          <w:rFonts w:hint="eastAsia"/>
          <w:b/>
          <w:bCs/>
          <w:color w:val="auto"/>
          <w:sz w:val="24"/>
          <w:szCs w:val="24"/>
          <w:highlight w:val="none"/>
        </w:rPr>
        <w:t>三、工作任务及要求</w:t>
      </w:r>
    </w:p>
    <w:p w14:paraId="0575241E">
      <w:pPr>
        <w:numPr>
          <w:ilvl w:val="0"/>
          <w:numId w:val="5"/>
        </w:numPr>
        <w:spacing w:line="360" w:lineRule="auto"/>
        <w:jc w:val="left"/>
        <w:outlineLvl w:val="0"/>
        <w:rPr>
          <w:rFonts w:cs="微软雅黑" w:asciiTheme="majorEastAsia" w:hAnsiTheme="majorEastAsia" w:eastAsiaTheme="majorEastAsia"/>
          <w:b/>
          <w:bCs/>
          <w:color w:val="auto"/>
          <w:sz w:val="24"/>
          <w:highlight w:val="none"/>
        </w:rPr>
      </w:pPr>
      <w:r>
        <w:rPr>
          <w:rFonts w:hint="eastAsia" w:cs="微软雅黑" w:asciiTheme="majorEastAsia" w:hAnsiTheme="majorEastAsia" w:eastAsiaTheme="majorEastAsia"/>
          <w:b/>
          <w:bCs/>
          <w:color w:val="auto"/>
          <w:sz w:val="24"/>
          <w:highlight w:val="none"/>
        </w:rPr>
        <w:t>主要工作任务</w:t>
      </w:r>
    </w:p>
    <w:p w14:paraId="79F74552">
      <w:pPr>
        <w:snapToGrid w:val="0"/>
        <w:spacing w:line="360" w:lineRule="auto"/>
        <w:ind w:left="280"/>
        <w:rPr>
          <w:rFonts w:cs="微软雅黑" w:asciiTheme="majorEastAsia" w:hAnsiTheme="majorEastAsia" w:eastAsiaTheme="majorEastAsia"/>
          <w:b/>
          <w:color w:val="auto"/>
          <w:sz w:val="24"/>
          <w:highlight w:val="none"/>
          <w:shd w:val="clear" w:color="auto" w:fill="FFFFFF"/>
        </w:rPr>
      </w:pPr>
      <w:r>
        <w:rPr>
          <w:rFonts w:hint="eastAsia" w:cs="微软雅黑" w:asciiTheme="majorEastAsia" w:hAnsiTheme="majorEastAsia" w:eastAsiaTheme="majorEastAsia"/>
          <w:b/>
          <w:color w:val="auto"/>
          <w:sz w:val="24"/>
          <w:highlight w:val="none"/>
          <w:shd w:val="clear" w:color="auto" w:fill="FFFFFF"/>
        </w:rPr>
        <w:t>1、日常养护工作内容</w:t>
      </w:r>
    </w:p>
    <w:p w14:paraId="1E2B645C">
      <w:pPr>
        <w:numPr>
          <w:ilvl w:val="0"/>
          <w:numId w:val="6"/>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绿化养护管理：中耕施肥、整地除草、修剪剥芽、树桩维护、防病除害、倒地扶正、清除枯枝、环境清理、浇水排水、分株移植、看护巡查、刷白、支撑加固、绿化垃圾处理（对修剪下来的树枝、树叶、草末等绿化垃圾做到日产日清;保持绿地整洁，无砖石、瓦块、塑料袋等垃圾和杂物）。</w:t>
      </w:r>
    </w:p>
    <w:p w14:paraId="01B5E3C9">
      <w:pPr>
        <w:numPr>
          <w:ilvl w:val="0"/>
          <w:numId w:val="6"/>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草坪日常养护管理∶整地镇压、割草修边、草屑清除、挑除杂草、加土施肥、浇水排水、防病除害、环境清理、打孔复播、草籽播种（冬季草坪补播黑麦草草籽20g/m2）、绿化垃圾处理（对修剪下来的树枝、树叶、草末等绿化垃圾做到日产日清∶保持绿地整洁，无砖石、瓦块、塑料袋等垃圾和杂物）。</w:t>
      </w:r>
    </w:p>
    <w:p w14:paraId="39F038A3">
      <w:pPr>
        <w:numPr>
          <w:ilvl w:val="0"/>
          <w:numId w:val="6"/>
        </w:numPr>
        <w:spacing w:line="360" w:lineRule="auto"/>
        <w:rPr>
          <w:rFonts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造型树养护管理：中耕施肥、整地除草、修剪剥芽、树桩维护、防病除害、倒地扶正、清除枯枝、环境清理、浇水排水等养护管理工作。</w:t>
      </w:r>
    </w:p>
    <w:p w14:paraId="4FB99BE9">
      <w:pPr>
        <w:numPr>
          <w:ilvl w:val="0"/>
          <w:numId w:val="6"/>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花箱养护∶每个花箱内栽植月季、黄馨、红花继木球等，中耕施肥、整地除草、修剪剥芽、树桩维护、防病除害、倒地扶正、清除枯枝、环境清理、浇水排水等养护管理工作。</w:t>
      </w:r>
    </w:p>
    <w:p w14:paraId="1E9F0A32">
      <w:pPr>
        <w:numPr>
          <w:ilvl w:val="0"/>
          <w:numId w:val="6"/>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安全教育及技能培训管理：做好养护、保洁、安保等工作人员安全生产教育，规范操作，避免工伤（含上下班途中）及因养护操作不当、不到位造成的人身和财产伤害；同时要求每年对职工开展组织不少于2次的园林绿化相关技能知识培训，主题及时间由发包人统一协调安排。</w:t>
      </w:r>
    </w:p>
    <w:p w14:paraId="5656DDC1">
      <w:pPr>
        <w:numPr>
          <w:ilvl w:val="0"/>
          <w:numId w:val="6"/>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应急管理：遇一般突发性、不可抗力事件（如台风、雪、旱、涝等）</w:t>
      </w:r>
      <w:r>
        <w:rPr>
          <w:rFonts w:hint="eastAsia" w:cs="微软雅黑" w:asciiTheme="majorEastAsia" w:hAnsiTheme="majorEastAsia" w:eastAsiaTheme="majorEastAsia"/>
          <w:color w:val="auto"/>
          <w:kern w:val="0"/>
          <w:sz w:val="24"/>
          <w:highlight w:val="none"/>
        </w:rPr>
        <w:t>应急处置，积极有效的处理，</w:t>
      </w:r>
      <w:r>
        <w:rPr>
          <w:rFonts w:hint="eastAsia" w:cs="微软雅黑" w:asciiTheme="majorEastAsia" w:hAnsiTheme="majorEastAsia" w:eastAsiaTheme="majorEastAsia"/>
          <w:color w:val="auto"/>
          <w:sz w:val="24"/>
          <w:highlight w:val="none"/>
        </w:rPr>
        <w:t>要及时处置并安排好值班巡查，做好应急处置方案，配备齐全应急救援人员和相应装备，所需费用自行考虑进投标报价中。</w:t>
      </w:r>
    </w:p>
    <w:p w14:paraId="5D861ACA">
      <w:pPr>
        <w:numPr>
          <w:ilvl w:val="0"/>
          <w:numId w:val="6"/>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热线处理：同时安排专职人员负责对接、处理养护管理范围内阳光热线、数字城管、媒体、群众来电来信来访等所反映的问题。各公园须设立便民服务热线，公布于出入口位置。</w:t>
      </w:r>
    </w:p>
    <w:p w14:paraId="7CBEA3E0">
      <w:pPr>
        <w:numPr>
          <w:ilvl w:val="0"/>
          <w:numId w:val="6"/>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其它：养护范围内对外衔接、行政审批过程跟踪等工作。</w:t>
      </w:r>
    </w:p>
    <w:p w14:paraId="38A1C92D">
      <w:pPr>
        <w:numPr>
          <w:ilvl w:val="0"/>
          <w:numId w:val="6"/>
        </w:numPr>
        <w:spacing w:line="360" w:lineRule="auto"/>
        <w:rPr>
          <w:rFonts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各养护单位至少配备一名现场管理人员（自配办公用品），由甲方统一安排，在指定办公地点配合甲方处理日常养护工作，乙方管理人员的人事任命须征得甲方同意，管理人员应具备丰富的管理经验，需保证工作日8小时在岗，节假日期间做好相关管理工作，24小时通讯通畅，管理人员必须服从甲方的管理和工作部署，如不服从甲方有权提出更换。</w:t>
      </w:r>
    </w:p>
    <w:p w14:paraId="31AFA67B">
      <w:pPr>
        <w:spacing w:line="360" w:lineRule="auto"/>
        <w:ind w:left="480" w:hanging="480" w:hangingChars="200"/>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(10) 各养护单位必须提供园林绿化垃圾无害化处置方案，鼓励管养单位自行资源化处理或委托有垃圾处理资质的相关单位进行处置，并定期对垃圾处置情况及处置费用进行统计和上报，费用自行考虑在报价中，不再额外增加费用。</w:t>
      </w:r>
    </w:p>
    <w:p w14:paraId="3A927C13">
      <w:pPr>
        <w:snapToGrid w:val="0"/>
        <w:spacing w:line="360" w:lineRule="auto"/>
        <w:ind w:left="280"/>
        <w:rPr>
          <w:rFonts w:cs="微软雅黑" w:asciiTheme="majorEastAsia" w:hAnsiTheme="majorEastAsia" w:eastAsiaTheme="majorEastAsia"/>
          <w:b/>
          <w:color w:val="auto"/>
          <w:sz w:val="24"/>
          <w:highlight w:val="none"/>
          <w:shd w:val="clear" w:color="auto" w:fill="FFFFFF"/>
        </w:rPr>
      </w:pPr>
      <w:r>
        <w:rPr>
          <w:rFonts w:hint="eastAsia" w:cs="微软雅黑" w:asciiTheme="majorEastAsia" w:hAnsiTheme="majorEastAsia" w:eastAsiaTheme="majorEastAsia"/>
          <w:b/>
          <w:color w:val="auto"/>
          <w:sz w:val="24"/>
          <w:highlight w:val="none"/>
          <w:shd w:val="clear" w:color="auto" w:fill="FFFFFF"/>
        </w:rPr>
        <w:t>2、绿化补植（含草花）工作内容：</w:t>
      </w:r>
    </w:p>
    <w:p w14:paraId="20AEB201">
      <w:pPr>
        <w:pStyle w:val="35"/>
        <w:numPr>
          <w:ilvl w:val="0"/>
          <w:numId w:val="7"/>
        </w:numPr>
        <w:spacing w:line="360" w:lineRule="auto"/>
        <w:ind w:left="480" w:leftChars="0" w:hanging="48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场地清理与平整、种植土回填、苗木采购、种植等绿化施工内容。</w:t>
      </w:r>
    </w:p>
    <w:p w14:paraId="68EFA6AE">
      <w:pPr>
        <w:pStyle w:val="35"/>
        <w:numPr>
          <w:ilvl w:val="0"/>
          <w:numId w:val="7"/>
        </w:numPr>
        <w:spacing w:line="360" w:lineRule="auto"/>
        <w:ind w:left="480" w:leftChars="0" w:hanging="48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摆放装饰（重大活动及节假日氛围环境布置）及立体美化（组合花箱、花钵、造型花篮，节点花镜立体绿化造型）等。包括但不限于花卉种植、日常养护、多余废土清运、损坏补植、场地清理及重大节日、活动临时的花卉布置等。</w:t>
      </w:r>
    </w:p>
    <w:p w14:paraId="4CDA44A4">
      <w:pPr>
        <w:pStyle w:val="35"/>
        <w:numPr>
          <w:ilvl w:val="0"/>
          <w:numId w:val="7"/>
        </w:numPr>
        <w:spacing w:line="360" w:lineRule="auto"/>
        <w:ind w:left="480" w:leftChars="0" w:hanging="48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适时适种，草花一年5季，中标人所用时花的规格、品种必须符合采购单位的要求，质量必须符合国家现行规范和标准中规定的时花质量，且经采购单位验收同意后方可使用。</w:t>
      </w:r>
    </w:p>
    <w:p w14:paraId="6C8822D7">
      <w:pPr>
        <w:snapToGrid w:val="0"/>
        <w:spacing w:line="360" w:lineRule="auto"/>
        <w:ind w:left="280"/>
        <w:rPr>
          <w:rFonts w:cs="微软雅黑" w:asciiTheme="majorEastAsia" w:hAnsiTheme="majorEastAsia" w:eastAsiaTheme="majorEastAsia"/>
          <w:b/>
          <w:color w:val="auto"/>
          <w:sz w:val="24"/>
          <w:highlight w:val="none"/>
          <w:shd w:val="clear" w:color="auto" w:fill="FFFFFF"/>
        </w:rPr>
      </w:pPr>
      <w:r>
        <w:rPr>
          <w:rFonts w:hint="eastAsia" w:cs="微软雅黑" w:asciiTheme="majorEastAsia" w:hAnsiTheme="majorEastAsia" w:eastAsiaTheme="majorEastAsia"/>
          <w:b/>
          <w:color w:val="auto"/>
          <w:sz w:val="24"/>
          <w:highlight w:val="none"/>
          <w:shd w:val="clear" w:color="auto" w:fill="FFFFFF"/>
        </w:rPr>
        <w:t>3、各类检查评比活动及采购人安排的突击任务；</w:t>
      </w:r>
    </w:p>
    <w:p w14:paraId="3DAD7516">
      <w:pPr>
        <w:snapToGrid w:val="0"/>
        <w:spacing w:line="360" w:lineRule="auto"/>
        <w:ind w:firstLine="241" w:firstLineChars="100"/>
        <w:rPr>
          <w:rFonts w:asciiTheme="majorEastAsia" w:hAnsiTheme="majorEastAsia" w:eastAsiaTheme="majorEastAsia"/>
          <w:color w:val="auto"/>
          <w:sz w:val="24"/>
          <w:highlight w:val="none"/>
        </w:rPr>
      </w:pPr>
      <w:r>
        <w:rPr>
          <w:rFonts w:hint="eastAsia" w:cs="微软雅黑" w:asciiTheme="majorEastAsia" w:hAnsiTheme="majorEastAsia" w:eastAsiaTheme="majorEastAsia"/>
          <w:b/>
          <w:color w:val="auto"/>
          <w:sz w:val="24"/>
          <w:highlight w:val="none"/>
          <w:shd w:val="clear" w:color="auto" w:fill="FFFFFF"/>
        </w:rPr>
        <w:t>4、采购人安排的其他与绿化养护、补植（含草花）作业相关的服务。</w:t>
      </w:r>
    </w:p>
    <w:p w14:paraId="4271A4E2">
      <w:pPr>
        <w:numPr>
          <w:ilvl w:val="0"/>
          <w:numId w:val="5"/>
        </w:numPr>
        <w:spacing w:line="360" w:lineRule="auto"/>
        <w:jc w:val="left"/>
        <w:outlineLvl w:val="0"/>
        <w:rPr>
          <w:rFonts w:cs="微软雅黑" w:asciiTheme="majorEastAsia" w:hAnsiTheme="majorEastAsia" w:eastAsiaTheme="majorEastAsia"/>
          <w:b/>
          <w:bCs/>
          <w:color w:val="auto"/>
          <w:sz w:val="24"/>
          <w:highlight w:val="none"/>
        </w:rPr>
      </w:pPr>
      <w:r>
        <w:rPr>
          <w:rFonts w:hint="eastAsia" w:cs="微软雅黑" w:asciiTheme="majorEastAsia" w:hAnsiTheme="majorEastAsia" w:eastAsiaTheme="majorEastAsia"/>
          <w:b/>
          <w:bCs/>
          <w:color w:val="auto"/>
          <w:sz w:val="24"/>
          <w:highlight w:val="none"/>
        </w:rPr>
        <w:t>要求</w:t>
      </w:r>
    </w:p>
    <w:p w14:paraId="1CCF4E6A">
      <w:pPr>
        <w:numPr>
          <w:ilvl w:val="0"/>
          <w:numId w:val="8"/>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要求养护质量达到《浙江省园林绿化技术规程（试行）》、《南太湖新区公用事业管理中心园林绿化养护管理手册》及国家现行有关的规范标准相对应的绿化养护质量标准及要求。</w:t>
      </w:r>
    </w:p>
    <w:p w14:paraId="580009F4">
      <w:pPr>
        <w:numPr>
          <w:ilvl w:val="0"/>
          <w:numId w:val="8"/>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中标人必须严格按合同条款、绿地养护标准，精心组织养护，确保养护质量。</w:t>
      </w:r>
    </w:p>
    <w:p w14:paraId="148AC07E">
      <w:pPr>
        <w:numPr>
          <w:ilvl w:val="0"/>
          <w:numId w:val="8"/>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中标人必须在合同签订后在一星期内对所承包绿地范围内绿化苗木及设施列出清单，上交给发包方，缺损苗木由发包方组织补植，后续因养护管理不到位造成死亡、缺损苗木由中标人负责补植，因此发生的费用由中标人承担。</w:t>
      </w:r>
    </w:p>
    <w:p w14:paraId="2A075600">
      <w:pPr>
        <w:numPr>
          <w:ilvl w:val="0"/>
          <w:numId w:val="8"/>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养护人员配置（不低于0.8万平方米/人）、外包单位现场负责人配置（不少于1人）。</w:t>
      </w:r>
    </w:p>
    <w:p w14:paraId="767B08A0">
      <w:pPr>
        <w:numPr>
          <w:ilvl w:val="0"/>
          <w:numId w:val="8"/>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外包单位安排好日常应急人员、应急车辆的值班值守，随时对110联动、交通事故、灾难天气等应急处置，并负责对交通事故赔付处理、绿化修复工作，未及时发现绿化被损坏的由中标单位自行负责修复，未及时修复发生意外伤害事故的，由外包单位全权负责。</w:t>
      </w:r>
    </w:p>
    <w:p w14:paraId="6906DF07">
      <w:pPr>
        <w:numPr>
          <w:ilvl w:val="0"/>
          <w:numId w:val="8"/>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 xml:space="preserve">外包单位每天安排巡查，并有记录，负责对开挖等损坏绿化的修复工作，未及时发现绿化被损坏的由中标单位自行负责修复，未及时修复发生意外伤害事故的，由外包单位全权负责。 </w:t>
      </w:r>
    </w:p>
    <w:p w14:paraId="47A707F4">
      <w:pPr>
        <w:numPr>
          <w:ilvl w:val="0"/>
          <w:numId w:val="8"/>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浇水车配备：（夏季浇水要求：配备上路补水作业）</w:t>
      </w:r>
    </w:p>
    <w:p w14:paraId="6DE8F182">
      <w:pPr>
        <w:numPr>
          <w:ilvl w:val="0"/>
          <w:numId w:val="8"/>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清运货车配置：对生产垃圾随产随清。</w:t>
      </w:r>
    </w:p>
    <w:p w14:paraId="1C85E836">
      <w:pPr>
        <w:numPr>
          <w:ilvl w:val="0"/>
          <w:numId w:val="8"/>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施肥要求、次数：按规定不少于3次/年，具体时间：4月、10月、12月。施肥量按标准另定。</w:t>
      </w:r>
    </w:p>
    <w:p w14:paraId="582A2D51">
      <w:pPr>
        <w:numPr>
          <w:ilvl w:val="0"/>
          <w:numId w:val="8"/>
        </w:numPr>
        <w:spacing w:line="360" w:lineRule="auto"/>
        <w:rPr>
          <w:rFonts w:cs="微软雅黑" w:asciiTheme="majorEastAsia" w:hAnsiTheme="majorEastAsia" w:eastAsiaTheme="majorEastAsia"/>
          <w:b/>
          <w:bCs/>
          <w:color w:val="auto"/>
          <w:sz w:val="24"/>
          <w:highlight w:val="none"/>
        </w:rPr>
      </w:pPr>
      <w:r>
        <w:rPr>
          <w:rFonts w:hint="eastAsia" w:cs="微软雅黑" w:asciiTheme="majorEastAsia" w:hAnsiTheme="majorEastAsia" w:eastAsiaTheme="majorEastAsia"/>
          <w:b/>
          <w:bCs/>
          <w:color w:val="auto"/>
          <w:sz w:val="24"/>
          <w:highlight w:val="none"/>
        </w:rPr>
        <w:t>办公场所：中标单位应在我市城区范围内设立固定的办公及机械设备等养护用品存放场所，合同签订时需向采购人出示固定场所的证明材料（房屋所有权证或租赁协议）。</w:t>
      </w:r>
    </w:p>
    <w:p w14:paraId="65196420">
      <w:pPr>
        <w:numPr>
          <w:ilvl w:val="0"/>
          <w:numId w:val="8"/>
        </w:numPr>
        <w:spacing w:line="360" w:lineRule="auto"/>
        <w:rPr>
          <w:rFonts w:cs="微软雅黑" w:asciiTheme="majorEastAsia" w:hAnsiTheme="majorEastAsia" w:eastAsiaTheme="majorEastAsia"/>
          <w:b/>
          <w:bCs/>
          <w:color w:val="auto"/>
          <w:sz w:val="24"/>
          <w:highlight w:val="none"/>
        </w:rPr>
      </w:pPr>
      <w:r>
        <w:rPr>
          <w:rFonts w:hint="eastAsia" w:cs="微软雅黑" w:asciiTheme="majorEastAsia" w:hAnsiTheme="majorEastAsia" w:eastAsiaTheme="majorEastAsia"/>
          <w:b/>
          <w:bCs/>
          <w:color w:val="auto"/>
          <w:sz w:val="24"/>
          <w:highlight w:val="none"/>
        </w:rPr>
        <w:t>上述任务需严格按照《南太湖新区公用事业管理中心绿化养护考核实施细则》执行。如采购人为提高作业质量对考核办法进行补充更改，由此引起的与原考核办法、标准等内容不一致的条文以最后发文日期规定为准。</w:t>
      </w:r>
    </w:p>
    <w:p w14:paraId="1A230874">
      <w:pPr>
        <w:numPr>
          <w:ilvl w:val="0"/>
          <w:numId w:val="9"/>
        </w:numPr>
        <w:spacing w:line="360" w:lineRule="auto"/>
        <w:ind w:left="425" w:hanging="425"/>
        <w:jc w:val="left"/>
        <w:outlineLvl w:val="0"/>
        <w:rPr>
          <w:rFonts w:cs="微软雅黑" w:asciiTheme="majorEastAsia" w:hAnsiTheme="majorEastAsia" w:eastAsiaTheme="majorEastAsia"/>
          <w:b/>
          <w:bCs/>
          <w:color w:val="auto"/>
          <w:sz w:val="24"/>
          <w:highlight w:val="none"/>
        </w:rPr>
      </w:pPr>
      <w:r>
        <w:rPr>
          <w:rFonts w:hint="eastAsia" w:cs="微软雅黑" w:asciiTheme="majorEastAsia" w:hAnsiTheme="majorEastAsia" w:eastAsiaTheme="majorEastAsia"/>
          <w:b/>
          <w:bCs/>
          <w:color w:val="auto"/>
          <w:sz w:val="24"/>
          <w:highlight w:val="none"/>
        </w:rPr>
        <w:t>报价说明</w:t>
      </w:r>
    </w:p>
    <w:p w14:paraId="4D080209">
      <w:pPr>
        <w:pStyle w:val="21"/>
        <w:widowControl/>
        <w:numPr>
          <w:ilvl w:val="0"/>
          <w:numId w:val="10"/>
        </w:numPr>
        <w:tabs>
          <w:tab w:val="left" w:pos="0"/>
          <w:tab w:val="left" w:pos="993"/>
          <w:tab w:val="left" w:pos="1134"/>
        </w:tabs>
        <w:spacing w:line="360" w:lineRule="auto"/>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本次招标绿化养护为固定单价招标，实际养护面积可能因新建绿地移交接管、范围调整等因素发生变化。招标工程量是预计数量，仅作为投标的共同基础，不能作为最终结算与支付的依据。结算与支付应以招标人认可的，参照原《湖州经济技术开发区园林绿化养护管理手册》和技术规范要求完成的实际工程数量为依据，按投标人投标报价中的单价和招标文件规定的计算方式进行结算与支付。</w:t>
      </w:r>
    </w:p>
    <w:p w14:paraId="47430071">
      <w:pPr>
        <w:pStyle w:val="21"/>
        <w:widowControl/>
        <w:numPr>
          <w:ilvl w:val="0"/>
          <w:numId w:val="10"/>
        </w:numPr>
        <w:tabs>
          <w:tab w:val="left" w:pos="0"/>
          <w:tab w:val="left" w:pos="993"/>
          <w:tab w:val="left" w:pos="1134"/>
        </w:tabs>
        <w:spacing w:line="360" w:lineRule="auto"/>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投标人按《湖州经济技术开发区园林绿化养护管理手册》要求结合实际自行考虑报价。</w:t>
      </w:r>
    </w:p>
    <w:p w14:paraId="7074BB7A">
      <w:pPr>
        <w:pStyle w:val="45"/>
        <w:numPr>
          <w:ilvl w:val="0"/>
          <w:numId w:val="10"/>
        </w:numPr>
        <w:spacing w:line="360" w:lineRule="auto"/>
        <w:ind w:firstLineChars="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道路绿地和公共绿地（街头绿地、沿河带状绿地等）Ⅰ、Ⅱ级地段管理养护标准》《道路绿地和公共绿地（街头绿地、沿河带状绿地等）Ⅰ、Ⅱ级地段养护考核评分细则》内容基本相同。但市民、阳光热线、媒体、上级部门等都十分关注公园、Ⅰ级地段的养护质量，除了做好日常养护工作外，对Ⅰ级地段和公园时常要进行突击养护，精细操作，考核要求高。损坏的设备设施的维修和养护不当造成的绿化缺损及时补植，直至市民、阳光热线、媒体、上级部门等人员满意。</w:t>
      </w:r>
    </w:p>
    <w:p w14:paraId="49491BA6">
      <w:pPr>
        <w:pStyle w:val="21"/>
        <w:widowControl/>
        <w:numPr>
          <w:ilvl w:val="0"/>
          <w:numId w:val="10"/>
        </w:numPr>
        <w:tabs>
          <w:tab w:val="left" w:pos="0"/>
          <w:tab w:val="left" w:pos="993"/>
          <w:tab w:val="left" w:pos="1134"/>
        </w:tabs>
        <w:spacing w:line="360" w:lineRule="auto"/>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本次招标绿化补植为折扣报价，实际补植面积可能因新建绿地移交接管、范围调整等因素发生变化。招标工程量是预计数量，仅作为投标的共同基础，不能作为最终结算与支付的依据。最终补植区域、面积、结算及支付应以招标人认可的，按招标人和技术规范要求完成的实际工程数量为依据，按投标人投标报价中的单价和招标文件规定的计算方式进行结算与支付。</w:t>
      </w:r>
    </w:p>
    <w:p w14:paraId="14B6918A">
      <w:pPr>
        <w:numPr>
          <w:ilvl w:val="0"/>
          <w:numId w:val="10"/>
        </w:numPr>
        <w:spacing w:line="360" w:lineRule="auto"/>
        <w:rPr>
          <w:rFonts w:cs="微软雅黑" w:asciiTheme="majorEastAsia" w:hAnsiTheme="majorEastAsia" w:eastAsiaTheme="majorEastAsia"/>
          <w:b/>
          <w:bCs/>
          <w:color w:val="auto"/>
          <w:sz w:val="24"/>
          <w:highlight w:val="none"/>
          <w:u w:val="single"/>
        </w:rPr>
      </w:pPr>
      <w:r>
        <w:rPr>
          <w:rFonts w:hint="eastAsia" w:cs="微软雅黑" w:asciiTheme="majorEastAsia" w:hAnsiTheme="majorEastAsia" w:eastAsiaTheme="majorEastAsia"/>
          <w:b/>
          <w:bCs/>
          <w:color w:val="auto"/>
          <w:sz w:val="24"/>
          <w:highlight w:val="none"/>
          <w:u w:val="single"/>
        </w:rPr>
        <w:t>绿化补植按折扣招标，本项目补植结算按审计单位审定价格的95%为上限价，各投标单位在不超过审定价95%的基础下进行优惠报价。但凡超大于（或等于）95%限价的，均作无效标处理。</w:t>
      </w:r>
    </w:p>
    <w:p w14:paraId="3AFA13A1">
      <w:pPr>
        <w:numPr>
          <w:ilvl w:val="0"/>
          <w:numId w:val="10"/>
        </w:numPr>
        <w:spacing w:line="360" w:lineRule="auto"/>
        <w:rPr>
          <w:rFonts w:cs="微软雅黑" w:asciiTheme="majorEastAsia" w:hAnsiTheme="majorEastAsia" w:eastAsiaTheme="majorEastAsia"/>
          <w:bCs/>
          <w:color w:val="auto"/>
          <w:sz w:val="24"/>
          <w:highlight w:val="none"/>
        </w:rPr>
      </w:pPr>
      <w:r>
        <w:rPr>
          <w:rFonts w:hint="eastAsia" w:cs="微软雅黑" w:asciiTheme="majorEastAsia" w:hAnsiTheme="majorEastAsia" w:eastAsiaTheme="majorEastAsia"/>
          <w:bCs/>
          <w:color w:val="auto"/>
          <w:sz w:val="24"/>
          <w:highlight w:val="none"/>
        </w:rPr>
        <w:t>投标报价包括场地清理平整、草花、种植、养护、装卸、运输、看护、每期内枯死和损坏株的更换、杂物清运、人工费及风险、规费税金等一切费用</w:t>
      </w:r>
    </w:p>
    <w:p w14:paraId="26CFDFAE">
      <w:pPr>
        <w:numPr>
          <w:ilvl w:val="0"/>
          <w:numId w:val="10"/>
        </w:numPr>
        <w:spacing w:line="360" w:lineRule="auto"/>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启动重大抗灾应急预案时所发生的额外追加费用</w:t>
      </w:r>
      <w:r>
        <w:rPr>
          <w:rFonts w:hint="eastAsia" w:cs="微软雅黑" w:asciiTheme="majorEastAsia" w:hAnsiTheme="majorEastAsia" w:eastAsiaTheme="majorEastAsia"/>
          <w:bCs/>
          <w:color w:val="auto"/>
          <w:sz w:val="24"/>
          <w:highlight w:val="none"/>
        </w:rPr>
        <w:t>自行考虑在报价中，不再额外增加费用</w:t>
      </w:r>
      <w:r>
        <w:rPr>
          <w:rFonts w:hint="eastAsia" w:cs="微软雅黑" w:asciiTheme="majorEastAsia" w:hAnsiTheme="majorEastAsia" w:eastAsiaTheme="majorEastAsia"/>
          <w:color w:val="auto"/>
          <w:sz w:val="24"/>
          <w:highlight w:val="none"/>
        </w:rPr>
        <w:t>。</w:t>
      </w:r>
    </w:p>
    <w:p w14:paraId="0FC4E809">
      <w:pPr>
        <w:numPr>
          <w:ilvl w:val="0"/>
          <w:numId w:val="10"/>
        </w:numPr>
        <w:kinsoku w:val="0"/>
        <w:overflowPunct w:val="0"/>
        <w:spacing w:before="26" w:after="120" w:line="360" w:lineRule="auto"/>
        <w:rPr>
          <w:rFonts w:cs="微软雅黑" w:asciiTheme="majorEastAsia" w:hAnsiTheme="majorEastAsia" w:eastAsiaTheme="majorEastAsia"/>
          <w:b/>
          <w:bCs/>
          <w:color w:val="auto"/>
          <w:sz w:val="24"/>
          <w:highlight w:val="none"/>
        </w:rPr>
      </w:pPr>
      <w:r>
        <w:rPr>
          <w:rFonts w:hint="eastAsia" w:cs="微软雅黑" w:asciiTheme="majorEastAsia" w:hAnsiTheme="majorEastAsia" w:eastAsiaTheme="majorEastAsia"/>
          <w:b/>
          <w:bCs/>
          <w:color w:val="auto"/>
          <w:sz w:val="24"/>
          <w:highlight w:val="none"/>
        </w:rPr>
        <w:t>招标范围外增加养护面积：新增养护面积在1万平方米之内不作费用调整，新增养护面积若超过1万平方米，超出差额（超过1万平方米部分面积）部分按中标单价计养护费结算，总体费用不得高于采购预算。</w:t>
      </w:r>
    </w:p>
    <w:p w14:paraId="1006623C">
      <w:pPr>
        <w:spacing w:line="360" w:lineRule="auto"/>
        <w:ind w:firstLine="480" w:firstLineChars="200"/>
        <w:rPr>
          <w:color w:val="auto"/>
          <w:sz w:val="24"/>
          <w:szCs w:val="24"/>
          <w:highlight w:val="none"/>
        </w:rPr>
      </w:pPr>
      <w:r>
        <w:rPr>
          <w:rFonts w:hint="eastAsia"/>
          <w:color w:val="auto"/>
          <w:sz w:val="24"/>
          <w:szCs w:val="24"/>
          <w:highlight w:val="none"/>
        </w:rPr>
        <w:t>五、检查考核管理办法：</w:t>
      </w:r>
    </w:p>
    <w:p w14:paraId="5FF35DC7">
      <w:pPr>
        <w:spacing w:line="360" w:lineRule="auto"/>
        <w:ind w:firstLine="480" w:firstLineChars="200"/>
        <w:rPr>
          <w:color w:val="auto"/>
          <w:sz w:val="24"/>
          <w:szCs w:val="24"/>
          <w:highlight w:val="none"/>
        </w:rPr>
      </w:pPr>
      <w:r>
        <w:rPr>
          <w:rFonts w:hint="eastAsia"/>
          <w:color w:val="auto"/>
          <w:sz w:val="24"/>
          <w:szCs w:val="24"/>
          <w:highlight w:val="none"/>
        </w:rPr>
        <w:t>采购人将严格按照《南太湖新区公用事业管理中心绿化养护考核实施细则》执行。</w:t>
      </w:r>
    </w:p>
    <w:p w14:paraId="16618E29">
      <w:pPr>
        <w:spacing w:line="360" w:lineRule="auto"/>
        <w:ind w:firstLine="480" w:firstLineChars="200"/>
        <w:rPr>
          <w:color w:val="auto"/>
          <w:sz w:val="24"/>
          <w:szCs w:val="24"/>
          <w:highlight w:val="none"/>
        </w:rPr>
      </w:pPr>
      <w:r>
        <w:rPr>
          <w:rFonts w:hint="eastAsia"/>
          <w:color w:val="auto"/>
          <w:sz w:val="24"/>
          <w:szCs w:val="24"/>
          <w:highlight w:val="none"/>
        </w:rPr>
        <w:t>六、其他要求</w:t>
      </w:r>
    </w:p>
    <w:p w14:paraId="37977FD4">
      <w:pPr>
        <w:numPr>
          <w:ilvl w:val="0"/>
          <w:numId w:val="11"/>
        </w:numPr>
        <w:kinsoku w:val="0"/>
        <w:overflowPunct w:val="0"/>
        <w:spacing w:before="34" w:after="120" w:line="360" w:lineRule="auto"/>
        <w:ind w:right="128"/>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中标人在入场进行服务时必须确保人员、设备等按要求同时进场。</w:t>
      </w:r>
    </w:p>
    <w:p w14:paraId="4A0FC60D">
      <w:pPr>
        <w:numPr>
          <w:ilvl w:val="0"/>
          <w:numId w:val="11"/>
        </w:numPr>
        <w:spacing w:line="360" w:lineRule="auto"/>
        <w:jc w:val="left"/>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中标人对服务于本项目工作人员的工资发放标准不得低于湖州市最低工资标准。</w:t>
      </w:r>
    </w:p>
    <w:p w14:paraId="5A2DB8FD">
      <w:pPr>
        <w:numPr>
          <w:ilvl w:val="0"/>
          <w:numId w:val="11"/>
        </w:numPr>
        <w:kinsoku w:val="0"/>
        <w:overflowPunct w:val="0"/>
        <w:spacing w:before="34" w:after="120" w:line="360" w:lineRule="auto"/>
        <w:ind w:right="102"/>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中标人必须为以上工作人员购买意外保险、工伤保险和社会保险等，法定年龄外的必须购买意外保险或工</w:t>
      </w:r>
      <w:r>
        <w:rPr>
          <w:rFonts w:hint="eastAsia" w:cs="微软雅黑" w:asciiTheme="majorEastAsia" w:hAnsiTheme="majorEastAsia" w:eastAsiaTheme="majorEastAsia"/>
          <w:color w:val="auto"/>
          <w:sz w:val="24"/>
          <w:highlight w:val="none"/>
          <w:lang w:eastAsia="zh-CN"/>
        </w:rPr>
        <w:t>伤保</w:t>
      </w:r>
      <w:r>
        <w:rPr>
          <w:rFonts w:hint="eastAsia" w:cs="微软雅黑" w:asciiTheme="majorEastAsia" w:hAnsiTheme="majorEastAsia" w:eastAsiaTheme="majorEastAsia"/>
          <w:color w:val="auto"/>
          <w:sz w:val="24"/>
          <w:highlight w:val="none"/>
        </w:rPr>
        <w:t>险，国家相关政策调整的应按调整后的政策严格执行，并报采购人备案。</w:t>
      </w:r>
    </w:p>
    <w:p w14:paraId="271E9AB4">
      <w:pPr>
        <w:numPr>
          <w:ilvl w:val="0"/>
          <w:numId w:val="11"/>
        </w:numPr>
        <w:kinsoku w:val="0"/>
        <w:overflowPunct w:val="0"/>
        <w:spacing w:before="34" w:after="120" w:line="360" w:lineRule="auto"/>
        <w:ind w:right="102"/>
        <w:rPr>
          <w:rFonts w:cs="微软雅黑" w:asciiTheme="majorEastAsia" w:hAnsiTheme="majorEastAsia" w:eastAsiaTheme="majorEastAsia"/>
          <w:color w:val="auto"/>
          <w:sz w:val="24"/>
          <w:highlight w:val="none"/>
        </w:rPr>
      </w:pPr>
      <w:r>
        <w:rPr>
          <w:rFonts w:hint="eastAsia" w:cs="微软雅黑" w:asciiTheme="majorEastAsia" w:hAnsiTheme="majorEastAsia" w:eastAsiaTheme="majorEastAsia"/>
          <w:color w:val="auto"/>
          <w:sz w:val="24"/>
          <w:highlight w:val="none"/>
        </w:rPr>
        <w:t>中标人作业人员在作业时应严格遵守劳动纪律，遵守安全操作规程，确</w:t>
      </w:r>
      <w:r>
        <w:rPr>
          <w:rFonts w:hint="eastAsia" w:cs="微软雅黑" w:asciiTheme="majorEastAsia" w:hAnsiTheme="majorEastAsia" w:eastAsiaTheme="majorEastAsia"/>
          <w:color w:val="auto"/>
          <w:spacing w:val="-2"/>
          <w:sz w:val="24"/>
          <w:highlight w:val="none"/>
        </w:rPr>
        <w:t>保安全。发生各种意外事故均由中标人自己依照法律法规妥善处理，采购人</w:t>
      </w:r>
      <w:r>
        <w:rPr>
          <w:rFonts w:hint="eastAsia" w:cs="微软雅黑" w:asciiTheme="majorEastAsia" w:hAnsiTheme="majorEastAsia" w:eastAsiaTheme="majorEastAsia"/>
          <w:color w:val="auto"/>
          <w:sz w:val="24"/>
          <w:highlight w:val="none"/>
        </w:rPr>
        <w:t>不承担任何法律责任。</w:t>
      </w:r>
    </w:p>
    <w:p w14:paraId="5C21A83B">
      <w:pPr>
        <w:numPr>
          <w:ilvl w:val="0"/>
          <w:numId w:val="11"/>
        </w:numPr>
        <w:autoSpaceDE w:val="0"/>
        <w:autoSpaceDN w:val="0"/>
        <w:adjustRightInd w:val="0"/>
        <w:spacing w:line="360" w:lineRule="auto"/>
        <w:jc w:val="left"/>
        <w:rPr>
          <w:rFonts w:cs="微软雅黑" w:asciiTheme="majorEastAsia" w:hAnsiTheme="majorEastAsia" w:eastAsiaTheme="majorEastAsia"/>
          <w:b/>
          <w:bCs/>
          <w:color w:val="auto"/>
          <w:kern w:val="0"/>
          <w:sz w:val="24"/>
          <w:highlight w:val="none"/>
          <w:lang w:val="zh-CN"/>
        </w:rPr>
      </w:pPr>
      <w:r>
        <w:rPr>
          <w:rFonts w:hint="eastAsia" w:cs="微软雅黑" w:asciiTheme="majorEastAsia" w:hAnsiTheme="majorEastAsia" w:eastAsiaTheme="majorEastAsia"/>
          <w:b/>
          <w:bCs/>
          <w:color w:val="auto"/>
          <w:kern w:val="0"/>
          <w:sz w:val="24"/>
          <w:highlight w:val="none"/>
          <w:lang w:val="zh-CN"/>
        </w:rPr>
        <w:t>工程安全事项及违约责任</w:t>
      </w:r>
    </w:p>
    <w:p w14:paraId="123FCC28">
      <w:pPr>
        <w:pStyle w:val="21"/>
        <w:widowControl/>
        <w:numPr>
          <w:ilvl w:val="1"/>
          <w:numId w:val="12"/>
        </w:numPr>
        <w:tabs>
          <w:tab w:val="left" w:pos="0"/>
          <w:tab w:val="left" w:pos="993"/>
          <w:tab w:val="left" w:pos="1134"/>
        </w:tabs>
        <w:spacing w:line="360" w:lineRule="auto"/>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中标人应严格执行各项国家有关规定，有关技术人员必须持证上岗，专人专职负责安全。</w:t>
      </w:r>
    </w:p>
    <w:p w14:paraId="3487E383">
      <w:pPr>
        <w:pStyle w:val="21"/>
        <w:widowControl/>
        <w:numPr>
          <w:ilvl w:val="1"/>
          <w:numId w:val="12"/>
        </w:numPr>
        <w:tabs>
          <w:tab w:val="left" w:pos="0"/>
          <w:tab w:val="left" w:pos="993"/>
          <w:tab w:val="left" w:pos="1134"/>
        </w:tabs>
        <w:spacing w:line="360" w:lineRule="auto"/>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中标人应严格按国家有关规定，为本项目所有养护人员办理相关保险事宜（如工伤保险等）。</w:t>
      </w:r>
    </w:p>
    <w:p w14:paraId="5C2FEF48">
      <w:pPr>
        <w:pStyle w:val="21"/>
        <w:widowControl/>
        <w:numPr>
          <w:ilvl w:val="1"/>
          <w:numId w:val="12"/>
        </w:numPr>
        <w:tabs>
          <w:tab w:val="left" w:pos="0"/>
          <w:tab w:val="left" w:pos="993"/>
          <w:tab w:val="left" w:pos="1134"/>
        </w:tabs>
        <w:spacing w:line="360" w:lineRule="auto"/>
        <w:rPr>
          <w:rFonts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中标人应实施严格的各类安全防护措施，切实做好施工、养护期间的安民告示，设置必要的警戒标志，线杆保护措施，制定保障人员出行安全畅通的保证措施，做好照明、看守和警卫工作，有毒气体防护措施和电源电线安全保护措施，并对工程现场的安全负责，接受发包人和监理单位的现场代表对安全措施的监督。中标人在施工、养护期间，若发生与本养护管理工程相关的安全事故和治安纠纷事件，一切法律和经济责任均由中标单位承担，发包人概不负责。</w:t>
      </w:r>
      <w:r>
        <w:rPr>
          <w:rFonts w:hint="eastAsia" w:cs="微软雅黑" w:asciiTheme="majorEastAsia" w:hAnsiTheme="majorEastAsia" w:eastAsiaTheme="majorEastAsia"/>
          <w:snapToGrid w:val="0"/>
          <w:color w:val="auto"/>
          <w:sz w:val="24"/>
          <w:szCs w:val="24"/>
          <w:highlight w:val="none"/>
        </w:rPr>
        <w:t>由于中标人安全措施不力、养护工作不到位、违反安全操作规程而导致责任事故或伤害，所发生的费用均由中标人自负，发包人保留追究责任的权利。</w:t>
      </w:r>
    </w:p>
    <w:p w14:paraId="35FB7D11">
      <w:pPr>
        <w:pStyle w:val="21"/>
        <w:widowControl/>
        <w:numPr>
          <w:ilvl w:val="1"/>
          <w:numId w:val="12"/>
        </w:numPr>
        <w:tabs>
          <w:tab w:val="left" w:pos="0"/>
          <w:tab w:val="left" w:pos="993"/>
          <w:tab w:val="left" w:pos="1134"/>
        </w:tabs>
        <w:spacing w:line="360" w:lineRule="auto"/>
        <w:rPr>
          <w:rFonts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中标人应做好抗灾减灾应急预案，密切注意气象预报，及时采取防范措施，防止暴风雨（台风）、洪水、雷电、冰冻、旱、雪等造成工程损害，中标人不得以除地震等不可抗力以外的自然灾害为由提出索赔要求。</w:t>
      </w:r>
    </w:p>
    <w:p w14:paraId="0BF9BBD6">
      <w:pPr>
        <w:pStyle w:val="21"/>
        <w:widowControl/>
        <w:numPr>
          <w:ilvl w:val="1"/>
          <w:numId w:val="12"/>
        </w:numPr>
        <w:tabs>
          <w:tab w:val="left" w:pos="0"/>
          <w:tab w:val="left" w:pos="993"/>
          <w:tab w:val="left" w:pos="1134"/>
        </w:tabs>
        <w:spacing w:line="360" w:lineRule="auto"/>
        <w:rPr>
          <w:rFonts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中标人必须按投标时提供的人员配置，合理安排劳动力，未详之处按</w:t>
      </w:r>
      <w:r>
        <w:rPr>
          <w:rFonts w:hint="eastAsia" w:asciiTheme="majorEastAsia" w:hAnsiTheme="majorEastAsia" w:eastAsiaTheme="majorEastAsia"/>
          <w:color w:val="auto"/>
          <w:sz w:val="24"/>
          <w:szCs w:val="24"/>
          <w:highlight w:val="none"/>
        </w:rPr>
        <w:t>《中华人民共和国劳动法》</w:t>
      </w:r>
      <w:r>
        <w:rPr>
          <w:rFonts w:hint="eastAsia" w:cs="微软雅黑" w:asciiTheme="majorEastAsia" w:hAnsiTheme="majorEastAsia" w:eastAsiaTheme="majorEastAsia"/>
          <w:color w:val="auto"/>
          <w:sz w:val="24"/>
          <w:szCs w:val="24"/>
          <w:highlight w:val="none"/>
        </w:rPr>
        <w:t>相关规定处理。</w:t>
      </w:r>
    </w:p>
    <w:p w14:paraId="06A7BF3C">
      <w:pPr>
        <w:spacing w:line="360" w:lineRule="auto"/>
        <w:ind w:firstLine="482" w:firstLineChars="200"/>
        <w:rPr>
          <w:b/>
          <w:bCs/>
          <w:color w:val="auto"/>
          <w:sz w:val="24"/>
          <w:szCs w:val="24"/>
          <w:highlight w:val="none"/>
        </w:rPr>
      </w:pPr>
      <w:r>
        <w:rPr>
          <w:rFonts w:hint="eastAsia"/>
          <w:b/>
          <w:color w:val="auto"/>
          <w:sz w:val="24"/>
          <w:szCs w:val="24"/>
          <w:highlight w:val="none"/>
          <w:lang w:eastAsia="zh-CN"/>
        </w:rPr>
        <w:t>七、</w:t>
      </w:r>
      <w:r>
        <w:rPr>
          <w:rFonts w:hint="eastAsia"/>
          <w:b/>
          <w:bCs/>
          <w:color w:val="auto"/>
          <w:sz w:val="24"/>
          <w:szCs w:val="24"/>
          <w:highlight w:val="none"/>
        </w:rPr>
        <w:t>考核标准：</w:t>
      </w:r>
    </w:p>
    <w:p w14:paraId="6C602701">
      <w:pPr>
        <w:pStyle w:val="21"/>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参照《南太湖新区公用事业管理中心绿化养护考核实施细则》，见附件一</w:t>
      </w:r>
    </w:p>
    <w:p w14:paraId="3FC532C5">
      <w:pPr>
        <w:pStyle w:val="21"/>
        <w:spacing w:line="360" w:lineRule="auto"/>
        <w:ind w:firstLine="228" w:firstLineChars="98"/>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质量标准考核细则：按园林绿化养护质量标准Ⅱ级执行。</w:t>
      </w:r>
    </w:p>
    <w:p w14:paraId="0B398E81">
      <w:pPr>
        <w:pStyle w:val="21"/>
        <w:spacing w:line="360" w:lineRule="auto"/>
        <w:ind w:firstLine="114" w:firstLineChars="49"/>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《湖州南太湖新区公用事业管理中心绿地养护考核评分表》</w:t>
      </w:r>
    </w:p>
    <w:p w14:paraId="3A1CA3A9">
      <w:pPr>
        <w:spacing w:line="400" w:lineRule="exact"/>
        <w:jc w:val="center"/>
        <w:rPr>
          <w:rFonts w:cs="方正小标宋简体" w:asciiTheme="majorEastAsia" w:hAnsiTheme="majorEastAsia" w:eastAsiaTheme="majorEastAsia"/>
          <w:b/>
          <w:bCs/>
          <w:color w:val="auto"/>
          <w:kern w:val="0"/>
          <w:sz w:val="24"/>
          <w:highlight w:val="none"/>
        </w:rPr>
      </w:pPr>
      <w:r>
        <w:rPr>
          <w:rFonts w:hint="eastAsia" w:cs="方正小标宋简体" w:asciiTheme="majorEastAsia" w:hAnsiTheme="majorEastAsia" w:eastAsiaTheme="majorEastAsia"/>
          <w:b/>
          <w:bCs/>
          <w:color w:val="auto"/>
          <w:kern w:val="0"/>
          <w:sz w:val="24"/>
          <w:highlight w:val="none"/>
        </w:rPr>
        <w:t>湖州南太湖新区公用事业管理中心绿地养护考核评分表</w:t>
      </w:r>
    </w:p>
    <w:p w14:paraId="77BF5818">
      <w:pPr>
        <w:spacing w:line="400" w:lineRule="exact"/>
        <w:jc w:val="center"/>
        <w:rPr>
          <w:rFonts w:cs="方正小标宋简体" w:asciiTheme="majorEastAsia" w:hAnsiTheme="majorEastAsia" w:eastAsiaTheme="majorEastAsia"/>
          <w:b/>
          <w:bCs/>
          <w:color w:val="auto"/>
          <w:kern w:val="0"/>
          <w:sz w:val="24"/>
          <w:highlight w:val="none"/>
        </w:rPr>
      </w:pPr>
      <w:r>
        <w:rPr>
          <w:rFonts w:hint="eastAsia" w:cs="方正小标宋简体" w:asciiTheme="majorEastAsia" w:hAnsiTheme="majorEastAsia" w:eastAsiaTheme="majorEastAsia"/>
          <w:b/>
          <w:bCs/>
          <w:color w:val="auto"/>
          <w:kern w:val="0"/>
          <w:sz w:val="24"/>
          <w:highlight w:val="none"/>
        </w:rPr>
        <w:t>（12~2月）</w:t>
      </w:r>
    </w:p>
    <w:p w14:paraId="02A3786C">
      <w:pPr>
        <w:spacing w:line="400" w:lineRule="exact"/>
        <w:jc w:val="left"/>
        <w:rPr>
          <w:rFonts w:cs="楷体_GB2312" w:asciiTheme="majorEastAsia" w:hAnsiTheme="majorEastAsia" w:eastAsiaTheme="majorEastAsia"/>
          <w:color w:val="auto"/>
          <w:kern w:val="0"/>
          <w:sz w:val="24"/>
          <w:highlight w:val="none"/>
        </w:rPr>
      </w:pPr>
      <w:r>
        <w:rPr>
          <w:rFonts w:hint="eastAsia" w:cs="楷体_GB2312" w:asciiTheme="majorEastAsia" w:hAnsiTheme="majorEastAsia" w:eastAsiaTheme="majorEastAsia"/>
          <w:color w:val="auto"/>
          <w:kern w:val="0"/>
          <w:sz w:val="24"/>
          <w:highlight w:val="none"/>
        </w:rPr>
        <w:t>单位名称：                         标 段：</w:t>
      </w:r>
    </w:p>
    <w:tbl>
      <w:tblPr>
        <w:tblStyle w:val="47"/>
        <w:tblW w:w="8844" w:type="dxa"/>
        <w:jc w:val="center"/>
        <w:tblLayout w:type="fixed"/>
        <w:tblCellMar>
          <w:top w:w="0" w:type="dxa"/>
          <w:left w:w="108" w:type="dxa"/>
          <w:bottom w:w="0" w:type="dxa"/>
          <w:right w:w="108" w:type="dxa"/>
        </w:tblCellMar>
      </w:tblPr>
      <w:tblGrid>
        <w:gridCol w:w="530"/>
        <w:gridCol w:w="815"/>
        <w:gridCol w:w="639"/>
        <w:gridCol w:w="2196"/>
        <w:gridCol w:w="2776"/>
        <w:gridCol w:w="698"/>
        <w:gridCol w:w="436"/>
        <w:gridCol w:w="754"/>
      </w:tblGrid>
      <w:tr w14:paraId="1C4C1AD1">
        <w:tblPrEx>
          <w:tblCellMar>
            <w:top w:w="0" w:type="dxa"/>
            <w:left w:w="108" w:type="dxa"/>
            <w:bottom w:w="0" w:type="dxa"/>
            <w:right w:w="108" w:type="dxa"/>
          </w:tblCellMar>
        </w:tblPrEx>
        <w:trPr>
          <w:trHeight w:val="1192"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544F89B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序号</w:t>
            </w:r>
          </w:p>
        </w:tc>
        <w:tc>
          <w:tcPr>
            <w:tcW w:w="815" w:type="dxa"/>
            <w:tcBorders>
              <w:top w:val="single" w:color="auto" w:sz="4" w:space="0"/>
              <w:left w:val="nil"/>
              <w:bottom w:val="single" w:color="auto" w:sz="4" w:space="0"/>
              <w:right w:val="single" w:color="auto" w:sz="4" w:space="0"/>
            </w:tcBorders>
            <w:noWrap/>
            <w:vAlign w:val="center"/>
          </w:tcPr>
          <w:p w14:paraId="0A624FE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分项</w:t>
            </w:r>
          </w:p>
        </w:tc>
        <w:tc>
          <w:tcPr>
            <w:tcW w:w="639" w:type="dxa"/>
            <w:tcBorders>
              <w:top w:val="single" w:color="auto" w:sz="4" w:space="0"/>
              <w:left w:val="nil"/>
              <w:bottom w:val="single" w:color="auto" w:sz="4" w:space="0"/>
              <w:right w:val="single" w:color="auto" w:sz="4" w:space="0"/>
            </w:tcBorders>
            <w:noWrap/>
            <w:vAlign w:val="center"/>
          </w:tcPr>
          <w:p w14:paraId="78A114E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条目</w:t>
            </w:r>
          </w:p>
        </w:tc>
        <w:tc>
          <w:tcPr>
            <w:tcW w:w="2196" w:type="dxa"/>
            <w:tcBorders>
              <w:top w:val="single" w:color="auto" w:sz="4" w:space="0"/>
              <w:left w:val="nil"/>
              <w:bottom w:val="single" w:color="auto" w:sz="4" w:space="0"/>
              <w:right w:val="single" w:color="auto" w:sz="4" w:space="0"/>
            </w:tcBorders>
            <w:noWrap/>
            <w:vAlign w:val="center"/>
          </w:tcPr>
          <w:p w14:paraId="56ABF20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考核内容及</w:t>
            </w:r>
          </w:p>
          <w:p w14:paraId="1D6FF59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管护要求</w:t>
            </w:r>
          </w:p>
        </w:tc>
        <w:tc>
          <w:tcPr>
            <w:tcW w:w="2776" w:type="dxa"/>
            <w:tcBorders>
              <w:top w:val="single" w:color="auto" w:sz="4" w:space="0"/>
              <w:left w:val="nil"/>
              <w:bottom w:val="single" w:color="auto" w:sz="4" w:space="0"/>
              <w:right w:val="single" w:color="auto" w:sz="4" w:space="0"/>
            </w:tcBorders>
            <w:noWrap/>
            <w:vAlign w:val="center"/>
          </w:tcPr>
          <w:p w14:paraId="6B2D8AE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评分细则</w:t>
            </w:r>
          </w:p>
        </w:tc>
        <w:tc>
          <w:tcPr>
            <w:tcW w:w="698" w:type="dxa"/>
            <w:tcBorders>
              <w:top w:val="single" w:color="auto" w:sz="4" w:space="0"/>
              <w:left w:val="nil"/>
              <w:bottom w:val="single" w:color="auto" w:sz="4" w:space="0"/>
              <w:right w:val="single" w:color="auto" w:sz="4" w:space="0"/>
            </w:tcBorders>
            <w:noWrap/>
            <w:vAlign w:val="center"/>
          </w:tcPr>
          <w:p w14:paraId="4D36B31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分值</w:t>
            </w:r>
          </w:p>
        </w:tc>
        <w:tc>
          <w:tcPr>
            <w:tcW w:w="436" w:type="dxa"/>
            <w:tcBorders>
              <w:top w:val="single" w:color="auto" w:sz="4" w:space="0"/>
              <w:left w:val="nil"/>
              <w:bottom w:val="single" w:color="auto" w:sz="4" w:space="0"/>
              <w:right w:val="single" w:color="auto" w:sz="4" w:space="0"/>
            </w:tcBorders>
            <w:noWrap/>
            <w:vAlign w:val="center"/>
          </w:tcPr>
          <w:p w14:paraId="46810D83">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得分</w:t>
            </w:r>
          </w:p>
        </w:tc>
        <w:tc>
          <w:tcPr>
            <w:tcW w:w="754" w:type="dxa"/>
            <w:tcBorders>
              <w:top w:val="single" w:color="auto" w:sz="4" w:space="0"/>
              <w:left w:val="nil"/>
              <w:bottom w:val="single" w:color="auto" w:sz="4" w:space="0"/>
              <w:right w:val="single" w:color="auto" w:sz="4" w:space="0"/>
            </w:tcBorders>
            <w:noWrap/>
            <w:vAlign w:val="center"/>
          </w:tcPr>
          <w:p w14:paraId="5FF02F1B">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扣分原因</w:t>
            </w:r>
          </w:p>
        </w:tc>
      </w:tr>
      <w:tr w14:paraId="3824B3ED">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right w:val="single" w:color="auto" w:sz="4" w:space="0"/>
            </w:tcBorders>
            <w:noWrap/>
            <w:vAlign w:val="center"/>
          </w:tcPr>
          <w:p w14:paraId="2EAD8F0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815" w:type="dxa"/>
            <w:vMerge w:val="restart"/>
            <w:tcBorders>
              <w:top w:val="single" w:color="auto" w:sz="4" w:space="0"/>
              <w:left w:val="nil"/>
              <w:right w:val="single" w:color="auto" w:sz="4" w:space="0"/>
            </w:tcBorders>
            <w:noWrap/>
            <w:vAlign w:val="center"/>
          </w:tcPr>
          <w:p w14:paraId="5353F35A">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绿地环境</w:t>
            </w:r>
          </w:p>
          <w:p w14:paraId="56ABA34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rPr>
              <w:t>5</w:t>
            </w:r>
            <w:r>
              <w:rPr>
                <w:rFonts w:cs="宋体" w:asciiTheme="majorEastAsia" w:hAnsiTheme="majorEastAsia" w:eastAsiaTheme="majorEastAsia"/>
                <w:color w:val="auto"/>
                <w:kern w:val="0"/>
                <w:sz w:val="24"/>
                <w:highlight w:val="none"/>
              </w:rPr>
              <w:t>分</w:t>
            </w:r>
          </w:p>
        </w:tc>
        <w:tc>
          <w:tcPr>
            <w:tcW w:w="639" w:type="dxa"/>
            <w:tcBorders>
              <w:top w:val="single" w:color="auto" w:sz="4" w:space="0"/>
              <w:left w:val="nil"/>
              <w:bottom w:val="single" w:color="auto" w:sz="4" w:space="0"/>
              <w:right w:val="single" w:color="auto" w:sz="4" w:space="0"/>
            </w:tcBorders>
            <w:noWrap/>
            <w:vAlign w:val="center"/>
          </w:tcPr>
          <w:p w14:paraId="11A4B87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2196" w:type="dxa"/>
            <w:tcBorders>
              <w:top w:val="single" w:color="auto" w:sz="4" w:space="0"/>
              <w:left w:val="nil"/>
              <w:bottom w:val="single" w:color="auto" w:sz="4" w:space="0"/>
              <w:right w:val="single" w:color="auto" w:sz="4" w:space="0"/>
            </w:tcBorders>
            <w:noWrap/>
            <w:vAlign w:val="center"/>
          </w:tcPr>
          <w:p w14:paraId="77463C05">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noWrap/>
            <w:vAlign w:val="center"/>
          </w:tcPr>
          <w:p w14:paraId="5C7976E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3AD2D20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436" w:type="dxa"/>
            <w:tcBorders>
              <w:top w:val="single" w:color="auto" w:sz="4" w:space="0"/>
              <w:left w:val="nil"/>
              <w:bottom w:val="single" w:color="auto" w:sz="4" w:space="0"/>
              <w:right w:val="single" w:color="auto" w:sz="4" w:space="0"/>
            </w:tcBorders>
            <w:noWrap/>
            <w:vAlign w:val="center"/>
          </w:tcPr>
          <w:p w14:paraId="44D06881">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0A45F069">
            <w:pPr>
              <w:widowControl/>
              <w:spacing w:line="300" w:lineRule="exact"/>
              <w:jc w:val="center"/>
              <w:rPr>
                <w:rFonts w:asciiTheme="majorEastAsia" w:hAnsiTheme="majorEastAsia" w:eastAsiaTheme="majorEastAsia"/>
                <w:color w:val="auto"/>
                <w:kern w:val="0"/>
                <w:sz w:val="24"/>
                <w:highlight w:val="none"/>
              </w:rPr>
            </w:pPr>
          </w:p>
        </w:tc>
      </w:tr>
      <w:tr w14:paraId="4689224C">
        <w:tblPrEx>
          <w:tblCellMar>
            <w:top w:w="0" w:type="dxa"/>
            <w:left w:w="108" w:type="dxa"/>
            <w:bottom w:w="0" w:type="dxa"/>
            <w:right w:w="108" w:type="dxa"/>
          </w:tblCellMar>
        </w:tblPrEx>
        <w:trPr>
          <w:trHeight w:val="116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73176562">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63995C15">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0D6E78A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2196" w:type="dxa"/>
            <w:tcBorders>
              <w:top w:val="single" w:color="auto" w:sz="4" w:space="0"/>
              <w:left w:val="nil"/>
              <w:bottom w:val="single" w:color="auto" w:sz="4" w:space="0"/>
              <w:right w:val="single" w:color="auto" w:sz="4" w:space="0"/>
            </w:tcBorders>
            <w:noWrap/>
            <w:vAlign w:val="center"/>
          </w:tcPr>
          <w:p w14:paraId="62179581">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绿化生产垃圾（树枝、树叶、草屑等）</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一级养护随产随清</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二级养护日产日清。</w:t>
            </w:r>
          </w:p>
        </w:tc>
        <w:tc>
          <w:tcPr>
            <w:tcW w:w="2776" w:type="dxa"/>
            <w:tcBorders>
              <w:top w:val="single" w:color="auto" w:sz="4" w:space="0"/>
              <w:left w:val="nil"/>
              <w:bottom w:val="single" w:color="auto" w:sz="4" w:space="0"/>
              <w:right w:val="single" w:color="auto" w:sz="4" w:space="0"/>
            </w:tcBorders>
            <w:noWrap/>
            <w:vAlign w:val="center"/>
          </w:tcPr>
          <w:p w14:paraId="3DCF52D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55AA38A1">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10</w:t>
            </w:r>
          </w:p>
        </w:tc>
        <w:tc>
          <w:tcPr>
            <w:tcW w:w="436" w:type="dxa"/>
            <w:tcBorders>
              <w:top w:val="single" w:color="auto" w:sz="4" w:space="0"/>
              <w:left w:val="nil"/>
              <w:bottom w:val="single" w:color="auto" w:sz="4" w:space="0"/>
              <w:right w:val="single" w:color="auto" w:sz="4" w:space="0"/>
            </w:tcBorders>
            <w:noWrap/>
            <w:vAlign w:val="center"/>
          </w:tcPr>
          <w:p w14:paraId="7E4B649B">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2D5F92A2">
            <w:pPr>
              <w:widowControl/>
              <w:spacing w:line="300" w:lineRule="exact"/>
              <w:jc w:val="center"/>
              <w:rPr>
                <w:rFonts w:asciiTheme="majorEastAsia" w:hAnsiTheme="majorEastAsia" w:eastAsiaTheme="majorEastAsia"/>
                <w:color w:val="auto"/>
                <w:kern w:val="0"/>
                <w:sz w:val="24"/>
                <w:highlight w:val="none"/>
              </w:rPr>
            </w:pPr>
          </w:p>
        </w:tc>
      </w:tr>
      <w:tr w14:paraId="380CDFBF">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right w:val="single" w:color="auto" w:sz="4" w:space="0"/>
            </w:tcBorders>
            <w:noWrap/>
            <w:vAlign w:val="center"/>
          </w:tcPr>
          <w:p w14:paraId="15F5A87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815" w:type="dxa"/>
            <w:vMerge w:val="restart"/>
            <w:tcBorders>
              <w:top w:val="single" w:color="auto" w:sz="4" w:space="0"/>
              <w:left w:val="nil"/>
              <w:right w:val="single" w:color="auto" w:sz="4" w:space="0"/>
            </w:tcBorders>
            <w:noWrap/>
            <w:vAlign w:val="center"/>
          </w:tcPr>
          <w:p w14:paraId="0C4C6B1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松土除草</w:t>
            </w:r>
          </w:p>
          <w:p w14:paraId="6AB5425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分</w:t>
            </w:r>
          </w:p>
        </w:tc>
        <w:tc>
          <w:tcPr>
            <w:tcW w:w="639" w:type="dxa"/>
            <w:tcBorders>
              <w:top w:val="single" w:color="auto" w:sz="4" w:space="0"/>
              <w:left w:val="nil"/>
              <w:bottom w:val="single" w:color="auto" w:sz="4" w:space="0"/>
              <w:right w:val="single" w:color="auto" w:sz="4" w:space="0"/>
            </w:tcBorders>
            <w:noWrap/>
            <w:vAlign w:val="center"/>
          </w:tcPr>
          <w:p w14:paraId="46BF26E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2196" w:type="dxa"/>
            <w:tcBorders>
              <w:top w:val="single" w:color="auto" w:sz="4" w:space="0"/>
              <w:left w:val="nil"/>
              <w:bottom w:val="single" w:color="auto" w:sz="4" w:space="0"/>
              <w:right w:val="single" w:color="auto" w:sz="4" w:space="0"/>
            </w:tcBorders>
            <w:noWrap/>
            <w:vAlign w:val="center"/>
          </w:tcPr>
          <w:p w14:paraId="2E433159">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noWrap/>
            <w:vAlign w:val="center"/>
          </w:tcPr>
          <w:p w14:paraId="62C8F23B">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树穴、地被土壤板结，长期不疏松，扣0.5分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处。发现有杂草扣1分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5201A589">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7</w:t>
            </w:r>
          </w:p>
        </w:tc>
        <w:tc>
          <w:tcPr>
            <w:tcW w:w="436" w:type="dxa"/>
            <w:tcBorders>
              <w:top w:val="single" w:color="auto" w:sz="4" w:space="0"/>
              <w:left w:val="nil"/>
              <w:bottom w:val="single" w:color="auto" w:sz="4" w:space="0"/>
              <w:right w:val="single" w:color="auto" w:sz="4" w:space="0"/>
            </w:tcBorders>
            <w:noWrap/>
            <w:vAlign w:val="center"/>
          </w:tcPr>
          <w:p w14:paraId="24386C63">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23A2CFDC">
            <w:pPr>
              <w:widowControl/>
              <w:spacing w:line="300" w:lineRule="exact"/>
              <w:jc w:val="center"/>
              <w:rPr>
                <w:rFonts w:asciiTheme="majorEastAsia" w:hAnsiTheme="majorEastAsia" w:eastAsiaTheme="majorEastAsia"/>
                <w:color w:val="auto"/>
                <w:kern w:val="0"/>
                <w:sz w:val="24"/>
                <w:highlight w:val="none"/>
              </w:rPr>
            </w:pPr>
          </w:p>
        </w:tc>
      </w:tr>
      <w:tr w14:paraId="46C9DD0A">
        <w:tblPrEx>
          <w:tblCellMar>
            <w:top w:w="0" w:type="dxa"/>
            <w:left w:w="108" w:type="dxa"/>
            <w:bottom w:w="0" w:type="dxa"/>
            <w:right w:w="108" w:type="dxa"/>
          </w:tblCellMar>
        </w:tblPrEx>
        <w:trPr>
          <w:trHeight w:val="110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60F07E66">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052DEAFF">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4D9CE73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2196" w:type="dxa"/>
            <w:tcBorders>
              <w:top w:val="single" w:color="auto" w:sz="4" w:space="0"/>
              <w:left w:val="nil"/>
              <w:bottom w:val="single" w:color="auto" w:sz="4" w:space="0"/>
              <w:right w:val="single" w:color="auto" w:sz="4" w:space="0"/>
            </w:tcBorders>
            <w:noWrap/>
            <w:vAlign w:val="center"/>
          </w:tcPr>
          <w:p w14:paraId="17600E9E">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noWrap/>
            <w:vAlign w:val="center"/>
          </w:tcPr>
          <w:p w14:paraId="5B1D75C0">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树穴、绿篱等不及时切边，草坪与树木、绿篱、草花等无明显分隔沟扣0.5分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143B22F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436" w:type="dxa"/>
            <w:tcBorders>
              <w:top w:val="single" w:color="auto" w:sz="4" w:space="0"/>
              <w:left w:val="nil"/>
              <w:bottom w:val="single" w:color="auto" w:sz="4" w:space="0"/>
              <w:right w:val="single" w:color="auto" w:sz="4" w:space="0"/>
            </w:tcBorders>
            <w:noWrap/>
            <w:vAlign w:val="center"/>
          </w:tcPr>
          <w:p w14:paraId="3BBA0E64">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6BC6DAEE">
            <w:pPr>
              <w:widowControl/>
              <w:spacing w:line="300" w:lineRule="exact"/>
              <w:jc w:val="center"/>
              <w:rPr>
                <w:rFonts w:asciiTheme="majorEastAsia" w:hAnsiTheme="majorEastAsia" w:eastAsiaTheme="majorEastAsia"/>
                <w:color w:val="auto"/>
                <w:kern w:val="0"/>
                <w:sz w:val="24"/>
                <w:highlight w:val="none"/>
              </w:rPr>
            </w:pPr>
          </w:p>
        </w:tc>
      </w:tr>
      <w:tr w14:paraId="50D4E798">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493196C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815" w:type="dxa"/>
            <w:tcBorders>
              <w:top w:val="single" w:color="auto" w:sz="4" w:space="0"/>
              <w:left w:val="nil"/>
              <w:bottom w:val="single" w:color="auto" w:sz="4" w:space="0"/>
              <w:right w:val="single" w:color="auto" w:sz="4" w:space="0"/>
            </w:tcBorders>
            <w:noWrap/>
            <w:vAlign w:val="center"/>
          </w:tcPr>
          <w:p w14:paraId="0E7261CF">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浇灌排水</w:t>
            </w:r>
          </w:p>
          <w:p w14:paraId="551EEBE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2分</w:t>
            </w:r>
          </w:p>
        </w:tc>
        <w:tc>
          <w:tcPr>
            <w:tcW w:w="639" w:type="dxa"/>
            <w:tcBorders>
              <w:top w:val="single" w:color="auto" w:sz="4" w:space="0"/>
              <w:left w:val="nil"/>
              <w:bottom w:val="single" w:color="auto" w:sz="4" w:space="0"/>
              <w:right w:val="single" w:color="auto" w:sz="4" w:space="0"/>
            </w:tcBorders>
            <w:noWrap/>
            <w:vAlign w:val="center"/>
          </w:tcPr>
          <w:p w14:paraId="1E4E105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2196" w:type="dxa"/>
            <w:tcBorders>
              <w:top w:val="single" w:color="auto" w:sz="4" w:space="0"/>
              <w:left w:val="nil"/>
              <w:bottom w:val="single" w:color="auto" w:sz="4" w:space="0"/>
              <w:right w:val="single" w:color="auto" w:sz="4" w:space="0"/>
            </w:tcBorders>
            <w:noWrap/>
            <w:vAlign w:val="center"/>
          </w:tcPr>
          <w:p w14:paraId="33D564EC">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noWrap/>
            <w:vAlign w:val="center"/>
          </w:tcPr>
          <w:p w14:paraId="1C8D759F">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未及时浇灌，致使绿地植物生长不良，树木扣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株，绿篱、草坪扣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致植物枯死加倍扣分。</w:t>
            </w:r>
          </w:p>
        </w:tc>
        <w:tc>
          <w:tcPr>
            <w:tcW w:w="698" w:type="dxa"/>
            <w:tcBorders>
              <w:top w:val="single" w:color="auto" w:sz="4" w:space="0"/>
              <w:left w:val="nil"/>
              <w:bottom w:val="single" w:color="auto" w:sz="4" w:space="0"/>
              <w:right w:val="single" w:color="auto" w:sz="4" w:space="0"/>
            </w:tcBorders>
            <w:noWrap/>
            <w:vAlign w:val="center"/>
          </w:tcPr>
          <w:p w14:paraId="79E61DF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436" w:type="dxa"/>
            <w:tcBorders>
              <w:top w:val="single" w:color="auto" w:sz="4" w:space="0"/>
              <w:left w:val="nil"/>
              <w:bottom w:val="single" w:color="auto" w:sz="4" w:space="0"/>
              <w:right w:val="single" w:color="auto" w:sz="4" w:space="0"/>
            </w:tcBorders>
            <w:noWrap/>
            <w:vAlign w:val="center"/>
          </w:tcPr>
          <w:p w14:paraId="0C187855">
            <w:pPr>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21CD0210">
            <w:pPr>
              <w:spacing w:line="300" w:lineRule="exact"/>
              <w:jc w:val="center"/>
              <w:rPr>
                <w:rFonts w:asciiTheme="majorEastAsia" w:hAnsiTheme="majorEastAsia" w:eastAsiaTheme="majorEastAsia"/>
                <w:color w:val="auto"/>
                <w:kern w:val="0"/>
                <w:sz w:val="24"/>
                <w:highlight w:val="none"/>
              </w:rPr>
            </w:pPr>
          </w:p>
        </w:tc>
      </w:tr>
      <w:tr w14:paraId="61C86ADA">
        <w:tblPrEx>
          <w:tblCellMar>
            <w:top w:w="0" w:type="dxa"/>
            <w:left w:w="108" w:type="dxa"/>
            <w:bottom w:w="0" w:type="dxa"/>
            <w:right w:w="108" w:type="dxa"/>
          </w:tblCellMar>
        </w:tblPrEx>
        <w:trPr>
          <w:trHeight w:val="558"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12C58C83">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815" w:type="dxa"/>
            <w:tcBorders>
              <w:top w:val="single" w:color="auto" w:sz="4" w:space="0"/>
              <w:left w:val="nil"/>
              <w:bottom w:val="single" w:color="auto" w:sz="4" w:space="0"/>
              <w:right w:val="single" w:color="auto" w:sz="4" w:space="0"/>
            </w:tcBorders>
            <w:noWrap/>
            <w:vAlign w:val="center"/>
          </w:tcPr>
          <w:p w14:paraId="3FAC2C5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施肥</w:t>
            </w:r>
          </w:p>
          <w:p w14:paraId="4B2E12FF">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5</w:t>
            </w:r>
            <w:r>
              <w:rPr>
                <w:rFonts w:cs="宋体" w:asciiTheme="majorEastAsia" w:hAnsiTheme="majorEastAsia" w:eastAsiaTheme="majorEastAsia"/>
                <w:color w:val="auto"/>
                <w:kern w:val="0"/>
                <w:sz w:val="24"/>
                <w:highlight w:val="none"/>
              </w:rPr>
              <w:t>分</w:t>
            </w:r>
          </w:p>
        </w:tc>
        <w:tc>
          <w:tcPr>
            <w:tcW w:w="639" w:type="dxa"/>
            <w:tcBorders>
              <w:top w:val="single" w:color="auto" w:sz="4" w:space="0"/>
              <w:left w:val="nil"/>
              <w:bottom w:val="single" w:color="auto" w:sz="4" w:space="0"/>
              <w:right w:val="single" w:color="auto" w:sz="4" w:space="0"/>
            </w:tcBorders>
            <w:noWrap/>
            <w:vAlign w:val="center"/>
          </w:tcPr>
          <w:p w14:paraId="419B911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6</w:t>
            </w:r>
          </w:p>
        </w:tc>
        <w:tc>
          <w:tcPr>
            <w:tcW w:w="2196" w:type="dxa"/>
            <w:tcBorders>
              <w:top w:val="single" w:color="auto" w:sz="4" w:space="0"/>
              <w:left w:val="nil"/>
              <w:bottom w:val="single" w:color="auto" w:sz="4" w:space="0"/>
              <w:right w:val="single" w:color="auto" w:sz="4" w:space="0"/>
            </w:tcBorders>
            <w:noWrap/>
            <w:vAlign w:val="center"/>
          </w:tcPr>
          <w:p w14:paraId="081ABC29">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施肥计划上报，每次施肥量证相符，现场施肥考核，绿地、草坪、植物按要求施肥及时，规定</w:t>
            </w:r>
            <w:r>
              <w:rPr>
                <w:rFonts w:hint="eastAsia" w:cs="宋体" w:asciiTheme="majorEastAsia" w:hAnsiTheme="majorEastAsia" w:eastAsiaTheme="majorEastAsia"/>
                <w:color w:val="auto"/>
                <w:kern w:val="0"/>
                <w:sz w:val="24"/>
                <w:highlight w:val="none"/>
              </w:rPr>
              <w:t>12</w:t>
            </w:r>
            <w:r>
              <w:rPr>
                <w:rFonts w:cs="宋体" w:asciiTheme="majorEastAsia" w:hAnsiTheme="majorEastAsia" w:eastAsiaTheme="majorEastAsia"/>
                <w:color w:val="auto"/>
                <w:kern w:val="0"/>
                <w:sz w:val="24"/>
                <w:highlight w:val="none"/>
              </w:rPr>
              <w:t>月份左右施肥</w:t>
            </w:r>
            <w:r>
              <w:rPr>
                <w:rFonts w:hint="eastAsia" w:cs="宋体" w:asciiTheme="majorEastAsia" w:hAnsiTheme="majorEastAsia" w:eastAsiaTheme="majorEastAsia"/>
                <w:color w:val="auto"/>
                <w:kern w:val="0"/>
                <w:sz w:val="24"/>
                <w:highlight w:val="none"/>
              </w:rPr>
              <w:t>。</w:t>
            </w:r>
          </w:p>
        </w:tc>
        <w:tc>
          <w:tcPr>
            <w:tcW w:w="2776" w:type="dxa"/>
            <w:tcBorders>
              <w:top w:val="single" w:color="auto" w:sz="4" w:space="0"/>
              <w:left w:val="nil"/>
              <w:bottom w:val="single" w:color="auto" w:sz="4" w:space="0"/>
              <w:right w:val="single" w:color="auto" w:sz="4" w:space="0"/>
            </w:tcBorders>
            <w:noWrap/>
            <w:vAlign w:val="center"/>
          </w:tcPr>
          <w:p w14:paraId="04B13455">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未上报施肥计划每次扣4分，不按规定及时施肥，扣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处；偷工减料，发现一次扣2分。</w:t>
            </w:r>
          </w:p>
        </w:tc>
        <w:tc>
          <w:tcPr>
            <w:tcW w:w="698" w:type="dxa"/>
            <w:tcBorders>
              <w:top w:val="single" w:color="auto" w:sz="4" w:space="0"/>
              <w:left w:val="nil"/>
              <w:bottom w:val="single" w:color="auto" w:sz="4" w:space="0"/>
              <w:right w:val="single" w:color="auto" w:sz="4" w:space="0"/>
            </w:tcBorders>
            <w:noWrap/>
            <w:vAlign w:val="center"/>
          </w:tcPr>
          <w:p w14:paraId="1D3166A4">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5</w:t>
            </w:r>
          </w:p>
        </w:tc>
        <w:tc>
          <w:tcPr>
            <w:tcW w:w="436" w:type="dxa"/>
            <w:tcBorders>
              <w:top w:val="single" w:color="auto" w:sz="4" w:space="0"/>
              <w:left w:val="nil"/>
              <w:bottom w:val="single" w:color="auto" w:sz="4" w:space="0"/>
              <w:right w:val="single" w:color="auto" w:sz="4" w:space="0"/>
            </w:tcBorders>
            <w:noWrap/>
            <w:vAlign w:val="center"/>
          </w:tcPr>
          <w:p w14:paraId="0B3B592E">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7ED8E4A4">
            <w:pPr>
              <w:widowControl/>
              <w:spacing w:line="300" w:lineRule="exact"/>
              <w:jc w:val="center"/>
              <w:rPr>
                <w:rFonts w:asciiTheme="majorEastAsia" w:hAnsiTheme="majorEastAsia" w:eastAsiaTheme="majorEastAsia"/>
                <w:color w:val="auto"/>
                <w:kern w:val="0"/>
                <w:sz w:val="24"/>
                <w:highlight w:val="none"/>
              </w:rPr>
            </w:pPr>
          </w:p>
        </w:tc>
      </w:tr>
      <w:tr w14:paraId="16EA9587">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right w:val="single" w:color="auto" w:sz="4" w:space="0"/>
            </w:tcBorders>
            <w:noWrap/>
            <w:vAlign w:val="center"/>
          </w:tcPr>
          <w:p w14:paraId="60B8100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815" w:type="dxa"/>
            <w:vMerge w:val="restart"/>
            <w:tcBorders>
              <w:top w:val="single" w:color="auto" w:sz="4" w:space="0"/>
              <w:left w:val="nil"/>
              <w:right w:val="single" w:color="auto" w:sz="4" w:space="0"/>
            </w:tcBorders>
            <w:noWrap/>
            <w:vAlign w:val="center"/>
          </w:tcPr>
          <w:p w14:paraId="104BA66D">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绿化长势</w:t>
            </w:r>
          </w:p>
          <w:p w14:paraId="413C5AD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14分</w:t>
            </w:r>
          </w:p>
        </w:tc>
        <w:tc>
          <w:tcPr>
            <w:tcW w:w="639" w:type="dxa"/>
            <w:tcBorders>
              <w:top w:val="single" w:color="auto" w:sz="4" w:space="0"/>
              <w:left w:val="nil"/>
              <w:bottom w:val="single" w:color="auto" w:sz="4" w:space="0"/>
              <w:right w:val="single" w:color="auto" w:sz="4" w:space="0"/>
            </w:tcBorders>
            <w:noWrap/>
            <w:vAlign w:val="center"/>
          </w:tcPr>
          <w:p w14:paraId="4374FF1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7</w:t>
            </w:r>
          </w:p>
        </w:tc>
        <w:tc>
          <w:tcPr>
            <w:tcW w:w="2196" w:type="dxa"/>
            <w:tcBorders>
              <w:top w:val="single" w:color="auto" w:sz="4" w:space="0"/>
              <w:left w:val="nil"/>
              <w:bottom w:val="single" w:color="auto" w:sz="4" w:space="0"/>
              <w:right w:val="single" w:color="auto" w:sz="4" w:space="0"/>
            </w:tcBorders>
            <w:noWrap/>
            <w:vAlign w:val="center"/>
          </w:tcPr>
          <w:p w14:paraId="7A6BA052">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noWrap/>
            <w:vAlign w:val="center"/>
          </w:tcPr>
          <w:p w14:paraId="0DF2711D">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发现死树，扣1分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株；有断枝、枯叶、大片光秃落叶，发现一处扣0.5分，色块内有</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处灌木死亡扣1分/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。或加倍扣分。</w:t>
            </w:r>
          </w:p>
        </w:tc>
        <w:tc>
          <w:tcPr>
            <w:tcW w:w="698" w:type="dxa"/>
            <w:tcBorders>
              <w:top w:val="single" w:color="auto" w:sz="4" w:space="0"/>
              <w:left w:val="nil"/>
              <w:bottom w:val="single" w:color="auto" w:sz="4" w:space="0"/>
              <w:right w:val="single" w:color="auto" w:sz="4" w:space="0"/>
            </w:tcBorders>
            <w:noWrap/>
            <w:vAlign w:val="center"/>
          </w:tcPr>
          <w:p w14:paraId="28EA1AD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436" w:type="dxa"/>
            <w:tcBorders>
              <w:top w:val="single" w:color="auto" w:sz="4" w:space="0"/>
              <w:left w:val="nil"/>
              <w:bottom w:val="single" w:color="auto" w:sz="4" w:space="0"/>
              <w:right w:val="single" w:color="auto" w:sz="4" w:space="0"/>
            </w:tcBorders>
            <w:noWrap/>
            <w:vAlign w:val="center"/>
          </w:tcPr>
          <w:p w14:paraId="381356A9">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58F0549B">
            <w:pPr>
              <w:widowControl/>
              <w:spacing w:line="300" w:lineRule="exact"/>
              <w:jc w:val="center"/>
              <w:rPr>
                <w:rFonts w:asciiTheme="majorEastAsia" w:hAnsiTheme="majorEastAsia" w:eastAsiaTheme="majorEastAsia"/>
                <w:color w:val="auto"/>
                <w:kern w:val="0"/>
                <w:sz w:val="24"/>
                <w:highlight w:val="none"/>
              </w:rPr>
            </w:pPr>
          </w:p>
        </w:tc>
      </w:tr>
      <w:tr w14:paraId="61628ACB">
        <w:tblPrEx>
          <w:tblCellMar>
            <w:top w:w="0" w:type="dxa"/>
            <w:left w:w="108" w:type="dxa"/>
            <w:bottom w:w="0" w:type="dxa"/>
            <w:right w:w="108" w:type="dxa"/>
          </w:tblCellMar>
        </w:tblPrEx>
        <w:trPr>
          <w:trHeight w:val="1393"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40772001">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3513968A">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4B82ED3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w:t>
            </w:r>
          </w:p>
        </w:tc>
        <w:tc>
          <w:tcPr>
            <w:tcW w:w="2196" w:type="dxa"/>
            <w:tcBorders>
              <w:top w:val="single" w:color="auto" w:sz="4" w:space="0"/>
              <w:left w:val="nil"/>
              <w:bottom w:val="single" w:color="auto" w:sz="4" w:space="0"/>
              <w:right w:val="single" w:color="auto" w:sz="4" w:space="0"/>
            </w:tcBorders>
            <w:noWrap/>
            <w:vAlign w:val="center"/>
          </w:tcPr>
          <w:p w14:paraId="78D45DCE">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noWrap/>
            <w:vAlign w:val="center"/>
          </w:tcPr>
          <w:p w14:paraId="061F9276">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养护不善死亡乔灌木未按规定及时补缺，扣1分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株；死缺绿篱未按规定及时补缺，扣1分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。或加倍扣分。</w:t>
            </w:r>
          </w:p>
        </w:tc>
        <w:tc>
          <w:tcPr>
            <w:tcW w:w="698" w:type="dxa"/>
            <w:tcBorders>
              <w:top w:val="single" w:color="auto" w:sz="4" w:space="0"/>
              <w:left w:val="nil"/>
              <w:bottom w:val="single" w:color="auto" w:sz="4" w:space="0"/>
              <w:right w:val="single" w:color="auto" w:sz="4" w:space="0"/>
            </w:tcBorders>
            <w:noWrap/>
            <w:vAlign w:val="center"/>
          </w:tcPr>
          <w:p w14:paraId="04427EA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436" w:type="dxa"/>
            <w:tcBorders>
              <w:top w:val="single" w:color="auto" w:sz="4" w:space="0"/>
              <w:left w:val="nil"/>
              <w:bottom w:val="single" w:color="auto" w:sz="4" w:space="0"/>
              <w:right w:val="single" w:color="auto" w:sz="4" w:space="0"/>
            </w:tcBorders>
            <w:noWrap/>
            <w:vAlign w:val="center"/>
          </w:tcPr>
          <w:p w14:paraId="06009E17">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60BD834A">
            <w:pPr>
              <w:widowControl/>
              <w:spacing w:line="300" w:lineRule="exact"/>
              <w:jc w:val="center"/>
              <w:rPr>
                <w:rFonts w:asciiTheme="majorEastAsia" w:hAnsiTheme="majorEastAsia" w:eastAsiaTheme="majorEastAsia"/>
                <w:color w:val="auto"/>
                <w:kern w:val="0"/>
                <w:sz w:val="24"/>
                <w:highlight w:val="none"/>
              </w:rPr>
            </w:pPr>
          </w:p>
        </w:tc>
      </w:tr>
      <w:tr w14:paraId="65770037">
        <w:tblPrEx>
          <w:tblCellMar>
            <w:top w:w="0" w:type="dxa"/>
            <w:left w:w="108" w:type="dxa"/>
            <w:bottom w:w="0" w:type="dxa"/>
            <w:right w:w="108" w:type="dxa"/>
          </w:tblCellMar>
        </w:tblPrEx>
        <w:trPr>
          <w:trHeight w:val="557" w:hRule="atLeast"/>
          <w:jc w:val="center"/>
        </w:trPr>
        <w:tc>
          <w:tcPr>
            <w:tcW w:w="530" w:type="dxa"/>
            <w:vMerge w:val="restart"/>
            <w:tcBorders>
              <w:top w:val="single" w:color="auto" w:sz="4" w:space="0"/>
              <w:left w:val="single" w:color="auto" w:sz="4" w:space="0"/>
              <w:right w:val="single" w:color="auto" w:sz="4" w:space="0"/>
            </w:tcBorders>
            <w:noWrap/>
            <w:vAlign w:val="center"/>
          </w:tcPr>
          <w:p w14:paraId="1C73709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815" w:type="dxa"/>
            <w:vMerge w:val="restart"/>
            <w:tcBorders>
              <w:top w:val="single" w:color="auto" w:sz="4" w:space="0"/>
              <w:left w:val="nil"/>
              <w:right w:val="single" w:color="auto" w:sz="4" w:space="0"/>
            </w:tcBorders>
            <w:noWrap/>
            <w:vAlign w:val="center"/>
          </w:tcPr>
          <w:p w14:paraId="13B2A7A6">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绿化长势</w:t>
            </w:r>
          </w:p>
          <w:p w14:paraId="47D6428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14分</w:t>
            </w:r>
          </w:p>
        </w:tc>
        <w:tc>
          <w:tcPr>
            <w:tcW w:w="639" w:type="dxa"/>
            <w:tcBorders>
              <w:top w:val="single" w:color="auto" w:sz="4" w:space="0"/>
              <w:left w:val="nil"/>
              <w:bottom w:val="single" w:color="auto" w:sz="4" w:space="0"/>
              <w:right w:val="single" w:color="auto" w:sz="4" w:space="0"/>
            </w:tcBorders>
            <w:noWrap/>
            <w:vAlign w:val="center"/>
          </w:tcPr>
          <w:p w14:paraId="01C309D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9</w:t>
            </w:r>
          </w:p>
        </w:tc>
        <w:tc>
          <w:tcPr>
            <w:tcW w:w="2196" w:type="dxa"/>
            <w:tcBorders>
              <w:top w:val="single" w:color="auto" w:sz="4" w:space="0"/>
              <w:left w:val="nil"/>
              <w:bottom w:val="single" w:color="auto" w:sz="4" w:space="0"/>
              <w:right w:val="single" w:color="auto" w:sz="4" w:space="0"/>
            </w:tcBorders>
            <w:noWrap/>
            <w:vAlign w:val="center"/>
          </w:tcPr>
          <w:p w14:paraId="325E2E70">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绿地内树木生长健壮，无倾斜、倒伏现象。高大乔木在大风来临前应采取防倒有效措施，因风</w:t>
            </w:r>
            <w:r>
              <w:rPr>
                <w:rFonts w:hint="eastAsia" w:cs="宋体" w:asciiTheme="majorEastAsia" w:hAnsiTheme="majorEastAsia" w:eastAsiaTheme="majorEastAsia"/>
                <w:color w:val="auto"/>
                <w:kern w:val="0"/>
                <w:sz w:val="24"/>
                <w:highlight w:val="none"/>
              </w:rPr>
              <w:t>、雪</w:t>
            </w:r>
            <w:r>
              <w:rPr>
                <w:rFonts w:cs="宋体" w:asciiTheme="majorEastAsia" w:hAnsiTheme="majorEastAsia" w:eastAsiaTheme="majorEastAsia"/>
                <w:color w:val="auto"/>
                <w:kern w:val="0"/>
                <w:sz w:val="24"/>
                <w:highlight w:val="none"/>
              </w:rPr>
              <w:t>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noWrap/>
            <w:vAlign w:val="center"/>
          </w:tcPr>
          <w:p w14:paraId="62285FA5">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正常情况下，绿地内乔木、大灌木有倾斜或倒伏现象，扣0.5分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株；因灾害天气造成树木倒伏，应在规定时间内扶正支撑，逾期扣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株；无有效措施导致高大乔木倒伏，扣0.5分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株。或加倍扣分。</w:t>
            </w:r>
          </w:p>
        </w:tc>
        <w:tc>
          <w:tcPr>
            <w:tcW w:w="698" w:type="dxa"/>
            <w:tcBorders>
              <w:top w:val="single" w:color="auto" w:sz="4" w:space="0"/>
              <w:left w:val="nil"/>
              <w:bottom w:val="single" w:color="auto" w:sz="4" w:space="0"/>
              <w:right w:val="single" w:color="auto" w:sz="4" w:space="0"/>
            </w:tcBorders>
            <w:noWrap/>
            <w:vAlign w:val="center"/>
          </w:tcPr>
          <w:p w14:paraId="41EA2F6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502A7DC7">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09282DF0">
            <w:pPr>
              <w:widowControl/>
              <w:spacing w:line="300" w:lineRule="exact"/>
              <w:jc w:val="center"/>
              <w:rPr>
                <w:rFonts w:asciiTheme="majorEastAsia" w:hAnsiTheme="majorEastAsia" w:eastAsiaTheme="majorEastAsia"/>
                <w:color w:val="auto"/>
                <w:kern w:val="0"/>
                <w:sz w:val="24"/>
                <w:highlight w:val="none"/>
              </w:rPr>
            </w:pPr>
          </w:p>
        </w:tc>
      </w:tr>
      <w:tr w14:paraId="33B750E4">
        <w:tblPrEx>
          <w:tblCellMar>
            <w:top w:w="0" w:type="dxa"/>
            <w:left w:w="108" w:type="dxa"/>
            <w:bottom w:w="0" w:type="dxa"/>
            <w:right w:w="108" w:type="dxa"/>
          </w:tblCellMar>
        </w:tblPrEx>
        <w:trPr>
          <w:trHeight w:val="2046"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1502861">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1B29E862">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31C4B49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10</w:t>
            </w:r>
          </w:p>
        </w:tc>
        <w:tc>
          <w:tcPr>
            <w:tcW w:w="2196" w:type="dxa"/>
            <w:tcBorders>
              <w:top w:val="single" w:color="auto" w:sz="4" w:space="0"/>
              <w:left w:val="nil"/>
              <w:bottom w:val="single" w:color="auto" w:sz="4" w:space="0"/>
              <w:right w:val="single" w:color="auto" w:sz="4" w:space="0"/>
            </w:tcBorders>
            <w:noWrap/>
            <w:vAlign w:val="center"/>
          </w:tcPr>
          <w:p w14:paraId="6250FF8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noWrap/>
            <w:vAlign w:val="center"/>
          </w:tcPr>
          <w:p w14:paraId="58672BB1">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草坪有黄化现象，扣0.5分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处；有明显杂草未拔除现象，扣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；树池有杂草扣0.5分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处，养护不善造成草坪有空缺，未按规定时间完成补种的，扣0.5分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。或加倍扣分。</w:t>
            </w:r>
          </w:p>
        </w:tc>
        <w:tc>
          <w:tcPr>
            <w:tcW w:w="698" w:type="dxa"/>
            <w:tcBorders>
              <w:top w:val="single" w:color="auto" w:sz="4" w:space="0"/>
              <w:left w:val="nil"/>
              <w:bottom w:val="single" w:color="auto" w:sz="4" w:space="0"/>
              <w:right w:val="single" w:color="auto" w:sz="4" w:space="0"/>
            </w:tcBorders>
            <w:noWrap/>
            <w:vAlign w:val="center"/>
          </w:tcPr>
          <w:p w14:paraId="0903FCB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7903DDE3">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246437A4">
            <w:pPr>
              <w:widowControl/>
              <w:spacing w:line="300" w:lineRule="exact"/>
              <w:jc w:val="center"/>
              <w:rPr>
                <w:rFonts w:asciiTheme="majorEastAsia" w:hAnsiTheme="majorEastAsia" w:eastAsiaTheme="majorEastAsia"/>
                <w:color w:val="auto"/>
                <w:kern w:val="0"/>
                <w:sz w:val="24"/>
                <w:highlight w:val="none"/>
              </w:rPr>
            </w:pPr>
          </w:p>
        </w:tc>
      </w:tr>
      <w:tr w14:paraId="128A63AB">
        <w:tblPrEx>
          <w:tblCellMar>
            <w:top w:w="0" w:type="dxa"/>
            <w:left w:w="108" w:type="dxa"/>
            <w:bottom w:w="0" w:type="dxa"/>
            <w:right w:w="108" w:type="dxa"/>
          </w:tblCellMar>
        </w:tblPrEx>
        <w:trPr>
          <w:trHeight w:val="1134"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1AA70B2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6</w:t>
            </w:r>
          </w:p>
        </w:tc>
        <w:tc>
          <w:tcPr>
            <w:tcW w:w="815" w:type="dxa"/>
            <w:tcBorders>
              <w:top w:val="single" w:color="auto" w:sz="4" w:space="0"/>
              <w:left w:val="nil"/>
              <w:bottom w:val="single" w:color="auto" w:sz="4" w:space="0"/>
              <w:right w:val="single" w:color="auto" w:sz="4" w:space="0"/>
            </w:tcBorders>
            <w:noWrap/>
            <w:vAlign w:val="center"/>
          </w:tcPr>
          <w:p w14:paraId="1563A638">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病虫防治</w:t>
            </w:r>
          </w:p>
          <w:p w14:paraId="2AEC7E0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4分</w:t>
            </w:r>
          </w:p>
        </w:tc>
        <w:tc>
          <w:tcPr>
            <w:tcW w:w="639" w:type="dxa"/>
            <w:tcBorders>
              <w:top w:val="single" w:color="auto" w:sz="4" w:space="0"/>
              <w:left w:val="nil"/>
              <w:bottom w:val="single" w:color="auto" w:sz="4" w:space="0"/>
              <w:right w:val="single" w:color="auto" w:sz="4" w:space="0"/>
            </w:tcBorders>
            <w:noWrap/>
            <w:vAlign w:val="center"/>
          </w:tcPr>
          <w:p w14:paraId="4DAB713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11</w:t>
            </w:r>
          </w:p>
        </w:tc>
        <w:tc>
          <w:tcPr>
            <w:tcW w:w="2196" w:type="dxa"/>
            <w:tcBorders>
              <w:top w:val="single" w:color="auto" w:sz="4" w:space="0"/>
              <w:left w:val="nil"/>
              <w:bottom w:val="single" w:color="auto" w:sz="4" w:space="0"/>
              <w:right w:val="single" w:color="auto" w:sz="4" w:space="0"/>
            </w:tcBorders>
            <w:noWrap/>
            <w:vAlign w:val="center"/>
          </w:tcPr>
          <w:p w14:paraId="45222371">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预防为主，发现病虫害应积极防治，效果明显。</w:t>
            </w:r>
            <w:r>
              <w:rPr>
                <w:rFonts w:hint="eastAsia" w:cs="宋体" w:asciiTheme="majorEastAsia" w:hAnsiTheme="majorEastAsia" w:eastAsiaTheme="majorEastAsia"/>
                <w:color w:val="auto"/>
                <w:kern w:val="0"/>
                <w:sz w:val="24"/>
                <w:highlight w:val="none"/>
              </w:rPr>
              <w:t>消灭越冬害虫、清理被害树的病虫残体。</w:t>
            </w:r>
          </w:p>
        </w:tc>
        <w:tc>
          <w:tcPr>
            <w:tcW w:w="2776" w:type="dxa"/>
            <w:tcBorders>
              <w:top w:val="single" w:color="auto" w:sz="4" w:space="0"/>
              <w:left w:val="nil"/>
              <w:bottom w:val="single" w:color="auto" w:sz="4" w:space="0"/>
              <w:right w:val="single" w:color="auto" w:sz="4" w:space="0"/>
            </w:tcBorders>
            <w:noWrap/>
            <w:vAlign w:val="center"/>
          </w:tcPr>
          <w:p w14:paraId="49B67A32">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发现病虫害，不及时防治，有明显危害症状扣1分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w:t>
            </w:r>
            <w:r>
              <w:rPr>
                <w:rFonts w:hint="eastAsia" w:cs="宋体" w:asciiTheme="majorEastAsia" w:hAnsiTheme="majorEastAsia" w:eastAsiaTheme="majorEastAsia"/>
                <w:color w:val="auto"/>
                <w:kern w:val="0"/>
                <w:sz w:val="24"/>
                <w:highlight w:val="none"/>
              </w:rPr>
              <w:t>。</w:t>
            </w:r>
          </w:p>
        </w:tc>
        <w:tc>
          <w:tcPr>
            <w:tcW w:w="698" w:type="dxa"/>
            <w:tcBorders>
              <w:top w:val="single" w:color="auto" w:sz="4" w:space="0"/>
              <w:left w:val="nil"/>
              <w:bottom w:val="single" w:color="auto" w:sz="4" w:space="0"/>
              <w:right w:val="single" w:color="auto" w:sz="4" w:space="0"/>
            </w:tcBorders>
            <w:noWrap/>
            <w:vAlign w:val="center"/>
          </w:tcPr>
          <w:p w14:paraId="787AA953">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14BEDB34">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78EC0BB7">
            <w:pPr>
              <w:widowControl/>
              <w:spacing w:line="300" w:lineRule="exact"/>
              <w:jc w:val="center"/>
              <w:rPr>
                <w:rFonts w:asciiTheme="majorEastAsia" w:hAnsiTheme="majorEastAsia" w:eastAsiaTheme="majorEastAsia"/>
                <w:color w:val="auto"/>
                <w:kern w:val="0"/>
                <w:sz w:val="24"/>
                <w:highlight w:val="none"/>
              </w:rPr>
            </w:pPr>
          </w:p>
        </w:tc>
      </w:tr>
      <w:tr w14:paraId="02125EF6">
        <w:tblPrEx>
          <w:tblCellMar>
            <w:top w:w="0" w:type="dxa"/>
            <w:left w:w="108" w:type="dxa"/>
            <w:bottom w:w="0" w:type="dxa"/>
            <w:right w:w="108" w:type="dxa"/>
          </w:tblCellMar>
        </w:tblPrEx>
        <w:trPr>
          <w:trHeight w:val="850"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621E581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7</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412609FA">
            <w:pPr>
              <w:widowControl/>
              <w:spacing w:line="300" w:lineRule="exact"/>
              <w:jc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冬季苗木修枝整形保暖</w:t>
            </w:r>
          </w:p>
          <w:p w14:paraId="6B59885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color w:val="auto"/>
                <w:kern w:val="0"/>
                <w:sz w:val="24"/>
                <w:highlight w:val="none"/>
              </w:rPr>
              <w:t>5分</w:t>
            </w:r>
          </w:p>
        </w:tc>
        <w:tc>
          <w:tcPr>
            <w:tcW w:w="639" w:type="dxa"/>
            <w:tcBorders>
              <w:top w:val="single" w:color="auto" w:sz="4" w:space="0"/>
              <w:left w:val="single" w:color="auto" w:sz="4" w:space="0"/>
              <w:bottom w:val="single" w:color="auto" w:sz="4" w:space="0"/>
              <w:right w:val="single" w:color="auto" w:sz="4" w:space="0"/>
            </w:tcBorders>
            <w:noWrap/>
            <w:vAlign w:val="center"/>
          </w:tcPr>
          <w:p w14:paraId="64CF9D1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12</w:t>
            </w:r>
          </w:p>
        </w:tc>
        <w:tc>
          <w:tcPr>
            <w:tcW w:w="2196" w:type="dxa"/>
            <w:tcBorders>
              <w:top w:val="single" w:color="auto" w:sz="4" w:space="0"/>
              <w:left w:val="single" w:color="auto" w:sz="4" w:space="0"/>
              <w:bottom w:val="single" w:color="auto" w:sz="4" w:space="0"/>
              <w:right w:val="single" w:color="auto" w:sz="4" w:space="0"/>
            </w:tcBorders>
            <w:noWrap/>
            <w:vAlign w:val="center"/>
          </w:tcPr>
          <w:p w14:paraId="0BCA3308">
            <w:pPr>
              <w:widowControl/>
              <w:spacing w:line="300" w:lineRule="exac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对苗木进行修枝整形，去除多余杂枝（过密枝、枯死枝、伤残枝等）</w:t>
            </w:r>
            <w:r>
              <w:rPr>
                <w:rFonts w:hint="eastAsia" w:cs="宋体" w:asciiTheme="majorEastAsia" w:hAnsiTheme="majorEastAsia" w:eastAsiaTheme="majorEastAsia"/>
                <w:color w:val="auto"/>
                <w:kern w:val="0"/>
                <w:sz w:val="24"/>
                <w:highlight w:val="none"/>
              </w:rPr>
              <w:t>。</w:t>
            </w:r>
          </w:p>
        </w:tc>
        <w:tc>
          <w:tcPr>
            <w:tcW w:w="2776" w:type="dxa"/>
            <w:tcBorders>
              <w:top w:val="single" w:color="auto" w:sz="4" w:space="0"/>
              <w:left w:val="single" w:color="auto" w:sz="4" w:space="0"/>
              <w:bottom w:val="single" w:color="auto" w:sz="4" w:space="0"/>
              <w:right w:val="single" w:color="auto" w:sz="4" w:space="0"/>
            </w:tcBorders>
            <w:noWrap/>
            <w:vAlign w:val="center"/>
          </w:tcPr>
          <w:p w14:paraId="67146BCE">
            <w:pPr>
              <w:widowControl/>
              <w:spacing w:line="300" w:lineRule="exac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未及时进行修剪清理，每发现一处扣0.5分。</w:t>
            </w:r>
          </w:p>
        </w:tc>
        <w:tc>
          <w:tcPr>
            <w:tcW w:w="698" w:type="dxa"/>
            <w:tcBorders>
              <w:top w:val="single" w:color="auto" w:sz="4" w:space="0"/>
              <w:left w:val="single" w:color="auto" w:sz="4" w:space="0"/>
              <w:bottom w:val="single" w:color="auto" w:sz="4" w:space="0"/>
              <w:right w:val="single" w:color="auto" w:sz="4" w:space="0"/>
            </w:tcBorders>
            <w:noWrap/>
            <w:vAlign w:val="center"/>
          </w:tcPr>
          <w:p w14:paraId="1578BCF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15</w:t>
            </w:r>
          </w:p>
        </w:tc>
        <w:tc>
          <w:tcPr>
            <w:tcW w:w="436" w:type="dxa"/>
            <w:tcBorders>
              <w:top w:val="single" w:color="auto" w:sz="4" w:space="0"/>
              <w:left w:val="single" w:color="auto" w:sz="4" w:space="0"/>
              <w:bottom w:val="single" w:color="auto" w:sz="4" w:space="0"/>
              <w:right w:val="single" w:color="auto" w:sz="4" w:space="0"/>
            </w:tcBorders>
            <w:noWrap/>
            <w:vAlign w:val="center"/>
          </w:tcPr>
          <w:p w14:paraId="53F7191D">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98B5A41">
            <w:pPr>
              <w:widowControl/>
              <w:spacing w:line="300" w:lineRule="exact"/>
              <w:jc w:val="center"/>
              <w:rPr>
                <w:rFonts w:asciiTheme="majorEastAsia" w:hAnsiTheme="majorEastAsia" w:eastAsiaTheme="majorEastAsia"/>
                <w:color w:val="auto"/>
                <w:kern w:val="0"/>
                <w:sz w:val="24"/>
                <w:highlight w:val="none"/>
              </w:rPr>
            </w:pPr>
          </w:p>
        </w:tc>
      </w:tr>
      <w:tr w14:paraId="6F19A558">
        <w:tblPrEx>
          <w:tblCellMar>
            <w:top w:w="0" w:type="dxa"/>
            <w:left w:w="108" w:type="dxa"/>
            <w:bottom w:w="0" w:type="dxa"/>
            <w:right w:w="108" w:type="dxa"/>
          </w:tblCellMar>
        </w:tblPrEx>
        <w:trPr>
          <w:trHeight w:val="85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15D1B3B3">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28E79394">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57154C1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13</w:t>
            </w:r>
          </w:p>
        </w:tc>
        <w:tc>
          <w:tcPr>
            <w:tcW w:w="2196" w:type="dxa"/>
            <w:tcBorders>
              <w:top w:val="single" w:color="auto" w:sz="4" w:space="0"/>
              <w:left w:val="single" w:color="auto" w:sz="4" w:space="0"/>
              <w:bottom w:val="single" w:color="auto" w:sz="4" w:space="0"/>
              <w:right w:val="single" w:color="auto" w:sz="4" w:space="0"/>
            </w:tcBorders>
            <w:noWrap/>
            <w:vAlign w:val="center"/>
          </w:tcPr>
          <w:p w14:paraId="6713DD99">
            <w:pPr>
              <w:widowControl/>
              <w:spacing w:line="300" w:lineRule="exac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对不能露地过冬的树木采取防寒措施及冬季保暖工作</w:t>
            </w:r>
            <w:r>
              <w:rPr>
                <w:rFonts w:hint="eastAsia" w:cs="宋体" w:asciiTheme="majorEastAsia" w:hAnsiTheme="majorEastAsia" w:eastAsiaTheme="majorEastAsia"/>
                <w:color w:val="auto"/>
                <w:kern w:val="0"/>
                <w:sz w:val="24"/>
                <w:highlight w:val="none"/>
              </w:rPr>
              <w:t>。</w:t>
            </w:r>
          </w:p>
        </w:tc>
        <w:tc>
          <w:tcPr>
            <w:tcW w:w="2776" w:type="dxa"/>
            <w:tcBorders>
              <w:top w:val="single" w:color="auto" w:sz="4" w:space="0"/>
              <w:left w:val="single" w:color="auto" w:sz="4" w:space="0"/>
              <w:bottom w:val="single" w:color="auto" w:sz="4" w:space="0"/>
              <w:right w:val="single" w:color="auto" w:sz="4" w:space="0"/>
            </w:tcBorders>
            <w:noWrap/>
            <w:vAlign w:val="center"/>
          </w:tcPr>
          <w:p w14:paraId="002923FB">
            <w:pPr>
              <w:widowControl/>
              <w:spacing w:line="300" w:lineRule="exac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未及时进行保暖的每株扣0.5分，保暖效果影响整体美观的扣0.5分每处。</w:t>
            </w:r>
          </w:p>
        </w:tc>
        <w:tc>
          <w:tcPr>
            <w:tcW w:w="698" w:type="dxa"/>
            <w:tcBorders>
              <w:top w:val="single" w:color="auto" w:sz="4" w:space="0"/>
              <w:left w:val="single" w:color="auto" w:sz="4" w:space="0"/>
              <w:bottom w:val="single" w:color="auto" w:sz="4" w:space="0"/>
              <w:right w:val="single" w:color="auto" w:sz="4" w:space="0"/>
            </w:tcBorders>
            <w:noWrap/>
            <w:vAlign w:val="center"/>
          </w:tcPr>
          <w:p w14:paraId="45560F2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436" w:type="dxa"/>
            <w:tcBorders>
              <w:top w:val="single" w:color="auto" w:sz="4" w:space="0"/>
              <w:left w:val="single" w:color="auto" w:sz="4" w:space="0"/>
              <w:bottom w:val="single" w:color="auto" w:sz="4" w:space="0"/>
              <w:right w:val="single" w:color="auto" w:sz="4" w:space="0"/>
            </w:tcBorders>
            <w:noWrap/>
            <w:vAlign w:val="center"/>
          </w:tcPr>
          <w:p w14:paraId="11902323">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61A0C104">
            <w:pPr>
              <w:widowControl/>
              <w:spacing w:line="300" w:lineRule="exact"/>
              <w:jc w:val="center"/>
              <w:rPr>
                <w:rFonts w:asciiTheme="majorEastAsia" w:hAnsiTheme="majorEastAsia" w:eastAsiaTheme="majorEastAsia"/>
                <w:color w:val="auto"/>
                <w:kern w:val="0"/>
                <w:sz w:val="24"/>
                <w:highlight w:val="none"/>
              </w:rPr>
            </w:pPr>
          </w:p>
        </w:tc>
      </w:tr>
      <w:tr w14:paraId="61126FCF">
        <w:tblPrEx>
          <w:tblCellMar>
            <w:top w:w="0" w:type="dxa"/>
            <w:left w:w="108" w:type="dxa"/>
            <w:bottom w:w="0" w:type="dxa"/>
            <w:right w:w="108" w:type="dxa"/>
          </w:tblCellMar>
        </w:tblPrEx>
        <w:trPr>
          <w:trHeight w:val="85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45E91A94">
            <w:pPr>
              <w:widowControl/>
              <w:spacing w:line="300" w:lineRule="exact"/>
              <w:jc w:val="center"/>
              <w:rPr>
                <w:rFonts w:cs="宋体"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1AAD721D">
            <w:pPr>
              <w:widowControl/>
              <w:spacing w:line="300" w:lineRule="exact"/>
              <w:jc w:val="center"/>
              <w:rPr>
                <w:rFonts w:cs="宋体" w:asciiTheme="majorEastAsia" w:hAnsiTheme="majorEastAsia" w:eastAsiaTheme="majorEastAsia"/>
                <w:color w:val="auto"/>
                <w:kern w:val="0"/>
                <w:sz w:val="24"/>
                <w:highlight w:val="none"/>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0AFF8DEB">
            <w:pPr>
              <w:widowControl/>
              <w:spacing w:line="300" w:lineRule="exact"/>
              <w:jc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14</w:t>
            </w:r>
          </w:p>
        </w:tc>
        <w:tc>
          <w:tcPr>
            <w:tcW w:w="2196" w:type="dxa"/>
            <w:tcBorders>
              <w:top w:val="single" w:color="auto" w:sz="4" w:space="0"/>
              <w:left w:val="single" w:color="auto" w:sz="4" w:space="0"/>
              <w:bottom w:val="single" w:color="auto" w:sz="4" w:space="0"/>
              <w:right w:val="single" w:color="auto" w:sz="4" w:space="0"/>
            </w:tcBorders>
            <w:noWrap/>
            <w:vAlign w:val="center"/>
          </w:tcPr>
          <w:p w14:paraId="08F41983">
            <w:pPr>
              <w:widowControl/>
              <w:spacing w:line="300" w:lineRule="exac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树干涂白，时间为12月份开始。</w:t>
            </w:r>
          </w:p>
        </w:tc>
        <w:tc>
          <w:tcPr>
            <w:tcW w:w="2776" w:type="dxa"/>
            <w:tcBorders>
              <w:top w:val="single" w:color="auto" w:sz="4" w:space="0"/>
              <w:left w:val="single" w:color="auto" w:sz="4" w:space="0"/>
              <w:bottom w:val="single" w:color="auto" w:sz="4" w:space="0"/>
              <w:right w:val="single" w:color="auto" w:sz="4" w:space="0"/>
            </w:tcBorders>
            <w:noWrap/>
            <w:vAlign w:val="center"/>
          </w:tcPr>
          <w:p w14:paraId="17835F5B">
            <w:pPr>
              <w:widowControl/>
              <w:spacing w:line="300" w:lineRule="exac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适时进行树干涂白工作，未按时进行涂白的</w:t>
            </w:r>
            <w:r>
              <w:rPr>
                <w:rFonts w:hint="eastAsia" w:cs="宋体" w:asciiTheme="majorEastAsia" w:hAnsiTheme="majorEastAsia" w:eastAsiaTheme="majorEastAsia"/>
                <w:color w:val="auto"/>
                <w:kern w:val="0"/>
                <w:sz w:val="24"/>
                <w:highlight w:val="none"/>
              </w:rPr>
              <w:t>，加倍扣分。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25EDD258">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436" w:type="dxa"/>
            <w:tcBorders>
              <w:top w:val="single" w:color="auto" w:sz="4" w:space="0"/>
              <w:left w:val="single" w:color="auto" w:sz="4" w:space="0"/>
              <w:bottom w:val="single" w:color="auto" w:sz="4" w:space="0"/>
              <w:right w:val="single" w:color="auto" w:sz="4" w:space="0"/>
            </w:tcBorders>
            <w:noWrap/>
            <w:vAlign w:val="center"/>
          </w:tcPr>
          <w:p w14:paraId="2FAB3ADC">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56FDC8EF">
            <w:pPr>
              <w:widowControl/>
              <w:spacing w:line="300" w:lineRule="exact"/>
              <w:jc w:val="center"/>
              <w:rPr>
                <w:rFonts w:asciiTheme="majorEastAsia" w:hAnsiTheme="majorEastAsia" w:eastAsiaTheme="majorEastAsia"/>
                <w:color w:val="auto"/>
                <w:kern w:val="0"/>
                <w:sz w:val="24"/>
                <w:highlight w:val="none"/>
              </w:rPr>
            </w:pPr>
          </w:p>
        </w:tc>
      </w:tr>
      <w:tr w14:paraId="5C436690">
        <w:tblPrEx>
          <w:tblCellMar>
            <w:top w:w="0" w:type="dxa"/>
            <w:left w:w="108" w:type="dxa"/>
            <w:bottom w:w="0" w:type="dxa"/>
            <w:right w:w="108" w:type="dxa"/>
          </w:tblCellMar>
        </w:tblPrEx>
        <w:trPr>
          <w:trHeight w:val="2978" w:hRule="atLeast"/>
          <w:jc w:val="center"/>
        </w:trPr>
        <w:tc>
          <w:tcPr>
            <w:tcW w:w="530" w:type="dxa"/>
            <w:vMerge w:val="restart"/>
            <w:tcBorders>
              <w:top w:val="single" w:color="auto" w:sz="4" w:space="0"/>
              <w:left w:val="single" w:color="auto" w:sz="4" w:space="0"/>
              <w:right w:val="single" w:color="auto" w:sz="4" w:space="0"/>
            </w:tcBorders>
            <w:noWrap/>
            <w:vAlign w:val="center"/>
          </w:tcPr>
          <w:p w14:paraId="1B58432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w:t>
            </w:r>
          </w:p>
        </w:tc>
        <w:tc>
          <w:tcPr>
            <w:tcW w:w="815" w:type="dxa"/>
            <w:vMerge w:val="restart"/>
            <w:tcBorders>
              <w:top w:val="single" w:color="auto" w:sz="4" w:space="0"/>
              <w:left w:val="single" w:color="auto" w:sz="4" w:space="0"/>
              <w:right w:val="single" w:color="auto" w:sz="4" w:space="0"/>
            </w:tcBorders>
            <w:noWrap/>
            <w:vAlign w:val="center"/>
          </w:tcPr>
          <w:p w14:paraId="2413DDD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整枝修剪14分</w:t>
            </w:r>
          </w:p>
        </w:tc>
        <w:tc>
          <w:tcPr>
            <w:tcW w:w="639" w:type="dxa"/>
            <w:tcBorders>
              <w:top w:val="single" w:color="auto" w:sz="4" w:space="0"/>
              <w:left w:val="single" w:color="auto" w:sz="4" w:space="0"/>
              <w:bottom w:val="single" w:color="000000" w:sz="4" w:space="0"/>
              <w:right w:val="single" w:color="auto" w:sz="4" w:space="0"/>
            </w:tcBorders>
            <w:noWrap/>
            <w:vAlign w:val="center"/>
          </w:tcPr>
          <w:p w14:paraId="293187C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rPr>
              <w:t>5</w:t>
            </w:r>
          </w:p>
        </w:tc>
        <w:tc>
          <w:tcPr>
            <w:tcW w:w="2196" w:type="dxa"/>
            <w:tcBorders>
              <w:top w:val="single" w:color="auto" w:sz="4" w:space="0"/>
              <w:left w:val="single" w:color="auto" w:sz="4" w:space="0"/>
              <w:bottom w:val="single" w:color="auto" w:sz="4" w:space="0"/>
              <w:right w:val="single" w:color="auto" w:sz="4" w:space="0"/>
            </w:tcBorders>
            <w:noWrap/>
            <w:vAlign w:val="center"/>
          </w:tcPr>
          <w:p w14:paraId="6C337406">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single" w:color="auto" w:sz="4" w:space="0"/>
              <w:bottom w:val="single" w:color="auto" w:sz="4" w:space="0"/>
              <w:right w:val="single" w:color="auto" w:sz="4" w:space="0"/>
            </w:tcBorders>
            <w:noWrap/>
            <w:vAlign w:val="center"/>
          </w:tcPr>
          <w:p w14:paraId="0CF6FEFF">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不及时修剪，扣0.5分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处；绿篱修剪面不平、不直，宽度不匀，扣0.5分</w:t>
            </w:r>
            <w:r>
              <w:rPr>
                <w:rFonts w:hint="eastAsia" w:asciiTheme="majorEastAsia" w:hAnsiTheme="majorEastAsia" w:eastAsiaTheme="majorEastAsia"/>
                <w:color w:val="auto"/>
                <w:kern w:val="0"/>
                <w:sz w:val="24"/>
                <w:highlight w:val="none"/>
              </w:rPr>
              <w:t>/100</w:t>
            </w:r>
            <w:r>
              <w:rPr>
                <w:rFonts w:cs="宋体" w:asciiTheme="majorEastAsia" w:hAnsiTheme="majorEastAsia" w:eastAsiaTheme="majorEastAsia"/>
                <w:color w:val="auto"/>
                <w:kern w:val="0"/>
                <w:sz w:val="24"/>
                <w:highlight w:val="none"/>
              </w:rPr>
              <w:t>m；有明显凹凸，扣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处；色块轮廓不明显，面不平，扣0.5分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处；球类修剪不圆，同条路或同块趋向不一，扣0.5分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7AA1370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6</w:t>
            </w:r>
          </w:p>
        </w:tc>
        <w:tc>
          <w:tcPr>
            <w:tcW w:w="436" w:type="dxa"/>
            <w:tcBorders>
              <w:top w:val="single" w:color="auto" w:sz="4" w:space="0"/>
              <w:left w:val="single" w:color="auto" w:sz="4" w:space="0"/>
              <w:bottom w:val="single" w:color="auto" w:sz="4" w:space="0"/>
              <w:right w:val="single" w:color="auto" w:sz="4" w:space="0"/>
            </w:tcBorders>
            <w:noWrap/>
            <w:vAlign w:val="center"/>
          </w:tcPr>
          <w:p w14:paraId="15C80E50">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36D9CABC">
            <w:pPr>
              <w:widowControl/>
              <w:spacing w:line="300" w:lineRule="exact"/>
              <w:jc w:val="center"/>
              <w:rPr>
                <w:rFonts w:asciiTheme="majorEastAsia" w:hAnsiTheme="majorEastAsia" w:eastAsiaTheme="majorEastAsia"/>
                <w:color w:val="auto"/>
                <w:kern w:val="0"/>
                <w:sz w:val="24"/>
                <w:highlight w:val="none"/>
              </w:rPr>
            </w:pPr>
          </w:p>
        </w:tc>
      </w:tr>
      <w:tr w14:paraId="2AA4971B">
        <w:tblPrEx>
          <w:tblCellMar>
            <w:top w:w="0" w:type="dxa"/>
            <w:left w:w="108" w:type="dxa"/>
            <w:bottom w:w="0" w:type="dxa"/>
            <w:right w:w="108" w:type="dxa"/>
          </w:tblCellMar>
        </w:tblPrEx>
        <w:trPr>
          <w:trHeight w:val="1743" w:hRule="atLeast"/>
          <w:jc w:val="center"/>
        </w:trPr>
        <w:tc>
          <w:tcPr>
            <w:tcW w:w="530" w:type="dxa"/>
            <w:vMerge w:val="continue"/>
            <w:tcBorders>
              <w:left w:val="single" w:color="auto" w:sz="4" w:space="0"/>
              <w:bottom w:val="single" w:color="000000" w:sz="4" w:space="0"/>
              <w:right w:val="single" w:color="auto" w:sz="4" w:space="0"/>
            </w:tcBorders>
            <w:noWrap/>
            <w:vAlign w:val="center"/>
          </w:tcPr>
          <w:p w14:paraId="20C27B1B">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single" w:color="auto" w:sz="4" w:space="0"/>
              <w:bottom w:val="single" w:color="000000" w:sz="4" w:space="0"/>
              <w:right w:val="single" w:color="auto" w:sz="4" w:space="0"/>
            </w:tcBorders>
            <w:noWrap/>
            <w:vAlign w:val="center"/>
          </w:tcPr>
          <w:p w14:paraId="5FF977A6">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000000" w:sz="4" w:space="0"/>
              <w:left w:val="nil"/>
              <w:bottom w:val="single" w:color="auto" w:sz="4" w:space="0"/>
              <w:right w:val="single" w:color="auto" w:sz="4" w:space="0"/>
            </w:tcBorders>
            <w:noWrap/>
            <w:vAlign w:val="center"/>
          </w:tcPr>
          <w:p w14:paraId="00700808">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16</w:t>
            </w:r>
          </w:p>
        </w:tc>
        <w:tc>
          <w:tcPr>
            <w:tcW w:w="2196" w:type="dxa"/>
            <w:tcBorders>
              <w:top w:val="single" w:color="auto" w:sz="4" w:space="0"/>
              <w:left w:val="nil"/>
              <w:bottom w:val="single" w:color="auto" w:sz="4" w:space="0"/>
              <w:right w:val="single" w:color="auto" w:sz="4" w:space="0"/>
            </w:tcBorders>
            <w:noWrap/>
            <w:vAlign w:val="center"/>
          </w:tcPr>
          <w:p w14:paraId="64F0BD85">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noWrap/>
            <w:vAlign w:val="center"/>
          </w:tcPr>
          <w:p w14:paraId="02A39461">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乔木未按要求修剪扣1分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未及时修剪剥芽扣</w:t>
            </w:r>
            <w:r>
              <w:rPr>
                <w:rFonts w:hint="eastAsia" w:asciiTheme="majorEastAsia" w:hAnsiTheme="majorEastAsia" w:eastAsiaTheme="majorEastAsia"/>
                <w:color w:val="auto"/>
                <w:kern w:val="0"/>
                <w:sz w:val="24"/>
                <w:highlight w:val="none"/>
              </w:rPr>
              <w:t>2</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萌蘖芽未及时剥除发现</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株扣0.5分；修剪不当造成树木枯死，影响美观的扣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株。或加倍扣分。</w:t>
            </w:r>
          </w:p>
        </w:tc>
        <w:tc>
          <w:tcPr>
            <w:tcW w:w="698" w:type="dxa"/>
            <w:tcBorders>
              <w:top w:val="single" w:color="auto" w:sz="4" w:space="0"/>
              <w:left w:val="nil"/>
              <w:bottom w:val="single" w:color="auto" w:sz="4" w:space="0"/>
              <w:right w:val="single" w:color="auto" w:sz="4" w:space="0"/>
            </w:tcBorders>
            <w:noWrap/>
            <w:vAlign w:val="center"/>
          </w:tcPr>
          <w:p w14:paraId="587FEBE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3E89221C">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2DEE50F5">
            <w:pPr>
              <w:widowControl/>
              <w:spacing w:line="300" w:lineRule="exact"/>
              <w:jc w:val="center"/>
              <w:rPr>
                <w:rFonts w:asciiTheme="majorEastAsia" w:hAnsiTheme="majorEastAsia" w:eastAsiaTheme="majorEastAsia"/>
                <w:color w:val="auto"/>
                <w:kern w:val="0"/>
                <w:sz w:val="24"/>
                <w:highlight w:val="none"/>
              </w:rPr>
            </w:pPr>
          </w:p>
        </w:tc>
      </w:tr>
      <w:tr w14:paraId="2DAB4858">
        <w:tblPrEx>
          <w:tblCellMar>
            <w:top w:w="0" w:type="dxa"/>
            <w:left w:w="108" w:type="dxa"/>
            <w:bottom w:w="0" w:type="dxa"/>
            <w:right w:w="108" w:type="dxa"/>
          </w:tblCellMar>
        </w:tblPrEx>
        <w:trPr>
          <w:trHeight w:val="280" w:hRule="atLeast"/>
          <w:jc w:val="center"/>
        </w:trPr>
        <w:tc>
          <w:tcPr>
            <w:tcW w:w="530" w:type="dxa"/>
            <w:tcBorders>
              <w:top w:val="single" w:color="000000" w:sz="4" w:space="0"/>
              <w:left w:val="single" w:color="auto" w:sz="4" w:space="0"/>
              <w:bottom w:val="single" w:color="000000" w:sz="4" w:space="0"/>
              <w:right w:val="single" w:color="auto" w:sz="4" w:space="0"/>
            </w:tcBorders>
            <w:noWrap/>
            <w:vAlign w:val="center"/>
          </w:tcPr>
          <w:p w14:paraId="0745A0F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w:t>
            </w:r>
          </w:p>
        </w:tc>
        <w:tc>
          <w:tcPr>
            <w:tcW w:w="815" w:type="dxa"/>
            <w:tcBorders>
              <w:top w:val="single" w:color="000000" w:sz="4" w:space="0"/>
              <w:left w:val="nil"/>
              <w:bottom w:val="single" w:color="000000" w:sz="4" w:space="0"/>
              <w:right w:val="single" w:color="auto" w:sz="4" w:space="0"/>
            </w:tcBorders>
            <w:noWrap/>
            <w:vAlign w:val="center"/>
          </w:tcPr>
          <w:p w14:paraId="153C88A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整枝修剪14分</w:t>
            </w:r>
          </w:p>
        </w:tc>
        <w:tc>
          <w:tcPr>
            <w:tcW w:w="639" w:type="dxa"/>
            <w:tcBorders>
              <w:top w:val="single" w:color="auto" w:sz="4" w:space="0"/>
              <w:left w:val="nil"/>
              <w:bottom w:val="single" w:color="auto" w:sz="4" w:space="0"/>
              <w:right w:val="single" w:color="auto" w:sz="4" w:space="0"/>
            </w:tcBorders>
            <w:noWrap/>
            <w:vAlign w:val="center"/>
          </w:tcPr>
          <w:p w14:paraId="4E54657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rPr>
              <w:t>7</w:t>
            </w:r>
          </w:p>
        </w:tc>
        <w:tc>
          <w:tcPr>
            <w:tcW w:w="2196" w:type="dxa"/>
            <w:tcBorders>
              <w:top w:val="single" w:color="auto" w:sz="4" w:space="0"/>
              <w:left w:val="nil"/>
              <w:bottom w:val="single" w:color="auto" w:sz="4" w:space="0"/>
              <w:right w:val="single" w:color="auto" w:sz="4" w:space="0"/>
            </w:tcBorders>
            <w:noWrap/>
            <w:vAlign w:val="center"/>
          </w:tcPr>
          <w:p w14:paraId="16C5291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noWrap/>
            <w:vAlign w:val="center"/>
          </w:tcPr>
          <w:p w14:paraId="24C5832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修剪面不平，边角有遗留，扣0.5分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处；修剪后色斑明显，扣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5分；不及时修剪，扣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4844A94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0D1E3720">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5B357A8D">
            <w:pPr>
              <w:widowControl/>
              <w:spacing w:line="300" w:lineRule="exact"/>
              <w:jc w:val="center"/>
              <w:rPr>
                <w:rFonts w:asciiTheme="majorEastAsia" w:hAnsiTheme="majorEastAsia" w:eastAsiaTheme="majorEastAsia"/>
                <w:color w:val="auto"/>
                <w:kern w:val="0"/>
                <w:sz w:val="24"/>
                <w:highlight w:val="none"/>
              </w:rPr>
            </w:pPr>
          </w:p>
        </w:tc>
      </w:tr>
      <w:tr w14:paraId="30CB754C">
        <w:tblPrEx>
          <w:tblCellMar>
            <w:top w:w="0" w:type="dxa"/>
            <w:left w:w="108" w:type="dxa"/>
            <w:bottom w:w="0" w:type="dxa"/>
            <w:right w:w="108" w:type="dxa"/>
          </w:tblCellMar>
        </w:tblPrEx>
        <w:trPr>
          <w:trHeight w:val="1335" w:hRule="atLeast"/>
          <w:jc w:val="center"/>
        </w:trPr>
        <w:tc>
          <w:tcPr>
            <w:tcW w:w="530" w:type="dxa"/>
            <w:tcBorders>
              <w:top w:val="single" w:color="000000" w:sz="4" w:space="0"/>
              <w:left w:val="single" w:color="auto" w:sz="4" w:space="0"/>
              <w:bottom w:val="single" w:color="auto" w:sz="4" w:space="0"/>
              <w:right w:val="single" w:color="auto" w:sz="4" w:space="0"/>
            </w:tcBorders>
            <w:noWrap/>
            <w:vAlign w:val="center"/>
          </w:tcPr>
          <w:p w14:paraId="1F0318A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9</w:t>
            </w:r>
          </w:p>
        </w:tc>
        <w:tc>
          <w:tcPr>
            <w:tcW w:w="815" w:type="dxa"/>
            <w:tcBorders>
              <w:top w:val="single" w:color="000000" w:sz="4" w:space="0"/>
              <w:left w:val="nil"/>
              <w:bottom w:val="single" w:color="auto" w:sz="4" w:space="0"/>
              <w:right w:val="single" w:color="auto" w:sz="4" w:space="0"/>
            </w:tcBorders>
            <w:noWrap/>
            <w:vAlign w:val="center"/>
          </w:tcPr>
          <w:p w14:paraId="54D4CF53">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绿地保护</w:t>
            </w:r>
          </w:p>
          <w:p w14:paraId="0322802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3分</w:t>
            </w:r>
          </w:p>
        </w:tc>
        <w:tc>
          <w:tcPr>
            <w:tcW w:w="639" w:type="dxa"/>
            <w:tcBorders>
              <w:top w:val="single" w:color="auto" w:sz="4" w:space="0"/>
              <w:left w:val="nil"/>
              <w:bottom w:val="single" w:color="auto" w:sz="4" w:space="0"/>
              <w:right w:val="single" w:color="auto" w:sz="4" w:space="0"/>
            </w:tcBorders>
            <w:noWrap/>
            <w:vAlign w:val="center"/>
          </w:tcPr>
          <w:p w14:paraId="5D9AA883">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18</w:t>
            </w:r>
          </w:p>
        </w:tc>
        <w:tc>
          <w:tcPr>
            <w:tcW w:w="2196" w:type="dxa"/>
            <w:tcBorders>
              <w:top w:val="single" w:color="auto" w:sz="4" w:space="0"/>
              <w:left w:val="nil"/>
              <w:bottom w:val="single" w:color="auto" w:sz="4" w:space="0"/>
              <w:right w:val="single" w:color="auto" w:sz="4" w:space="0"/>
            </w:tcBorders>
            <w:noWrap/>
            <w:vAlign w:val="center"/>
          </w:tcPr>
          <w:p w14:paraId="113F95B8">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noWrap/>
            <w:vAlign w:val="center"/>
          </w:tcPr>
          <w:p w14:paraId="4F5F5C14">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noWrap/>
            <w:vAlign w:val="center"/>
          </w:tcPr>
          <w:p w14:paraId="185C59D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436" w:type="dxa"/>
            <w:tcBorders>
              <w:top w:val="single" w:color="auto" w:sz="4" w:space="0"/>
              <w:left w:val="nil"/>
              <w:bottom w:val="single" w:color="auto" w:sz="4" w:space="0"/>
              <w:right w:val="single" w:color="auto" w:sz="4" w:space="0"/>
            </w:tcBorders>
            <w:noWrap/>
            <w:vAlign w:val="center"/>
          </w:tcPr>
          <w:p w14:paraId="29F02AA9">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7DA151C9">
            <w:pPr>
              <w:widowControl/>
              <w:spacing w:line="300" w:lineRule="exact"/>
              <w:jc w:val="center"/>
              <w:rPr>
                <w:rFonts w:asciiTheme="majorEastAsia" w:hAnsiTheme="majorEastAsia" w:eastAsiaTheme="majorEastAsia"/>
                <w:color w:val="auto"/>
                <w:kern w:val="0"/>
                <w:sz w:val="24"/>
                <w:highlight w:val="none"/>
              </w:rPr>
            </w:pPr>
          </w:p>
        </w:tc>
      </w:tr>
      <w:tr w14:paraId="662E292E">
        <w:tblPrEx>
          <w:tblCellMar>
            <w:top w:w="0" w:type="dxa"/>
            <w:left w:w="108" w:type="dxa"/>
            <w:bottom w:w="0" w:type="dxa"/>
            <w:right w:w="108" w:type="dxa"/>
          </w:tblCellMar>
        </w:tblPrEx>
        <w:trPr>
          <w:trHeight w:val="105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085FA00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10</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578B07F4">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行为质量</w:t>
            </w:r>
          </w:p>
          <w:p w14:paraId="0BBD0C9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8分</w:t>
            </w:r>
          </w:p>
        </w:tc>
        <w:tc>
          <w:tcPr>
            <w:tcW w:w="639" w:type="dxa"/>
            <w:tcBorders>
              <w:top w:val="single" w:color="auto" w:sz="4" w:space="0"/>
              <w:left w:val="single" w:color="auto" w:sz="4" w:space="0"/>
              <w:bottom w:val="single" w:color="auto" w:sz="4" w:space="0"/>
              <w:right w:val="single" w:color="auto" w:sz="4" w:space="0"/>
            </w:tcBorders>
            <w:noWrap/>
            <w:vAlign w:val="center"/>
          </w:tcPr>
          <w:p w14:paraId="6E97998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rPr>
              <w:t>9</w:t>
            </w:r>
          </w:p>
        </w:tc>
        <w:tc>
          <w:tcPr>
            <w:tcW w:w="2196" w:type="dxa"/>
            <w:tcBorders>
              <w:top w:val="single" w:color="auto" w:sz="4" w:space="0"/>
              <w:left w:val="single" w:color="auto" w:sz="4" w:space="0"/>
              <w:bottom w:val="single" w:color="auto" w:sz="4" w:space="0"/>
              <w:right w:val="single" w:color="auto" w:sz="4" w:space="0"/>
            </w:tcBorders>
            <w:noWrap/>
            <w:vAlign w:val="center"/>
          </w:tcPr>
          <w:p w14:paraId="48E97FC6">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noWrap/>
            <w:vAlign w:val="center"/>
          </w:tcPr>
          <w:p w14:paraId="40D79D88">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未报送书面台账资料的直接扣除</w:t>
            </w:r>
            <w:r>
              <w:rPr>
                <w:rFonts w:hint="eastAsia" w:cs="宋体" w:asciiTheme="majorEastAsia" w:hAnsiTheme="majorEastAsia" w:eastAsiaTheme="majorEastAsia"/>
                <w:color w:val="auto"/>
                <w:kern w:val="0"/>
                <w:sz w:val="24"/>
                <w:highlight w:val="none"/>
              </w:rPr>
              <w:t>。</w:t>
            </w:r>
          </w:p>
        </w:tc>
        <w:tc>
          <w:tcPr>
            <w:tcW w:w="698" w:type="dxa"/>
            <w:tcBorders>
              <w:top w:val="single" w:color="auto" w:sz="4" w:space="0"/>
              <w:left w:val="single" w:color="auto" w:sz="4" w:space="0"/>
              <w:bottom w:val="single" w:color="auto" w:sz="4" w:space="0"/>
              <w:right w:val="single" w:color="auto" w:sz="4" w:space="0"/>
            </w:tcBorders>
            <w:noWrap/>
            <w:vAlign w:val="center"/>
          </w:tcPr>
          <w:p w14:paraId="2AC332A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1D7A74F4">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7DE57108">
            <w:pPr>
              <w:widowControl/>
              <w:spacing w:line="300" w:lineRule="exact"/>
              <w:jc w:val="center"/>
              <w:rPr>
                <w:rFonts w:asciiTheme="majorEastAsia" w:hAnsiTheme="majorEastAsia" w:eastAsiaTheme="majorEastAsia"/>
                <w:color w:val="auto"/>
                <w:kern w:val="0"/>
                <w:sz w:val="24"/>
                <w:highlight w:val="none"/>
              </w:rPr>
            </w:pPr>
          </w:p>
        </w:tc>
      </w:tr>
      <w:tr w14:paraId="59E725E0">
        <w:tblPrEx>
          <w:tblCellMar>
            <w:top w:w="0" w:type="dxa"/>
            <w:left w:w="108" w:type="dxa"/>
            <w:bottom w:w="0" w:type="dxa"/>
            <w:right w:w="108" w:type="dxa"/>
          </w:tblCellMar>
        </w:tblPrEx>
        <w:trPr>
          <w:trHeight w:val="98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13EEAB7F">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4635DC30">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1B4CE7FE">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20</w:t>
            </w:r>
          </w:p>
        </w:tc>
        <w:tc>
          <w:tcPr>
            <w:tcW w:w="2196" w:type="dxa"/>
            <w:tcBorders>
              <w:top w:val="single" w:color="auto" w:sz="4" w:space="0"/>
              <w:left w:val="single" w:color="auto" w:sz="4" w:space="0"/>
              <w:bottom w:val="single" w:color="auto" w:sz="4" w:space="0"/>
              <w:right w:val="single" w:color="auto" w:sz="4" w:space="0"/>
            </w:tcBorders>
            <w:noWrap/>
            <w:vAlign w:val="center"/>
          </w:tcPr>
          <w:p w14:paraId="706CCAD8">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noWrap/>
            <w:vAlign w:val="center"/>
          </w:tcPr>
          <w:p w14:paraId="18AEBCED">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按照规定养护人员数量不符合要求，扣全部分值；项目负责人不在现场，扣1分；工作人员服装不统一，不按要求安全作业，每人扣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分；道路施工时，安全警示标识标牌不齐全的扣1分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02929EB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436" w:type="dxa"/>
            <w:tcBorders>
              <w:top w:val="single" w:color="auto" w:sz="4" w:space="0"/>
              <w:left w:val="single" w:color="auto" w:sz="4" w:space="0"/>
              <w:bottom w:val="single" w:color="auto" w:sz="4" w:space="0"/>
              <w:right w:val="single" w:color="auto" w:sz="4" w:space="0"/>
            </w:tcBorders>
            <w:noWrap/>
            <w:vAlign w:val="center"/>
          </w:tcPr>
          <w:p w14:paraId="4DDF0142">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7F401EB6">
            <w:pPr>
              <w:widowControl/>
              <w:spacing w:line="300" w:lineRule="exact"/>
              <w:jc w:val="center"/>
              <w:rPr>
                <w:rFonts w:asciiTheme="majorEastAsia" w:hAnsiTheme="majorEastAsia" w:eastAsiaTheme="majorEastAsia"/>
                <w:color w:val="auto"/>
                <w:kern w:val="0"/>
                <w:sz w:val="24"/>
                <w:highlight w:val="none"/>
              </w:rPr>
            </w:pPr>
          </w:p>
        </w:tc>
      </w:tr>
      <w:tr w14:paraId="4D4E55ED">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13A4E2A9">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37983088">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648AA1A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color w:val="auto"/>
                <w:kern w:val="0"/>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ign w:val="center"/>
          </w:tcPr>
          <w:p w14:paraId="3568721D">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noWrap/>
            <w:vAlign w:val="center"/>
          </w:tcPr>
          <w:p w14:paraId="02EE9256">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迟到一次扣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分；无故缺席一次扣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分；无故替开会一次扣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1570B1E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1F64C6E8">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782F654E">
            <w:pPr>
              <w:widowControl/>
              <w:spacing w:line="300" w:lineRule="exact"/>
              <w:jc w:val="center"/>
              <w:rPr>
                <w:rFonts w:asciiTheme="majorEastAsia" w:hAnsiTheme="majorEastAsia" w:eastAsiaTheme="majorEastAsia"/>
                <w:color w:val="auto"/>
                <w:kern w:val="0"/>
                <w:sz w:val="24"/>
                <w:highlight w:val="none"/>
              </w:rPr>
            </w:pPr>
          </w:p>
        </w:tc>
      </w:tr>
      <w:tr w14:paraId="3033EB27">
        <w:tblPrEx>
          <w:tblCellMar>
            <w:top w:w="0" w:type="dxa"/>
            <w:left w:w="108" w:type="dxa"/>
            <w:bottom w:w="0" w:type="dxa"/>
            <w:right w:w="108" w:type="dxa"/>
          </w:tblCellMar>
        </w:tblPrEx>
        <w:trPr>
          <w:trHeight w:val="250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514330D9">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19B5E72D">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727263D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color w:val="auto"/>
                <w:kern w:val="0"/>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ign w:val="center"/>
          </w:tcPr>
          <w:p w14:paraId="296E102B">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noWrap/>
            <w:vAlign w:val="center"/>
          </w:tcPr>
          <w:p w14:paraId="7E6F174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noWrap/>
            <w:vAlign w:val="center"/>
          </w:tcPr>
          <w:p w14:paraId="06DC56C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single" w:color="auto" w:sz="4" w:space="0"/>
              <w:bottom w:val="single" w:color="auto" w:sz="4" w:space="0"/>
              <w:right w:val="single" w:color="auto" w:sz="4" w:space="0"/>
            </w:tcBorders>
            <w:noWrap/>
            <w:vAlign w:val="center"/>
          </w:tcPr>
          <w:p w14:paraId="4DFA10CB">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D63294B">
            <w:pPr>
              <w:widowControl/>
              <w:spacing w:line="300" w:lineRule="exact"/>
              <w:jc w:val="center"/>
              <w:rPr>
                <w:rFonts w:asciiTheme="majorEastAsia" w:hAnsiTheme="majorEastAsia" w:eastAsiaTheme="majorEastAsia"/>
                <w:color w:val="auto"/>
                <w:kern w:val="0"/>
                <w:sz w:val="24"/>
                <w:highlight w:val="none"/>
              </w:rPr>
            </w:pPr>
          </w:p>
        </w:tc>
      </w:tr>
      <w:tr w14:paraId="2D496C85">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noWrap/>
            <w:vAlign w:val="center"/>
          </w:tcPr>
          <w:p w14:paraId="52D106E4">
            <w:pPr>
              <w:widowControl/>
              <w:spacing w:line="300" w:lineRule="exact"/>
              <w:jc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合计</w:t>
            </w:r>
          </w:p>
        </w:tc>
        <w:tc>
          <w:tcPr>
            <w:tcW w:w="698" w:type="dxa"/>
            <w:tcBorders>
              <w:top w:val="single" w:color="auto" w:sz="4" w:space="0"/>
              <w:left w:val="single" w:color="auto" w:sz="4" w:space="0"/>
              <w:bottom w:val="single" w:color="auto" w:sz="4" w:space="0"/>
              <w:right w:val="single" w:color="auto" w:sz="4" w:space="0"/>
            </w:tcBorders>
            <w:noWrap/>
            <w:vAlign w:val="center"/>
          </w:tcPr>
          <w:p w14:paraId="38023CDC">
            <w:pPr>
              <w:widowControl/>
              <w:spacing w:line="300" w:lineRule="exact"/>
              <w:jc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100</w:t>
            </w:r>
          </w:p>
        </w:tc>
        <w:tc>
          <w:tcPr>
            <w:tcW w:w="436" w:type="dxa"/>
            <w:tcBorders>
              <w:top w:val="single" w:color="auto" w:sz="4" w:space="0"/>
              <w:left w:val="single" w:color="auto" w:sz="4" w:space="0"/>
              <w:bottom w:val="single" w:color="auto" w:sz="4" w:space="0"/>
              <w:right w:val="single" w:color="auto" w:sz="4" w:space="0"/>
            </w:tcBorders>
            <w:noWrap/>
            <w:vAlign w:val="center"/>
          </w:tcPr>
          <w:p w14:paraId="48E58A34">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28F3D544">
            <w:pPr>
              <w:widowControl/>
              <w:spacing w:line="300" w:lineRule="exact"/>
              <w:jc w:val="center"/>
              <w:rPr>
                <w:rFonts w:asciiTheme="majorEastAsia" w:hAnsiTheme="majorEastAsia" w:eastAsiaTheme="majorEastAsia"/>
                <w:color w:val="auto"/>
                <w:kern w:val="0"/>
                <w:sz w:val="24"/>
                <w:highlight w:val="none"/>
              </w:rPr>
            </w:pPr>
          </w:p>
        </w:tc>
      </w:tr>
    </w:tbl>
    <w:p w14:paraId="74D4E37C">
      <w:pPr>
        <w:spacing w:line="400" w:lineRule="exact"/>
        <w:jc w:val="left"/>
        <w:rPr>
          <w:rFonts w:cs="楷体_GB2312" w:asciiTheme="majorEastAsia" w:hAnsiTheme="majorEastAsia" w:eastAsiaTheme="majorEastAsia"/>
          <w:color w:val="auto"/>
          <w:kern w:val="0"/>
          <w:sz w:val="24"/>
          <w:highlight w:val="none"/>
        </w:rPr>
      </w:pPr>
    </w:p>
    <w:p w14:paraId="2627FC97">
      <w:pPr>
        <w:spacing w:line="400" w:lineRule="exact"/>
        <w:jc w:val="left"/>
        <w:rPr>
          <w:rFonts w:cs="楷体_GB2312" w:asciiTheme="majorEastAsia" w:hAnsiTheme="majorEastAsia" w:eastAsiaTheme="majorEastAsia"/>
          <w:color w:val="auto"/>
          <w:kern w:val="0"/>
          <w:sz w:val="24"/>
          <w:highlight w:val="none"/>
        </w:rPr>
      </w:pPr>
      <w:r>
        <w:rPr>
          <w:rFonts w:hint="eastAsia" w:cs="楷体_GB2312" w:asciiTheme="majorEastAsia" w:hAnsiTheme="majorEastAsia" w:eastAsiaTheme="majorEastAsia"/>
          <w:color w:val="auto"/>
          <w:kern w:val="0"/>
          <w:sz w:val="24"/>
          <w:highlight w:val="none"/>
        </w:rPr>
        <w:t>考核时间：                      考核路段：</w:t>
      </w:r>
    </w:p>
    <w:p w14:paraId="67120019">
      <w:pPr>
        <w:spacing w:line="400" w:lineRule="exact"/>
        <w:jc w:val="left"/>
        <w:rPr>
          <w:rFonts w:cs="楷体_GB2312" w:asciiTheme="majorEastAsia" w:hAnsiTheme="majorEastAsia" w:eastAsiaTheme="majorEastAsia"/>
          <w:color w:val="auto"/>
          <w:kern w:val="0"/>
          <w:sz w:val="24"/>
          <w:highlight w:val="none"/>
        </w:rPr>
      </w:pPr>
    </w:p>
    <w:p w14:paraId="389AB7B8">
      <w:pPr>
        <w:spacing w:line="400" w:lineRule="exact"/>
        <w:jc w:val="left"/>
        <w:rPr>
          <w:rFonts w:cs="楷体_GB2312" w:asciiTheme="majorEastAsia" w:hAnsiTheme="majorEastAsia" w:eastAsiaTheme="majorEastAsia"/>
          <w:color w:val="auto"/>
          <w:kern w:val="0"/>
          <w:sz w:val="24"/>
          <w:highlight w:val="none"/>
        </w:rPr>
      </w:pPr>
      <w:r>
        <w:rPr>
          <w:rFonts w:hint="eastAsia" w:cs="楷体_GB2312" w:asciiTheme="majorEastAsia" w:hAnsiTheme="majorEastAsia" w:eastAsiaTheme="majorEastAsia"/>
          <w:color w:val="auto"/>
          <w:kern w:val="0"/>
          <w:sz w:val="24"/>
          <w:highlight w:val="none"/>
        </w:rPr>
        <w:t>项目负责人：                    考核人：</w:t>
      </w:r>
    </w:p>
    <w:p w14:paraId="2286D241">
      <w:pPr>
        <w:spacing w:line="400" w:lineRule="exact"/>
        <w:jc w:val="center"/>
        <w:rPr>
          <w:rFonts w:cs="方正小标宋简体" w:asciiTheme="majorEastAsia" w:hAnsiTheme="majorEastAsia" w:eastAsiaTheme="majorEastAsia"/>
          <w:b/>
          <w:bCs/>
          <w:color w:val="auto"/>
          <w:kern w:val="0"/>
          <w:sz w:val="24"/>
          <w:highlight w:val="none"/>
        </w:rPr>
      </w:pPr>
      <w:r>
        <w:rPr>
          <w:rFonts w:hint="eastAsia" w:cs="方正小标宋简体" w:asciiTheme="majorEastAsia" w:hAnsiTheme="majorEastAsia" w:eastAsiaTheme="majorEastAsia"/>
          <w:b/>
          <w:bCs/>
          <w:color w:val="auto"/>
          <w:kern w:val="0"/>
          <w:sz w:val="24"/>
          <w:highlight w:val="none"/>
        </w:rPr>
        <w:t>湖州南太湖新区公用事业管理中心绿地养护考核评分表</w:t>
      </w:r>
    </w:p>
    <w:p w14:paraId="293CDB3C">
      <w:pPr>
        <w:spacing w:line="400" w:lineRule="exact"/>
        <w:jc w:val="center"/>
        <w:rPr>
          <w:rFonts w:cs="方正小标宋简体" w:asciiTheme="majorEastAsia" w:hAnsiTheme="majorEastAsia" w:eastAsiaTheme="majorEastAsia"/>
          <w:b/>
          <w:bCs/>
          <w:color w:val="auto"/>
          <w:kern w:val="0"/>
          <w:sz w:val="24"/>
          <w:highlight w:val="none"/>
        </w:rPr>
      </w:pPr>
      <w:r>
        <w:rPr>
          <w:rFonts w:hint="eastAsia" w:cs="方正小标宋简体" w:asciiTheme="majorEastAsia" w:hAnsiTheme="majorEastAsia" w:eastAsiaTheme="majorEastAsia"/>
          <w:b/>
          <w:bCs/>
          <w:color w:val="auto"/>
          <w:kern w:val="0"/>
          <w:sz w:val="24"/>
          <w:highlight w:val="none"/>
        </w:rPr>
        <w:t>（3~5月）</w:t>
      </w:r>
    </w:p>
    <w:p w14:paraId="1EB35B8D">
      <w:pPr>
        <w:spacing w:line="400" w:lineRule="exact"/>
        <w:jc w:val="left"/>
        <w:rPr>
          <w:rFonts w:cs="楷体_GB2312" w:asciiTheme="majorEastAsia" w:hAnsiTheme="majorEastAsia" w:eastAsiaTheme="majorEastAsia"/>
          <w:color w:val="auto"/>
          <w:kern w:val="0"/>
          <w:sz w:val="24"/>
          <w:highlight w:val="none"/>
        </w:rPr>
      </w:pPr>
      <w:r>
        <w:rPr>
          <w:rFonts w:hint="eastAsia" w:cs="楷体_GB2312" w:asciiTheme="majorEastAsia" w:hAnsiTheme="majorEastAsia" w:eastAsiaTheme="majorEastAsia"/>
          <w:color w:val="auto"/>
          <w:kern w:val="0"/>
          <w:sz w:val="24"/>
          <w:highlight w:val="none"/>
        </w:rPr>
        <w:t>单位名称：                         标 段：</w:t>
      </w:r>
    </w:p>
    <w:tbl>
      <w:tblPr>
        <w:tblStyle w:val="47"/>
        <w:tblW w:w="8844" w:type="dxa"/>
        <w:jc w:val="center"/>
        <w:tblLayout w:type="fixed"/>
        <w:tblCellMar>
          <w:top w:w="0" w:type="dxa"/>
          <w:left w:w="108" w:type="dxa"/>
          <w:bottom w:w="0" w:type="dxa"/>
          <w:right w:w="108" w:type="dxa"/>
        </w:tblCellMar>
      </w:tblPr>
      <w:tblGrid>
        <w:gridCol w:w="530"/>
        <w:gridCol w:w="815"/>
        <w:gridCol w:w="639"/>
        <w:gridCol w:w="2196"/>
        <w:gridCol w:w="2776"/>
        <w:gridCol w:w="698"/>
        <w:gridCol w:w="436"/>
        <w:gridCol w:w="754"/>
      </w:tblGrid>
      <w:tr w14:paraId="365195D7">
        <w:tblPrEx>
          <w:tblCellMar>
            <w:top w:w="0" w:type="dxa"/>
            <w:left w:w="108" w:type="dxa"/>
            <w:bottom w:w="0" w:type="dxa"/>
            <w:right w:w="108" w:type="dxa"/>
          </w:tblCellMar>
        </w:tblPrEx>
        <w:trPr>
          <w:trHeight w:val="1192"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61CBE00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序号</w:t>
            </w:r>
          </w:p>
        </w:tc>
        <w:tc>
          <w:tcPr>
            <w:tcW w:w="815" w:type="dxa"/>
            <w:tcBorders>
              <w:top w:val="single" w:color="auto" w:sz="4" w:space="0"/>
              <w:left w:val="nil"/>
              <w:bottom w:val="single" w:color="auto" w:sz="4" w:space="0"/>
              <w:right w:val="single" w:color="auto" w:sz="4" w:space="0"/>
            </w:tcBorders>
            <w:noWrap/>
            <w:vAlign w:val="center"/>
          </w:tcPr>
          <w:p w14:paraId="655E420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分项</w:t>
            </w:r>
          </w:p>
        </w:tc>
        <w:tc>
          <w:tcPr>
            <w:tcW w:w="639" w:type="dxa"/>
            <w:tcBorders>
              <w:top w:val="single" w:color="auto" w:sz="4" w:space="0"/>
              <w:left w:val="nil"/>
              <w:bottom w:val="single" w:color="auto" w:sz="4" w:space="0"/>
              <w:right w:val="single" w:color="auto" w:sz="4" w:space="0"/>
            </w:tcBorders>
            <w:noWrap/>
            <w:vAlign w:val="center"/>
          </w:tcPr>
          <w:p w14:paraId="6C1836C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条目</w:t>
            </w:r>
          </w:p>
        </w:tc>
        <w:tc>
          <w:tcPr>
            <w:tcW w:w="2196" w:type="dxa"/>
            <w:tcBorders>
              <w:top w:val="single" w:color="auto" w:sz="4" w:space="0"/>
              <w:left w:val="nil"/>
              <w:bottom w:val="single" w:color="auto" w:sz="4" w:space="0"/>
              <w:right w:val="single" w:color="auto" w:sz="4" w:space="0"/>
            </w:tcBorders>
            <w:noWrap/>
            <w:vAlign w:val="center"/>
          </w:tcPr>
          <w:p w14:paraId="77FA2C2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考核内容及</w:t>
            </w:r>
          </w:p>
          <w:p w14:paraId="537CFFD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管护要求</w:t>
            </w:r>
          </w:p>
        </w:tc>
        <w:tc>
          <w:tcPr>
            <w:tcW w:w="2776" w:type="dxa"/>
            <w:tcBorders>
              <w:top w:val="single" w:color="auto" w:sz="4" w:space="0"/>
              <w:left w:val="nil"/>
              <w:bottom w:val="single" w:color="auto" w:sz="4" w:space="0"/>
              <w:right w:val="single" w:color="auto" w:sz="4" w:space="0"/>
            </w:tcBorders>
            <w:noWrap/>
            <w:vAlign w:val="center"/>
          </w:tcPr>
          <w:p w14:paraId="7D6F473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评分细则</w:t>
            </w:r>
          </w:p>
        </w:tc>
        <w:tc>
          <w:tcPr>
            <w:tcW w:w="698" w:type="dxa"/>
            <w:tcBorders>
              <w:top w:val="single" w:color="auto" w:sz="4" w:space="0"/>
              <w:left w:val="nil"/>
              <w:bottom w:val="single" w:color="auto" w:sz="4" w:space="0"/>
              <w:right w:val="single" w:color="auto" w:sz="4" w:space="0"/>
            </w:tcBorders>
            <w:noWrap/>
            <w:vAlign w:val="center"/>
          </w:tcPr>
          <w:p w14:paraId="310D36E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分值</w:t>
            </w:r>
          </w:p>
        </w:tc>
        <w:tc>
          <w:tcPr>
            <w:tcW w:w="436" w:type="dxa"/>
            <w:tcBorders>
              <w:top w:val="single" w:color="auto" w:sz="4" w:space="0"/>
              <w:left w:val="nil"/>
              <w:bottom w:val="single" w:color="auto" w:sz="4" w:space="0"/>
              <w:right w:val="single" w:color="auto" w:sz="4" w:space="0"/>
            </w:tcBorders>
            <w:noWrap/>
            <w:vAlign w:val="center"/>
          </w:tcPr>
          <w:p w14:paraId="6300B91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得分</w:t>
            </w:r>
          </w:p>
        </w:tc>
        <w:tc>
          <w:tcPr>
            <w:tcW w:w="754" w:type="dxa"/>
            <w:tcBorders>
              <w:top w:val="single" w:color="auto" w:sz="4" w:space="0"/>
              <w:left w:val="nil"/>
              <w:bottom w:val="single" w:color="auto" w:sz="4" w:space="0"/>
              <w:right w:val="single" w:color="auto" w:sz="4" w:space="0"/>
            </w:tcBorders>
            <w:noWrap/>
            <w:vAlign w:val="center"/>
          </w:tcPr>
          <w:p w14:paraId="2DC9EB3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扣分原因</w:t>
            </w:r>
          </w:p>
        </w:tc>
      </w:tr>
      <w:tr w14:paraId="5940D1CE">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right w:val="single" w:color="auto" w:sz="4" w:space="0"/>
            </w:tcBorders>
            <w:noWrap/>
            <w:vAlign w:val="center"/>
          </w:tcPr>
          <w:p w14:paraId="72EE326B">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815" w:type="dxa"/>
            <w:vMerge w:val="restart"/>
            <w:tcBorders>
              <w:top w:val="single" w:color="auto" w:sz="4" w:space="0"/>
              <w:left w:val="nil"/>
              <w:right w:val="single" w:color="auto" w:sz="4" w:space="0"/>
            </w:tcBorders>
            <w:noWrap/>
            <w:vAlign w:val="center"/>
          </w:tcPr>
          <w:p w14:paraId="3711207E">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绿地环境</w:t>
            </w:r>
          </w:p>
          <w:p w14:paraId="271851B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10分</w:t>
            </w:r>
          </w:p>
        </w:tc>
        <w:tc>
          <w:tcPr>
            <w:tcW w:w="639" w:type="dxa"/>
            <w:tcBorders>
              <w:top w:val="single" w:color="auto" w:sz="4" w:space="0"/>
              <w:left w:val="nil"/>
              <w:bottom w:val="single" w:color="auto" w:sz="4" w:space="0"/>
              <w:right w:val="single" w:color="auto" w:sz="4" w:space="0"/>
            </w:tcBorders>
            <w:noWrap/>
            <w:vAlign w:val="center"/>
          </w:tcPr>
          <w:p w14:paraId="6B03F8C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2196" w:type="dxa"/>
            <w:tcBorders>
              <w:top w:val="single" w:color="auto" w:sz="4" w:space="0"/>
              <w:left w:val="nil"/>
              <w:bottom w:val="single" w:color="auto" w:sz="4" w:space="0"/>
              <w:right w:val="single" w:color="auto" w:sz="4" w:space="0"/>
            </w:tcBorders>
            <w:noWrap/>
            <w:vAlign w:val="center"/>
          </w:tcPr>
          <w:p w14:paraId="126BCA94">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noWrap/>
            <w:vAlign w:val="center"/>
          </w:tcPr>
          <w:p w14:paraId="4C4752F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6747180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436" w:type="dxa"/>
            <w:tcBorders>
              <w:top w:val="single" w:color="auto" w:sz="4" w:space="0"/>
              <w:left w:val="nil"/>
              <w:bottom w:val="single" w:color="auto" w:sz="4" w:space="0"/>
              <w:right w:val="single" w:color="auto" w:sz="4" w:space="0"/>
            </w:tcBorders>
            <w:noWrap/>
            <w:vAlign w:val="center"/>
          </w:tcPr>
          <w:p w14:paraId="2D71FB98">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08CDC665">
            <w:pPr>
              <w:widowControl/>
              <w:spacing w:line="300" w:lineRule="exact"/>
              <w:jc w:val="center"/>
              <w:rPr>
                <w:rFonts w:asciiTheme="majorEastAsia" w:hAnsiTheme="majorEastAsia" w:eastAsiaTheme="majorEastAsia"/>
                <w:color w:val="auto"/>
                <w:kern w:val="0"/>
                <w:sz w:val="24"/>
                <w:highlight w:val="none"/>
              </w:rPr>
            </w:pPr>
          </w:p>
        </w:tc>
      </w:tr>
      <w:tr w14:paraId="56940445">
        <w:tblPrEx>
          <w:tblCellMar>
            <w:top w:w="0" w:type="dxa"/>
            <w:left w:w="108" w:type="dxa"/>
            <w:bottom w:w="0" w:type="dxa"/>
            <w:right w:w="108" w:type="dxa"/>
          </w:tblCellMar>
        </w:tblPrEx>
        <w:trPr>
          <w:trHeight w:val="116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6BD9FC2">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53A699BC">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3964AD5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2196" w:type="dxa"/>
            <w:tcBorders>
              <w:top w:val="single" w:color="auto" w:sz="4" w:space="0"/>
              <w:left w:val="nil"/>
              <w:bottom w:val="single" w:color="auto" w:sz="4" w:space="0"/>
              <w:right w:val="single" w:color="auto" w:sz="4" w:space="0"/>
            </w:tcBorders>
            <w:noWrap/>
            <w:vAlign w:val="center"/>
          </w:tcPr>
          <w:p w14:paraId="665ADFF5">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绿化生产垃圾（树枝、树叶、草屑等）</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一级养护随产随清</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二级养护日产日清。</w:t>
            </w:r>
          </w:p>
        </w:tc>
        <w:tc>
          <w:tcPr>
            <w:tcW w:w="2776" w:type="dxa"/>
            <w:tcBorders>
              <w:top w:val="single" w:color="auto" w:sz="4" w:space="0"/>
              <w:left w:val="nil"/>
              <w:bottom w:val="single" w:color="auto" w:sz="4" w:space="0"/>
              <w:right w:val="single" w:color="auto" w:sz="4" w:space="0"/>
            </w:tcBorders>
            <w:noWrap/>
            <w:vAlign w:val="center"/>
          </w:tcPr>
          <w:p w14:paraId="474EB5C9">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31A0BC8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436" w:type="dxa"/>
            <w:tcBorders>
              <w:top w:val="single" w:color="auto" w:sz="4" w:space="0"/>
              <w:left w:val="nil"/>
              <w:bottom w:val="single" w:color="auto" w:sz="4" w:space="0"/>
              <w:right w:val="single" w:color="auto" w:sz="4" w:space="0"/>
            </w:tcBorders>
            <w:noWrap/>
            <w:vAlign w:val="center"/>
          </w:tcPr>
          <w:p w14:paraId="7E6E79EF">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6F48CAAB">
            <w:pPr>
              <w:widowControl/>
              <w:spacing w:line="300" w:lineRule="exact"/>
              <w:jc w:val="center"/>
              <w:rPr>
                <w:rFonts w:asciiTheme="majorEastAsia" w:hAnsiTheme="majorEastAsia" w:eastAsiaTheme="majorEastAsia"/>
                <w:color w:val="auto"/>
                <w:kern w:val="0"/>
                <w:sz w:val="24"/>
                <w:highlight w:val="none"/>
              </w:rPr>
            </w:pPr>
          </w:p>
        </w:tc>
      </w:tr>
      <w:tr w14:paraId="32E7DE84">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right w:val="single" w:color="auto" w:sz="4" w:space="0"/>
            </w:tcBorders>
            <w:noWrap/>
            <w:vAlign w:val="center"/>
          </w:tcPr>
          <w:p w14:paraId="0774B88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815" w:type="dxa"/>
            <w:vMerge w:val="restart"/>
            <w:tcBorders>
              <w:top w:val="single" w:color="auto" w:sz="4" w:space="0"/>
              <w:left w:val="nil"/>
              <w:right w:val="single" w:color="auto" w:sz="4" w:space="0"/>
            </w:tcBorders>
            <w:noWrap/>
            <w:vAlign w:val="center"/>
          </w:tcPr>
          <w:p w14:paraId="23D8481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松土除草</w:t>
            </w:r>
          </w:p>
          <w:p w14:paraId="3B51AE6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15分</w:t>
            </w:r>
          </w:p>
        </w:tc>
        <w:tc>
          <w:tcPr>
            <w:tcW w:w="639" w:type="dxa"/>
            <w:tcBorders>
              <w:top w:val="single" w:color="auto" w:sz="4" w:space="0"/>
              <w:left w:val="nil"/>
              <w:bottom w:val="single" w:color="auto" w:sz="4" w:space="0"/>
              <w:right w:val="single" w:color="auto" w:sz="4" w:space="0"/>
            </w:tcBorders>
            <w:noWrap/>
            <w:vAlign w:val="center"/>
          </w:tcPr>
          <w:p w14:paraId="479BC94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2196" w:type="dxa"/>
            <w:tcBorders>
              <w:top w:val="single" w:color="auto" w:sz="4" w:space="0"/>
              <w:left w:val="nil"/>
              <w:bottom w:val="single" w:color="auto" w:sz="4" w:space="0"/>
              <w:right w:val="single" w:color="auto" w:sz="4" w:space="0"/>
            </w:tcBorders>
            <w:noWrap/>
            <w:vAlign w:val="center"/>
          </w:tcPr>
          <w:p w14:paraId="3E84B2C8">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noWrap/>
            <w:vAlign w:val="center"/>
          </w:tcPr>
          <w:p w14:paraId="03CB794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树穴、地被土壤板结，长期不疏松，扣0.5分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处。发现有杂草扣1分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2FF84B5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12</w:t>
            </w:r>
          </w:p>
        </w:tc>
        <w:tc>
          <w:tcPr>
            <w:tcW w:w="436" w:type="dxa"/>
            <w:tcBorders>
              <w:top w:val="single" w:color="auto" w:sz="4" w:space="0"/>
              <w:left w:val="nil"/>
              <w:bottom w:val="single" w:color="auto" w:sz="4" w:space="0"/>
              <w:right w:val="single" w:color="auto" w:sz="4" w:space="0"/>
            </w:tcBorders>
            <w:noWrap/>
            <w:vAlign w:val="center"/>
          </w:tcPr>
          <w:p w14:paraId="6370464A">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6545695C">
            <w:pPr>
              <w:widowControl/>
              <w:spacing w:line="300" w:lineRule="exact"/>
              <w:jc w:val="center"/>
              <w:rPr>
                <w:rFonts w:asciiTheme="majorEastAsia" w:hAnsiTheme="majorEastAsia" w:eastAsiaTheme="majorEastAsia"/>
                <w:color w:val="auto"/>
                <w:kern w:val="0"/>
                <w:sz w:val="24"/>
                <w:highlight w:val="none"/>
              </w:rPr>
            </w:pPr>
          </w:p>
        </w:tc>
      </w:tr>
      <w:tr w14:paraId="7A541E96">
        <w:tblPrEx>
          <w:tblCellMar>
            <w:top w:w="0" w:type="dxa"/>
            <w:left w:w="108" w:type="dxa"/>
            <w:bottom w:w="0" w:type="dxa"/>
            <w:right w:w="108" w:type="dxa"/>
          </w:tblCellMar>
        </w:tblPrEx>
        <w:trPr>
          <w:trHeight w:val="110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04503D9B">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15581A02">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6FEA892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2196" w:type="dxa"/>
            <w:tcBorders>
              <w:top w:val="single" w:color="auto" w:sz="4" w:space="0"/>
              <w:left w:val="nil"/>
              <w:bottom w:val="single" w:color="auto" w:sz="4" w:space="0"/>
              <w:right w:val="single" w:color="auto" w:sz="4" w:space="0"/>
            </w:tcBorders>
            <w:noWrap/>
            <w:vAlign w:val="center"/>
          </w:tcPr>
          <w:p w14:paraId="139B9EFE">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noWrap/>
            <w:vAlign w:val="center"/>
          </w:tcPr>
          <w:p w14:paraId="542F2E3E">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树穴、绿篱等不及时切边，草坪与树木、绿篱、草花等无明显分隔沟扣0.5分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310DF4A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436" w:type="dxa"/>
            <w:tcBorders>
              <w:top w:val="single" w:color="auto" w:sz="4" w:space="0"/>
              <w:left w:val="nil"/>
              <w:bottom w:val="single" w:color="auto" w:sz="4" w:space="0"/>
              <w:right w:val="single" w:color="auto" w:sz="4" w:space="0"/>
            </w:tcBorders>
            <w:noWrap/>
            <w:vAlign w:val="center"/>
          </w:tcPr>
          <w:p w14:paraId="7F6FE60F">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02D9D885">
            <w:pPr>
              <w:widowControl/>
              <w:spacing w:line="300" w:lineRule="exact"/>
              <w:jc w:val="center"/>
              <w:rPr>
                <w:rFonts w:asciiTheme="majorEastAsia" w:hAnsiTheme="majorEastAsia" w:eastAsiaTheme="majorEastAsia"/>
                <w:color w:val="auto"/>
                <w:kern w:val="0"/>
                <w:sz w:val="24"/>
                <w:highlight w:val="none"/>
              </w:rPr>
            </w:pPr>
          </w:p>
        </w:tc>
      </w:tr>
      <w:tr w14:paraId="67C04A38">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08264A2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815" w:type="dxa"/>
            <w:tcBorders>
              <w:top w:val="single" w:color="auto" w:sz="4" w:space="0"/>
              <w:left w:val="nil"/>
              <w:bottom w:val="single" w:color="auto" w:sz="4" w:space="0"/>
              <w:right w:val="single" w:color="auto" w:sz="4" w:space="0"/>
            </w:tcBorders>
            <w:noWrap/>
            <w:vAlign w:val="center"/>
          </w:tcPr>
          <w:p w14:paraId="3FF73C57">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浇灌排水</w:t>
            </w:r>
          </w:p>
          <w:p w14:paraId="0AD2B9B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2分</w:t>
            </w:r>
          </w:p>
        </w:tc>
        <w:tc>
          <w:tcPr>
            <w:tcW w:w="639" w:type="dxa"/>
            <w:tcBorders>
              <w:top w:val="single" w:color="auto" w:sz="4" w:space="0"/>
              <w:left w:val="nil"/>
              <w:bottom w:val="single" w:color="auto" w:sz="4" w:space="0"/>
              <w:right w:val="single" w:color="auto" w:sz="4" w:space="0"/>
            </w:tcBorders>
            <w:noWrap/>
            <w:vAlign w:val="center"/>
          </w:tcPr>
          <w:p w14:paraId="512B485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2196" w:type="dxa"/>
            <w:tcBorders>
              <w:top w:val="single" w:color="auto" w:sz="4" w:space="0"/>
              <w:left w:val="nil"/>
              <w:bottom w:val="single" w:color="auto" w:sz="4" w:space="0"/>
              <w:right w:val="single" w:color="auto" w:sz="4" w:space="0"/>
            </w:tcBorders>
            <w:noWrap/>
            <w:vAlign w:val="center"/>
          </w:tcPr>
          <w:p w14:paraId="04842268">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noWrap/>
            <w:vAlign w:val="center"/>
          </w:tcPr>
          <w:p w14:paraId="5C28A49B">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未及时浇灌，致使绿地植物生长不良，树木扣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株，绿篱、草坪扣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致植物枯死加倍扣分。</w:t>
            </w:r>
          </w:p>
        </w:tc>
        <w:tc>
          <w:tcPr>
            <w:tcW w:w="698" w:type="dxa"/>
            <w:tcBorders>
              <w:top w:val="single" w:color="auto" w:sz="4" w:space="0"/>
              <w:left w:val="nil"/>
              <w:bottom w:val="single" w:color="auto" w:sz="4" w:space="0"/>
              <w:right w:val="single" w:color="auto" w:sz="4" w:space="0"/>
            </w:tcBorders>
            <w:noWrap/>
            <w:vAlign w:val="center"/>
          </w:tcPr>
          <w:p w14:paraId="1E3FAA53">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436" w:type="dxa"/>
            <w:tcBorders>
              <w:top w:val="single" w:color="auto" w:sz="4" w:space="0"/>
              <w:left w:val="nil"/>
              <w:bottom w:val="single" w:color="auto" w:sz="4" w:space="0"/>
              <w:right w:val="single" w:color="auto" w:sz="4" w:space="0"/>
            </w:tcBorders>
            <w:noWrap/>
            <w:vAlign w:val="center"/>
          </w:tcPr>
          <w:p w14:paraId="0B75E7BB">
            <w:pPr>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45479F8A">
            <w:pPr>
              <w:spacing w:line="300" w:lineRule="exact"/>
              <w:jc w:val="center"/>
              <w:rPr>
                <w:rFonts w:asciiTheme="majorEastAsia" w:hAnsiTheme="majorEastAsia" w:eastAsiaTheme="majorEastAsia"/>
                <w:color w:val="auto"/>
                <w:kern w:val="0"/>
                <w:sz w:val="24"/>
                <w:highlight w:val="none"/>
              </w:rPr>
            </w:pPr>
          </w:p>
        </w:tc>
      </w:tr>
      <w:tr w14:paraId="34E92ED0">
        <w:tblPrEx>
          <w:tblCellMar>
            <w:top w:w="0" w:type="dxa"/>
            <w:left w:w="108" w:type="dxa"/>
            <w:bottom w:w="0" w:type="dxa"/>
            <w:right w:w="108" w:type="dxa"/>
          </w:tblCellMar>
        </w:tblPrEx>
        <w:trPr>
          <w:trHeight w:val="12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56EC456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815" w:type="dxa"/>
            <w:tcBorders>
              <w:top w:val="single" w:color="auto" w:sz="4" w:space="0"/>
              <w:left w:val="nil"/>
              <w:bottom w:val="single" w:color="auto" w:sz="4" w:space="0"/>
              <w:right w:val="single" w:color="auto" w:sz="4" w:space="0"/>
            </w:tcBorders>
            <w:noWrap/>
            <w:vAlign w:val="center"/>
          </w:tcPr>
          <w:p w14:paraId="41301C7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施肥</w:t>
            </w:r>
          </w:p>
          <w:p w14:paraId="6DC1186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10分</w:t>
            </w:r>
          </w:p>
        </w:tc>
        <w:tc>
          <w:tcPr>
            <w:tcW w:w="639" w:type="dxa"/>
            <w:tcBorders>
              <w:top w:val="single" w:color="auto" w:sz="4" w:space="0"/>
              <w:left w:val="nil"/>
              <w:bottom w:val="single" w:color="auto" w:sz="4" w:space="0"/>
              <w:right w:val="single" w:color="auto" w:sz="4" w:space="0"/>
            </w:tcBorders>
            <w:noWrap/>
            <w:vAlign w:val="center"/>
          </w:tcPr>
          <w:p w14:paraId="23D3494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6</w:t>
            </w:r>
          </w:p>
        </w:tc>
        <w:tc>
          <w:tcPr>
            <w:tcW w:w="2196" w:type="dxa"/>
            <w:tcBorders>
              <w:top w:val="single" w:color="auto" w:sz="4" w:space="0"/>
              <w:left w:val="nil"/>
              <w:bottom w:val="single" w:color="auto" w:sz="4" w:space="0"/>
              <w:right w:val="single" w:color="auto" w:sz="4" w:space="0"/>
            </w:tcBorders>
            <w:noWrap/>
            <w:vAlign w:val="center"/>
          </w:tcPr>
          <w:p w14:paraId="7BAF9C88">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施肥计划上报，每次施肥量证相符，现场施肥考核，绿地、草坪、植物按要求施肥及时，规定4月份左右施肥</w:t>
            </w:r>
            <w:r>
              <w:rPr>
                <w:rFonts w:hint="eastAsia" w:cs="宋体" w:asciiTheme="majorEastAsia" w:hAnsiTheme="majorEastAsia" w:eastAsiaTheme="majorEastAsia"/>
                <w:color w:val="auto"/>
                <w:kern w:val="0"/>
                <w:sz w:val="24"/>
                <w:highlight w:val="none"/>
              </w:rPr>
              <w:t>。</w:t>
            </w:r>
          </w:p>
        </w:tc>
        <w:tc>
          <w:tcPr>
            <w:tcW w:w="2776" w:type="dxa"/>
            <w:tcBorders>
              <w:top w:val="single" w:color="auto" w:sz="4" w:space="0"/>
              <w:left w:val="nil"/>
              <w:bottom w:val="single" w:color="auto" w:sz="4" w:space="0"/>
              <w:right w:val="single" w:color="auto" w:sz="4" w:space="0"/>
            </w:tcBorders>
            <w:noWrap/>
            <w:vAlign w:val="center"/>
          </w:tcPr>
          <w:p w14:paraId="1B1508E4">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未上报施肥计划每次扣4分，不按规定及时施肥，扣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处；偷工减料，发现一次扣2分。</w:t>
            </w:r>
          </w:p>
        </w:tc>
        <w:tc>
          <w:tcPr>
            <w:tcW w:w="698" w:type="dxa"/>
            <w:tcBorders>
              <w:top w:val="single" w:color="auto" w:sz="4" w:space="0"/>
              <w:left w:val="nil"/>
              <w:bottom w:val="single" w:color="auto" w:sz="4" w:space="0"/>
              <w:right w:val="single" w:color="auto" w:sz="4" w:space="0"/>
            </w:tcBorders>
            <w:noWrap/>
            <w:vAlign w:val="center"/>
          </w:tcPr>
          <w:p w14:paraId="1102D37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10</w:t>
            </w:r>
          </w:p>
        </w:tc>
        <w:tc>
          <w:tcPr>
            <w:tcW w:w="436" w:type="dxa"/>
            <w:tcBorders>
              <w:top w:val="single" w:color="auto" w:sz="4" w:space="0"/>
              <w:left w:val="nil"/>
              <w:bottom w:val="single" w:color="auto" w:sz="4" w:space="0"/>
              <w:right w:val="single" w:color="auto" w:sz="4" w:space="0"/>
            </w:tcBorders>
            <w:noWrap/>
            <w:vAlign w:val="center"/>
          </w:tcPr>
          <w:p w14:paraId="3478593F">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0804A2E0">
            <w:pPr>
              <w:widowControl/>
              <w:spacing w:line="300" w:lineRule="exact"/>
              <w:jc w:val="center"/>
              <w:rPr>
                <w:rFonts w:asciiTheme="majorEastAsia" w:hAnsiTheme="majorEastAsia" w:eastAsiaTheme="majorEastAsia"/>
                <w:color w:val="auto"/>
                <w:kern w:val="0"/>
                <w:sz w:val="24"/>
                <w:highlight w:val="none"/>
              </w:rPr>
            </w:pPr>
          </w:p>
        </w:tc>
      </w:tr>
      <w:tr w14:paraId="221B922B">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right w:val="single" w:color="auto" w:sz="4" w:space="0"/>
            </w:tcBorders>
            <w:noWrap/>
            <w:vAlign w:val="center"/>
          </w:tcPr>
          <w:p w14:paraId="70B5A75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815" w:type="dxa"/>
            <w:vMerge w:val="restart"/>
            <w:tcBorders>
              <w:top w:val="single" w:color="auto" w:sz="4" w:space="0"/>
              <w:left w:val="nil"/>
              <w:right w:val="single" w:color="auto" w:sz="4" w:space="0"/>
            </w:tcBorders>
            <w:noWrap/>
            <w:vAlign w:val="center"/>
          </w:tcPr>
          <w:p w14:paraId="03E0D2C1">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绿化长势</w:t>
            </w:r>
          </w:p>
          <w:p w14:paraId="6301E13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14分</w:t>
            </w:r>
          </w:p>
        </w:tc>
        <w:tc>
          <w:tcPr>
            <w:tcW w:w="639" w:type="dxa"/>
            <w:tcBorders>
              <w:top w:val="single" w:color="auto" w:sz="4" w:space="0"/>
              <w:left w:val="nil"/>
              <w:bottom w:val="single" w:color="auto" w:sz="4" w:space="0"/>
              <w:right w:val="single" w:color="auto" w:sz="4" w:space="0"/>
            </w:tcBorders>
            <w:noWrap/>
            <w:vAlign w:val="center"/>
          </w:tcPr>
          <w:p w14:paraId="5A292603">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7</w:t>
            </w:r>
          </w:p>
        </w:tc>
        <w:tc>
          <w:tcPr>
            <w:tcW w:w="2196" w:type="dxa"/>
            <w:tcBorders>
              <w:top w:val="single" w:color="auto" w:sz="4" w:space="0"/>
              <w:left w:val="nil"/>
              <w:bottom w:val="single" w:color="auto" w:sz="4" w:space="0"/>
              <w:right w:val="single" w:color="auto" w:sz="4" w:space="0"/>
            </w:tcBorders>
            <w:noWrap/>
            <w:vAlign w:val="center"/>
          </w:tcPr>
          <w:p w14:paraId="77A41BAD">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noWrap/>
            <w:vAlign w:val="center"/>
          </w:tcPr>
          <w:p w14:paraId="6DC6ACD6">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发现死树，扣1分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株；有断枝、枯叶、大片光秃落叶，发现一处扣0.5分，色块内有</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处灌木死亡扣1分/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。或加倍扣分。</w:t>
            </w:r>
          </w:p>
        </w:tc>
        <w:tc>
          <w:tcPr>
            <w:tcW w:w="698" w:type="dxa"/>
            <w:tcBorders>
              <w:top w:val="single" w:color="auto" w:sz="4" w:space="0"/>
              <w:left w:val="nil"/>
              <w:bottom w:val="single" w:color="auto" w:sz="4" w:space="0"/>
              <w:right w:val="single" w:color="auto" w:sz="4" w:space="0"/>
            </w:tcBorders>
            <w:noWrap/>
            <w:vAlign w:val="center"/>
          </w:tcPr>
          <w:p w14:paraId="79E18AA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436" w:type="dxa"/>
            <w:tcBorders>
              <w:top w:val="single" w:color="auto" w:sz="4" w:space="0"/>
              <w:left w:val="nil"/>
              <w:bottom w:val="single" w:color="auto" w:sz="4" w:space="0"/>
              <w:right w:val="single" w:color="auto" w:sz="4" w:space="0"/>
            </w:tcBorders>
            <w:noWrap/>
            <w:vAlign w:val="center"/>
          </w:tcPr>
          <w:p w14:paraId="5C90D45A">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3B2F56A4">
            <w:pPr>
              <w:widowControl/>
              <w:spacing w:line="300" w:lineRule="exact"/>
              <w:jc w:val="center"/>
              <w:rPr>
                <w:rFonts w:asciiTheme="majorEastAsia" w:hAnsiTheme="majorEastAsia" w:eastAsiaTheme="majorEastAsia"/>
                <w:color w:val="auto"/>
                <w:kern w:val="0"/>
                <w:sz w:val="24"/>
                <w:highlight w:val="none"/>
              </w:rPr>
            </w:pPr>
          </w:p>
        </w:tc>
      </w:tr>
      <w:tr w14:paraId="4FE963B5">
        <w:tblPrEx>
          <w:tblCellMar>
            <w:top w:w="0" w:type="dxa"/>
            <w:left w:w="108" w:type="dxa"/>
            <w:bottom w:w="0" w:type="dxa"/>
            <w:right w:w="108" w:type="dxa"/>
          </w:tblCellMar>
        </w:tblPrEx>
        <w:trPr>
          <w:trHeight w:val="411"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16C34521">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5C3FBDBB">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145E985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w:t>
            </w:r>
          </w:p>
        </w:tc>
        <w:tc>
          <w:tcPr>
            <w:tcW w:w="2196" w:type="dxa"/>
            <w:tcBorders>
              <w:top w:val="single" w:color="auto" w:sz="4" w:space="0"/>
              <w:left w:val="nil"/>
              <w:bottom w:val="single" w:color="auto" w:sz="4" w:space="0"/>
              <w:right w:val="single" w:color="auto" w:sz="4" w:space="0"/>
            </w:tcBorders>
            <w:noWrap/>
            <w:vAlign w:val="center"/>
          </w:tcPr>
          <w:p w14:paraId="0C07CAB5">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noWrap/>
            <w:vAlign w:val="center"/>
          </w:tcPr>
          <w:p w14:paraId="21F82798">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养护不善死亡乔灌木未按规定及时补缺，扣1分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株；死缺绿篱未按规定及时补缺，扣1分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。或加倍扣分。</w:t>
            </w:r>
          </w:p>
        </w:tc>
        <w:tc>
          <w:tcPr>
            <w:tcW w:w="698" w:type="dxa"/>
            <w:tcBorders>
              <w:top w:val="single" w:color="auto" w:sz="4" w:space="0"/>
              <w:left w:val="nil"/>
              <w:bottom w:val="single" w:color="auto" w:sz="4" w:space="0"/>
              <w:right w:val="single" w:color="auto" w:sz="4" w:space="0"/>
            </w:tcBorders>
            <w:noWrap/>
            <w:vAlign w:val="center"/>
          </w:tcPr>
          <w:p w14:paraId="4813C1A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436" w:type="dxa"/>
            <w:tcBorders>
              <w:top w:val="single" w:color="auto" w:sz="4" w:space="0"/>
              <w:left w:val="nil"/>
              <w:bottom w:val="single" w:color="auto" w:sz="4" w:space="0"/>
              <w:right w:val="single" w:color="auto" w:sz="4" w:space="0"/>
            </w:tcBorders>
            <w:noWrap/>
            <w:vAlign w:val="center"/>
          </w:tcPr>
          <w:p w14:paraId="38F89F19">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34FC58DA">
            <w:pPr>
              <w:widowControl/>
              <w:spacing w:line="300" w:lineRule="exact"/>
              <w:jc w:val="center"/>
              <w:rPr>
                <w:rFonts w:asciiTheme="majorEastAsia" w:hAnsiTheme="majorEastAsia" w:eastAsiaTheme="majorEastAsia"/>
                <w:color w:val="auto"/>
                <w:kern w:val="0"/>
                <w:sz w:val="24"/>
                <w:highlight w:val="none"/>
              </w:rPr>
            </w:pPr>
          </w:p>
        </w:tc>
      </w:tr>
      <w:tr w14:paraId="7809DD5B">
        <w:tblPrEx>
          <w:tblCellMar>
            <w:top w:w="0" w:type="dxa"/>
            <w:left w:w="108" w:type="dxa"/>
            <w:bottom w:w="0" w:type="dxa"/>
            <w:right w:w="108" w:type="dxa"/>
          </w:tblCellMar>
        </w:tblPrEx>
        <w:trPr>
          <w:trHeight w:val="2363" w:hRule="atLeast"/>
          <w:jc w:val="center"/>
        </w:trPr>
        <w:tc>
          <w:tcPr>
            <w:tcW w:w="530" w:type="dxa"/>
            <w:vMerge w:val="restart"/>
            <w:tcBorders>
              <w:top w:val="single" w:color="auto" w:sz="4" w:space="0"/>
              <w:left w:val="single" w:color="auto" w:sz="4" w:space="0"/>
              <w:right w:val="single" w:color="auto" w:sz="4" w:space="0"/>
            </w:tcBorders>
            <w:noWrap/>
            <w:vAlign w:val="center"/>
          </w:tcPr>
          <w:p w14:paraId="47A2FFA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815" w:type="dxa"/>
            <w:vMerge w:val="restart"/>
            <w:tcBorders>
              <w:top w:val="single" w:color="auto" w:sz="4" w:space="0"/>
              <w:left w:val="nil"/>
              <w:right w:val="single" w:color="auto" w:sz="4" w:space="0"/>
            </w:tcBorders>
            <w:noWrap/>
            <w:vAlign w:val="center"/>
          </w:tcPr>
          <w:p w14:paraId="53368EE5">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绿化长势</w:t>
            </w:r>
          </w:p>
          <w:p w14:paraId="6F14D03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14分</w:t>
            </w:r>
          </w:p>
        </w:tc>
        <w:tc>
          <w:tcPr>
            <w:tcW w:w="639" w:type="dxa"/>
            <w:tcBorders>
              <w:top w:val="single" w:color="auto" w:sz="4" w:space="0"/>
              <w:left w:val="nil"/>
              <w:bottom w:val="single" w:color="auto" w:sz="4" w:space="0"/>
              <w:right w:val="single" w:color="auto" w:sz="4" w:space="0"/>
            </w:tcBorders>
            <w:noWrap/>
            <w:vAlign w:val="center"/>
          </w:tcPr>
          <w:p w14:paraId="0C85A75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9</w:t>
            </w:r>
          </w:p>
        </w:tc>
        <w:tc>
          <w:tcPr>
            <w:tcW w:w="2196" w:type="dxa"/>
            <w:tcBorders>
              <w:top w:val="single" w:color="auto" w:sz="4" w:space="0"/>
              <w:left w:val="nil"/>
              <w:bottom w:val="single" w:color="auto" w:sz="4" w:space="0"/>
              <w:right w:val="single" w:color="auto" w:sz="4" w:space="0"/>
            </w:tcBorders>
            <w:noWrap/>
            <w:vAlign w:val="center"/>
          </w:tcPr>
          <w:p w14:paraId="7E70FC08">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绿地内树木生长健壮，无倾斜、倒伏现象。高大乔木在大风来临前应采取防倒有效措施，因风害天气造成树木倒伏时，应及时扶正支撑倒伏树木并及时清理断枝。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noWrap/>
            <w:vAlign w:val="center"/>
          </w:tcPr>
          <w:p w14:paraId="4F81B9C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正常情况下，绿地内乔木、大灌木有倾斜或倒伏现象，扣0.5分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株；因灾害天气造成树木倒伏，应在规定时间内扶正支撑，逾期扣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株；无有效措施导致高大乔木倒伏，扣0.5分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株。或加倍扣分。</w:t>
            </w:r>
          </w:p>
        </w:tc>
        <w:tc>
          <w:tcPr>
            <w:tcW w:w="698" w:type="dxa"/>
            <w:tcBorders>
              <w:top w:val="single" w:color="auto" w:sz="4" w:space="0"/>
              <w:left w:val="nil"/>
              <w:bottom w:val="single" w:color="auto" w:sz="4" w:space="0"/>
              <w:right w:val="single" w:color="auto" w:sz="4" w:space="0"/>
            </w:tcBorders>
            <w:noWrap/>
            <w:vAlign w:val="center"/>
          </w:tcPr>
          <w:p w14:paraId="3EC1500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1927E7A0">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2AED98C1">
            <w:pPr>
              <w:widowControl/>
              <w:spacing w:line="300" w:lineRule="exact"/>
              <w:jc w:val="center"/>
              <w:rPr>
                <w:rFonts w:asciiTheme="majorEastAsia" w:hAnsiTheme="majorEastAsia" w:eastAsiaTheme="majorEastAsia"/>
                <w:color w:val="auto"/>
                <w:kern w:val="0"/>
                <w:sz w:val="24"/>
                <w:highlight w:val="none"/>
              </w:rPr>
            </w:pPr>
          </w:p>
        </w:tc>
      </w:tr>
      <w:tr w14:paraId="4AD76EF0">
        <w:tblPrEx>
          <w:tblCellMar>
            <w:top w:w="0" w:type="dxa"/>
            <w:left w:w="108" w:type="dxa"/>
            <w:bottom w:w="0" w:type="dxa"/>
            <w:right w:w="108" w:type="dxa"/>
          </w:tblCellMar>
        </w:tblPrEx>
        <w:trPr>
          <w:trHeight w:val="2046"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D7DE392">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51902716">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2238690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10</w:t>
            </w:r>
          </w:p>
        </w:tc>
        <w:tc>
          <w:tcPr>
            <w:tcW w:w="2196" w:type="dxa"/>
            <w:tcBorders>
              <w:top w:val="single" w:color="auto" w:sz="4" w:space="0"/>
              <w:left w:val="nil"/>
              <w:bottom w:val="single" w:color="auto" w:sz="4" w:space="0"/>
              <w:right w:val="single" w:color="auto" w:sz="4" w:space="0"/>
            </w:tcBorders>
            <w:noWrap/>
            <w:vAlign w:val="center"/>
          </w:tcPr>
          <w:p w14:paraId="6922434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noWrap/>
            <w:vAlign w:val="center"/>
          </w:tcPr>
          <w:p w14:paraId="627BDFCB">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草坪有黄化现象，扣0.5分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处；有明显杂草未拔除现象，扣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；树池有杂草扣0.5分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处，养护不善造成草坪有空缺，未按规定时间完成补种的，扣0.5分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。或加倍扣分。</w:t>
            </w:r>
          </w:p>
        </w:tc>
        <w:tc>
          <w:tcPr>
            <w:tcW w:w="698" w:type="dxa"/>
            <w:tcBorders>
              <w:top w:val="single" w:color="auto" w:sz="4" w:space="0"/>
              <w:left w:val="nil"/>
              <w:bottom w:val="single" w:color="auto" w:sz="4" w:space="0"/>
              <w:right w:val="single" w:color="auto" w:sz="4" w:space="0"/>
            </w:tcBorders>
            <w:noWrap/>
            <w:vAlign w:val="center"/>
          </w:tcPr>
          <w:p w14:paraId="4545694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12E3BBC8">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45A7A0FA">
            <w:pPr>
              <w:widowControl/>
              <w:spacing w:line="300" w:lineRule="exact"/>
              <w:jc w:val="center"/>
              <w:rPr>
                <w:rFonts w:asciiTheme="majorEastAsia" w:hAnsiTheme="majorEastAsia" w:eastAsiaTheme="majorEastAsia"/>
                <w:color w:val="auto"/>
                <w:kern w:val="0"/>
                <w:sz w:val="24"/>
                <w:highlight w:val="none"/>
              </w:rPr>
            </w:pPr>
          </w:p>
        </w:tc>
      </w:tr>
      <w:tr w14:paraId="3CABEC03">
        <w:tblPrEx>
          <w:tblCellMar>
            <w:top w:w="0" w:type="dxa"/>
            <w:left w:w="108" w:type="dxa"/>
            <w:bottom w:w="0" w:type="dxa"/>
            <w:right w:w="108" w:type="dxa"/>
          </w:tblCellMar>
        </w:tblPrEx>
        <w:trPr>
          <w:trHeight w:val="90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45C7B80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6</w:t>
            </w:r>
          </w:p>
        </w:tc>
        <w:tc>
          <w:tcPr>
            <w:tcW w:w="815" w:type="dxa"/>
            <w:tcBorders>
              <w:top w:val="single" w:color="auto" w:sz="4" w:space="0"/>
              <w:left w:val="nil"/>
              <w:bottom w:val="single" w:color="auto" w:sz="4" w:space="0"/>
              <w:right w:val="single" w:color="auto" w:sz="4" w:space="0"/>
            </w:tcBorders>
            <w:noWrap/>
            <w:vAlign w:val="center"/>
          </w:tcPr>
          <w:p w14:paraId="19EC4315">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病虫防治</w:t>
            </w:r>
          </w:p>
          <w:p w14:paraId="17D6423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4分</w:t>
            </w:r>
          </w:p>
        </w:tc>
        <w:tc>
          <w:tcPr>
            <w:tcW w:w="639" w:type="dxa"/>
            <w:tcBorders>
              <w:top w:val="single" w:color="auto" w:sz="4" w:space="0"/>
              <w:left w:val="nil"/>
              <w:bottom w:val="single" w:color="auto" w:sz="4" w:space="0"/>
              <w:right w:val="single" w:color="auto" w:sz="4" w:space="0"/>
            </w:tcBorders>
            <w:noWrap/>
            <w:vAlign w:val="center"/>
          </w:tcPr>
          <w:p w14:paraId="11B7EE3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11</w:t>
            </w:r>
          </w:p>
        </w:tc>
        <w:tc>
          <w:tcPr>
            <w:tcW w:w="2196" w:type="dxa"/>
            <w:tcBorders>
              <w:top w:val="single" w:color="auto" w:sz="4" w:space="0"/>
              <w:left w:val="nil"/>
              <w:bottom w:val="single" w:color="auto" w:sz="4" w:space="0"/>
              <w:right w:val="single" w:color="auto" w:sz="4" w:space="0"/>
            </w:tcBorders>
            <w:noWrap/>
            <w:vAlign w:val="center"/>
          </w:tcPr>
          <w:p w14:paraId="58395A9D">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预防为主，发现病虫害应积极防治，效果明显。</w:t>
            </w:r>
          </w:p>
        </w:tc>
        <w:tc>
          <w:tcPr>
            <w:tcW w:w="2776" w:type="dxa"/>
            <w:tcBorders>
              <w:top w:val="single" w:color="auto" w:sz="4" w:space="0"/>
              <w:left w:val="nil"/>
              <w:bottom w:val="single" w:color="auto" w:sz="4" w:space="0"/>
              <w:right w:val="single" w:color="auto" w:sz="4" w:space="0"/>
            </w:tcBorders>
            <w:noWrap/>
            <w:vAlign w:val="center"/>
          </w:tcPr>
          <w:p w14:paraId="2B56153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发现病虫害，不及时防治，有明显危害症状扣1分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w:t>
            </w:r>
            <w:r>
              <w:rPr>
                <w:rFonts w:hint="eastAsia" w:cs="宋体" w:asciiTheme="majorEastAsia" w:hAnsiTheme="majorEastAsia" w:eastAsiaTheme="majorEastAsia"/>
                <w:color w:val="auto"/>
                <w:kern w:val="0"/>
                <w:sz w:val="24"/>
                <w:highlight w:val="none"/>
              </w:rPr>
              <w:t>。</w:t>
            </w:r>
          </w:p>
        </w:tc>
        <w:tc>
          <w:tcPr>
            <w:tcW w:w="698" w:type="dxa"/>
            <w:tcBorders>
              <w:top w:val="single" w:color="auto" w:sz="4" w:space="0"/>
              <w:left w:val="nil"/>
              <w:bottom w:val="single" w:color="auto" w:sz="4" w:space="0"/>
              <w:right w:val="single" w:color="auto" w:sz="4" w:space="0"/>
            </w:tcBorders>
            <w:noWrap/>
            <w:vAlign w:val="center"/>
          </w:tcPr>
          <w:p w14:paraId="2078090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37FF915C">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62785042">
            <w:pPr>
              <w:widowControl/>
              <w:spacing w:line="300" w:lineRule="exact"/>
              <w:jc w:val="center"/>
              <w:rPr>
                <w:rFonts w:asciiTheme="majorEastAsia" w:hAnsiTheme="majorEastAsia" w:eastAsiaTheme="majorEastAsia"/>
                <w:color w:val="auto"/>
                <w:kern w:val="0"/>
                <w:sz w:val="24"/>
                <w:highlight w:val="none"/>
              </w:rPr>
            </w:pPr>
          </w:p>
        </w:tc>
      </w:tr>
      <w:tr w14:paraId="04401F86">
        <w:tblPrEx>
          <w:tblCellMar>
            <w:top w:w="0" w:type="dxa"/>
            <w:left w:w="108" w:type="dxa"/>
            <w:bottom w:w="0" w:type="dxa"/>
            <w:right w:w="108" w:type="dxa"/>
          </w:tblCellMar>
        </w:tblPrEx>
        <w:trPr>
          <w:trHeight w:val="90" w:hRule="atLeast"/>
          <w:jc w:val="center"/>
        </w:trPr>
        <w:tc>
          <w:tcPr>
            <w:tcW w:w="530" w:type="dxa"/>
            <w:vMerge w:val="restart"/>
            <w:tcBorders>
              <w:top w:val="single" w:color="auto" w:sz="4" w:space="0"/>
              <w:left w:val="single" w:color="auto" w:sz="4" w:space="0"/>
              <w:right w:val="single" w:color="auto" w:sz="4" w:space="0"/>
            </w:tcBorders>
            <w:noWrap/>
            <w:vAlign w:val="center"/>
          </w:tcPr>
          <w:p w14:paraId="2A8A087B">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7</w:t>
            </w:r>
          </w:p>
        </w:tc>
        <w:tc>
          <w:tcPr>
            <w:tcW w:w="815" w:type="dxa"/>
            <w:vMerge w:val="restart"/>
            <w:tcBorders>
              <w:top w:val="single" w:color="auto" w:sz="4" w:space="0"/>
              <w:left w:val="nil"/>
              <w:right w:val="single" w:color="auto" w:sz="4" w:space="0"/>
            </w:tcBorders>
            <w:noWrap/>
            <w:vAlign w:val="center"/>
          </w:tcPr>
          <w:p w14:paraId="0C7424E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绿地提升改造20</w:t>
            </w:r>
            <w:r>
              <w:rPr>
                <w:rFonts w:hint="eastAsia" w:cs="宋体" w:asciiTheme="majorEastAsia" w:hAnsiTheme="majorEastAsia" w:eastAsiaTheme="majorEastAsia"/>
                <w:color w:val="auto"/>
                <w:kern w:val="0"/>
                <w:sz w:val="24"/>
                <w:highlight w:val="none"/>
              </w:rPr>
              <w:t>分</w:t>
            </w:r>
          </w:p>
        </w:tc>
        <w:tc>
          <w:tcPr>
            <w:tcW w:w="639" w:type="dxa"/>
            <w:tcBorders>
              <w:top w:val="single" w:color="auto" w:sz="4" w:space="0"/>
              <w:left w:val="nil"/>
              <w:bottom w:val="single" w:color="auto" w:sz="4" w:space="0"/>
              <w:right w:val="single" w:color="auto" w:sz="4" w:space="0"/>
            </w:tcBorders>
            <w:noWrap/>
            <w:vAlign w:val="center"/>
          </w:tcPr>
          <w:p w14:paraId="5EB8CA6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12</w:t>
            </w:r>
          </w:p>
        </w:tc>
        <w:tc>
          <w:tcPr>
            <w:tcW w:w="2196" w:type="dxa"/>
            <w:tcBorders>
              <w:top w:val="single" w:color="auto" w:sz="4" w:space="0"/>
              <w:left w:val="nil"/>
              <w:bottom w:val="single" w:color="auto" w:sz="4" w:space="0"/>
              <w:right w:val="single" w:color="auto" w:sz="4" w:space="0"/>
            </w:tcBorders>
            <w:noWrap/>
            <w:vAlign w:val="center"/>
          </w:tcPr>
          <w:p w14:paraId="7239770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小苗及草坪补植</w:t>
            </w:r>
            <w:r>
              <w:rPr>
                <w:rFonts w:hint="eastAsia" w:cs="宋体" w:asciiTheme="majorEastAsia" w:hAnsiTheme="majorEastAsia" w:eastAsiaTheme="majorEastAsia"/>
                <w:color w:val="auto"/>
                <w:kern w:val="0"/>
                <w:sz w:val="24"/>
                <w:highlight w:val="none"/>
              </w:rPr>
              <w:t>。</w:t>
            </w:r>
          </w:p>
        </w:tc>
        <w:tc>
          <w:tcPr>
            <w:tcW w:w="2776" w:type="dxa"/>
            <w:tcBorders>
              <w:top w:val="single" w:color="auto" w:sz="4" w:space="0"/>
              <w:left w:val="nil"/>
              <w:bottom w:val="single" w:color="auto" w:sz="4" w:space="0"/>
              <w:right w:val="single" w:color="auto" w:sz="4" w:space="0"/>
            </w:tcBorders>
            <w:noWrap/>
            <w:vAlign w:val="center"/>
          </w:tcPr>
          <w:p w14:paraId="21984EC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发现一处苗木缺失超过1</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以上的扣2分</w:t>
            </w:r>
            <w:r>
              <w:rPr>
                <w:rFonts w:hint="eastAsia" w:cs="宋体" w:asciiTheme="majorEastAsia" w:hAnsiTheme="majorEastAsia" w:eastAsiaTheme="majorEastAsia"/>
                <w:color w:val="auto"/>
                <w:kern w:val="0"/>
                <w:sz w:val="24"/>
                <w:highlight w:val="none"/>
              </w:rPr>
              <w:t>。</w:t>
            </w:r>
          </w:p>
        </w:tc>
        <w:tc>
          <w:tcPr>
            <w:tcW w:w="698" w:type="dxa"/>
            <w:tcBorders>
              <w:top w:val="single" w:color="auto" w:sz="4" w:space="0"/>
              <w:left w:val="nil"/>
              <w:bottom w:val="single" w:color="auto" w:sz="4" w:space="0"/>
              <w:right w:val="single" w:color="auto" w:sz="4" w:space="0"/>
            </w:tcBorders>
            <w:noWrap/>
            <w:vAlign w:val="center"/>
          </w:tcPr>
          <w:p w14:paraId="6B136FF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16</w:t>
            </w:r>
          </w:p>
        </w:tc>
        <w:tc>
          <w:tcPr>
            <w:tcW w:w="436" w:type="dxa"/>
            <w:tcBorders>
              <w:top w:val="single" w:color="auto" w:sz="4" w:space="0"/>
              <w:left w:val="nil"/>
              <w:bottom w:val="single" w:color="auto" w:sz="4" w:space="0"/>
              <w:right w:val="single" w:color="auto" w:sz="4" w:space="0"/>
            </w:tcBorders>
            <w:noWrap/>
            <w:vAlign w:val="center"/>
          </w:tcPr>
          <w:p w14:paraId="63BBA66E">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30ECB748">
            <w:pPr>
              <w:widowControl/>
              <w:spacing w:line="300" w:lineRule="exact"/>
              <w:jc w:val="center"/>
              <w:rPr>
                <w:rFonts w:asciiTheme="majorEastAsia" w:hAnsiTheme="majorEastAsia" w:eastAsiaTheme="majorEastAsia"/>
                <w:color w:val="auto"/>
                <w:kern w:val="0"/>
                <w:sz w:val="24"/>
                <w:highlight w:val="none"/>
              </w:rPr>
            </w:pPr>
          </w:p>
        </w:tc>
      </w:tr>
      <w:tr w14:paraId="2A0C7684">
        <w:tblPrEx>
          <w:tblCellMar>
            <w:top w:w="0" w:type="dxa"/>
            <w:left w:w="108" w:type="dxa"/>
            <w:bottom w:w="0" w:type="dxa"/>
            <w:right w:w="108" w:type="dxa"/>
          </w:tblCellMar>
        </w:tblPrEx>
        <w:trPr>
          <w:trHeight w:val="502"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B060D68">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223D0B53">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1AE8400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13</w:t>
            </w:r>
          </w:p>
        </w:tc>
        <w:tc>
          <w:tcPr>
            <w:tcW w:w="2196" w:type="dxa"/>
            <w:tcBorders>
              <w:top w:val="single" w:color="auto" w:sz="4" w:space="0"/>
              <w:left w:val="nil"/>
              <w:bottom w:val="single" w:color="auto" w:sz="4" w:space="0"/>
              <w:right w:val="single" w:color="auto" w:sz="4" w:space="0"/>
            </w:tcBorders>
            <w:noWrap/>
            <w:vAlign w:val="center"/>
          </w:tcPr>
          <w:p w14:paraId="5AEC197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提升改造</w:t>
            </w:r>
            <w:r>
              <w:rPr>
                <w:rFonts w:hint="eastAsia" w:cs="宋体" w:asciiTheme="majorEastAsia" w:hAnsiTheme="majorEastAsia" w:eastAsiaTheme="majorEastAsia"/>
                <w:color w:val="auto"/>
                <w:kern w:val="0"/>
                <w:sz w:val="24"/>
                <w:highlight w:val="none"/>
              </w:rPr>
              <w:t>。</w:t>
            </w:r>
          </w:p>
        </w:tc>
        <w:tc>
          <w:tcPr>
            <w:tcW w:w="2776" w:type="dxa"/>
            <w:tcBorders>
              <w:top w:val="single" w:color="auto" w:sz="4" w:space="0"/>
              <w:left w:val="nil"/>
              <w:bottom w:val="single" w:color="auto" w:sz="4" w:space="0"/>
              <w:right w:val="single" w:color="auto" w:sz="4" w:space="0"/>
            </w:tcBorders>
            <w:noWrap/>
            <w:vAlign w:val="center"/>
          </w:tcPr>
          <w:p w14:paraId="2E99BF6D">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改造过程中安全文明施工未到位的一次性扣除4分。</w:t>
            </w:r>
          </w:p>
        </w:tc>
        <w:tc>
          <w:tcPr>
            <w:tcW w:w="698" w:type="dxa"/>
            <w:tcBorders>
              <w:top w:val="single" w:color="auto" w:sz="4" w:space="0"/>
              <w:left w:val="nil"/>
              <w:bottom w:val="single" w:color="auto" w:sz="4" w:space="0"/>
              <w:right w:val="single" w:color="auto" w:sz="4" w:space="0"/>
            </w:tcBorders>
            <w:noWrap/>
            <w:vAlign w:val="center"/>
          </w:tcPr>
          <w:p w14:paraId="5B51803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60B123C9">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06B6B362">
            <w:pPr>
              <w:widowControl/>
              <w:spacing w:line="300" w:lineRule="exact"/>
              <w:jc w:val="center"/>
              <w:rPr>
                <w:rFonts w:asciiTheme="majorEastAsia" w:hAnsiTheme="majorEastAsia" w:eastAsiaTheme="majorEastAsia"/>
                <w:color w:val="auto"/>
                <w:kern w:val="0"/>
                <w:sz w:val="24"/>
                <w:highlight w:val="none"/>
              </w:rPr>
            </w:pPr>
          </w:p>
        </w:tc>
      </w:tr>
      <w:tr w14:paraId="678C975C">
        <w:tblPrEx>
          <w:tblCellMar>
            <w:top w:w="0" w:type="dxa"/>
            <w:left w:w="108" w:type="dxa"/>
            <w:bottom w:w="0" w:type="dxa"/>
            <w:right w:w="108" w:type="dxa"/>
          </w:tblCellMar>
        </w:tblPrEx>
        <w:trPr>
          <w:trHeight w:val="2978" w:hRule="atLeast"/>
          <w:jc w:val="center"/>
        </w:trPr>
        <w:tc>
          <w:tcPr>
            <w:tcW w:w="530" w:type="dxa"/>
            <w:vMerge w:val="restart"/>
            <w:tcBorders>
              <w:top w:val="single" w:color="auto" w:sz="4" w:space="0"/>
              <w:left w:val="single" w:color="auto" w:sz="4" w:space="0"/>
              <w:right w:val="single" w:color="auto" w:sz="4" w:space="0"/>
            </w:tcBorders>
            <w:noWrap/>
            <w:vAlign w:val="center"/>
          </w:tcPr>
          <w:p w14:paraId="3B2B7D7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w:t>
            </w:r>
          </w:p>
        </w:tc>
        <w:tc>
          <w:tcPr>
            <w:tcW w:w="815" w:type="dxa"/>
            <w:vMerge w:val="restart"/>
            <w:tcBorders>
              <w:top w:val="single" w:color="auto" w:sz="4" w:space="0"/>
              <w:left w:val="nil"/>
              <w:right w:val="single" w:color="auto" w:sz="4" w:space="0"/>
            </w:tcBorders>
            <w:noWrap/>
            <w:vAlign w:val="center"/>
          </w:tcPr>
          <w:p w14:paraId="0E79446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整枝修剪14分</w:t>
            </w:r>
          </w:p>
        </w:tc>
        <w:tc>
          <w:tcPr>
            <w:tcW w:w="639" w:type="dxa"/>
            <w:tcBorders>
              <w:top w:val="single" w:color="auto" w:sz="4" w:space="0"/>
              <w:left w:val="nil"/>
              <w:bottom w:val="single" w:color="auto" w:sz="4" w:space="0"/>
              <w:right w:val="single" w:color="auto" w:sz="4" w:space="0"/>
            </w:tcBorders>
            <w:noWrap/>
            <w:vAlign w:val="center"/>
          </w:tcPr>
          <w:p w14:paraId="5D42EFA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14</w:t>
            </w:r>
          </w:p>
        </w:tc>
        <w:tc>
          <w:tcPr>
            <w:tcW w:w="2196" w:type="dxa"/>
            <w:tcBorders>
              <w:top w:val="single" w:color="auto" w:sz="4" w:space="0"/>
              <w:left w:val="nil"/>
              <w:bottom w:val="single" w:color="auto" w:sz="4" w:space="0"/>
              <w:right w:val="single" w:color="auto" w:sz="4" w:space="0"/>
            </w:tcBorders>
            <w:noWrap/>
            <w:vAlign w:val="center"/>
          </w:tcPr>
          <w:p w14:paraId="6BF09C4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nil"/>
              <w:bottom w:val="single" w:color="auto" w:sz="4" w:space="0"/>
              <w:right w:val="single" w:color="auto" w:sz="4" w:space="0"/>
            </w:tcBorders>
            <w:noWrap/>
            <w:vAlign w:val="center"/>
          </w:tcPr>
          <w:p w14:paraId="08A83BFE">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不及时修剪，扣0.5分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处；绿篱修剪面不平、不直，宽度不匀，扣0.5分</w:t>
            </w:r>
            <w:r>
              <w:rPr>
                <w:rFonts w:hint="eastAsia" w:asciiTheme="majorEastAsia" w:hAnsiTheme="majorEastAsia" w:eastAsiaTheme="majorEastAsia"/>
                <w:color w:val="auto"/>
                <w:kern w:val="0"/>
                <w:sz w:val="24"/>
                <w:highlight w:val="none"/>
              </w:rPr>
              <w:t>/100</w:t>
            </w:r>
            <w:r>
              <w:rPr>
                <w:rFonts w:cs="宋体" w:asciiTheme="majorEastAsia" w:hAnsiTheme="majorEastAsia" w:eastAsiaTheme="majorEastAsia"/>
                <w:color w:val="auto"/>
                <w:kern w:val="0"/>
                <w:sz w:val="24"/>
                <w:highlight w:val="none"/>
              </w:rPr>
              <w:t>m；有明显凹凸，扣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处；色块轮廓不明显，面不平，扣0.5分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处；球类修剪不圆，同条路或同块趋向不一，扣0.5分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39123DD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6</w:t>
            </w:r>
          </w:p>
        </w:tc>
        <w:tc>
          <w:tcPr>
            <w:tcW w:w="436" w:type="dxa"/>
            <w:tcBorders>
              <w:top w:val="single" w:color="auto" w:sz="4" w:space="0"/>
              <w:left w:val="nil"/>
              <w:bottom w:val="single" w:color="auto" w:sz="4" w:space="0"/>
              <w:right w:val="single" w:color="auto" w:sz="4" w:space="0"/>
            </w:tcBorders>
            <w:noWrap/>
            <w:vAlign w:val="center"/>
          </w:tcPr>
          <w:p w14:paraId="0BDB2E49">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728B5D70">
            <w:pPr>
              <w:widowControl/>
              <w:spacing w:line="300" w:lineRule="exact"/>
              <w:jc w:val="center"/>
              <w:rPr>
                <w:rFonts w:asciiTheme="majorEastAsia" w:hAnsiTheme="majorEastAsia" w:eastAsiaTheme="majorEastAsia"/>
                <w:color w:val="auto"/>
                <w:kern w:val="0"/>
                <w:sz w:val="24"/>
                <w:highlight w:val="none"/>
              </w:rPr>
            </w:pPr>
          </w:p>
        </w:tc>
      </w:tr>
      <w:tr w14:paraId="61DA3FB5">
        <w:tblPrEx>
          <w:tblCellMar>
            <w:top w:w="0" w:type="dxa"/>
            <w:left w:w="108" w:type="dxa"/>
            <w:bottom w:w="0" w:type="dxa"/>
            <w:right w:w="108" w:type="dxa"/>
          </w:tblCellMar>
        </w:tblPrEx>
        <w:trPr>
          <w:trHeight w:val="269" w:hRule="atLeast"/>
          <w:jc w:val="center"/>
        </w:trPr>
        <w:tc>
          <w:tcPr>
            <w:tcW w:w="530" w:type="dxa"/>
            <w:vMerge w:val="continue"/>
            <w:tcBorders>
              <w:left w:val="single" w:color="auto" w:sz="4" w:space="0"/>
              <w:right w:val="single" w:color="auto" w:sz="4" w:space="0"/>
            </w:tcBorders>
            <w:noWrap/>
            <w:vAlign w:val="center"/>
          </w:tcPr>
          <w:p w14:paraId="17978010">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right w:val="single" w:color="auto" w:sz="4" w:space="0"/>
            </w:tcBorders>
            <w:noWrap/>
            <w:vAlign w:val="center"/>
          </w:tcPr>
          <w:p w14:paraId="2A189EE9">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0D9513D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15</w:t>
            </w:r>
          </w:p>
        </w:tc>
        <w:tc>
          <w:tcPr>
            <w:tcW w:w="2196" w:type="dxa"/>
            <w:tcBorders>
              <w:top w:val="single" w:color="auto" w:sz="4" w:space="0"/>
              <w:left w:val="nil"/>
              <w:bottom w:val="single" w:color="auto" w:sz="4" w:space="0"/>
              <w:right w:val="single" w:color="auto" w:sz="4" w:space="0"/>
            </w:tcBorders>
            <w:noWrap/>
            <w:vAlign w:val="center"/>
          </w:tcPr>
          <w:p w14:paraId="2B278FC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noWrap/>
            <w:vAlign w:val="center"/>
          </w:tcPr>
          <w:p w14:paraId="27C38941">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乔木未按要求修剪扣1分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未及时修剪剥芽扣</w:t>
            </w:r>
            <w:r>
              <w:rPr>
                <w:rFonts w:hint="eastAsia" w:asciiTheme="majorEastAsia" w:hAnsiTheme="majorEastAsia" w:eastAsiaTheme="majorEastAsia"/>
                <w:color w:val="auto"/>
                <w:kern w:val="0"/>
                <w:sz w:val="24"/>
                <w:highlight w:val="none"/>
              </w:rPr>
              <w:t>2</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萌蘖芽未及时剥除发现</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株扣0.5分；修剪不当造成树木枯死，影响美观的扣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株。或加倍扣分。</w:t>
            </w:r>
          </w:p>
        </w:tc>
        <w:tc>
          <w:tcPr>
            <w:tcW w:w="698" w:type="dxa"/>
            <w:tcBorders>
              <w:top w:val="single" w:color="auto" w:sz="4" w:space="0"/>
              <w:left w:val="nil"/>
              <w:bottom w:val="single" w:color="auto" w:sz="4" w:space="0"/>
              <w:right w:val="single" w:color="auto" w:sz="4" w:space="0"/>
            </w:tcBorders>
            <w:noWrap/>
            <w:vAlign w:val="center"/>
          </w:tcPr>
          <w:p w14:paraId="137552C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16F5D080">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6F4C6C0E">
            <w:pPr>
              <w:widowControl/>
              <w:spacing w:line="300" w:lineRule="exact"/>
              <w:jc w:val="center"/>
              <w:rPr>
                <w:rFonts w:asciiTheme="majorEastAsia" w:hAnsiTheme="majorEastAsia" w:eastAsiaTheme="majorEastAsia"/>
                <w:color w:val="auto"/>
                <w:kern w:val="0"/>
                <w:sz w:val="24"/>
                <w:highlight w:val="none"/>
              </w:rPr>
            </w:pPr>
          </w:p>
        </w:tc>
      </w:tr>
      <w:tr w14:paraId="7522C6AF">
        <w:tblPrEx>
          <w:tblCellMar>
            <w:top w:w="0" w:type="dxa"/>
            <w:left w:w="108" w:type="dxa"/>
            <w:bottom w:w="0" w:type="dxa"/>
            <w:right w:w="108" w:type="dxa"/>
          </w:tblCellMar>
        </w:tblPrEx>
        <w:trPr>
          <w:trHeight w:val="28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0CCAEEE1">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603AE555">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nil"/>
              <w:bottom w:val="single" w:color="auto" w:sz="4" w:space="0"/>
              <w:right w:val="single" w:color="auto" w:sz="4" w:space="0"/>
            </w:tcBorders>
            <w:noWrap/>
            <w:vAlign w:val="center"/>
          </w:tcPr>
          <w:p w14:paraId="4E7CE58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16</w:t>
            </w:r>
          </w:p>
        </w:tc>
        <w:tc>
          <w:tcPr>
            <w:tcW w:w="2196" w:type="dxa"/>
            <w:tcBorders>
              <w:top w:val="single" w:color="auto" w:sz="4" w:space="0"/>
              <w:left w:val="nil"/>
              <w:bottom w:val="single" w:color="auto" w:sz="4" w:space="0"/>
              <w:right w:val="single" w:color="auto" w:sz="4" w:space="0"/>
            </w:tcBorders>
            <w:noWrap/>
            <w:vAlign w:val="center"/>
          </w:tcPr>
          <w:p w14:paraId="287EBC0C">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noWrap/>
            <w:vAlign w:val="center"/>
          </w:tcPr>
          <w:p w14:paraId="2100D4D4">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修剪面不平，边角有遗留，扣0.5分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处；修剪后色斑明显，扣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5分；不及时修剪，扣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37F192E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nil"/>
              <w:bottom w:val="single" w:color="auto" w:sz="4" w:space="0"/>
              <w:right w:val="single" w:color="auto" w:sz="4" w:space="0"/>
            </w:tcBorders>
            <w:noWrap/>
            <w:vAlign w:val="center"/>
          </w:tcPr>
          <w:p w14:paraId="499D38C7">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2F97FF1D">
            <w:pPr>
              <w:widowControl/>
              <w:spacing w:line="300" w:lineRule="exact"/>
              <w:jc w:val="center"/>
              <w:rPr>
                <w:rFonts w:asciiTheme="majorEastAsia" w:hAnsiTheme="majorEastAsia" w:eastAsiaTheme="majorEastAsia"/>
                <w:color w:val="auto"/>
                <w:kern w:val="0"/>
                <w:sz w:val="24"/>
                <w:highlight w:val="none"/>
              </w:rPr>
            </w:pPr>
          </w:p>
        </w:tc>
      </w:tr>
      <w:tr w14:paraId="76E0959A">
        <w:tblPrEx>
          <w:tblCellMar>
            <w:top w:w="0" w:type="dxa"/>
            <w:left w:w="108" w:type="dxa"/>
            <w:bottom w:w="0" w:type="dxa"/>
            <w:right w:w="108" w:type="dxa"/>
          </w:tblCellMar>
        </w:tblPrEx>
        <w:trPr>
          <w:trHeight w:val="13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522D2EE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9</w:t>
            </w:r>
          </w:p>
        </w:tc>
        <w:tc>
          <w:tcPr>
            <w:tcW w:w="815" w:type="dxa"/>
            <w:tcBorders>
              <w:top w:val="single" w:color="auto" w:sz="4" w:space="0"/>
              <w:left w:val="nil"/>
              <w:bottom w:val="single" w:color="auto" w:sz="4" w:space="0"/>
              <w:right w:val="single" w:color="auto" w:sz="4" w:space="0"/>
            </w:tcBorders>
            <w:noWrap/>
            <w:vAlign w:val="center"/>
          </w:tcPr>
          <w:p w14:paraId="2A6CE2D5">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绿地保护</w:t>
            </w:r>
          </w:p>
          <w:p w14:paraId="2E46BE7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3分</w:t>
            </w:r>
          </w:p>
        </w:tc>
        <w:tc>
          <w:tcPr>
            <w:tcW w:w="639" w:type="dxa"/>
            <w:tcBorders>
              <w:top w:val="single" w:color="auto" w:sz="4" w:space="0"/>
              <w:left w:val="nil"/>
              <w:bottom w:val="single" w:color="auto" w:sz="4" w:space="0"/>
              <w:right w:val="single" w:color="auto" w:sz="4" w:space="0"/>
            </w:tcBorders>
            <w:noWrap/>
            <w:vAlign w:val="center"/>
          </w:tcPr>
          <w:p w14:paraId="6B06118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17</w:t>
            </w:r>
          </w:p>
        </w:tc>
        <w:tc>
          <w:tcPr>
            <w:tcW w:w="2196" w:type="dxa"/>
            <w:tcBorders>
              <w:top w:val="single" w:color="auto" w:sz="4" w:space="0"/>
              <w:left w:val="nil"/>
              <w:bottom w:val="single" w:color="auto" w:sz="4" w:space="0"/>
              <w:right w:val="single" w:color="auto" w:sz="4" w:space="0"/>
            </w:tcBorders>
            <w:noWrap/>
            <w:vAlign w:val="center"/>
          </w:tcPr>
          <w:p w14:paraId="62DB659F">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noWrap/>
            <w:vAlign w:val="center"/>
          </w:tcPr>
          <w:p w14:paraId="15D66F16">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noWrap/>
            <w:vAlign w:val="center"/>
          </w:tcPr>
          <w:p w14:paraId="5E706F2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436" w:type="dxa"/>
            <w:tcBorders>
              <w:top w:val="single" w:color="auto" w:sz="4" w:space="0"/>
              <w:left w:val="nil"/>
              <w:bottom w:val="single" w:color="auto" w:sz="4" w:space="0"/>
              <w:right w:val="single" w:color="auto" w:sz="4" w:space="0"/>
            </w:tcBorders>
            <w:noWrap/>
            <w:vAlign w:val="center"/>
          </w:tcPr>
          <w:p w14:paraId="1A6585BD">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nil"/>
              <w:bottom w:val="single" w:color="auto" w:sz="4" w:space="0"/>
              <w:right w:val="single" w:color="auto" w:sz="4" w:space="0"/>
            </w:tcBorders>
            <w:noWrap/>
            <w:vAlign w:val="center"/>
          </w:tcPr>
          <w:p w14:paraId="43C85137">
            <w:pPr>
              <w:widowControl/>
              <w:spacing w:line="300" w:lineRule="exact"/>
              <w:jc w:val="center"/>
              <w:rPr>
                <w:rFonts w:asciiTheme="majorEastAsia" w:hAnsiTheme="majorEastAsia" w:eastAsiaTheme="majorEastAsia"/>
                <w:color w:val="auto"/>
                <w:kern w:val="0"/>
                <w:sz w:val="24"/>
                <w:highlight w:val="none"/>
              </w:rPr>
            </w:pPr>
          </w:p>
        </w:tc>
      </w:tr>
      <w:tr w14:paraId="3524C7F1">
        <w:tblPrEx>
          <w:tblCellMar>
            <w:top w:w="0" w:type="dxa"/>
            <w:left w:w="108" w:type="dxa"/>
            <w:bottom w:w="0" w:type="dxa"/>
            <w:right w:w="108" w:type="dxa"/>
          </w:tblCellMar>
        </w:tblPrEx>
        <w:trPr>
          <w:trHeight w:val="105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20D820F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10</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1E76876B">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行为质量</w:t>
            </w:r>
          </w:p>
          <w:p w14:paraId="4435D0D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8分</w:t>
            </w:r>
          </w:p>
        </w:tc>
        <w:tc>
          <w:tcPr>
            <w:tcW w:w="639" w:type="dxa"/>
            <w:tcBorders>
              <w:top w:val="single" w:color="auto" w:sz="4" w:space="0"/>
              <w:left w:val="single" w:color="auto" w:sz="4" w:space="0"/>
              <w:bottom w:val="single" w:color="auto" w:sz="4" w:space="0"/>
              <w:right w:val="single" w:color="auto" w:sz="4" w:space="0"/>
            </w:tcBorders>
            <w:noWrap/>
            <w:vAlign w:val="center"/>
          </w:tcPr>
          <w:p w14:paraId="5F9A829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18</w:t>
            </w:r>
          </w:p>
        </w:tc>
        <w:tc>
          <w:tcPr>
            <w:tcW w:w="2196" w:type="dxa"/>
            <w:tcBorders>
              <w:top w:val="single" w:color="auto" w:sz="4" w:space="0"/>
              <w:left w:val="single" w:color="auto" w:sz="4" w:space="0"/>
              <w:bottom w:val="single" w:color="auto" w:sz="4" w:space="0"/>
              <w:right w:val="single" w:color="auto" w:sz="4" w:space="0"/>
            </w:tcBorders>
            <w:noWrap/>
            <w:vAlign w:val="center"/>
          </w:tcPr>
          <w:p w14:paraId="45904EDE">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noWrap/>
            <w:vAlign w:val="center"/>
          </w:tcPr>
          <w:p w14:paraId="4C2E721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未报送书面台账资料的直接扣除</w:t>
            </w:r>
            <w:r>
              <w:rPr>
                <w:rFonts w:hint="eastAsia" w:cs="宋体" w:asciiTheme="majorEastAsia" w:hAnsiTheme="majorEastAsia" w:eastAsiaTheme="majorEastAsia"/>
                <w:color w:val="auto"/>
                <w:kern w:val="0"/>
                <w:sz w:val="24"/>
                <w:highlight w:val="none"/>
              </w:rPr>
              <w:t>。</w:t>
            </w:r>
          </w:p>
        </w:tc>
        <w:tc>
          <w:tcPr>
            <w:tcW w:w="698" w:type="dxa"/>
            <w:tcBorders>
              <w:top w:val="single" w:color="auto" w:sz="4" w:space="0"/>
              <w:left w:val="single" w:color="auto" w:sz="4" w:space="0"/>
              <w:bottom w:val="single" w:color="auto" w:sz="4" w:space="0"/>
              <w:right w:val="single" w:color="auto" w:sz="4" w:space="0"/>
            </w:tcBorders>
            <w:noWrap/>
            <w:vAlign w:val="center"/>
          </w:tcPr>
          <w:p w14:paraId="2CDBB53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03C40F85">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1394238E">
            <w:pPr>
              <w:widowControl/>
              <w:spacing w:line="300" w:lineRule="exact"/>
              <w:jc w:val="center"/>
              <w:rPr>
                <w:rFonts w:asciiTheme="majorEastAsia" w:hAnsiTheme="majorEastAsia" w:eastAsiaTheme="majorEastAsia"/>
                <w:color w:val="auto"/>
                <w:kern w:val="0"/>
                <w:sz w:val="24"/>
                <w:highlight w:val="none"/>
              </w:rPr>
            </w:pPr>
          </w:p>
        </w:tc>
      </w:tr>
      <w:tr w14:paraId="14280150">
        <w:tblPrEx>
          <w:tblCellMar>
            <w:top w:w="0" w:type="dxa"/>
            <w:left w:w="108" w:type="dxa"/>
            <w:bottom w:w="0" w:type="dxa"/>
            <w:right w:w="108" w:type="dxa"/>
          </w:tblCellMar>
        </w:tblPrEx>
        <w:trPr>
          <w:trHeight w:val="98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5F173BB8">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195AF383">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513CB11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19</w:t>
            </w:r>
          </w:p>
        </w:tc>
        <w:tc>
          <w:tcPr>
            <w:tcW w:w="2196" w:type="dxa"/>
            <w:tcBorders>
              <w:top w:val="single" w:color="auto" w:sz="4" w:space="0"/>
              <w:left w:val="single" w:color="auto" w:sz="4" w:space="0"/>
              <w:bottom w:val="single" w:color="auto" w:sz="4" w:space="0"/>
              <w:right w:val="single" w:color="auto" w:sz="4" w:space="0"/>
            </w:tcBorders>
            <w:noWrap/>
            <w:vAlign w:val="center"/>
          </w:tcPr>
          <w:p w14:paraId="2063C582">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noWrap/>
            <w:vAlign w:val="center"/>
          </w:tcPr>
          <w:p w14:paraId="2E9CDE80">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按照规定养护人员数量不符合要求，扣全部分值；项目负责人不在现场，扣1分；工作人员服装不统一，不按要求安全作业，每人扣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分；道路施工时，安全警示标识标牌不齐全的扣1分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531098E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436" w:type="dxa"/>
            <w:tcBorders>
              <w:top w:val="single" w:color="auto" w:sz="4" w:space="0"/>
              <w:left w:val="single" w:color="auto" w:sz="4" w:space="0"/>
              <w:bottom w:val="single" w:color="auto" w:sz="4" w:space="0"/>
              <w:right w:val="single" w:color="auto" w:sz="4" w:space="0"/>
            </w:tcBorders>
            <w:noWrap/>
            <w:vAlign w:val="center"/>
          </w:tcPr>
          <w:p w14:paraId="3EC6F644">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71E25D73">
            <w:pPr>
              <w:widowControl/>
              <w:spacing w:line="300" w:lineRule="exact"/>
              <w:jc w:val="center"/>
              <w:rPr>
                <w:rFonts w:asciiTheme="majorEastAsia" w:hAnsiTheme="majorEastAsia" w:eastAsiaTheme="majorEastAsia"/>
                <w:color w:val="auto"/>
                <w:kern w:val="0"/>
                <w:sz w:val="24"/>
                <w:highlight w:val="none"/>
              </w:rPr>
            </w:pPr>
          </w:p>
        </w:tc>
      </w:tr>
      <w:tr w14:paraId="724E7388">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5DC70957">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37BE400C">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18ABE65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20</w:t>
            </w:r>
          </w:p>
        </w:tc>
        <w:tc>
          <w:tcPr>
            <w:tcW w:w="2196" w:type="dxa"/>
            <w:tcBorders>
              <w:top w:val="single" w:color="auto" w:sz="4" w:space="0"/>
              <w:left w:val="single" w:color="auto" w:sz="4" w:space="0"/>
              <w:bottom w:val="single" w:color="auto" w:sz="4" w:space="0"/>
              <w:right w:val="single" w:color="auto" w:sz="4" w:space="0"/>
            </w:tcBorders>
            <w:noWrap/>
            <w:vAlign w:val="center"/>
          </w:tcPr>
          <w:p w14:paraId="15B0C3F2">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noWrap/>
            <w:vAlign w:val="center"/>
          </w:tcPr>
          <w:p w14:paraId="3959C5B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迟到一次扣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分；无故缺席一次扣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分；无故替开会一次扣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4402330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236B7213">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6C040C08">
            <w:pPr>
              <w:widowControl/>
              <w:spacing w:line="300" w:lineRule="exact"/>
              <w:jc w:val="center"/>
              <w:rPr>
                <w:rFonts w:asciiTheme="majorEastAsia" w:hAnsiTheme="majorEastAsia" w:eastAsiaTheme="majorEastAsia"/>
                <w:color w:val="auto"/>
                <w:kern w:val="0"/>
                <w:sz w:val="24"/>
                <w:highlight w:val="none"/>
              </w:rPr>
            </w:pPr>
          </w:p>
        </w:tc>
      </w:tr>
      <w:tr w14:paraId="321D791E">
        <w:tblPrEx>
          <w:tblCellMar>
            <w:top w:w="0" w:type="dxa"/>
            <w:left w:w="108" w:type="dxa"/>
            <w:bottom w:w="0" w:type="dxa"/>
            <w:right w:w="108" w:type="dxa"/>
          </w:tblCellMar>
        </w:tblPrEx>
        <w:trPr>
          <w:trHeight w:val="250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46B32683">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61D93E0A">
            <w:pPr>
              <w:widowControl/>
              <w:spacing w:line="300" w:lineRule="exact"/>
              <w:jc w:val="center"/>
              <w:rPr>
                <w:rFonts w:asciiTheme="majorEastAsia" w:hAnsiTheme="majorEastAsia" w:eastAsiaTheme="majorEastAsia"/>
                <w:color w:val="auto"/>
                <w:kern w:val="0"/>
                <w:sz w:val="24"/>
                <w:highlight w:val="none"/>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662DE64A">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21</w:t>
            </w:r>
          </w:p>
        </w:tc>
        <w:tc>
          <w:tcPr>
            <w:tcW w:w="2196" w:type="dxa"/>
            <w:tcBorders>
              <w:top w:val="single" w:color="auto" w:sz="4" w:space="0"/>
              <w:left w:val="single" w:color="auto" w:sz="4" w:space="0"/>
              <w:bottom w:val="single" w:color="auto" w:sz="4" w:space="0"/>
              <w:right w:val="single" w:color="auto" w:sz="4" w:space="0"/>
            </w:tcBorders>
            <w:noWrap/>
            <w:vAlign w:val="center"/>
          </w:tcPr>
          <w:p w14:paraId="09E88ADD">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noWrap/>
            <w:vAlign w:val="center"/>
          </w:tcPr>
          <w:p w14:paraId="3923FBEE">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noWrap/>
            <w:vAlign w:val="center"/>
          </w:tcPr>
          <w:p w14:paraId="3484A36B">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436" w:type="dxa"/>
            <w:tcBorders>
              <w:top w:val="single" w:color="auto" w:sz="4" w:space="0"/>
              <w:left w:val="single" w:color="auto" w:sz="4" w:space="0"/>
              <w:bottom w:val="single" w:color="auto" w:sz="4" w:space="0"/>
              <w:right w:val="single" w:color="auto" w:sz="4" w:space="0"/>
            </w:tcBorders>
            <w:noWrap/>
            <w:vAlign w:val="center"/>
          </w:tcPr>
          <w:p w14:paraId="5F7DFE0F">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7F887C82">
            <w:pPr>
              <w:widowControl/>
              <w:spacing w:line="300" w:lineRule="exact"/>
              <w:jc w:val="center"/>
              <w:rPr>
                <w:rFonts w:asciiTheme="majorEastAsia" w:hAnsiTheme="majorEastAsia" w:eastAsiaTheme="majorEastAsia"/>
                <w:color w:val="auto"/>
                <w:kern w:val="0"/>
                <w:sz w:val="24"/>
                <w:highlight w:val="none"/>
              </w:rPr>
            </w:pPr>
          </w:p>
        </w:tc>
      </w:tr>
      <w:tr w14:paraId="689F32B5">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noWrap/>
            <w:vAlign w:val="center"/>
          </w:tcPr>
          <w:p w14:paraId="2FBC5156">
            <w:pPr>
              <w:widowControl/>
              <w:spacing w:line="300" w:lineRule="exact"/>
              <w:jc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合计</w:t>
            </w:r>
          </w:p>
        </w:tc>
        <w:tc>
          <w:tcPr>
            <w:tcW w:w="698" w:type="dxa"/>
            <w:tcBorders>
              <w:top w:val="single" w:color="auto" w:sz="4" w:space="0"/>
              <w:left w:val="single" w:color="auto" w:sz="4" w:space="0"/>
              <w:bottom w:val="single" w:color="auto" w:sz="4" w:space="0"/>
              <w:right w:val="single" w:color="auto" w:sz="4" w:space="0"/>
            </w:tcBorders>
            <w:noWrap/>
            <w:vAlign w:val="center"/>
          </w:tcPr>
          <w:p w14:paraId="6689171F">
            <w:pPr>
              <w:widowControl/>
              <w:spacing w:line="300" w:lineRule="exact"/>
              <w:jc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100</w:t>
            </w:r>
          </w:p>
        </w:tc>
        <w:tc>
          <w:tcPr>
            <w:tcW w:w="436" w:type="dxa"/>
            <w:tcBorders>
              <w:top w:val="single" w:color="auto" w:sz="4" w:space="0"/>
              <w:left w:val="single" w:color="auto" w:sz="4" w:space="0"/>
              <w:bottom w:val="single" w:color="auto" w:sz="4" w:space="0"/>
              <w:right w:val="single" w:color="auto" w:sz="4" w:space="0"/>
            </w:tcBorders>
            <w:noWrap/>
            <w:vAlign w:val="center"/>
          </w:tcPr>
          <w:p w14:paraId="3448FA05">
            <w:pPr>
              <w:widowControl/>
              <w:spacing w:line="300" w:lineRule="exact"/>
              <w:jc w:val="center"/>
              <w:rPr>
                <w:rFonts w:asciiTheme="majorEastAsia" w:hAnsiTheme="majorEastAsia" w:eastAsiaTheme="majorEastAsia"/>
                <w:color w:val="auto"/>
                <w:kern w:val="0"/>
                <w:sz w:val="24"/>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6EAC7206">
            <w:pPr>
              <w:widowControl/>
              <w:spacing w:line="300" w:lineRule="exact"/>
              <w:jc w:val="center"/>
              <w:rPr>
                <w:rFonts w:asciiTheme="majorEastAsia" w:hAnsiTheme="majorEastAsia" w:eastAsiaTheme="majorEastAsia"/>
                <w:color w:val="auto"/>
                <w:kern w:val="0"/>
                <w:sz w:val="24"/>
                <w:highlight w:val="none"/>
              </w:rPr>
            </w:pPr>
          </w:p>
        </w:tc>
      </w:tr>
    </w:tbl>
    <w:p w14:paraId="3E694490">
      <w:pPr>
        <w:spacing w:line="400" w:lineRule="exact"/>
        <w:jc w:val="left"/>
        <w:rPr>
          <w:rFonts w:cs="楷体_GB2312" w:asciiTheme="majorEastAsia" w:hAnsiTheme="majorEastAsia" w:eastAsiaTheme="majorEastAsia"/>
          <w:color w:val="auto"/>
          <w:kern w:val="0"/>
          <w:sz w:val="24"/>
          <w:highlight w:val="none"/>
        </w:rPr>
      </w:pPr>
    </w:p>
    <w:p w14:paraId="677816FC">
      <w:pPr>
        <w:spacing w:line="400" w:lineRule="exact"/>
        <w:jc w:val="left"/>
        <w:rPr>
          <w:rFonts w:cs="楷体_GB2312" w:asciiTheme="majorEastAsia" w:hAnsiTheme="majorEastAsia" w:eastAsiaTheme="majorEastAsia"/>
          <w:color w:val="auto"/>
          <w:kern w:val="0"/>
          <w:sz w:val="24"/>
          <w:highlight w:val="none"/>
        </w:rPr>
      </w:pPr>
      <w:r>
        <w:rPr>
          <w:rFonts w:hint="eastAsia" w:cs="楷体_GB2312" w:asciiTheme="majorEastAsia" w:hAnsiTheme="majorEastAsia" w:eastAsiaTheme="majorEastAsia"/>
          <w:color w:val="auto"/>
          <w:kern w:val="0"/>
          <w:sz w:val="24"/>
          <w:highlight w:val="none"/>
        </w:rPr>
        <w:t>考核时间：                      考核路段：</w:t>
      </w:r>
    </w:p>
    <w:p w14:paraId="0516B71D">
      <w:pPr>
        <w:spacing w:line="400" w:lineRule="exact"/>
        <w:jc w:val="left"/>
        <w:rPr>
          <w:rFonts w:cs="楷体_GB2312" w:asciiTheme="majorEastAsia" w:hAnsiTheme="majorEastAsia" w:eastAsiaTheme="majorEastAsia"/>
          <w:color w:val="auto"/>
          <w:kern w:val="0"/>
          <w:sz w:val="24"/>
          <w:highlight w:val="none"/>
        </w:rPr>
      </w:pPr>
    </w:p>
    <w:p w14:paraId="537B86C9">
      <w:pPr>
        <w:spacing w:line="400" w:lineRule="exact"/>
        <w:jc w:val="left"/>
        <w:rPr>
          <w:rFonts w:cs="楷体_GB2312" w:asciiTheme="majorEastAsia" w:hAnsiTheme="majorEastAsia" w:eastAsiaTheme="majorEastAsia"/>
          <w:color w:val="auto"/>
          <w:kern w:val="0"/>
          <w:sz w:val="24"/>
          <w:highlight w:val="none"/>
        </w:rPr>
      </w:pPr>
      <w:r>
        <w:rPr>
          <w:rFonts w:hint="eastAsia" w:cs="楷体_GB2312" w:asciiTheme="majorEastAsia" w:hAnsiTheme="majorEastAsia" w:eastAsiaTheme="majorEastAsia"/>
          <w:color w:val="auto"/>
          <w:kern w:val="0"/>
          <w:sz w:val="24"/>
          <w:highlight w:val="none"/>
        </w:rPr>
        <w:t>项目负责人：                    考核人：</w:t>
      </w:r>
    </w:p>
    <w:p w14:paraId="44EEB026">
      <w:pPr>
        <w:spacing w:line="400" w:lineRule="exact"/>
        <w:jc w:val="left"/>
        <w:rPr>
          <w:rFonts w:cs="楷体_GB2312" w:asciiTheme="majorEastAsia" w:hAnsiTheme="majorEastAsia" w:eastAsiaTheme="majorEastAsia"/>
          <w:color w:val="auto"/>
          <w:kern w:val="0"/>
          <w:sz w:val="24"/>
          <w:highlight w:val="none"/>
        </w:rPr>
      </w:pPr>
    </w:p>
    <w:p w14:paraId="13E8878F">
      <w:pPr>
        <w:spacing w:line="400" w:lineRule="exact"/>
        <w:jc w:val="left"/>
        <w:rPr>
          <w:rFonts w:cs="楷体_GB2312" w:asciiTheme="majorEastAsia" w:hAnsiTheme="majorEastAsia" w:eastAsiaTheme="majorEastAsia"/>
          <w:color w:val="auto"/>
          <w:kern w:val="0"/>
          <w:sz w:val="24"/>
          <w:highlight w:val="none"/>
        </w:rPr>
      </w:pPr>
    </w:p>
    <w:p w14:paraId="5AA5460D">
      <w:pPr>
        <w:wordWrap w:val="0"/>
        <w:spacing w:line="400" w:lineRule="exact"/>
        <w:jc w:val="center"/>
        <w:rPr>
          <w:rFonts w:cs="方正小标宋简体" w:asciiTheme="majorEastAsia" w:hAnsiTheme="majorEastAsia" w:eastAsiaTheme="majorEastAsia"/>
          <w:b/>
          <w:color w:val="auto"/>
          <w:sz w:val="24"/>
          <w:highlight w:val="none"/>
        </w:rPr>
      </w:pPr>
      <w:r>
        <w:rPr>
          <w:rFonts w:hint="eastAsia" w:cs="方正小标宋简体" w:asciiTheme="majorEastAsia" w:hAnsiTheme="majorEastAsia" w:eastAsiaTheme="majorEastAsia"/>
          <w:b/>
          <w:color w:val="auto"/>
          <w:sz w:val="24"/>
          <w:highlight w:val="none"/>
        </w:rPr>
        <w:t>湖州南太湖新区公用事业管理中心绿地养护考核评分表</w:t>
      </w:r>
    </w:p>
    <w:p w14:paraId="117D370B">
      <w:pPr>
        <w:wordWrap w:val="0"/>
        <w:spacing w:line="400" w:lineRule="exact"/>
        <w:jc w:val="center"/>
        <w:rPr>
          <w:rFonts w:cs="方正小标宋简体" w:asciiTheme="majorEastAsia" w:hAnsiTheme="majorEastAsia" w:eastAsiaTheme="majorEastAsia"/>
          <w:b/>
          <w:color w:val="auto"/>
          <w:sz w:val="24"/>
          <w:highlight w:val="none"/>
        </w:rPr>
      </w:pPr>
      <w:r>
        <w:rPr>
          <w:rFonts w:hint="eastAsia" w:cs="方正小标宋简体" w:asciiTheme="majorEastAsia" w:hAnsiTheme="majorEastAsia" w:eastAsiaTheme="majorEastAsia"/>
          <w:b/>
          <w:color w:val="auto"/>
          <w:sz w:val="24"/>
          <w:highlight w:val="none"/>
        </w:rPr>
        <w:t>（6~8月）</w:t>
      </w:r>
    </w:p>
    <w:p w14:paraId="0BB55E11">
      <w:pPr>
        <w:wordWrap w:val="0"/>
        <w:spacing w:line="400" w:lineRule="exact"/>
        <w:jc w:val="left"/>
        <w:rPr>
          <w:rFonts w:cs="楷体_GB2312" w:asciiTheme="majorEastAsia" w:hAnsiTheme="majorEastAsia" w:eastAsiaTheme="majorEastAsia"/>
          <w:color w:val="auto"/>
          <w:sz w:val="24"/>
          <w:highlight w:val="none"/>
        </w:rPr>
      </w:pPr>
      <w:r>
        <w:rPr>
          <w:rFonts w:hint="eastAsia" w:cs="楷体_GB2312" w:asciiTheme="majorEastAsia" w:hAnsiTheme="majorEastAsia" w:eastAsiaTheme="majorEastAsia"/>
          <w:color w:val="auto"/>
          <w:sz w:val="24"/>
          <w:highlight w:val="none"/>
        </w:rPr>
        <w:t>单位名称：                         标 段：</w:t>
      </w:r>
    </w:p>
    <w:tbl>
      <w:tblPr>
        <w:tblStyle w:val="47"/>
        <w:tblW w:w="8844" w:type="dxa"/>
        <w:jc w:val="center"/>
        <w:tblLayout w:type="fixed"/>
        <w:tblCellMar>
          <w:top w:w="0" w:type="dxa"/>
          <w:left w:w="108" w:type="dxa"/>
          <w:bottom w:w="0" w:type="dxa"/>
          <w:right w:w="108" w:type="dxa"/>
        </w:tblCellMar>
      </w:tblPr>
      <w:tblGrid>
        <w:gridCol w:w="530"/>
        <w:gridCol w:w="815"/>
        <w:gridCol w:w="639"/>
        <w:gridCol w:w="2196"/>
        <w:gridCol w:w="2776"/>
        <w:gridCol w:w="698"/>
        <w:gridCol w:w="567"/>
        <w:gridCol w:w="623"/>
      </w:tblGrid>
      <w:tr w14:paraId="09B64C68">
        <w:tblPrEx>
          <w:tblCellMar>
            <w:top w:w="0" w:type="dxa"/>
            <w:left w:w="108" w:type="dxa"/>
            <w:bottom w:w="0" w:type="dxa"/>
            <w:right w:w="108" w:type="dxa"/>
          </w:tblCellMar>
        </w:tblPrEx>
        <w:trPr>
          <w:trHeight w:val="74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7E66713">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序号</w:t>
            </w:r>
          </w:p>
        </w:tc>
        <w:tc>
          <w:tcPr>
            <w:tcW w:w="815" w:type="dxa"/>
            <w:tcBorders>
              <w:top w:val="single" w:color="auto" w:sz="4" w:space="0"/>
              <w:left w:val="nil"/>
              <w:bottom w:val="single" w:color="auto" w:sz="4" w:space="0"/>
              <w:right w:val="single" w:color="auto" w:sz="4" w:space="0"/>
            </w:tcBorders>
            <w:vAlign w:val="center"/>
          </w:tcPr>
          <w:p w14:paraId="6D0D26E1">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分项</w:t>
            </w:r>
          </w:p>
        </w:tc>
        <w:tc>
          <w:tcPr>
            <w:tcW w:w="639" w:type="dxa"/>
            <w:tcBorders>
              <w:top w:val="single" w:color="auto" w:sz="4" w:space="0"/>
              <w:left w:val="nil"/>
              <w:bottom w:val="single" w:color="auto" w:sz="4" w:space="0"/>
              <w:right w:val="single" w:color="auto" w:sz="4" w:space="0"/>
            </w:tcBorders>
            <w:vAlign w:val="center"/>
          </w:tcPr>
          <w:p w14:paraId="2C9983EB">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条目</w:t>
            </w:r>
          </w:p>
        </w:tc>
        <w:tc>
          <w:tcPr>
            <w:tcW w:w="2196" w:type="dxa"/>
            <w:tcBorders>
              <w:top w:val="single" w:color="auto" w:sz="4" w:space="0"/>
              <w:left w:val="nil"/>
              <w:bottom w:val="single" w:color="auto" w:sz="4" w:space="0"/>
              <w:right w:val="single" w:color="auto" w:sz="4" w:space="0"/>
            </w:tcBorders>
            <w:vAlign w:val="center"/>
          </w:tcPr>
          <w:p w14:paraId="1866A3B8">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考核内容及</w:t>
            </w:r>
          </w:p>
          <w:p w14:paraId="34A3790D">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管护要求</w:t>
            </w:r>
          </w:p>
        </w:tc>
        <w:tc>
          <w:tcPr>
            <w:tcW w:w="2776" w:type="dxa"/>
            <w:tcBorders>
              <w:top w:val="single" w:color="auto" w:sz="4" w:space="0"/>
              <w:left w:val="nil"/>
              <w:bottom w:val="single" w:color="auto" w:sz="4" w:space="0"/>
              <w:right w:val="single" w:color="auto" w:sz="4" w:space="0"/>
            </w:tcBorders>
            <w:vAlign w:val="center"/>
          </w:tcPr>
          <w:p w14:paraId="7E67ABD4">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评分细则</w:t>
            </w:r>
          </w:p>
        </w:tc>
        <w:tc>
          <w:tcPr>
            <w:tcW w:w="698" w:type="dxa"/>
            <w:tcBorders>
              <w:top w:val="single" w:color="auto" w:sz="4" w:space="0"/>
              <w:left w:val="nil"/>
              <w:bottom w:val="single" w:color="auto" w:sz="4" w:space="0"/>
              <w:right w:val="single" w:color="auto" w:sz="4" w:space="0"/>
            </w:tcBorders>
            <w:vAlign w:val="center"/>
          </w:tcPr>
          <w:p w14:paraId="6A37E87D">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分值</w:t>
            </w:r>
          </w:p>
        </w:tc>
        <w:tc>
          <w:tcPr>
            <w:tcW w:w="567" w:type="dxa"/>
            <w:tcBorders>
              <w:top w:val="single" w:color="auto" w:sz="4" w:space="0"/>
              <w:left w:val="nil"/>
              <w:bottom w:val="single" w:color="auto" w:sz="4" w:space="0"/>
              <w:right w:val="single" w:color="auto" w:sz="4" w:space="0"/>
            </w:tcBorders>
            <w:vAlign w:val="center"/>
          </w:tcPr>
          <w:p w14:paraId="7DDEE2A4">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得分</w:t>
            </w:r>
          </w:p>
        </w:tc>
        <w:tc>
          <w:tcPr>
            <w:tcW w:w="623" w:type="dxa"/>
            <w:tcBorders>
              <w:top w:val="single" w:color="auto" w:sz="4" w:space="0"/>
              <w:left w:val="nil"/>
              <w:bottom w:val="single" w:color="auto" w:sz="4" w:space="0"/>
              <w:right w:val="single" w:color="auto" w:sz="4" w:space="0"/>
            </w:tcBorders>
            <w:vAlign w:val="center"/>
          </w:tcPr>
          <w:p w14:paraId="6AA9A89C">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扣分原因</w:t>
            </w:r>
          </w:p>
        </w:tc>
      </w:tr>
      <w:tr w14:paraId="5202BE87">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319DDC31">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p>
        </w:tc>
        <w:tc>
          <w:tcPr>
            <w:tcW w:w="815" w:type="dxa"/>
            <w:vMerge w:val="restart"/>
            <w:tcBorders>
              <w:top w:val="single" w:color="auto" w:sz="4" w:space="0"/>
              <w:left w:val="nil"/>
              <w:bottom w:val="single" w:color="auto" w:sz="4" w:space="0"/>
              <w:right w:val="single" w:color="auto" w:sz="4" w:space="0"/>
            </w:tcBorders>
            <w:vAlign w:val="center"/>
          </w:tcPr>
          <w:p w14:paraId="1015164D">
            <w:pPr>
              <w:wordWrap w:val="0"/>
              <w:spacing w:line="300" w:lineRule="exact"/>
              <w:jc w:val="center"/>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绿地环境</w:t>
            </w:r>
          </w:p>
          <w:p w14:paraId="14053AED">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10分</w:t>
            </w:r>
          </w:p>
        </w:tc>
        <w:tc>
          <w:tcPr>
            <w:tcW w:w="639" w:type="dxa"/>
            <w:tcBorders>
              <w:top w:val="single" w:color="auto" w:sz="4" w:space="0"/>
              <w:left w:val="nil"/>
              <w:bottom w:val="single" w:color="auto" w:sz="4" w:space="0"/>
              <w:right w:val="single" w:color="auto" w:sz="4" w:space="0"/>
            </w:tcBorders>
            <w:vAlign w:val="center"/>
          </w:tcPr>
          <w:p w14:paraId="27B25D5B">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p>
        </w:tc>
        <w:tc>
          <w:tcPr>
            <w:tcW w:w="2196" w:type="dxa"/>
            <w:tcBorders>
              <w:top w:val="single" w:color="auto" w:sz="4" w:space="0"/>
              <w:left w:val="nil"/>
              <w:bottom w:val="single" w:color="auto" w:sz="4" w:space="0"/>
              <w:right w:val="single" w:color="auto" w:sz="4" w:space="0"/>
            </w:tcBorders>
            <w:vAlign w:val="center"/>
          </w:tcPr>
          <w:p w14:paraId="00B43BF0">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vAlign w:val="center"/>
          </w:tcPr>
          <w:p w14:paraId="1D6C0B6E">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有一项内容达不到要求，扣0.5分，扣完为止。或加倍扣分。</w:t>
            </w:r>
          </w:p>
        </w:tc>
        <w:tc>
          <w:tcPr>
            <w:tcW w:w="698" w:type="dxa"/>
            <w:tcBorders>
              <w:top w:val="single" w:color="auto" w:sz="4" w:space="0"/>
              <w:left w:val="nil"/>
              <w:bottom w:val="single" w:color="auto" w:sz="4" w:space="0"/>
              <w:right w:val="single" w:color="auto" w:sz="4" w:space="0"/>
            </w:tcBorders>
            <w:vAlign w:val="center"/>
          </w:tcPr>
          <w:p w14:paraId="54FF3900">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5</w:t>
            </w:r>
          </w:p>
        </w:tc>
        <w:tc>
          <w:tcPr>
            <w:tcW w:w="567" w:type="dxa"/>
            <w:tcBorders>
              <w:top w:val="single" w:color="auto" w:sz="4" w:space="0"/>
              <w:left w:val="nil"/>
              <w:bottom w:val="single" w:color="auto" w:sz="4" w:space="0"/>
              <w:right w:val="single" w:color="auto" w:sz="4" w:space="0"/>
            </w:tcBorders>
            <w:vAlign w:val="center"/>
          </w:tcPr>
          <w:p w14:paraId="5E3AA9A0">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0B8A4196">
            <w:pPr>
              <w:wordWrap w:val="0"/>
              <w:spacing w:line="300" w:lineRule="exact"/>
              <w:jc w:val="center"/>
              <w:rPr>
                <w:rFonts w:asciiTheme="majorEastAsia" w:hAnsiTheme="majorEastAsia" w:eastAsiaTheme="majorEastAsia"/>
                <w:color w:val="auto"/>
                <w:sz w:val="24"/>
                <w:highlight w:val="none"/>
              </w:rPr>
            </w:pPr>
          </w:p>
        </w:tc>
      </w:tr>
      <w:tr w14:paraId="0A91154A">
        <w:tblPrEx>
          <w:tblCellMar>
            <w:top w:w="0" w:type="dxa"/>
            <w:left w:w="108" w:type="dxa"/>
            <w:bottom w:w="0" w:type="dxa"/>
            <w:right w:w="108" w:type="dxa"/>
          </w:tblCellMar>
        </w:tblPrEx>
        <w:trPr>
          <w:trHeight w:val="1167"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4E54333C">
            <w:pPr>
              <w:rPr>
                <w:rFonts w:asciiTheme="majorEastAsia" w:hAnsiTheme="majorEastAsia" w:eastAsiaTheme="majorEastAsia"/>
                <w:color w:val="auto"/>
                <w:sz w:val="24"/>
                <w:highlight w:val="none"/>
              </w:rPr>
            </w:pPr>
          </w:p>
        </w:tc>
        <w:tc>
          <w:tcPr>
            <w:tcW w:w="815" w:type="dxa"/>
            <w:vMerge w:val="continue"/>
            <w:tcBorders>
              <w:top w:val="single" w:color="auto" w:sz="4" w:space="0"/>
              <w:left w:val="nil"/>
              <w:bottom w:val="single" w:color="auto" w:sz="4" w:space="0"/>
              <w:right w:val="single" w:color="auto" w:sz="4" w:space="0"/>
            </w:tcBorders>
            <w:vAlign w:val="center"/>
          </w:tcPr>
          <w:p w14:paraId="0F3E57BF">
            <w:pPr>
              <w:rPr>
                <w:rFonts w:asciiTheme="majorEastAsia" w:hAnsiTheme="majorEastAsia" w:eastAsiaTheme="majorEastAsia"/>
                <w:color w:val="auto"/>
                <w:sz w:val="24"/>
                <w:highlight w:val="none"/>
              </w:rPr>
            </w:pPr>
          </w:p>
        </w:tc>
        <w:tc>
          <w:tcPr>
            <w:tcW w:w="639" w:type="dxa"/>
            <w:tcBorders>
              <w:top w:val="single" w:color="auto" w:sz="4" w:space="0"/>
              <w:left w:val="nil"/>
              <w:bottom w:val="single" w:color="auto" w:sz="4" w:space="0"/>
              <w:right w:val="single" w:color="auto" w:sz="4" w:space="0"/>
            </w:tcBorders>
            <w:vAlign w:val="center"/>
          </w:tcPr>
          <w:p w14:paraId="65B8F0C8">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w:t>
            </w:r>
          </w:p>
        </w:tc>
        <w:tc>
          <w:tcPr>
            <w:tcW w:w="2196" w:type="dxa"/>
            <w:tcBorders>
              <w:top w:val="single" w:color="auto" w:sz="4" w:space="0"/>
              <w:left w:val="nil"/>
              <w:bottom w:val="single" w:color="auto" w:sz="4" w:space="0"/>
              <w:right w:val="single" w:color="auto" w:sz="4" w:space="0"/>
            </w:tcBorders>
            <w:vAlign w:val="center"/>
          </w:tcPr>
          <w:p w14:paraId="02FA23EB">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绿化生产垃圾（树枝、树叶、草屑等）</w:t>
            </w:r>
            <w:r>
              <w:rPr>
                <w:rFonts w:hint="eastAsia" w:cs="宋体"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一级养护随产随清</w:t>
            </w:r>
            <w:r>
              <w:rPr>
                <w:rFonts w:hint="eastAsia" w:cs="宋体"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二级养护日产日清。</w:t>
            </w:r>
          </w:p>
        </w:tc>
        <w:tc>
          <w:tcPr>
            <w:tcW w:w="2776" w:type="dxa"/>
            <w:tcBorders>
              <w:top w:val="single" w:color="auto" w:sz="4" w:space="0"/>
              <w:left w:val="nil"/>
              <w:bottom w:val="single" w:color="auto" w:sz="4" w:space="0"/>
              <w:right w:val="single" w:color="auto" w:sz="4" w:space="0"/>
            </w:tcBorders>
            <w:vAlign w:val="center"/>
          </w:tcPr>
          <w:p w14:paraId="51409A21">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有一项内容达不到要求，扣0.5分，扣完为止。或加倍扣分。</w:t>
            </w:r>
          </w:p>
        </w:tc>
        <w:tc>
          <w:tcPr>
            <w:tcW w:w="698" w:type="dxa"/>
            <w:tcBorders>
              <w:top w:val="single" w:color="auto" w:sz="4" w:space="0"/>
              <w:left w:val="nil"/>
              <w:bottom w:val="single" w:color="auto" w:sz="4" w:space="0"/>
              <w:right w:val="single" w:color="auto" w:sz="4" w:space="0"/>
            </w:tcBorders>
            <w:vAlign w:val="center"/>
          </w:tcPr>
          <w:p w14:paraId="3665C0D4">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5</w:t>
            </w:r>
          </w:p>
        </w:tc>
        <w:tc>
          <w:tcPr>
            <w:tcW w:w="567" w:type="dxa"/>
            <w:tcBorders>
              <w:top w:val="single" w:color="auto" w:sz="4" w:space="0"/>
              <w:left w:val="nil"/>
              <w:bottom w:val="single" w:color="auto" w:sz="4" w:space="0"/>
              <w:right w:val="single" w:color="auto" w:sz="4" w:space="0"/>
            </w:tcBorders>
            <w:vAlign w:val="center"/>
          </w:tcPr>
          <w:p w14:paraId="78A35184">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2C7B2041">
            <w:pPr>
              <w:wordWrap w:val="0"/>
              <w:spacing w:line="300" w:lineRule="exact"/>
              <w:jc w:val="center"/>
              <w:rPr>
                <w:rFonts w:asciiTheme="majorEastAsia" w:hAnsiTheme="majorEastAsia" w:eastAsiaTheme="majorEastAsia"/>
                <w:color w:val="auto"/>
                <w:sz w:val="24"/>
                <w:highlight w:val="none"/>
              </w:rPr>
            </w:pPr>
          </w:p>
        </w:tc>
      </w:tr>
      <w:tr w14:paraId="5A4F4789">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7AEA69C8">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w:t>
            </w:r>
          </w:p>
        </w:tc>
        <w:tc>
          <w:tcPr>
            <w:tcW w:w="815" w:type="dxa"/>
            <w:vMerge w:val="restart"/>
            <w:tcBorders>
              <w:top w:val="single" w:color="auto" w:sz="4" w:space="0"/>
              <w:left w:val="nil"/>
              <w:bottom w:val="single" w:color="auto" w:sz="4" w:space="0"/>
              <w:right w:val="single" w:color="auto" w:sz="4" w:space="0"/>
            </w:tcBorders>
            <w:vAlign w:val="center"/>
          </w:tcPr>
          <w:p w14:paraId="0DE91CD0">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松土除草</w:t>
            </w:r>
          </w:p>
          <w:p w14:paraId="4303147B">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15分</w:t>
            </w:r>
          </w:p>
        </w:tc>
        <w:tc>
          <w:tcPr>
            <w:tcW w:w="639" w:type="dxa"/>
            <w:tcBorders>
              <w:top w:val="single" w:color="auto" w:sz="4" w:space="0"/>
              <w:left w:val="nil"/>
              <w:bottom w:val="single" w:color="auto" w:sz="4" w:space="0"/>
              <w:right w:val="single" w:color="auto" w:sz="4" w:space="0"/>
            </w:tcBorders>
            <w:vAlign w:val="center"/>
          </w:tcPr>
          <w:p w14:paraId="68358002">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3</w:t>
            </w:r>
          </w:p>
        </w:tc>
        <w:tc>
          <w:tcPr>
            <w:tcW w:w="2196" w:type="dxa"/>
            <w:tcBorders>
              <w:top w:val="single" w:color="auto" w:sz="4" w:space="0"/>
              <w:left w:val="nil"/>
              <w:bottom w:val="single" w:color="auto" w:sz="4" w:space="0"/>
              <w:right w:val="single" w:color="auto" w:sz="4" w:space="0"/>
            </w:tcBorders>
            <w:vAlign w:val="center"/>
          </w:tcPr>
          <w:p w14:paraId="677CB7F2">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vAlign w:val="center"/>
          </w:tcPr>
          <w:p w14:paraId="36A9BC58">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树穴、地被土壤板结，长期不疏松，扣0.5分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处。发现有杂草扣1分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处。或加倍扣分。</w:t>
            </w:r>
          </w:p>
        </w:tc>
        <w:tc>
          <w:tcPr>
            <w:tcW w:w="698" w:type="dxa"/>
            <w:tcBorders>
              <w:top w:val="single" w:color="auto" w:sz="4" w:space="0"/>
              <w:left w:val="nil"/>
              <w:bottom w:val="single" w:color="auto" w:sz="4" w:space="0"/>
              <w:right w:val="single" w:color="auto" w:sz="4" w:space="0"/>
            </w:tcBorders>
            <w:vAlign w:val="center"/>
          </w:tcPr>
          <w:p w14:paraId="28AB585B">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12</w:t>
            </w:r>
          </w:p>
        </w:tc>
        <w:tc>
          <w:tcPr>
            <w:tcW w:w="567" w:type="dxa"/>
            <w:tcBorders>
              <w:top w:val="single" w:color="auto" w:sz="4" w:space="0"/>
              <w:left w:val="nil"/>
              <w:bottom w:val="single" w:color="auto" w:sz="4" w:space="0"/>
              <w:right w:val="single" w:color="auto" w:sz="4" w:space="0"/>
            </w:tcBorders>
            <w:vAlign w:val="center"/>
          </w:tcPr>
          <w:p w14:paraId="50697379">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787FCFAE">
            <w:pPr>
              <w:wordWrap w:val="0"/>
              <w:spacing w:line="300" w:lineRule="exact"/>
              <w:jc w:val="center"/>
              <w:rPr>
                <w:rFonts w:asciiTheme="majorEastAsia" w:hAnsiTheme="majorEastAsia" w:eastAsiaTheme="majorEastAsia"/>
                <w:color w:val="auto"/>
                <w:sz w:val="24"/>
                <w:highlight w:val="none"/>
              </w:rPr>
            </w:pPr>
          </w:p>
        </w:tc>
      </w:tr>
      <w:tr w14:paraId="134B6D2A">
        <w:tblPrEx>
          <w:tblCellMar>
            <w:top w:w="0" w:type="dxa"/>
            <w:left w:w="108" w:type="dxa"/>
            <w:bottom w:w="0" w:type="dxa"/>
            <w:right w:w="108" w:type="dxa"/>
          </w:tblCellMar>
        </w:tblPrEx>
        <w:trPr>
          <w:trHeight w:val="110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2E784064">
            <w:pPr>
              <w:rPr>
                <w:rFonts w:asciiTheme="majorEastAsia" w:hAnsiTheme="majorEastAsia" w:eastAsiaTheme="majorEastAsia"/>
                <w:color w:val="auto"/>
                <w:sz w:val="24"/>
                <w:highlight w:val="none"/>
              </w:rPr>
            </w:pPr>
          </w:p>
        </w:tc>
        <w:tc>
          <w:tcPr>
            <w:tcW w:w="815" w:type="dxa"/>
            <w:vMerge w:val="continue"/>
            <w:tcBorders>
              <w:top w:val="single" w:color="auto" w:sz="4" w:space="0"/>
              <w:left w:val="nil"/>
              <w:bottom w:val="single" w:color="auto" w:sz="4" w:space="0"/>
              <w:right w:val="single" w:color="auto" w:sz="4" w:space="0"/>
            </w:tcBorders>
            <w:vAlign w:val="center"/>
          </w:tcPr>
          <w:p w14:paraId="564B0C33">
            <w:pPr>
              <w:rPr>
                <w:rFonts w:asciiTheme="majorEastAsia" w:hAnsiTheme="majorEastAsia" w:eastAsiaTheme="majorEastAsia"/>
                <w:color w:val="auto"/>
                <w:sz w:val="24"/>
                <w:highlight w:val="none"/>
              </w:rPr>
            </w:pPr>
          </w:p>
        </w:tc>
        <w:tc>
          <w:tcPr>
            <w:tcW w:w="639" w:type="dxa"/>
            <w:tcBorders>
              <w:top w:val="single" w:color="auto" w:sz="4" w:space="0"/>
              <w:left w:val="nil"/>
              <w:bottom w:val="single" w:color="auto" w:sz="4" w:space="0"/>
              <w:right w:val="single" w:color="auto" w:sz="4" w:space="0"/>
            </w:tcBorders>
            <w:vAlign w:val="center"/>
          </w:tcPr>
          <w:p w14:paraId="181FF27F">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4</w:t>
            </w:r>
          </w:p>
        </w:tc>
        <w:tc>
          <w:tcPr>
            <w:tcW w:w="2196" w:type="dxa"/>
            <w:tcBorders>
              <w:top w:val="single" w:color="auto" w:sz="4" w:space="0"/>
              <w:left w:val="nil"/>
              <w:bottom w:val="single" w:color="auto" w:sz="4" w:space="0"/>
              <w:right w:val="single" w:color="auto" w:sz="4" w:space="0"/>
            </w:tcBorders>
            <w:vAlign w:val="center"/>
          </w:tcPr>
          <w:p w14:paraId="1CA6B02E">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vAlign w:val="center"/>
          </w:tcPr>
          <w:p w14:paraId="41C19779">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树穴、绿篱等不及时切边，草坪与树木、绿篱、草花等无明显分隔沟扣0.5分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处。或加倍扣分。</w:t>
            </w:r>
          </w:p>
        </w:tc>
        <w:tc>
          <w:tcPr>
            <w:tcW w:w="698" w:type="dxa"/>
            <w:tcBorders>
              <w:top w:val="single" w:color="auto" w:sz="4" w:space="0"/>
              <w:left w:val="nil"/>
              <w:bottom w:val="single" w:color="auto" w:sz="4" w:space="0"/>
              <w:right w:val="single" w:color="auto" w:sz="4" w:space="0"/>
            </w:tcBorders>
            <w:vAlign w:val="center"/>
          </w:tcPr>
          <w:p w14:paraId="3ADCD0BA">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3</w:t>
            </w:r>
          </w:p>
        </w:tc>
        <w:tc>
          <w:tcPr>
            <w:tcW w:w="567" w:type="dxa"/>
            <w:tcBorders>
              <w:top w:val="single" w:color="auto" w:sz="4" w:space="0"/>
              <w:left w:val="nil"/>
              <w:bottom w:val="single" w:color="auto" w:sz="4" w:space="0"/>
              <w:right w:val="single" w:color="auto" w:sz="4" w:space="0"/>
            </w:tcBorders>
            <w:vAlign w:val="center"/>
          </w:tcPr>
          <w:p w14:paraId="44404C42">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71BA4DE6">
            <w:pPr>
              <w:wordWrap w:val="0"/>
              <w:spacing w:line="300" w:lineRule="exact"/>
              <w:jc w:val="center"/>
              <w:rPr>
                <w:rFonts w:asciiTheme="majorEastAsia" w:hAnsiTheme="majorEastAsia" w:eastAsiaTheme="majorEastAsia"/>
                <w:color w:val="auto"/>
                <w:sz w:val="24"/>
                <w:highlight w:val="none"/>
              </w:rPr>
            </w:pPr>
          </w:p>
        </w:tc>
      </w:tr>
      <w:tr w14:paraId="1182CFA7">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FA79A6E">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3</w:t>
            </w:r>
          </w:p>
        </w:tc>
        <w:tc>
          <w:tcPr>
            <w:tcW w:w="815" w:type="dxa"/>
            <w:tcBorders>
              <w:top w:val="single" w:color="auto" w:sz="4" w:space="0"/>
              <w:left w:val="nil"/>
              <w:bottom w:val="single" w:color="auto" w:sz="4" w:space="0"/>
              <w:right w:val="single" w:color="auto" w:sz="4" w:space="0"/>
            </w:tcBorders>
            <w:vAlign w:val="center"/>
          </w:tcPr>
          <w:p w14:paraId="6BDC5450">
            <w:pPr>
              <w:wordWrap w:val="0"/>
              <w:spacing w:line="300" w:lineRule="exact"/>
              <w:jc w:val="center"/>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浇灌排水</w:t>
            </w:r>
          </w:p>
          <w:p w14:paraId="7E9B5F8B">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rPr>
              <w:t>0</w:t>
            </w:r>
            <w:r>
              <w:rPr>
                <w:rFonts w:cs="宋体" w:asciiTheme="majorEastAsia" w:hAnsiTheme="majorEastAsia" w:eastAsiaTheme="majorEastAsia"/>
                <w:color w:val="auto"/>
                <w:sz w:val="24"/>
                <w:highlight w:val="none"/>
              </w:rPr>
              <w:t>分</w:t>
            </w:r>
          </w:p>
        </w:tc>
        <w:tc>
          <w:tcPr>
            <w:tcW w:w="639" w:type="dxa"/>
            <w:tcBorders>
              <w:top w:val="single" w:color="auto" w:sz="4" w:space="0"/>
              <w:left w:val="nil"/>
              <w:bottom w:val="single" w:color="auto" w:sz="4" w:space="0"/>
              <w:right w:val="single" w:color="auto" w:sz="4" w:space="0"/>
            </w:tcBorders>
            <w:vAlign w:val="center"/>
          </w:tcPr>
          <w:p w14:paraId="29AD59A6">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5</w:t>
            </w:r>
          </w:p>
        </w:tc>
        <w:tc>
          <w:tcPr>
            <w:tcW w:w="2196" w:type="dxa"/>
            <w:tcBorders>
              <w:top w:val="single" w:color="auto" w:sz="4" w:space="0"/>
              <w:left w:val="nil"/>
              <w:bottom w:val="single" w:color="auto" w:sz="4" w:space="0"/>
              <w:right w:val="single" w:color="auto" w:sz="4" w:space="0"/>
            </w:tcBorders>
            <w:vAlign w:val="center"/>
          </w:tcPr>
          <w:p w14:paraId="7A54FC69">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vAlign w:val="center"/>
          </w:tcPr>
          <w:p w14:paraId="29643072">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未及时浇灌，致使绿地植物生长不良，树木扣</w:t>
            </w:r>
            <w:r>
              <w:rPr>
                <w:rFonts w:hint="eastAsia"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株，绿篱、草坪扣</w:t>
            </w:r>
            <w:r>
              <w:rPr>
                <w:rFonts w:hint="eastAsia"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分</w:t>
            </w:r>
            <w:r>
              <w:rPr>
                <w:rFonts w:hint="eastAsia" w:asciiTheme="majorEastAsia" w:hAnsiTheme="majorEastAsia" w:eastAsiaTheme="majorEastAsia"/>
                <w:color w:val="auto"/>
                <w:sz w:val="24"/>
                <w:highlight w:val="none"/>
              </w:rPr>
              <w:t>/m</w:t>
            </w:r>
            <w:r>
              <w:rPr>
                <w:rFonts w:hint="eastAsia" w:asciiTheme="majorEastAsia" w:hAnsiTheme="majorEastAsia" w:eastAsiaTheme="majorEastAsia"/>
                <w:color w:val="auto"/>
                <w:sz w:val="24"/>
                <w:highlight w:val="none"/>
                <w:vertAlign w:val="superscript"/>
              </w:rPr>
              <w:t>2</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致植物枯死加倍扣分。</w:t>
            </w:r>
          </w:p>
        </w:tc>
        <w:tc>
          <w:tcPr>
            <w:tcW w:w="698" w:type="dxa"/>
            <w:tcBorders>
              <w:top w:val="single" w:color="auto" w:sz="4" w:space="0"/>
              <w:left w:val="nil"/>
              <w:bottom w:val="single" w:color="auto" w:sz="4" w:space="0"/>
              <w:right w:val="single" w:color="auto" w:sz="4" w:space="0"/>
            </w:tcBorders>
            <w:vAlign w:val="center"/>
          </w:tcPr>
          <w:p w14:paraId="03A35943">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rPr>
              <w:t>0</w:t>
            </w:r>
          </w:p>
        </w:tc>
        <w:tc>
          <w:tcPr>
            <w:tcW w:w="567" w:type="dxa"/>
            <w:tcBorders>
              <w:top w:val="single" w:color="auto" w:sz="4" w:space="0"/>
              <w:left w:val="nil"/>
              <w:bottom w:val="single" w:color="auto" w:sz="4" w:space="0"/>
              <w:right w:val="single" w:color="auto" w:sz="4" w:space="0"/>
            </w:tcBorders>
            <w:vAlign w:val="center"/>
          </w:tcPr>
          <w:p w14:paraId="2CA41CA2">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2EEB3CA8">
            <w:pPr>
              <w:wordWrap w:val="0"/>
              <w:spacing w:line="300" w:lineRule="exact"/>
              <w:jc w:val="center"/>
              <w:rPr>
                <w:rFonts w:asciiTheme="majorEastAsia" w:hAnsiTheme="majorEastAsia" w:eastAsiaTheme="majorEastAsia"/>
                <w:color w:val="auto"/>
                <w:sz w:val="24"/>
                <w:highlight w:val="none"/>
              </w:rPr>
            </w:pPr>
          </w:p>
        </w:tc>
      </w:tr>
      <w:tr w14:paraId="47D62271">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6264EC3E">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w:t>
            </w:r>
          </w:p>
        </w:tc>
        <w:tc>
          <w:tcPr>
            <w:tcW w:w="815" w:type="dxa"/>
            <w:vMerge w:val="restart"/>
            <w:tcBorders>
              <w:top w:val="single" w:color="auto" w:sz="4" w:space="0"/>
              <w:left w:val="nil"/>
              <w:bottom w:val="single" w:color="auto" w:sz="4" w:space="0"/>
              <w:right w:val="single" w:color="auto" w:sz="4" w:space="0"/>
            </w:tcBorders>
            <w:vAlign w:val="center"/>
          </w:tcPr>
          <w:p w14:paraId="54C7F7AA">
            <w:pPr>
              <w:wordWrap w:val="0"/>
              <w:spacing w:line="300" w:lineRule="exact"/>
              <w:jc w:val="center"/>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绿化长势</w:t>
            </w:r>
          </w:p>
          <w:p w14:paraId="1675193D">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26</w:t>
            </w:r>
            <w:r>
              <w:rPr>
                <w:rFonts w:cs="宋体" w:asciiTheme="majorEastAsia" w:hAnsiTheme="majorEastAsia" w:eastAsiaTheme="majorEastAsia"/>
                <w:color w:val="auto"/>
                <w:sz w:val="24"/>
                <w:highlight w:val="none"/>
              </w:rPr>
              <w:t>分</w:t>
            </w:r>
          </w:p>
        </w:tc>
        <w:tc>
          <w:tcPr>
            <w:tcW w:w="639" w:type="dxa"/>
            <w:tcBorders>
              <w:top w:val="single" w:color="auto" w:sz="4" w:space="0"/>
              <w:left w:val="nil"/>
              <w:bottom w:val="single" w:color="auto" w:sz="4" w:space="0"/>
              <w:right w:val="single" w:color="auto" w:sz="4" w:space="0"/>
            </w:tcBorders>
            <w:vAlign w:val="center"/>
          </w:tcPr>
          <w:p w14:paraId="255602E4">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2196" w:type="dxa"/>
            <w:tcBorders>
              <w:top w:val="single" w:color="auto" w:sz="4" w:space="0"/>
              <w:left w:val="nil"/>
              <w:bottom w:val="single" w:color="auto" w:sz="4" w:space="0"/>
              <w:right w:val="single" w:color="auto" w:sz="4" w:space="0"/>
            </w:tcBorders>
            <w:vAlign w:val="center"/>
          </w:tcPr>
          <w:p w14:paraId="6FB9B479">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vAlign w:val="center"/>
          </w:tcPr>
          <w:p w14:paraId="424D8962">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发现死树，扣1分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株；有断枝、枯叶、大片光秃落叶，发现一处扣0.5分，色块内有</w:t>
            </w:r>
            <w:r>
              <w:rPr>
                <w:rFonts w:hint="eastAsia"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处灌木死亡扣1分/</w:t>
            </w:r>
            <w:r>
              <w:rPr>
                <w:rFonts w:hint="eastAsia" w:asciiTheme="majorEastAsia" w:hAnsiTheme="majorEastAsia" w:eastAsiaTheme="majorEastAsia"/>
                <w:color w:val="auto"/>
                <w:sz w:val="24"/>
                <w:highlight w:val="none"/>
              </w:rPr>
              <w:t>m</w:t>
            </w:r>
            <w:r>
              <w:rPr>
                <w:rFonts w:hint="eastAsia" w:asciiTheme="majorEastAsia" w:hAnsiTheme="majorEastAsia" w:eastAsiaTheme="majorEastAsia"/>
                <w:color w:val="auto"/>
                <w:sz w:val="24"/>
                <w:highlight w:val="none"/>
                <w:vertAlign w:val="superscript"/>
              </w:rPr>
              <w:t>2</w:t>
            </w:r>
            <w:r>
              <w:rPr>
                <w:rFonts w:cs="宋体" w:asciiTheme="majorEastAsia" w:hAnsiTheme="majorEastAsia" w:eastAsiaTheme="majorEastAsia"/>
                <w:color w:val="auto"/>
                <w:sz w:val="24"/>
                <w:highlight w:val="none"/>
              </w:rPr>
              <w:t>。或加倍扣分。</w:t>
            </w:r>
          </w:p>
        </w:tc>
        <w:tc>
          <w:tcPr>
            <w:tcW w:w="698" w:type="dxa"/>
            <w:tcBorders>
              <w:top w:val="single" w:color="auto" w:sz="4" w:space="0"/>
              <w:left w:val="nil"/>
              <w:bottom w:val="single" w:color="auto" w:sz="4" w:space="0"/>
              <w:right w:val="single" w:color="auto" w:sz="4" w:space="0"/>
            </w:tcBorders>
            <w:vAlign w:val="center"/>
          </w:tcPr>
          <w:p w14:paraId="339C3F28">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567" w:type="dxa"/>
            <w:tcBorders>
              <w:top w:val="single" w:color="auto" w:sz="4" w:space="0"/>
              <w:left w:val="nil"/>
              <w:bottom w:val="single" w:color="auto" w:sz="4" w:space="0"/>
              <w:right w:val="single" w:color="auto" w:sz="4" w:space="0"/>
            </w:tcBorders>
            <w:vAlign w:val="center"/>
          </w:tcPr>
          <w:p w14:paraId="0C2FB11C">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1CAA2EE7">
            <w:pPr>
              <w:wordWrap w:val="0"/>
              <w:spacing w:line="300" w:lineRule="exact"/>
              <w:jc w:val="center"/>
              <w:rPr>
                <w:rFonts w:asciiTheme="majorEastAsia" w:hAnsiTheme="majorEastAsia" w:eastAsiaTheme="majorEastAsia"/>
                <w:color w:val="auto"/>
                <w:sz w:val="24"/>
                <w:highlight w:val="none"/>
              </w:rPr>
            </w:pPr>
          </w:p>
        </w:tc>
      </w:tr>
      <w:tr w14:paraId="44797D73">
        <w:tblPrEx>
          <w:tblCellMar>
            <w:top w:w="0" w:type="dxa"/>
            <w:left w:w="108" w:type="dxa"/>
            <w:bottom w:w="0" w:type="dxa"/>
            <w:right w:w="108" w:type="dxa"/>
          </w:tblCellMar>
        </w:tblPrEx>
        <w:trPr>
          <w:trHeight w:val="1393"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7CF430AC">
            <w:pPr>
              <w:rPr>
                <w:rFonts w:asciiTheme="majorEastAsia" w:hAnsiTheme="majorEastAsia" w:eastAsiaTheme="majorEastAsia"/>
                <w:color w:val="auto"/>
                <w:sz w:val="24"/>
                <w:highlight w:val="none"/>
              </w:rPr>
            </w:pPr>
          </w:p>
        </w:tc>
        <w:tc>
          <w:tcPr>
            <w:tcW w:w="815" w:type="dxa"/>
            <w:vMerge w:val="continue"/>
            <w:tcBorders>
              <w:top w:val="single" w:color="auto" w:sz="4" w:space="0"/>
              <w:left w:val="nil"/>
              <w:bottom w:val="single" w:color="auto" w:sz="4" w:space="0"/>
              <w:right w:val="single" w:color="auto" w:sz="4" w:space="0"/>
            </w:tcBorders>
            <w:vAlign w:val="center"/>
          </w:tcPr>
          <w:p w14:paraId="3EFC3EB4">
            <w:pPr>
              <w:rPr>
                <w:rFonts w:asciiTheme="majorEastAsia" w:hAnsiTheme="majorEastAsia" w:eastAsiaTheme="majorEastAsia"/>
                <w:color w:val="auto"/>
                <w:sz w:val="24"/>
                <w:highlight w:val="none"/>
              </w:rPr>
            </w:pPr>
          </w:p>
        </w:tc>
        <w:tc>
          <w:tcPr>
            <w:tcW w:w="639" w:type="dxa"/>
            <w:tcBorders>
              <w:top w:val="single" w:color="auto" w:sz="4" w:space="0"/>
              <w:left w:val="nil"/>
              <w:bottom w:val="single" w:color="auto" w:sz="4" w:space="0"/>
              <w:right w:val="single" w:color="auto" w:sz="4" w:space="0"/>
            </w:tcBorders>
            <w:vAlign w:val="center"/>
          </w:tcPr>
          <w:p w14:paraId="6DFE61EB">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w:t>
            </w:r>
          </w:p>
        </w:tc>
        <w:tc>
          <w:tcPr>
            <w:tcW w:w="2196" w:type="dxa"/>
            <w:tcBorders>
              <w:top w:val="single" w:color="auto" w:sz="4" w:space="0"/>
              <w:left w:val="nil"/>
              <w:bottom w:val="single" w:color="auto" w:sz="4" w:space="0"/>
              <w:right w:val="single" w:color="auto" w:sz="4" w:space="0"/>
            </w:tcBorders>
            <w:vAlign w:val="center"/>
          </w:tcPr>
          <w:p w14:paraId="52FF6F1A">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vAlign w:val="center"/>
          </w:tcPr>
          <w:p w14:paraId="2C5626AB">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养护不善死亡乔灌木未按规定及时补缺，扣1分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株；死缺绿篱未按规定及时补缺，扣1分</w:t>
            </w:r>
            <w:r>
              <w:rPr>
                <w:rFonts w:hint="eastAsia" w:asciiTheme="majorEastAsia" w:hAnsiTheme="majorEastAsia" w:eastAsiaTheme="majorEastAsia"/>
                <w:color w:val="auto"/>
                <w:sz w:val="24"/>
                <w:highlight w:val="none"/>
              </w:rPr>
              <w:t>/m</w:t>
            </w:r>
            <w:r>
              <w:rPr>
                <w:rFonts w:hint="eastAsia" w:asciiTheme="majorEastAsia" w:hAnsiTheme="majorEastAsia" w:eastAsiaTheme="majorEastAsia"/>
                <w:color w:val="auto"/>
                <w:sz w:val="24"/>
                <w:highlight w:val="none"/>
                <w:vertAlign w:val="superscript"/>
              </w:rPr>
              <w:t>2</w:t>
            </w:r>
            <w:r>
              <w:rPr>
                <w:rFonts w:cs="宋体" w:asciiTheme="majorEastAsia" w:hAnsiTheme="majorEastAsia" w:eastAsiaTheme="majorEastAsia"/>
                <w:color w:val="auto"/>
                <w:sz w:val="24"/>
                <w:highlight w:val="none"/>
              </w:rPr>
              <w:t>。或加倍扣分。</w:t>
            </w:r>
          </w:p>
        </w:tc>
        <w:tc>
          <w:tcPr>
            <w:tcW w:w="698" w:type="dxa"/>
            <w:tcBorders>
              <w:top w:val="single" w:color="auto" w:sz="4" w:space="0"/>
              <w:left w:val="nil"/>
              <w:bottom w:val="single" w:color="auto" w:sz="4" w:space="0"/>
              <w:right w:val="single" w:color="auto" w:sz="4" w:space="0"/>
            </w:tcBorders>
            <w:vAlign w:val="center"/>
          </w:tcPr>
          <w:p w14:paraId="00162905">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567" w:type="dxa"/>
            <w:tcBorders>
              <w:top w:val="single" w:color="auto" w:sz="4" w:space="0"/>
              <w:left w:val="nil"/>
              <w:bottom w:val="single" w:color="auto" w:sz="4" w:space="0"/>
              <w:right w:val="single" w:color="auto" w:sz="4" w:space="0"/>
            </w:tcBorders>
            <w:vAlign w:val="center"/>
          </w:tcPr>
          <w:p w14:paraId="6D304F73">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7164D62D">
            <w:pPr>
              <w:wordWrap w:val="0"/>
              <w:spacing w:line="300" w:lineRule="exact"/>
              <w:jc w:val="center"/>
              <w:rPr>
                <w:rFonts w:asciiTheme="majorEastAsia" w:hAnsiTheme="majorEastAsia" w:eastAsiaTheme="majorEastAsia"/>
                <w:color w:val="auto"/>
                <w:sz w:val="24"/>
                <w:highlight w:val="none"/>
              </w:rPr>
            </w:pPr>
          </w:p>
        </w:tc>
      </w:tr>
      <w:tr w14:paraId="2EDD5907">
        <w:tblPrEx>
          <w:tblCellMar>
            <w:top w:w="0" w:type="dxa"/>
            <w:left w:w="108" w:type="dxa"/>
            <w:bottom w:w="0" w:type="dxa"/>
            <w:right w:w="108" w:type="dxa"/>
          </w:tblCellMar>
        </w:tblPrEx>
        <w:trPr>
          <w:trHeight w:val="2333"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03CE7D6C">
            <w:pPr>
              <w:rPr>
                <w:rFonts w:asciiTheme="majorEastAsia" w:hAnsiTheme="majorEastAsia" w:eastAsiaTheme="majorEastAsia"/>
                <w:color w:val="auto"/>
                <w:sz w:val="24"/>
                <w:highlight w:val="none"/>
              </w:rPr>
            </w:pPr>
          </w:p>
        </w:tc>
        <w:tc>
          <w:tcPr>
            <w:tcW w:w="815" w:type="dxa"/>
            <w:vMerge w:val="continue"/>
            <w:tcBorders>
              <w:top w:val="single" w:color="auto" w:sz="4" w:space="0"/>
              <w:left w:val="nil"/>
              <w:bottom w:val="single" w:color="auto" w:sz="4" w:space="0"/>
              <w:right w:val="single" w:color="auto" w:sz="4" w:space="0"/>
            </w:tcBorders>
            <w:vAlign w:val="center"/>
          </w:tcPr>
          <w:p w14:paraId="23AE4724">
            <w:pPr>
              <w:rPr>
                <w:rFonts w:asciiTheme="majorEastAsia" w:hAnsiTheme="majorEastAsia" w:eastAsiaTheme="majorEastAsia"/>
                <w:color w:val="auto"/>
                <w:sz w:val="24"/>
                <w:highlight w:val="none"/>
              </w:rPr>
            </w:pPr>
          </w:p>
        </w:tc>
        <w:tc>
          <w:tcPr>
            <w:tcW w:w="639" w:type="dxa"/>
            <w:tcBorders>
              <w:top w:val="single" w:color="auto" w:sz="4" w:space="0"/>
              <w:left w:val="nil"/>
              <w:bottom w:val="single" w:color="auto" w:sz="4" w:space="0"/>
              <w:right w:val="single" w:color="auto" w:sz="4" w:space="0"/>
            </w:tcBorders>
            <w:vAlign w:val="center"/>
          </w:tcPr>
          <w:p w14:paraId="6FEBFEAD">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2196" w:type="dxa"/>
            <w:tcBorders>
              <w:top w:val="single" w:color="auto" w:sz="4" w:space="0"/>
              <w:left w:val="nil"/>
              <w:bottom w:val="single" w:color="auto" w:sz="4" w:space="0"/>
              <w:right w:val="single" w:color="auto" w:sz="4" w:space="0"/>
            </w:tcBorders>
            <w:vAlign w:val="center"/>
          </w:tcPr>
          <w:p w14:paraId="4B962171">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绿地内树木生长健壮，无倾斜、倒伏现象。高大乔木在大风来临前应采取防倒有效措施，因风害天气造成树木倒伏时，应及时扶正支撑倒伏树木并及时清理断枝。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vAlign w:val="center"/>
          </w:tcPr>
          <w:p w14:paraId="598DC9C9">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正常情况下，绿地内乔木、大灌木有倾斜或倒伏现象，扣0.5分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株；因灾害天气造成树木倒伏，应在规定时间内扶正支撑，逾期扣</w:t>
            </w:r>
            <w:r>
              <w:rPr>
                <w:rFonts w:hint="eastAsia"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株；无有效措施导致高大乔木倒伏，扣0.5分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株。或加倍扣分。</w:t>
            </w:r>
          </w:p>
        </w:tc>
        <w:tc>
          <w:tcPr>
            <w:tcW w:w="698" w:type="dxa"/>
            <w:tcBorders>
              <w:top w:val="single" w:color="auto" w:sz="4" w:space="0"/>
              <w:left w:val="nil"/>
              <w:bottom w:val="single" w:color="auto" w:sz="4" w:space="0"/>
              <w:right w:val="single" w:color="auto" w:sz="4" w:space="0"/>
            </w:tcBorders>
            <w:vAlign w:val="center"/>
          </w:tcPr>
          <w:p w14:paraId="2F8306C7">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4</w:t>
            </w:r>
          </w:p>
        </w:tc>
        <w:tc>
          <w:tcPr>
            <w:tcW w:w="567" w:type="dxa"/>
            <w:tcBorders>
              <w:top w:val="single" w:color="auto" w:sz="4" w:space="0"/>
              <w:left w:val="nil"/>
              <w:bottom w:val="single" w:color="auto" w:sz="4" w:space="0"/>
              <w:right w:val="single" w:color="auto" w:sz="4" w:space="0"/>
            </w:tcBorders>
            <w:vAlign w:val="center"/>
          </w:tcPr>
          <w:p w14:paraId="50A7C334">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4EF88399">
            <w:pPr>
              <w:wordWrap w:val="0"/>
              <w:spacing w:line="300" w:lineRule="exact"/>
              <w:jc w:val="center"/>
              <w:rPr>
                <w:rFonts w:asciiTheme="majorEastAsia" w:hAnsiTheme="majorEastAsia" w:eastAsiaTheme="majorEastAsia"/>
                <w:color w:val="auto"/>
                <w:sz w:val="24"/>
                <w:highlight w:val="none"/>
              </w:rPr>
            </w:pPr>
          </w:p>
        </w:tc>
      </w:tr>
      <w:tr w14:paraId="456C8DC3">
        <w:tblPrEx>
          <w:tblCellMar>
            <w:top w:w="0" w:type="dxa"/>
            <w:left w:w="108" w:type="dxa"/>
            <w:bottom w:w="0" w:type="dxa"/>
            <w:right w:w="108" w:type="dxa"/>
          </w:tblCellMar>
        </w:tblPrEx>
        <w:trPr>
          <w:trHeight w:val="2046"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7CAD3037">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w:t>
            </w:r>
          </w:p>
        </w:tc>
        <w:tc>
          <w:tcPr>
            <w:tcW w:w="815" w:type="dxa"/>
            <w:tcBorders>
              <w:top w:val="single" w:color="auto" w:sz="4" w:space="0"/>
              <w:left w:val="nil"/>
              <w:bottom w:val="single" w:color="auto" w:sz="4" w:space="0"/>
              <w:right w:val="single" w:color="auto" w:sz="4" w:space="0"/>
            </w:tcBorders>
            <w:vAlign w:val="center"/>
          </w:tcPr>
          <w:p w14:paraId="1B1FA38C">
            <w:pPr>
              <w:wordWrap w:val="0"/>
              <w:spacing w:line="300" w:lineRule="exact"/>
              <w:jc w:val="center"/>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绿化长势</w:t>
            </w:r>
          </w:p>
          <w:p w14:paraId="27D1E530">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26</w:t>
            </w:r>
            <w:r>
              <w:rPr>
                <w:rFonts w:cs="宋体" w:asciiTheme="majorEastAsia" w:hAnsiTheme="majorEastAsia" w:eastAsiaTheme="majorEastAsia"/>
                <w:color w:val="auto"/>
                <w:sz w:val="24"/>
                <w:highlight w:val="none"/>
              </w:rPr>
              <w:t>分</w:t>
            </w:r>
          </w:p>
        </w:tc>
        <w:tc>
          <w:tcPr>
            <w:tcW w:w="639" w:type="dxa"/>
            <w:tcBorders>
              <w:top w:val="single" w:color="auto" w:sz="4" w:space="0"/>
              <w:left w:val="nil"/>
              <w:bottom w:val="single" w:color="auto" w:sz="4" w:space="0"/>
              <w:right w:val="single" w:color="auto" w:sz="4" w:space="0"/>
            </w:tcBorders>
            <w:vAlign w:val="center"/>
          </w:tcPr>
          <w:p w14:paraId="3A52262C">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w:t>
            </w:r>
          </w:p>
        </w:tc>
        <w:tc>
          <w:tcPr>
            <w:tcW w:w="2196" w:type="dxa"/>
            <w:tcBorders>
              <w:top w:val="single" w:color="auto" w:sz="4" w:space="0"/>
              <w:left w:val="nil"/>
              <w:bottom w:val="single" w:color="auto" w:sz="4" w:space="0"/>
              <w:right w:val="single" w:color="auto" w:sz="4" w:space="0"/>
            </w:tcBorders>
            <w:vAlign w:val="center"/>
          </w:tcPr>
          <w:p w14:paraId="7C8F479D">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vAlign w:val="center"/>
          </w:tcPr>
          <w:p w14:paraId="1FBB45E0">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草坪有黄化现象，扣0.5分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处；有明显杂草未拔除现象，扣</w:t>
            </w:r>
            <w:r>
              <w:rPr>
                <w:rFonts w:hint="eastAsia" w:asciiTheme="majorEastAsia" w:hAnsiTheme="majorEastAsia" w:eastAsiaTheme="majorEastAsia"/>
                <w:color w:val="auto"/>
                <w:sz w:val="24"/>
                <w:highlight w:val="none"/>
              </w:rPr>
              <w:t>0.5</w:t>
            </w:r>
            <w:r>
              <w:rPr>
                <w:rFonts w:cs="宋体" w:asciiTheme="majorEastAsia" w:hAnsiTheme="majorEastAsia" w:eastAsiaTheme="majorEastAsia"/>
                <w:color w:val="auto"/>
                <w:sz w:val="24"/>
                <w:highlight w:val="none"/>
              </w:rPr>
              <w:t>分</w:t>
            </w:r>
            <w:r>
              <w:rPr>
                <w:rFonts w:hint="eastAsia" w:asciiTheme="majorEastAsia" w:hAnsiTheme="majorEastAsia" w:eastAsiaTheme="majorEastAsia"/>
                <w:color w:val="auto"/>
                <w:sz w:val="24"/>
                <w:highlight w:val="none"/>
              </w:rPr>
              <w:t>/m</w:t>
            </w:r>
            <w:r>
              <w:rPr>
                <w:rFonts w:hint="eastAsia" w:asciiTheme="majorEastAsia" w:hAnsiTheme="majorEastAsia" w:eastAsiaTheme="majorEastAsia"/>
                <w:color w:val="auto"/>
                <w:sz w:val="24"/>
                <w:highlight w:val="none"/>
                <w:vertAlign w:val="superscript"/>
              </w:rPr>
              <w:t>2</w:t>
            </w:r>
            <w:r>
              <w:rPr>
                <w:rFonts w:cs="宋体" w:asciiTheme="majorEastAsia" w:hAnsiTheme="majorEastAsia" w:eastAsiaTheme="majorEastAsia"/>
                <w:color w:val="auto"/>
                <w:sz w:val="24"/>
                <w:highlight w:val="none"/>
              </w:rPr>
              <w:t>；树池有杂草扣0.5分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处，养护不善造成草坪有空缺，未按规定时间完成补种的，扣0.5分</w:t>
            </w:r>
            <w:r>
              <w:rPr>
                <w:rFonts w:hint="eastAsia" w:asciiTheme="majorEastAsia" w:hAnsiTheme="majorEastAsia" w:eastAsiaTheme="majorEastAsia"/>
                <w:color w:val="auto"/>
                <w:sz w:val="24"/>
                <w:highlight w:val="none"/>
              </w:rPr>
              <w:t>/m</w:t>
            </w:r>
            <w:r>
              <w:rPr>
                <w:rFonts w:hint="eastAsia" w:asciiTheme="majorEastAsia" w:hAnsiTheme="majorEastAsia" w:eastAsiaTheme="majorEastAsia"/>
                <w:color w:val="auto"/>
                <w:sz w:val="24"/>
                <w:highlight w:val="none"/>
                <w:vertAlign w:val="superscript"/>
              </w:rPr>
              <w:t>2</w:t>
            </w:r>
            <w:r>
              <w:rPr>
                <w:rFonts w:cs="宋体" w:asciiTheme="majorEastAsia" w:hAnsiTheme="majorEastAsia" w:eastAsiaTheme="majorEastAsia"/>
                <w:color w:val="auto"/>
                <w:sz w:val="24"/>
                <w:highlight w:val="none"/>
              </w:rPr>
              <w:t>。或加倍扣分。</w:t>
            </w:r>
          </w:p>
        </w:tc>
        <w:tc>
          <w:tcPr>
            <w:tcW w:w="698" w:type="dxa"/>
            <w:tcBorders>
              <w:top w:val="single" w:color="auto" w:sz="4" w:space="0"/>
              <w:left w:val="nil"/>
              <w:bottom w:val="single" w:color="auto" w:sz="4" w:space="0"/>
              <w:right w:val="single" w:color="auto" w:sz="4" w:space="0"/>
            </w:tcBorders>
            <w:vAlign w:val="center"/>
          </w:tcPr>
          <w:p w14:paraId="6E747551">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567" w:type="dxa"/>
            <w:tcBorders>
              <w:top w:val="single" w:color="auto" w:sz="4" w:space="0"/>
              <w:left w:val="nil"/>
              <w:bottom w:val="single" w:color="auto" w:sz="4" w:space="0"/>
              <w:right w:val="single" w:color="auto" w:sz="4" w:space="0"/>
            </w:tcBorders>
            <w:vAlign w:val="center"/>
          </w:tcPr>
          <w:p w14:paraId="04C5A78E">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2DB9A145">
            <w:pPr>
              <w:wordWrap w:val="0"/>
              <w:spacing w:line="300" w:lineRule="exact"/>
              <w:jc w:val="center"/>
              <w:rPr>
                <w:rFonts w:asciiTheme="majorEastAsia" w:hAnsiTheme="majorEastAsia" w:eastAsiaTheme="majorEastAsia"/>
                <w:color w:val="auto"/>
                <w:sz w:val="24"/>
                <w:highlight w:val="none"/>
              </w:rPr>
            </w:pPr>
          </w:p>
        </w:tc>
      </w:tr>
      <w:tr w14:paraId="67FDAF5B">
        <w:tblPrEx>
          <w:tblCellMar>
            <w:top w:w="0" w:type="dxa"/>
            <w:left w:w="108" w:type="dxa"/>
            <w:bottom w:w="0" w:type="dxa"/>
            <w:right w:w="108" w:type="dxa"/>
          </w:tblCellMar>
        </w:tblPrEx>
        <w:trPr>
          <w:trHeight w:val="90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7087466E">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w:t>
            </w:r>
          </w:p>
        </w:tc>
        <w:tc>
          <w:tcPr>
            <w:tcW w:w="815" w:type="dxa"/>
            <w:tcBorders>
              <w:top w:val="single" w:color="auto" w:sz="4" w:space="0"/>
              <w:left w:val="nil"/>
              <w:bottom w:val="single" w:color="auto" w:sz="4" w:space="0"/>
              <w:right w:val="single" w:color="auto" w:sz="4" w:space="0"/>
            </w:tcBorders>
            <w:vAlign w:val="center"/>
          </w:tcPr>
          <w:p w14:paraId="10A5ECF0">
            <w:pPr>
              <w:wordWrap w:val="0"/>
              <w:spacing w:line="300" w:lineRule="exact"/>
              <w:jc w:val="center"/>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病虫防治</w:t>
            </w:r>
          </w:p>
          <w:p w14:paraId="487F7A25">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4分</w:t>
            </w:r>
          </w:p>
        </w:tc>
        <w:tc>
          <w:tcPr>
            <w:tcW w:w="639" w:type="dxa"/>
            <w:tcBorders>
              <w:top w:val="single" w:color="auto" w:sz="4" w:space="0"/>
              <w:left w:val="nil"/>
              <w:bottom w:val="single" w:color="auto" w:sz="4" w:space="0"/>
              <w:right w:val="single" w:color="auto" w:sz="4" w:space="0"/>
            </w:tcBorders>
            <w:vAlign w:val="center"/>
          </w:tcPr>
          <w:p w14:paraId="5D7DB7CE">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0</w:t>
            </w:r>
          </w:p>
        </w:tc>
        <w:tc>
          <w:tcPr>
            <w:tcW w:w="2196" w:type="dxa"/>
            <w:tcBorders>
              <w:top w:val="single" w:color="auto" w:sz="4" w:space="0"/>
              <w:left w:val="nil"/>
              <w:bottom w:val="single" w:color="auto" w:sz="4" w:space="0"/>
              <w:right w:val="single" w:color="auto" w:sz="4" w:space="0"/>
            </w:tcBorders>
            <w:vAlign w:val="center"/>
          </w:tcPr>
          <w:p w14:paraId="3B0135EC">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预防为主，发现病虫害应积极防治，效果明显。</w:t>
            </w:r>
          </w:p>
        </w:tc>
        <w:tc>
          <w:tcPr>
            <w:tcW w:w="2776" w:type="dxa"/>
            <w:tcBorders>
              <w:top w:val="single" w:color="auto" w:sz="4" w:space="0"/>
              <w:left w:val="nil"/>
              <w:bottom w:val="single" w:color="auto" w:sz="4" w:space="0"/>
              <w:right w:val="single" w:color="auto" w:sz="4" w:space="0"/>
            </w:tcBorders>
            <w:vAlign w:val="center"/>
          </w:tcPr>
          <w:p w14:paraId="387E81A4">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发现病虫害，不及时防治，有明显危害症状扣1分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w:t>
            </w:r>
            <w:r>
              <w:rPr>
                <w:rFonts w:hint="eastAsia" w:cs="宋体" w:asciiTheme="majorEastAsia" w:hAnsiTheme="majorEastAsia" w:eastAsiaTheme="majorEastAsia"/>
                <w:color w:val="auto"/>
                <w:sz w:val="24"/>
                <w:highlight w:val="none"/>
              </w:rPr>
              <w:t>。</w:t>
            </w:r>
          </w:p>
        </w:tc>
        <w:tc>
          <w:tcPr>
            <w:tcW w:w="698" w:type="dxa"/>
            <w:tcBorders>
              <w:top w:val="single" w:color="auto" w:sz="4" w:space="0"/>
              <w:left w:val="nil"/>
              <w:bottom w:val="single" w:color="auto" w:sz="4" w:space="0"/>
              <w:right w:val="single" w:color="auto" w:sz="4" w:space="0"/>
            </w:tcBorders>
            <w:vAlign w:val="center"/>
          </w:tcPr>
          <w:p w14:paraId="6840416C">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4</w:t>
            </w:r>
          </w:p>
        </w:tc>
        <w:tc>
          <w:tcPr>
            <w:tcW w:w="567" w:type="dxa"/>
            <w:tcBorders>
              <w:top w:val="single" w:color="auto" w:sz="4" w:space="0"/>
              <w:left w:val="nil"/>
              <w:bottom w:val="single" w:color="auto" w:sz="4" w:space="0"/>
              <w:right w:val="single" w:color="auto" w:sz="4" w:space="0"/>
            </w:tcBorders>
            <w:vAlign w:val="center"/>
          </w:tcPr>
          <w:p w14:paraId="041ACC11">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13135702">
            <w:pPr>
              <w:wordWrap w:val="0"/>
              <w:spacing w:line="300" w:lineRule="exact"/>
              <w:jc w:val="center"/>
              <w:rPr>
                <w:rFonts w:asciiTheme="majorEastAsia" w:hAnsiTheme="majorEastAsia" w:eastAsiaTheme="majorEastAsia"/>
                <w:color w:val="auto"/>
                <w:sz w:val="24"/>
                <w:highlight w:val="none"/>
              </w:rPr>
            </w:pPr>
          </w:p>
        </w:tc>
      </w:tr>
      <w:tr w14:paraId="5D4BD8F3">
        <w:tblPrEx>
          <w:tblCellMar>
            <w:top w:w="0" w:type="dxa"/>
            <w:left w:w="108" w:type="dxa"/>
            <w:bottom w:w="0" w:type="dxa"/>
            <w:right w:w="108" w:type="dxa"/>
          </w:tblCellMar>
        </w:tblPrEx>
        <w:trPr>
          <w:trHeight w:val="2978"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0A3D28C7">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815" w:type="dxa"/>
            <w:vMerge w:val="restart"/>
            <w:tcBorders>
              <w:top w:val="single" w:color="auto" w:sz="4" w:space="0"/>
              <w:left w:val="nil"/>
              <w:bottom w:val="single" w:color="auto" w:sz="4" w:space="0"/>
              <w:right w:val="single" w:color="auto" w:sz="4" w:space="0"/>
            </w:tcBorders>
            <w:vAlign w:val="center"/>
          </w:tcPr>
          <w:p w14:paraId="6752114A">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整枝修剪14分</w:t>
            </w:r>
          </w:p>
        </w:tc>
        <w:tc>
          <w:tcPr>
            <w:tcW w:w="639" w:type="dxa"/>
            <w:tcBorders>
              <w:top w:val="single" w:color="auto" w:sz="4" w:space="0"/>
              <w:left w:val="nil"/>
              <w:bottom w:val="single" w:color="auto" w:sz="4" w:space="0"/>
              <w:right w:val="single" w:color="auto" w:sz="4" w:space="0"/>
            </w:tcBorders>
            <w:vAlign w:val="center"/>
          </w:tcPr>
          <w:p w14:paraId="526E2A29">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1</w:t>
            </w:r>
          </w:p>
        </w:tc>
        <w:tc>
          <w:tcPr>
            <w:tcW w:w="2196" w:type="dxa"/>
            <w:tcBorders>
              <w:top w:val="single" w:color="auto" w:sz="4" w:space="0"/>
              <w:left w:val="nil"/>
              <w:bottom w:val="single" w:color="auto" w:sz="4" w:space="0"/>
              <w:right w:val="single" w:color="auto" w:sz="4" w:space="0"/>
            </w:tcBorders>
            <w:vAlign w:val="center"/>
          </w:tcPr>
          <w:p w14:paraId="67543E69">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nil"/>
              <w:bottom w:val="single" w:color="auto" w:sz="4" w:space="0"/>
              <w:right w:val="single" w:color="auto" w:sz="4" w:space="0"/>
            </w:tcBorders>
            <w:vAlign w:val="center"/>
          </w:tcPr>
          <w:p w14:paraId="25EB21FB">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不及时修剪，扣0.5分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处；绿篱修剪面不平、不直，宽度不匀，扣0.5分</w:t>
            </w:r>
            <w:r>
              <w:rPr>
                <w:rFonts w:hint="eastAsia" w:asciiTheme="majorEastAsia" w:hAnsiTheme="majorEastAsia" w:eastAsiaTheme="majorEastAsia"/>
                <w:color w:val="auto"/>
                <w:sz w:val="24"/>
                <w:highlight w:val="none"/>
              </w:rPr>
              <w:t>/100</w:t>
            </w:r>
            <w:r>
              <w:rPr>
                <w:rFonts w:cs="宋体" w:asciiTheme="majorEastAsia" w:hAnsiTheme="majorEastAsia" w:eastAsiaTheme="majorEastAsia"/>
                <w:color w:val="auto"/>
                <w:sz w:val="24"/>
                <w:highlight w:val="none"/>
              </w:rPr>
              <w:t>m；有明显凹凸，扣</w:t>
            </w:r>
            <w:r>
              <w:rPr>
                <w:rFonts w:hint="eastAsia" w:asciiTheme="majorEastAsia" w:hAnsiTheme="majorEastAsia" w:eastAsiaTheme="majorEastAsia"/>
                <w:color w:val="auto"/>
                <w:sz w:val="24"/>
                <w:highlight w:val="none"/>
              </w:rPr>
              <w:t>0.</w:t>
            </w:r>
            <w:r>
              <w:rPr>
                <w:rFonts w:cs="宋体" w:asciiTheme="majorEastAsia" w:hAnsiTheme="majorEastAsia" w:eastAsiaTheme="majorEastAsia"/>
                <w:color w:val="auto"/>
                <w:sz w:val="24"/>
                <w:highlight w:val="none"/>
              </w:rPr>
              <w:t>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处；色块轮廓不明显，面不平，扣0.5分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处；球类修剪不圆，同条路或同块趋向不一，扣0.5分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处。或加倍扣分。</w:t>
            </w:r>
          </w:p>
        </w:tc>
        <w:tc>
          <w:tcPr>
            <w:tcW w:w="698" w:type="dxa"/>
            <w:tcBorders>
              <w:top w:val="single" w:color="auto" w:sz="4" w:space="0"/>
              <w:left w:val="nil"/>
              <w:bottom w:val="single" w:color="auto" w:sz="4" w:space="0"/>
              <w:right w:val="single" w:color="auto" w:sz="4" w:space="0"/>
            </w:tcBorders>
            <w:vAlign w:val="center"/>
          </w:tcPr>
          <w:p w14:paraId="488359DF">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6</w:t>
            </w:r>
          </w:p>
        </w:tc>
        <w:tc>
          <w:tcPr>
            <w:tcW w:w="567" w:type="dxa"/>
            <w:tcBorders>
              <w:top w:val="single" w:color="auto" w:sz="4" w:space="0"/>
              <w:left w:val="nil"/>
              <w:bottom w:val="single" w:color="auto" w:sz="4" w:space="0"/>
              <w:right w:val="single" w:color="auto" w:sz="4" w:space="0"/>
            </w:tcBorders>
            <w:vAlign w:val="center"/>
          </w:tcPr>
          <w:p w14:paraId="721BA8FC">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2A2EB7BF">
            <w:pPr>
              <w:wordWrap w:val="0"/>
              <w:spacing w:line="300" w:lineRule="exact"/>
              <w:jc w:val="center"/>
              <w:rPr>
                <w:rFonts w:asciiTheme="majorEastAsia" w:hAnsiTheme="majorEastAsia" w:eastAsiaTheme="majorEastAsia"/>
                <w:color w:val="auto"/>
                <w:sz w:val="24"/>
                <w:highlight w:val="none"/>
              </w:rPr>
            </w:pPr>
          </w:p>
        </w:tc>
      </w:tr>
      <w:tr w14:paraId="2B1F4462">
        <w:tblPrEx>
          <w:tblCellMar>
            <w:top w:w="0" w:type="dxa"/>
            <w:left w:w="108" w:type="dxa"/>
            <w:bottom w:w="0" w:type="dxa"/>
            <w:right w:w="108" w:type="dxa"/>
          </w:tblCellMar>
        </w:tblPrEx>
        <w:trPr>
          <w:trHeight w:val="1743"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41CED5D1">
            <w:pPr>
              <w:rPr>
                <w:rFonts w:asciiTheme="majorEastAsia" w:hAnsiTheme="majorEastAsia" w:eastAsiaTheme="majorEastAsia"/>
                <w:color w:val="auto"/>
                <w:sz w:val="24"/>
                <w:highlight w:val="none"/>
              </w:rPr>
            </w:pPr>
          </w:p>
        </w:tc>
        <w:tc>
          <w:tcPr>
            <w:tcW w:w="815" w:type="dxa"/>
            <w:vMerge w:val="continue"/>
            <w:tcBorders>
              <w:top w:val="single" w:color="auto" w:sz="4" w:space="0"/>
              <w:left w:val="nil"/>
              <w:bottom w:val="single" w:color="auto" w:sz="4" w:space="0"/>
              <w:right w:val="single" w:color="auto" w:sz="4" w:space="0"/>
            </w:tcBorders>
            <w:vAlign w:val="center"/>
          </w:tcPr>
          <w:p w14:paraId="36ED9036">
            <w:pPr>
              <w:rPr>
                <w:rFonts w:asciiTheme="majorEastAsia" w:hAnsiTheme="majorEastAsia" w:eastAsiaTheme="majorEastAsia"/>
                <w:color w:val="auto"/>
                <w:sz w:val="24"/>
                <w:highlight w:val="none"/>
              </w:rPr>
            </w:pPr>
          </w:p>
        </w:tc>
        <w:tc>
          <w:tcPr>
            <w:tcW w:w="639" w:type="dxa"/>
            <w:tcBorders>
              <w:top w:val="single" w:color="auto" w:sz="4" w:space="0"/>
              <w:left w:val="nil"/>
              <w:bottom w:val="single" w:color="auto" w:sz="4" w:space="0"/>
              <w:right w:val="single" w:color="auto" w:sz="4" w:space="0"/>
            </w:tcBorders>
            <w:vAlign w:val="center"/>
          </w:tcPr>
          <w:p w14:paraId="52C246ED">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2</w:t>
            </w:r>
          </w:p>
        </w:tc>
        <w:tc>
          <w:tcPr>
            <w:tcW w:w="2196" w:type="dxa"/>
            <w:tcBorders>
              <w:top w:val="single" w:color="auto" w:sz="4" w:space="0"/>
              <w:left w:val="nil"/>
              <w:bottom w:val="single" w:color="auto" w:sz="4" w:space="0"/>
              <w:right w:val="single" w:color="auto" w:sz="4" w:space="0"/>
            </w:tcBorders>
            <w:vAlign w:val="center"/>
          </w:tcPr>
          <w:p w14:paraId="0227CDBD">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vAlign w:val="center"/>
          </w:tcPr>
          <w:p w14:paraId="4C0C84C1">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乔木未按要求修剪扣1分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w:t>
            </w:r>
            <w:r>
              <w:rPr>
                <w:rFonts w:hint="eastAsia" w:cs="宋体"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未及时修剪剥芽扣</w:t>
            </w:r>
            <w:r>
              <w:rPr>
                <w:rFonts w:hint="eastAsia" w:asciiTheme="majorEastAsia" w:hAnsiTheme="majorEastAsia" w:eastAsiaTheme="majorEastAsia"/>
                <w:color w:val="auto"/>
                <w:sz w:val="24"/>
                <w:highlight w:val="none"/>
              </w:rPr>
              <w:t>2</w:t>
            </w:r>
            <w:r>
              <w:rPr>
                <w:rFonts w:cs="宋体" w:asciiTheme="majorEastAsia" w:hAnsiTheme="majorEastAsia" w:eastAsiaTheme="majorEastAsia"/>
                <w:color w:val="auto"/>
                <w:sz w:val="24"/>
                <w:highlight w:val="none"/>
              </w:rPr>
              <w:t>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w:t>
            </w:r>
            <w:r>
              <w:rPr>
                <w:rFonts w:hint="eastAsia" w:cs="宋体"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萌蘖芽未及时剥除发现</w:t>
            </w:r>
            <w:r>
              <w:rPr>
                <w:rFonts w:hint="eastAsia"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株扣0.5分；修剪不当造成树木枯死，影响美观的扣</w:t>
            </w:r>
            <w:r>
              <w:rPr>
                <w:rFonts w:hint="eastAsia"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株。或加倍扣分。</w:t>
            </w:r>
          </w:p>
        </w:tc>
        <w:tc>
          <w:tcPr>
            <w:tcW w:w="698" w:type="dxa"/>
            <w:tcBorders>
              <w:top w:val="single" w:color="auto" w:sz="4" w:space="0"/>
              <w:left w:val="nil"/>
              <w:bottom w:val="single" w:color="auto" w:sz="4" w:space="0"/>
              <w:right w:val="single" w:color="auto" w:sz="4" w:space="0"/>
            </w:tcBorders>
            <w:vAlign w:val="center"/>
          </w:tcPr>
          <w:p w14:paraId="174DC9B1">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4</w:t>
            </w:r>
          </w:p>
        </w:tc>
        <w:tc>
          <w:tcPr>
            <w:tcW w:w="567" w:type="dxa"/>
            <w:tcBorders>
              <w:top w:val="single" w:color="auto" w:sz="4" w:space="0"/>
              <w:left w:val="nil"/>
              <w:bottom w:val="single" w:color="auto" w:sz="4" w:space="0"/>
              <w:right w:val="single" w:color="auto" w:sz="4" w:space="0"/>
            </w:tcBorders>
            <w:vAlign w:val="center"/>
          </w:tcPr>
          <w:p w14:paraId="1E3F5329">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7E6606C9">
            <w:pPr>
              <w:wordWrap w:val="0"/>
              <w:spacing w:line="300" w:lineRule="exact"/>
              <w:jc w:val="center"/>
              <w:rPr>
                <w:rFonts w:asciiTheme="majorEastAsia" w:hAnsiTheme="majorEastAsia" w:eastAsiaTheme="majorEastAsia"/>
                <w:color w:val="auto"/>
                <w:sz w:val="24"/>
                <w:highlight w:val="none"/>
              </w:rPr>
            </w:pPr>
          </w:p>
        </w:tc>
      </w:tr>
      <w:tr w14:paraId="53CCD769">
        <w:tblPrEx>
          <w:tblCellMar>
            <w:top w:w="0" w:type="dxa"/>
            <w:left w:w="108" w:type="dxa"/>
            <w:bottom w:w="0" w:type="dxa"/>
            <w:right w:w="108" w:type="dxa"/>
          </w:tblCellMar>
        </w:tblPrEx>
        <w:trPr>
          <w:trHeight w:val="28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698F24B6">
            <w:pPr>
              <w:rPr>
                <w:rFonts w:asciiTheme="majorEastAsia" w:hAnsiTheme="majorEastAsia" w:eastAsiaTheme="majorEastAsia"/>
                <w:color w:val="auto"/>
                <w:sz w:val="24"/>
                <w:highlight w:val="none"/>
              </w:rPr>
            </w:pPr>
          </w:p>
        </w:tc>
        <w:tc>
          <w:tcPr>
            <w:tcW w:w="815" w:type="dxa"/>
            <w:vMerge w:val="continue"/>
            <w:tcBorders>
              <w:top w:val="single" w:color="auto" w:sz="4" w:space="0"/>
              <w:left w:val="nil"/>
              <w:bottom w:val="single" w:color="auto" w:sz="4" w:space="0"/>
              <w:right w:val="single" w:color="auto" w:sz="4" w:space="0"/>
            </w:tcBorders>
            <w:vAlign w:val="center"/>
          </w:tcPr>
          <w:p w14:paraId="33805467">
            <w:pPr>
              <w:rPr>
                <w:rFonts w:asciiTheme="majorEastAsia" w:hAnsiTheme="majorEastAsia" w:eastAsiaTheme="majorEastAsia"/>
                <w:color w:val="auto"/>
                <w:sz w:val="24"/>
                <w:highlight w:val="none"/>
              </w:rPr>
            </w:pPr>
          </w:p>
        </w:tc>
        <w:tc>
          <w:tcPr>
            <w:tcW w:w="639" w:type="dxa"/>
            <w:tcBorders>
              <w:top w:val="single" w:color="auto" w:sz="4" w:space="0"/>
              <w:left w:val="nil"/>
              <w:bottom w:val="single" w:color="auto" w:sz="4" w:space="0"/>
              <w:right w:val="single" w:color="auto" w:sz="4" w:space="0"/>
            </w:tcBorders>
            <w:vAlign w:val="center"/>
          </w:tcPr>
          <w:p w14:paraId="5D32B7AD">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3</w:t>
            </w:r>
          </w:p>
        </w:tc>
        <w:tc>
          <w:tcPr>
            <w:tcW w:w="2196" w:type="dxa"/>
            <w:tcBorders>
              <w:top w:val="single" w:color="auto" w:sz="4" w:space="0"/>
              <w:left w:val="nil"/>
              <w:bottom w:val="single" w:color="auto" w:sz="4" w:space="0"/>
              <w:right w:val="single" w:color="auto" w:sz="4" w:space="0"/>
            </w:tcBorders>
            <w:vAlign w:val="center"/>
          </w:tcPr>
          <w:p w14:paraId="7DBD53E4">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vAlign w:val="center"/>
          </w:tcPr>
          <w:p w14:paraId="63484F2E">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修剪面不平，边角有遗留，扣0.5分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处；修剪后色斑明显，扣</w:t>
            </w:r>
            <w:r>
              <w:rPr>
                <w:rFonts w:hint="eastAsia" w:asciiTheme="majorEastAsia" w:hAnsiTheme="majorEastAsia" w:eastAsiaTheme="majorEastAsia"/>
                <w:color w:val="auto"/>
                <w:sz w:val="24"/>
                <w:highlight w:val="none"/>
              </w:rPr>
              <w:t>0.</w:t>
            </w:r>
            <w:r>
              <w:rPr>
                <w:rFonts w:cs="宋体" w:asciiTheme="majorEastAsia" w:hAnsiTheme="majorEastAsia" w:eastAsiaTheme="majorEastAsia"/>
                <w:color w:val="auto"/>
                <w:sz w:val="24"/>
                <w:highlight w:val="none"/>
              </w:rPr>
              <w:t>5分；不及时修剪，扣</w:t>
            </w:r>
            <w:r>
              <w:rPr>
                <w:rFonts w:hint="eastAsia"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处。或加倍扣分。</w:t>
            </w:r>
          </w:p>
        </w:tc>
        <w:tc>
          <w:tcPr>
            <w:tcW w:w="698" w:type="dxa"/>
            <w:tcBorders>
              <w:top w:val="single" w:color="auto" w:sz="4" w:space="0"/>
              <w:left w:val="nil"/>
              <w:bottom w:val="single" w:color="auto" w:sz="4" w:space="0"/>
              <w:right w:val="single" w:color="auto" w:sz="4" w:space="0"/>
            </w:tcBorders>
            <w:vAlign w:val="center"/>
          </w:tcPr>
          <w:p w14:paraId="68129391">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4</w:t>
            </w:r>
          </w:p>
        </w:tc>
        <w:tc>
          <w:tcPr>
            <w:tcW w:w="567" w:type="dxa"/>
            <w:tcBorders>
              <w:top w:val="single" w:color="auto" w:sz="4" w:space="0"/>
              <w:left w:val="nil"/>
              <w:bottom w:val="single" w:color="auto" w:sz="4" w:space="0"/>
              <w:right w:val="single" w:color="auto" w:sz="4" w:space="0"/>
            </w:tcBorders>
            <w:vAlign w:val="center"/>
          </w:tcPr>
          <w:p w14:paraId="2BB4052F">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343797F1">
            <w:pPr>
              <w:wordWrap w:val="0"/>
              <w:spacing w:line="300" w:lineRule="exact"/>
              <w:jc w:val="center"/>
              <w:rPr>
                <w:rFonts w:asciiTheme="majorEastAsia" w:hAnsiTheme="majorEastAsia" w:eastAsiaTheme="majorEastAsia"/>
                <w:color w:val="auto"/>
                <w:sz w:val="24"/>
                <w:highlight w:val="none"/>
              </w:rPr>
            </w:pPr>
          </w:p>
        </w:tc>
      </w:tr>
      <w:tr w14:paraId="503DBCF7">
        <w:tblPrEx>
          <w:tblCellMar>
            <w:top w:w="0" w:type="dxa"/>
            <w:left w:w="108" w:type="dxa"/>
            <w:bottom w:w="0" w:type="dxa"/>
            <w:right w:w="108" w:type="dxa"/>
          </w:tblCellMar>
        </w:tblPrEx>
        <w:trPr>
          <w:trHeight w:val="133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7470AF55">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w:t>
            </w:r>
          </w:p>
        </w:tc>
        <w:tc>
          <w:tcPr>
            <w:tcW w:w="815" w:type="dxa"/>
            <w:tcBorders>
              <w:top w:val="single" w:color="auto" w:sz="4" w:space="0"/>
              <w:left w:val="nil"/>
              <w:bottom w:val="single" w:color="auto" w:sz="4" w:space="0"/>
              <w:right w:val="single" w:color="auto" w:sz="4" w:space="0"/>
            </w:tcBorders>
            <w:vAlign w:val="center"/>
          </w:tcPr>
          <w:p w14:paraId="22034811">
            <w:pPr>
              <w:wordWrap w:val="0"/>
              <w:spacing w:line="300" w:lineRule="exact"/>
              <w:jc w:val="center"/>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绿地保护</w:t>
            </w:r>
          </w:p>
          <w:p w14:paraId="72F07523">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3分</w:t>
            </w:r>
          </w:p>
        </w:tc>
        <w:tc>
          <w:tcPr>
            <w:tcW w:w="639" w:type="dxa"/>
            <w:tcBorders>
              <w:top w:val="single" w:color="auto" w:sz="4" w:space="0"/>
              <w:left w:val="nil"/>
              <w:bottom w:val="single" w:color="auto" w:sz="4" w:space="0"/>
              <w:right w:val="single" w:color="auto" w:sz="4" w:space="0"/>
            </w:tcBorders>
            <w:vAlign w:val="center"/>
          </w:tcPr>
          <w:p w14:paraId="0DCAAC11">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4</w:t>
            </w:r>
          </w:p>
        </w:tc>
        <w:tc>
          <w:tcPr>
            <w:tcW w:w="2196" w:type="dxa"/>
            <w:tcBorders>
              <w:top w:val="single" w:color="auto" w:sz="4" w:space="0"/>
              <w:left w:val="nil"/>
              <w:bottom w:val="single" w:color="auto" w:sz="4" w:space="0"/>
              <w:right w:val="single" w:color="auto" w:sz="4" w:space="0"/>
            </w:tcBorders>
            <w:vAlign w:val="center"/>
          </w:tcPr>
          <w:p w14:paraId="3337AE77">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vAlign w:val="center"/>
          </w:tcPr>
          <w:p w14:paraId="7A2CDE19">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vAlign w:val="center"/>
          </w:tcPr>
          <w:p w14:paraId="2651613D">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3</w:t>
            </w:r>
          </w:p>
        </w:tc>
        <w:tc>
          <w:tcPr>
            <w:tcW w:w="567" w:type="dxa"/>
            <w:tcBorders>
              <w:top w:val="single" w:color="auto" w:sz="4" w:space="0"/>
              <w:left w:val="nil"/>
              <w:bottom w:val="single" w:color="auto" w:sz="4" w:space="0"/>
              <w:right w:val="single" w:color="auto" w:sz="4" w:space="0"/>
            </w:tcBorders>
            <w:vAlign w:val="center"/>
          </w:tcPr>
          <w:p w14:paraId="1B0C3A41">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nil"/>
              <w:bottom w:val="single" w:color="auto" w:sz="4" w:space="0"/>
              <w:right w:val="single" w:color="auto" w:sz="4" w:space="0"/>
            </w:tcBorders>
            <w:vAlign w:val="center"/>
          </w:tcPr>
          <w:p w14:paraId="3F2381F7">
            <w:pPr>
              <w:wordWrap w:val="0"/>
              <w:spacing w:line="300" w:lineRule="exact"/>
              <w:jc w:val="center"/>
              <w:rPr>
                <w:rFonts w:asciiTheme="majorEastAsia" w:hAnsiTheme="majorEastAsia" w:eastAsiaTheme="majorEastAsia"/>
                <w:color w:val="auto"/>
                <w:sz w:val="24"/>
                <w:highlight w:val="none"/>
              </w:rPr>
            </w:pPr>
          </w:p>
        </w:tc>
      </w:tr>
      <w:tr w14:paraId="343833D7">
        <w:tblPrEx>
          <w:tblCellMar>
            <w:top w:w="0" w:type="dxa"/>
            <w:left w:w="108" w:type="dxa"/>
            <w:bottom w:w="0" w:type="dxa"/>
            <w:right w:w="108" w:type="dxa"/>
          </w:tblCellMar>
        </w:tblPrEx>
        <w:trPr>
          <w:trHeight w:val="1363"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6B874092">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815" w:type="dxa"/>
            <w:tcBorders>
              <w:top w:val="single" w:color="auto" w:sz="4" w:space="0"/>
              <w:left w:val="single" w:color="auto" w:sz="4" w:space="0"/>
              <w:bottom w:val="single" w:color="auto" w:sz="4" w:space="0"/>
              <w:right w:val="single" w:color="auto" w:sz="4" w:space="0"/>
            </w:tcBorders>
            <w:vAlign w:val="center"/>
          </w:tcPr>
          <w:p w14:paraId="3EC51002">
            <w:pPr>
              <w:wordWrap w:val="0"/>
              <w:spacing w:line="300" w:lineRule="exact"/>
              <w:jc w:val="center"/>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行为质量</w:t>
            </w:r>
          </w:p>
          <w:p w14:paraId="2903F704">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8分</w:t>
            </w:r>
          </w:p>
        </w:tc>
        <w:tc>
          <w:tcPr>
            <w:tcW w:w="639" w:type="dxa"/>
            <w:tcBorders>
              <w:top w:val="single" w:color="auto" w:sz="4" w:space="0"/>
              <w:left w:val="single" w:color="auto" w:sz="4" w:space="0"/>
              <w:bottom w:val="single" w:color="auto" w:sz="4" w:space="0"/>
              <w:right w:val="single" w:color="auto" w:sz="4" w:space="0"/>
            </w:tcBorders>
            <w:vAlign w:val="center"/>
          </w:tcPr>
          <w:p w14:paraId="18282993">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5</w:t>
            </w:r>
          </w:p>
        </w:tc>
        <w:tc>
          <w:tcPr>
            <w:tcW w:w="2196" w:type="dxa"/>
            <w:tcBorders>
              <w:top w:val="single" w:color="auto" w:sz="4" w:space="0"/>
              <w:left w:val="single" w:color="auto" w:sz="4" w:space="0"/>
              <w:bottom w:val="single" w:color="auto" w:sz="4" w:space="0"/>
              <w:right w:val="single" w:color="auto" w:sz="4" w:space="0"/>
            </w:tcBorders>
            <w:vAlign w:val="center"/>
          </w:tcPr>
          <w:p w14:paraId="57CFAD10">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vAlign w:val="center"/>
          </w:tcPr>
          <w:p w14:paraId="552F35A6">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未报送书面台账资料的直接扣除</w:t>
            </w:r>
            <w:r>
              <w:rPr>
                <w:rFonts w:hint="eastAsia" w:cs="宋体" w:asciiTheme="majorEastAsia" w:hAnsiTheme="majorEastAsia" w:eastAsiaTheme="majorEastAsia"/>
                <w:color w:val="auto"/>
                <w:sz w:val="24"/>
                <w:highlight w:val="none"/>
              </w:rPr>
              <w:t>。</w:t>
            </w:r>
          </w:p>
        </w:tc>
        <w:tc>
          <w:tcPr>
            <w:tcW w:w="698" w:type="dxa"/>
            <w:tcBorders>
              <w:top w:val="single" w:color="auto" w:sz="4" w:space="0"/>
              <w:left w:val="single" w:color="auto" w:sz="4" w:space="0"/>
              <w:bottom w:val="single" w:color="auto" w:sz="4" w:space="0"/>
              <w:right w:val="single" w:color="auto" w:sz="4" w:space="0"/>
            </w:tcBorders>
            <w:vAlign w:val="center"/>
          </w:tcPr>
          <w:p w14:paraId="0F29FE4B">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p>
        </w:tc>
        <w:tc>
          <w:tcPr>
            <w:tcW w:w="567" w:type="dxa"/>
            <w:tcBorders>
              <w:top w:val="single" w:color="auto" w:sz="4" w:space="0"/>
              <w:left w:val="single" w:color="auto" w:sz="4" w:space="0"/>
              <w:bottom w:val="single" w:color="auto" w:sz="4" w:space="0"/>
              <w:right w:val="single" w:color="auto" w:sz="4" w:space="0"/>
            </w:tcBorders>
            <w:vAlign w:val="center"/>
          </w:tcPr>
          <w:p w14:paraId="590D46AE">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6D5D6D54">
            <w:pPr>
              <w:wordWrap w:val="0"/>
              <w:spacing w:line="300" w:lineRule="exact"/>
              <w:jc w:val="center"/>
              <w:rPr>
                <w:rFonts w:asciiTheme="majorEastAsia" w:hAnsiTheme="majorEastAsia" w:eastAsiaTheme="majorEastAsia"/>
                <w:color w:val="auto"/>
                <w:sz w:val="24"/>
                <w:highlight w:val="none"/>
              </w:rPr>
            </w:pPr>
          </w:p>
        </w:tc>
      </w:tr>
      <w:tr w14:paraId="441F5742">
        <w:tblPrEx>
          <w:tblCellMar>
            <w:top w:w="0" w:type="dxa"/>
            <w:left w:w="108" w:type="dxa"/>
            <w:bottom w:w="0" w:type="dxa"/>
            <w:right w:w="108" w:type="dxa"/>
          </w:tblCellMar>
        </w:tblPrEx>
        <w:trPr>
          <w:trHeight w:val="983"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6B29908D">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14:paraId="349B5C12">
            <w:pPr>
              <w:wordWrap w:val="0"/>
              <w:spacing w:line="300" w:lineRule="exact"/>
              <w:jc w:val="center"/>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行为质量</w:t>
            </w:r>
          </w:p>
          <w:p w14:paraId="4727F947">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8分</w:t>
            </w:r>
          </w:p>
        </w:tc>
        <w:tc>
          <w:tcPr>
            <w:tcW w:w="639" w:type="dxa"/>
            <w:tcBorders>
              <w:top w:val="single" w:color="auto" w:sz="4" w:space="0"/>
              <w:left w:val="single" w:color="auto" w:sz="4" w:space="0"/>
              <w:bottom w:val="single" w:color="auto" w:sz="4" w:space="0"/>
              <w:right w:val="single" w:color="auto" w:sz="4" w:space="0"/>
            </w:tcBorders>
            <w:vAlign w:val="center"/>
          </w:tcPr>
          <w:p w14:paraId="6392F15B">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6</w:t>
            </w:r>
          </w:p>
        </w:tc>
        <w:tc>
          <w:tcPr>
            <w:tcW w:w="2196" w:type="dxa"/>
            <w:tcBorders>
              <w:top w:val="single" w:color="auto" w:sz="4" w:space="0"/>
              <w:left w:val="single" w:color="auto" w:sz="4" w:space="0"/>
              <w:bottom w:val="single" w:color="auto" w:sz="4" w:space="0"/>
              <w:right w:val="single" w:color="auto" w:sz="4" w:space="0"/>
            </w:tcBorders>
            <w:vAlign w:val="center"/>
          </w:tcPr>
          <w:p w14:paraId="174224BA">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vAlign w:val="center"/>
          </w:tcPr>
          <w:p w14:paraId="5F879FED">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按照规定养护人员数量不符合要求，扣全部分值；项目负责人不在现场，扣1分；工作人员服装不统一，不按要求安全作业，每人扣</w:t>
            </w:r>
            <w:r>
              <w:rPr>
                <w:rFonts w:hint="eastAsia" w:asciiTheme="majorEastAsia" w:hAnsiTheme="majorEastAsia" w:eastAsiaTheme="majorEastAsia"/>
                <w:color w:val="auto"/>
                <w:sz w:val="24"/>
                <w:highlight w:val="none"/>
              </w:rPr>
              <w:t>0.5</w:t>
            </w:r>
            <w:r>
              <w:rPr>
                <w:rFonts w:cs="宋体" w:asciiTheme="majorEastAsia" w:hAnsiTheme="majorEastAsia" w:eastAsiaTheme="majorEastAsia"/>
                <w:color w:val="auto"/>
                <w:sz w:val="24"/>
                <w:highlight w:val="none"/>
              </w:rPr>
              <w:t>分；道路施工时，安全警示标识标牌不齐全的扣1分</w:t>
            </w:r>
            <w:r>
              <w:rPr>
                <w:rFonts w:hint="eastAsia" w:asciiTheme="majorEastAsia" w:hAnsiTheme="majorEastAsia" w:eastAsiaTheme="majorEastAsia"/>
                <w:color w:val="auto"/>
                <w:sz w:val="24"/>
                <w:highlight w:val="none"/>
              </w:rPr>
              <w:t>/</w:t>
            </w:r>
            <w:r>
              <w:rPr>
                <w:rFonts w:cs="宋体" w:asciiTheme="majorEastAsia" w:hAnsiTheme="majorEastAsia" w:eastAsiaTheme="majorEastAsia"/>
                <w:color w:val="auto"/>
                <w:sz w:val="24"/>
                <w:highlight w:val="none"/>
              </w:rPr>
              <w:t>处。或加倍扣分。</w:t>
            </w:r>
          </w:p>
        </w:tc>
        <w:tc>
          <w:tcPr>
            <w:tcW w:w="698" w:type="dxa"/>
            <w:tcBorders>
              <w:top w:val="single" w:color="auto" w:sz="4" w:space="0"/>
              <w:left w:val="single" w:color="auto" w:sz="4" w:space="0"/>
              <w:bottom w:val="single" w:color="auto" w:sz="4" w:space="0"/>
              <w:right w:val="single" w:color="auto" w:sz="4" w:space="0"/>
            </w:tcBorders>
            <w:vAlign w:val="center"/>
          </w:tcPr>
          <w:p w14:paraId="710F3551">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w:t>
            </w:r>
          </w:p>
        </w:tc>
        <w:tc>
          <w:tcPr>
            <w:tcW w:w="567" w:type="dxa"/>
            <w:tcBorders>
              <w:top w:val="single" w:color="auto" w:sz="4" w:space="0"/>
              <w:left w:val="single" w:color="auto" w:sz="4" w:space="0"/>
              <w:bottom w:val="single" w:color="auto" w:sz="4" w:space="0"/>
              <w:right w:val="single" w:color="auto" w:sz="4" w:space="0"/>
            </w:tcBorders>
            <w:vAlign w:val="center"/>
          </w:tcPr>
          <w:p w14:paraId="6F7D45AE">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33E71BB9">
            <w:pPr>
              <w:wordWrap w:val="0"/>
              <w:spacing w:line="300" w:lineRule="exact"/>
              <w:jc w:val="center"/>
              <w:rPr>
                <w:rFonts w:asciiTheme="majorEastAsia" w:hAnsiTheme="majorEastAsia" w:eastAsiaTheme="majorEastAsia"/>
                <w:color w:val="auto"/>
                <w:sz w:val="24"/>
                <w:highlight w:val="none"/>
              </w:rPr>
            </w:pPr>
          </w:p>
        </w:tc>
      </w:tr>
      <w:tr w14:paraId="75370069">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01634AA9">
            <w:pPr>
              <w:rPr>
                <w:rFonts w:asciiTheme="majorEastAsia" w:hAnsiTheme="majorEastAsia" w:eastAsiaTheme="majorEastAsia"/>
                <w:color w:val="auto"/>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14:paraId="5933D40A">
            <w:pPr>
              <w:rPr>
                <w:rFonts w:asciiTheme="majorEastAsia" w:hAnsiTheme="majorEastAsia" w:eastAsiaTheme="majorEastAsia"/>
                <w:color w:val="auto"/>
                <w:sz w:val="24"/>
                <w:highlight w:val="none"/>
              </w:rPr>
            </w:pPr>
          </w:p>
        </w:tc>
        <w:tc>
          <w:tcPr>
            <w:tcW w:w="639" w:type="dxa"/>
            <w:tcBorders>
              <w:top w:val="single" w:color="auto" w:sz="4" w:space="0"/>
              <w:left w:val="single" w:color="auto" w:sz="4" w:space="0"/>
              <w:bottom w:val="single" w:color="auto" w:sz="4" w:space="0"/>
              <w:right w:val="single" w:color="auto" w:sz="4" w:space="0"/>
            </w:tcBorders>
            <w:vAlign w:val="center"/>
          </w:tcPr>
          <w:p w14:paraId="345A68A3">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17</w:t>
            </w:r>
          </w:p>
        </w:tc>
        <w:tc>
          <w:tcPr>
            <w:tcW w:w="2196" w:type="dxa"/>
            <w:tcBorders>
              <w:top w:val="single" w:color="auto" w:sz="4" w:space="0"/>
              <w:left w:val="single" w:color="auto" w:sz="4" w:space="0"/>
              <w:bottom w:val="single" w:color="auto" w:sz="4" w:space="0"/>
              <w:right w:val="single" w:color="auto" w:sz="4" w:space="0"/>
            </w:tcBorders>
            <w:vAlign w:val="center"/>
          </w:tcPr>
          <w:p w14:paraId="0B6D14D4">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vAlign w:val="center"/>
          </w:tcPr>
          <w:p w14:paraId="72C4B3CC">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迟到一次扣</w:t>
            </w:r>
            <w:r>
              <w:rPr>
                <w:rFonts w:hint="eastAsia" w:asciiTheme="majorEastAsia" w:hAnsiTheme="majorEastAsia" w:eastAsiaTheme="majorEastAsia"/>
                <w:color w:val="auto"/>
                <w:sz w:val="24"/>
                <w:highlight w:val="none"/>
              </w:rPr>
              <w:t>0.5</w:t>
            </w:r>
            <w:r>
              <w:rPr>
                <w:rFonts w:cs="宋体" w:asciiTheme="majorEastAsia" w:hAnsiTheme="majorEastAsia" w:eastAsiaTheme="majorEastAsia"/>
                <w:color w:val="auto"/>
                <w:sz w:val="24"/>
                <w:highlight w:val="none"/>
              </w:rPr>
              <w:t>分；无故缺席一次扣</w:t>
            </w:r>
            <w:r>
              <w:rPr>
                <w:rFonts w:hint="eastAsia"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分；无故替开会一次扣</w:t>
            </w:r>
            <w:r>
              <w:rPr>
                <w:rFonts w:hint="eastAsia" w:asciiTheme="majorEastAsia" w:hAnsiTheme="majorEastAsia" w:eastAsiaTheme="majorEastAsia"/>
                <w:color w:val="auto"/>
                <w:sz w:val="24"/>
                <w:highlight w:val="none"/>
              </w:rPr>
              <w:t>0.5</w:t>
            </w:r>
            <w:r>
              <w:rPr>
                <w:rFonts w:cs="宋体" w:asciiTheme="majorEastAsia" w:hAnsiTheme="majorEastAsia" w:eastAsiaTheme="majorEastAsia"/>
                <w:color w:val="auto"/>
                <w:sz w:val="24"/>
                <w:highlight w:val="none"/>
              </w:rPr>
              <w:t>分。或加倍扣分。</w:t>
            </w:r>
          </w:p>
        </w:tc>
        <w:tc>
          <w:tcPr>
            <w:tcW w:w="698" w:type="dxa"/>
            <w:tcBorders>
              <w:top w:val="single" w:color="auto" w:sz="4" w:space="0"/>
              <w:left w:val="single" w:color="auto" w:sz="4" w:space="0"/>
              <w:bottom w:val="single" w:color="auto" w:sz="4" w:space="0"/>
              <w:right w:val="single" w:color="auto" w:sz="4" w:space="0"/>
            </w:tcBorders>
            <w:vAlign w:val="center"/>
          </w:tcPr>
          <w:p w14:paraId="7F328E72">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p>
        </w:tc>
        <w:tc>
          <w:tcPr>
            <w:tcW w:w="567" w:type="dxa"/>
            <w:tcBorders>
              <w:top w:val="single" w:color="auto" w:sz="4" w:space="0"/>
              <w:left w:val="single" w:color="auto" w:sz="4" w:space="0"/>
              <w:bottom w:val="single" w:color="auto" w:sz="4" w:space="0"/>
              <w:right w:val="single" w:color="auto" w:sz="4" w:space="0"/>
            </w:tcBorders>
            <w:vAlign w:val="center"/>
          </w:tcPr>
          <w:p w14:paraId="518F96A3">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0C92C25C">
            <w:pPr>
              <w:wordWrap w:val="0"/>
              <w:spacing w:line="300" w:lineRule="exact"/>
              <w:jc w:val="center"/>
              <w:rPr>
                <w:rFonts w:asciiTheme="majorEastAsia" w:hAnsiTheme="majorEastAsia" w:eastAsiaTheme="majorEastAsia"/>
                <w:color w:val="auto"/>
                <w:sz w:val="24"/>
                <w:highlight w:val="none"/>
              </w:rPr>
            </w:pPr>
          </w:p>
        </w:tc>
      </w:tr>
      <w:tr w14:paraId="26AA67A7">
        <w:tblPrEx>
          <w:tblCellMar>
            <w:top w:w="0" w:type="dxa"/>
            <w:left w:w="108" w:type="dxa"/>
            <w:bottom w:w="0" w:type="dxa"/>
            <w:right w:w="108" w:type="dxa"/>
          </w:tblCellMar>
        </w:tblPrEx>
        <w:trPr>
          <w:trHeight w:val="250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5A17B6CD">
            <w:pPr>
              <w:rPr>
                <w:rFonts w:asciiTheme="majorEastAsia" w:hAnsiTheme="majorEastAsia" w:eastAsiaTheme="majorEastAsia"/>
                <w:color w:val="auto"/>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14:paraId="5ACCBDA6">
            <w:pPr>
              <w:rPr>
                <w:rFonts w:asciiTheme="majorEastAsia" w:hAnsiTheme="majorEastAsia" w:eastAsiaTheme="majorEastAsia"/>
                <w:color w:val="auto"/>
                <w:sz w:val="24"/>
                <w:highlight w:val="none"/>
              </w:rPr>
            </w:pPr>
          </w:p>
        </w:tc>
        <w:tc>
          <w:tcPr>
            <w:tcW w:w="639" w:type="dxa"/>
            <w:tcBorders>
              <w:top w:val="single" w:color="auto" w:sz="4" w:space="0"/>
              <w:left w:val="single" w:color="auto" w:sz="4" w:space="0"/>
              <w:bottom w:val="single" w:color="auto" w:sz="4" w:space="0"/>
              <w:right w:val="single" w:color="auto" w:sz="4" w:space="0"/>
            </w:tcBorders>
            <w:vAlign w:val="center"/>
          </w:tcPr>
          <w:p w14:paraId="7B9467B6">
            <w:pPr>
              <w:wordWrap w:val="0"/>
              <w:spacing w:line="300" w:lineRule="exact"/>
              <w:jc w:val="center"/>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18</w:t>
            </w:r>
          </w:p>
        </w:tc>
        <w:tc>
          <w:tcPr>
            <w:tcW w:w="2196" w:type="dxa"/>
            <w:tcBorders>
              <w:top w:val="single" w:color="auto" w:sz="4" w:space="0"/>
              <w:left w:val="single" w:color="auto" w:sz="4" w:space="0"/>
              <w:bottom w:val="single" w:color="auto" w:sz="4" w:space="0"/>
              <w:right w:val="single" w:color="auto" w:sz="4" w:space="0"/>
            </w:tcBorders>
            <w:vAlign w:val="center"/>
          </w:tcPr>
          <w:p w14:paraId="075BAC3A">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vAlign w:val="center"/>
          </w:tcPr>
          <w:p w14:paraId="62EAF154">
            <w:pPr>
              <w:wordWrap w:val="0"/>
              <w:spacing w:line="300" w:lineRule="exact"/>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vAlign w:val="center"/>
          </w:tcPr>
          <w:p w14:paraId="6A390F8F">
            <w:pPr>
              <w:wordWrap w:val="0"/>
              <w:spacing w:line="300" w:lineRule="exact"/>
              <w:jc w:val="center"/>
              <w:rPr>
                <w:rFonts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4</w:t>
            </w:r>
          </w:p>
        </w:tc>
        <w:tc>
          <w:tcPr>
            <w:tcW w:w="567" w:type="dxa"/>
            <w:tcBorders>
              <w:top w:val="single" w:color="auto" w:sz="4" w:space="0"/>
              <w:left w:val="single" w:color="auto" w:sz="4" w:space="0"/>
              <w:bottom w:val="single" w:color="auto" w:sz="4" w:space="0"/>
              <w:right w:val="single" w:color="auto" w:sz="4" w:space="0"/>
            </w:tcBorders>
            <w:vAlign w:val="center"/>
          </w:tcPr>
          <w:p w14:paraId="2A16DE4E">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4A5B2BC1">
            <w:pPr>
              <w:wordWrap w:val="0"/>
              <w:spacing w:line="300" w:lineRule="exact"/>
              <w:jc w:val="center"/>
              <w:rPr>
                <w:rFonts w:asciiTheme="majorEastAsia" w:hAnsiTheme="majorEastAsia" w:eastAsiaTheme="majorEastAsia"/>
                <w:color w:val="auto"/>
                <w:sz w:val="24"/>
                <w:highlight w:val="none"/>
              </w:rPr>
            </w:pPr>
          </w:p>
        </w:tc>
      </w:tr>
      <w:tr w14:paraId="79BE6D6A">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vAlign w:val="center"/>
          </w:tcPr>
          <w:p w14:paraId="725731A7">
            <w:pPr>
              <w:wordWrap w:val="0"/>
              <w:spacing w:line="30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合计</w:t>
            </w:r>
          </w:p>
        </w:tc>
        <w:tc>
          <w:tcPr>
            <w:tcW w:w="698" w:type="dxa"/>
            <w:tcBorders>
              <w:top w:val="single" w:color="auto" w:sz="4" w:space="0"/>
              <w:left w:val="single" w:color="auto" w:sz="4" w:space="0"/>
              <w:bottom w:val="single" w:color="auto" w:sz="4" w:space="0"/>
              <w:right w:val="single" w:color="auto" w:sz="4" w:space="0"/>
            </w:tcBorders>
            <w:vAlign w:val="center"/>
          </w:tcPr>
          <w:p w14:paraId="1618D885">
            <w:pPr>
              <w:wordWrap w:val="0"/>
              <w:spacing w:line="30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100</w:t>
            </w:r>
          </w:p>
        </w:tc>
        <w:tc>
          <w:tcPr>
            <w:tcW w:w="567" w:type="dxa"/>
            <w:tcBorders>
              <w:top w:val="single" w:color="auto" w:sz="4" w:space="0"/>
              <w:left w:val="single" w:color="auto" w:sz="4" w:space="0"/>
              <w:bottom w:val="single" w:color="auto" w:sz="4" w:space="0"/>
              <w:right w:val="single" w:color="auto" w:sz="4" w:space="0"/>
            </w:tcBorders>
            <w:vAlign w:val="center"/>
          </w:tcPr>
          <w:p w14:paraId="52371BBD">
            <w:pPr>
              <w:wordWrap w:val="0"/>
              <w:spacing w:line="300" w:lineRule="exact"/>
              <w:jc w:val="center"/>
              <w:rPr>
                <w:rFonts w:asciiTheme="majorEastAsia" w:hAnsiTheme="majorEastAsia" w:eastAsiaTheme="majorEastAsia"/>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14:paraId="27300F0F">
            <w:pPr>
              <w:wordWrap w:val="0"/>
              <w:spacing w:line="300" w:lineRule="exact"/>
              <w:jc w:val="center"/>
              <w:rPr>
                <w:rFonts w:asciiTheme="majorEastAsia" w:hAnsiTheme="majorEastAsia" w:eastAsiaTheme="majorEastAsia"/>
                <w:color w:val="auto"/>
                <w:sz w:val="24"/>
                <w:highlight w:val="none"/>
              </w:rPr>
            </w:pPr>
          </w:p>
        </w:tc>
      </w:tr>
    </w:tbl>
    <w:p w14:paraId="197879D7">
      <w:pPr>
        <w:wordWrap w:val="0"/>
        <w:spacing w:line="400" w:lineRule="exact"/>
        <w:jc w:val="left"/>
        <w:rPr>
          <w:rFonts w:cs="楷体_GB2312" w:asciiTheme="majorEastAsia" w:hAnsiTheme="majorEastAsia" w:eastAsiaTheme="majorEastAsia"/>
          <w:color w:val="auto"/>
          <w:sz w:val="24"/>
          <w:highlight w:val="none"/>
        </w:rPr>
      </w:pPr>
    </w:p>
    <w:p w14:paraId="3DE6EA2C">
      <w:pPr>
        <w:wordWrap w:val="0"/>
        <w:spacing w:line="400" w:lineRule="exact"/>
        <w:jc w:val="left"/>
        <w:rPr>
          <w:rFonts w:cs="楷体_GB2312" w:asciiTheme="majorEastAsia" w:hAnsiTheme="majorEastAsia" w:eastAsiaTheme="majorEastAsia"/>
          <w:color w:val="auto"/>
          <w:sz w:val="24"/>
          <w:highlight w:val="none"/>
        </w:rPr>
      </w:pPr>
      <w:r>
        <w:rPr>
          <w:rFonts w:hint="eastAsia" w:cs="楷体_GB2312" w:asciiTheme="majorEastAsia" w:hAnsiTheme="majorEastAsia" w:eastAsiaTheme="majorEastAsia"/>
          <w:color w:val="auto"/>
          <w:sz w:val="24"/>
          <w:highlight w:val="none"/>
        </w:rPr>
        <w:t>考核时间：                      考核路段：</w:t>
      </w:r>
    </w:p>
    <w:p w14:paraId="5EB2753F">
      <w:pPr>
        <w:wordWrap w:val="0"/>
        <w:spacing w:line="400" w:lineRule="exact"/>
        <w:jc w:val="left"/>
        <w:rPr>
          <w:rFonts w:cs="楷体_GB2312" w:asciiTheme="majorEastAsia" w:hAnsiTheme="majorEastAsia" w:eastAsiaTheme="majorEastAsia"/>
          <w:color w:val="auto"/>
          <w:sz w:val="24"/>
          <w:highlight w:val="none"/>
        </w:rPr>
      </w:pPr>
    </w:p>
    <w:p w14:paraId="7F48D4DD">
      <w:pPr>
        <w:wordWrap w:val="0"/>
        <w:spacing w:line="400" w:lineRule="exact"/>
        <w:jc w:val="left"/>
        <w:rPr>
          <w:rFonts w:cs="楷体_GB2312" w:asciiTheme="majorEastAsia" w:hAnsiTheme="majorEastAsia" w:eastAsiaTheme="majorEastAsia"/>
          <w:color w:val="auto"/>
          <w:sz w:val="24"/>
          <w:highlight w:val="none"/>
        </w:rPr>
      </w:pPr>
      <w:r>
        <w:rPr>
          <w:rFonts w:hint="eastAsia" w:cs="楷体_GB2312" w:asciiTheme="majorEastAsia" w:hAnsiTheme="majorEastAsia" w:eastAsiaTheme="majorEastAsia"/>
          <w:color w:val="auto"/>
          <w:sz w:val="24"/>
          <w:highlight w:val="none"/>
        </w:rPr>
        <w:t>项目负责人：                    考核人：</w:t>
      </w:r>
    </w:p>
    <w:p w14:paraId="281B2077">
      <w:pPr>
        <w:wordWrap w:val="0"/>
        <w:spacing w:line="400" w:lineRule="exact"/>
        <w:jc w:val="left"/>
        <w:rPr>
          <w:rFonts w:cs="楷体_GB2312" w:asciiTheme="majorEastAsia" w:hAnsiTheme="majorEastAsia" w:eastAsiaTheme="majorEastAsia"/>
          <w:color w:val="auto"/>
          <w:sz w:val="24"/>
          <w:highlight w:val="none"/>
        </w:rPr>
      </w:pPr>
    </w:p>
    <w:p w14:paraId="33B94A93">
      <w:pPr>
        <w:spacing w:line="400" w:lineRule="exact"/>
        <w:jc w:val="center"/>
        <w:rPr>
          <w:rFonts w:cs="方正小标宋简体" w:asciiTheme="majorEastAsia" w:hAnsiTheme="majorEastAsia" w:eastAsiaTheme="majorEastAsia"/>
          <w:b/>
          <w:bCs/>
          <w:color w:val="auto"/>
          <w:kern w:val="0"/>
          <w:sz w:val="24"/>
          <w:highlight w:val="none"/>
        </w:rPr>
      </w:pPr>
      <w:r>
        <w:rPr>
          <w:rFonts w:hint="eastAsia" w:cs="方正小标宋简体" w:asciiTheme="majorEastAsia" w:hAnsiTheme="majorEastAsia" w:eastAsiaTheme="majorEastAsia"/>
          <w:b/>
          <w:bCs/>
          <w:color w:val="auto"/>
          <w:kern w:val="0"/>
          <w:sz w:val="24"/>
          <w:highlight w:val="none"/>
        </w:rPr>
        <w:t>湖州南太湖新区公用事业管理中心绿地养护考核评分表</w:t>
      </w:r>
    </w:p>
    <w:p w14:paraId="666EBEF8">
      <w:pPr>
        <w:spacing w:line="400" w:lineRule="exact"/>
        <w:jc w:val="center"/>
        <w:rPr>
          <w:rFonts w:cs="方正小标宋简体" w:asciiTheme="majorEastAsia" w:hAnsiTheme="majorEastAsia" w:eastAsiaTheme="majorEastAsia"/>
          <w:b/>
          <w:bCs/>
          <w:color w:val="auto"/>
          <w:kern w:val="0"/>
          <w:sz w:val="24"/>
          <w:highlight w:val="none"/>
        </w:rPr>
      </w:pPr>
      <w:r>
        <w:rPr>
          <w:rFonts w:hint="eastAsia" w:cs="方正小标宋简体" w:asciiTheme="majorEastAsia" w:hAnsiTheme="majorEastAsia" w:eastAsiaTheme="majorEastAsia"/>
          <w:b/>
          <w:bCs/>
          <w:color w:val="auto"/>
          <w:kern w:val="0"/>
          <w:sz w:val="24"/>
          <w:highlight w:val="none"/>
        </w:rPr>
        <w:t>（9~11月）</w:t>
      </w:r>
    </w:p>
    <w:p w14:paraId="41A11A91">
      <w:pPr>
        <w:spacing w:line="400" w:lineRule="exact"/>
        <w:jc w:val="left"/>
        <w:rPr>
          <w:rFonts w:cs="楷体_GB2312" w:asciiTheme="majorEastAsia" w:hAnsiTheme="majorEastAsia" w:eastAsiaTheme="majorEastAsia"/>
          <w:color w:val="auto"/>
          <w:kern w:val="0"/>
          <w:sz w:val="24"/>
          <w:highlight w:val="none"/>
        </w:rPr>
      </w:pPr>
      <w:r>
        <w:rPr>
          <w:rFonts w:hint="eastAsia" w:cs="楷体_GB2312" w:asciiTheme="majorEastAsia" w:hAnsiTheme="majorEastAsia" w:eastAsiaTheme="majorEastAsia"/>
          <w:color w:val="auto"/>
          <w:kern w:val="0"/>
          <w:sz w:val="24"/>
          <w:highlight w:val="none"/>
        </w:rPr>
        <w:t>单位名称：                         标 段：</w:t>
      </w:r>
    </w:p>
    <w:tbl>
      <w:tblPr>
        <w:tblStyle w:val="47"/>
        <w:tblW w:w="8930" w:type="dxa"/>
        <w:jc w:val="center"/>
        <w:tblLayout w:type="fixed"/>
        <w:tblCellMar>
          <w:top w:w="0" w:type="dxa"/>
          <w:left w:w="108" w:type="dxa"/>
          <w:bottom w:w="0" w:type="dxa"/>
          <w:right w:w="108" w:type="dxa"/>
        </w:tblCellMar>
      </w:tblPr>
      <w:tblGrid>
        <w:gridCol w:w="530"/>
        <w:gridCol w:w="815"/>
        <w:gridCol w:w="541"/>
        <w:gridCol w:w="2294"/>
        <w:gridCol w:w="2776"/>
        <w:gridCol w:w="698"/>
        <w:gridCol w:w="567"/>
        <w:gridCol w:w="709"/>
      </w:tblGrid>
      <w:tr w14:paraId="57B6EA89">
        <w:tblPrEx>
          <w:tblCellMar>
            <w:top w:w="0" w:type="dxa"/>
            <w:left w:w="108" w:type="dxa"/>
            <w:bottom w:w="0" w:type="dxa"/>
            <w:right w:w="108" w:type="dxa"/>
          </w:tblCellMar>
        </w:tblPrEx>
        <w:trPr>
          <w:trHeight w:val="1192"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5C850AC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序号</w:t>
            </w:r>
          </w:p>
        </w:tc>
        <w:tc>
          <w:tcPr>
            <w:tcW w:w="815" w:type="dxa"/>
            <w:tcBorders>
              <w:top w:val="single" w:color="auto" w:sz="4" w:space="0"/>
              <w:left w:val="nil"/>
              <w:bottom w:val="single" w:color="auto" w:sz="4" w:space="0"/>
              <w:right w:val="single" w:color="auto" w:sz="4" w:space="0"/>
            </w:tcBorders>
            <w:noWrap/>
            <w:vAlign w:val="center"/>
          </w:tcPr>
          <w:p w14:paraId="76FBA04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分项</w:t>
            </w:r>
          </w:p>
        </w:tc>
        <w:tc>
          <w:tcPr>
            <w:tcW w:w="541" w:type="dxa"/>
            <w:tcBorders>
              <w:top w:val="single" w:color="auto" w:sz="4" w:space="0"/>
              <w:left w:val="nil"/>
              <w:bottom w:val="single" w:color="auto" w:sz="4" w:space="0"/>
              <w:right w:val="single" w:color="auto" w:sz="4" w:space="0"/>
            </w:tcBorders>
            <w:noWrap/>
            <w:vAlign w:val="center"/>
          </w:tcPr>
          <w:p w14:paraId="2E3FB24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条目</w:t>
            </w:r>
          </w:p>
        </w:tc>
        <w:tc>
          <w:tcPr>
            <w:tcW w:w="2294" w:type="dxa"/>
            <w:tcBorders>
              <w:top w:val="single" w:color="auto" w:sz="4" w:space="0"/>
              <w:left w:val="nil"/>
              <w:bottom w:val="single" w:color="auto" w:sz="4" w:space="0"/>
              <w:right w:val="single" w:color="auto" w:sz="4" w:space="0"/>
            </w:tcBorders>
            <w:noWrap/>
            <w:vAlign w:val="center"/>
          </w:tcPr>
          <w:p w14:paraId="5CA757E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考核内容及</w:t>
            </w:r>
          </w:p>
          <w:p w14:paraId="1AE3703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管护要求</w:t>
            </w:r>
          </w:p>
        </w:tc>
        <w:tc>
          <w:tcPr>
            <w:tcW w:w="2776" w:type="dxa"/>
            <w:tcBorders>
              <w:top w:val="single" w:color="auto" w:sz="4" w:space="0"/>
              <w:left w:val="nil"/>
              <w:bottom w:val="single" w:color="auto" w:sz="4" w:space="0"/>
              <w:right w:val="single" w:color="auto" w:sz="4" w:space="0"/>
            </w:tcBorders>
            <w:noWrap/>
            <w:vAlign w:val="center"/>
          </w:tcPr>
          <w:p w14:paraId="2255A6A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评分细则</w:t>
            </w:r>
          </w:p>
        </w:tc>
        <w:tc>
          <w:tcPr>
            <w:tcW w:w="698" w:type="dxa"/>
            <w:tcBorders>
              <w:top w:val="single" w:color="auto" w:sz="4" w:space="0"/>
              <w:left w:val="nil"/>
              <w:bottom w:val="single" w:color="auto" w:sz="4" w:space="0"/>
              <w:right w:val="single" w:color="auto" w:sz="4" w:space="0"/>
            </w:tcBorders>
            <w:noWrap/>
            <w:vAlign w:val="center"/>
          </w:tcPr>
          <w:p w14:paraId="4AE7545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分值</w:t>
            </w:r>
          </w:p>
        </w:tc>
        <w:tc>
          <w:tcPr>
            <w:tcW w:w="567" w:type="dxa"/>
            <w:tcBorders>
              <w:top w:val="single" w:color="auto" w:sz="4" w:space="0"/>
              <w:left w:val="nil"/>
              <w:bottom w:val="single" w:color="auto" w:sz="4" w:space="0"/>
              <w:right w:val="single" w:color="auto" w:sz="4" w:space="0"/>
            </w:tcBorders>
            <w:noWrap/>
            <w:vAlign w:val="center"/>
          </w:tcPr>
          <w:p w14:paraId="279BA19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得分</w:t>
            </w:r>
          </w:p>
        </w:tc>
        <w:tc>
          <w:tcPr>
            <w:tcW w:w="709" w:type="dxa"/>
            <w:tcBorders>
              <w:top w:val="single" w:color="auto" w:sz="4" w:space="0"/>
              <w:left w:val="nil"/>
              <w:bottom w:val="single" w:color="auto" w:sz="4" w:space="0"/>
              <w:right w:val="single" w:color="auto" w:sz="4" w:space="0"/>
            </w:tcBorders>
            <w:noWrap/>
            <w:vAlign w:val="center"/>
          </w:tcPr>
          <w:p w14:paraId="1892EDBB">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扣分原因</w:t>
            </w:r>
          </w:p>
        </w:tc>
      </w:tr>
      <w:tr w14:paraId="0C421995">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right w:val="single" w:color="auto" w:sz="4" w:space="0"/>
            </w:tcBorders>
            <w:noWrap/>
            <w:vAlign w:val="center"/>
          </w:tcPr>
          <w:p w14:paraId="1F506E2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815" w:type="dxa"/>
            <w:vMerge w:val="restart"/>
            <w:tcBorders>
              <w:top w:val="single" w:color="auto" w:sz="4" w:space="0"/>
              <w:left w:val="nil"/>
              <w:right w:val="single" w:color="auto" w:sz="4" w:space="0"/>
            </w:tcBorders>
            <w:noWrap/>
            <w:vAlign w:val="center"/>
          </w:tcPr>
          <w:p w14:paraId="6B9F771B">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绿地环境</w:t>
            </w:r>
          </w:p>
          <w:p w14:paraId="5FA940F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rPr>
              <w:t>5</w:t>
            </w:r>
            <w:r>
              <w:rPr>
                <w:rFonts w:cs="宋体" w:asciiTheme="majorEastAsia" w:hAnsiTheme="majorEastAsia" w:eastAsiaTheme="majorEastAsia"/>
                <w:color w:val="auto"/>
                <w:kern w:val="0"/>
                <w:sz w:val="24"/>
                <w:highlight w:val="none"/>
              </w:rPr>
              <w:t>分</w:t>
            </w:r>
          </w:p>
        </w:tc>
        <w:tc>
          <w:tcPr>
            <w:tcW w:w="541" w:type="dxa"/>
            <w:tcBorders>
              <w:top w:val="single" w:color="auto" w:sz="4" w:space="0"/>
              <w:left w:val="nil"/>
              <w:bottom w:val="single" w:color="auto" w:sz="4" w:space="0"/>
              <w:right w:val="single" w:color="auto" w:sz="4" w:space="0"/>
            </w:tcBorders>
            <w:noWrap/>
            <w:vAlign w:val="center"/>
          </w:tcPr>
          <w:p w14:paraId="7B2D3A6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2294" w:type="dxa"/>
            <w:tcBorders>
              <w:top w:val="single" w:color="auto" w:sz="4" w:space="0"/>
              <w:left w:val="nil"/>
              <w:bottom w:val="single" w:color="auto" w:sz="4" w:space="0"/>
              <w:right w:val="single" w:color="auto" w:sz="4" w:space="0"/>
            </w:tcBorders>
            <w:noWrap/>
            <w:vAlign w:val="center"/>
          </w:tcPr>
          <w:p w14:paraId="1125C3D5">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noWrap/>
            <w:vAlign w:val="center"/>
          </w:tcPr>
          <w:p w14:paraId="70D66A2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6CB3B86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567" w:type="dxa"/>
            <w:tcBorders>
              <w:top w:val="single" w:color="auto" w:sz="4" w:space="0"/>
              <w:left w:val="nil"/>
              <w:bottom w:val="single" w:color="auto" w:sz="4" w:space="0"/>
              <w:right w:val="single" w:color="auto" w:sz="4" w:space="0"/>
            </w:tcBorders>
            <w:noWrap/>
            <w:vAlign w:val="center"/>
          </w:tcPr>
          <w:p w14:paraId="45B63E08">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7B76810F">
            <w:pPr>
              <w:widowControl/>
              <w:spacing w:line="300" w:lineRule="exact"/>
              <w:jc w:val="center"/>
              <w:rPr>
                <w:rFonts w:asciiTheme="majorEastAsia" w:hAnsiTheme="majorEastAsia" w:eastAsiaTheme="majorEastAsia"/>
                <w:color w:val="auto"/>
                <w:kern w:val="0"/>
                <w:sz w:val="24"/>
                <w:highlight w:val="none"/>
              </w:rPr>
            </w:pPr>
          </w:p>
        </w:tc>
      </w:tr>
      <w:tr w14:paraId="3DF87559">
        <w:tblPrEx>
          <w:tblCellMar>
            <w:top w:w="0" w:type="dxa"/>
            <w:left w:w="108" w:type="dxa"/>
            <w:bottom w:w="0" w:type="dxa"/>
            <w:right w:w="108" w:type="dxa"/>
          </w:tblCellMar>
        </w:tblPrEx>
        <w:trPr>
          <w:trHeight w:val="116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5EDC29CA">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3F3C2138">
            <w:pPr>
              <w:widowControl/>
              <w:spacing w:line="300" w:lineRule="exact"/>
              <w:jc w:val="center"/>
              <w:rPr>
                <w:rFonts w:asciiTheme="majorEastAsia" w:hAnsiTheme="majorEastAsia" w:eastAsiaTheme="majorEastAsia"/>
                <w:color w:val="auto"/>
                <w:kern w:val="0"/>
                <w:sz w:val="24"/>
                <w:highlight w:val="none"/>
              </w:rPr>
            </w:pPr>
          </w:p>
        </w:tc>
        <w:tc>
          <w:tcPr>
            <w:tcW w:w="541" w:type="dxa"/>
            <w:tcBorders>
              <w:top w:val="single" w:color="auto" w:sz="4" w:space="0"/>
              <w:left w:val="nil"/>
              <w:bottom w:val="single" w:color="auto" w:sz="4" w:space="0"/>
              <w:right w:val="single" w:color="auto" w:sz="4" w:space="0"/>
            </w:tcBorders>
            <w:noWrap/>
            <w:vAlign w:val="center"/>
          </w:tcPr>
          <w:p w14:paraId="00D33E5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2294" w:type="dxa"/>
            <w:tcBorders>
              <w:top w:val="single" w:color="auto" w:sz="4" w:space="0"/>
              <w:left w:val="nil"/>
              <w:bottom w:val="single" w:color="auto" w:sz="4" w:space="0"/>
              <w:right w:val="single" w:color="auto" w:sz="4" w:space="0"/>
            </w:tcBorders>
            <w:noWrap/>
            <w:vAlign w:val="center"/>
          </w:tcPr>
          <w:p w14:paraId="430B0651">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绿化生产垃圾（树枝、树叶、草屑等）</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一级养护随产随清</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二级养护日产日清。</w:t>
            </w:r>
          </w:p>
        </w:tc>
        <w:tc>
          <w:tcPr>
            <w:tcW w:w="2776" w:type="dxa"/>
            <w:tcBorders>
              <w:top w:val="single" w:color="auto" w:sz="4" w:space="0"/>
              <w:left w:val="nil"/>
              <w:bottom w:val="single" w:color="auto" w:sz="4" w:space="0"/>
              <w:right w:val="single" w:color="auto" w:sz="4" w:space="0"/>
            </w:tcBorders>
            <w:noWrap/>
            <w:vAlign w:val="center"/>
          </w:tcPr>
          <w:p w14:paraId="18FE1730">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66CC4F7F">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10</w:t>
            </w:r>
          </w:p>
        </w:tc>
        <w:tc>
          <w:tcPr>
            <w:tcW w:w="567" w:type="dxa"/>
            <w:tcBorders>
              <w:top w:val="single" w:color="auto" w:sz="4" w:space="0"/>
              <w:left w:val="nil"/>
              <w:bottom w:val="single" w:color="auto" w:sz="4" w:space="0"/>
              <w:right w:val="single" w:color="auto" w:sz="4" w:space="0"/>
            </w:tcBorders>
            <w:noWrap/>
            <w:vAlign w:val="center"/>
          </w:tcPr>
          <w:p w14:paraId="4712AAC8">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322E86DC">
            <w:pPr>
              <w:widowControl/>
              <w:spacing w:line="300" w:lineRule="exact"/>
              <w:jc w:val="center"/>
              <w:rPr>
                <w:rFonts w:asciiTheme="majorEastAsia" w:hAnsiTheme="majorEastAsia" w:eastAsiaTheme="majorEastAsia"/>
                <w:color w:val="auto"/>
                <w:kern w:val="0"/>
                <w:sz w:val="24"/>
                <w:highlight w:val="none"/>
              </w:rPr>
            </w:pPr>
          </w:p>
        </w:tc>
      </w:tr>
      <w:tr w14:paraId="36DBD0E3">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right w:val="single" w:color="auto" w:sz="4" w:space="0"/>
            </w:tcBorders>
            <w:noWrap/>
            <w:vAlign w:val="center"/>
          </w:tcPr>
          <w:p w14:paraId="7FBA9F7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815" w:type="dxa"/>
            <w:vMerge w:val="restart"/>
            <w:tcBorders>
              <w:top w:val="single" w:color="auto" w:sz="4" w:space="0"/>
              <w:left w:val="nil"/>
              <w:right w:val="single" w:color="auto" w:sz="4" w:space="0"/>
            </w:tcBorders>
            <w:noWrap/>
            <w:vAlign w:val="center"/>
          </w:tcPr>
          <w:p w14:paraId="3585552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松土除草</w:t>
            </w:r>
          </w:p>
          <w:p w14:paraId="5721865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15分</w:t>
            </w:r>
          </w:p>
        </w:tc>
        <w:tc>
          <w:tcPr>
            <w:tcW w:w="541" w:type="dxa"/>
            <w:tcBorders>
              <w:top w:val="single" w:color="auto" w:sz="4" w:space="0"/>
              <w:left w:val="nil"/>
              <w:bottom w:val="single" w:color="auto" w:sz="4" w:space="0"/>
              <w:right w:val="single" w:color="auto" w:sz="4" w:space="0"/>
            </w:tcBorders>
            <w:noWrap/>
            <w:vAlign w:val="center"/>
          </w:tcPr>
          <w:p w14:paraId="3C2CE15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2294" w:type="dxa"/>
            <w:tcBorders>
              <w:top w:val="single" w:color="auto" w:sz="4" w:space="0"/>
              <w:left w:val="nil"/>
              <w:bottom w:val="single" w:color="auto" w:sz="4" w:space="0"/>
              <w:right w:val="single" w:color="auto" w:sz="4" w:space="0"/>
            </w:tcBorders>
            <w:noWrap/>
            <w:vAlign w:val="center"/>
          </w:tcPr>
          <w:p w14:paraId="20CDF052">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noWrap/>
            <w:vAlign w:val="center"/>
          </w:tcPr>
          <w:p w14:paraId="17893D3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树穴、地被土壤板结，长期不疏松，扣0.5分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处。发现有杂草扣1分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06FE9FD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12</w:t>
            </w:r>
          </w:p>
        </w:tc>
        <w:tc>
          <w:tcPr>
            <w:tcW w:w="567" w:type="dxa"/>
            <w:tcBorders>
              <w:top w:val="single" w:color="auto" w:sz="4" w:space="0"/>
              <w:left w:val="nil"/>
              <w:bottom w:val="single" w:color="auto" w:sz="4" w:space="0"/>
              <w:right w:val="single" w:color="auto" w:sz="4" w:space="0"/>
            </w:tcBorders>
            <w:noWrap/>
            <w:vAlign w:val="center"/>
          </w:tcPr>
          <w:p w14:paraId="714665F9">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34C2F91E">
            <w:pPr>
              <w:widowControl/>
              <w:spacing w:line="300" w:lineRule="exact"/>
              <w:jc w:val="center"/>
              <w:rPr>
                <w:rFonts w:asciiTheme="majorEastAsia" w:hAnsiTheme="majorEastAsia" w:eastAsiaTheme="majorEastAsia"/>
                <w:color w:val="auto"/>
                <w:kern w:val="0"/>
                <w:sz w:val="24"/>
                <w:highlight w:val="none"/>
              </w:rPr>
            </w:pPr>
          </w:p>
        </w:tc>
      </w:tr>
      <w:tr w14:paraId="265513BE">
        <w:tblPrEx>
          <w:tblCellMar>
            <w:top w:w="0" w:type="dxa"/>
            <w:left w:w="108" w:type="dxa"/>
            <w:bottom w:w="0" w:type="dxa"/>
            <w:right w:w="108" w:type="dxa"/>
          </w:tblCellMar>
        </w:tblPrEx>
        <w:trPr>
          <w:trHeight w:val="110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9E957E7">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77DDFEAC">
            <w:pPr>
              <w:widowControl/>
              <w:spacing w:line="300" w:lineRule="exact"/>
              <w:jc w:val="center"/>
              <w:rPr>
                <w:rFonts w:asciiTheme="majorEastAsia" w:hAnsiTheme="majorEastAsia" w:eastAsiaTheme="majorEastAsia"/>
                <w:color w:val="auto"/>
                <w:kern w:val="0"/>
                <w:sz w:val="24"/>
                <w:highlight w:val="none"/>
              </w:rPr>
            </w:pPr>
          </w:p>
        </w:tc>
        <w:tc>
          <w:tcPr>
            <w:tcW w:w="541" w:type="dxa"/>
            <w:tcBorders>
              <w:top w:val="single" w:color="auto" w:sz="4" w:space="0"/>
              <w:left w:val="nil"/>
              <w:bottom w:val="single" w:color="auto" w:sz="4" w:space="0"/>
              <w:right w:val="single" w:color="auto" w:sz="4" w:space="0"/>
            </w:tcBorders>
            <w:noWrap/>
            <w:vAlign w:val="center"/>
          </w:tcPr>
          <w:p w14:paraId="1A8010C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2294" w:type="dxa"/>
            <w:tcBorders>
              <w:top w:val="single" w:color="auto" w:sz="4" w:space="0"/>
              <w:left w:val="nil"/>
              <w:bottom w:val="single" w:color="auto" w:sz="4" w:space="0"/>
              <w:right w:val="single" w:color="auto" w:sz="4" w:space="0"/>
            </w:tcBorders>
            <w:noWrap/>
            <w:vAlign w:val="center"/>
          </w:tcPr>
          <w:p w14:paraId="3E11A6A6">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noWrap/>
            <w:vAlign w:val="center"/>
          </w:tcPr>
          <w:p w14:paraId="4632F2C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树穴、绿篱等不及时切边，草坪与树木、绿篱、草花等无明显分隔沟扣0.5分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2B9909F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567" w:type="dxa"/>
            <w:tcBorders>
              <w:top w:val="single" w:color="auto" w:sz="4" w:space="0"/>
              <w:left w:val="nil"/>
              <w:bottom w:val="single" w:color="auto" w:sz="4" w:space="0"/>
              <w:right w:val="single" w:color="auto" w:sz="4" w:space="0"/>
            </w:tcBorders>
            <w:noWrap/>
            <w:vAlign w:val="center"/>
          </w:tcPr>
          <w:p w14:paraId="29206016">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5A130288">
            <w:pPr>
              <w:widowControl/>
              <w:spacing w:line="300" w:lineRule="exact"/>
              <w:jc w:val="center"/>
              <w:rPr>
                <w:rFonts w:asciiTheme="majorEastAsia" w:hAnsiTheme="majorEastAsia" w:eastAsiaTheme="majorEastAsia"/>
                <w:color w:val="auto"/>
                <w:kern w:val="0"/>
                <w:sz w:val="24"/>
                <w:highlight w:val="none"/>
              </w:rPr>
            </w:pPr>
          </w:p>
        </w:tc>
      </w:tr>
      <w:tr w14:paraId="3351302D">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28E32EE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815" w:type="dxa"/>
            <w:tcBorders>
              <w:top w:val="single" w:color="auto" w:sz="4" w:space="0"/>
              <w:left w:val="nil"/>
              <w:bottom w:val="single" w:color="auto" w:sz="4" w:space="0"/>
              <w:right w:val="single" w:color="auto" w:sz="4" w:space="0"/>
            </w:tcBorders>
            <w:noWrap/>
            <w:vAlign w:val="center"/>
          </w:tcPr>
          <w:p w14:paraId="2E8BF7D7">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浇灌排水</w:t>
            </w:r>
          </w:p>
          <w:p w14:paraId="4AAFC05B">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6</w:t>
            </w:r>
            <w:r>
              <w:rPr>
                <w:rFonts w:cs="宋体" w:asciiTheme="majorEastAsia" w:hAnsiTheme="majorEastAsia" w:eastAsiaTheme="majorEastAsia"/>
                <w:color w:val="auto"/>
                <w:kern w:val="0"/>
                <w:sz w:val="24"/>
                <w:highlight w:val="none"/>
              </w:rPr>
              <w:t>分</w:t>
            </w:r>
          </w:p>
        </w:tc>
        <w:tc>
          <w:tcPr>
            <w:tcW w:w="541" w:type="dxa"/>
            <w:tcBorders>
              <w:top w:val="single" w:color="auto" w:sz="4" w:space="0"/>
              <w:left w:val="nil"/>
              <w:bottom w:val="single" w:color="auto" w:sz="4" w:space="0"/>
              <w:right w:val="single" w:color="auto" w:sz="4" w:space="0"/>
            </w:tcBorders>
            <w:noWrap/>
            <w:vAlign w:val="center"/>
          </w:tcPr>
          <w:p w14:paraId="5373475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2294" w:type="dxa"/>
            <w:tcBorders>
              <w:top w:val="single" w:color="auto" w:sz="4" w:space="0"/>
              <w:left w:val="nil"/>
              <w:bottom w:val="single" w:color="auto" w:sz="4" w:space="0"/>
              <w:right w:val="single" w:color="auto" w:sz="4" w:space="0"/>
            </w:tcBorders>
            <w:noWrap/>
            <w:vAlign w:val="center"/>
          </w:tcPr>
          <w:p w14:paraId="0883A341">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noWrap/>
            <w:vAlign w:val="center"/>
          </w:tcPr>
          <w:p w14:paraId="3D1AAA4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未及时浇灌，致使绿地植物生长不良，树木扣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株，绿篱、草坪扣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致植物枯死加倍扣分。</w:t>
            </w:r>
          </w:p>
        </w:tc>
        <w:tc>
          <w:tcPr>
            <w:tcW w:w="698" w:type="dxa"/>
            <w:tcBorders>
              <w:top w:val="single" w:color="auto" w:sz="4" w:space="0"/>
              <w:left w:val="nil"/>
              <w:bottom w:val="single" w:color="auto" w:sz="4" w:space="0"/>
              <w:right w:val="single" w:color="auto" w:sz="4" w:space="0"/>
            </w:tcBorders>
            <w:noWrap/>
            <w:vAlign w:val="center"/>
          </w:tcPr>
          <w:p w14:paraId="4302A847">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6</w:t>
            </w:r>
          </w:p>
        </w:tc>
        <w:tc>
          <w:tcPr>
            <w:tcW w:w="567" w:type="dxa"/>
            <w:tcBorders>
              <w:top w:val="single" w:color="auto" w:sz="4" w:space="0"/>
              <w:left w:val="nil"/>
              <w:bottom w:val="single" w:color="auto" w:sz="4" w:space="0"/>
              <w:right w:val="single" w:color="auto" w:sz="4" w:space="0"/>
            </w:tcBorders>
            <w:noWrap/>
            <w:vAlign w:val="center"/>
          </w:tcPr>
          <w:p w14:paraId="57FE80C3">
            <w:pPr>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599E91EE">
            <w:pPr>
              <w:spacing w:line="300" w:lineRule="exact"/>
              <w:jc w:val="center"/>
              <w:rPr>
                <w:rFonts w:asciiTheme="majorEastAsia" w:hAnsiTheme="majorEastAsia" w:eastAsiaTheme="majorEastAsia"/>
                <w:color w:val="auto"/>
                <w:kern w:val="0"/>
                <w:sz w:val="24"/>
                <w:highlight w:val="none"/>
              </w:rPr>
            </w:pPr>
          </w:p>
        </w:tc>
      </w:tr>
      <w:tr w14:paraId="7F726353">
        <w:tblPrEx>
          <w:tblCellMar>
            <w:top w:w="0" w:type="dxa"/>
            <w:left w:w="108" w:type="dxa"/>
            <w:bottom w:w="0" w:type="dxa"/>
            <w:right w:w="108" w:type="dxa"/>
          </w:tblCellMar>
        </w:tblPrEx>
        <w:trPr>
          <w:trHeight w:val="12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4CB20A9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815" w:type="dxa"/>
            <w:tcBorders>
              <w:top w:val="single" w:color="auto" w:sz="4" w:space="0"/>
              <w:left w:val="nil"/>
              <w:bottom w:val="single" w:color="auto" w:sz="4" w:space="0"/>
              <w:right w:val="single" w:color="auto" w:sz="4" w:space="0"/>
            </w:tcBorders>
            <w:noWrap/>
            <w:vAlign w:val="center"/>
          </w:tcPr>
          <w:p w14:paraId="654CE6F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施肥</w:t>
            </w:r>
          </w:p>
          <w:p w14:paraId="5245A710">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8</w:t>
            </w:r>
            <w:r>
              <w:rPr>
                <w:rFonts w:cs="宋体" w:asciiTheme="majorEastAsia" w:hAnsiTheme="majorEastAsia" w:eastAsiaTheme="majorEastAsia"/>
                <w:color w:val="auto"/>
                <w:kern w:val="0"/>
                <w:sz w:val="24"/>
                <w:highlight w:val="none"/>
              </w:rPr>
              <w:t>分</w:t>
            </w:r>
          </w:p>
        </w:tc>
        <w:tc>
          <w:tcPr>
            <w:tcW w:w="541" w:type="dxa"/>
            <w:tcBorders>
              <w:top w:val="single" w:color="auto" w:sz="4" w:space="0"/>
              <w:left w:val="nil"/>
              <w:bottom w:val="single" w:color="auto" w:sz="4" w:space="0"/>
              <w:right w:val="single" w:color="auto" w:sz="4" w:space="0"/>
            </w:tcBorders>
            <w:noWrap/>
            <w:vAlign w:val="center"/>
          </w:tcPr>
          <w:p w14:paraId="5526EB0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6</w:t>
            </w:r>
          </w:p>
        </w:tc>
        <w:tc>
          <w:tcPr>
            <w:tcW w:w="2294" w:type="dxa"/>
            <w:tcBorders>
              <w:top w:val="single" w:color="auto" w:sz="4" w:space="0"/>
              <w:left w:val="nil"/>
              <w:bottom w:val="single" w:color="auto" w:sz="4" w:space="0"/>
              <w:right w:val="single" w:color="auto" w:sz="4" w:space="0"/>
            </w:tcBorders>
            <w:noWrap/>
            <w:vAlign w:val="center"/>
          </w:tcPr>
          <w:p w14:paraId="511339B1">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施肥计划上报，每次施肥量证相符，现场施肥考核，绿地、草坪、植物按要求施肥及时，规定</w:t>
            </w:r>
            <w:r>
              <w:rPr>
                <w:rFonts w:hint="eastAsia" w:cs="宋体" w:asciiTheme="majorEastAsia" w:hAnsiTheme="majorEastAsia" w:eastAsiaTheme="majorEastAsia"/>
                <w:color w:val="auto"/>
                <w:kern w:val="0"/>
                <w:sz w:val="24"/>
                <w:highlight w:val="none"/>
              </w:rPr>
              <w:t>10</w:t>
            </w:r>
            <w:r>
              <w:rPr>
                <w:rFonts w:cs="宋体" w:asciiTheme="majorEastAsia" w:hAnsiTheme="majorEastAsia" w:eastAsiaTheme="majorEastAsia"/>
                <w:color w:val="auto"/>
                <w:kern w:val="0"/>
                <w:sz w:val="24"/>
                <w:highlight w:val="none"/>
              </w:rPr>
              <w:t>月份左右施肥</w:t>
            </w:r>
            <w:r>
              <w:rPr>
                <w:rFonts w:hint="eastAsia" w:cs="宋体" w:asciiTheme="majorEastAsia" w:hAnsiTheme="majorEastAsia" w:eastAsiaTheme="majorEastAsia"/>
                <w:color w:val="auto"/>
                <w:kern w:val="0"/>
                <w:sz w:val="24"/>
                <w:highlight w:val="none"/>
              </w:rPr>
              <w:t>。</w:t>
            </w:r>
          </w:p>
        </w:tc>
        <w:tc>
          <w:tcPr>
            <w:tcW w:w="2776" w:type="dxa"/>
            <w:tcBorders>
              <w:top w:val="single" w:color="auto" w:sz="4" w:space="0"/>
              <w:left w:val="nil"/>
              <w:bottom w:val="single" w:color="auto" w:sz="4" w:space="0"/>
              <w:right w:val="single" w:color="auto" w:sz="4" w:space="0"/>
            </w:tcBorders>
            <w:noWrap/>
            <w:vAlign w:val="center"/>
          </w:tcPr>
          <w:p w14:paraId="69992672">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未上报施肥计划每次扣4分，不按规定及时施肥，扣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处；偷工减料，发现一次扣2分。</w:t>
            </w:r>
          </w:p>
        </w:tc>
        <w:tc>
          <w:tcPr>
            <w:tcW w:w="698" w:type="dxa"/>
            <w:tcBorders>
              <w:top w:val="single" w:color="auto" w:sz="4" w:space="0"/>
              <w:left w:val="nil"/>
              <w:bottom w:val="single" w:color="auto" w:sz="4" w:space="0"/>
              <w:right w:val="single" w:color="auto" w:sz="4" w:space="0"/>
            </w:tcBorders>
            <w:noWrap/>
            <w:vAlign w:val="center"/>
          </w:tcPr>
          <w:p w14:paraId="3364D9E0">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8</w:t>
            </w:r>
          </w:p>
        </w:tc>
        <w:tc>
          <w:tcPr>
            <w:tcW w:w="567" w:type="dxa"/>
            <w:tcBorders>
              <w:top w:val="single" w:color="auto" w:sz="4" w:space="0"/>
              <w:left w:val="nil"/>
              <w:bottom w:val="single" w:color="auto" w:sz="4" w:space="0"/>
              <w:right w:val="single" w:color="auto" w:sz="4" w:space="0"/>
            </w:tcBorders>
            <w:noWrap/>
            <w:vAlign w:val="center"/>
          </w:tcPr>
          <w:p w14:paraId="3F0746E2">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15372425">
            <w:pPr>
              <w:widowControl/>
              <w:spacing w:line="300" w:lineRule="exact"/>
              <w:jc w:val="center"/>
              <w:rPr>
                <w:rFonts w:asciiTheme="majorEastAsia" w:hAnsiTheme="majorEastAsia" w:eastAsiaTheme="majorEastAsia"/>
                <w:color w:val="auto"/>
                <w:kern w:val="0"/>
                <w:sz w:val="24"/>
                <w:highlight w:val="none"/>
              </w:rPr>
            </w:pPr>
          </w:p>
        </w:tc>
      </w:tr>
      <w:tr w14:paraId="010E685F">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right w:val="single" w:color="auto" w:sz="4" w:space="0"/>
            </w:tcBorders>
            <w:noWrap/>
            <w:vAlign w:val="center"/>
          </w:tcPr>
          <w:p w14:paraId="625956B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815" w:type="dxa"/>
            <w:vMerge w:val="restart"/>
            <w:tcBorders>
              <w:top w:val="single" w:color="auto" w:sz="4" w:space="0"/>
              <w:left w:val="nil"/>
              <w:right w:val="single" w:color="auto" w:sz="4" w:space="0"/>
            </w:tcBorders>
            <w:noWrap/>
            <w:vAlign w:val="center"/>
          </w:tcPr>
          <w:p w14:paraId="1860BC85">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绿化长势</w:t>
            </w:r>
          </w:p>
          <w:p w14:paraId="522CEE77">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9</w:t>
            </w:r>
            <w:r>
              <w:rPr>
                <w:rFonts w:cs="宋体" w:asciiTheme="majorEastAsia" w:hAnsiTheme="majorEastAsia" w:eastAsiaTheme="majorEastAsia"/>
                <w:color w:val="auto"/>
                <w:kern w:val="0"/>
                <w:sz w:val="24"/>
                <w:highlight w:val="none"/>
              </w:rPr>
              <w:t>分</w:t>
            </w:r>
          </w:p>
        </w:tc>
        <w:tc>
          <w:tcPr>
            <w:tcW w:w="541" w:type="dxa"/>
            <w:tcBorders>
              <w:top w:val="single" w:color="auto" w:sz="4" w:space="0"/>
              <w:left w:val="nil"/>
              <w:bottom w:val="single" w:color="auto" w:sz="4" w:space="0"/>
              <w:right w:val="single" w:color="auto" w:sz="4" w:space="0"/>
            </w:tcBorders>
            <w:noWrap/>
            <w:vAlign w:val="center"/>
          </w:tcPr>
          <w:p w14:paraId="20C5354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7</w:t>
            </w:r>
          </w:p>
        </w:tc>
        <w:tc>
          <w:tcPr>
            <w:tcW w:w="2294" w:type="dxa"/>
            <w:tcBorders>
              <w:top w:val="single" w:color="auto" w:sz="4" w:space="0"/>
              <w:left w:val="nil"/>
              <w:bottom w:val="single" w:color="auto" w:sz="4" w:space="0"/>
              <w:right w:val="single" w:color="auto" w:sz="4" w:space="0"/>
            </w:tcBorders>
            <w:noWrap/>
            <w:vAlign w:val="center"/>
          </w:tcPr>
          <w:p w14:paraId="4898D94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noWrap/>
            <w:vAlign w:val="center"/>
          </w:tcPr>
          <w:p w14:paraId="2AD44A64">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发现死树，扣1分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株；有断枝、枯叶、大片光秃落叶，发现一处扣0.5分，色块内有</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处灌木死亡扣1分/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。或加倍扣分。</w:t>
            </w:r>
          </w:p>
        </w:tc>
        <w:tc>
          <w:tcPr>
            <w:tcW w:w="698" w:type="dxa"/>
            <w:tcBorders>
              <w:top w:val="single" w:color="auto" w:sz="4" w:space="0"/>
              <w:left w:val="nil"/>
              <w:bottom w:val="single" w:color="auto" w:sz="4" w:space="0"/>
              <w:right w:val="single" w:color="auto" w:sz="4" w:space="0"/>
            </w:tcBorders>
            <w:noWrap/>
            <w:vAlign w:val="center"/>
          </w:tcPr>
          <w:p w14:paraId="2D36B0C0">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w:t>
            </w:r>
          </w:p>
        </w:tc>
        <w:tc>
          <w:tcPr>
            <w:tcW w:w="567" w:type="dxa"/>
            <w:tcBorders>
              <w:top w:val="single" w:color="auto" w:sz="4" w:space="0"/>
              <w:left w:val="nil"/>
              <w:bottom w:val="single" w:color="auto" w:sz="4" w:space="0"/>
              <w:right w:val="single" w:color="auto" w:sz="4" w:space="0"/>
            </w:tcBorders>
            <w:noWrap/>
            <w:vAlign w:val="center"/>
          </w:tcPr>
          <w:p w14:paraId="26278819">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559CF275">
            <w:pPr>
              <w:widowControl/>
              <w:spacing w:line="300" w:lineRule="exact"/>
              <w:jc w:val="center"/>
              <w:rPr>
                <w:rFonts w:asciiTheme="majorEastAsia" w:hAnsiTheme="majorEastAsia" w:eastAsiaTheme="majorEastAsia"/>
                <w:color w:val="auto"/>
                <w:kern w:val="0"/>
                <w:sz w:val="24"/>
                <w:highlight w:val="none"/>
              </w:rPr>
            </w:pPr>
          </w:p>
        </w:tc>
      </w:tr>
      <w:tr w14:paraId="5741C414">
        <w:tblPrEx>
          <w:tblCellMar>
            <w:top w:w="0" w:type="dxa"/>
            <w:left w:w="108" w:type="dxa"/>
            <w:bottom w:w="0" w:type="dxa"/>
            <w:right w:w="108" w:type="dxa"/>
          </w:tblCellMar>
        </w:tblPrEx>
        <w:trPr>
          <w:trHeight w:val="694"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0C6AD46">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00F22915">
            <w:pPr>
              <w:widowControl/>
              <w:spacing w:line="300" w:lineRule="exact"/>
              <w:jc w:val="center"/>
              <w:rPr>
                <w:rFonts w:asciiTheme="majorEastAsia" w:hAnsiTheme="majorEastAsia" w:eastAsiaTheme="majorEastAsia"/>
                <w:color w:val="auto"/>
                <w:kern w:val="0"/>
                <w:sz w:val="24"/>
                <w:highlight w:val="none"/>
              </w:rPr>
            </w:pPr>
          </w:p>
        </w:tc>
        <w:tc>
          <w:tcPr>
            <w:tcW w:w="541" w:type="dxa"/>
            <w:tcBorders>
              <w:top w:val="single" w:color="auto" w:sz="4" w:space="0"/>
              <w:left w:val="nil"/>
              <w:bottom w:val="single" w:color="auto" w:sz="4" w:space="0"/>
              <w:right w:val="single" w:color="auto" w:sz="4" w:space="0"/>
            </w:tcBorders>
            <w:noWrap/>
            <w:vAlign w:val="center"/>
          </w:tcPr>
          <w:p w14:paraId="651EB0A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w:t>
            </w:r>
          </w:p>
        </w:tc>
        <w:tc>
          <w:tcPr>
            <w:tcW w:w="2294" w:type="dxa"/>
            <w:tcBorders>
              <w:top w:val="single" w:color="auto" w:sz="4" w:space="0"/>
              <w:left w:val="nil"/>
              <w:bottom w:val="single" w:color="auto" w:sz="4" w:space="0"/>
              <w:right w:val="single" w:color="auto" w:sz="4" w:space="0"/>
            </w:tcBorders>
            <w:noWrap/>
            <w:vAlign w:val="center"/>
          </w:tcPr>
          <w:p w14:paraId="656BEAB2">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noWrap/>
            <w:vAlign w:val="center"/>
          </w:tcPr>
          <w:p w14:paraId="78178B3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养护不善死亡乔灌木未按规定及时补缺，扣1分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株；死缺绿篱未按规定及时补缺，扣1分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。或加倍扣分。</w:t>
            </w:r>
          </w:p>
        </w:tc>
        <w:tc>
          <w:tcPr>
            <w:tcW w:w="698" w:type="dxa"/>
            <w:tcBorders>
              <w:top w:val="single" w:color="auto" w:sz="4" w:space="0"/>
              <w:left w:val="nil"/>
              <w:bottom w:val="single" w:color="auto" w:sz="4" w:space="0"/>
              <w:right w:val="single" w:color="auto" w:sz="4" w:space="0"/>
            </w:tcBorders>
            <w:noWrap/>
            <w:vAlign w:val="center"/>
          </w:tcPr>
          <w:p w14:paraId="3A4409E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567" w:type="dxa"/>
            <w:tcBorders>
              <w:top w:val="single" w:color="auto" w:sz="4" w:space="0"/>
              <w:left w:val="nil"/>
              <w:bottom w:val="single" w:color="auto" w:sz="4" w:space="0"/>
              <w:right w:val="single" w:color="auto" w:sz="4" w:space="0"/>
            </w:tcBorders>
            <w:noWrap/>
            <w:vAlign w:val="center"/>
          </w:tcPr>
          <w:p w14:paraId="5F3BDB5F">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165BB52A">
            <w:pPr>
              <w:widowControl/>
              <w:spacing w:line="300" w:lineRule="exact"/>
              <w:jc w:val="center"/>
              <w:rPr>
                <w:rFonts w:asciiTheme="majorEastAsia" w:hAnsiTheme="majorEastAsia" w:eastAsiaTheme="majorEastAsia"/>
                <w:color w:val="auto"/>
                <w:kern w:val="0"/>
                <w:sz w:val="24"/>
                <w:highlight w:val="none"/>
              </w:rPr>
            </w:pPr>
          </w:p>
        </w:tc>
      </w:tr>
      <w:tr w14:paraId="63893A19">
        <w:tblPrEx>
          <w:tblCellMar>
            <w:top w:w="0" w:type="dxa"/>
            <w:left w:w="108" w:type="dxa"/>
            <w:bottom w:w="0" w:type="dxa"/>
            <w:right w:w="108" w:type="dxa"/>
          </w:tblCellMar>
        </w:tblPrEx>
        <w:trPr>
          <w:trHeight w:val="2363" w:hRule="atLeast"/>
          <w:jc w:val="center"/>
        </w:trPr>
        <w:tc>
          <w:tcPr>
            <w:tcW w:w="530" w:type="dxa"/>
            <w:vMerge w:val="restart"/>
            <w:tcBorders>
              <w:top w:val="single" w:color="auto" w:sz="4" w:space="0"/>
              <w:left w:val="single" w:color="auto" w:sz="4" w:space="0"/>
              <w:right w:val="single" w:color="auto" w:sz="4" w:space="0"/>
            </w:tcBorders>
            <w:noWrap/>
            <w:vAlign w:val="center"/>
          </w:tcPr>
          <w:p w14:paraId="110C197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5</w:t>
            </w:r>
          </w:p>
        </w:tc>
        <w:tc>
          <w:tcPr>
            <w:tcW w:w="815" w:type="dxa"/>
            <w:vMerge w:val="restart"/>
            <w:tcBorders>
              <w:top w:val="single" w:color="auto" w:sz="4" w:space="0"/>
              <w:left w:val="nil"/>
              <w:right w:val="single" w:color="auto" w:sz="4" w:space="0"/>
            </w:tcBorders>
            <w:noWrap/>
            <w:vAlign w:val="center"/>
          </w:tcPr>
          <w:p w14:paraId="1839E125">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绿化长势</w:t>
            </w:r>
          </w:p>
          <w:p w14:paraId="7F7F060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14分</w:t>
            </w:r>
          </w:p>
        </w:tc>
        <w:tc>
          <w:tcPr>
            <w:tcW w:w="541" w:type="dxa"/>
            <w:tcBorders>
              <w:top w:val="single" w:color="auto" w:sz="4" w:space="0"/>
              <w:left w:val="nil"/>
              <w:bottom w:val="single" w:color="auto" w:sz="4" w:space="0"/>
              <w:right w:val="single" w:color="auto" w:sz="4" w:space="0"/>
            </w:tcBorders>
            <w:noWrap/>
            <w:vAlign w:val="center"/>
          </w:tcPr>
          <w:p w14:paraId="4717469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9</w:t>
            </w:r>
          </w:p>
        </w:tc>
        <w:tc>
          <w:tcPr>
            <w:tcW w:w="2294" w:type="dxa"/>
            <w:tcBorders>
              <w:top w:val="single" w:color="auto" w:sz="4" w:space="0"/>
              <w:left w:val="nil"/>
              <w:bottom w:val="single" w:color="auto" w:sz="4" w:space="0"/>
              <w:right w:val="single" w:color="auto" w:sz="4" w:space="0"/>
            </w:tcBorders>
            <w:noWrap/>
            <w:vAlign w:val="center"/>
          </w:tcPr>
          <w:p w14:paraId="62FBAEB3">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绿地内树木生长健壮，无倾斜、倒伏现象。高大乔木在大风来临前应采取防倒有效措施，因风害天气造成树木倒伏时，应及时扶正支撑倒伏树木并及时清理断枝。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noWrap/>
            <w:vAlign w:val="center"/>
          </w:tcPr>
          <w:p w14:paraId="6C69EA6F">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正常情况下，绿地内乔木、大灌木有倾斜或倒伏现象，扣0.5分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株；因灾害天气造成树木倒伏，应在规定时间内扶正支撑，逾期扣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株；无有效措施导致高大乔木倒伏，扣0.5分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株。或加倍扣分。</w:t>
            </w:r>
          </w:p>
        </w:tc>
        <w:tc>
          <w:tcPr>
            <w:tcW w:w="698" w:type="dxa"/>
            <w:tcBorders>
              <w:top w:val="single" w:color="auto" w:sz="4" w:space="0"/>
              <w:left w:val="nil"/>
              <w:bottom w:val="single" w:color="auto" w:sz="4" w:space="0"/>
              <w:right w:val="single" w:color="auto" w:sz="4" w:space="0"/>
            </w:tcBorders>
            <w:noWrap/>
            <w:vAlign w:val="center"/>
          </w:tcPr>
          <w:p w14:paraId="36538342">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p>
        </w:tc>
        <w:tc>
          <w:tcPr>
            <w:tcW w:w="567" w:type="dxa"/>
            <w:tcBorders>
              <w:top w:val="single" w:color="auto" w:sz="4" w:space="0"/>
              <w:left w:val="nil"/>
              <w:bottom w:val="single" w:color="auto" w:sz="4" w:space="0"/>
              <w:right w:val="single" w:color="auto" w:sz="4" w:space="0"/>
            </w:tcBorders>
            <w:noWrap/>
            <w:vAlign w:val="center"/>
          </w:tcPr>
          <w:p w14:paraId="3CDF5A36">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5F949E49">
            <w:pPr>
              <w:widowControl/>
              <w:spacing w:line="300" w:lineRule="exact"/>
              <w:jc w:val="center"/>
              <w:rPr>
                <w:rFonts w:asciiTheme="majorEastAsia" w:hAnsiTheme="majorEastAsia" w:eastAsiaTheme="majorEastAsia"/>
                <w:color w:val="auto"/>
                <w:kern w:val="0"/>
                <w:sz w:val="24"/>
                <w:highlight w:val="none"/>
              </w:rPr>
            </w:pPr>
          </w:p>
        </w:tc>
      </w:tr>
      <w:tr w14:paraId="47636767">
        <w:tblPrEx>
          <w:tblCellMar>
            <w:top w:w="0" w:type="dxa"/>
            <w:left w:w="108" w:type="dxa"/>
            <w:bottom w:w="0" w:type="dxa"/>
            <w:right w:w="108" w:type="dxa"/>
          </w:tblCellMar>
        </w:tblPrEx>
        <w:trPr>
          <w:trHeight w:val="200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286BA49">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25A536E5">
            <w:pPr>
              <w:widowControl/>
              <w:spacing w:line="300" w:lineRule="exact"/>
              <w:jc w:val="center"/>
              <w:rPr>
                <w:rFonts w:asciiTheme="majorEastAsia" w:hAnsiTheme="majorEastAsia" w:eastAsiaTheme="majorEastAsia"/>
                <w:color w:val="auto"/>
                <w:kern w:val="0"/>
                <w:sz w:val="24"/>
                <w:highlight w:val="none"/>
              </w:rPr>
            </w:pPr>
          </w:p>
        </w:tc>
        <w:tc>
          <w:tcPr>
            <w:tcW w:w="541" w:type="dxa"/>
            <w:tcBorders>
              <w:top w:val="single" w:color="auto" w:sz="4" w:space="0"/>
              <w:left w:val="nil"/>
              <w:bottom w:val="single" w:color="auto" w:sz="4" w:space="0"/>
              <w:right w:val="single" w:color="auto" w:sz="4" w:space="0"/>
            </w:tcBorders>
            <w:noWrap/>
            <w:vAlign w:val="center"/>
          </w:tcPr>
          <w:p w14:paraId="4E37C7C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10</w:t>
            </w:r>
          </w:p>
        </w:tc>
        <w:tc>
          <w:tcPr>
            <w:tcW w:w="2294" w:type="dxa"/>
            <w:tcBorders>
              <w:top w:val="single" w:color="auto" w:sz="4" w:space="0"/>
              <w:left w:val="nil"/>
              <w:bottom w:val="single" w:color="auto" w:sz="4" w:space="0"/>
              <w:right w:val="single" w:color="auto" w:sz="4" w:space="0"/>
            </w:tcBorders>
            <w:noWrap/>
            <w:vAlign w:val="center"/>
          </w:tcPr>
          <w:p w14:paraId="4CF72BC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noWrap/>
            <w:vAlign w:val="center"/>
          </w:tcPr>
          <w:p w14:paraId="41574404">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草坪有黄化现象，扣0.5分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处；有明显杂草未拔除现象，扣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；树池有杂草扣0.5分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处，养护不善造成草坪有空缺，未按规定时间完成补种的，扣0.5分</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。或加倍扣分。</w:t>
            </w:r>
          </w:p>
        </w:tc>
        <w:tc>
          <w:tcPr>
            <w:tcW w:w="698" w:type="dxa"/>
            <w:tcBorders>
              <w:top w:val="single" w:color="auto" w:sz="4" w:space="0"/>
              <w:left w:val="nil"/>
              <w:bottom w:val="single" w:color="auto" w:sz="4" w:space="0"/>
              <w:right w:val="single" w:color="auto" w:sz="4" w:space="0"/>
            </w:tcBorders>
            <w:noWrap/>
            <w:vAlign w:val="center"/>
          </w:tcPr>
          <w:p w14:paraId="4BD9154F">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w:t>
            </w:r>
          </w:p>
        </w:tc>
        <w:tc>
          <w:tcPr>
            <w:tcW w:w="567" w:type="dxa"/>
            <w:tcBorders>
              <w:top w:val="single" w:color="auto" w:sz="4" w:space="0"/>
              <w:left w:val="nil"/>
              <w:bottom w:val="single" w:color="auto" w:sz="4" w:space="0"/>
              <w:right w:val="single" w:color="auto" w:sz="4" w:space="0"/>
            </w:tcBorders>
            <w:noWrap/>
            <w:vAlign w:val="center"/>
          </w:tcPr>
          <w:p w14:paraId="621358F4">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1B488001">
            <w:pPr>
              <w:widowControl/>
              <w:spacing w:line="300" w:lineRule="exact"/>
              <w:jc w:val="center"/>
              <w:rPr>
                <w:rFonts w:asciiTheme="majorEastAsia" w:hAnsiTheme="majorEastAsia" w:eastAsiaTheme="majorEastAsia"/>
                <w:color w:val="auto"/>
                <w:kern w:val="0"/>
                <w:sz w:val="24"/>
                <w:highlight w:val="none"/>
              </w:rPr>
            </w:pPr>
          </w:p>
        </w:tc>
      </w:tr>
      <w:tr w14:paraId="2DB4E74A">
        <w:tblPrEx>
          <w:tblCellMar>
            <w:top w:w="0" w:type="dxa"/>
            <w:left w:w="108" w:type="dxa"/>
            <w:bottom w:w="0" w:type="dxa"/>
            <w:right w:w="108" w:type="dxa"/>
          </w:tblCellMar>
        </w:tblPrEx>
        <w:trPr>
          <w:trHeight w:val="1134"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4B82A75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6</w:t>
            </w:r>
          </w:p>
        </w:tc>
        <w:tc>
          <w:tcPr>
            <w:tcW w:w="815" w:type="dxa"/>
            <w:tcBorders>
              <w:top w:val="single" w:color="auto" w:sz="4" w:space="0"/>
              <w:left w:val="nil"/>
              <w:bottom w:val="single" w:color="auto" w:sz="4" w:space="0"/>
              <w:right w:val="single" w:color="auto" w:sz="4" w:space="0"/>
            </w:tcBorders>
            <w:noWrap/>
            <w:vAlign w:val="center"/>
          </w:tcPr>
          <w:p w14:paraId="6E5BAFE4">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病虫防治</w:t>
            </w:r>
          </w:p>
          <w:p w14:paraId="4E77A98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4分</w:t>
            </w:r>
          </w:p>
        </w:tc>
        <w:tc>
          <w:tcPr>
            <w:tcW w:w="541" w:type="dxa"/>
            <w:tcBorders>
              <w:top w:val="single" w:color="auto" w:sz="4" w:space="0"/>
              <w:left w:val="nil"/>
              <w:bottom w:val="single" w:color="auto" w:sz="4" w:space="0"/>
              <w:right w:val="single" w:color="auto" w:sz="4" w:space="0"/>
            </w:tcBorders>
            <w:noWrap/>
            <w:vAlign w:val="center"/>
          </w:tcPr>
          <w:p w14:paraId="5FAE6E1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11</w:t>
            </w:r>
          </w:p>
        </w:tc>
        <w:tc>
          <w:tcPr>
            <w:tcW w:w="2294" w:type="dxa"/>
            <w:tcBorders>
              <w:top w:val="single" w:color="auto" w:sz="4" w:space="0"/>
              <w:left w:val="nil"/>
              <w:bottom w:val="single" w:color="auto" w:sz="4" w:space="0"/>
              <w:right w:val="single" w:color="auto" w:sz="4" w:space="0"/>
            </w:tcBorders>
            <w:noWrap/>
            <w:vAlign w:val="center"/>
          </w:tcPr>
          <w:p w14:paraId="41C232FC">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预防为主，发现病虫害应积极防治，效果明显。</w:t>
            </w:r>
          </w:p>
        </w:tc>
        <w:tc>
          <w:tcPr>
            <w:tcW w:w="2776" w:type="dxa"/>
            <w:tcBorders>
              <w:top w:val="single" w:color="auto" w:sz="4" w:space="0"/>
              <w:left w:val="nil"/>
              <w:bottom w:val="single" w:color="auto" w:sz="4" w:space="0"/>
              <w:right w:val="single" w:color="auto" w:sz="4" w:space="0"/>
            </w:tcBorders>
            <w:noWrap/>
            <w:vAlign w:val="center"/>
          </w:tcPr>
          <w:p w14:paraId="522AC41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发现病虫害，不及时防治，有明显危害症状扣1分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w:t>
            </w:r>
            <w:r>
              <w:rPr>
                <w:rFonts w:hint="eastAsia" w:cs="宋体" w:asciiTheme="majorEastAsia" w:hAnsiTheme="majorEastAsia" w:eastAsiaTheme="majorEastAsia"/>
                <w:color w:val="auto"/>
                <w:kern w:val="0"/>
                <w:sz w:val="24"/>
                <w:highlight w:val="none"/>
              </w:rPr>
              <w:t>。</w:t>
            </w:r>
          </w:p>
        </w:tc>
        <w:tc>
          <w:tcPr>
            <w:tcW w:w="698" w:type="dxa"/>
            <w:tcBorders>
              <w:top w:val="single" w:color="auto" w:sz="4" w:space="0"/>
              <w:left w:val="nil"/>
              <w:bottom w:val="single" w:color="auto" w:sz="4" w:space="0"/>
              <w:right w:val="single" w:color="auto" w:sz="4" w:space="0"/>
            </w:tcBorders>
            <w:noWrap/>
            <w:vAlign w:val="center"/>
          </w:tcPr>
          <w:p w14:paraId="4DB1785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567" w:type="dxa"/>
            <w:tcBorders>
              <w:top w:val="single" w:color="auto" w:sz="4" w:space="0"/>
              <w:left w:val="nil"/>
              <w:bottom w:val="single" w:color="auto" w:sz="4" w:space="0"/>
              <w:right w:val="single" w:color="auto" w:sz="4" w:space="0"/>
            </w:tcBorders>
            <w:noWrap/>
            <w:vAlign w:val="center"/>
          </w:tcPr>
          <w:p w14:paraId="2C61FD6B">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4643AF9D">
            <w:pPr>
              <w:widowControl/>
              <w:spacing w:line="300" w:lineRule="exact"/>
              <w:jc w:val="center"/>
              <w:rPr>
                <w:rFonts w:asciiTheme="majorEastAsia" w:hAnsiTheme="majorEastAsia" w:eastAsiaTheme="majorEastAsia"/>
                <w:color w:val="auto"/>
                <w:kern w:val="0"/>
                <w:sz w:val="24"/>
                <w:highlight w:val="none"/>
              </w:rPr>
            </w:pPr>
          </w:p>
        </w:tc>
      </w:tr>
      <w:tr w14:paraId="3149108D">
        <w:tblPrEx>
          <w:tblCellMar>
            <w:top w:w="0" w:type="dxa"/>
            <w:left w:w="108" w:type="dxa"/>
            <w:bottom w:w="0" w:type="dxa"/>
            <w:right w:w="108" w:type="dxa"/>
          </w:tblCellMar>
        </w:tblPrEx>
        <w:trPr>
          <w:trHeight w:val="1134" w:hRule="atLeast"/>
          <w:jc w:val="center"/>
        </w:trPr>
        <w:tc>
          <w:tcPr>
            <w:tcW w:w="530" w:type="dxa"/>
            <w:vMerge w:val="restart"/>
            <w:tcBorders>
              <w:top w:val="single" w:color="auto" w:sz="4" w:space="0"/>
              <w:left w:val="single" w:color="auto" w:sz="4" w:space="0"/>
              <w:right w:val="single" w:color="auto" w:sz="4" w:space="0"/>
            </w:tcBorders>
            <w:noWrap/>
            <w:vAlign w:val="center"/>
          </w:tcPr>
          <w:p w14:paraId="1019BFC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7</w:t>
            </w:r>
          </w:p>
        </w:tc>
        <w:tc>
          <w:tcPr>
            <w:tcW w:w="815" w:type="dxa"/>
            <w:vMerge w:val="restart"/>
            <w:tcBorders>
              <w:top w:val="single" w:color="auto" w:sz="4" w:space="0"/>
              <w:left w:val="nil"/>
              <w:right w:val="single" w:color="auto" w:sz="4" w:space="0"/>
            </w:tcBorders>
            <w:noWrap/>
            <w:vAlign w:val="center"/>
          </w:tcPr>
          <w:p w14:paraId="46DEEA1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绿地提升改造20</w:t>
            </w:r>
            <w:r>
              <w:rPr>
                <w:rFonts w:hint="eastAsia" w:cs="宋体" w:asciiTheme="majorEastAsia" w:hAnsiTheme="majorEastAsia" w:eastAsiaTheme="majorEastAsia"/>
                <w:color w:val="auto"/>
                <w:kern w:val="0"/>
                <w:sz w:val="24"/>
                <w:highlight w:val="none"/>
              </w:rPr>
              <w:t>分</w:t>
            </w:r>
          </w:p>
        </w:tc>
        <w:tc>
          <w:tcPr>
            <w:tcW w:w="541" w:type="dxa"/>
            <w:tcBorders>
              <w:top w:val="single" w:color="auto" w:sz="4" w:space="0"/>
              <w:left w:val="nil"/>
              <w:bottom w:val="single" w:color="auto" w:sz="4" w:space="0"/>
              <w:right w:val="single" w:color="auto" w:sz="4" w:space="0"/>
            </w:tcBorders>
            <w:noWrap/>
            <w:vAlign w:val="center"/>
          </w:tcPr>
          <w:p w14:paraId="70C85CE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12</w:t>
            </w:r>
          </w:p>
        </w:tc>
        <w:tc>
          <w:tcPr>
            <w:tcW w:w="2294" w:type="dxa"/>
            <w:tcBorders>
              <w:top w:val="single" w:color="auto" w:sz="4" w:space="0"/>
              <w:left w:val="nil"/>
              <w:bottom w:val="single" w:color="auto" w:sz="4" w:space="0"/>
              <w:right w:val="single" w:color="auto" w:sz="4" w:space="0"/>
            </w:tcBorders>
            <w:noWrap/>
            <w:vAlign w:val="center"/>
          </w:tcPr>
          <w:p w14:paraId="51A13295">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小苗及草坪补植</w:t>
            </w:r>
            <w:r>
              <w:rPr>
                <w:rFonts w:hint="eastAsia" w:cs="宋体" w:asciiTheme="majorEastAsia" w:hAnsiTheme="majorEastAsia" w:eastAsiaTheme="majorEastAsia"/>
                <w:color w:val="auto"/>
                <w:kern w:val="0"/>
                <w:sz w:val="24"/>
                <w:highlight w:val="none"/>
              </w:rPr>
              <w:t>。</w:t>
            </w:r>
          </w:p>
        </w:tc>
        <w:tc>
          <w:tcPr>
            <w:tcW w:w="2776" w:type="dxa"/>
            <w:tcBorders>
              <w:top w:val="single" w:color="auto" w:sz="4" w:space="0"/>
              <w:left w:val="nil"/>
              <w:bottom w:val="single" w:color="auto" w:sz="4" w:space="0"/>
              <w:right w:val="single" w:color="auto" w:sz="4" w:space="0"/>
            </w:tcBorders>
            <w:noWrap/>
            <w:vAlign w:val="center"/>
          </w:tcPr>
          <w:p w14:paraId="301E532C">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发现一处苗木缺失超过1</w:t>
            </w:r>
            <w:r>
              <w:rPr>
                <w:rFonts w:hint="eastAsia" w:asciiTheme="majorEastAsia" w:hAnsiTheme="majorEastAsia" w:eastAsiaTheme="majorEastAsia"/>
                <w:color w:val="auto"/>
                <w:kern w:val="0"/>
                <w:sz w:val="24"/>
                <w:highlight w:val="none"/>
              </w:rPr>
              <w:t>m</w:t>
            </w:r>
            <w:r>
              <w:rPr>
                <w:rFonts w:hint="eastAsia" w:asciiTheme="majorEastAsia" w:hAnsiTheme="majorEastAsia" w:eastAsiaTheme="majorEastAsia"/>
                <w:color w:val="auto"/>
                <w:kern w:val="0"/>
                <w:sz w:val="24"/>
                <w:highlight w:val="none"/>
                <w:vertAlign w:val="superscript"/>
              </w:rPr>
              <w:t>2</w:t>
            </w:r>
            <w:r>
              <w:rPr>
                <w:rFonts w:cs="宋体" w:asciiTheme="majorEastAsia" w:hAnsiTheme="majorEastAsia" w:eastAsiaTheme="majorEastAsia"/>
                <w:color w:val="auto"/>
                <w:kern w:val="0"/>
                <w:sz w:val="24"/>
                <w:highlight w:val="none"/>
              </w:rPr>
              <w:t>以上的扣2分</w:t>
            </w:r>
            <w:r>
              <w:rPr>
                <w:rFonts w:hint="eastAsia" w:cs="宋体" w:asciiTheme="majorEastAsia" w:hAnsiTheme="majorEastAsia" w:eastAsiaTheme="majorEastAsia"/>
                <w:color w:val="auto"/>
                <w:kern w:val="0"/>
                <w:sz w:val="24"/>
                <w:highlight w:val="none"/>
              </w:rPr>
              <w:t>。</w:t>
            </w:r>
          </w:p>
        </w:tc>
        <w:tc>
          <w:tcPr>
            <w:tcW w:w="698" w:type="dxa"/>
            <w:tcBorders>
              <w:top w:val="single" w:color="auto" w:sz="4" w:space="0"/>
              <w:left w:val="nil"/>
              <w:bottom w:val="single" w:color="auto" w:sz="4" w:space="0"/>
              <w:right w:val="single" w:color="auto" w:sz="4" w:space="0"/>
            </w:tcBorders>
            <w:noWrap/>
            <w:vAlign w:val="center"/>
          </w:tcPr>
          <w:p w14:paraId="16699F0C">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10</w:t>
            </w:r>
          </w:p>
        </w:tc>
        <w:tc>
          <w:tcPr>
            <w:tcW w:w="567" w:type="dxa"/>
            <w:tcBorders>
              <w:top w:val="single" w:color="auto" w:sz="4" w:space="0"/>
              <w:left w:val="nil"/>
              <w:bottom w:val="single" w:color="auto" w:sz="4" w:space="0"/>
              <w:right w:val="single" w:color="auto" w:sz="4" w:space="0"/>
            </w:tcBorders>
            <w:noWrap/>
            <w:vAlign w:val="center"/>
          </w:tcPr>
          <w:p w14:paraId="6D073D96">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49D2A677">
            <w:pPr>
              <w:widowControl/>
              <w:spacing w:line="300" w:lineRule="exact"/>
              <w:jc w:val="center"/>
              <w:rPr>
                <w:rFonts w:asciiTheme="majorEastAsia" w:hAnsiTheme="majorEastAsia" w:eastAsiaTheme="majorEastAsia"/>
                <w:color w:val="auto"/>
                <w:kern w:val="0"/>
                <w:sz w:val="24"/>
                <w:highlight w:val="none"/>
              </w:rPr>
            </w:pPr>
          </w:p>
        </w:tc>
      </w:tr>
      <w:tr w14:paraId="2F864213">
        <w:tblPrEx>
          <w:tblCellMar>
            <w:top w:w="0" w:type="dxa"/>
            <w:left w:w="108" w:type="dxa"/>
            <w:bottom w:w="0" w:type="dxa"/>
            <w:right w:w="108" w:type="dxa"/>
          </w:tblCellMar>
        </w:tblPrEx>
        <w:trPr>
          <w:trHeight w:val="1134"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5B0CCB96">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14EB1595">
            <w:pPr>
              <w:widowControl/>
              <w:spacing w:line="300" w:lineRule="exact"/>
              <w:jc w:val="center"/>
              <w:rPr>
                <w:rFonts w:asciiTheme="majorEastAsia" w:hAnsiTheme="majorEastAsia" w:eastAsiaTheme="majorEastAsia"/>
                <w:color w:val="auto"/>
                <w:kern w:val="0"/>
                <w:sz w:val="24"/>
                <w:highlight w:val="none"/>
              </w:rPr>
            </w:pPr>
          </w:p>
        </w:tc>
        <w:tc>
          <w:tcPr>
            <w:tcW w:w="541" w:type="dxa"/>
            <w:tcBorders>
              <w:top w:val="single" w:color="auto" w:sz="4" w:space="0"/>
              <w:left w:val="nil"/>
              <w:bottom w:val="single" w:color="auto" w:sz="4" w:space="0"/>
              <w:right w:val="single" w:color="auto" w:sz="4" w:space="0"/>
            </w:tcBorders>
            <w:noWrap/>
            <w:vAlign w:val="center"/>
          </w:tcPr>
          <w:p w14:paraId="19A7B1AC">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13</w:t>
            </w:r>
          </w:p>
        </w:tc>
        <w:tc>
          <w:tcPr>
            <w:tcW w:w="2294" w:type="dxa"/>
            <w:tcBorders>
              <w:top w:val="single" w:color="auto" w:sz="4" w:space="0"/>
              <w:left w:val="nil"/>
              <w:bottom w:val="single" w:color="auto" w:sz="4" w:space="0"/>
              <w:right w:val="single" w:color="auto" w:sz="4" w:space="0"/>
            </w:tcBorders>
            <w:noWrap/>
            <w:vAlign w:val="center"/>
          </w:tcPr>
          <w:p w14:paraId="5157E455">
            <w:pPr>
              <w:widowControl/>
              <w:spacing w:line="300" w:lineRule="exact"/>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草坪混播黑麦草籽。</w:t>
            </w:r>
          </w:p>
        </w:tc>
        <w:tc>
          <w:tcPr>
            <w:tcW w:w="2776" w:type="dxa"/>
            <w:tcBorders>
              <w:top w:val="single" w:color="auto" w:sz="4" w:space="0"/>
              <w:left w:val="nil"/>
              <w:bottom w:val="single" w:color="auto" w:sz="4" w:space="0"/>
              <w:right w:val="single" w:color="auto" w:sz="4" w:space="0"/>
            </w:tcBorders>
            <w:noWrap/>
            <w:vAlign w:val="center"/>
          </w:tcPr>
          <w:p w14:paraId="33DF6A58">
            <w:pPr>
              <w:widowControl/>
              <w:spacing w:line="300" w:lineRule="exact"/>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未及时撒播草籽扣2分，草籽萌芽率差扣5分，草籽未萌芽扣10分。</w:t>
            </w:r>
          </w:p>
        </w:tc>
        <w:tc>
          <w:tcPr>
            <w:tcW w:w="698" w:type="dxa"/>
            <w:tcBorders>
              <w:top w:val="single" w:color="auto" w:sz="4" w:space="0"/>
              <w:left w:val="nil"/>
              <w:bottom w:val="single" w:color="auto" w:sz="4" w:space="0"/>
              <w:right w:val="single" w:color="auto" w:sz="4" w:space="0"/>
            </w:tcBorders>
            <w:noWrap/>
            <w:vAlign w:val="center"/>
          </w:tcPr>
          <w:p w14:paraId="1CFF872A">
            <w:pPr>
              <w:widowControl/>
              <w:spacing w:line="300" w:lineRule="exact"/>
              <w:jc w:val="cente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10</w:t>
            </w:r>
          </w:p>
        </w:tc>
        <w:tc>
          <w:tcPr>
            <w:tcW w:w="567" w:type="dxa"/>
            <w:tcBorders>
              <w:top w:val="single" w:color="auto" w:sz="4" w:space="0"/>
              <w:left w:val="nil"/>
              <w:bottom w:val="single" w:color="auto" w:sz="4" w:space="0"/>
              <w:right w:val="single" w:color="auto" w:sz="4" w:space="0"/>
            </w:tcBorders>
            <w:noWrap/>
            <w:vAlign w:val="center"/>
          </w:tcPr>
          <w:p w14:paraId="11F11DE4">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6A14802E">
            <w:pPr>
              <w:widowControl/>
              <w:spacing w:line="300" w:lineRule="exact"/>
              <w:jc w:val="center"/>
              <w:rPr>
                <w:rFonts w:asciiTheme="majorEastAsia" w:hAnsiTheme="majorEastAsia" w:eastAsiaTheme="majorEastAsia"/>
                <w:color w:val="auto"/>
                <w:kern w:val="0"/>
                <w:sz w:val="24"/>
                <w:highlight w:val="none"/>
              </w:rPr>
            </w:pPr>
          </w:p>
        </w:tc>
      </w:tr>
      <w:tr w14:paraId="7AF7052D">
        <w:tblPrEx>
          <w:tblCellMar>
            <w:top w:w="0" w:type="dxa"/>
            <w:left w:w="108" w:type="dxa"/>
            <w:bottom w:w="0" w:type="dxa"/>
            <w:right w:w="108" w:type="dxa"/>
          </w:tblCellMar>
        </w:tblPrEx>
        <w:trPr>
          <w:trHeight w:val="3139" w:hRule="atLeast"/>
          <w:jc w:val="center"/>
        </w:trPr>
        <w:tc>
          <w:tcPr>
            <w:tcW w:w="530" w:type="dxa"/>
            <w:vMerge w:val="restart"/>
            <w:tcBorders>
              <w:top w:val="single" w:color="auto" w:sz="4" w:space="0"/>
              <w:left w:val="single" w:color="auto" w:sz="4" w:space="0"/>
              <w:right w:val="single" w:color="auto" w:sz="4" w:space="0"/>
            </w:tcBorders>
            <w:noWrap/>
            <w:vAlign w:val="center"/>
          </w:tcPr>
          <w:p w14:paraId="4CA192D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w:t>
            </w:r>
          </w:p>
        </w:tc>
        <w:tc>
          <w:tcPr>
            <w:tcW w:w="815" w:type="dxa"/>
            <w:vMerge w:val="restart"/>
            <w:tcBorders>
              <w:top w:val="single" w:color="auto" w:sz="4" w:space="0"/>
              <w:left w:val="nil"/>
              <w:right w:val="single" w:color="auto" w:sz="4" w:space="0"/>
            </w:tcBorders>
            <w:noWrap/>
            <w:vAlign w:val="center"/>
          </w:tcPr>
          <w:p w14:paraId="6D8A337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整枝修剪1</w:t>
            </w:r>
            <w:r>
              <w:rPr>
                <w:rFonts w:hint="eastAsia" w:cs="宋体" w:asciiTheme="majorEastAsia" w:hAnsiTheme="majorEastAsia" w:eastAsiaTheme="majorEastAsia"/>
                <w:color w:val="auto"/>
                <w:kern w:val="0"/>
                <w:sz w:val="24"/>
                <w:highlight w:val="none"/>
              </w:rPr>
              <w:t>2</w:t>
            </w:r>
            <w:r>
              <w:rPr>
                <w:rFonts w:cs="宋体" w:asciiTheme="majorEastAsia" w:hAnsiTheme="majorEastAsia" w:eastAsiaTheme="majorEastAsia"/>
                <w:color w:val="auto"/>
                <w:kern w:val="0"/>
                <w:sz w:val="24"/>
                <w:highlight w:val="none"/>
              </w:rPr>
              <w:t>分</w:t>
            </w:r>
          </w:p>
        </w:tc>
        <w:tc>
          <w:tcPr>
            <w:tcW w:w="541" w:type="dxa"/>
            <w:tcBorders>
              <w:top w:val="single" w:color="auto" w:sz="4" w:space="0"/>
              <w:left w:val="nil"/>
              <w:bottom w:val="single" w:color="auto" w:sz="4" w:space="0"/>
              <w:right w:val="single" w:color="auto" w:sz="4" w:space="0"/>
            </w:tcBorders>
            <w:noWrap/>
            <w:vAlign w:val="center"/>
          </w:tcPr>
          <w:p w14:paraId="69E455E2">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14</w:t>
            </w:r>
          </w:p>
        </w:tc>
        <w:tc>
          <w:tcPr>
            <w:tcW w:w="2294" w:type="dxa"/>
            <w:tcBorders>
              <w:top w:val="single" w:color="auto" w:sz="4" w:space="0"/>
              <w:left w:val="nil"/>
              <w:bottom w:val="single" w:color="auto" w:sz="4" w:space="0"/>
              <w:right w:val="single" w:color="auto" w:sz="4" w:space="0"/>
            </w:tcBorders>
            <w:noWrap/>
            <w:vAlign w:val="center"/>
          </w:tcPr>
          <w:p w14:paraId="77BFA53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nil"/>
              <w:bottom w:val="single" w:color="auto" w:sz="4" w:space="0"/>
              <w:right w:val="single" w:color="auto" w:sz="4" w:space="0"/>
            </w:tcBorders>
            <w:noWrap/>
            <w:vAlign w:val="center"/>
          </w:tcPr>
          <w:p w14:paraId="0E329204">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不及时修剪，扣0.5分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处；绿篱修剪面不平、不直，宽度不匀，扣0.5分</w:t>
            </w:r>
            <w:r>
              <w:rPr>
                <w:rFonts w:hint="eastAsia" w:asciiTheme="majorEastAsia" w:hAnsiTheme="majorEastAsia" w:eastAsiaTheme="majorEastAsia"/>
                <w:color w:val="auto"/>
                <w:kern w:val="0"/>
                <w:sz w:val="24"/>
                <w:highlight w:val="none"/>
              </w:rPr>
              <w:t>/100</w:t>
            </w:r>
            <w:r>
              <w:rPr>
                <w:rFonts w:cs="宋体" w:asciiTheme="majorEastAsia" w:hAnsiTheme="majorEastAsia" w:eastAsiaTheme="majorEastAsia"/>
                <w:color w:val="auto"/>
                <w:kern w:val="0"/>
                <w:sz w:val="24"/>
                <w:highlight w:val="none"/>
              </w:rPr>
              <w:t>m；有明显凹凸，扣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处；色块轮廓不明显，面不平，扣0.5分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处；球类修剪不圆，同条路或同块趋向不一，扣0.5分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45186551">
            <w:pPr>
              <w:widowControl/>
              <w:spacing w:line="300" w:lineRule="exact"/>
              <w:jc w:val="center"/>
              <w:rPr>
                <w:rFonts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w:t>
            </w:r>
          </w:p>
        </w:tc>
        <w:tc>
          <w:tcPr>
            <w:tcW w:w="567" w:type="dxa"/>
            <w:tcBorders>
              <w:top w:val="single" w:color="auto" w:sz="4" w:space="0"/>
              <w:left w:val="nil"/>
              <w:bottom w:val="single" w:color="auto" w:sz="4" w:space="0"/>
              <w:right w:val="single" w:color="auto" w:sz="4" w:space="0"/>
            </w:tcBorders>
            <w:noWrap/>
            <w:vAlign w:val="center"/>
          </w:tcPr>
          <w:p w14:paraId="53F3A14D">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447FEEC0">
            <w:pPr>
              <w:widowControl/>
              <w:spacing w:line="300" w:lineRule="exact"/>
              <w:jc w:val="center"/>
              <w:rPr>
                <w:rFonts w:asciiTheme="majorEastAsia" w:hAnsiTheme="majorEastAsia" w:eastAsiaTheme="majorEastAsia"/>
                <w:color w:val="auto"/>
                <w:kern w:val="0"/>
                <w:sz w:val="24"/>
                <w:highlight w:val="none"/>
              </w:rPr>
            </w:pPr>
          </w:p>
        </w:tc>
      </w:tr>
      <w:tr w14:paraId="446F085E">
        <w:tblPrEx>
          <w:tblCellMar>
            <w:top w:w="0" w:type="dxa"/>
            <w:left w:w="108" w:type="dxa"/>
            <w:bottom w:w="0" w:type="dxa"/>
            <w:right w:w="108" w:type="dxa"/>
          </w:tblCellMar>
        </w:tblPrEx>
        <w:trPr>
          <w:trHeight w:val="2008"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718E8FD9">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left w:val="nil"/>
              <w:bottom w:val="single" w:color="auto" w:sz="4" w:space="0"/>
              <w:right w:val="single" w:color="auto" w:sz="4" w:space="0"/>
            </w:tcBorders>
            <w:noWrap/>
            <w:vAlign w:val="center"/>
          </w:tcPr>
          <w:p w14:paraId="05316575">
            <w:pPr>
              <w:widowControl/>
              <w:spacing w:line="300" w:lineRule="exact"/>
              <w:jc w:val="center"/>
              <w:rPr>
                <w:rFonts w:asciiTheme="majorEastAsia" w:hAnsiTheme="majorEastAsia" w:eastAsiaTheme="majorEastAsia"/>
                <w:color w:val="auto"/>
                <w:kern w:val="0"/>
                <w:sz w:val="24"/>
                <w:highlight w:val="none"/>
              </w:rPr>
            </w:pPr>
          </w:p>
        </w:tc>
        <w:tc>
          <w:tcPr>
            <w:tcW w:w="541" w:type="dxa"/>
            <w:tcBorders>
              <w:top w:val="single" w:color="auto" w:sz="4" w:space="0"/>
              <w:left w:val="nil"/>
              <w:bottom w:val="single" w:color="auto" w:sz="4" w:space="0"/>
              <w:right w:val="single" w:color="auto" w:sz="4" w:space="0"/>
            </w:tcBorders>
            <w:noWrap/>
            <w:vAlign w:val="center"/>
          </w:tcPr>
          <w:p w14:paraId="530DE31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15</w:t>
            </w:r>
          </w:p>
        </w:tc>
        <w:tc>
          <w:tcPr>
            <w:tcW w:w="2294" w:type="dxa"/>
            <w:tcBorders>
              <w:top w:val="single" w:color="auto" w:sz="4" w:space="0"/>
              <w:left w:val="nil"/>
              <w:bottom w:val="single" w:color="auto" w:sz="4" w:space="0"/>
              <w:right w:val="single" w:color="auto" w:sz="4" w:space="0"/>
            </w:tcBorders>
            <w:noWrap/>
            <w:vAlign w:val="center"/>
          </w:tcPr>
          <w:p w14:paraId="56CDBBED">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noWrap/>
            <w:vAlign w:val="center"/>
          </w:tcPr>
          <w:p w14:paraId="2DAF5362">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乔木未按要求修剪扣1分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未及时修剪剥芽扣</w:t>
            </w:r>
            <w:r>
              <w:rPr>
                <w:rFonts w:hint="eastAsia" w:asciiTheme="majorEastAsia" w:hAnsiTheme="majorEastAsia" w:eastAsiaTheme="majorEastAsia"/>
                <w:color w:val="auto"/>
                <w:kern w:val="0"/>
                <w:sz w:val="24"/>
                <w:highlight w:val="none"/>
              </w:rPr>
              <w:t>2</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w:t>
            </w:r>
            <w:r>
              <w:rPr>
                <w:rFonts w:hint="eastAsia" w:cs="宋体"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萌蘖芽未及时剥除发现</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株扣0.5分；修剪不当造成树木枯死，影响美观的扣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株。或加倍扣分。</w:t>
            </w:r>
          </w:p>
        </w:tc>
        <w:tc>
          <w:tcPr>
            <w:tcW w:w="698" w:type="dxa"/>
            <w:tcBorders>
              <w:top w:val="single" w:color="auto" w:sz="4" w:space="0"/>
              <w:left w:val="nil"/>
              <w:bottom w:val="single" w:color="auto" w:sz="4" w:space="0"/>
              <w:right w:val="single" w:color="auto" w:sz="4" w:space="0"/>
            </w:tcBorders>
            <w:noWrap/>
            <w:vAlign w:val="center"/>
          </w:tcPr>
          <w:p w14:paraId="3A1E99BD">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567" w:type="dxa"/>
            <w:tcBorders>
              <w:top w:val="single" w:color="auto" w:sz="4" w:space="0"/>
              <w:left w:val="nil"/>
              <w:bottom w:val="single" w:color="auto" w:sz="4" w:space="0"/>
              <w:right w:val="single" w:color="auto" w:sz="4" w:space="0"/>
            </w:tcBorders>
            <w:noWrap/>
            <w:vAlign w:val="center"/>
          </w:tcPr>
          <w:p w14:paraId="42FCB7E9">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74282DB9">
            <w:pPr>
              <w:widowControl/>
              <w:spacing w:line="300" w:lineRule="exact"/>
              <w:jc w:val="center"/>
              <w:rPr>
                <w:rFonts w:asciiTheme="majorEastAsia" w:hAnsiTheme="majorEastAsia" w:eastAsiaTheme="majorEastAsia"/>
                <w:color w:val="auto"/>
                <w:kern w:val="0"/>
                <w:sz w:val="24"/>
                <w:highlight w:val="none"/>
              </w:rPr>
            </w:pPr>
          </w:p>
        </w:tc>
      </w:tr>
      <w:tr w14:paraId="58DB8830">
        <w:tblPrEx>
          <w:tblCellMar>
            <w:top w:w="0" w:type="dxa"/>
            <w:left w:w="108" w:type="dxa"/>
            <w:bottom w:w="0" w:type="dxa"/>
            <w:right w:w="108" w:type="dxa"/>
          </w:tblCellMar>
        </w:tblPrEx>
        <w:trPr>
          <w:trHeight w:val="280"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72A0E93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w:t>
            </w:r>
          </w:p>
        </w:tc>
        <w:tc>
          <w:tcPr>
            <w:tcW w:w="815" w:type="dxa"/>
            <w:tcBorders>
              <w:top w:val="single" w:color="auto" w:sz="4" w:space="0"/>
              <w:left w:val="nil"/>
              <w:bottom w:val="single" w:color="auto" w:sz="4" w:space="0"/>
              <w:right w:val="single" w:color="auto" w:sz="4" w:space="0"/>
            </w:tcBorders>
            <w:noWrap/>
            <w:vAlign w:val="center"/>
          </w:tcPr>
          <w:p w14:paraId="221FF8D7">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整枝修剪1</w:t>
            </w:r>
            <w:r>
              <w:rPr>
                <w:rFonts w:hint="eastAsia" w:cs="宋体" w:asciiTheme="majorEastAsia" w:hAnsiTheme="majorEastAsia" w:eastAsiaTheme="majorEastAsia"/>
                <w:color w:val="auto"/>
                <w:kern w:val="0"/>
                <w:sz w:val="24"/>
                <w:highlight w:val="none"/>
              </w:rPr>
              <w:t>2</w:t>
            </w:r>
            <w:r>
              <w:rPr>
                <w:rFonts w:cs="宋体" w:asciiTheme="majorEastAsia" w:hAnsiTheme="majorEastAsia" w:eastAsiaTheme="majorEastAsia"/>
                <w:color w:val="auto"/>
                <w:kern w:val="0"/>
                <w:sz w:val="24"/>
                <w:highlight w:val="none"/>
              </w:rPr>
              <w:t>分</w:t>
            </w:r>
          </w:p>
        </w:tc>
        <w:tc>
          <w:tcPr>
            <w:tcW w:w="541" w:type="dxa"/>
            <w:tcBorders>
              <w:top w:val="single" w:color="auto" w:sz="4" w:space="0"/>
              <w:left w:val="nil"/>
              <w:bottom w:val="single" w:color="auto" w:sz="4" w:space="0"/>
              <w:right w:val="single" w:color="auto" w:sz="4" w:space="0"/>
            </w:tcBorders>
            <w:noWrap/>
            <w:vAlign w:val="center"/>
          </w:tcPr>
          <w:p w14:paraId="3F9A0E5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16</w:t>
            </w:r>
          </w:p>
        </w:tc>
        <w:tc>
          <w:tcPr>
            <w:tcW w:w="2294" w:type="dxa"/>
            <w:tcBorders>
              <w:top w:val="single" w:color="auto" w:sz="4" w:space="0"/>
              <w:left w:val="nil"/>
              <w:bottom w:val="single" w:color="auto" w:sz="4" w:space="0"/>
              <w:right w:val="single" w:color="auto" w:sz="4" w:space="0"/>
            </w:tcBorders>
            <w:noWrap/>
            <w:vAlign w:val="center"/>
          </w:tcPr>
          <w:p w14:paraId="14262A2E">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noWrap/>
            <w:vAlign w:val="center"/>
          </w:tcPr>
          <w:p w14:paraId="172CEE1F">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修剪面不平，边角有遗留，扣0.5分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处；修剪后色斑明显，扣</w:t>
            </w:r>
            <w:r>
              <w:rPr>
                <w:rFonts w:hint="eastAsia" w:asciiTheme="majorEastAsia" w:hAnsiTheme="majorEastAsia" w:eastAsiaTheme="majorEastAsia"/>
                <w:color w:val="auto"/>
                <w:kern w:val="0"/>
                <w:sz w:val="24"/>
                <w:highlight w:val="none"/>
              </w:rPr>
              <w:t>0.</w:t>
            </w:r>
            <w:r>
              <w:rPr>
                <w:rFonts w:cs="宋体" w:asciiTheme="majorEastAsia" w:hAnsiTheme="majorEastAsia" w:eastAsiaTheme="majorEastAsia"/>
                <w:color w:val="auto"/>
                <w:kern w:val="0"/>
                <w:sz w:val="24"/>
                <w:highlight w:val="none"/>
              </w:rPr>
              <w:t>5分；不及时修剪，扣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nil"/>
              <w:bottom w:val="single" w:color="auto" w:sz="4" w:space="0"/>
              <w:right w:val="single" w:color="auto" w:sz="4" w:space="0"/>
            </w:tcBorders>
            <w:noWrap/>
            <w:vAlign w:val="center"/>
          </w:tcPr>
          <w:p w14:paraId="31B7D2B6">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567" w:type="dxa"/>
            <w:tcBorders>
              <w:top w:val="single" w:color="auto" w:sz="4" w:space="0"/>
              <w:left w:val="nil"/>
              <w:bottom w:val="single" w:color="auto" w:sz="4" w:space="0"/>
              <w:right w:val="single" w:color="auto" w:sz="4" w:space="0"/>
            </w:tcBorders>
            <w:noWrap/>
            <w:vAlign w:val="center"/>
          </w:tcPr>
          <w:p w14:paraId="741B537A">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575E5479">
            <w:pPr>
              <w:widowControl/>
              <w:spacing w:line="300" w:lineRule="exact"/>
              <w:jc w:val="center"/>
              <w:rPr>
                <w:rFonts w:asciiTheme="majorEastAsia" w:hAnsiTheme="majorEastAsia" w:eastAsiaTheme="majorEastAsia"/>
                <w:color w:val="auto"/>
                <w:kern w:val="0"/>
                <w:sz w:val="24"/>
                <w:highlight w:val="none"/>
              </w:rPr>
            </w:pPr>
          </w:p>
        </w:tc>
      </w:tr>
      <w:tr w14:paraId="53126F6A">
        <w:tblPrEx>
          <w:tblCellMar>
            <w:top w:w="0" w:type="dxa"/>
            <w:left w:w="108" w:type="dxa"/>
            <w:bottom w:w="0" w:type="dxa"/>
            <w:right w:w="108" w:type="dxa"/>
          </w:tblCellMar>
        </w:tblPrEx>
        <w:trPr>
          <w:trHeight w:val="13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7904784B">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9</w:t>
            </w:r>
          </w:p>
        </w:tc>
        <w:tc>
          <w:tcPr>
            <w:tcW w:w="815" w:type="dxa"/>
            <w:tcBorders>
              <w:top w:val="single" w:color="auto" w:sz="4" w:space="0"/>
              <w:left w:val="nil"/>
              <w:bottom w:val="single" w:color="auto" w:sz="4" w:space="0"/>
              <w:right w:val="single" w:color="auto" w:sz="4" w:space="0"/>
            </w:tcBorders>
            <w:noWrap/>
            <w:vAlign w:val="center"/>
          </w:tcPr>
          <w:p w14:paraId="3B87D3CD">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绿地保护</w:t>
            </w:r>
          </w:p>
          <w:p w14:paraId="64D5315E">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3分</w:t>
            </w:r>
          </w:p>
        </w:tc>
        <w:tc>
          <w:tcPr>
            <w:tcW w:w="541" w:type="dxa"/>
            <w:tcBorders>
              <w:top w:val="single" w:color="auto" w:sz="4" w:space="0"/>
              <w:left w:val="nil"/>
              <w:bottom w:val="single" w:color="auto" w:sz="4" w:space="0"/>
              <w:right w:val="single" w:color="auto" w:sz="4" w:space="0"/>
            </w:tcBorders>
            <w:noWrap/>
            <w:vAlign w:val="center"/>
          </w:tcPr>
          <w:p w14:paraId="61D3D17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17</w:t>
            </w:r>
          </w:p>
        </w:tc>
        <w:tc>
          <w:tcPr>
            <w:tcW w:w="2294" w:type="dxa"/>
            <w:tcBorders>
              <w:top w:val="single" w:color="auto" w:sz="4" w:space="0"/>
              <w:left w:val="nil"/>
              <w:bottom w:val="single" w:color="auto" w:sz="4" w:space="0"/>
              <w:right w:val="single" w:color="auto" w:sz="4" w:space="0"/>
            </w:tcBorders>
            <w:noWrap/>
            <w:vAlign w:val="center"/>
          </w:tcPr>
          <w:p w14:paraId="1616C447">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noWrap/>
            <w:vAlign w:val="center"/>
          </w:tcPr>
          <w:p w14:paraId="0274A4AC">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noWrap/>
            <w:vAlign w:val="center"/>
          </w:tcPr>
          <w:p w14:paraId="4FDE1BE5">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w:t>
            </w:r>
          </w:p>
        </w:tc>
        <w:tc>
          <w:tcPr>
            <w:tcW w:w="567" w:type="dxa"/>
            <w:tcBorders>
              <w:top w:val="single" w:color="auto" w:sz="4" w:space="0"/>
              <w:left w:val="nil"/>
              <w:bottom w:val="single" w:color="auto" w:sz="4" w:space="0"/>
              <w:right w:val="single" w:color="auto" w:sz="4" w:space="0"/>
            </w:tcBorders>
            <w:noWrap/>
            <w:vAlign w:val="center"/>
          </w:tcPr>
          <w:p w14:paraId="16E10FFD">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ign w:val="center"/>
          </w:tcPr>
          <w:p w14:paraId="532F27B0">
            <w:pPr>
              <w:widowControl/>
              <w:spacing w:line="300" w:lineRule="exact"/>
              <w:jc w:val="center"/>
              <w:rPr>
                <w:rFonts w:asciiTheme="majorEastAsia" w:hAnsiTheme="majorEastAsia" w:eastAsiaTheme="majorEastAsia"/>
                <w:color w:val="auto"/>
                <w:kern w:val="0"/>
                <w:sz w:val="24"/>
                <w:highlight w:val="none"/>
              </w:rPr>
            </w:pPr>
          </w:p>
        </w:tc>
      </w:tr>
      <w:tr w14:paraId="2C0D9E6D">
        <w:tblPrEx>
          <w:tblCellMar>
            <w:top w:w="0" w:type="dxa"/>
            <w:left w:w="108" w:type="dxa"/>
            <w:bottom w:w="0" w:type="dxa"/>
            <w:right w:w="108" w:type="dxa"/>
          </w:tblCellMar>
        </w:tblPrEx>
        <w:trPr>
          <w:trHeight w:val="105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0549259B">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10</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62345498">
            <w:pPr>
              <w:widowControl/>
              <w:spacing w:line="300" w:lineRule="exact"/>
              <w:jc w:val="center"/>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行为质量</w:t>
            </w:r>
          </w:p>
          <w:p w14:paraId="0C9E2848">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8分</w:t>
            </w:r>
          </w:p>
        </w:tc>
        <w:tc>
          <w:tcPr>
            <w:tcW w:w="541" w:type="dxa"/>
            <w:tcBorders>
              <w:top w:val="single" w:color="auto" w:sz="4" w:space="0"/>
              <w:left w:val="single" w:color="auto" w:sz="4" w:space="0"/>
              <w:bottom w:val="single" w:color="auto" w:sz="4" w:space="0"/>
              <w:right w:val="single" w:color="auto" w:sz="4" w:space="0"/>
            </w:tcBorders>
            <w:noWrap/>
            <w:vAlign w:val="center"/>
          </w:tcPr>
          <w:p w14:paraId="2A7C1C90">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18</w:t>
            </w:r>
          </w:p>
        </w:tc>
        <w:tc>
          <w:tcPr>
            <w:tcW w:w="2294" w:type="dxa"/>
            <w:tcBorders>
              <w:top w:val="single" w:color="auto" w:sz="4" w:space="0"/>
              <w:left w:val="single" w:color="auto" w:sz="4" w:space="0"/>
              <w:bottom w:val="single" w:color="auto" w:sz="4" w:space="0"/>
              <w:right w:val="single" w:color="auto" w:sz="4" w:space="0"/>
            </w:tcBorders>
            <w:noWrap/>
            <w:vAlign w:val="center"/>
          </w:tcPr>
          <w:p w14:paraId="766081F2">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noWrap/>
            <w:vAlign w:val="center"/>
          </w:tcPr>
          <w:p w14:paraId="6F66259C">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未报送书面台账资料的直接扣除</w:t>
            </w:r>
            <w:r>
              <w:rPr>
                <w:rFonts w:hint="eastAsia" w:cs="宋体" w:asciiTheme="majorEastAsia" w:hAnsiTheme="majorEastAsia" w:eastAsiaTheme="majorEastAsia"/>
                <w:color w:val="auto"/>
                <w:kern w:val="0"/>
                <w:sz w:val="24"/>
                <w:highlight w:val="none"/>
              </w:rPr>
              <w:t>。</w:t>
            </w:r>
          </w:p>
        </w:tc>
        <w:tc>
          <w:tcPr>
            <w:tcW w:w="698" w:type="dxa"/>
            <w:tcBorders>
              <w:top w:val="single" w:color="auto" w:sz="4" w:space="0"/>
              <w:left w:val="single" w:color="auto" w:sz="4" w:space="0"/>
              <w:bottom w:val="single" w:color="auto" w:sz="4" w:space="0"/>
              <w:right w:val="single" w:color="auto" w:sz="4" w:space="0"/>
            </w:tcBorders>
            <w:noWrap/>
            <w:vAlign w:val="center"/>
          </w:tcPr>
          <w:p w14:paraId="3CBDC5E3">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567" w:type="dxa"/>
            <w:tcBorders>
              <w:top w:val="single" w:color="auto" w:sz="4" w:space="0"/>
              <w:left w:val="single" w:color="auto" w:sz="4" w:space="0"/>
              <w:bottom w:val="single" w:color="auto" w:sz="4" w:space="0"/>
              <w:right w:val="single" w:color="auto" w:sz="4" w:space="0"/>
            </w:tcBorders>
            <w:noWrap/>
            <w:vAlign w:val="center"/>
          </w:tcPr>
          <w:p w14:paraId="575D64D0">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F1671D">
            <w:pPr>
              <w:widowControl/>
              <w:spacing w:line="300" w:lineRule="exact"/>
              <w:jc w:val="center"/>
              <w:rPr>
                <w:rFonts w:asciiTheme="majorEastAsia" w:hAnsiTheme="majorEastAsia" w:eastAsiaTheme="majorEastAsia"/>
                <w:color w:val="auto"/>
                <w:kern w:val="0"/>
                <w:sz w:val="24"/>
                <w:highlight w:val="none"/>
              </w:rPr>
            </w:pPr>
          </w:p>
        </w:tc>
      </w:tr>
      <w:tr w14:paraId="55A0C519">
        <w:tblPrEx>
          <w:tblCellMar>
            <w:top w:w="0" w:type="dxa"/>
            <w:left w:w="108" w:type="dxa"/>
            <w:bottom w:w="0" w:type="dxa"/>
            <w:right w:w="108" w:type="dxa"/>
          </w:tblCellMar>
        </w:tblPrEx>
        <w:trPr>
          <w:trHeight w:val="98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21837BBD">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4C2EC7B8">
            <w:pPr>
              <w:widowControl/>
              <w:spacing w:line="300" w:lineRule="exact"/>
              <w:jc w:val="center"/>
              <w:rPr>
                <w:rFonts w:asciiTheme="majorEastAsia" w:hAnsiTheme="majorEastAsia" w:eastAsiaTheme="majorEastAsia"/>
                <w:color w:val="auto"/>
                <w:kern w:val="0"/>
                <w:sz w:val="24"/>
                <w:highlight w:val="none"/>
              </w:rPr>
            </w:pPr>
          </w:p>
        </w:tc>
        <w:tc>
          <w:tcPr>
            <w:tcW w:w="541" w:type="dxa"/>
            <w:tcBorders>
              <w:top w:val="single" w:color="auto" w:sz="4" w:space="0"/>
              <w:left w:val="single" w:color="auto" w:sz="4" w:space="0"/>
              <w:bottom w:val="single" w:color="auto" w:sz="4" w:space="0"/>
              <w:right w:val="single" w:color="auto" w:sz="4" w:space="0"/>
            </w:tcBorders>
            <w:noWrap/>
            <w:vAlign w:val="center"/>
          </w:tcPr>
          <w:p w14:paraId="39B0B151">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19</w:t>
            </w:r>
          </w:p>
        </w:tc>
        <w:tc>
          <w:tcPr>
            <w:tcW w:w="2294" w:type="dxa"/>
            <w:tcBorders>
              <w:top w:val="single" w:color="auto" w:sz="4" w:space="0"/>
              <w:left w:val="single" w:color="auto" w:sz="4" w:space="0"/>
              <w:bottom w:val="single" w:color="auto" w:sz="4" w:space="0"/>
              <w:right w:val="single" w:color="auto" w:sz="4" w:space="0"/>
            </w:tcBorders>
            <w:noWrap/>
            <w:vAlign w:val="center"/>
          </w:tcPr>
          <w:p w14:paraId="4A8F313D">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noWrap/>
            <w:vAlign w:val="center"/>
          </w:tcPr>
          <w:p w14:paraId="7260CF91">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按照规定养护人员数量不符合要求，扣全部分值；项目负责人不在现场，扣1分；工作人员服装不统一，不按要求安全作业，每人扣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分；道路施工时，安全警示标识标牌不齐全的扣1分</w:t>
            </w:r>
            <w:r>
              <w:rPr>
                <w:rFonts w:hint="eastAsia" w:asciiTheme="majorEastAsia" w:hAnsiTheme="majorEastAsia" w:eastAsiaTheme="majorEastAsia"/>
                <w:color w:val="auto"/>
                <w:kern w:val="0"/>
                <w:sz w:val="24"/>
                <w:highlight w:val="none"/>
              </w:rPr>
              <w:t>/</w:t>
            </w:r>
            <w:r>
              <w:rPr>
                <w:rFonts w:cs="宋体" w:asciiTheme="majorEastAsia" w:hAnsiTheme="majorEastAsia" w:eastAsiaTheme="majorEastAsia"/>
                <w:color w:val="auto"/>
                <w:kern w:val="0"/>
                <w:sz w:val="24"/>
                <w:highlight w:val="none"/>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0707E8C9">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w:t>
            </w:r>
          </w:p>
        </w:tc>
        <w:tc>
          <w:tcPr>
            <w:tcW w:w="567" w:type="dxa"/>
            <w:tcBorders>
              <w:top w:val="single" w:color="auto" w:sz="4" w:space="0"/>
              <w:left w:val="single" w:color="auto" w:sz="4" w:space="0"/>
              <w:bottom w:val="single" w:color="auto" w:sz="4" w:space="0"/>
              <w:right w:val="single" w:color="auto" w:sz="4" w:space="0"/>
            </w:tcBorders>
            <w:noWrap/>
            <w:vAlign w:val="center"/>
          </w:tcPr>
          <w:p w14:paraId="557A2B47">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ADB2ED7">
            <w:pPr>
              <w:widowControl/>
              <w:spacing w:line="300" w:lineRule="exact"/>
              <w:jc w:val="center"/>
              <w:rPr>
                <w:rFonts w:asciiTheme="majorEastAsia" w:hAnsiTheme="majorEastAsia" w:eastAsiaTheme="majorEastAsia"/>
                <w:color w:val="auto"/>
                <w:kern w:val="0"/>
                <w:sz w:val="24"/>
                <w:highlight w:val="none"/>
              </w:rPr>
            </w:pPr>
          </w:p>
        </w:tc>
      </w:tr>
      <w:tr w14:paraId="109D4BC7">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13B62581">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4DC97C09">
            <w:pPr>
              <w:widowControl/>
              <w:spacing w:line="300" w:lineRule="exact"/>
              <w:jc w:val="center"/>
              <w:rPr>
                <w:rFonts w:asciiTheme="majorEastAsia" w:hAnsiTheme="majorEastAsia" w:eastAsiaTheme="majorEastAsia"/>
                <w:color w:val="auto"/>
                <w:kern w:val="0"/>
                <w:sz w:val="24"/>
                <w:highlight w:val="none"/>
              </w:rPr>
            </w:pPr>
          </w:p>
        </w:tc>
        <w:tc>
          <w:tcPr>
            <w:tcW w:w="541" w:type="dxa"/>
            <w:tcBorders>
              <w:top w:val="single" w:color="auto" w:sz="4" w:space="0"/>
              <w:left w:val="single" w:color="auto" w:sz="4" w:space="0"/>
              <w:bottom w:val="single" w:color="auto" w:sz="4" w:space="0"/>
              <w:right w:val="single" w:color="auto" w:sz="4" w:space="0"/>
            </w:tcBorders>
            <w:noWrap/>
            <w:vAlign w:val="center"/>
          </w:tcPr>
          <w:p w14:paraId="45A84B9F">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20</w:t>
            </w:r>
          </w:p>
        </w:tc>
        <w:tc>
          <w:tcPr>
            <w:tcW w:w="2294" w:type="dxa"/>
            <w:tcBorders>
              <w:top w:val="single" w:color="auto" w:sz="4" w:space="0"/>
              <w:left w:val="single" w:color="auto" w:sz="4" w:space="0"/>
              <w:bottom w:val="single" w:color="auto" w:sz="4" w:space="0"/>
              <w:right w:val="single" w:color="auto" w:sz="4" w:space="0"/>
            </w:tcBorders>
            <w:noWrap/>
            <w:vAlign w:val="center"/>
          </w:tcPr>
          <w:p w14:paraId="6469F13F">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noWrap/>
            <w:vAlign w:val="center"/>
          </w:tcPr>
          <w:p w14:paraId="4F58D999">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迟到一次扣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分；无故缺席一次扣</w:t>
            </w:r>
            <w:r>
              <w:rPr>
                <w:rFonts w:hint="eastAsia" w:asciiTheme="majorEastAsia" w:hAnsiTheme="majorEastAsia" w:eastAsiaTheme="majorEastAsia"/>
                <w:color w:val="auto"/>
                <w:kern w:val="0"/>
                <w:sz w:val="24"/>
                <w:highlight w:val="none"/>
              </w:rPr>
              <w:t>1</w:t>
            </w:r>
            <w:r>
              <w:rPr>
                <w:rFonts w:cs="宋体" w:asciiTheme="majorEastAsia" w:hAnsiTheme="majorEastAsia" w:eastAsiaTheme="majorEastAsia"/>
                <w:color w:val="auto"/>
                <w:kern w:val="0"/>
                <w:sz w:val="24"/>
                <w:highlight w:val="none"/>
              </w:rPr>
              <w:t>分；无故替开会一次扣</w:t>
            </w:r>
            <w:r>
              <w:rPr>
                <w:rFonts w:hint="eastAsia" w:asciiTheme="majorEastAsia" w:hAnsiTheme="majorEastAsia" w:eastAsiaTheme="majorEastAsia"/>
                <w:color w:val="auto"/>
                <w:kern w:val="0"/>
                <w:sz w:val="24"/>
                <w:highlight w:val="none"/>
              </w:rPr>
              <w:t>0.5</w:t>
            </w:r>
            <w:r>
              <w:rPr>
                <w:rFonts w:cs="宋体" w:asciiTheme="majorEastAsia" w:hAnsiTheme="majorEastAsia" w:eastAsiaTheme="majorEastAsia"/>
                <w:color w:val="auto"/>
                <w:kern w:val="0"/>
                <w:sz w:val="24"/>
                <w:highlight w:val="none"/>
              </w:rPr>
              <w:t>分。或加倍扣分。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1EA0A903">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1</w:t>
            </w:r>
          </w:p>
        </w:tc>
        <w:tc>
          <w:tcPr>
            <w:tcW w:w="567" w:type="dxa"/>
            <w:tcBorders>
              <w:top w:val="single" w:color="auto" w:sz="4" w:space="0"/>
              <w:left w:val="single" w:color="auto" w:sz="4" w:space="0"/>
              <w:bottom w:val="single" w:color="auto" w:sz="4" w:space="0"/>
              <w:right w:val="single" w:color="auto" w:sz="4" w:space="0"/>
            </w:tcBorders>
            <w:noWrap/>
            <w:vAlign w:val="center"/>
          </w:tcPr>
          <w:p w14:paraId="1480972F">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34974E">
            <w:pPr>
              <w:widowControl/>
              <w:spacing w:line="300" w:lineRule="exact"/>
              <w:jc w:val="center"/>
              <w:rPr>
                <w:rFonts w:asciiTheme="majorEastAsia" w:hAnsiTheme="majorEastAsia" w:eastAsiaTheme="majorEastAsia"/>
                <w:color w:val="auto"/>
                <w:kern w:val="0"/>
                <w:sz w:val="24"/>
                <w:highlight w:val="none"/>
              </w:rPr>
            </w:pPr>
          </w:p>
        </w:tc>
      </w:tr>
      <w:tr w14:paraId="413A71B3">
        <w:tblPrEx>
          <w:tblCellMar>
            <w:top w:w="0" w:type="dxa"/>
            <w:left w:w="108" w:type="dxa"/>
            <w:bottom w:w="0" w:type="dxa"/>
            <w:right w:w="108" w:type="dxa"/>
          </w:tblCellMar>
        </w:tblPrEx>
        <w:trPr>
          <w:trHeight w:val="69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7D70CCDC">
            <w:pPr>
              <w:widowControl/>
              <w:spacing w:line="300" w:lineRule="exact"/>
              <w:jc w:val="center"/>
              <w:rPr>
                <w:rFonts w:asciiTheme="majorEastAsia" w:hAnsiTheme="majorEastAsia" w:eastAsiaTheme="majorEastAsia"/>
                <w:color w:val="auto"/>
                <w:kern w:val="0"/>
                <w:sz w:val="24"/>
                <w:highlight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6B6FFD45">
            <w:pPr>
              <w:widowControl/>
              <w:spacing w:line="300" w:lineRule="exact"/>
              <w:jc w:val="center"/>
              <w:rPr>
                <w:rFonts w:asciiTheme="majorEastAsia" w:hAnsiTheme="majorEastAsia" w:eastAsiaTheme="majorEastAsia"/>
                <w:color w:val="auto"/>
                <w:kern w:val="0"/>
                <w:sz w:val="24"/>
                <w:highlight w:val="none"/>
              </w:rPr>
            </w:pPr>
          </w:p>
        </w:tc>
        <w:tc>
          <w:tcPr>
            <w:tcW w:w="541" w:type="dxa"/>
            <w:tcBorders>
              <w:top w:val="single" w:color="auto" w:sz="4" w:space="0"/>
              <w:left w:val="single" w:color="auto" w:sz="4" w:space="0"/>
              <w:bottom w:val="single" w:color="auto" w:sz="4" w:space="0"/>
              <w:right w:val="single" w:color="auto" w:sz="4" w:space="0"/>
            </w:tcBorders>
            <w:noWrap/>
            <w:vAlign w:val="center"/>
          </w:tcPr>
          <w:p w14:paraId="425428E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21</w:t>
            </w:r>
          </w:p>
        </w:tc>
        <w:tc>
          <w:tcPr>
            <w:tcW w:w="2294" w:type="dxa"/>
            <w:tcBorders>
              <w:top w:val="single" w:color="auto" w:sz="4" w:space="0"/>
              <w:left w:val="single" w:color="auto" w:sz="4" w:space="0"/>
              <w:bottom w:val="single" w:color="auto" w:sz="4" w:space="0"/>
              <w:right w:val="single" w:color="auto" w:sz="4" w:space="0"/>
            </w:tcBorders>
            <w:noWrap/>
            <w:vAlign w:val="center"/>
          </w:tcPr>
          <w:p w14:paraId="31B1912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noWrap/>
            <w:vAlign w:val="center"/>
          </w:tcPr>
          <w:p w14:paraId="041AC60A">
            <w:pPr>
              <w:widowControl/>
              <w:spacing w:line="300" w:lineRule="exact"/>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noWrap/>
            <w:vAlign w:val="center"/>
          </w:tcPr>
          <w:p w14:paraId="122C0F94">
            <w:pPr>
              <w:widowControl/>
              <w:spacing w:line="300" w:lineRule="exact"/>
              <w:jc w:val="center"/>
              <w:rPr>
                <w:rFonts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4</w:t>
            </w:r>
          </w:p>
        </w:tc>
        <w:tc>
          <w:tcPr>
            <w:tcW w:w="567" w:type="dxa"/>
            <w:tcBorders>
              <w:top w:val="single" w:color="auto" w:sz="4" w:space="0"/>
              <w:left w:val="single" w:color="auto" w:sz="4" w:space="0"/>
              <w:bottom w:val="single" w:color="auto" w:sz="4" w:space="0"/>
              <w:right w:val="single" w:color="auto" w:sz="4" w:space="0"/>
            </w:tcBorders>
            <w:noWrap/>
            <w:vAlign w:val="center"/>
          </w:tcPr>
          <w:p w14:paraId="3F5E5F1B">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2736D72">
            <w:pPr>
              <w:widowControl/>
              <w:spacing w:line="300" w:lineRule="exact"/>
              <w:jc w:val="center"/>
              <w:rPr>
                <w:rFonts w:asciiTheme="majorEastAsia" w:hAnsiTheme="majorEastAsia" w:eastAsiaTheme="majorEastAsia"/>
                <w:color w:val="auto"/>
                <w:kern w:val="0"/>
                <w:sz w:val="24"/>
                <w:highlight w:val="none"/>
              </w:rPr>
            </w:pPr>
          </w:p>
        </w:tc>
      </w:tr>
      <w:tr w14:paraId="398D2A58">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noWrap/>
            <w:vAlign w:val="center"/>
          </w:tcPr>
          <w:p w14:paraId="7A28BE35">
            <w:pPr>
              <w:widowControl/>
              <w:spacing w:line="300" w:lineRule="exact"/>
              <w:jc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合计</w:t>
            </w:r>
          </w:p>
        </w:tc>
        <w:tc>
          <w:tcPr>
            <w:tcW w:w="698" w:type="dxa"/>
            <w:tcBorders>
              <w:top w:val="single" w:color="auto" w:sz="4" w:space="0"/>
              <w:left w:val="single" w:color="auto" w:sz="4" w:space="0"/>
              <w:bottom w:val="single" w:color="auto" w:sz="4" w:space="0"/>
              <w:right w:val="single" w:color="auto" w:sz="4" w:space="0"/>
            </w:tcBorders>
            <w:noWrap/>
            <w:vAlign w:val="center"/>
          </w:tcPr>
          <w:p w14:paraId="081603D3">
            <w:pPr>
              <w:widowControl/>
              <w:spacing w:line="300" w:lineRule="exact"/>
              <w:jc w:val="center"/>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100</w:t>
            </w:r>
          </w:p>
        </w:tc>
        <w:tc>
          <w:tcPr>
            <w:tcW w:w="567" w:type="dxa"/>
            <w:tcBorders>
              <w:top w:val="single" w:color="auto" w:sz="4" w:space="0"/>
              <w:left w:val="single" w:color="auto" w:sz="4" w:space="0"/>
              <w:bottom w:val="single" w:color="auto" w:sz="4" w:space="0"/>
              <w:right w:val="single" w:color="auto" w:sz="4" w:space="0"/>
            </w:tcBorders>
            <w:noWrap/>
            <w:vAlign w:val="center"/>
          </w:tcPr>
          <w:p w14:paraId="4F9D5FD6">
            <w:pPr>
              <w:widowControl/>
              <w:spacing w:line="300" w:lineRule="exact"/>
              <w:jc w:val="center"/>
              <w:rPr>
                <w:rFonts w:asciiTheme="majorEastAsia" w:hAnsiTheme="majorEastAsia" w:eastAsiaTheme="majorEastAsia"/>
                <w:color w:val="auto"/>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7278B2">
            <w:pPr>
              <w:widowControl/>
              <w:spacing w:line="300" w:lineRule="exact"/>
              <w:jc w:val="center"/>
              <w:rPr>
                <w:rFonts w:asciiTheme="majorEastAsia" w:hAnsiTheme="majorEastAsia" w:eastAsiaTheme="majorEastAsia"/>
                <w:color w:val="auto"/>
                <w:kern w:val="0"/>
                <w:sz w:val="24"/>
                <w:highlight w:val="none"/>
              </w:rPr>
            </w:pPr>
          </w:p>
        </w:tc>
      </w:tr>
    </w:tbl>
    <w:p w14:paraId="779E3819">
      <w:pPr>
        <w:spacing w:line="400" w:lineRule="exact"/>
        <w:jc w:val="left"/>
        <w:rPr>
          <w:rFonts w:cs="楷体_GB2312" w:asciiTheme="majorEastAsia" w:hAnsiTheme="majorEastAsia" w:eastAsiaTheme="majorEastAsia"/>
          <w:color w:val="auto"/>
          <w:kern w:val="0"/>
          <w:sz w:val="24"/>
          <w:highlight w:val="none"/>
        </w:rPr>
      </w:pPr>
    </w:p>
    <w:p w14:paraId="0BDB17E3">
      <w:pPr>
        <w:spacing w:line="400" w:lineRule="exact"/>
        <w:jc w:val="left"/>
        <w:rPr>
          <w:rFonts w:cs="楷体_GB2312" w:asciiTheme="majorEastAsia" w:hAnsiTheme="majorEastAsia" w:eastAsiaTheme="majorEastAsia"/>
          <w:color w:val="auto"/>
          <w:kern w:val="0"/>
          <w:sz w:val="24"/>
          <w:highlight w:val="none"/>
        </w:rPr>
      </w:pPr>
      <w:r>
        <w:rPr>
          <w:rFonts w:hint="eastAsia" w:cs="楷体_GB2312" w:asciiTheme="majorEastAsia" w:hAnsiTheme="majorEastAsia" w:eastAsiaTheme="majorEastAsia"/>
          <w:color w:val="auto"/>
          <w:kern w:val="0"/>
          <w:sz w:val="24"/>
          <w:highlight w:val="none"/>
        </w:rPr>
        <w:t>考核时间：                      考核路段：</w:t>
      </w:r>
    </w:p>
    <w:p w14:paraId="6F301C3B">
      <w:pPr>
        <w:spacing w:line="400" w:lineRule="exact"/>
        <w:jc w:val="left"/>
        <w:rPr>
          <w:rFonts w:cs="楷体_GB2312" w:asciiTheme="majorEastAsia" w:hAnsiTheme="majorEastAsia" w:eastAsiaTheme="majorEastAsia"/>
          <w:color w:val="auto"/>
          <w:kern w:val="0"/>
          <w:sz w:val="24"/>
          <w:highlight w:val="none"/>
        </w:rPr>
      </w:pPr>
    </w:p>
    <w:p w14:paraId="23B7E930">
      <w:pPr>
        <w:spacing w:line="400" w:lineRule="exact"/>
        <w:jc w:val="left"/>
        <w:rPr>
          <w:rFonts w:cs="楷体_GB2312" w:asciiTheme="majorEastAsia" w:hAnsiTheme="majorEastAsia" w:eastAsiaTheme="majorEastAsia"/>
          <w:color w:val="auto"/>
          <w:kern w:val="0"/>
          <w:sz w:val="24"/>
          <w:highlight w:val="none"/>
        </w:rPr>
      </w:pPr>
      <w:r>
        <w:rPr>
          <w:rFonts w:hint="eastAsia" w:cs="楷体_GB2312" w:asciiTheme="majorEastAsia" w:hAnsiTheme="majorEastAsia" w:eastAsiaTheme="majorEastAsia"/>
          <w:color w:val="auto"/>
          <w:kern w:val="0"/>
          <w:sz w:val="24"/>
          <w:highlight w:val="none"/>
        </w:rPr>
        <w:t>项目负责人：                    考核人：</w:t>
      </w:r>
    </w:p>
    <w:p w14:paraId="6179A3B0">
      <w:pPr>
        <w:pStyle w:val="2"/>
        <w:tabs>
          <w:tab w:val="left" w:pos="360"/>
        </w:tabs>
        <w:spacing w:line="360" w:lineRule="auto"/>
        <w:jc w:val="left"/>
        <w:rPr>
          <w:rFonts w:cs="宋体" w:asciiTheme="majorEastAsia" w:hAnsiTheme="majorEastAsia" w:eastAsiaTheme="majorEastAsia"/>
          <w:bCs w:val="0"/>
          <w:color w:val="auto"/>
          <w:sz w:val="24"/>
          <w:szCs w:val="24"/>
          <w:highlight w:val="none"/>
        </w:rPr>
      </w:pPr>
      <w:r>
        <w:rPr>
          <w:rFonts w:hint="eastAsia" w:cs="宋体" w:asciiTheme="majorEastAsia" w:hAnsiTheme="majorEastAsia" w:eastAsiaTheme="majorEastAsia"/>
          <w:color w:val="auto"/>
          <w:sz w:val="24"/>
          <w:szCs w:val="24"/>
          <w:highlight w:val="none"/>
        </w:rPr>
        <w:t>附件一：南太湖新区公用事业管理中心绿化养护</w:t>
      </w:r>
    </w:p>
    <w:p w14:paraId="12897B32">
      <w:pPr>
        <w:pStyle w:val="2"/>
        <w:tabs>
          <w:tab w:val="left" w:pos="360"/>
        </w:tabs>
        <w:spacing w:line="360" w:lineRule="auto"/>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考核实施细则</w:t>
      </w:r>
    </w:p>
    <w:p w14:paraId="3F47E1FD">
      <w:pPr>
        <w:spacing w:line="360" w:lineRule="auto"/>
        <w:ind w:firstLine="56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为进一步提高南太湖新区的园林绿化养护管理水平，提升新区园林绿化养护质量，结合南太湖新区实际情况及相关《湖州市园林绿化管理条例》的要求，对原有考核方案作适当调整修改，并制订以下考核实施细则。</w:t>
      </w:r>
    </w:p>
    <w:p w14:paraId="43B582EC">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一、成立南太湖新区绿化养护考核领导小组。</w:t>
      </w:r>
    </w:p>
    <w:p w14:paraId="256C73AC">
      <w:pPr>
        <w:spacing w:line="360" w:lineRule="auto"/>
        <w:ind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组长：江亚方</w:t>
      </w:r>
    </w:p>
    <w:p w14:paraId="4C9E6274">
      <w:pPr>
        <w:spacing w:line="360" w:lineRule="auto"/>
        <w:ind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副组长：顾国良</w:t>
      </w:r>
    </w:p>
    <w:p w14:paraId="7333D53A">
      <w:pPr>
        <w:spacing w:line="360" w:lineRule="auto"/>
        <w:ind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成员：公用中心相关科室负责人及工作人员。</w:t>
      </w:r>
    </w:p>
    <w:p w14:paraId="26881127">
      <w:pPr>
        <w:spacing w:line="360" w:lineRule="auto"/>
        <w:ind w:firstLine="56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二、考核对象及内容</w:t>
      </w:r>
    </w:p>
    <w:p w14:paraId="4D06BB0A">
      <w:pPr>
        <w:spacing w:line="360" w:lineRule="auto"/>
        <w:ind w:firstLine="56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考核对象为从事南太湖新区</w:t>
      </w:r>
      <w:bookmarkStart w:id="33" w:name="_GoBack"/>
      <w:bookmarkEnd w:id="33"/>
      <w:r>
        <w:rPr>
          <w:rFonts w:hint="eastAsia" w:cs="宋体" w:asciiTheme="majorEastAsia" w:hAnsiTheme="majorEastAsia" w:eastAsiaTheme="majorEastAsia"/>
          <w:color w:val="auto"/>
          <w:sz w:val="24"/>
          <w:highlight w:val="none"/>
        </w:rPr>
        <w:t>区域内绿化养护管理的相关单位及班组。考核内容为管护合同约定的绿化、附属园林设施等的管护。</w:t>
      </w:r>
    </w:p>
    <w:p w14:paraId="16425F7A">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三、考核细则</w:t>
      </w:r>
    </w:p>
    <w:p w14:paraId="0B5593EE">
      <w:pPr>
        <w:spacing w:line="360" w:lineRule="auto"/>
        <w:ind w:firstLine="56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以合同约定的绿化管护内容和标准，实施月度考核。</w:t>
      </w:r>
    </w:p>
    <w:p w14:paraId="6D18C54F">
      <w:pPr>
        <w:tabs>
          <w:tab w:val="left" w:pos="312"/>
        </w:tabs>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公用中心每月组织考核组对绿化管养单位每月进行一次或者两次进行考核（如一次则为明考，两次则明考、暗考各一次），分值各为100分，取平均分值作为月度考核分值。明考由公用中心提前通知具体考核路段，暗考为公用中心随机抽检（不再进行提前通知）。绿化养护考核评分表按原有招标要求执行。</w:t>
      </w:r>
    </w:p>
    <w:p w14:paraId="6A565C36">
      <w:pPr>
        <w:tabs>
          <w:tab w:val="left" w:pos="312"/>
        </w:tabs>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如每月暗考抽检路段为当月明考路段，且暗考分值低于明考分值5分以上，则在暗考所得分值基础上再行扣减10%的分值数作为实际暗考分值；如每月暗考抽检路段与当月明考路段不同，且暗考分值低于明考分值10分以上，则在暗考所得分值基础上再行扣减10%的分值数作为实际暗考分值；如暗考分值明显高于明考分值15分以上，中心考核组在暗考分值的基础上再行给予10%的暗考分值数作为实际暗考分值。</w:t>
      </w:r>
    </w:p>
    <w:p w14:paraId="0E1C6ED8">
      <w:pPr>
        <w:numPr>
          <w:ilvl w:val="0"/>
          <w:numId w:val="13"/>
        </w:num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考核等级及奖罚标准</w:t>
      </w:r>
    </w:p>
    <w:p w14:paraId="73D5052B">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南太湖新区绿化养护每月考核得分结果与考核对象所获得费用挂钩，公用中心按如下标准实施奖罚：</w:t>
      </w:r>
    </w:p>
    <w:p w14:paraId="4E34455F">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1、月平均得分在90分以上为优秀，不扣罚当月养护费；</w:t>
      </w:r>
    </w:p>
    <w:p w14:paraId="46562601">
      <w:pPr>
        <w:spacing w:line="360" w:lineRule="auto"/>
        <w:ind w:firstLine="56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2、月平均得分在60分以上的，按1500元/分扣罚养护费；</w:t>
      </w:r>
    </w:p>
    <w:p w14:paraId="71FCBBB1">
      <w:pPr>
        <w:spacing w:line="360" w:lineRule="auto"/>
        <w:ind w:firstLine="56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3、月平均得分在60分以下的，第一个月扣罚为当月养护费用的1/3,第二个月扣罚为当月养护费用的1/2，第三个月开始全额扣罚当月养护费；</w:t>
      </w:r>
    </w:p>
    <w:p w14:paraId="07B97282">
      <w:pPr>
        <w:spacing w:line="360" w:lineRule="auto"/>
        <w:ind w:firstLine="552"/>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4、累计三个月得分60分以下或累计六个月得分在70分以下的养护单位，公用中心有权解除承包合同并上报行业主管部门；</w:t>
      </w:r>
    </w:p>
    <w:p w14:paraId="706AACC8">
      <w:pPr>
        <w:spacing w:line="360" w:lineRule="auto"/>
        <w:ind w:firstLine="552"/>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5、遇重大检查测评事项（如文明城市复测等），涉及所辖管养区域内扣分的，每扣一项当月考核扣10分，扣分项三项以上扣当月考核分50分（如当月考核已结束，扣分在下月考核中扣除）；</w:t>
      </w:r>
    </w:p>
    <w:p w14:paraId="47736067">
      <w:pPr>
        <w:spacing w:line="360" w:lineRule="auto"/>
        <w:ind w:firstLine="480" w:firstLineChars="200"/>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color w:val="auto"/>
          <w:sz w:val="24"/>
          <w:highlight w:val="none"/>
        </w:rPr>
        <w:t>6、中心绿化科、 巡查科人员日常巡查发现问题，以口头书面或告知单通知中标单位限期整改，若在规定时间内整改到位，不予扣罚，若养护单位在规定时间内未完成整改，每一次扣500元-2000元（视情况而定），公用中心领导或区级以上领导巡查发现问题，提出整改要求后，由绿化科复检，发现该问题仍未按要求整改完成，扣2000-20000元（视情况而定）。</w:t>
      </w:r>
    </w:p>
    <w:p w14:paraId="3046310D">
      <w:pPr>
        <w:pStyle w:val="26"/>
        <w:spacing w:before="120" w:after="120"/>
        <w:outlineLvl w:val="0"/>
        <w:rPr>
          <w:rFonts w:hAnsi="宋体"/>
          <w:b/>
          <w:color w:val="auto"/>
          <w:highlight w:val="none"/>
        </w:rPr>
      </w:pPr>
      <w:r>
        <w:rPr>
          <w:rFonts w:hint="eastAsia" w:hAnsi="宋体"/>
          <w:b/>
          <w:color w:val="auto"/>
          <w:highlight w:val="none"/>
        </w:rPr>
        <w:t>八、</w:t>
      </w:r>
      <w:r>
        <w:rPr>
          <w:rFonts w:hAnsi="宋体"/>
          <w:b/>
          <w:color w:val="auto"/>
          <w:highlight w:val="none"/>
        </w:rPr>
        <w:t>商务要求</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7861"/>
      </w:tblGrid>
      <w:tr w14:paraId="082E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0FD48D34">
            <w:pPr>
              <w:snapToGrid w:val="0"/>
              <w:spacing w:line="360" w:lineRule="auto"/>
              <w:rPr>
                <w:rFonts w:ascii="宋体" w:hAnsi="宋体"/>
                <w:color w:val="auto"/>
                <w:sz w:val="24"/>
                <w:highlight w:val="none"/>
              </w:rPr>
            </w:pPr>
            <w:r>
              <w:rPr>
                <w:rFonts w:hint="eastAsia" w:ascii="宋体" w:hAnsi="宋体"/>
                <w:color w:val="auto"/>
                <w:sz w:val="24"/>
                <w:highlight w:val="none"/>
              </w:rPr>
              <w:t>服务期</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6839B052">
            <w:pPr>
              <w:snapToGrid w:val="0"/>
              <w:spacing w:line="360" w:lineRule="auto"/>
              <w:rPr>
                <w:rFonts w:ascii="宋体" w:hAnsi="宋体"/>
                <w:color w:val="auto"/>
                <w:sz w:val="24"/>
                <w:highlight w:val="none"/>
              </w:rPr>
            </w:pPr>
            <w:r>
              <w:rPr>
                <w:rFonts w:hint="eastAsia" w:ascii="宋体" w:hAnsi="宋体"/>
                <w:color w:val="auto"/>
                <w:sz w:val="24"/>
                <w:highlight w:val="none"/>
              </w:rPr>
              <w:t>▲服务期3年</w:t>
            </w:r>
          </w:p>
        </w:tc>
      </w:tr>
      <w:tr w14:paraId="6BEA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6ECD09F4">
            <w:pPr>
              <w:snapToGrid w:val="0"/>
              <w:spacing w:line="360" w:lineRule="auto"/>
              <w:rPr>
                <w:rFonts w:ascii="宋体" w:hAnsi="宋体"/>
                <w:color w:val="auto"/>
                <w:sz w:val="24"/>
                <w:highlight w:val="none"/>
              </w:rPr>
            </w:pPr>
            <w:r>
              <w:rPr>
                <w:rFonts w:hint="eastAsia" w:ascii="宋体" w:hAnsi="宋体"/>
                <w:color w:val="auto"/>
                <w:sz w:val="24"/>
                <w:highlight w:val="none"/>
              </w:rPr>
              <w:t>服务地点</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4B03CD60">
            <w:pPr>
              <w:spacing w:line="360" w:lineRule="auto"/>
              <w:rPr>
                <w:rFonts w:ascii="宋体" w:hAnsi="宋体"/>
                <w:color w:val="auto"/>
                <w:sz w:val="24"/>
                <w:highlight w:val="none"/>
              </w:rPr>
            </w:pPr>
            <w:r>
              <w:rPr>
                <w:rFonts w:hint="eastAsia" w:ascii="宋体" w:hAnsi="宋体"/>
                <w:color w:val="auto"/>
                <w:sz w:val="24"/>
                <w:highlight w:val="none"/>
              </w:rPr>
              <w:t xml:space="preserve">▲采购人指定地点。 </w:t>
            </w:r>
          </w:p>
        </w:tc>
      </w:tr>
      <w:tr w14:paraId="6A1F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7D0ED91">
            <w:pPr>
              <w:snapToGrid w:val="0"/>
              <w:spacing w:line="360" w:lineRule="auto"/>
              <w:rPr>
                <w:rFonts w:ascii="宋体" w:hAnsi="宋体"/>
                <w:color w:val="auto"/>
                <w:sz w:val="24"/>
                <w:highlight w:val="none"/>
              </w:rPr>
            </w:pPr>
            <w:r>
              <w:rPr>
                <w:rFonts w:hint="eastAsia" w:ascii="宋体" w:hAnsi="宋体"/>
                <w:color w:val="auto"/>
                <w:sz w:val="24"/>
                <w:highlight w:val="none"/>
              </w:rPr>
              <w:t>履约保证金</w:t>
            </w:r>
          </w:p>
        </w:tc>
        <w:tc>
          <w:tcPr>
            <w:tcW w:w="7861" w:type="dxa"/>
            <w:tcBorders>
              <w:top w:val="single" w:color="auto" w:sz="4" w:space="0"/>
              <w:left w:val="single" w:color="auto" w:sz="4" w:space="0"/>
              <w:bottom w:val="single" w:color="auto" w:sz="4" w:space="0"/>
              <w:right w:val="single" w:color="auto" w:sz="4" w:space="0"/>
            </w:tcBorders>
            <w:shd w:val="clear" w:color="auto" w:fill="auto"/>
            <w:vAlign w:val="center"/>
          </w:tcPr>
          <w:p w14:paraId="153695D7">
            <w:pPr>
              <w:spacing w:line="360" w:lineRule="auto"/>
              <w:rPr>
                <w:b/>
                <w:color w:val="auto"/>
                <w:sz w:val="24"/>
                <w:szCs w:val="24"/>
                <w:highlight w:val="none"/>
              </w:rPr>
            </w:pPr>
            <w:r>
              <w:rPr>
                <w:rFonts w:hint="eastAsia" w:ascii="宋体" w:hAnsi="宋体"/>
                <w:color w:val="auto"/>
                <w:sz w:val="24"/>
                <w:highlight w:val="none"/>
              </w:rPr>
              <w:t>本项目的履约保证金</w:t>
            </w:r>
            <w:r>
              <w:rPr>
                <w:rFonts w:hint="eastAsia" w:ascii="宋体" w:hAnsi="宋体" w:cs="宋体"/>
                <w:bCs/>
                <w:color w:val="auto"/>
                <w:sz w:val="24"/>
                <w:highlight w:val="none"/>
              </w:rPr>
              <w:t>按合同金额的1%计收</w:t>
            </w:r>
            <w:r>
              <w:rPr>
                <w:rFonts w:hint="eastAsia" w:ascii="宋体" w:hAnsi="宋体"/>
                <w:color w:val="auto"/>
                <w:sz w:val="24"/>
                <w:highlight w:val="none"/>
              </w:rPr>
              <w:t>；履约保证金形式为：银行转账或银行、保险公司出具的保函。</w:t>
            </w:r>
            <w:r>
              <w:rPr>
                <w:rFonts w:hint="eastAsia"/>
                <w:b/>
                <w:color w:val="auto"/>
                <w:sz w:val="24"/>
                <w:szCs w:val="24"/>
                <w:highlight w:val="none"/>
              </w:rPr>
              <w:t>在承包期满后30天内退还（不计息）。如承包期内，在承包期内如因中标人原因造成采购人财产损失的，采购人有权在履约保证金中扣除。</w:t>
            </w:r>
          </w:p>
        </w:tc>
      </w:tr>
      <w:tr w14:paraId="359E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466E8811">
            <w:pPr>
              <w:autoSpaceDN w:val="0"/>
              <w:spacing w:line="384"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付款方式</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1966BF1B">
            <w:pPr>
              <w:spacing w:line="360" w:lineRule="auto"/>
              <w:rPr>
                <w:b/>
                <w:color w:val="auto"/>
                <w:sz w:val="24"/>
                <w:szCs w:val="24"/>
                <w:highlight w:val="none"/>
              </w:rPr>
            </w:pPr>
            <w:r>
              <w:rPr>
                <w:rFonts w:hint="eastAsia" w:ascii="宋体" w:hAnsi="宋体" w:cs="宋体"/>
                <w:color w:val="auto"/>
                <w:sz w:val="24"/>
                <w:highlight w:val="none"/>
                <w:shd w:val="clear" w:color="auto" w:fill="FFFFFF"/>
              </w:rPr>
              <w:t>▲</w:t>
            </w:r>
            <w:r>
              <w:rPr>
                <w:rFonts w:hint="eastAsia"/>
                <w:b/>
                <w:color w:val="auto"/>
                <w:sz w:val="24"/>
                <w:szCs w:val="24"/>
                <w:highlight w:val="none"/>
              </w:rPr>
              <w:t>（1）合同生效以及具备实施条件后7个工作日内支付年合同价款的20%作为预付款；</w:t>
            </w:r>
          </w:p>
          <w:p w14:paraId="15BE3ADD">
            <w:pPr>
              <w:spacing w:line="360" w:lineRule="auto"/>
              <w:rPr>
                <w:b/>
                <w:color w:val="auto"/>
                <w:sz w:val="24"/>
                <w:szCs w:val="24"/>
                <w:highlight w:val="none"/>
              </w:rPr>
            </w:pPr>
            <w:r>
              <w:rPr>
                <w:rFonts w:hint="eastAsia"/>
                <w:b/>
                <w:color w:val="auto"/>
                <w:sz w:val="24"/>
                <w:szCs w:val="24"/>
                <w:highlight w:val="none"/>
              </w:rPr>
              <w:t>（2）合同价款分两部分支付：绿化养护费用招标人根据考核情况按季度支付，每次支付按实际完成工程量的80% （扣除每月对应考核考评结果相应罚款）支付，余款按年度待核准后结清；绿化补植（含草花）费用每年完成竣工验收后支付实际完成工程量的50%，余款待核准后一次性付清。</w:t>
            </w:r>
          </w:p>
          <w:p w14:paraId="3DE4F1C6">
            <w:pPr>
              <w:spacing w:line="360" w:lineRule="auto"/>
              <w:rPr>
                <w:b/>
                <w:color w:val="auto"/>
                <w:sz w:val="24"/>
                <w:szCs w:val="24"/>
                <w:highlight w:val="none"/>
              </w:rPr>
            </w:pPr>
            <w:r>
              <w:rPr>
                <w:rFonts w:hint="eastAsia"/>
                <w:b/>
                <w:color w:val="auto"/>
                <w:sz w:val="24"/>
                <w:szCs w:val="24"/>
                <w:highlight w:val="none"/>
              </w:rPr>
              <w:t>（3）采购人在向供应商支付预付款之前，有权要求供应商向采购人提供与预付款金额相对应的担保措施，担保措施可以是银行、保险公司等金融机构出具的预付款保函或其他担保措施。</w:t>
            </w:r>
          </w:p>
          <w:p w14:paraId="131C0955">
            <w:pPr>
              <w:spacing w:line="360" w:lineRule="auto"/>
              <w:rPr>
                <w:b/>
                <w:color w:val="auto"/>
                <w:sz w:val="24"/>
                <w:szCs w:val="24"/>
                <w:highlight w:val="none"/>
              </w:rPr>
            </w:pPr>
            <w:r>
              <w:rPr>
                <w:rFonts w:hint="eastAsia"/>
                <w:b/>
                <w:color w:val="auto"/>
                <w:sz w:val="24"/>
                <w:szCs w:val="24"/>
                <w:highlight w:val="none"/>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tc>
      </w:tr>
      <w:tr w14:paraId="75C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240D9C54">
            <w:pPr>
              <w:snapToGrid w:val="0"/>
              <w:spacing w:line="360" w:lineRule="auto"/>
              <w:rPr>
                <w:rFonts w:ascii="宋体" w:hAnsi="宋体"/>
                <w:b/>
                <w:color w:val="auto"/>
                <w:sz w:val="24"/>
                <w:highlight w:val="none"/>
              </w:rPr>
            </w:pPr>
            <w:r>
              <w:rPr>
                <w:rFonts w:hint="eastAsia"/>
                <w:b/>
                <w:color w:val="auto"/>
                <w:sz w:val="24"/>
                <w:szCs w:val="24"/>
                <w:highlight w:val="none"/>
              </w:rPr>
              <w:t>承包方式</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393307E6">
            <w:pPr>
              <w:spacing w:line="360" w:lineRule="auto"/>
              <w:rPr>
                <w:b/>
                <w:color w:val="auto"/>
                <w:sz w:val="24"/>
                <w:szCs w:val="24"/>
                <w:highlight w:val="none"/>
              </w:rPr>
            </w:pPr>
            <w:r>
              <w:rPr>
                <w:rFonts w:hint="eastAsia"/>
                <w:b/>
                <w:color w:val="auto"/>
                <w:sz w:val="24"/>
                <w:szCs w:val="24"/>
                <w:highlight w:val="none"/>
              </w:rPr>
              <w:t>包工包料、包机械</w:t>
            </w:r>
          </w:p>
        </w:tc>
      </w:tr>
      <w:tr w14:paraId="12D1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50B3132C">
            <w:pPr>
              <w:snapToGrid w:val="0"/>
              <w:spacing w:line="360" w:lineRule="auto"/>
              <w:rPr>
                <w:rFonts w:ascii="宋体" w:hAnsi="宋体"/>
                <w:b/>
                <w:color w:val="auto"/>
                <w:sz w:val="24"/>
                <w:highlight w:val="none"/>
              </w:rPr>
            </w:pPr>
            <w:r>
              <w:rPr>
                <w:rFonts w:hint="eastAsia" w:ascii="宋体" w:hAnsi="宋体"/>
                <w:b/>
                <w:color w:val="auto"/>
                <w:sz w:val="24"/>
                <w:highlight w:val="none"/>
              </w:rPr>
              <w:t>其他要求</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00F35A07">
            <w:pPr>
              <w:snapToGrid w:val="0"/>
              <w:spacing w:line="360" w:lineRule="auto"/>
              <w:rPr>
                <w:rFonts w:ascii="宋体" w:hAnsi="宋体"/>
                <w:b/>
                <w:color w:val="auto"/>
                <w:sz w:val="24"/>
                <w:highlight w:val="none"/>
              </w:rPr>
            </w:pPr>
          </w:p>
        </w:tc>
      </w:tr>
    </w:tbl>
    <w:p w14:paraId="064CAFCC">
      <w:pPr>
        <w:pStyle w:val="19"/>
        <w:spacing w:after="0" w:line="360" w:lineRule="auto"/>
        <w:rPr>
          <w:rFonts w:ascii="宋体" w:hAnsi="宋体" w:cs="宋体"/>
          <w:color w:val="auto"/>
          <w:kern w:val="0"/>
          <w:sz w:val="24"/>
          <w:szCs w:val="22"/>
          <w:highlight w:val="none"/>
        </w:rPr>
      </w:pPr>
      <w:r>
        <w:rPr>
          <w:rFonts w:hint="eastAsia" w:ascii="宋体" w:hAnsi="宋体" w:eastAsia="宋体" w:cs="Times New Roman"/>
          <w:color w:val="auto"/>
          <w:sz w:val="24"/>
          <w:szCs w:val="22"/>
          <w:highlight w:val="none"/>
        </w:rPr>
        <w:t>注：1、本项目</w:t>
      </w:r>
      <w:r>
        <w:rPr>
          <w:rFonts w:ascii="宋体" w:hAnsi="宋体" w:eastAsia="宋体" w:cs="Times New Roman"/>
          <w:color w:val="auto"/>
          <w:sz w:val="24"/>
          <w:szCs w:val="22"/>
          <w:highlight w:val="none"/>
        </w:rPr>
        <w:t>采购标的对应的中小企业</w:t>
      </w:r>
      <w:r>
        <w:rPr>
          <w:rFonts w:hint="eastAsia" w:ascii="宋体" w:hAnsi="宋体" w:eastAsia="宋体" w:cs="Times New Roman"/>
          <w:color w:val="auto"/>
          <w:sz w:val="24"/>
          <w:szCs w:val="22"/>
          <w:highlight w:val="none"/>
        </w:rPr>
        <w:t>（根据</w:t>
      </w:r>
      <w:r>
        <w:rPr>
          <w:rFonts w:hint="eastAsia" w:ascii="宋体" w:hAnsi="宋体"/>
          <w:bCs/>
          <w:color w:val="auto"/>
          <w:spacing w:val="-4"/>
          <w:sz w:val="24"/>
          <w:highlight w:val="none"/>
        </w:rPr>
        <w:t>工信部联企业〔2011〕300 号确定）</w:t>
      </w:r>
      <w:r>
        <w:rPr>
          <w:rFonts w:ascii="宋体" w:hAnsi="宋体" w:eastAsia="宋体" w:cs="Times New Roman"/>
          <w:color w:val="auto"/>
          <w:sz w:val="24"/>
          <w:szCs w:val="22"/>
          <w:highlight w:val="none"/>
        </w:rPr>
        <w:t>划分标准所属行业</w:t>
      </w:r>
      <w:r>
        <w:rPr>
          <w:rFonts w:hint="eastAsia" w:ascii="宋体" w:hAnsi="宋体" w:eastAsia="宋体" w:cs="Times New Roman"/>
          <w:color w:val="auto"/>
          <w:sz w:val="24"/>
          <w:szCs w:val="22"/>
          <w:highlight w:val="none"/>
        </w:rPr>
        <w:t>为其他未列明行业。</w:t>
      </w:r>
    </w:p>
    <w:p w14:paraId="7E17B812">
      <w:pPr>
        <w:spacing w:line="360" w:lineRule="auto"/>
        <w:ind w:firstLine="470" w:firstLineChars="196"/>
        <w:rPr>
          <w:rFonts w:ascii="宋体" w:hAnsi="宋体" w:eastAsia="宋体" w:cs="Times New Roman"/>
          <w:color w:val="auto"/>
          <w:sz w:val="24"/>
          <w:highlight w:val="none"/>
        </w:rPr>
      </w:pPr>
      <w:r>
        <w:rPr>
          <w:rFonts w:ascii="宋体" w:hAnsi="宋体" w:eastAsia="宋体" w:cs="Times New Roman"/>
          <w:color w:val="auto"/>
          <w:sz w:val="24"/>
          <w:highlight w:val="none"/>
        </w:rPr>
        <w:t>2、依据《</w:t>
      </w:r>
      <w:r>
        <w:rPr>
          <w:rFonts w:hint="eastAsia" w:ascii="宋体" w:hAnsi="宋体" w:eastAsia="宋体" w:cs="Times New Roman"/>
          <w:color w:val="auto"/>
          <w:sz w:val="24"/>
          <w:highlight w:val="none"/>
        </w:rPr>
        <w:t>政府采购促进中小企业发展管理办法</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（财库【2020】46号）</w:t>
      </w:r>
      <w:r>
        <w:rPr>
          <w:rFonts w:ascii="宋体" w:hAnsi="宋体" w:eastAsia="宋体" w:cs="Times New Roman"/>
          <w:color w:val="auto"/>
          <w:sz w:val="24"/>
          <w:highlight w:val="none"/>
        </w:rPr>
        <w:t xml:space="preserve">规定享受扶持政策获得政府采购合同的，小微企业不得将合同分包给大中型企业，中型企业不得将合同分包给大型企业。 </w:t>
      </w:r>
    </w:p>
    <w:p w14:paraId="07636A04">
      <w:pPr>
        <w:pStyle w:val="19"/>
        <w:spacing w:after="0"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3.本招标文件中带“▲</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的有关技术和商务条款为实质性条款.投标人必须在投标文件中作出实质性响应。否则投标无效。</w:t>
      </w:r>
    </w:p>
    <w:p w14:paraId="0BE6D11B">
      <w:pPr>
        <w:widowControl/>
        <w:jc w:val="left"/>
        <w:rPr>
          <w:rFonts w:ascii="宋体" w:hAnsi="宋体" w:cs="宋体"/>
          <w:color w:val="auto"/>
          <w:kern w:val="0"/>
          <w:sz w:val="24"/>
          <w:highlight w:val="none"/>
        </w:rPr>
      </w:pPr>
      <w:r>
        <w:rPr>
          <w:rFonts w:ascii="宋体" w:hAnsi="宋体" w:cs="宋体"/>
          <w:color w:val="auto"/>
          <w:kern w:val="0"/>
          <w:sz w:val="24"/>
          <w:highlight w:val="none"/>
        </w:rPr>
        <w:br w:type="page"/>
      </w:r>
    </w:p>
    <w:p w14:paraId="30F0AE62">
      <w:pPr>
        <w:snapToGrid w:val="0"/>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第三章投标人须知</w:t>
      </w:r>
    </w:p>
    <w:p w14:paraId="1C5EBA93">
      <w:pPr>
        <w:snapToGrid w:val="0"/>
        <w:spacing w:line="360" w:lineRule="auto"/>
        <w:ind w:left="238"/>
        <w:jc w:val="center"/>
        <w:outlineLvl w:val="1"/>
        <w:rPr>
          <w:rFonts w:ascii="宋体" w:hAnsi="宋体"/>
          <w:b/>
          <w:color w:val="auto"/>
          <w:sz w:val="30"/>
          <w:szCs w:val="30"/>
          <w:highlight w:val="none"/>
        </w:rPr>
      </w:pPr>
      <w:r>
        <w:rPr>
          <w:rFonts w:hint="eastAsia" w:ascii="宋体" w:hAnsi="宋体"/>
          <w:b/>
          <w:color w:val="auto"/>
          <w:sz w:val="30"/>
          <w:szCs w:val="30"/>
          <w:highlight w:val="none"/>
        </w:rPr>
        <w:t>前附表</w:t>
      </w:r>
    </w:p>
    <w:tbl>
      <w:tblPr>
        <w:tblStyle w:val="47"/>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2959E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79284C20">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19FD66B5">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内容、要求</w:t>
            </w:r>
          </w:p>
        </w:tc>
      </w:tr>
      <w:tr w14:paraId="2E0FC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00" w:type="dxa"/>
            <w:tcBorders>
              <w:top w:val="single" w:color="auto" w:sz="4" w:space="0"/>
              <w:left w:val="single" w:color="auto" w:sz="4" w:space="0"/>
              <w:bottom w:val="single" w:color="auto" w:sz="4" w:space="0"/>
              <w:right w:val="single" w:color="auto" w:sz="4" w:space="0"/>
            </w:tcBorders>
            <w:vAlign w:val="center"/>
          </w:tcPr>
          <w:p w14:paraId="787E61F7">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p>
        </w:tc>
        <w:tc>
          <w:tcPr>
            <w:tcW w:w="9056" w:type="dxa"/>
            <w:tcBorders>
              <w:top w:val="single" w:color="auto" w:sz="4" w:space="0"/>
              <w:left w:val="single" w:color="auto" w:sz="4" w:space="0"/>
              <w:bottom w:val="single" w:color="auto" w:sz="4" w:space="0"/>
              <w:right w:val="single" w:color="auto" w:sz="4" w:space="0"/>
            </w:tcBorders>
            <w:vAlign w:val="center"/>
          </w:tcPr>
          <w:p w14:paraId="23812FB4">
            <w:pPr>
              <w:snapToGrid w:val="0"/>
              <w:spacing w:line="360" w:lineRule="auto"/>
              <w:rPr>
                <w:rFonts w:ascii="宋体" w:hAnsi="宋体"/>
                <w:color w:val="auto"/>
                <w:sz w:val="24"/>
                <w:highlight w:val="none"/>
              </w:rPr>
            </w:pPr>
            <w:r>
              <w:rPr>
                <w:rFonts w:hint="eastAsia" w:ascii="宋体" w:hAnsi="宋体"/>
                <w:color w:val="auto"/>
                <w:sz w:val="24"/>
                <w:highlight w:val="none"/>
              </w:rPr>
              <w:t>项目名称：湖州南太湖新区市本级移交道路绿化养护补植项目（2025-2027年度）</w:t>
            </w:r>
          </w:p>
        </w:tc>
      </w:tr>
      <w:tr w14:paraId="2A254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vAlign w:val="center"/>
          </w:tcPr>
          <w:p w14:paraId="2D51B88C">
            <w:pPr>
              <w:snapToGrid w:val="0"/>
              <w:spacing w:line="360" w:lineRule="auto"/>
              <w:jc w:val="center"/>
              <w:rPr>
                <w:rFonts w:ascii="宋体" w:hAnsi="宋体"/>
                <w:color w:val="auto"/>
                <w:sz w:val="24"/>
                <w:szCs w:val="20"/>
                <w:highlight w:val="none"/>
              </w:rPr>
            </w:pPr>
            <w:r>
              <w:rPr>
                <w:rFonts w:ascii="宋体" w:hAnsi="宋体"/>
                <w:color w:val="auto"/>
                <w:sz w:val="24"/>
                <w:highlight w:val="none"/>
              </w:rPr>
              <w:t>2</w:t>
            </w:r>
          </w:p>
        </w:tc>
        <w:tc>
          <w:tcPr>
            <w:tcW w:w="9056" w:type="dxa"/>
            <w:tcBorders>
              <w:top w:val="single" w:color="auto" w:sz="4" w:space="0"/>
              <w:left w:val="single" w:color="auto" w:sz="4" w:space="0"/>
              <w:bottom w:val="single" w:color="auto" w:sz="4" w:space="0"/>
              <w:right w:val="single" w:color="auto" w:sz="4" w:space="0"/>
            </w:tcBorders>
            <w:vAlign w:val="center"/>
          </w:tcPr>
          <w:p w14:paraId="33219386">
            <w:pPr>
              <w:snapToGrid w:val="0"/>
              <w:spacing w:line="360" w:lineRule="auto"/>
              <w:rPr>
                <w:rFonts w:ascii="宋体" w:hAnsi="宋体"/>
                <w:color w:val="auto"/>
                <w:sz w:val="24"/>
                <w:highlight w:val="none"/>
              </w:rPr>
            </w:pPr>
            <w:r>
              <w:rPr>
                <w:rFonts w:hint="eastAsia" w:ascii="宋体" w:hAnsi="宋体"/>
                <w:color w:val="auto"/>
                <w:sz w:val="24"/>
                <w:highlight w:val="none"/>
              </w:rPr>
              <w:t>采购数量及单位：详见招标文件</w:t>
            </w:r>
          </w:p>
        </w:tc>
      </w:tr>
      <w:tr w14:paraId="7013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73E75127">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9056" w:type="dxa"/>
            <w:tcBorders>
              <w:top w:val="single" w:color="auto" w:sz="4" w:space="0"/>
              <w:left w:val="single" w:color="auto" w:sz="4" w:space="0"/>
              <w:bottom w:val="single" w:color="auto" w:sz="4" w:space="0"/>
              <w:right w:val="single" w:color="auto" w:sz="4" w:space="0"/>
            </w:tcBorders>
            <w:vAlign w:val="center"/>
          </w:tcPr>
          <w:p w14:paraId="0C212EF8">
            <w:pPr>
              <w:snapToGrid w:val="0"/>
              <w:spacing w:line="360" w:lineRule="auto"/>
              <w:rPr>
                <w:rFonts w:ascii="宋体" w:hAnsi="宋体"/>
                <w:color w:val="auto"/>
                <w:sz w:val="24"/>
                <w:highlight w:val="none"/>
              </w:rPr>
            </w:pPr>
            <w:r>
              <w:rPr>
                <w:rFonts w:hint="eastAsia" w:ascii="宋体" w:hAnsi="宋体"/>
                <w:color w:val="auto"/>
                <w:sz w:val="24"/>
                <w:highlight w:val="none"/>
              </w:rPr>
              <w:t>投标报价及费用：1.本项目投标应以人民币报价；2.不论投标结果如何，投标人均应自行承担所有与投标有关的全部费用。3.本项目招标代理服务费：</w:t>
            </w:r>
            <w:bookmarkStart w:id="13" w:name="OLE_LINK1"/>
            <w:bookmarkStart w:id="14" w:name="OLE_LINK2"/>
            <w:r>
              <w:rPr>
                <w:rFonts w:hint="eastAsia" w:ascii="宋体" w:hAnsi="宋体"/>
                <w:color w:val="auto"/>
                <w:sz w:val="24"/>
                <w:highlight w:val="none"/>
              </w:rPr>
              <w:t>人民币贰万肆仟柒佰贰拾元整（24720元 ）</w:t>
            </w:r>
            <w:bookmarkEnd w:id="13"/>
            <w:bookmarkEnd w:id="14"/>
            <w:r>
              <w:rPr>
                <w:rFonts w:hint="eastAsia" w:ascii="宋体" w:hAnsi="宋体"/>
                <w:color w:val="auto"/>
                <w:sz w:val="24"/>
                <w:highlight w:val="none"/>
              </w:rPr>
              <w:t>。结算方式及时间为：在中标通知书发出当日一次性结清，由中标人全额支付。</w:t>
            </w:r>
          </w:p>
        </w:tc>
      </w:tr>
      <w:tr w14:paraId="6FF15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3CCE7A28">
            <w:pPr>
              <w:snapToGrid w:val="0"/>
              <w:spacing w:line="360" w:lineRule="auto"/>
              <w:jc w:val="center"/>
              <w:rPr>
                <w:rFonts w:ascii="宋体" w:hAnsi="宋体"/>
                <w:color w:val="auto"/>
                <w:sz w:val="24"/>
                <w:szCs w:val="20"/>
                <w:highlight w:val="none"/>
              </w:rPr>
            </w:pPr>
            <w:r>
              <w:rPr>
                <w:rFonts w:ascii="宋体" w:hAnsi="宋体"/>
                <w:color w:val="auto"/>
                <w:sz w:val="24"/>
                <w:highlight w:val="none"/>
              </w:rPr>
              <w:t>4</w:t>
            </w:r>
          </w:p>
        </w:tc>
        <w:tc>
          <w:tcPr>
            <w:tcW w:w="9056" w:type="dxa"/>
            <w:tcBorders>
              <w:top w:val="single" w:color="auto" w:sz="4" w:space="0"/>
              <w:left w:val="single" w:color="auto" w:sz="4" w:space="0"/>
              <w:bottom w:val="single" w:color="auto" w:sz="4" w:space="0"/>
              <w:right w:val="single" w:color="auto" w:sz="4" w:space="0"/>
            </w:tcBorders>
            <w:vAlign w:val="center"/>
          </w:tcPr>
          <w:p w14:paraId="583121FA">
            <w:pPr>
              <w:snapToGrid w:val="0"/>
              <w:spacing w:line="360" w:lineRule="auto"/>
              <w:rPr>
                <w:rFonts w:ascii="宋体" w:hAnsi="宋体"/>
                <w:color w:val="auto"/>
                <w:sz w:val="24"/>
                <w:highlight w:val="none"/>
              </w:rPr>
            </w:pPr>
            <w:r>
              <w:rPr>
                <w:rFonts w:hint="eastAsia" w:ascii="宋体" w:hAnsi="宋体"/>
                <w:color w:val="auto"/>
                <w:sz w:val="24"/>
                <w:highlight w:val="none"/>
              </w:rPr>
              <w:t>投标保证金：不缴纳</w:t>
            </w:r>
          </w:p>
        </w:tc>
      </w:tr>
      <w:tr w14:paraId="6588C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19C9A0B6">
            <w:pPr>
              <w:snapToGrid w:val="0"/>
              <w:spacing w:line="360" w:lineRule="auto"/>
              <w:jc w:val="center"/>
              <w:rPr>
                <w:rFonts w:ascii="宋体" w:hAnsi="宋体"/>
                <w:color w:val="auto"/>
                <w:sz w:val="24"/>
                <w:szCs w:val="20"/>
                <w:highlight w:val="none"/>
              </w:rPr>
            </w:pPr>
            <w:r>
              <w:rPr>
                <w:rFonts w:ascii="宋体" w:hAnsi="宋体"/>
                <w:color w:val="auto"/>
                <w:sz w:val="24"/>
                <w:highlight w:val="none"/>
              </w:rPr>
              <w:t>5</w:t>
            </w:r>
          </w:p>
        </w:tc>
        <w:tc>
          <w:tcPr>
            <w:tcW w:w="9056" w:type="dxa"/>
            <w:tcBorders>
              <w:top w:val="single" w:color="auto" w:sz="4" w:space="0"/>
              <w:left w:val="single" w:color="auto" w:sz="4" w:space="0"/>
              <w:bottom w:val="single" w:color="auto" w:sz="4" w:space="0"/>
              <w:right w:val="single" w:color="auto" w:sz="4" w:space="0"/>
            </w:tcBorders>
            <w:vAlign w:val="center"/>
          </w:tcPr>
          <w:p w14:paraId="672730D2">
            <w:pPr>
              <w:snapToGrid w:val="0"/>
              <w:spacing w:line="360" w:lineRule="auto"/>
              <w:rPr>
                <w:rFonts w:ascii="宋体" w:hAnsi="宋体"/>
                <w:color w:val="auto"/>
                <w:sz w:val="24"/>
                <w:highlight w:val="none"/>
              </w:rPr>
            </w:pPr>
            <w:r>
              <w:rPr>
                <w:rFonts w:hint="eastAsia" w:ascii="宋体" w:hAnsi="宋体"/>
                <w:color w:val="auto"/>
                <w:sz w:val="24"/>
                <w:highlight w:val="none"/>
              </w:rPr>
              <w:t>现场踏勘：不组织</w:t>
            </w:r>
          </w:p>
        </w:tc>
      </w:tr>
      <w:tr w14:paraId="58512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4B191753">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6</w:t>
            </w:r>
          </w:p>
        </w:tc>
        <w:tc>
          <w:tcPr>
            <w:tcW w:w="9056" w:type="dxa"/>
            <w:tcBorders>
              <w:top w:val="single" w:color="auto" w:sz="4" w:space="0"/>
              <w:left w:val="single" w:color="auto" w:sz="4" w:space="0"/>
              <w:bottom w:val="single" w:color="auto" w:sz="4" w:space="0"/>
              <w:right w:val="single" w:color="auto" w:sz="4" w:space="0"/>
            </w:tcBorders>
            <w:vAlign w:val="center"/>
          </w:tcPr>
          <w:p w14:paraId="1CA09A6E">
            <w:pPr>
              <w:snapToGrid w:val="0"/>
              <w:spacing w:line="360" w:lineRule="auto"/>
              <w:rPr>
                <w:rFonts w:ascii="宋体" w:hAnsi="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答疑与澄清：投标人如认为招标文件表述不清晰、存在歧视性、排他性或者其他违法内容的，应当于2025年 月 日17:00前，以书面形式要求招标采购单位作出书面解释、澄清或者向招标采购单位提出书面质疑；招标采购单位将于2024年3月13日前组织答疑；答疑内容是招标文件的组成部分，将在网上发布补充（答疑、澄清）文件，潜在投标人应自行关注网站公告，招标人不再一一通知。投标人因自身贻误行为导致投标失败的，责任自负。</w:t>
            </w:r>
          </w:p>
        </w:tc>
      </w:tr>
      <w:tr w14:paraId="77F2A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00" w:type="dxa"/>
            <w:tcBorders>
              <w:top w:val="single" w:color="auto" w:sz="4" w:space="0"/>
              <w:left w:val="single" w:color="auto" w:sz="4" w:space="0"/>
              <w:bottom w:val="single" w:color="auto" w:sz="4" w:space="0"/>
              <w:right w:val="single" w:color="auto" w:sz="4" w:space="0"/>
            </w:tcBorders>
            <w:vAlign w:val="center"/>
          </w:tcPr>
          <w:p w14:paraId="3C7F4BB8">
            <w:pPr>
              <w:snapToGrid w:val="0"/>
              <w:spacing w:line="360" w:lineRule="auto"/>
              <w:rPr>
                <w:rFonts w:ascii="宋体" w:hAnsi="宋体"/>
                <w:color w:val="auto"/>
                <w:sz w:val="24"/>
                <w:highlight w:val="none"/>
              </w:rPr>
            </w:pPr>
            <w:r>
              <w:rPr>
                <w:rFonts w:hint="eastAsia" w:ascii="宋体" w:hAnsi="宋体"/>
                <w:color w:val="auto"/>
                <w:sz w:val="24"/>
                <w:highlight w:val="none"/>
              </w:rPr>
              <w:t>7</w:t>
            </w:r>
          </w:p>
        </w:tc>
        <w:tc>
          <w:tcPr>
            <w:tcW w:w="9056" w:type="dxa"/>
            <w:tcBorders>
              <w:top w:val="single" w:color="auto" w:sz="4" w:space="0"/>
              <w:left w:val="single" w:color="auto" w:sz="4" w:space="0"/>
              <w:bottom w:val="single" w:color="auto" w:sz="4" w:space="0"/>
              <w:right w:val="single" w:color="auto" w:sz="4" w:space="0"/>
            </w:tcBorders>
            <w:vAlign w:val="center"/>
          </w:tcPr>
          <w:p w14:paraId="7A88B7F8">
            <w:pPr>
              <w:snapToGrid w:val="0"/>
              <w:spacing w:line="360" w:lineRule="auto"/>
              <w:rPr>
                <w:rFonts w:ascii="宋体" w:hAnsi="宋体"/>
                <w:color w:val="auto"/>
                <w:sz w:val="24"/>
                <w:highlight w:val="none"/>
              </w:rPr>
            </w:pPr>
            <w:r>
              <w:rPr>
                <w:rFonts w:hint="eastAsia" w:ascii="宋体" w:hAnsi="宋体"/>
                <w:color w:val="auto"/>
                <w:sz w:val="24"/>
                <w:highlight w:val="none"/>
              </w:rPr>
              <w:t>投标文件组成：1、电子投标文件（包括“电子加密投标文件”和“备份投标文件”，在投标文件编制完成后同时生成）</w:t>
            </w:r>
          </w:p>
          <w:p w14:paraId="6A069509">
            <w:pPr>
              <w:snapToGrid w:val="0"/>
              <w:spacing w:line="360" w:lineRule="auto"/>
              <w:rPr>
                <w:rFonts w:ascii="宋体" w:hAnsi="宋体"/>
                <w:color w:val="auto"/>
                <w:sz w:val="24"/>
                <w:highlight w:val="none"/>
              </w:rPr>
            </w:pPr>
            <w:r>
              <w:rPr>
                <w:rFonts w:hint="eastAsia" w:ascii="宋体" w:hAnsi="宋体"/>
                <w:color w:val="auto"/>
                <w:sz w:val="24"/>
                <w:highlight w:val="none"/>
              </w:rPr>
              <w:t>（1）“电子加密投标文件”是指通过“政采云电子交易客户端”完成投标文件编制后生成并加密的数据电文形式的投标文件。</w:t>
            </w:r>
          </w:p>
          <w:p w14:paraId="1990627F">
            <w:pPr>
              <w:snapToGrid w:val="0"/>
              <w:spacing w:line="360" w:lineRule="auto"/>
              <w:rPr>
                <w:rFonts w:ascii="宋体" w:hAnsi="宋体"/>
                <w:color w:val="auto"/>
                <w:sz w:val="24"/>
                <w:highlight w:val="none"/>
              </w:rPr>
            </w:pPr>
            <w:r>
              <w:rPr>
                <w:rFonts w:hint="eastAsia" w:ascii="宋体" w:hAnsi="宋体"/>
                <w:color w:val="auto"/>
                <w:sz w:val="24"/>
                <w:highlight w:val="none"/>
              </w:rPr>
              <w:t>（2）“备份投标文件”是指与“电子加密投标文件”同时生成的数据电文形式的电子文件（备份标书），其他方式编制的备份投标文件视为无效备份投标文件。仅在出现解密异常情况下使用。</w:t>
            </w:r>
          </w:p>
          <w:p w14:paraId="531F6F03">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2、中标后，中标单位需在领取中标通知书时，向招标代理机构提交与投标时电子投标文件一致的纸质版本一式三份（按照招标文件要求签字盖章）。</w:t>
            </w:r>
          </w:p>
        </w:tc>
      </w:tr>
      <w:tr w14:paraId="19789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3404E714">
            <w:pPr>
              <w:snapToGrid w:val="0"/>
              <w:spacing w:line="360" w:lineRule="auto"/>
              <w:rPr>
                <w:rFonts w:ascii="宋体" w:hAnsi="宋体"/>
                <w:color w:val="auto"/>
                <w:sz w:val="24"/>
                <w:highlight w:val="none"/>
              </w:rPr>
            </w:pPr>
            <w:r>
              <w:rPr>
                <w:rFonts w:hint="eastAsia" w:ascii="宋体" w:hAnsi="宋体"/>
                <w:color w:val="auto"/>
                <w:sz w:val="24"/>
                <w:highlight w:val="none"/>
              </w:rPr>
              <w:t>8</w:t>
            </w:r>
          </w:p>
        </w:tc>
        <w:tc>
          <w:tcPr>
            <w:tcW w:w="9056" w:type="dxa"/>
            <w:tcBorders>
              <w:top w:val="single" w:color="auto" w:sz="4" w:space="0"/>
              <w:left w:val="single" w:color="auto" w:sz="4" w:space="0"/>
              <w:bottom w:val="single" w:color="auto" w:sz="4" w:space="0"/>
              <w:right w:val="single" w:color="auto" w:sz="4" w:space="0"/>
            </w:tcBorders>
            <w:vAlign w:val="center"/>
          </w:tcPr>
          <w:p w14:paraId="3B21C468">
            <w:pPr>
              <w:snapToGrid w:val="0"/>
              <w:spacing w:line="360" w:lineRule="auto"/>
              <w:rPr>
                <w:rFonts w:ascii="宋体" w:hAnsi="宋体"/>
                <w:color w:val="auto"/>
                <w:sz w:val="24"/>
                <w:highlight w:val="none"/>
              </w:rPr>
            </w:pPr>
            <w:r>
              <w:rPr>
                <w:rFonts w:hint="eastAsia" w:ascii="宋体" w:hAnsi="宋体"/>
                <w:color w:val="auto"/>
                <w:sz w:val="24"/>
                <w:highlight w:val="none"/>
              </w:rPr>
              <w:t>投标文件份数：1、“电子加密投标文件”：在线上传递交、一份。2、“备份投标文件”：一份。</w:t>
            </w:r>
            <w:r>
              <w:rPr>
                <w:rFonts w:ascii="宋体" w:hAnsi="宋体"/>
                <w:color w:val="auto"/>
                <w:sz w:val="24"/>
                <w:highlight w:val="none"/>
              </w:rPr>
              <w:t>以介质存储的数据电文形式的备份</w:t>
            </w:r>
            <w:r>
              <w:rPr>
                <w:rFonts w:hint="eastAsia" w:ascii="宋体" w:hAnsi="宋体"/>
                <w:color w:val="auto"/>
                <w:sz w:val="24"/>
                <w:highlight w:val="none"/>
              </w:rPr>
              <w:t>投标</w:t>
            </w:r>
            <w:r>
              <w:rPr>
                <w:rFonts w:ascii="宋体" w:hAnsi="宋体"/>
                <w:color w:val="auto"/>
                <w:sz w:val="24"/>
                <w:highlight w:val="none"/>
              </w:rPr>
              <w:t>文件(BFBS格式)，按政采云平台项目采购-电子交易操作指南中上传的电子</w:t>
            </w:r>
            <w:r>
              <w:rPr>
                <w:rFonts w:hint="eastAsia" w:ascii="宋体" w:hAnsi="宋体"/>
                <w:color w:val="auto"/>
                <w:sz w:val="24"/>
                <w:highlight w:val="none"/>
              </w:rPr>
              <w:t>投标</w:t>
            </w:r>
            <w:r>
              <w:rPr>
                <w:rFonts w:ascii="宋体" w:hAnsi="宋体"/>
                <w:color w:val="auto"/>
                <w:sz w:val="24"/>
                <w:highlight w:val="none"/>
              </w:rPr>
              <w:t>文件格式，以U盘形式存储提供)。U盘盘面上粘贴标签，标注单位名称，装入一个外包封袋中进行邮寄.邮寄时，总的外包封袋上可不注明单位名称，但应注明单位的联系人、联系电话及项目名称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color w:val="auto"/>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olor w:val="auto"/>
                <w:sz w:val="24"/>
                <w:highlight w:val="none"/>
              </w:rPr>
              <w:t>。供应商应于2024年3月18日</w:t>
            </w:r>
            <w:r>
              <w:rPr>
                <w:rFonts w:hint="eastAsia" w:ascii="宋体" w:hAnsi="宋体"/>
                <w:color w:val="auto"/>
                <w:sz w:val="24"/>
                <w:highlight w:val="none"/>
              </w:rPr>
              <w:fldChar w:fldCharType="end"/>
            </w:r>
            <w:r>
              <w:rPr>
                <w:rFonts w:hint="eastAsia" w:ascii="宋体" w:hAnsi="宋体"/>
                <w:color w:val="auto"/>
                <w:sz w:val="24"/>
                <w:highlight w:val="none"/>
              </w:rPr>
              <w:t>17:00时前准时送达，拒绝到付。以收件人实际签收时间为准，逾期送达的将拒绝接收。</w:t>
            </w:r>
          </w:p>
        </w:tc>
      </w:tr>
      <w:tr w14:paraId="2BF84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415E1CA3">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9</w:t>
            </w:r>
          </w:p>
        </w:tc>
        <w:tc>
          <w:tcPr>
            <w:tcW w:w="9056" w:type="dxa"/>
            <w:tcBorders>
              <w:top w:val="single" w:color="auto" w:sz="4" w:space="0"/>
              <w:left w:val="single" w:color="auto" w:sz="4" w:space="0"/>
              <w:bottom w:val="single" w:color="auto" w:sz="4" w:space="0"/>
              <w:right w:val="single" w:color="auto" w:sz="4" w:space="0"/>
            </w:tcBorders>
            <w:vAlign w:val="center"/>
          </w:tcPr>
          <w:p w14:paraId="527D68F0">
            <w:pPr>
              <w:snapToGrid w:val="0"/>
              <w:spacing w:line="360" w:lineRule="auto"/>
              <w:rPr>
                <w:rFonts w:ascii="宋体" w:hAnsi="宋体"/>
                <w:color w:val="auto"/>
                <w:sz w:val="24"/>
                <w:highlight w:val="none"/>
              </w:rPr>
            </w:pPr>
            <w:r>
              <w:rPr>
                <w:rFonts w:hint="eastAsia" w:ascii="宋体" w:hAnsi="宋体"/>
                <w:color w:val="auto"/>
                <w:sz w:val="24"/>
                <w:highlight w:val="none"/>
              </w:rPr>
              <w:t>电子加密投标文件的解密和异常情况处理：</w:t>
            </w:r>
          </w:p>
          <w:p w14:paraId="302FA338">
            <w:pPr>
              <w:snapToGrid w:val="0"/>
              <w:spacing w:line="360" w:lineRule="auto"/>
              <w:rPr>
                <w:rFonts w:ascii="宋体" w:hAnsi="宋体"/>
                <w:color w:val="auto"/>
                <w:sz w:val="24"/>
                <w:highlight w:val="none"/>
              </w:rPr>
            </w:pPr>
            <w:r>
              <w:rPr>
                <w:rFonts w:hint="eastAsia" w:ascii="宋体" w:hAnsi="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2E9561A1">
            <w:pPr>
              <w:snapToGrid w:val="0"/>
              <w:spacing w:line="360" w:lineRule="auto"/>
              <w:rPr>
                <w:rFonts w:ascii="宋体" w:hAnsi="宋体"/>
                <w:color w:val="auto"/>
                <w:sz w:val="24"/>
                <w:highlight w:val="none"/>
              </w:rPr>
            </w:pPr>
            <w:r>
              <w:rPr>
                <w:rFonts w:hint="eastAsia" w:ascii="宋体" w:hAnsi="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3CF1F80">
            <w:pPr>
              <w:snapToGrid w:val="0"/>
              <w:spacing w:line="360" w:lineRule="auto"/>
              <w:rPr>
                <w:rFonts w:ascii="宋体" w:hAnsi="宋体"/>
                <w:color w:val="auto"/>
                <w:sz w:val="24"/>
                <w:highlight w:val="none"/>
              </w:rPr>
            </w:pPr>
            <w:r>
              <w:rPr>
                <w:rFonts w:hint="eastAsia" w:ascii="宋体" w:hAnsi="宋体"/>
                <w:color w:val="auto"/>
                <w:sz w:val="24"/>
                <w:highlight w:val="none"/>
              </w:rPr>
              <w:t>（3）投标截止时间前，投标供应商仅递交了“备份投标文件”而未将电子加密投标文件上传至“政府采购云平台”的，投标无效。</w:t>
            </w:r>
          </w:p>
        </w:tc>
      </w:tr>
      <w:tr w14:paraId="00EA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6F947898">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2DE34FC3">
            <w:pPr>
              <w:snapToGrid w:val="0"/>
              <w:spacing w:line="360" w:lineRule="auto"/>
              <w:rPr>
                <w:rFonts w:ascii="宋体" w:hAnsi="宋体"/>
                <w:color w:val="auto"/>
                <w:sz w:val="24"/>
                <w:highlight w:val="none"/>
              </w:rPr>
            </w:pPr>
            <w:r>
              <w:rPr>
                <w:rFonts w:hint="eastAsia" w:ascii="宋体" w:hAnsi="宋体"/>
                <w:color w:val="auto"/>
                <w:sz w:val="24"/>
                <w:highlight w:val="none"/>
              </w:rPr>
              <w:t>开标时间及地点：2025年 月 日</w:t>
            </w:r>
            <w:r>
              <w:rPr>
                <w:rFonts w:hint="eastAsia" w:ascii="宋体" w:hAnsi="宋体" w:cs="仿宋"/>
                <w:color w:val="auto"/>
                <w:sz w:val="24"/>
                <w:highlight w:val="none"/>
              </w:rPr>
              <w:t>9点00分</w:t>
            </w:r>
            <w:r>
              <w:rPr>
                <w:rFonts w:hint="eastAsia" w:ascii="宋体" w:hAnsi="宋体"/>
                <w:color w:val="auto"/>
                <w:sz w:val="24"/>
                <w:highlight w:val="none"/>
              </w:rPr>
              <w:t>（北京时间）</w:t>
            </w:r>
          </w:p>
          <w:p w14:paraId="0477BF17">
            <w:pPr>
              <w:snapToGrid w:val="0"/>
              <w:spacing w:line="360" w:lineRule="auto"/>
              <w:rPr>
                <w:rFonts w:ascii="宋体" w:hAnsi="宋体"/>
                <w:color w:val="auto"/>
                <w:sz w:val="24"/>
                <w:highlight w:val="none"/>
              </w:rPr>
            </w:pPr>
            <w:r>
              <w:rPr>
                <w:rFonts w:hint="eastAsia" w:ascii="宋体" w:hAnsi="宋体"/>
                <w:color w:val="auto"/>
                <w:sz w:val="24"/>
                <w:highlight w:val="none"/>
              </w:rPr>
              <w:t>浙江省湖州市公共资源交易中心二楼开标室（湖州市仁皇山片区金盖山路</w:t>
            </w:r>
            <w:r>
              <w:rPr>
                <w:rFonts w:ascii="宋体" w:hAnsi="宋体"/>
                <w:color w:val="auto"/>
                <w:sz w:val="24"/>
                <w:highlight w:val="none"/>
              </w:rPr>
              <w:t>66</w:t>
            </w:r>
            <w:r>
              <w:rPr>
                <w:rFonts w:hint="eastAsia" w:ascii="宋体" w:hAnsi="宋体"/>
                <w:color w:val="auto"/>
                <w:sz w:val="24"/>
                <w:highlight w:val="none"/>
              </w:rPr>
              <w:t>号</w:t>
            </w:r>
            <w:r>
              <w:rPr>
                <w:rFonts w:ascii="宋体" w:hAnsi="宋体"/>
                <w:color w:val="auto"/>
                <w:sz w:val="24"/>
                <w:highlight w:val="none"/>
              </w:rPr>
              <w:t>2</w:t>
            </w:r>
            <w:r>
              <w:rPr>
                <w:rFonts w:hint="eastAsia" w:ascii="宋体" w:hAnsi="宋体"/>
                <w:color w:val="auto"/>
                <w:sz w:val="24"/>
                <w:highlight w:val="none"/>
              </w:rPr>
              <w:t>号楼，具体详见二楼大厅公告栏），供应商应在投标截止时间前登入“政府采购云平台（www.zcygov.cn）”在线参与开标，并完成CA锁在线解密投标文件等相关工作。</w:t>
            </w:r>
          </w:p>
        </w:tc>
      </w:tr>
      <w:tr w14:paraId="0C1BB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3F6DD21D">
            <w:pPr>
              <w:snapToGrid w:val="0"/>
              <w:spacing w:line="360" w:lineRule="auto"/>
              <w:jc w:val="center"/>
              <w:rPr>
                <w:rFonts w:ascii="宋体" w:hAnsi="宋体"/>
                <w:color w:val="auto"/>
                <w:sz w:val="24"/>
                <w:szCs w:val="20"/>
                <w:highlight w:val="none"/>
              </w:rPr>
            </w:pPr>
            <w:r>
              <w:rPr>
                <w:rFonts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73227627">
            <w:pPr>
              <w:snapToGrid w:val="0"/>
              <w:spacing w:line="360" w:lineRule="auto"/>
              <w:rPr>
                <w:rFonts w:ascii="宋体" w:hAnsi="宋体"/>
                <w:color w:val="auto"/>
                <w:sz w:val="24"/>
                <w:highlight w:val="none"/>
              </w:rPr>
            </w:pPr>
            <w:r>
              <w:rPr>
                <w:rFonts w:hint="eastAsia" w:ascii="宋体" w:hAnsi="宋体"/>
                <w:color w:val="auto"/>
                <w:sz w:val="24"/>
                <w:highlight w:val="none"/>
              </w:rPr>
              <w:t>评标办法及评分标准：详见招标文件</w:t>
            </w:r>
          </w:p>
        </w:tc>
      </w:tr>
      <w:tr w14:paraId="0DFC9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1E3E8B8A">
            <w:pPr>
              <w:snapToGrid w:val="0"/>
              <w:spacing w:line="360" w:lineRule="auto"/>
              <w:jc w:val="center"/>
              <w:rPr>
                <w:rFonts w:ascii="宋体" w:hAnsi="宋体"/>
                <w:color w:val="auto"/>
                <w:sz w:val="24"/>
                <w:szCs w:val="20"/>
                <w:highlight w:val="none"/>
              </w:rPr>
            </w:pPr>
            <w:r>
              <w:rPr>
                <w:rFonts w:ascii="宋体" w:hAnsi="宋体"/>
                <w:color w:val="auto"/>
                <w:sz w:val="24"/>
                <w:highlight w:val="none"/>
              </w:rPr>
              <w:t>11</w:t>
            </w:r>
          </w:p>
        </w:tc>
        <w:tc>
          <w:tcPr>
            <w:tcW w:w="9056" w:type="dxa"/>
            <w:tcBorders>
              <w:top w:val="single" w:color="auto" w:sz="4" w:space="0"/>
              <w:left w:val="single" w:color="auto" w:sz="4" w:space="0"/>
              <w:bottom w:val="single" w:color="auto" w:sz="4" w:space="0"/>
              <w:right w:val="single" w:color="auto" w:sz="4" w:space="0"/>
            </w:tcBorders>
            <w:vAlign w:val="center"/>
          </w:tcPr>
          <w:p w14:paraId="607BF1EA">
            <w:pPr>
              <w:snapToGrid w:val="0"/>
              <w:spacing w:line="360" w:lineRule="auto"/>
              <w:rPr>
                <w:rFonts w:ascii="宋体" w:hAnsi="宋体"/>
                <w:color w:val="auto"/>
                <w:sz w:val="24"/>
                <w:highlight w:val="none"/>
              </w:rPr>
            </w:pPr>
            <w:r>
              <w:rPr>
                <w:rFonts w:hint="eastAsia" w:ascii="宋体" w:hAnsi="宋体"/>
                <w:color w:val="auto"/>
                <w:sz w:val="24"/>
                <w:highlight w:val="none"/>
              </w:rPr>
              <w:t>中标公告：中标供应商确定后，中标公告于浙江省政府采购网：</w:t>
            </w:r>
            <w:r>
              <w:rPr>
                <w:rFonts w:ascii="宋体" w:hAnsi="宋体"/>
                <w:color w:val="auto"/>
                <w:sz w:val="24"/>
                <w:highlight w:val="non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color w:val="auto"/>
                <w:sz w:val="24"/>
                <w:highlight w:val="none"/>
              </w:rPr>
              <w:t>http://www.zjzfcg.gov.cn</w:t>
            </w:r>
            <w:r>
              <w:rPr>
                <w:rFonts w:ascii="宋体" w:hAnsi="宋体"/>
                <w:color w:val="auto"/>
                <w:sz w:val="24"/>
                <w:highlight w:val="none"/>
              </w:rPr>
              <w:fldChar w:fldCharType="end"/>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湖州市公共资源交易信息网http://ggzy.huzhou.gov.cn</w:t>
            </w:r>
            <w:r>
              <w:rPr>
                <w:rFonts w:hint="eastAsia" w:ascii="宋体" w:hAnsi="宋体"/>
                <w:color w:val="auto"/>
                <w:sz w:val="24"/>
                <w:highlight w:val="none"/>
              </w:rPr>
              <w:t>等网站。</w:t>
            </w:r>
          </w:p>
        </w:tc>
      </w:tr>
      <w:tr w14:paraId="3977C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2DD8A01A">
            <w:pPr>
              <w:snapToGrid w:val="0"/>
              <w:spacing w:line="360" w:lineRule="auto"/>
              <w:jc w:val="center"/>
              <w:rPr>
                <w:rFonts w:ascii="宋体" w:hAnsi="宋体"/>
                <w:color w:val="auto"/>
                <w:sz w:val="24"/>
                <w:szCs w:val="20"/>
                <w:highlight w:val="none"/>
              </w:rPr>
            </w:pPr>
            <w:r>
              <w:rPr>
                <w:rFonts w:ascii="宋体" w:hAnsi="宋体"/>
                <w:color w:val="auto"/>
                <w:sz w:val="24"/>
                <w:highlight w:val="none"/>
              </w:rPr>
              <w:t>12</w:t>
            </w:r>
          </w:p>
        </w:tc>
        <w:tc>
          <w:tcPr>
            <w:tcW w:w="9056" w:type="dxa"/>
            <w:tcBorders>
              <w:top w:val="single" w:color="auto" w:sz="4" w:space="0"/>
              <w:left w:val="single" w:color="auto" w:sz="4" w:space="0"/>
              <w:bottom w:val="single" w:color="auto" w:sz="4" w:space="0"/>
              <w:right w:val="single" w:color="auto" w:sz="4" w:space="0"/>
            </w:tcBorders>
            <w:vAlign w:val="center"/>
          </w:tcPr>
          <w:p w14:paraId="6A82DD7C">
            <w:pPr>
              <w:autoSpaceDE w:val="0"/>
              <w:autoSpaceDN w:val="0"/>
              <w:snapToGrid w:val="0"/>
              <w:spacing w:line="360" w:lineRule="auto"/>
              <w:textAlignment w:val="bottom"/>
              <w:rPr>
                <w:rFonts w:ascii="宋体" w:hAnsi="宋体"/>
                <w:color w:val="auto"/>
                <w:sz w:val="24"/>
                <w:szCs w:val="20"/>
                <w:highlight w:val="none"/>
              </w:rPr>
            </w:pPr>
            <w:r>
              <w:rPr>
                <w:rFonts w:hint="eastAsia" w:ascii="宋体" w:hAnsi="宋体"/>
                <w:color w:val="auto"/>
                <w:sz w:val="24"/>
                <w:highlight w:val="none"/>
              </w:rPr>
              <w:t>签订合同时间：中标通知书发出后30日内。</w:t>
            </w:r>
          </w:p>
        </w:tc>
      </w:tr>
      <w:tr w14:paraId="038EC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434BD4D0">
            <w:pPr>
              <w:snapToGrid w:val="0"/>
              <w:spacing w:line="360" w:lineRule="auto"/>
              <w:jc w:val="center"/>
              <w:rPr>
                <w:rFonts w:ascii="宋体" w:hAnsi="宋体"/>
                <w:color w:val="auto"/>
                <w:sz w:val="24"/>
                <w:szCs w:val="20"/>
                <w:highlight w:val="none"/>
              </w:rPr>
            </w:pPr>
            <w:r>
              <w:rPr>
                <w:rFonts w:ascii="宋体" w:hAnsi="宋体"/>
                <w:color w:val="auto"/>
                <w:sz w:val="24"/>
                <w:highlight w:val="none"/>
              </w:rPr>
              <w:t>13</w:t>
            </w:r>
          </w:p>
        </w:tc>
        <w:tc>
          <w:tcPr>
            <w:tcW w:w="9056" w:type="dxa"/>
            <w:tcBorders>
              <w:top w:val="single" w:color="auto" w:sz="4" w:space="0"/>
              <w:left w:val="single" w:color="auto" w:sz="4" w:space="0"/>
              <w:bottom w:val="single" w:color="auto" w:sz="4" w:space="0"/>
              <w:right w:val="single" w:color="auto" w:sz="4" w:space="0"/>
            </w:tcBorders>
            <w:vAlign w:val="center"/>
          </w:tcPr>
          <w:p w14:paraId="4F301B29">
            <w:pPr>
              <w:spacing w:line="440" w:lineRule="exact"/>
              <w:rPr>
                <w:rFonts w:ascii="宋体" w:hAnsi="宋体" w:cs="宋体"/>
                <w:bCs/>
                <w:color w:val="auto"/>
                <w:sz w:val="24"/>
                <w:highlight w:val="none"/>
              </w:rPr>
            </w:pPr>
            <w:r>
              <w:rPr>
                <w:rFonts w:hint="eastAsia" w:ascii="宋体" w:hAnsi="宋体"/>
                <w:color w:val="auto"/>
                <w:sz w:val="24"/>
                <w:highlight w:val="none"/>
              </w:rPr>
              <w:t>本项目的履约保证金按合同金额的1%</w:t>
            </w:r>
            <w:r>
              <w:rPr>
                <w:rFonts w:hint="eastAsia" w:ascii="宋体" w:hAnsi="宋体" w:cs="宋体"/>
                <w:bCs/>
                <w:color w:val="auto"/>
                <w:sz w:val="24"/>
                <w:highlight w:val="none"/>
              </w:rPr>
              <w:t>计收</w:t>
            </w:r>
            <w:r>
              <w:rPr>
                <w:rFonts w:hint="eastAsia" w:ascii="宋体" w:hAnsi="宋体"/>
                <w:color w:val="auto"/>
                <w:sz w:val="24"/>
                <w:highlight w:val="none"/>
              </w:rPr>
              <w:t>；履约保证金形式为：银行转账或银行、保险公司出具的保函。在承包期满后30天内退还（不计息）。如承包期内，在承包期内如因中标人原因造成采购人财产损失的，采购人有权在履约保证金中扣除。</w:t>
            </w:r>
          </w:p>
        </w:tc>
      </w:tr>
      <w:tr w14:paraId="459BC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178601D6">
            <w:pPr>
              <w:snapToGrid w:val="0"/>
              <w:spacing w:line="360" w:lineRule="auto"/>
              <w:jc w:val="center"/>
              <w:rPr>
                <w:rFonts w:ascii="宋体" w:hAnsi="宋体"/>
                <w:color w:val="auto"/>
                <w:sz w:val="24"/>
                <w:szCs w:val="20"/>
                <w:highlight w:val="none"/>
              </w:rPr>
            </w:pPr>
            <w:r>
              <w:rPr>
                <w:rFonts w:ascii="宋体" w:hAnsi="宋体"/>
                <w:color w:val="auto"/>
                <w:sz w:val="24"/>
                <w:highlight w:val="none"/>
              </w:rPr>
              <w:t>14</w:t>
            </w:r>
          </w:p>
        </w:tc>
        <w:tc>
          <w:tcPr>
            <w:tcW w:w="9056" w:type="dxa"/>
            <w:tcBorders>
              <w:top w:val="single" w:color="auto" w:sz="4" w:space="0"/>
              <w:left w:val="single" w:color="auto" w:sz="4" w:space="0"/>
              <w:bottom w:val="single" w:color="auto" w:sz="4" w:space="0"/>
              <w:right w:val="single" w:color="auto" w:sz="4" w:space="0"/>
            </w:tcBorders>
            <w:vAlign w:val="center"/>
          </w:tcPr>
          <w:p w14:paraId="0B0122AC">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采购资金来源：财政资金</w:t>
            </w:r>
          </w:p>
        </w:tc>
      </w:tr>
      <w:tr w14:paraId="5BCAD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056A3E31">
            <w:pPr>
              <w:snapToGrid w:val="0"/>
              <w:spacing w:line="360" w:lineRule="auto"/>
              <w:jc w:val="center"/>
              <w:rPr>
                <w:rFonts w:ascii="宋体" w:hAnsi="宋体"/>
                <w:color w:val="auto"/>
                <w:sz w:val="24"/>
                <w:szCs w:val="20"/>
                <w:highlight w:val="none"/>
              </w:rPr>
            </w:pPr>
            <w:r>
              <w:rPr>
                <w:rFonts w:ascii="宋体" w:hAnsi="宋体"/>
                <w:color w:val="auto"/>
                <w:sz w:val="24"/>
                <w:highlight w:val="none"/>
              </w:rPr>
              <w:t>15</w:t>
            </w:r>
          </w:p>
        </w:tc>
        <w:tc>
          <w:tcPr>
            <w:tcW w:w="9056" w:type="dxa"/>
            <w:tcBorders>
              <w:top w:val="single" w:color="auto" w:sz="4" w:space="0"/>
              <w:left w:val="single" w:color="auto" w:sz="4" w:space="0"/>
              <w:bottom w:val="single" w:color="auto" w:sz="4" w:space="0"/>
              <w:right w:val="single" w:color="auto" w:sz="4" w:space="0"/>
            </w:tcBorders>
            <w:vAlign w:val="center"/>
          </w:tcPr>
          <w:p w14:paraId="57E087E9">
            <w:pPr>
              <w:autoSpaceDE w:val="0"/>
              <w:autoSpaceDN w:val="0"/>
              <w:snapToGrid w:val="0"/>
              <w:spacing w:line="360" w:lineRule="auto"/>
              <w:textAlignment w:val="bottom"/>
              <w:rPr>
                <w:rFonts w:ascii="宋体" w:hAnsi="宋体"/>
                <w:color w:val="auto"/>
                <w:sz w:val="24"/>
                <w:szCs w:val="20"/>
                <w:highlight w:val="none"/>
              </w:rPr>
            </w:pPr>
            <w:r>
              <w:rPr>
                <w:rFonts w:hint="eastAsia" w:ascii="宋体" w:hAnsi="宋体"/>
                <w:color w:val="auto"/>
                <w:sz w:val="24"/>
                <w:highlight w:val="none"/>
              </w:rPr>
              <w:t>付款方式：采购人自行支付</w:t>
            </w:r>
          </w:p>
        </w:tc>
      </w:tr>
      <w:tr w14:paraId="70F55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0EFF544A">
            <w:pPr>
              <w:snapToGrid w:val="0"/>
              <w:spacing w:line="360" w:lineRule="auto"/>
              <w:jc w:val="center"/>
              <w:rPr>
                <w:rFonts w:ascii="宋体" w:hAnsi="宋体"/>
                <w:color w:val="auto"/>
                <w:sz w:val="24"/>
                <w:highlight w:val="none"/>
              </w:rPr>
            </w:pPr>
            <w:r>
              <w:rPr>
                <w:rFonts w:ascii="宋体" w:hAnsi="宋体"/>
                <w:color w:val="auto"/>
                <w:sz w:val="24"/>
                <w:highlight w:val="none"/>
              </w:rPr>
              <w:t>16</w:t>
            </w:r>
          </w:p>
        </w:tc>
        <w:tc>
          <w:tcPr>
            <w:tcW w:w="9056" w:type="dxa"/>
            <w:tcBorders>
              <w:top w:val="single" w:color="auto" w:sz="4" w:space="0"/>
              <w:left w:val="single" w:color="auto" w:sz="4" w:space="0"/>
              <w:bottom w:val="single" w:color="auto" w:sz="4" w:space="0"/>
              <w:right w:val="single" w:color="auto" w:sz="4" w:space="0"/>
            </w:tcBorders>
            <w:vAlign w:val="center"/>
          </w:tcPr>
          <w:p w14:paraId="745160A3">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投标文件有效期：</w:t>
            </w:r>
            <w:r>
              <w:rPr>
                <w:rFonts w:hint="eastAsia" w:ascii="宋体" w:hAnsi="宋体" w:cs="Arial"/>
                <w:color w:val="auto"/>
                <w:sz w:val="24"/>
                <w:highlight w:val="none"/>
                <w:u w:val="single"/>
              </w:rPr>
              <w:t>120</w:t>
            </w:r>
            <w:r>
              <w:rPr>
                <w:rFonts w:hint="eastAsia" w:ascii="宋体" w:hAnsi="宋体" w:cs="Arial"/>
                <w:color w:val="auto"/>
                <w:sz w:val="24"/>
                <w:highlight w:val="none"/>
              </w:rPr>
              <w:t>天</w:t>
            </w:r>
          </w:p>
        </w:tc>
      </w:tr>
      <w:tr w14:paraId="14994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0E45EC95">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17</w:t>
            </w:r>
          </w:p>
        </w:tc>
        <w:tc>
          <w:tcPr>
            <w:tcW w:w="9056" w:type="dxa"/>
            <w:tcBorders>
              <w:top w:val="single" w:color="auto" w:sz="4" w:space="0"/>
              <w:left w:val="single" w:color="auto" w:sz="4" w:space="0"/>
              <w:bottom w:val="single" w:color="auto" w:sz="4" w:space="0"/>
              <w:right w:val="single" w:color="auto" w:sz="4" w:space="0"/>
            </w:tcBorders>
            <w:vAlign w:val="center"/>
          </w:tcPr>
          <w:p w14:paraId="2B91D4B1">
            <w:pPr>
              <w:snapToGrid w:val="0"/>
              <w:spacing w:line="360" w:lineRule="auto"/>
              <w:rPr>
                <w:rFonts w:ascii="宋体" w:hAnsi="宋体"/>
                <w:color w:val="auto"/>
                <w:kern w:val="0"/>
                <w:sz w:val="24"/>
                <w:highlight w:val="none"/>
              </w:rPr>
            </w:pPr>
            <w:r>
              <w:rPr>
                <w:rFonts w:hint="eastAsia" w:ascii="宋体" w:hAnsi="宋体"/>
                <w:color w:val="auto"/>
                <w:sz w:val="24"/>
                <w:highlight w:val="none"/>
              </w:rPr>
              <w:t>招标单位：湖州南太湖新区公用事业管理中心</w:t>
            </w:r>
            <w:r>
              <w:rPr>
                <w:rFonts w:hint="eastAsia" w:ascii="宋体" w:hAnsi="宋体" w:cs="Arial"/>
                <w:color w:val="auto"/>
                <w:sz w:val="24"/>
                <w:highlight w:val="none"/>
              </w:rPr>
              <w:t xml:space="preserve"> </w:t>
            </w:r>
          </w:p>
        </w:tc>
      </w:tr>
      <w:tr w14:paraId="08282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570BDFA5">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18</w:t>
            </w:r>
          </w:p>
        </w:tc>
        <w:tc>
          <w:tcPr>
            <w:tcW w:w="9056" w:type="dxa"/>
            <w:tcBorders>
              <w:top w:val="single" w:color="auto" w:sz="4" w:space="0"/>
              <w:left w:val="single" w:color="auto" w:sz="4" w:space="0"/>
              <w:bottom w:val="single" w:color="auto" w:sz="4" w:space="0"/>
              <w:right w:val="single" w:color="auto" w:sz="4" w:space="0"/>
            </w:tcBorders>
            <w:vAlign w:val="center"/>
          </w:tcPr>
          <w:p w14:paraId="7D8F93DB">
            <w:pPr>
              <w:snapToGrid w:val="0"/>
              <w:spacing w:line="360" w:lineRule="auto"/>
              <w:rPr>
                <w:rFonts w:ascii="宋体" w:hAnsi="宋体"/>
                <w:color w:val="auto"/>
                <w:sz w:val="24"/>
                <w:szCs w:val="20"/>
                <w:highlight w:val="none"/>
              </w:rPr>
            </w:pPr>
            <w:r>
              <w:rPr>
                <w:rFonts w:hint="eastAsia" w:ascii="宋体" w:hAnsi="宋体"/>
                <w:color w:val="auto"/>
                <w:sz w:val="24"/>
                <w:highlight w:val="none"/>
              </w:rPr>
              <w:t>解释：本招标文件的解释权属于招标采购单位</w:t>
            </w:r>
          </w:p>
        </w:tc>
      </w:tr>
    </w:tbl>
    <w:p w14:paraId="0861763F">
      <w:pPr>
        <w:pStyle w:val="26"/>
        <w:snapToGrid w:val="0"/>
        <w:spacing w:beforeLines="0" w:afterLines="0" w:line="360" w:lineRule="auto"/>
        <w:rPr>
          <w:rFonts w:hAnsi="宋体"/>
          <w:b/>
          <w:color w:val="auto"/>
          <w:sz w:val="28"/>
          <w:szCs w:val="28"/>
          <w:highlight w:val="none"/>
        </w:rPr>
      </w:pPr>
      <w:r>
        <w:rPr>
          <w:rFonts w:hint="eastAsia" w:hAnsi="宋体"/>
          <w:b/>
          <w:color w:val="auto"/>
          <w:sz w:val="28"/>
          <w:szCs w:val="28"/>
          <w:highlight w:val="none"/>
        </w:rPr>
        <w:t>一总则</w:t>
      </w:r>
    </w:p>
    <w:p w14:paraId="1E021579">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适用范围</w:t>
      </w:r>
    </w:p>
    <w:p w14:paraId="50FE7A7A">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本招标文件适用于湖州南太湖新区市本级移交道路绿化养护补植项目（2025-2027年度）的招标、评标、定标、验收、合同履约、付款等（法律、法规另有规定的，从其规定）。</w:t>
      </w:r>
    </w:p>
    <w:p w14:paraId="4DAD8B03">
      <w:pPr>
        <w:snapToGrid w:val="0"/>
        <w:spacing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14:paraId="15BAD320">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招标采购单位系指组织本次招标的代理机构和采购单位</w:t>
      </w:r>
      <w:r>
        <w:rPr>
          <w:rFonts w:hint="eastAsia" w:ascii="宋体" w:hAnsi="宋体"/>
          <w:color w:val="auto"/>
          <w:sz w:val="24"/>
          <w:highlight w:val="none"/>
        </w:rPr>
        <w:t>（湖州南太湖新区公用事业管理中心）</w:t>
      </w:r>
      <w:r>
        <w:rPr>
          <w:rFonts w:ascii="宋体" w:hAnsi="宋体"/>
          <w:color w:val="auto"/>
          <w:sz w:val="24"/>
          <w:highlight w:val="none"/>
        </w:rPr>
        <w:t>。</w:t>
      </w:r>
    </w:p>
    <w:p w14:paraId="3B422EB8">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投标人”系指向招标方提交投标文件的单位或个人。</w:t>
      </w:r>
    </w:p>
    <w:p w14:paraId="7507163E">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“产品”系指供方按招标文件规定，须向采购人提供的一切设备、保险、税金、备品备件、工具、手册及其他有关技术资料和材料。</w:t>
      </w:r>
    </w:p>
    <w:p w14:paraId="2BED3AB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“服务”系指招标文件规定投标人须承担的安装、调试、技术协助、校准、培训、技术指导以及其他类似的义务。</w:t>
      </w:r>
    </w:p>
    <w:p w14:paraId="46F2516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“项目”系指投标人按招标文件规定向采购人提供的产品和服务。</w:t>
      </w:r>
    </w:p>
    <w:p w14:paraId="592A9F5C">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14:paraId="53306151">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14:paraId="0212328D">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0F2A01B3">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14:paraId="598FE587">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0065510D">
      <w:pPr>
        <w:pStyle w:val="21"/>
        <w:snapToGrid w:val="0"/>
        <w:spacing w:line="360" w:lineRule="auto"/>
        <w:ind w:firstLine="580" w:firstLineChars="250"/>
        <w:jc w:val="left"/>
        <w:rPr>
          <w:rFonts w:hAnsi="宋体"/>
          <w:color w:val="auto"/>
          <w:sz w:val="24"/>
          <w:szCs w:val="24"/>
          <w:highlight w:val="none"/>
        </w:rPr>
      </w:pPr>
      <w:r>
        <w:rPr>
          <w:rFonts w:hAnsi="宋体"/>
          <w:color w:val="auto"/>
          <w:sz w:val="24"/>
          <w:szCs w:val="24"/>
          <w:highlight w:val="none"/>
        </w:rPr>
        <w:t>投标人代表须携带</w:t>
      </w:r>
      <w:r>
        <w:rPr>
          <w:rFonts w:hint="eastAsia" w:hAnsi="宋体"/>
          <w:color w:val="auto"/>
          <w:sz w:val="24"/>
          <w:szCs w:val="24"/>
          <w:highlight w:val="none"/>
        </w:rPr>
        <w:t>有效</w:t>
      </w:r>
      <w:r>
        <w:rPr>
          <w:rFonts w:hAnsi="宋体"/>
          <w:color w:val="auto"/>
          <w:sz w:val="24"/>
          <w:szCs w:val="24"/>
          <w:highlight w:val="none"/>
        </w:rPr>
        <w:t>身份证</w:t>
      </w:r>
      <w:r>
        <w:rPr>
          <w:rFonts w:hint="eastAsia" w:hAnsi="宋体"/>
          <w:color w:val="auto"/>
          <w:sz w:val="24"/>
          <w:szCs w:val="24"/>
          <w:highlight w:val="none"/>
        </w:rPr>
        <w:t>件</w:t>
      </w:r>
      <w:r>
        <w:rPr>
          <w:rFonts w:hAnsi="宋体"/>
          <w:color w:val="auto"/>
          <w:sz w:val="24"/>
          <w:szCs w:val="24"/>
          <w:highlight w:val="none"/>
        </w:rPr>
        <w:t>。如投标人代表不是法定代表人，须有法定代表人出具的授权委托书</w:t>
      </w:r>
      <w:r>
        <w:rPr>
          <w:rFonts w:hint="eastAsia" w:hAnsi="宋体"/>
          <w:color w:val="auto"/>
          <w:sz w:val="24"/>
          <w:szCs w:val="24"/>
          <w:highlight w:val="none"/>
        </w:rPr>
        <w:t>及近1个月的社保证明复印件加盖公章</w:t>
      </w:r>
      <w:r>
        <w:rPr>
          <w:rFonts w:hAnsi="宋体"/>
          <w:color w:val="auto"/>
          <w:sz w:val="24"/>
          <w:szCs w:val="24"/>
          <w:highlight w:val="none"/>
        </w:rPr>
        <w:t>（格式见第四部分）。</w:t>
      </w:r>
    </w:p>
    <w:p w14:paraId="49E30D81">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2689E708">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1.不论投标结果如何，投标人均应自行承担所有与投标有关的全部费用（招标文件有相反规定除外）。</w:t>
      </w:r>
    </w:p>
    <w:p w14:paraId="1370E59E">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2.本项目招标代理服务费：</w:t>
      </w:r>
      <w:bookmarkStart w:id="15" w:name="OLE_LINK7"/>
      <w:bookmarkStart w:id="16" w:name="OLE_LINK8"/>
      <w:r>
        <w:rPr>
          <w:rFonts w:hint="eastAsia" w:ascii="宋体" w:hAnsi="宋体"/>
          <w:color w:val="auto"/>
          <w:sz w:val="24"/>
          <w:highlight w:val="none"/>
        </w:rPr>
        <w:t>人民币</w:t>
      </w:r>
      <w:bookmarkEnd w:id="15"/>
      <w:bookmarkEnd w:id="16"/>
      <w:r>
        <w:rPr>
          <w:rFonts w:hint="eastAsia" w:ascii="宋体" w:hAnsi="宋体"/>
          <w:color w:val="auto"/>
          <w:sz w:val="24"/>
          <w:highlight w:val="none"/>
        </w:rPr>
        <w:t>贰万肆仟柒佰贰拾元整（24720元 ）。结算方式及时间为：在中标通知书发出当日一次性结清，由中标人全额支付。</w:t>
      </w:r>
    </w:p>
    <w:p w14:paraId="6D258B5A">
      <w:pPr>
        <w:snapToGrid w:val="0"/>
        <w:spacing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（六）联合体投标</w:t>
      </w:r>
    </w:p>
    <w:p w14:paraId="545FFB4C">
      <w:pPr>
        <w:snapToGrid w:val="0"/>
        <w:spacing w:line="360" w:lineRule="auto"/>
        <w:ind w:firstLine="720" w:firstLineChars="300"/>
        <w:jc w:val="left"/>
        <w:rPr>
          <w:rFonts w:ascii="宋体" w:hAnsi="宋体" w:cs="Arial"/>
          <w:color w:val="auto"/>
          <w:sz w:val="24"/>
          <w:highlight w:val="none"/>
        </w:rPr>
      </w:pPr>
      <w:r>
        <w:rPr>
          <w:rFonts w:hint="eastAsia" w:ascii="宋体" w:hAnsi="宋体" w:cs="Arial"/>
          <w:color w:val="auto"/>
          <w:sz w:val="24"/>
          <w:highlight w:val="none"/>
        </w:rPr>
        <w:t>本项目不接受联合体投标。</w:t>
      </w:r>
    </w:p>
    <w:p w14:paraId="40BDE095">
      <w:pPr>
        <w:snapToGrid w:val="0"/>
        <w:spacing w:line="360" w:lineRule="auto"/>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4F5D7936">
      <w:pPr>
        <w:snapToGrid w:val="0"/>
        <w:spacing w:line="360" w:lineRule="auto"/>
        <w:ind w:firstLine="480" w:firstLineChars="200"/>
        <w:rPr>
          <w:rFonts w:ascii="宋体" w:hAnsi="宋体" w:cs="宋体"/>
          <w:color w:val="auto"/>
          <w:kern w:val="0"/>
          <w:sz w:val="24"/>
          <w:szCs w:val="20"/>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14:paraId="4FFFF897">
      <w:pPr>
        <w:snapToGrid w:val="0"/>
        <w:spacing w:line="360" w:lineRule="auto"/>
        <w:ind w:firstLine="480" w:firstLineChars="200"/>
        <w:rPr>
          <w:rFonts w:ascii="宋体" w:hAnsi="宋体"/>
          <w:color w:val="auto"/>
          <w:sz w:val="24"/>
          <w:szCs w:val="20"/>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w:t>
      </w:r>
      <w:r>
        <w:rPr>
          <w:rFonts w:hint="eastAsia" w:ascii="宋体" w:hAnsi="宋体" w:cs="宋体"/>
          <w:color w:val="auto"/>
          <w:kern w:val="0"/>
          <w:sz w:val="24"/>
          <w:highlight w:val="none"/>
        </w:rPr>
        <w:t>不</w:t>
      </w:r>
      <w:r>
        <w:rPr>
          <w:rFonts w:ascii="宋体" w:hAnsi="宋体" w:cs="宋体"/>
          <w:color w:val="auto"/>
          <w:kern w:val="0"/>
          <w:sz w:val="24"/>
          <w:highlight w:val="none"/>
        </w:rPr>
        <w:t>可以分包</w:t>
      </w:r>
      <w:r>
        <w:rPr>
          <w:rFonts w:hint="eastAsia" w:ascii="宋体" w:hAnsi="宋体" w:cs="宋体"/>
          <w:color w:val="auto"/>
          <w:kern w:val="0"/>
          <w:sz w:val="24"/>
          <w:highlight w:val="none"/>
        </w:rPr>
        <w:t>。</w:t>
      </w:r>
    </w:p>
    <w:p w14:paraId="29F088E1">
      <w:pPr>
        <w:snapToGrid w:val="0"/>
        <w:spacing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（八）特别说明：</w:t>
      </w:r>
    </w:p>
    <w:p w14:paraId="0BBFF948">
      <w:pPr>
        <w:widowControl/>
        <w:spacing w:line="360" w:lineRule="auto"/>
        <w:ind w:firstLine="420" w:firstLineChars="200"/>
        <w:jc w:val="left"/>
        <w:rPr>
          <w:rFonts w:ascii="宋体" w:hAnsi="宋体"/>
          <w:color w:val="auto"/>
          <w:sz w:val="24"/>
          <w:highlight w:val="none"/>
        </w:rPr>
      </w:pPr>
      <w:r>
        <w:rPr>
          <w:rFonts w:ascii="宋体" w:hAnsi="宋体"/>
          <w:color w:val="auto"/>
          <w:highlight w:val="none"/>
        </w:rPr>
        <w:t>▲</w:t>
      </w:r>
      <w:r>
        <w:rPr>
          <w:rFonts w:hint="eastAsia" w:ascii="宋体" w:hAnsi="宋体"/>
          <w:color w:val="auto"/>
          <w:sz w:val="24"/>
          <w:highlight w:val="none"/>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5ECAF4F4">
      <w:pPr>
        <w:pStyle w:val="26"/>
        <w:snapToGrid w:val="0"/>
        <w:spacing w:beforeLines="0" w:afterLines="0" w:line="360" w:lineRule="auto"/>
        <w:ind w:left="2" w:leftChars="1" w:firstLine="48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投标人投标所使用的资格、信誉、荣誉、业绩与企业认证必须为本法人所拥有。投标人投标所使用的采购项目实施人员必须为本法人员工（或必须为本法人或控股公司正式员工）。</w:t>
      </w:r>
    </w:p>
    <w:p w14:paraId="2B241E84">
      <w:pPr>
        <w:pStyle w:val="26"/>
        <w:snapToGrid w:val="0"/>
        <w:spacing w:beforeLines="0" w:afterLines="0" w:line="360" w:lineRule="auto"/>
        <w:ind w:left="2" w:leftChars="1" w:firstLine="48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投标人应仔细阅读招标文件的所有内容，按照招标文件的要求提交投标文件，并对所提供的全部资料的真实性承担法律责任。</w:t>
      </w:r>
    </w:p>
    <w:p w14:paraId="23B37AAF">
      <w:pPr>
        <w:pStyle w:val="26"/>
        <w:snapToGrid w:val="0"/>
        <w:spacing w:beforeLines="0" w:afterLines="0" w:line="360" w:lineRule="auto"/>
        <w:ind w:left="2" w:leftChars="1" w:firstLine="480" w:firstLineChars="200"/>
        <w:rPr>
          <w:rFonts w:hAnsi="宋体"/>
          <w:b/>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投标人在投标活动中提供任何虚假材料,其投标无效，并报监管部门查处；中标后发现的,中标人须依照《中华人民共和国消费者权益保护法》第49条之规定双倍赔偿采购人</w:t>
      </w:r>
      <w:r>
        <w:rPr>
          <w:rFonts w:hint="eastAsia" w:hAnsi="宋体"/>
          <w:color w:val="auto"/>
          <w:highlight w:val="none"/>
        </w:rPr>
        <w:t>，</w:t>
      </w:r>
      <w:r>
        <w:rPr>
          <w:rFonts w:hAnsi="宋体"/>
          <w:color w:val="auto"/>
          <w:highlight w:val="none"/>
        </w:rPr>
        <w:t>且民事赔偿并不免除违法投标人的行政与刑事责任。</w:t>
      </w:r>
    </w:p>
    <w:p w14:paraId="37763F0D">
      <w:pPr>
        <w:pStyle w:val="26"/>
        <w:snapToGrid w:val="0"/>
        <w:spacing w:beforeLines="0" w:afterLines="0" w:line="360" w:lineRule="auto"/>
        <w:ind w:firstLine="472" w:firstLineChars="196"/>
        <w:outlineLvl w:val="1"/>
        <w:rPr>
          <w:rFonts w:hAnsi="宋体"/>
          <w:b/>
          <w:bCs/>
          <w:color w:val="auto"/>
          <w:highlight w:val="none"/>
        </w:rPr>
      </w:pPr>
      <w:r>
        <w:rPr>
          <w:rFonts w:hAnsi="宋体"/>
          <w:b/>
          <w:bCs/>
          <w:color w:val="auto"/>
          <w:highlight w:val="none"/>
        </w:rPr>
        <w:t>（九）质疑和投诉</w:t>
      </w:r>
    </w:p>
    <w:p w14:paraId="4E5DA765">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color w:val="auto"/>
          <w:highlight w:val="none"/>
        </w:rPr>
        <w:t>以书面形式向采购人、采购代理机构提出质疑</w:t>
      </w:r>
      <w:r>
        <w:rPr>
          <w:rFonts w:hint="eastAsia" w:hAnsi="宋体"/>
          <w:color w:val="auto"/>
          <w:highlight w:val="none"/>
        </w:rPr>
        <w:t>，并电话联系代理公司，由代理公司书面回复“已知悉”，否则代理公司有权不予认可该质疑</w:t>
      </w:r>
      <w:r>
        <w:rPr>
          <w:rFonts w:hAnsi="宋体"/>
          <w:color w:val="auto"/>
          <w:highlight w:val="none"/>
        </w:rPr>
        <w:t>。</w:t>
      </w:r>
    </w:p>
    <w:p w14:paraId="79EBA714">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供应商在法定质疑期内一次性提出针对同一采购程序环节的质疑。</w:t>
      </w:r>
    </w:p>
    <w:p w14:paraId="60759EDA">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1B5C0350">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2.供应商提出质疑应当提交质疑函和必要的证明材料。质疑函应当包括下列内容：</w:t>
      </w:r>
    </w:p>
    <w:p w14:paraId="33F7E00A">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1）供应商的姓名或者名称、地址、邮编、联系人及联系电话；</w:t>
      </w:r>
    </w:p>
    <w:p w14:paraId="475AC084">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2）质疑项目的名称、编号；</w:t>
      </w:r>
    </w:p>
    <w:p w14:paraId="7F985C78">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3）具体、明确的质疑事项和与质疑事项相关的请求；</w:t>
      </w:r>
    </w:p>
    <w:p w14:paraId="1320639A">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4）事实依据；</w:t>
      </w:r>
    </w:p>
    <w:p w14:paraId="5C99D619">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5）必要的法律依据；</w:t>
      </w:r>
    </w:p>
    <w:p w14:paraId="14B75E0B">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6）提出质疑的日期。</w:t>
      </w:r>
    </w:p>
    <w:p w14:paraId="599F811E">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3.投诉人提起投诉应当符合下列条件：</w:t>
      </w:r>
    </w:p>
    <w:p w14:paraId="572953C8">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1）提起投诉前已依法进行质疑；</w:t>
      </w:r>
    </w:p>
    <w:p w14:paraId="67801178">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2）投诉书内容符合本办法的规定；</w:t>
      </w:r>
    </w:p>
    <w:p w14:paraId="372B256D">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3）在投诉有效期限内提起投诉；</w:t>
      </w:r>
    </w:p>
    <w:p w14:paraId="0D47919B">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4）同一投诉事项未经财政部门投诉处理；</w:t>
      </w:r>
    </w:p>
    <w:p w14:paraId="0DA993F8">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5）财政部规定的其他条件。</w:t>
      </w:r>
    </w:p>
    <w:p w14:paraId="3D9E4E76">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4.投诉人投诉时,应当提交投诉书和必要的证明材料，并按照被投诉采购人、采购代理机构和与投诉事项有关的供应商数量提供投诉书的副本。投诉书应当包括下列内容：</w:t>
      </w:r>
    </w:p>
    <w:p w14:paraId="7D34D5A3">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1）投诉人和被投诉人的姓名或者名称、通讯地址、邮编、联系人及联系电话；</w:t>
      </w:r>
    </w:p>
    <w:p w14:paraId="6EF4C712">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2）质疑和质疑答复情况说明及相关证明材料；</w:t>
      </w:r>
    </w:p>
    <w:p w14:paraId="3F85FD4B">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3）具体、明确的投诉事项和与投诉事项相关的投诉请求；</w:t>
      </w:r>
    </w:p>
    <w:p w14:paraId="1252F48D">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4）事实依据；</w:t>
      </w:r>
    </w:p>
    <w:p w14:paraId="137C7195">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5）法律依据；</w:t>
      </w:r>
    </w:p>
    <w:p w14:paraId="281E28FD">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6）提起投诉的日期。</w:t>
      </w:r>
    </w:p>
    <w:p w14:paraId="28172CCE">
      <w:pPr>
        <w:pStyle w:val="26"/>
        <w:snapToGrid w:val="0"/>
        <w:spacing w:beforeLines="0" w:afterLines="0" w:line="360" w:lineRule="auto"/>
        <w:ind w:left="2" w:leftChars="1" w:firstLine="480" w:firstLineChars="200"/>
        <w:rPr>
          <w:rFonts w:hAnsi="宋体"/>
          <w:color w:val="auto"/>
          <w:highlight w:val="none"/>
        </w:rPr>
      </w:pPr>
      <w:r>
        <w:rPr>
          <w:rFonts w:hAnsi="宋体"/>
          <w:color w:val="auto"/>
          <w:highlight w:val="none"/>
        </w:rPr>
        <w:t>质疑供应商对采购人、采购代理机构的答复不满意，或者采购人、采购代理机构未在规定时间内作出答复的，可以在答复期满后15个工作日内向本办法第六条规定的财政部门提起投诉。</w:t>
      </w:r>
    </w:p>
    <w:p w14:paraId="1C1EABD6">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5FB2F1C7">
      <w:pPr>
        <w:pStyle w:val="26"/>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5.质疑函须采用财政部发布的政府采购供应商质疑函范本（参考样式可从</w:t>
      </w:r>
      <w:r>
        <w:rPr>
          <w:rFonts w:hAnsi="宋体"/>
          <w:color w:val="auto"/>
          <w:highlight w:val="none"/>
        </w:rPr>
        <w:t>浙江政府采购网下载专区下载</w:t>
      </w:r>
      <w:r>
        <w:rPr>
          <w:rFonts w:hint="eastAsia" w:hAnsi="宋体"/>
          <w:color w:val="auto"/>
          <w:highlight w:val="none"/>
        </w:rPr>
        <w:t>），否则采购代理机构有权要求质疑供应商改正后重新提出。</w:t>
      </w:r>
    </w:p>
    <w:p w14:paraId="6EF2529B">
      <w:pPr>
        <w:pStyle w:val="26"/>
        <w:snapToGrid w:val="0"/>
        <w:spacing w:beforeLines="0" w:afterLines="0" w:line="360" w:lineRule="auto"/>
        <w:ind w:firstLine="551" w:firstLineChars="196"/>
        <w:outlineLvl w:val="0"/>
        <w:rPr>
          <w:rFonts w:hAnsi="宋体"/>
          <w:b/>
          <w:color w:val="auto"/>
          <w:sz w:val="28"/>
          <w:szCs w:val="28"/>
          <w:highlight w:val="none"/>
        </w:rPr>
      </w:pPr>
      <w:r>
        <w:rPr>
          <w:rFonts w:hAnsi="宋体"/>
          <w:b/>
          <w:color w:val="auto"/>
          <w:sz w:val="28"/>
          <w:szCs w:val="28"/>
          <w:highlight w:val="none"/>
        </w:rPr>
        <w:t>二</w:t>
      </w:r>
      <w:r>
        <w:rPr>
          <w:rFonts w:hint="eastAsia" w:hAnsi="宋体"/>
          <w:b/>
          <w:color w:val="auto"/>
          <w:sz w:val="28"/>
          <w:szCs w:val="28"/>
          <w:highlight w:val="none"/>
        </w:rPr>
        <w:t xml:space="preserve"> </w:t>
      </w:r>
      <w:r>
        <w:rPr>
          <w:rFonts w:hAnsi="宋体"/>
          <w:b/>
          <w:color w:val="auto"/>
          <w:sz w:val="28"/>
          <w:szCs w:val="28"/>
          <w:highlight w:val="none"/>
        </w:rPr>
        <w:t>招标文件</w:t>
      </w:r>
    </w:p>
    <w:p w14:paraId="6157F30D">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（一）招标文件的构成。本招标文件由以下部分组成：</w:t>
      </w:r>
    </w:p>
    <w:p w14:paraId="0614258C">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招标公告</w:t>
      </w:r>
    </w:p>
    <w:p w14:paraId="4DF12DF2">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387C7EB2">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1B154E1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1B611FD2">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780E8ADC">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14:paraId="60F21660">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14:paraId="425155D7">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（二）投标人的风险</w:t>
      </w:r>
    </w:p>
    <w:p w14:paraId="4556E156">
      <w:pPr>
        <w:pStyle w:val="36"/>
        <w:spacing w:line="360" w:lineRule="auto"/>
        <w:rPr>
          <w:rFonts w:ascii="宋体" w:eastAsia="宋体"/>
          <w:color w:val="auto"/>
          <w:szCs w:val="20"/>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310F7DFB">
      <w:pPr>
        <w:pStyle w:val="13"/>
        <w:widowControl w:val="0"/>
        <w:tabs>
          <w:tab w:val="clear" w:pos="454"/>
        </w:tabs>
        <w:snapToGrid w:val="0"/>
        <w:spacing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（三）招标文件的澄清与修改</w:t>
      </w:r>
    </w:p>
    <w:p w14:paraId="3A60C294">
      <w:pPr>
        <w:pStyle w:val="26"/>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bCs/>
          <w:color w:val="auto"/>
          <w:highlight w:val="none"/>
        </w:rPr>
        <w:t>投标人应认真阅读本招标文件，发现其中有误或有不合理要求的，投标人必须在</w:t>
      </w:r>
      <w:r>
        <w:rPr>
          <w:rFonts w:hint="eastAsia" w:hAnsi="宋体"/>
          <w:color w:val="auto"/>
          <w:highlight w:val="none"/>
          <w:u w:val="single"/>
        </w:rPr>
        <w:t>2025年 月 日</w:t>
      </w:r>
      <w:r>
        <w:rPr>
          <w:rFonts w:hint="eastAsia" w:hAnsi="宋体"/>
          <w:bCs/>
          <w:color w:val="auto"/>
          <w:highlight w:val="none"/>
        </w:rPr>
        <w:t>17：00</w:t>
      </w:r>
      <w:r>
        <w:rPr>
          <w:rFonts w:hAnsi="宋体"/>
          <w:bCs/>
          <w:color w:val="auto"/>
          <w:highlight w:val="none"/>
        </w:rPr>
        <w:t>前以书面形式要求招标采购单位澄清</w:t>
      </w:r>
      <w:r>
        <w:rPr>
          <w:rFonts w:hAnsi="宋体"/>
          <w:color w:val="auto"/>
          <w:highlight w:val="none"/>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14:paraId="2D156AAE">
      <w:pPr>
        <w:pStyle w:val="26"/>
        <w:snapToGrid w:val="0"/>
        <w:spacing w:beforeLines="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采购代理机构必须以书面形式答复投标人要求澄清的问题，并将不包含问题来源的答复书面通知所有购买招标文件的投标人；除书面答复以外的其他澄清方式及澄清内容均无效。</w:t>
      </w:r>
    </w:p>
    <w:p w14:paraId="29AA508E">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3.</w:t>
      </w:r>
      <w:r>
        <w:rPr>
          <w:rFonts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14:paraId="05E12C09">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4.</w:t>
      </w:r>
      <w:r>
        <w:rPr>
          <w:rFonts w:hAnsi="宋体"/>
          <w:color w:val="auto"/>
          <w:highlight w:val="none"/>
        </w:rPr>
        <w:t>招标文件的澄清、答复、修改或补充都应该通过本代理机构以法定形式发布，采购人非通过本机构，不得擅自澄清、答复、修改或补充招标文件。</w:t>
      </w:r>
    </w:p>
    <w:p w14:paraId="2A62FD95">
      <w:pPr>
        <w:pStyle w:val="26"/>
        <w:snapToGrid w:val="0"/>
        <w:spacing w:beforeLines="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三、投标文件的编制</w:t>
      </w:r>
    </w:p>
    <w:p w14:paraId="32A70C54">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（一）投标文件的组成</w:t>
      </w:r>
    </w:p>
    <w:p w14:paraId="4D90CC21">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s="宋体"/>
          <w:color w:val="auto"/>
          <w:sz w:val="22"/>
          <w:highlight w:val="none"/>
        </w:rPr>
        <w:t>《</w:t>
      </w:r>
      <w:r>
        <w:rPr>
          <w:rFonts w:hint="eastAsia" w:ascii="宋体" w:hAnsi="宋体"/>
          <w:color w:val="auto"/>
          <w:sz w:val="24"/>
          <w:highlight w:val="none"/>
        </w:rPr>
        <w:t>资格文件</w:t>
      </w:r>
      <w:r>
        <w:rPr>
          <w:rFonts w:hint="eastAsia" w:ascii="宋体" w:hAnsi="宋体" w:cs="宋体"/>
          <w:color w:val="auto"/>
          <w:sz w:val="22"/>
          <w:highlight w:val="none"/>
        </w:rPr>
        <w:t>》</w:t>
      </w:r>
      <w:r>
        <w:rPr>
          <w:rFonts w:hint="eastAsia" w:ascii="宋体" w:hAnsi="宋体"/>
          <w:color w:val="auto"/>
          <w:sz w:val="24"/>
          <w:highlight w:val="none"/>
        </w:rPr>
        <w:t>、</w:t>
      </w:r>
      <w:r>
        <w:rPr>
          <w:rFonts w:hint="eastAsia" w:ascii="宋体" w:hAnsi="宋体" w:cs="宋体"/>
          <w:color w:val="auto"/>
          <w:sz w:val="22"/>
          <w:highlight w:val="none"/>
        </w:rPr>
        <w:t>《</w:t>
      </w:r>
      <w:r>
        <w:rPr>
          <w:rFonts w:hint="eastAsia" w:ascii="宋体" w:hAnsi="宋体"/>
          <w:color w:val="auto"/>
          <w:sz w:val="24"/>
          <w:highlight w:val="none"/>
        </w:rPr>
        <w:t>技术/资信/商务文件</w:t>
      </w:r>
      <w:r>
        <w:rPr>
          <w:rFonts w:hint="eastAsia" w:ascii="宋体" w:hAnsi="宋体" w:cs="宋体"/>
          <w:color w:val="auto"/>
          <w:sz w:val="22"/>
          <w:highlight w:val="none"/>
        </w:rPr>
        <w:t>》</w:t>
      </w:r>
      <w:r>
        <w:rPr>
          <w:rFonts w:hint="eastAsia" w:ascii="宋体" w:hAnsi="宋体"/>
          <w:color w:val="auto"/>
          <w:sz w:val="24"/>
          <w:highlight w:val="none"/>
        </w:rPr>
        <w:t>、</w:t>
      </w:r>
      <w:r>
        <w:rPr>
          <w:rFonts w:hint="eastAsia" w:ascii="宋体" w:hAnsi="宋体" w:cs="宋体"/>
          <w:color w:val="auto"/>
          <w:sz w:val="22"/>
          <w:highlight w:val="none"/>
        </w:rPr>
        <w:t>《</w:t>
      </w:r>
      <w:r>
        <w:rPr>
          <w:rFonts w:hint="eastAsia" w:ascii="宋体" w:hAnsi="宋体"/>
          <w:color w:val="auto"/>
          <w:sz w:val="24"/>
          <w:highlight w:val="none"/>
        </w:rPr>
        <w:t>投标报价</w:t>
      </w:r>
      <w:r>
        <w:rPr>
          <w:rFonts w:hint="eastAsia" w:ascii="宋体" w:hAnsi="宋体" w:cs="宋体"/>
          <w:color w:val="auto"/>
          <w:sz w:val="22"/>
          <w:highlight w:val="none"/>
        </w:rPr>
        <w:t>》</w:t>
      </w:r>
      <w:r>
        <w:rPr>
          <w:rFonts w:hint="eastAsia" w:ascii="宋体" w:hAnsi="宋体"/>
          <w:color w:val="auto"/>
          <w:sz w:val="24"/>
          <w:highlight w:val="none"/>
        </w:rPr>
        <w:t>文件三部分组成。（电子投标文件中所盖公章均采用CA签章）。</w:t>
      </w:r>
    </w:p>
    <w:p w14:paraId="46F3F11E">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1.资格文件</w:t>
      </w:r>
    </w:p>
    <w:p w14:paraId="1775F1A7">
      <w:pPr>
        <w:spacing w:line="360" w:lineRule="auto"/>
        <w:ind w:firstLine="470" w:firstLineChars="196"/>
        <w:jc w:val="left"/>
        <w:rPr>
          <w:rFonts w:ascii="宋体" w:hAnsi="宋体"/>
          <w:color w:val="auto"/>
          <w:sz w:val="24"/>
          <w:highlight w:val="none"/>
        </w:rPr>
      </w:pPr>
      <w:bookmarkStart w:id="17" w:name="OLE_LINK101"/>
      <w:bookmarkStart w:id="18" w:name="OLE_LINK102"/>
      <w:r>
        <w:rPr>
          <w:rFonts w:hint="eastAsia" w:ascii="宋体" w:hAnsi="宋体"/>
          <w:color w:val="auto"/>
          <w:sz w:val="24"/>
          <w:highlight w:val="none"/>
        </w:rPr>
        <w:t>（1）投标声明书（格式见附件)；</w:t>
      </w:r>
    </w:p>
    <w:p w14:paraId="22C460C5">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（2）有效的营业执照、税务登记证、组织机构代码证或“三证合一”的营业执照或“五证合一”的营业执照（</w:t>
      </w:r>
      <w:r>
        <w:rPr>
          <w:rFonts w:hint="eastAsia" w:ascii="宋体" w:hAnsi="宋体"/>
          <w:bCs/>
          <w:color w:val="auto"/>
          <w:sz w:val="24"/>
          <w:highlight w:val="none"/>
        </w:rPr>
        <w:t>复印件各一份</w:t>
      </w:r>
      <w:r>
        <w:rPr>
          <w:rFonts w:hint="eastAsia" w:ascii="宋体" w:hAnsi="宋体"/>
          <w:color w:val="auto"/>
          <w:sz w:val="24"/>
          <w:highlight w:val="none"/>
        </w:rPr>
        <w:t>）；</w:t>
      </w:r>
    </w:p>
    <w:p w14:paraId="62C13BE2">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（3）法定代表人有效身份证明书或法定代表人授权书及授权代理人社保证明复印件（社保机构出具的由本单位或分公司为其缴纳的</w:t>
      </w:r>
      <w:r>
        <w:rPr>
          <w:rFonts w:hint="eastAsia" w:ascii="宋体" w:hAnsi="宋体" w:cs="宋体"/>
          <w:color w:val="auto"/>
          <w:kern w:val="0"/>
          <w:sz w:val="24"/>
          <w:highlight w:val="none"/>
        </w:rPr>
        <w:t>最近一个月</w:t>
      </w:r>
      <w:r>
        <w:rPr>
          <w:rFonts w:hint="eastAsia" w:ascii="宋体" w:hAnsi="宋体"/>
          <w:color w:val="auto"/>
          <w:sz w:val="24"/>
          <w:highlight w:val="none"/>
        </w:rPr>
        <w:t>的社保证明）；</w:t>
      </w:r>
    </w:p>
    <w:p w14:paraId="2A23308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（4）投标承诺书；</w:t>
      </w:r>
    </w:p>
    <w:p w14:paraId="2309ACAC">
      <w:pPr>
        <w:widowControl/>
        <w:spacing w:line="360" w:lineRule="auto"/>
        <w:ind w:right="60" w:firstLine="480" w:firstLineChars="200"/>
        <w:rPr>
          <w:rFonts w:ascii="宋体" w:hAnsi="宋体" w:cs="宋体"/>
          <w:color w:val="auto"/>
          <w:sz w:val="24"/>
          <w:highlight w:val="none"/>
        </w:rPr>
      </w:pPr>
      <w:r>
        <w:rPr>
          <w:rFonts w:hint="eastAsia" w:ascii="宋体" w:hAnsi="宋体" w:cs="宋体"/>
          <w:color w:val="auto"/>
          <w:sz w:val="24"/>
          <w:highlight w:val="none"/>
        </w:rPr>
        <w:t>（5）信用承诺书；</w:t>
      </w:r>
    </w:p>
    <w:p w14:paraId="4531FF1A">
      <w:pPr>
        <w:spacing w:line="360" w:lineRule="auto"/>
        <w:ind w:firstLine="470" w:firstLineChars="196"/>
        <w:rPr>
          <w:rFonts w:ascii="宋体" w:hAnsi="宋体" w:cs="Times New Roman"/>
          <w:color w:val="auto"/>
          <w:sz w:val="24"/>
          <w:highlight w:val="none"/>
        </w:rPr>
      </w:pPr>
      <w:r>
        <w:rPr>
          <w:rFonts w:hint="eastAsia" w:ascii="宋体" w:hAnsi="宋体" w:cs="Arial"/>
          <w:color w:val="auto"/>
          <w:kern w:val="0"/>
          <w:sz w:val="24"/>
          <w:highlight w:val="none"/>
        </w:rPr>
        <w:t>（6）</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以开标当日采购人或由采购代理机构核实的查询结果为准）；</w:t>
      </w:r>
      <w:bookmarkEnd w:id="17"/>
      <w:bookmarkEnd w:id="18"/>
    </w:p>
    <w:p w14:paraId="2A146043">
      <w:pPr>
        <w:spacing w:line="360" w:lineRule="auto"/>
        <w:ind w:firstLine="470" w:firstLineChars="196"/>
        <w:rPr>
          <w:rFonts w:ascii="宋体" w:hAnsi="宋体"/>
          <w:color w:val="auto"/>
          <w:sz w:val="24"/>
          <w:highlight w:val="none"/>
        </w:rPr>
      </w:pPr>
      <w:r>
        <w:rPr>
          <w:rFonts w:hint="eastAsia" w:ascii="宋体" w:hAnsi="宋体" w:cs="Arial"/>
          <w:color w:val="auto"/>
          <w:kern w:val="0"/>
          <w:sz w:val="24"/>
          <w:highlight w:val="none"/>
        </w:rPr>
        <w:t>（7）</w:t>
      </w:r>
      <w:r>
        <w:rPr>
          <w:rFonts w:hint="eastAsia" w:ascii="宋体" w:hAnsi="宋体"/>
          <w:color w:val="auto"/>
          <w:sz w:val="24"/>
          <w:highlight w:val="none"/>
        </w:rPr>
        <w:t>《中小企业声明函》（格式见附件），残疾人福利性单位需提供《残疾人福利性单位声明函》，监狱企业需提供省级以上监狱管理局、戒毒管理局（含新疆生产建设兵团）出具的属于监狱企业的证明文件。</w:t>
      </w:r>
    </w:p>
    <w:p w14:paraId="6ABDBFAE">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技术文件</w:t>
      </w:r>
    </w:p>
    <w:p w14:paraId="0C6F7225">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管理作业方案</w:t>
      </w:r>
      <w:r>
        <w:rPr>
          <w:rFonts w:ascii="宋体" w:hAnsi="宋体" w:cs="宋体"/>
          <w:color w:val="auto"/>
          <w:kern w:val="0"/>
          <w:sz w:val="24"/>
          <w:highlight w:val="none"/>
        </w:rPr>
        <w:t>；</w:t>
      </w:r>
    </w:p>
    <w:p w14:paraId="2A7AB98E">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安全生产措施方案；</w:t>
      </w:r>
    </w:p>
    <w:p w14:paraId="412D3455">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）技术响应表；</w:t>
      </w:r>
    </w:p>
    <w:p w14:paraId="7E3D801C">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w:t>
      </w:r>
      <w:r>
        <w:rPr>
          <w:rFonts w:hint="eastAsia" w:ascii="宋体" w:hAnsi="宋体" w:cs="宋体"/>
          <w:color w:val="auto"/>
          <w:kern w:val="0"/>
          <w:sz w:val="24"/>
          <w:highlight w:val="none"/>
        </w:rPr>
        <w:t>养护移交平稳过渡计划实施方案；</w:t>
      </w:r>
    </w:p>
    <w:p w14:paraId="1868AD35">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w:t>
      </w:r>
      <w:r>
        <w:rPr>
          <w:rFonts w:hint="eastAsia" w:ascii="宋体" w:hAnsi="宋体" w:cs="宋体"/>
          <w:color w:val="auto"/>
          <w:kern w:val="0"/>
          <w:sz w:val="24"/>
          <w:highlight w:val="none"/>
        </w:rPr>
        <w:t>应急响应方案</w:t>
      </w:r>
    </w:p>
    <w:p w14:paraId="02C987A0">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（6</w:t>
      </w:r>
      <w:r>
        <w:rPr>
          <w:rFonts w:ascii="宋体" w:hAnsi="宋体" w:cs="宋体"/>
          <w:color w:val="auto"/>
          <w:kern w:val="0"/>
          <w:sz w:val="24"/>
          <w:highlight w:val="none"/>
        </w:rPr>
        <w:t>）项目实施人员一览表</w:t>
      </w:r>
      <w:r>
        <w:rPr>
          <w:rFonts w:hint="eastAsia" w:ascii="宋体" w:hAnsi="宋体" w:cs="宋体"/>
          <w:color w:val="auto"/>
          <w:kern w:val="0"/>
          <w:sz w:val="24"/>
          <w:highlight w:val="none"/>
        </w:rPr>
        <w:t>；</w:t>
      </w:r>
    </w:p>
    <w:p w14:paraId="0864AF8A">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（7</w:t>
      </w:r>
      <w:r>
        <w:rPr>
          <w:rFonts w:ascii="宋体" w:hAnsi="宋体" w:cs="宋体"/>
          <w:color w:val="auto"/>
          <w:kern w:val="0"/>
          <w:sz w:val="24"/>
          <w:highlight w:val="none"/>
        </w:rPr>
        <w:t>）</w:t>
      </w:r>
      <w:r>
        <w:rPr>
          <w:rFonts w:hint="eastAsia" w:ascii="宋体" w:hAnsi="宋体" w:cs="宋体"/>
          <w:color w:val="auto"/>
          <w:kern w:val="0"/>
          <w:sz w:val="24"/>
          <w:highlight w:val="none"/>
        </w:rPr>
        <w:t>拟投入本项目的车辆及设备配备；</w:t>
      </w:r>
    </w:p>
    <w:p w14:paraId="19AEED45">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（8</w:t>
      </w:r>
      <w:r>
        <w:rPr>
          <w:rFonts w:ascii="宋体" w:hAnsi="宋体" w:cs="宋体"/>
          <w:color w:val="auto"/>
          <w:kern w:val="0"/>
          <w:sz w:val="24"/>
          <w:highlight w:val="none"/>
        </w:rPr>
        <w:t>）</w:t>
      </w:r>
      <w:r>
        <w:rPr>
          <w:rFonts w:hint="eastAsia" w:ascii="宋体" w:hAnsi="宋体" w:cs="宋体"/>
          <w:color w:val="auto"/>
          <w:kern w:val="0"/>
          <w:sz w:val="24"/>
          <w:highlight w:val="none"/>
        </w:rPr>
        <w:t>管理制度措施；</w:t>
      </w:r>
    </w:p>
    <w:p w14:paraId="66D13A02">
      <w:pPr>
        <w:spacing w:line="360" w:lineRule="auto"/>
        <w:ind w:firstLine="470" w:firstLineChars="196"/>
        <w:jc w:val="left"/>
        <w:rPr>
          <w:rFonts w:ascii="宋体" w:hAnsi="宋体" w:cs="宋体"/>
          <w:color w:val="auto"/>
          <w:kern w:val="0"/>
          <w:sz w:val="24"/>
          <w:highlight w:val="none"/>
        </w:rPr>
      </w:pPr>
      <w:r>
        <w:rPr>
          <w:rFonts w:hint="eastAsia" w:ascii="宋体" w:hAnsi="宋体" w:cs="宋体"/>
          <w:color w:val="auto"/>
          <w:kern w:val="0"/>
          <w:sz w:val="24"/>
          <w:highlight w:val="none"/>
        </w:rPr>
        <w:t>（9</w:t>
      </w:r>
      <w:r>
        <w:rPr>
          <w:rFonts w:ascii="宋体" w:hAnsi="宋体" w:cs="宋体"/>
          <w:color w:val="auto"/>
          <w:kern w:val="0"/>
          <w:sz w:val="24"/>
          <w:highlight w:val="none"/>
        </w:rPr>
        <w:t>）投标人需要说明的其他文件和说明（格式略）</w:t>
      </w:r>
      <w:r>
        <w:rPr>
          <w:rFonts w:hint="eastAsia" w:ascii="宋体" w:hAnsi="宋体" w:cs="宋体"/>
          <w:color w:val="auto"/>
          <w:kern w:val="0"/>
          <w:sz w:val="24"/>
          <w:highlight w:val="none"/>
        </w:rPr>
        <w:t>；</w:t>
      </w:r>
    </w:p>
    <w:p w14:paraId="03AB5A66">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资信文件：</w:t>
      </w:r>
    </w:p>
    <w:p w14:paraId="5FB7B9FE">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14:paraId="2667354B">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投标人质量管理和质量保证体系等方面的认证证书；</w:t>
      </w:r>
    </w:p>
    <w:p w14:paraId="607446ED">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企业荣誉证书；</w:t>
      </w:r>
    </w:p>
    <w:p w14:paraId="67D1D347">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（13）投标人认为可以证明其能力或业绩的其他材料；</w:t>
      </w:r>
    </w:p>
    <w:p w14:paraId="77A33B2F">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商务文件</w:t>
      </w:r>
    </w:p>
    <w:p w14:paraId="4C226599">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（14）商务响应表（格式见附件）；</w:t>
      </w:r>
    </w:p>
    <w:p w14:paraId="5EA06B3B">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服务承诺</w:t>
      </w:r>
      <w:r>
        <w:rPr>
          <w:rFonts w:ascii="宋体" w:hAnsi="宋体"/>
          <w:color w:val="auto"/>
          <w:sz w:val="24"/>
          <w:highlight w:val="none"/>
        </w:rPr>
        <w:t>；</w:t>
      </w:r>
    </w:p>
    <w:p w14:paraId="4B3EAFAB">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（16）员工培训措施及人员保障；</w:t>
      </w:r>
    </w:p>
    <w:p w14:paraId="3EE608EA">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（17）信用承诺书；</w:t>
      </w:r>
    </w:p>
    <w:p w14:paraId="19F0D206">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（18）技术、商务、资信及其他分自评表。</w:t>
      </w:r>
    </w:p>
    <w:p w14:paraId="46B601ED">
      <w:pPr>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报价文件：</w:t>
      </w:r>
    </w:p>
    <w:p w14:paraId="4F74C174">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（1）投标函（格式见附件）；</w:t>
      </w:r>
    </w:p>
    <w:p w14:paraId="4D2E6F9C">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）投标人</w:t>
      </w:r>
      <w:r>
        <w:rPr>
          <w:rFonts w:hint="eastAsia" w:ascii="宋体" w:hAnsi="宋体"/>
          <w:color w:val="auto"/>
          <w:sz w:val="24"/>
          <w:highlight w:val="none"/>
        </w:rPr>
        <w:t>针对报价</w:t>
      </w:r>
      <w:r>
        <w:rPr>
          <w:rFonts w:ascii="宋体" w:hAnsi="宋体"/>
          <w:color w:val="auto"/>
          <w:sz w:val="24"/>
          <w:highlight w:val="none"/>
        </w:rPr>
        <w:t>需要说明的其他文件和说明（格式</w:t>
      </w:r>
      <w:r>
        <w:rPr>
          <w:rFonts w:hint="eastAsia" w:ascii="宋体" w:hAnsi="宋体"/>
          <w:color w:val="auto"/>
          <w:sz w:val="24"/>
          <w:highlight w:val="none"/>
        </w:rPr>
        <w:t>自拟</w:t>
      </w:r>
      <w:r>
        <w:rPr>
          <w:rFonts w:ascii="宋体" w:hAnsi="宋体"/>
          <w:color w:val="auto"/>
          <w:sz w:val="24"/>
          <w:highlight w:val="none"/>
        </w:rPr>
        <w:t>）</w:t>
      </w:r>
      <w:r>
        <w:rPr>
          <w:rFonts w:hint="eastAsia" w:ascii="宋体" w:hAnsi="宋体"/>
          <w:color w:val="auto"/>
          <w:sz w:val="24"/>
          <w:highlight w:val="none"/>
        </w:rPr>
        <w:t>；</w:t>
      </w:r>
    </w:p>
    <w:p w14:paraId="097C7FCD">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（3）招标代理费承诺函；</w:t>
      </w:r>
    </w:p>
    <w:p w14:paraId="083FA3EF">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开标一览表（格式见附件）</w:t>
      </w:r>
      <w:r>
        <w:rPr>
          <w:rFonts w:hint="eastAsia" w:ascii="宋体" w:hAnsi="宋体"/>
          <w:color w:val="auto"/>
          <w:sz w:val="24"/>
          <w:highlight w:val="none"/>
        </w:rPr>
        <w:t>。</w:t>
      </w:r>
    </w:p>
    <w:p w14:paraId="0C80ADBE">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（二）投标文件的语言及计量</w:t>
      </w:r>
    </w:p>
    <w:p w14:paraId="3F96020E">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投标文件以及投标方与招标方就有关投标事宜的所有来往函电，均应以中文汉语书写。除签名、盖章、专用名称等特殊情形外，以中文汉语以外的文字表述的投标文件视同未提供。</w:t>
      </w:r>
    </w:p>
    <w:p w14:paraId="78D9971E">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投标计量单位，招标文件已有明确规定的，使用招标文件规定的计量单位；招标文件没有规定的，应采用中华人民共和国法定计量单位（货币单位：人民币元），否则视同未响应。</w:t>
      </w:r>
    </w:p>
    <w:p w14:paraId="4E875767">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（三）投标报价</w:t>
      </w:r>
    </w:p>
    <w:p w14:paraId="3930EDD9">
      <w:pPr>
        <w:snapToGrid w:val="0"/>
        <w:spacing w:line="360" w:lineRule="auto"/>
        <w:ind w:firstLine="470" w:firstLineChars="196"/>
        <w:jc w:val="left"/>
        <w:outlineLvl w:val="0"/>
        <w:rPr>
          <w:rFonts w:hAnsi="宋体"/>
          <w:bCs/>
          <w:color w:val="auto"/>
          <w:sz w:val="24"/>
          <w:szCs w:val="24"/>
          <w:highlight w:val="none"/>
        </w:rPr>
      </w:pPr>
      <w:r>
        <w:rPr>
          <w:rFonts w:hint="eastAsia" w:ascii="宋体" w:hAnsi="宋体"/>
          <w:color w:val="auto"/>
          <w:sz w:val="24"/>
          <w:highlight w:val="none"/>
        </w:rPr>
        <w:t>▲1.</w:t>
      </w:r>
      <w:r>
        <w:rPr>
          <w:rFonts w:hint="eastAsia" w:ascii="宋体" w:hAnsi="宋体" w:eastAsia="宋体" w:cs="宋体"/>
          <w:color w:val="auto"/>
          <w:sz w:val="24"/>
          <w:highlight w:val="none"/>
        </w:rPr>
        <w:t>投标报价应按招标文件中相关附表格式填写。投标报价为本招标项目全部工作内容的报价。</w:t>
      </w:r>
    </w:p>
    <w:p w14:paraId="2521791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eastAsia="宋体" w:cs="宋体"/>
          <w:color w:val="auto"/>
          <w:sz w:val="24"/>
          <w:highlight w:val="none"/>
        </w:rPr>
        <w:t xml:space="preserve"> 投标报价是履行合同的最终价格，应包括人员工资、五险一金、节假日加班费、意外保险、道路清扫保洁工具费、清洗扫路车燃油费、车辆修理费、管理费、税费、利润等一切费用。</w:t>
      </w:r>
      <w:r>
        <w:rPr>
          <w:rFonts w:hint="eastAsia" w:ascii="宋体" w:hAnsi="宋体"/>
          <w:color w:val="auto"/>
          <w:sz w:val="24"/>
          <w:highlight w:val="none"/>
        </w:rPr>
        <w:t>投标报价中</w:t>
      </w:r>
      <w:r>
        <w:rPr>
          <w:rFonts w:hint="eastAsia" w:hAnsi="宋体"/>
          <w:bCs/>
          <w:color w:val="auto"/>
          <w:sz w:val="24"/>
          <w:szCs w:val="24"/>
          <w:highlight w:val="none"/>
        </w:rPr>
        <w:t>绿化养护为单价报价（</w:t>
      </w:r>
      <w:bookmarkStart w:id="19" w:name="OLE_LINK9"/>
      <w:bookmarkStart w:id="20" w:name="OLE_LINK10"/>
      <w:r>
        <w:rPr>
          <w:rFonts w:hint="eastAsia" w:hAnsi="宋体"/>
          <w:bCs/>
          <w:color w:val="auto"/>
          <w:sz w:val="24"/>
          <w:szCs w:val="24"/>
          <w:highlight w:val="none"/>
        </w:rPr>
        <w:t>元/㎡</w:t>
      </w:r>
      <w:bookmarkEnd w:id="19"/>
      <w:bookmarkEnd w:id="20"/>
      <w:r>
        <w:rPr>
          <w:rFonts w:hint="eastAsia" w:hAnsi="宋体"/>
          <w:bCs/>
          <w:color w:val="auto"/>
          <w:sz w:val="24"/>
          <w:szCs w:val="24"/>
          <w:highlight w:val="none"/>
        </w:rPr>
        <w:t>/年），绿化补植（含草花）为折扣报价（%）。</w:t>
      </w:r>
    </w:p>
    <w:p w14:paraId="102F70B4">
      <w:pPr>
        <w:snapToGrid w:val="0"/>
        <w:spacing w:line="360" w:lineRule="auto"/>
        <w:ind w:firstLine="470" w:firstLineChars="196"/>
        <w:jc w:val="left"/>
        <w:outlineLvl w:val="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投标文件只允许有一个报价，有选择的</w:t>
      </w:r>
      <w:r>
        <w:rPr>
          <w:rFonts w:hint="eastAsia" w:ascii="宋体" w:hAnsi="宋体"/>
          <w:color w:val="auto"/>
          <w:sz w:val="24"/>
          <w:highlight w:val="none"/>
        </w:rPr>
        <w:t>或有条件的</w:t>
      </w:r>
      <w:r>
        <w:rPr>
          <w:rFonts w:ascii="宋体" w:hAnsi="宋体"/>
          <w:color w:val="auto"/>
          <w:sz w:val="24"/>
          <w:highlight w:val="none"/>
        </w:rPr>
        <w:t>报价将不予接受</w:t>
      </w:r>
    </w:p>
    <w:p w14:paraId="07035AD9">
      <w:pPr>
        <w:pStyle w:val="13"/>
        <w:widowControl w:val="0"/>
        <w:tabs>
          <w:tab w:val="clear" w:pos="454"/>
        </w:tabs>
        <w:snapToGrid w:val="0"/>
        <w:spacing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（四）投标文件的有效期</w:t>
      </w:r>
    </w:p>
    <w:p w14:paraId="26C0E5D0">
      <w:pPr>
        <w:pStyle w:val="13"/>
        <w:widowControl w:val="0"/>
        <w:tabs>
          <w:tab w:val="clear" w:pos="454"/>
        </w:tabs>
        <w:snapToGrid w:val="0"/>
        <w:spacing w:afterLines="0" w:line="360" w:lineRule="auto"/>
        <w:ind w:left="0"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w:t>
      </w:r>
      <w:r>
        <w:rPr>
          <w:rFonts w:ascii="宋体" w:hAnsi="宋体"/>
          <w:color w:val="auto"/>
          <w:szCs w:val="24"/>
          <w:highlight w:val="none"/>
        </w:rPr>
        <w:t>自投标截止日起</w:t>
      </w:r>
      <w:r>
        <w:rPr>
          <w:rFonts w:hint="eastAsia" w:ascii="宋体" w:hAnsi="宋体"/>
          <w:color w:val="auto"/>
          <w:szCs w:val="24"/>
          <w:highlight w:val="none"/>
          <w:u w:val="single"/>
        </w:rPr>
        <w:t>120</w:t>
      </w:r>
      <w:r>
        <w:rPr>
          <w:rFonts w:ascii="宋体" w:hAnsi="宋体"/>
          <w:color w:val="auto"/>
          <w:szCs w:val="24"/>
          <w:highlight w:val="none"/>
        </w:rPr>
        <w:t>天投标</w:t>
      </w:r>
      <w:r>
        <w:rPr>
          <w:rFonts w:hint="eastAsia" w:ascii="宋体" w:hAnsi="宋体"/>
          <w:color w:val="auto"/>
          <w:szCs w:val="24"/>
          <w:highlight w:val="none"/>
        </w:rPr>
        <w:t>文件</w:t>
      </w:r>
      <w:r>
        <w:rPr>
          <w:rFonts w:ascii="宋体" w:hAnsi="宋体"/>
          <w:color w:val="auto"/>
          <w:szCs w:val="24"/>
          <w:highlight w:val="none"/>
        </w:rPr>
        <w:t>应保持有效。有效期</w:t>
      </w:r>
      <w:r>
        <w:rPr>
          <w:rFonts w:hint="eastAsia" w:ascii="宋体" w:hAnsi="宋体"/>
          <w:color w:val="auto"/>
          <w:szCs w:val="24"/>
          <w:highlight w:val="none"/>
        </w:rPr>
        <w:t>不足</w:t>
      </w:r>
      <w:r>
        <w:rPr>
          <w:rFonts w:ascii="宋体" w:hAnsi="宋体"/>
          <w:color w:val="auto"/>
          <w:szCs w:val="24"/>
          <w:highlight w:val="none"/>
        </w:rPr>
        <w:t>的投标</w:t>
      </w:r>
      <w:r>
        <w:rPr>
          <w:rFonts w:hint="eastAsia" w:ascii="宋体" w:hAnsi="宋体"/>
          <w:color w:val="auto"/>
          <w:szCs w:val="24"/>
          <w:highlight w:val="none"/>
        </w:rPr>
        <w:t>文件</w:t>
      </w:r>
      <w:r>
        <w:rPr>
          <w:rFonts w:ascii="宋体" w:hAnsi="宋体"/>
          <w:color w:val="auto"/>
          <w:szCs w:val="24"/>
          <w:highlight w:val="none"/>
        </w:rPr>
        <w:t>将被拒绝。</w:t>
      </w:r>
    </w:p>
    <w:p w14:paraId="513D3221">
      <w:pPr>
        <w:pStyle w:val="13"/>
        <w:widowControl w:val="0"/>
        <w:tabs>
          <w:tab w:val="clear" w:pos="454"/>
        </w:tabs>
        <w:snapToGrid w:val="0"/>
        <w:spacing w:afterLines="0" w:line="360" w:lineRule="auto"/>
        <w:ind w:left="0" w:firstLine="480" w:firstLineChars="20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在特殊情况下，招标人可与投标人协商延长投标书的有效期，这种要求和答复均以书面形式进行。</w:t>
      </w:r>
    </w:p>
    <w:p w14:paraId="33B90676">
      <w:pPr>
        <w:snapToGrid w:val="0"/>
        <w:spacing w:line="360" w:lineRule="auto"/>
        <w:ind w:firstLine="480" w:firstLineChars="200"/>
        <w:jc w:val="left"/>
        <w:outlineLvl w:val="0"/>
        <w:rPr>
          <w:rFonts w:ascii="宋体" w:hAnsi="宋体"/>
          <w:b/>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投标人可拒绝接受延期要求。同意延长有效期的投标人不能修改投标文件。</w:t>
      </w:r>
    </w:p>
    <w:p w14:paraId="5C39BAFA">
      <w:pPr>
        <w:snapToGrid w:val="0"/>
        <w:spacing w:line="360" w:lineRule="auto"/>
        <w:ind w:firstLine="480" w:firstLineChars="200"/>
        <w:jc w:val="left"/>
        <w:outlineLvl w:val="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2DC6E80E">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（五）投标文件的签署和份数</w:t>
      </w:r>
    </w:p>
    <w:p w14:paraId="42C135C1">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14:paraId="093810B2">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供应商应当按照本章节“投标文件组成”规定的内容及顺序在“政采云电子交易客户端”编制投标文件。其中《资格文件》和《技术/资信/商务文件》中不得出现本项目投标报价，如因投标人原因提前泄露投标报价，是投标人的责任。</w:t>
      </w:r>
    </w:p>
    <w:p w14:paraId="46E53F80">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本文件《第六章投标文件格式》中有提供格式的，投标供应商须参照格式进行编制（格式中要求提供相关证明材料的还需后附相关证明材料），并按格式要求在指定位置根据要求进行签章，否则视为未提供；本文件《第六章投标文件格式》未提供格式的，请各投标单位自行拟定格式，并加盖单位公章并由法定代表人或其授权代表签署（签字或盖章），否则视为未提供。</w:t>
      </w:r>
    </w:p>
    <w:p w14:paraId="63C1EC3C">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3.投标文件内容不完整、编排混乱导致投标文件被误读、漏读或者查找不到相关内容的，是投标供应商的责任。</w:t>
      </w:r>
    </w:p>
    <w:p w14:paraId="2190B8BA">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4.投标文件因字迹潦草或表达不清所引起的后果由投标供应商负责。</w:t>
      </w:r>
      <w:r>
        <w:rPr>
          <w:rFonts w:ascii="宋体" w:hAnsi="宋体"/>
          <w:color w:val="auto"/>
          <w:sz w:val="24"/>
          <w:highlight w:val="none"/>
        </w:rPr>
        <w:tab/>
      </w:r>
    </w:p>
    <w:p w14:paraId="480B85DF">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5.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14:paraId="7D1B8EBB">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（六）投标文件的签署</w:t>
      </w:r>
    </w:p>
    <w:p w14:paraId="253F8A28">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《投标文件》应由投标供应商法定代表人或其授权代表签字（或盖章），并加盖投标供应商公章。</w:t>
      </w:r>
    </w:p>
    <w:p w14:paraId="11A3DB81">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（七）投标文件的形式</w:t>
      </w:r>
    </w:p>
    <w:p w14:paraId="56289577">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1.投标文件的形式：见《前附表》；</w:t>
      </w:r>
    </w:p>
    <w:p w14:paraId="6DFAD982">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2.“电子加密投标文件”：“电子加密投标文件”是指通过“政采云电子交易客户端”完成投标文件编制后生成并加密的数据电文形式的投标文件。</w:t>
      </w:r>
    </w:p>
    <w:p w14:paraId="4B7743EA">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3.“备份投标文件”：“备份投标文件”是指与“电子加密投标文件”同时生成的数据电文形式的电子文件（备份标书），其他方式编制的“备份投标文件”视为无效的“备份投标文件”。</w:t>
      </w:r>
    </w:p>
    <w:p w14:paraId="3975533B">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（八）投标文件的份数：见《前附表》。</w:t>
      </w:r>
    </w:p>
    <w:p w14:paraId="6506D580">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（九）投标文件的上传和递交：见《前附表》。</w:t>
      </w:r>
    </w:p>
    <w:p w14:paraId="52396BE3">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（十）“电子加密投标文件”解密和异常情况处理：见《前附表》。</w:t>
      </w:r>
    </w:p>
    <w:p w14:paraId="7FECBBE0">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（十一）投标文件的补充、修改或撤回</w:t>
      </w:r>
    </w:p>
    <w:p w14:paraId="37F08D77">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26FE945">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2.投标截止时间后，投标供应商不得撤回、修改投标文件。</w:t>
      </w:r>
    </w:p>
    <w:p w14:paraId="3A54CA24">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（十二）投标文件的备选方案</w:t>
      </w:r>
    </w:p>
    <w:p w14:paraId="61DBAB41">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投标供应商不得递交任何的投标备选（替代）方案，否则其投标文件将作无效标处理。与“电子加密投标文件”同时生成的“备份投标文件”不是投标备选（替代）方案。</w:t>
      </w:r>
    </w:p>
    <w:p w14:paraId="4345D732">
      <w:pPr>
        <w:snapToGrid w:val="0"/>
        <w:spacing w:before="120" w:beforeLines="50" w:line="360" w:lineRule="auto"/>
        <w:ind w:firstLine="472" w:firstLineChars="196"/>
        <w:outlineLvl w:val="2"/>
        <w:rPr>
          <w:rFonts w:ascii="宋体" w:hAnsi="宋体"/>
          <w:b/>
          <w:color w:val="auto"/>
          <w:sz w:val="24"/>
          <w:highlight w:val="none"/>
        </w:rPr>
      </w:pPr>
      <w:r>
        <w:rPr>
          <w:rFonts w:hint="eastAsia" w:ascii="宋体" w:hAnsi="宋体"/>
          <w:b/>
          <w:color w:val="auto"/>
          <w:sz w:val="24"/>
          <w:highlight w:val="none"/>
        </w:rPr>
        <w:t>（十三）投标无效的情形</w:t>
      </w:r>
    </w:p>
    <w:p w14:paraId="695D794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203342C">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1.在评标开始前，招标采购单位对投标人的资格进行审查，如发现下列情形之一的，投标文件将被视为无效，不再进行下一步评审：</w:t>
      </w:r>
    </w:p>
    <w:p w14:paraId="0FF5547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（1）未提供有效的营业执照、税务登记证、组织机构代码证或未提供“三证合一”的营业执照或未提供“五证合一”的营业执照；</w:t>
      </w:r>
    </w:p>
    <w:p w14:paraId="51B693A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（2）未提供法定代表人有效身份证明书及身份证或未提供法定代表人授权书及授权人身份证或与法定代表人授权委托人身份不符的；或未提供法定代表人授权委托人社保的；</w:t>
      </w:r>
    </w:p>
    <w:p w14:paraId="644B448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（3）未提供投标承诺书的；</w:t>
      </w:r>
    </w:p>
    <w:p w14:paraId="36901D1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（4）未提供信用承诺书的；</w:t>
      </w:r>
    </w:p>
    <w:p w14:paraId="51B82051">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（5）未</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1FBCA9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（6）供应商提供的《中小企业声明函》未采用本采购文件的模板或提供的《中小企业声明函》未填写完整的或未按《工信部联企业〔2011〕300 号》如实填写《中小企业声明函》的。</w:t>
      </w:r>
    </w:p>
    <w:p w14:paraId="23AD5713">
      <w:pPr>
        <w:snapToGrid w:val="0"/>
        <w:spacing w:line="360" w:lineRule="auto"/>
        <w:ind w:firstLine="470" w:firstLineChars="196"/>
        <w:rPr>
          <w:rFonts w:hAnsi="宋体" w:cs="宋体"/>
          <w:color w:val="auto"/>
          <w:sz w:val="24"/>
          <w:highlight w:val="none"/>
        </w:rPr>
      </w:pPr>
      <w:r>
        <w:rPr>
          <w:rFonts w:hint="eastAsia" w:hAnsi="宋体"/>
          <w:bCs/>
          <w:color w:val="auto"/>
          <w:sz w:val="24"/>
          <w:highlight w:val="none"/>
        </w:rPr>
        <w:t>（</w:t>
      </w:r>
      <w:r>
        <w:rPr>
          <w:rFonts w:hAnsi="宋体"/>
          <w:bCs/>
          <w:color w:val="auto"/>
          <w:sz w:val="24"/>
          <w:highlight w:val="none"/>
        </w:rPr>
        <w:t>7</w:t>
      </w:r>
      <w:r>
        <w:rPr>
          <w:rFonts w:hint="eastAsia" w:hAnsi="宋体"/>
          <w:bCs/>
          <w:color w:val="auto"/>
          <w:sz w:val="24"/>
          <w:highlight w:val="none"/>
        </w:rPr>
        <w:t>）</w:t>
      </w:r>
      <w:r>
        <w:rPr>
          <w:rFonts w:hint="eastAsia" w:hAnsi="宋体" w:cs="宋体"/>
          <w:color w:val="auto"/>
          <w:sz w:val="24"/>
          <w:highlight w:val="none"/>
        </w:rPr>
        <w:t>供应商在《中小企业声明函》中所填企业规模不是中型、小型或微型企业的。</w:t>
      </w:r>
    </w:p>
    <w:p w14:paraId="4BF22C19">
      <w:pPr>
        <w:spacing w:line="360" w:lineRule="auto"/>
        <w:ind w:firstLine="480" w:firstLineChars="200"/>
        <w:rPr>
          <w:rFonts w:ascii="宋体" w:hAnsi="宋体" w:cs="Times New Roman"/>
          <w:bCs/>
          <w:color w:val="auto"/>
          <w:sz w:val="24"/>
          <w:highlight w:val="none"/>
        </w:rPr>
      </w:pPr>
      <w:r>
        <w:rPr>
          <w:rFonts w:hint="eastAsia" w:ascii="宋体" w:hAnsi="宋体"/>
          <w:bCs/>
          <w:color w:val="auto"/>
          <w:sz w:val="24"/>
          <w:highlight w:val="none"/>
        </w:rPr>
        <w:t>（8）资格证明文件不全的，或者不符合招标文件标明的资格要求的。</w:t>
      </w:r>
    </w:p>
    <w:p w14:paraId="24929DC4">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2.在符合性审查和商务评审时，如发现下列情形之一的，投标文件将被视为无效：</w:t>
      </w:r>
    </w:p>
    <w:p w14:paraId="27BB2426">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（1）投标文件无法定代表人签字或未提供投标声明书或者填写项目不齐全的；</w:t>
      </w:r>
    </w:p>
    <w:p w14:paraId="51668545">
      <w:pPr>
        <w:snapToGrid w:val="0"/>
        <w:spacing w:line="360" w:lineRule="auto"/>
        <w:ind w:firstLine="470" w:firstLineChars="196"/>
        <w:rPr>
          <w:rFonts w:ascii="Times New Roman" w:hAnsi="宋体"/>
          <w:bCs/>
          <w:color w:val="auto"/>
          <w:sz w:val="24"/>
          <w:highlight w:val="none"/>
        </w:rPr>
      </w:pPr>
      <w:r>
        <w:rPr>
          <w:rFonts w:hint="eastAsia" w:hAnsi="宋体"/>
          <w:bCs/>
          <w:color w:val="auto"/>
          <w:sz w:val="24"/>
          <w:highlight w:val="none"/>
        </w:rPr>
        <w:t>（</w:t>
      </w:r>
      <w:r>
        <w:rPr>
          <w:rFonts w:hAnsi="宋体"/>
          <w:bCs/>
          <w:color w:val="auto"/>
          <w:sz w:val="24"/>
          <w:highlight w:val="none"/>
        </w:rPr>
        <w:t>2</w:t>
      </w:r>
      <w:r>
        <w:rPr>
          <w:rFonts w:hint="eastAsia" w:hAnsi="宋体"/>
          <w:bCs/>
          <w:color w:val="auto"/>
          <w:sz w:val="24"/>
          <w:highlight w:val="none"/>
        </w:rPr>
        <w:t>）投标文件格式不规范、项目不齐全或者内容虚假的；</w:t>
      </w:r>
    </w:p>
    <w:p w14:paraId="65137C22">
      <w:pPr>
        <w:snapToGrid w:val="0"/>
        <w:spacing w:line="360" w:lineRule="auto"/>
        <w:ind w:firstLine="470" w:firstLineChars="196"/>
        <w:rPr>
          <w:rFonts w:hAnsi="宋体"/>
          <w:bCs/>
          <w:color w:val="auto"/>
          <w:sz w:val="24"/>
          <w:highlight w:val="none"/>
        </w:rPr>
      </w:pPr>
      <w:r>
        <w:rPr>
          <w:rFonts w:hint="eastAsia" w:hAnsi="宋体"/>
          <w:bCs/>
          <w:color w:val="auto"/>
          <w:sz w:val="24"/>
          <w:highlight w:val="none"/>
        </w:rPr>
        <w:t>（</w:t>
      </w:r>
      <w:r>
        <w:rPr>
          <w:rFonts w:hAnsi="宋体"/>
          <w:bCs/>
          <w:color w:val="auto"/>
          <w:sz w:val="24"/>
          <w:highlight w:val="none"/>
        </w:rPr>
        <w:t>3</w:t>
      </w:r>
      <w:r>
        <w:rPr>
          <w:rFonts w:hint="eastAsia" w:hAnsi="宋体"/>
          <w:bCs/>
          <w:color w:val="auto"/>
          <w:sz w:val="24"/>
          <w:highlight w:val="none"/>
        </w:rPr>
        <w:t>）投标文件的实质性内容未使用中文表述、意思表述不明确、前后矛盾或者使用计量单位不符合招标文件要求的（经评标委员会认定并允许其当场更正的笔误除外）；</w:t>
      </w:r>
    </w:p>
    <w:p w14:paraId="378E1CE9">
      <w:pPr>
        <w:snapToGrid w:val="0"/>
        <w:spacing w:line="360" w:lineRule="auto"/>
        <w:ind w:firstLine="470" w:firstLineChars="196"/>
        <w:rPr>
          <w:rFonts w:hAnsi="宋体"/>
          <w:bCs/>
          <w:color w:val="auto"/>
          <w:sz w:val="24"/>
          <w:highlight w:val="none"/>
        </w:rPr>
      </w:pPr>
      <w:r>
        <w:rPr>
          <w:rFonts w:hint="eastAsia" w:hAnsi="宋体"/>
          <w:bCs/>
          <w:color w:val="auto"/>
          <w:sz w:val="24"/>
          <w:highlight w:val="none"/>
        </w:rPr>
        <w:t>（</w:t>
      </w:r>
      <w:r>
        <w:rPr>
          <w:rFonts w:hAnsi="宋体"/>
          <w:bCs/>
          <w:color w:val="auto"/>
          <w:sz w:val="24"/>
          <w:highlight w:val="none"/>
        </w:rPr>
        <w:t>4</w:t>
      </w:r>
      <w:r>
        <w:rPr>
          <w:rFonts w:hint="eastAsia" w:hAnsi="宋体"/>
          <w:bCs/>
          <w:color w:val="auto"/>
          <w:sz w:val="24"/>
          <w:highlight w:val="none"/>
        </w:rPr>
        <w:t>）投标有效期、服务期等商务条款不能满足招标文件要求的；</w:t>
      </w:r>
    </w:p>
    <w:p w14:paraId="61F7FA73">
      <w:pPr>
        <w:snapToGrid w:val="0"/>
        <w:spacing w:line="360" w:lineRule="auto"/>
        <w:ind w:firstLine="470" w:firstLineChars="196"/>
        <w:rPr>
          <w:rFonts w:hAnsi="Times New Roman"/>
          <w:color w:val="auto"/>
          <w:sz w:val="24"/>
          <w:highlight w:val="none"/>
        </w:rPr>
      </w:pPr>
      <w:r>
        <w:rPr>
          <w:rFonts w:hint="eastAsia" w:hAnsi="宋体"/>
          <w:bCs/>
          <w:color w:val="auto"/>
          <w:sz w:val="24"/>
          <w:highlight w:val="none"/>
        </w:rPr>
        <w:t>（</w:t>
      </w:r>
      <w:r>
        <w:rPr>
          <w:rFonts w:hAnsi="宋体"/>
          <w:bCs/>
          <w:color w:val="auto"/>
          <w:sz w:val="24"/>
          <w:highlight w:val="none"/>
        </w:rPr>
        <w:t>5</w:t>
      </w:r>
      <w:r>
        <w:rPr>
          <w:rFonts w:hint="eastAsia" w:hAnsi="宋体"/>
          <w:bCs/>
          <w:color w:val="auto"/>
          <w:sz w:val="24"/>
          <w:highlight w:val="none"/>
        </w:rPr>
        <w:t>）未实质性响应招标文件要求或者投标文件有招标方不能接受</w:t>
      </w:r>
      <w:r>
        <w:rPr>
          <w:rFonts w:hint="eastAsia"/>
          <w:color w:val="auto"/>
          <w:sz w:val="24"/>
          <w:highlight w:val="none"/>
        </w:rPr>
        <w:t>的附加条件的；</w:t>
      </w:r>
    </w:p>
    <w:p w14:paraId="014FE586">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3.在技术评审时，如发现下列情形之一的，投标文件将被视为无效：</w:t>
      </w:r>
    </w:p>
    <w:p w14:paraId="7124EDB0">
      <w:pPr>
        <w:snapToGrid w:val="0"/>
        <w:spacing w:line="360" w:lineRule="auto"/>
        <w:ind w:firstLine="472" w:firstLineChars="196"/>
        <w:rPr>
          <w:rFonts w:ascii="Times New Roman" w:hAnsi="宋体"/>
          <w:color w:val="auto"/>
          <w:sz w:val="24"/>
          <w:highlight w:val="none"/>
        </w:rPr>
      </w:pPr>
      <w:r>
        <w:rPr>
          <w:rFonts w:hint="eastAsia" w:hAnsi="宋体"/>
          <w:b/>
          <w:color w:val="auto"/>
          <w:sz w:val="24"/>
          <w:highlight w:val="none"/>
        </w:rPr>
        <w:t>（</w:t>
      </w:r>
      <w:r>
        <w:rPr>
          <w:rFonts w:hAnsi="宋体"/>
          <w:color w:val="auto"/>
          <w:sz w:val="24"/>
          <w:highlight w:val="none"/>
        </w:rPr>
        <w:t>1</w:t>
      </w:r>
      <w:r>
        <w:rPr>
          <w:rFonts w:hint="eastAsia" w:hAnsi="宋体"/>
          <w:color w:val="auto"/>
          <w:sz w:val="24"/>
          <w:highlight w:val="none"/>
        </w:rPr>
        <w:t>）未提供或未如实提供投标项目的技术参数，或者投标文件标明的响应或偏离与事实不符或虚假投标的；</w:t>
      </w:r>
    </w:p>
    <w:p w14:paraId="30BF78FE">
      <w:pPr>
        <w:snapToGrid w:val="0"/>
        <w:spacing w:line="360" w:lineRule="auto"/>
        <w:ind w:firstLine="470" w:firstLineChars="196"/>
        <w:rPr>
          <w:rFonts w:hAnsi="Times New Roman"/>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）明显不符合招标文件要求的规格型号、质量标准，或者与招标文件中标</w:t>
      </w:r>
      <w:r>
        <w:rPr>
          <w:color w:val="auto"/>
          <w:sz w:val="24"/>
          <w:highlight w:val="none"/>
        </w:rPr>
        <w:t>“</w:t>
      </w:r>
      <w:r>
        <w:rPr>
          <w:rFonts w:ascii="Arial" w:hAnsi="Arial" w:cs="Arial"/>
          <w:color w:val="auto"/>
          <w:sz w:val="24"/>
          <w:highlight w:val="none"/>
        </w:rPr>
        <w:t>▲</w:t>
      </w:r>
      <w:r>
        <w:rPr>
          <w:rFonts w:ascii="Calibri" w:hAnsi="Calibri" w:cs="Calibri"/>
          <w:color w:val="auto"/>
          <w:sz w:val="24"/>
          <w:highlight w:val="none"/>
        </w:rPr>
        <w:t>”</w:t>
      </w:r>
      <w:r>
        <w:rPr>
          <w:rFonts w:hint="eastAsia"/>
          <w:color w:val="auto"/>
          <w:sz w:val="24"/>
          <w:highlight w:val="none"/>
        </w:rPr>
        <w:t>的技术指标、主要功能项目发生实质性偏离的；</w:t>
      </w:r>
    </w:p>
    <w:p w14:paraId="3C91779F">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）投标技术方案不明确，存在一个或一个以上备选（替代）投标方案的；</w:t>
      </w:r>
    </w:p>
    <w:p w14:paraId="33A6F650">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）与其他参加本次投标供应商的投标文件（技术文件）的文字表述内容相同连续</w:t>
      </w:r>
      <w:r>
        <w:rPr>
          <w:color w:val="auto"/>
          <w:sz w:val="24"/>
          <w:highlight w:val="none"/>
        </w:rPr>
        <w:t>20</w:t>
      </w:r>
      <w:r>
        <w:rPr>
          <w:rFonts w:hint="eastAsia"/>
          <w:color w:val="auto"/>
          <w:sz w:val="24"/>
          <w:highlight w:val="none"/>
        </w:rPr>
        <w:t>行以上或者差错相同</w:t>
      </w:r>
      <w:r>
        <w:rPr>
          <w:color w:val="auto"/>
          <w:sz w:val="24"/>
          <w:highlight w:val="none"/>
        </w:rPr>
        <w:t>2</w:t>
      </w:r>
      <w:r>
        <w:rPr>
          <w:rFonts w:hint="eastAsia"/>
          <w:color w:val="auto"/>
          <w:sz w:val="24"/>
          <w:highlight w:val="none"/>
        </w:rPr>
        <w:t>处以上的；</w:t>
      </w:r>
    </w:p>
    <w:p w14:paraId="274435F4">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4.在报价评审时，如发现下列情形之一的，投标文件将被视为无效：</w:t>
      </w:r>
    </w:p>
    <w:p w14:paraId="7ED691C7">
      <w:pPr>
        <w:snapToGrid w:val="0"/>
        <w:spacing w:line="360" w:lineRule="auto"/>
        <w:ind w:firstLine="470" w:firstLineChars="196"/>
        <w:rPr>
          <w:rFonts w:ascii="Times New Roman" w:hAnsi="Times New Roman"/>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）未采用人民币报价或者未按照招标文件标明的币种报价的；</w:t>
      </w:r>
    </w:p>
    <w:p w14:paraId="08A36BB8">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）报价超出最高限价的；</w:t>
      </w:r>
    </w:p>
    <w:p w14:paraId="00681F08">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）投标报价具有选择性，或者开标价格与投标文件承诺的优惠（折扣）价格不一致的；</w:t>
      </w:r>
    </w:p>
    <w:p w14:paraId="357B1753">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5.被拒绝的投标文件为无效；仅提供备份投标文件的无效。</w:t>
      </w:r>
    </w:p>
    <w:p w14:paraId="4E3AA571">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 xml:space="preserve">6. </w:t>
      </w:r>
      <w:bookmarkStart w:id="21" w:name="OLE_LINK220"/>
      <w:bookmarkStart w:id="22" w:name="OLE_LINK221"/>
      <w:r>
        <w:rPr>
          <w:rFonts w:hint="eastAsia" w:ascii="宋体" w:hAnsi="宋体"/>
          <w:b/>
          <w:bCs/>
          <w:color w:val="auto"/>
          <w:sz w:val="24"/>
          <w:highlight w:val="none"/>
        </w:rPr>
        <w:t>投标人存在下列情形之一且无法合理解释的，其投标（响应）文件无效：</w:t>
      </w:r>
    </w:p>
    <w:p w14:paraId="3AE9C38E">
      <w:pPr>
        <w:snapToGrid w:val="0"/>
        <w:spacing w:line="360" w:lineRule="auto"/>
        <w:ind w:firstLine="470" w:firstLineChars="196"/>
        <w:rPr>
          <w:rFonts w:ascii="Times New Roman" w:hAnsi="Times New Roman"/>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）不同供应商的电子投标（响应）文件上传计算机的网卡</w:t>
      </w:r>
      <w:r>
        <w:rPr>
          <w:color w:val="auto"/>
          <w:sz w:val="24"/>
          <w:highlight w:val="none"/>
        </w:rPr>
        <w:t>MAC</w:t>
      </w:r>
      <w:r>
        <w:rPr>
          <w:rFonts w:hint="eastAsia"/>
          <w:color w:val="auto"/>
          <w:sz w:val="24"/>
          <w:highlight w:val="none"/>
        </w:rPr>
        <w:t>地址或硬盘序列号等硬件信息相同的；</w:t>
      </w:r>
    </w:p>
    <w:p w14:paraId="350000D1">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）上传的电子投标（响应）文件若出现使用本项目其他投标（响应）供应商的数字证书加密的，或者加盖本项目其他投标（响应）供应商的电子印章的；</w:t>
      </w:r>
    </w:p>
    <w:p w14:paraId="5C2C30C9">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）不同供应商的投标（响应）文件的内容存在</w:t>
      </w:r>
      <w:r>
        <w:rPr>
          <w:color w:val="auto"/>
          <w:sz w:val="24"/>
          <w:highlight w:val="none"/>
        </w:rPr>
        <w:t>3</w:t>
      </w:r>
      <w:r>
        <w:rPr>
          <w:rFonts w:hint="eastAsia"/>
          <w:color w:val="auto"/>
          <w:sz w:val="24"/>
          <w:highlight w:val="none"/>
        </w:rPr>
        <w:t>处（含）以上错误一致的；</w:t>
      </w:r>
    </w:p>
    <w:p w14:paraId="26586736">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）不同供应商联系人为同一人或不同联系人的联系电话一致的。</w:t>
      </w:r>
    </w:p>
    <w:bookmarkEnd w:id="21"/>
    <w:bookmarkEnd w:id="22"/>
    <w:p w14:paraId="287C5471">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7.投标人有下列情形之一的，属于恶意串通，其投标无效：</w:t>
      </w:r>
    </w:p>
    <w:p w14:paraId="44C03403">
      <w:pPr>
        <w:snapToGrid w:val="0"/>
        <w:spacing w:line="360" w:lineRule="auto"/>
        <w:ind w:firstLine="470" w:firstLineChars="196"/>
        <w:rPr>
          <w:rFonts w:ascii="Times New Roman" w:hAnsi="Times New Roman"/>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）投标人直接或者间接从采购人或者采购代理机构处获得其他投标人的相关情况并修改其投标（响应）文件；</w:t>
      </w:r>
    </w:p>
    <w:p w14:paraId="1C984370">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）投标人按照采购人或者采购代理机构的授意撤换、修改投标（响应）文件；</w:t>
      </w:r>
    </w:p>
    <w:p w14:paraId="185FEC31">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）投标人之间协商报价、技术方案等投标（响应）文件的实质性内容；</w:t>
      </w:r>
    </w:p>
    <w:p w14:paraId="32F4D8BC">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）属于同一集团、协会、商会等组织成员的投标人按照该组织要求协同参加政府采购活动；</w:t>
      </w:r>
    </w:p>
    <w:p w14:paraId="762B8254">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）投标人之间事先约定由某一特定投标人中标、成交；</w:t>
      </w:r>
    </w:p>
    <w:p w14:paraId="7E33CF24">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）投标人之间商定部分投标人放弃参加政府采购活动或者放弃中标、成交；</w:t>
      </w:r>
    </w:p>
    <w:p w14:paraId="249E9762">
      <w:pPr>
        <w:snapToGrid w:val="0"/>
        <w:spacing w:line="360" w:lineRule="auto"/>
        <w:ind w:firstLine="470" w:firstLineChars="196"/>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）投标人与采购人或者采购代理机构之间、投标人相互之间，为谋求特定投标人中标、成交或者排斥其他投标人的其他串通行为。</w:t>
      </w:r>
    </w:p>
    <w:p w14:paraId="73225574">
      <w:pPr>
        <w:pStyle w:val="21"/>
        <w:snapToGrid w:val="0"/>
        <w:spacing w:line="360" w:lineRule="auto"/>
        <w:ind w:firstLine="457" w:firstLineChars="196"/>
        <w:outlineLvl w:val="1"/>
        <w:rPr>
          <w:rFonts w:hAnsi="宋体"/>
          <w:b/>
          <w:snapToGrid w:val="0"/>
          <w:color w:val="auto"/>
          <w:sz w:val="24"/>
          <w:szCs w:val="24"/>
          <w:highlight w:val="none"/>
        </w:rPr>
      </w:pPr>
      <w:r>
        <w:rPr>
          <w:rFonts w:hint="eastAsia" w:hAnsi="宋体"/>
          <w:b/>
          <w:color w:val="auto"/>
          <w:sz w:val="24"/>
          <w:szCs w:val="24"/>
          <w:highlight w:val="none"/>
        </w:rPr>
        <w:t>四、开标</w:t>
      </w:r>
    </w:p>
    <w:p w14:paraId="07352E97">
      <w:pPr>
        <w:pStyle w:val="21"/>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（一）开标准备</w:t>
      </w:r>
    </w:p>
    <w:p w14:paraId="1E491C9E">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1.组织机构将按照招标文件规定的时间通过“政府采购云平台”组织开标、开启投标文件，所有供应商均应当准时在线参加。</w:t>
      </w:r>
    </w:p>
    <w:p w14:paraId="75DB90FE">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 按照“不见面、少接触”的原则，本项目原则上采取“不见面”形式进行开评标活动,法定代表人或其授权代表无须到场，在线响应即可（通过指定的电子邮箱、传真等）。</w:t>
      </w:r>
    </w:p>
    <w:p w14:paraId="035657F0">
      <w:pPr>
        <w:pStyle w:val="21"/>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（二）开标程序：</w:t>
      </w:r>
    </w:p>
    <w:p w14:paraId="227848D0">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1.开标的准备工作由采购组织机构负责落实；</w:t>
      </w:r>
    </w:p>
    <w:p w14:paraId="7B8E16FF">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51520C3">
      <w:pPr>
        <w:pStyle w:val="21"/>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（三）开标流程</w:t>
      </w:r>
    </w:p>
    <w:p w14:paraId="66969082">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932C9DB">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2.投标文件解密结束；</w:t>
      </w:r>
    </w:p>
    <w:p w14:paraId="6C76AF59">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3.开启投标文件，进入资格审查；</w:t>
      </w:r>
    </w:p>
    <w:p w14:paraId="2031CC8A">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4.开启资格审查通过的投标供应商的商务技术文件进入符合性审查、商务技术评审；</w:t>
      </w:r>
    </w:p>
    <w:p w14:paraId="3180907E">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1）符合性审查、商务技术评审结束后，公布符合性审查、商务技术评审无效供应商名称及理由；公布经商务技术评审后有效投标供应商的名单，同时公布其商务技术部分得分情况。</w:t>
      </w:r>
    </w:p>
    <w:p w14:paraId="2C33FAC1">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2）开启符合性审查、商务技术评审有效投标供应商的《报价文件》，公布开标一览表有关内容，同时当场制作开标记录表，唱标结束后，由评标委员会对报价的合理性、准确性等进行审查核实。</w:t>
      </w:r>
    </w:p>
    <w:p w14:paraId="612794CE">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3）公布报价部分得分情况；</w:t>
      </w:r>
    </w:p>
    <w:p w14:paraId="468482BE">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4）评审结束后，公布中标（成交）候选供应商名单等。</w:t>
      </w:r>
    </w:p>
    <w:p w14:paraId="6498A00B">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5）开标结束。</w:t>
      </w:r>
    </w:p>
    <w:p w14:paraId="4E40AAD9">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特别说明：如遇“政府采购云平台”电子化开标或评审程序调整的，按调整后程序执行。</w:t>
      </w:r>
      <w:bookmarkStart w:id="23" w:name="_Toc33194393"/>
      <w:bookmarkStart w:id="24" w:name="_Toc24550037"/>
    </w:p>
    <w:p w14:paraId="21E73368">
      <w:pPr>
        <w:pStyle w:val="21"/>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（四）投标供应商资格审查</w:t>
      </w:r>
      <w:bookmarkEnd w:id="23"/>
      <w:bookmarkEnd w:id="24"/>
    </w:p>
    <w:p w14:paraId="3DABD7D3">
      <w:pPr>
        <w:pStyle w:val="21"/>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4839897">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78191A7">
      <w:pPr>
        <w:pStyle w:val="26"/>
        <w:snapToGrid w:val="0"/>
        <w:spacing w:beforeLines="0" w:afterLines="0" w:line="360" w:lineRule="auto"/>
        <w:ind w:firstLine="480" w:firstLineChars="200"/>
        <w:rPr>
          <w:rFonts w:hAnsi="宋体"/>
          <w:bCs/>
          <w:color w:val="auto"/>
          <w:highlight w:val="none"/>
        </w:rPr>
      </w:pPr>
      <w:r>
        <w:rPr>
          <w:rFonts w:hint="eastAsia" w:hAnsi="宋体"/>
          <w:color w:val="auto"/>
          <w:highlight w:val="none"/>
        </w:rPr>
        <w:t>3.单位负责人为同一人或者存在直接控股、管理关系的不同供应商参加同一合同项下的政府采购活动的，相关投标供应商均作资格无效处理。</w:t>
      </w:r>
    </w:p>
    <w:p w14:paraId="50BD815E">
      <w:pPr>
        <w:pStyle w:val="26"/>
        <w:snapToGrid w:val="0"/>
        <w:spacing w:beforeLines="0" w:afterLines="0" w:line="360" w:lineRule="auto"/>
        <w:ind w:left="842" w:leftChars="267" w:hanging="281" w:hangingChars="100"/>
        <w:outlineLvl w:val="1"/>
        <w:rPr>
          <w:rFonts w:hAnsi="宋体"/>
          <w:b/>
          <w:color w:val="auto"/>
          <w:sz w:val="28"/>
          <w:szCs w:val="28"/>
          <w:highlight w:val="none"/>
        </w:rPr>
      </w:pPr>
      <w:r>
        <w:rPr>
          <w:rFonts w:hint="eastAsia" w:hAnsi="宋体"/>
          <w:b/>
          <w:color w:val="auto"/>
          <w:sz w:val="28"/>
          <w:szCs w:val="28"/>
          <w:highlight w:val="none"/>
        </w:rPr>
        <w:t>五、评标</w:t>
      </w:r>
    </w:p>
    <w:p w14:paraId="1118DADA">
      <w:pPr>
        <w:pStyle w:val="26"/>
        <w:snapToGrid w:val="0"/>
        <w:spacing w:beforeLines="0" w:afterLines="0" w:line="360" w:lineRule="auto"/>
        <w:ind w:left="720" w:leftChars="228" w:hanging="241" w:hangingChars="100"/>
        <w:rPr>
          <w:rFonts w:hAnsi="宋体"/>
          <w:b/>
          <w:color w:val="auto"/>
          <w:highlight w:val="none"/>
        </w:rPr>
      </w:pPr>
      <w:r>
        <w:rPr>
          <w:rFonts w:hAnsi="宋体"/>
          <w:b/>
          <w:color w:val="auto"/>
          <w:highlight w:val="none"/>
        </w:rPr>
        <w:t>（一）组建评标委员会</w:t>
      </w:r>
    </w:p>
    <w:p w14:paraId="01909FA9">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本项目评审委员会由招标人代表和有关技术、经济等方面的专家组成，成员人数为5人，其中技术经济等方面的专家不少于成员总数的三分之二。</w:t>
      </w:r>
    </w:p>
    <w:p w14:paraId="2449CE4B">
      <w:pPr>
        <w:pStyle w:val="26"/>
        <w:snapToGrid w:val="0"/>
        <w:spacing w:beforeLines="0" w:afterLines="0" w:line="360" w:lineRule="auto"/>
        <w:ind w:firstLine="482" w:firstLineChars="200"/>
        <w:rPr>
          <w:rFonts w:hAnsi="宋体"/>
          <w:b/>
          <w:color w:val="auto"/>
          <w:highlight w:val="none"/>
        </w:rPr>
      </w:pPr>
      <w:r>
        <w:rPr>
          <w:rFonts w:hAnsi="宋体"/>
          <w:b/>
          <w:color w:val="auto"/>
          <w:highlight w:val="none"/>
        </w:rPr>
        <w:t>（二）评标的方式</w:t>
      </w:r>
    </w:p>
    <w:p w14:paraId="3E7BDA0E">
      <w:pPr>
        <w:pStyle w:val="26"/>
        <w:snapToGrid w:val="0"/>
        <w:spacing w:beforeLines="0" w:afterLines="0" w:line="360" w:lineRule="auto"/>
        <w:ind w:left="719" w:leftChars="228" w:hanging="240" w:hangingChars="100"/>
        <w:rPr>
          <w:rFonts w:hAnsi="宋体"/>
          <w:color w:val="auto"/>
          <w:highlight w:val="none"/>
        </w:rPr>
      </w:pPr>
      <w:r>
        <w:rPr>
          <w:rFonts w:hAnsi="宋体"/>
          <w:color w:val="auto"/>
          <w:highlight w:val="none"/>
        </w:rPr>
        <w:t>本项目采用不公开方式评标，评标的依据为招标文件和投标文件。</w:t>
      </w:r>
    </w:p>
    <w:p w14:paraId="30692304">
      <w:pPr>
        <w:pStyle w:val="26"/>
        <w:snapToGrid w:val="0"/>
        <w:spacing w:beforeLines="0" w:afterLines="0" w:line="360" w:lineRule="auto"/>
        <w:ind w:left="720" w:leftChars="228" w:hanging="241" w:hangingChars="100"/>
        <w:rPr>
          <w:rFonts w:hAnsi="宋体"/>
          <w:b/>
          <w:bCs/>
          <w:color w:val="auto"/>
          <w:highlight w:val="none"/>
        </w:rPr>
      </w:pPr>
      <w:r>
        <w:rPr>
          <w:rFonts w:hAnsi="宋体"/>
          <w:b/>
          <w:color w:val="auto"/>
          <w:highlight w:val="none"/>
        </w:rPr>
        <w:t>（三）</w:t>
      </w:r>
      <w:r>
        <w:rPr>
          <w:rFonts w:hAnsi="宋体"/>
          <w:b/>
          <w:bCs/>
          <w:color w:val="auto"/>
          <w:highlight w:val="none"/>
        </w:rPr>
        <w:t>评标程序</w:t>
      </w:r>
    </w:p>
    <w:p w14:paraId="4C711D08">
      <w:pPr>
        <w:pStyle w:val="26"/>
        <w:snapToGrid w:val="0"/>
        <w:spacing w:beforeLines="0" w:afterLines="0" w:line="360" w:lineRule="auto"/>
        <w:ind w:firstLine="470" w:firstLineChars="196"/>
        <w:rPr>
          <w:rFonts w:hAnsi="宋体"/>
          <w:color w:val="auto"/>
          <w:highlight w:val="none"/>
        </w:rPr>
      </w:pPr>
      <w:r>
        <w:rPr>
          <w:rFonts w:hint="eastAsia" w:hAnsi="宋体"/>
          <w:color w:val="auto"/>
          <w:highlight w:val="none"/>
        </w:rPr>
        <w:t>1.对所有通过资格审查的投标供应商的投标文件进行初步审查，审查、评价投标文件是否符合招标文件的商务、技术、服务等实质性要求。</w:t>
      </w:r>
    </w:p>
    <w:p w14:paraId="2A7387CF">
      <w:pPr>
        <w:pStyle w:val="26"/>
        <w:snapToGrid w:val="0"/>
        <w:spacing w:beforeLines="0" w:afterLines="0" w:line="360" w:lineRule="auto"/>
        <w:ind w:firstLine="470" w:firstLineChars="196"/>
        <w:rPr>
          <w:rFonts w:hAnsi="宋体"/>
          <w:color w:val="auto"/>
          <w:highlight w:val="none"/>
        </w:rPr>
      </w:pPr>
      <w:r>
        <w:rPr>
          <w:rFonts w:hint="eastAsia" w:hAnsi="宋体"/>
          <w:color w:val="auto"/>
          <w:highlight w:val="none"/>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2D2DEA1D">
      <w:pPr>
        <w:pStyle w:val="26"/>
        <w:snapToGrid w:val="0"/>
        <w:spacing w:beforeLines="0" w:afterLines="0" w:line="360" w:lineRule="auto"/>
        <w:ind w:firstLine="470" w:firstLineChars="196"/>
        <w:rPr>
          <w:rFonts w:hAnsi="宋体"/>
          <w:color w:val="auto"/>
          <w:highlight w:val="none"/>
        </w:rPr>
      </w:pPr>
      <w:r>
        <w:rPr>
          <w:rFonts w:hint="eastAsia" w:hAnsi="宋体"/>
          <w:color w:val="auto"/>
          <w:highlight w:val="none"/>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557B332D">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14:paraId="72671A9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874EDF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8DB3E4E">
      <w:pPr>
        <w:snapToGrid w:val="0"/>
        <w:spacing w:line="360" w:lineRule="auto"/>
        <w:ind w:firstLine="482" w:firstLineChars="200"/>
        <w:rPr>
          <w:b/>
          <w:color w:val="auto"/>
          <w:sz w:val="24"/>
          <w:highlight w:val="none"/>
        </w:rPr>
      </w:pPr>
      <w:r>
        <w:rPr>
          <w:b/>
          <w:color w:val="auto"/>
          <w:sz w:val="24"/>
          <w:highlight w:val="none"/>
        </w:rPr>
        <w:t>（五）错误修正</w:t>
      </w:r>
    </w:p>
    <w:p w14:paraId="4DF21B1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投标文件如果出现计算或表达上的错误，修正错误的原则如下：</w:t>
      </w:r>
    </w:p>
    <w:p w14:paraId="5C070D23">
      <w:pPr>
        <w:snapToGrid w:val="0"/>
        <w:spacing w:line="360" w:lineRule="auto"/>
        <w:ind w:firstLine="480" w:firstLineChars="200"/>
        <w:rPr>
          <w:rFonts w:ascii="宋体" w:hAnsi="宋体" w:cs="Arial"/>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.开标一览表总价与投标报价明细表汇总数不一致的，</w:t>
      </w:r>
      <w:r>
        <w:rPr>
          <w:rFonts w:hint="eastAsia" w:ascii="宋体" w:hAnsi="宋体" w:cs="Arial"/>
          <w:color w:val="auto"/>
          <w:kern w:val="0"/>
          <w:sz w:val="24"/>
          <w:highlight w:val="none"/>
        </w:rPr>
        <w:t>以开标一览表为准；</w:t>
      </w:r>
    </w:p>
    <w:p w14:paraId="158FDD3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投标文件的大写金额和小写金额不一致的，以大写金额为准；</w:t>
      </w:r>
    </w:p>
    <w:p w14:paraId="4B27721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总价金额与按单价汇总金额不一致的，以单价金额计算结果为准；</w:t>
      </w:r>
    </w:p>
    <w:p w14:paraId="4350724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对不同文字文本投标文件的解释发生异议的，以中文文本为准。</w:t>
      </w:r>
    </w:p>
    <w:p w14:paraId="003E2302">
      <w:pPr>
        <w:pStyle w:val="26"/>
        <w:snapToGrid w:val="0"/>
        <w:spacing w:beforeLines="0" w:afterLines="0" w:line="360" w:lineRule="auto"/>
        <w:ind w:firstLine="482" w:firstLineChars="200"/>
        <w:rPr>
          <w:rFonts w:hAnsi="宋体"/>
          <w:b/>
          <w:bCs/>
          <w:color w:val="auto"/>
          <w:highlight w:val="none"/>
        </w:rPr>
      </w:pPr>
      <w:r>
        <w:rPr>
          <w:rFonts w:hAnsi="宋体"/>
          <w:b/>
          <w:bCs/>
          <w:color w:val="auto"/>
          <w:highlight w:val="none"/>
        </w:rPr>
        <w:t>按上述修正错误的原则及方法调整或修正投标文件的投标报价，投标人同意</w:t>
      </w:r>
      <w:r>
        <w:rPr>
          <w:rFonts w:hint="eastAsia" w:hAnsi="宋体"/>
          <w:b/>
          <w:bCs/>
          <w:color w:val="auto"/>
          <w:highlight w:val="none"/>
        </w:rPr>
        <w:t>并签字确认</w:t>
      </w:r>
      <w:r>
        <w:rPr>
          <w:rFonts w:hAnsi="宋体"/>
          <w:b/>
          <w:bCs/>
          <w:color w:val="auto"/>
          <w:highlight w:val="none"/>
        </w:rPr>
        <w:t>后，调整后的投标报价对投标人具有约束作用。如果投标人不接受修正后的报价，则其投标将</w:t>
      </w:r>
      <w:r>
        <w:rPr>
          <w:rFonts w:hint="eastAsia" w:hAnsi="宋体"/>
          <w:b/>
          <w:bCs/>
          <w:color w:val="auto"/>
          <w:highlight w:val="none"/>
        </w:rPr>
        <w:t>作为无效投标处理</w:t>
      </w:r>
      <w:r>
        <w:rPr>
          <w:rFonts w:hAnsi="宋体"/>
          <w:b/>
          <w:bCs/>
          <w:color w:val="auto"/>
          <w:highlight w:val="none"/>
        </w:rPr>
        <w:t>。</w:t>
      </w:r>
    </w:p>
    <w:p w14:paraId="6AD1C330">
      <w:pPr>
        <w:pStyle w:val="26"/>
        <w:tabs>
          <w:tab w:val="left" w:pos="630"/>
        </w:tabs>
        <w:snapToGrid w:val="0"/>
        <w:spacing w:beforeLines="0" w:afterLines="0" w:line="360" w:lineRule="auto"/>
        <w:ind w:firstLine="472" w:firstLineChars="196"/>
        <w:rPr>
          <w:rFonts w:hAnsi="宋体"/>
          <w:b/>
          <w:color w:val="auto"/>
          <w:highlight w:val="none"/>
        </w:rPr>
      </w:pPr>
      <w:r>
        <w:rPr>
          <w:rFonts w:hAnsi="宋体"/>
          <w:b/>
          <w:color w:val="auto"/>
          <w:highlight w:val="none"/>
        </w:rPr>
        <w:t>（六）评标原则和评标办法</w:t>
      </w:r>
    </w:p>
    <w:p w14:paraId="0C3A02E0">
      <w:pPr>
        <w:pStyle w:val="26"/>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88D0599">
      <w:pPr>
        <w:pStyle w:val="26"/>
        <w:snapToGrid w:val="0"/>
        <w:spacing w:beforeLines="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评标办法。本项目评标办法是本项目采取综合评分法，具体评标内容及评分标准等详见《第四章：评标办法及评分标准》。</w:t>
      </w:r>
    </w:p>
    <w:p w14:paraId="451C773A">
      <w:pPr>
        <w:pStyle w:val="26"/>
        <w:snapToGrid w:val="0"/>
        <w:spacing w:beforeLines="0" w:afterLines="0" w:line="360" w:lineRule="auto"/>
        <w:ind w:firstLine="482" w:firstLineChars="200"/>
        <w:rPr>
          <w:rFonts w:hAnsi="宋体"/>
          <w:b/>
          <w:color w:val="auto"/>
          <w:highlight w:val="none"/>
        </w:rPr>
      </w:pPr>
      <w:r>
        <w:rPr>
          <w:rFonts w:hint="eastAsia" w:hAnsi="宋体"/>
          <w:b/>
          <w:color w:val="auto"/>
          <w:highlight w:val="none"/>
        </w:rPr>
        <w:t>（七）废标</w:t>
      </w:r>
    </w:p>
    <w:p w14:paraId="7016D232">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在采购中，出现下列情形之一的，应予废标：</w:t>
      </w:r>
    </w:p>
    <w:p w14:paraId="368AB81C">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1.符合专业条件的供应商或者对招标文件作实质响应的供应商不足3家的；</w:t>
      </w:r>
    </w:p>
    <w:p w14:paraId="02C5CC0A">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2.出现影响采购公正的违法、违规行为的；</w:t>
      </w:r>
    </w:p>
    <w:p w14:paraId="79314225">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3.报价均超过最高限价，不能支付的；</w:t>
      </w:r>
    </w:p>
    <w:p w14:paraId="71C36D37">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4.因重大变故，采购任务取消的。</w:t>
      </w:r>
    </w:p>
    <w:p w14:paraId="7141DDC6">
      <w:pPr>
        <w:pStyle w:val="26"/>
        <w:snapToGrid w:val="0"/>
        <w:spacing w:beforeLines="0" w:afterLines="0" w:line="360" w:lineRule="auto"/>
        <w:ind w:firstLine="482" w:firstLineChars="200"/>
        <w:rPr>
          <w:rFonts w:hAnsi="宋体"/>
          <w:b/>
          <w:color w:val="auto"/>
          <w:highlight w:val="none"/>
        </w:rPr>
      </w:pPr>
      <w:r>
        <w:rPr>
          <w:rFonts w:hint="eastAsia" w:hAnsi="宋体"/>
          <w:b/>
          <w:color w:val="auto"/>
          <w:highlight w:val="none"/>
        </w:rPr>
        <w:t>（八）可中止电子交易活动的情形</w:t>
      </w:r>
    </w:p>
    <w:p w14:paraId="06E5EC72">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采购过程中出现以下情形，导致电子交易平台无法正常运行，或者无法保证电子交易的公平、公正和安全时，采购组织机构可中止电子交易活动：</w:t>
      </w:r>
    </w:p>
    <w:p w14:paraId="3DAC7A1A">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1、电子交易平台发生故障而无法登录访问的；</w:t>
      </w:r>
    </w:p>
    <w:p w14:paraId="1CD50320">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2、电子交易平台应用或数据库出现错误，不能进行正常操作的；</w:t>
      </w:r>
    </w:p>
    <w:p w14:paraId="32E5A7A3">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3、电子交易平台发现严重安全漏洞，有潜在泄密危险的；</w:t>
      </w:r>
    </w:p>
    <w:p w14:paraId="2F5CD6DB">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4、病毒发作导致不能进行正常操作的；</w:t>
      </w:r>
    </w:p>
    <w:p w14:paraId="17AB63B5">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5、其他无法保证电子交易的公平、公正和安全的情况。</w:t>
      </w:r>
    </w:p>
    <w:p w14:paraId="251CC98F">
      <w:pPr>
        <w:pStyle w:val="26"/>
        <w:snapToGrid w:val="0"/>
        <w:spacing w:beforeLines="0" w:afterLines="0" w:line="360" w:lineRule="auto"/>
        <w:ind w:firstLine="480" w:firstLineChars="200"/>
        <w:rPr>
          <w:rFonts w:hAnsi="宋体"/>
          <w:color w:val="auto"/>
          <w:highlight w:val="none"/>
        </w:rPr>
      </w:pPr>
      <w:r>
        <w:rPr>
          <w:rFonts w:hint="eastAsia" w:hAnsi="宋体"/>
          <w:color w:val="auto"/>
          <w:highlight w:val="none"/>
        </w:rPr>
        <w:t>出现前款规定情形，不影响采购公平、公正性的，采购组织机构可以待上述情形消除后继续组织电子交易活动；影响或可能影响采购公平、公正性的，应当重新采购。</w:t>
      </w:r>
    </w:p>
    <w:p w14:paraId="5C6D2C45">
      <w:pPr>
        <w:pStyle w:val="26"/>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六、定标</w:t>
      </w:r>
    </w:p>
    <w:p w14:paraId="63482B2E">
      <w:pPr>
        <w:pStyle w:val="26"/>
        <w:snapToGrid w:val="0"/>
        <w:spacing w:beforeLines="0" w:afterLines="0" w:line="360" w:lineRule="auto"/>
        <w:ind w:firstLine="472" w:firstLineChars="196"/>
        <w:rPr>
          <w:b/>
          <w:bCs/>
          <w:color w:val="auto"/>
          <w:highlight w:val="none"/>
        </w:rPr>
      </w:pPr>
      <w:r>
        <w:rPr>
          <w:rFonts w:hint="eastAsia"/>
          <w:b/>
          <w:bCs/>
          <w:color w:val="auto"/>
          <w:highlight w:val="none"/>
        </w:rPr>
        <w:t>（一）确定中标人。</w:t>
      </w:r>
      <w:r>
        <w:rPr>
          <w:rFonts w:hint="eastAsia" w:hAnsi="宋体"/>
          <w:b/>
          <w:color w:val="auto"/>
          <w:highlight w:val="none"/>
        </w:rPr>
        <w:t>本项目由采购人授权评标委员会确定中标人。</w:t>
      </w:r>
    </w:p>
    <w:p w14:paraId="62AD74ED">
      <w:pPr>
        <w:pStyle w:val="26"/>
        <w:snapToGrid w:val="0"/>
        <w:spacing w:beforeLines="0" w:afterLines="0" w:line="360" w:lineRule="auto"/>
        <w:ind w:firstLine="470" w:firstLineChars="196"/>
        <w:rPr>
          <w:color w:val="auto"/>
          <w:highlight w:val="none"/>
        </w:rPr>
      </w:pPr>
      <w:r>
        <w:rPr>
          <w:rFonts w:hint="eastAsia"/>
          <w:color w:val="auto"/>
          <w:highlight w:val="none"/>
        </w:rPr>
        <w:t>1.采购人在收到评标报告后五个工作日内，依法确认中标供应商。</w:t>
      </w:r>
    </w:p>
    <w:p w14:paraId="336B938C">
      <w:pPr>
        <w:pStyle w:val="26"/>
        <w:snapToGrid w:val="0"/>
        <w:spacing w:beforeLines="0" w:afterLines="0" w:line="360" w:lineRule="auto"/>
        <w:ind w:firstLine="470" w:firstLineChars="196"/>
        <w:rPr>
          <w:color w:val="auto"/>
          <w:highlight w:val="none"/>
        </w:rPr>
      </w:pPr>
      <w:r>
        <w:rPr>
          <w:rFonts w:hint="eastAsia"/>
          <w:color w:val="auto"/>
          <w:highlight w:val="none"/>
        </w:rPr>
        <w:t>2.中标供应商确定后，中标结果在财政部门指定的政府采购信息发布媒体上公告。</w:t>
      </w:r>
    </w:p>
    <w:p w14:paraId="41082778">
      <w:pPr>
        <w:pStyle w:val="26"/>
        <w:snapToGrid w:val="0"/>
        <w:spacing w:beforeLines="0" w:afterLines="0" w:line="360" w:lineRule="auto"/>
        <w:ind w:firstLine="470" w:firstLineChars="196"/>
        <w:rPr>
          <w:color w:val="auto"/>
          <w:highlight w:val="none"/>
        </w:rPr>
      </w:pPr>
      <w:r>
        <w:rPr>
          <w:rFonts w:hint="eastAsia"/>
          <w:color w:val="auto"/>
          <w:highlight w:val="none"/>
        </w:rPr>
        <w:t>3.在发布公告的同时，招标采购单位向中标供应商发出中标通知书，中标通知书对采购人和中标供应商具有同等法律效力。</w:t>
      </w:r>
    </w:p>
    <w:p w14:paraId="70DEF69D">
      <w:pPr>
        <w:pStyle w:val="26"/>
        <w:snapToGrid w:val="0"/>
        <w:spacing w:beforeLines="0" w:afterLines="0" w:line="360" w:lineRule="auto"/>
        <w:ind w:firstLine="472" w:firstLineChars="196"/>
        <w:rPr>
          <w:b/>
          <w:color w:val="auto"/>
          <w:highlight w:val="none"/>
        </w:rPr>
      </w:pPr>
      <w:r>
        <w:rPr>
          <w:rFonts w:hint="eastAsia"/>
          <w:b/>
          <w:color w:val="auto"/>
          <w:highlight w:val="none"/>
        </w:rPr>
        <w:t>4根据浙江省财政厅《</w:t>
      </w:r>
      <w:r>
        <w:rPr>
          <w:b/>
          <w:color w:val="auto"/>
          <w:highlight w:val="none"/>
        </w:rPr>
        <w:t>关于印发浙江省政府采购供应商注册及诚信管理暂行办法的通知</w:t>
      </w:r>
      <w:r>
        <w:rPr>
          <w:rFonts w:hint="eastAsia"/>
          <w:b/>
          <w:color w:val="auto"/>
          <w:highlight w:val="none"/>
        </w:rPr>
        <w:t>》[</w:t>
      </w:r>
      <w:r>
        <w:rPr>
          <w:b/>
          <w:color w:val="auto"/>
          <w:highlight w:val="none"/>
        </w:rPr>
        <w:t>浙财采监字〔2009〕28号</w:t>
      </w:r>
      <w:r>
        <w:rPr>
          <w:rFonts w:hint="eastAsia"/>
          <w:b/>
          <w:color w:val="auto"/>
          <w:highlight w:val="none"/>
        </w:rPr>
        <w:t>]精神，中标供应商在领取中标通知书前，必须在《浙江政府采购网》上完成供应商的注册工作，经初审、终审及公示后方可正式领取中标通知书。</w:t>
      </w:r>
    </w:p>
    <w:p w14:paraId="34A7E4F0">
      <w:pPr>
        <w:pStyle w:val="26"/>
        <w:snapToGrid w:val="0"/>
        <w:spacing w:beforeLines="0" w:afterLines="0" w:line="360" w:lineRule="auto"/>
        <w:ind w:firstLine="472" w:firstLineChars="196"/>
        <w:rPr>
          <w:rFonts w:hAnsi="宋体"/>
          <w:color w:val="auto"/>
          <w:highlight w:val="none"/>
        </w:rPr>
      </w:pPr>
      <w:r>
        <w:rPr>
          <w:rFonts w:hint="eastAsia"/>
          <w:b/>
          <w:color w:val="auto"/>
          <w:highlight w:val="none"/>
        </w:rPr>
        <w:t>5.</w:t>
      </w:r>
      <w:r>
        <w:rPr>
          <w:rFonts w:hint="eastAsia" w:hAnsi="宋体"/>
          <w:color w:val="auto"/>
          <w:highlight w:val="none"/>
        </w:rPr>
        <w:t>中标通知书发出后，采购人改变中标结果，或者中标供应商放弃中标，应当承担相应的法律责任。</w:t>
      </w:r>
    </w:p>
    <w:p w14:paraId="2806A76D">
      <w:pPr>
        <w:pStyle w:val="26"/>
        <w:snapToGrid w:val="0"/>
        <w:spacing w:beforeLines="0" w:afterLines="0" w:line="360" w:lineRule="auto"/>
        <w:ind w:firstLine="472" w:firstLineChars="196"/>
        <w:rPr>
          <w:rFonts w:hAnsi="宋体"/>
          <w:b/>
          <w:color w:val="auto"/>
          <w:highlight w:val="none"/>
        </w:rPr>
      </w:pPr>
      <w:r>
        <w:rPr>
          <w:rFonts w:hint="eastAsia" w:hAnsi="宋体"/>
          <w:b/>
          <w:color w:val="auto"/>
          <w:highlight w:val="none"/>
        </w:rPr>
        <w:t>（二）中标通知书</w:t>
      </w:r>
    </w:p>
    <w:p w14:paraId="2251CB14">
      <w:pPr>
        <w:pStyle w:val="26"/>
        <w:snapToGrid w:val="0"/>
        <w:spacing w:beforeLines="0" w:afterLines="0" w:line="360" w:lineRule="auto"/>
        <w:ind w:firstLine="470" w:firstLineChars="196"/>
        <w:rPr>
          <w:color w:val="auto"/>
          <w:highlight w:val="none"/>
        </w:rPr>
      </w:pPr>
      <w:r>
        <w:rPr>
          <w:rFonts w:hint="eastAsia"/>
          <w:color w:val="auto"/>
          <w:highlight w:val="none"/>
        </w:rPr>
        <w:t>1.确定中标供应商后，招标采购单位将以书面形式发出中标通知书，通知中标的投标人其投标被接受。</w:t>
      </w:r>
    </w:p>
    <w:p w14:paraId="36E886DF">
      <w:pPr>
        <w:pStyle w:val="26"/>
        <w:snapToGrid w:val="0"/>
        <w:spacing w:beforeLines="0" w:afterLines="0" w:line="360" w:lineRule="auto"/>
        <w:ind w:firstLine="470" w:firstLineChars="196"/>
        <w:rPr>
          <w:color w:val="auto"/>
          <w:highlight w:val="none"/>
        </w:rPr>
      </w:pPr>
      <w:r>
        <w:rPr>
          <w:rFonts w:hint="eastAsia"/>
          <w:color w:val="auto"/>
          <w:highlight w:val="none"/>
        </w:rPr>
        <w:t>2.中标通知书为双方签订合同的依据。</w:t>
      </w:r>
    </w:p>
    <w:p w14:paraId="118AF33B">
      <w:pPr>
        <w:pStyle w:val="26"/>
        <w:snapToGrid w:val="0"/>
        <w:spacing w:beforeLines="0" w:afterLines="0" w:line="360" w:lineRule="auto"/>
        <w:ind w:firstLine="470" w:firstLineChars="196"/>
        <w:rPr>
          <w:color w:val="auto"/>
          <w:highlight w:val="none"/>
        </w:rPr>
      </w:pPr>
      <w:r>
        <w:rPr>
          <w:rFonts w:hint="eastAsia"/>
          <w:color w:val="auto"/>
          <w:highlight w:val="none"/>
        </w:rPr>
        <w:t>3.中标供应商应根据中标通知书中规定的时间内，由法定代表人或其授权代理人与采购人签订合同。</w:t>
      </w:r>
    </w:p>
    <w:p w14:paraId="1AA1C639">
      <w:pPr>
        <w:pStyle w:val="26"/>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七、合同授予</w:t>
      </w:r>
    </w:p>
    <w:p w14:paraId="4B3E3D7E">
      <w:pPr>
        <w:snapToGrid w:val="0"/>
        <w:spacing w:line="360" w:lineRule="auto"/>
        <w:ind w:firstLine="472" w:firstLineChars="196"/>
        <w:rPr>
          <w:rFonts w:ascii="宋体" w:hAnsi="宋体"/>
          <w:b/>
          <w:bCs/>
          <w:color w:val="auto"/>
          <w:sz w:val="24"/>
          <w:szCs w:val="20"/>
          <w:highlight w:val="none"/>
        </w:rPr>
      </w:pPr>
      <w:r>
        <w:rPr>
          <w:rFonts w:hint="eastAsia" w:ascii="宋体" w:hAnsi="宋体"/>
          <w:b/>
          <w:bCs/>
          <w:color w:val="auto"/>
          <w:sz w:val="24"/>
          <w:highlight w:val="none"/>
        </w:rPr>
        <w:t>（一）签订合同</w:t>
      </w:r>
    </w:p>
    <w:p w14:paraId="2DC9DAE0">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》发出之日起30日内签订政府采购合同。同时，采购代理机构对合同内容进行审查，如发现与采购结果和投标承诺内容不一致的，应予以纠正。</w:t>
      </w:r>
    </w:p>
    <w:p w14:paraId="33DE7D8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中标人拖延、拒签合同的,将被取消中标资格。</w:t>
      </w:r>
    </w:p>
    <w:p w14:paraId="79822F5B">
      <w:pPr>
        <w:pStyle w:val="26"/>
        <w:snapToGrid w:val="0"/>
        <w:spacing w:beforeLines="0" w:afterLines="0" w:line="360" w:lineRule="auto"/>
        <w:ind w:firstLine="472" w:firstLineChars="196"/>
        <w:rPr>
          <w:rFonts w:hAnsi="宋体"/>
          <w:b/>
          <w:color w:val="auto"/>
          <w:highlight w:val="none"/>
        </w:rPr>
      </w:pPr>
      <w:r>
        <w:rPr>
          <w:rFonts w:hAnsi="宋体"/>
          <w:b/>
          <w:color w:val="auto"/>
          <w:highlight w:val="none"/>
        </w:rPr>
        <w:t>（二）履约保证金</w:t>
      </w:r>
    </w:p>
    <w:p w14:paraId="125FA04F">
      <w:pPr>
        <w:pStyle w:val="26"/>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签订合同前，中标人应按采购代理机构根据招标文件确定的履约保证金的金额，向采购</w:t>
      </w:r>
      <w:r>
        <w:rPr>
          <w:rFonts w:hint="eastAsia" w:hAnsi="宋体"/>
          <w:color w:val="auto"/>
          <w:highlight w:val="none"/>
        </w:rPr>
        <w:t>人</w:t>
      </w:r>
      <w:r>
        <w:rPr>
          <w:rFonts w:hAnsi="宋体"/>
          <w:color w:val="auto"/>
          <w:highlight w:val="none"/>
        </w:rPr>
        <w:t>交纳履约保证金。</w:t>
      </w:r>
    </w:p>
    <w:p w14:paraId="7995C00D">
      <w:pPr>
        <w:pStyle w:val="26"/>
        <w:snapToGrid w:val="0"/>
        <w:spacing w:beforeLines="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签订合同后，如中标人不按双方合同约定履约，则没收其全部履约保证金，履约保证金不足以赔偿损失的，按实际损失赔偿。</w:t>
      </w:r>
    </w:p>
    <w:p w14:paraId="00F5AC43">
      <w:pPr>
        <w:pStyle w:val="26"/>
        <w:snapToGrid w:val="0"/>
        <w:spacing w:beforeLines="0" w:afterLines="0" w:line="360" w:lineRule="auto"/>
        <w:ind w:firstLine="470" w:firstLineChars="196"/>
        <w:outlineLvl w:val="1"/>
        <w:rPr>
          <w:rFonts w:hAnsi="宋体" w:cs="宋体"/>
          <w:bCs/>
          <w:color w:val="auto"/>
          <w:highlight w:val="none"/>
        </w:rPr>
      </w:pPr>
      <w:r>
        <w:rPr>
          <w:rFonts w:hAnsi="宋体"/>
          <w:color w:val="auto"/>
          <w:highlight w:val="none"/>
        </w:rPr>
        <w:t>3</w:t>
      </w:r>
      <w:r>
        <w:rPr>
          <w:rFonts w:hint="eastAsia" w:hAnsi="宋体"/>
          <w:color w:val="auto"/>
          <w:highlight w:val="none"/>
        </w:rPr>
        <w:t>.本项目的履约保证金</w:t>
      </w:r>
      <w:r>
        <w:rPr>
          <w:rFonts w:hint="eastAsia" w:hAnsi="宋体" w:cs="宋体"/>
          <w:bCs/>
          <w:color w:val="auto"/>
          <w:highlight w:val="none"/>
        </w:rPr>
        <w:t>按合同金额的1%计收</w:t>
      </w:r>
      <w:r>
        <w:rPr>
          <w:rFonts w:hint="eastAsia" w:hAnsi="宋体"/>
          <w:color w:val="auto"/>
          <w:highlight w:val="none"/>
        </w:rPr>
        <w:t>；履约保证金形式为：银行转账或银行、保险公司出具的保函</w:t>
      </w:r>
      <w:r>
        <w:rPr>
          <w:rFonts w:hint="eastAsia" w:hAnsi="宋体" w:cs="宋体"/>
          <w:bCs/>
          <w:color w:val="auto"/>
          <w:highlight w:val="none"/>
        </w:rPr>
        <w:t>。在承包期满后30天内退还（不计息）。如承包期内，在承包期内如因中标人原因造成采购人财产损失的，采购人有权在履约保证金中扣除。</w:t>
      </w:r>
    </w:p>
    <w:p w14:paraId="6BDE2B6D">
      <w:pPr>
        <w:pStyle w:val="26"/>
        <w:snapToGrid w:val="0"/>
        <w:spacing w:beforeLines="0" w:afterLines="0" w:line="360" w:lineRule="auto"/>
        <w:ind w:firstLine="562" w:firstLineChars="200"/>
        <w:rPr>
          <w:rFonts w:hAnsi="宋体"/>
          <w:b/>
          <w:color w:val="auto"/>
          <w:sz w:val="28"/>
          <w:szCs w:val="28"/>
          <w:highlight w:val="none"/>
        </w:rPr>
      </w:pPr>
      <w:r>
        <w:rPr>
          <w:rFonts w:hint="eastAsia" w:hAnsi="宋体"/>
          <w:b/>
          <w:color w:val="auto"/>
          <w:sz w:val="28"/>
          <w:szCs w:val="28"/>
          <w:highlight w:val="none"/>
        </w:rPr>
        <w:t>(三)其他</w:t>
      </w:r>
    </w:p>
    <w:p w14:paraId="4534F16E">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供应商有下列情形之一的，自愿接受取消投标资格；如已中标的，自动放弃中标资格，并承担全部法律责任；给采购人造成损失的，依法承担赔偿责任：</w:t>
      </w:r>
    </w:p>
    <w:p w14:paraId="1B1EDF81">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（1）供应商在投标有效期内撤回投标文件的；</w:t>
      </w:r>
    </w:p>
    <w:p w14:paraId="0A7129D7">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（2）供应商在投标过程中弄虚作假，提供虚假材料的；</w:t>
      </w:r>
    </w:p>
    <w:p w14:paraId="325EC5A5">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（3）中标供应商无正当理由不与采购人签订合同的；</w:t>
      </w:r>
    </w:p>
    <w:p w14:paraId="78D108A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（4）将中标项目转让给他人或者在投标文件中未说明且未经招标采购人同意，将中标项目分包给他人的；</w:t>
      </w:r>
    </w:p>
    <w:p w14:paraId="0646EED4">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（5）拒绝履行合同义务的；</w:t>
      </w:r>
    </w:p>
    <w:p w14:paraId="6A44F8F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（6）其他严重扰乱招投标程序的。</w:t>
      </w:r>
    </w:p>
    <w:p w14:paraId="73109756">
      <w:pPr>
        <w:snapToGrid w:val="0"/>
        <w:spacing w:line="360" w:lineRule="auto"/>
        <w:ind w:firstLine="470" w:firstLineChars="196"/>
        <w:rPr>
          <w:rFonts w:ascii="宋体" w:hAnsi="宋体"/>
          <w:color w:val="auto"/>
          <w:sz w:val="24"/>
          <w:highlight w:val="none"/>
        </w:rPr>
      </w:pPr>
    </w:p>
    <w:p w14:paraId="26744540">
      <w:pPr>
        <w:pStyle w:val="26"/>
        <w:snapToGrid w:val="0"/>
        <w:spacing w:beforeLines="0" w:afterLines="0"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第四章评标办法及评分标准</w:t>
      </w:r>
    </w:p>
    <w:p w14:paraId="55916E75">
      <w:pPr>
        <w:spacing w:line="360" w:lineRule="auto"/>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为公正、公平、科学地选择中标人，根据《中华人民共和国政府采购法》等有关法律法规的规定和《</w:t>
      </w:r>
      <w:r>
        <w:rPr>
          <w:rFonts w:hint="eastAsia"/>
          <w:color w:val="auto"/>
          <w:sz w:val="24"/>
          <w:highlight w:val="none"/>
        </w:rPr>
        <w:t>湖州南太湖新区市本级移交道路绿化养护补植项目（2025-2027年度）采购文件</w:t>
      </w:r>
      <w:r>
        <w:rPr>
          <w:rFonts w:hint="eastAsia" w:ascii="宋体" w:hAnsi="宋体"/>
          <w:color w:val="auto"/>
          <w:sz w:val="24"/>
          <w:highlight w:val="none"/>
        </w:rPr>
        <w:t>》规定，并结合本项目的实际，制定本办法。</w:t>
      </w:r>
    </w:p>
    <w:p w14:paraId="47475FE9">
      <w:pPr>
        <w:spacing w:line="360" w:lineRule="auto"/>
        <w:ind w:firstLine="420"/>
        <w:rPr>
          <w:rFonts w:ascii="宋体" w:hAnsi="宋体"/>
          <w:bCs/>
          <w:color w:val="auto"/>
          <w:sz w:val="24"/>
          <w:szCs w:val="48"/>
          <w:highlight w:val="none"/>
        </w:rPr>
      </w:pPr>
      <w:r>
        <w:rPr>
          <w:rFonts w:hint="eastAsia" w:ascii="宋体" w:hAnsi="宋体"/>
          <w:color w:val="auto"/>
          <w:sz w:val="24"/>
          <w:highlight w:val="none"/>
        </w:rPr>
        <w:t>本办法适用于</w:t>
      </w:r>
      <w:r>
        <w:rPr>
          <w:rFonts w:hint="eastAsia" w:asciiTheme="majorEastAsia" w:hAnsiTheme="majorEastAsia" w:eastAsiaTheme="majorEastAsia"/>
          <w:b/>
          <w:color w:val="auto"/>
          <w:sz w:val="24"/>
          <w:highlight w:val="none"/>
        </w:rPr>
        <w:t>湖州南太湖新区市本级移交道路绿化养护补植项目（2025-2027年度）</w:t>
      </w:r>
      <w:r>
        <w:rPr>
          <w:rFonts w:hint="eastAsia" w:asciiTheme="majorEastAsia" w:hAnsiTheme="majorEastAsia" w:eastAsiaTheme="majorEastAsia"/>
          <w:bCs/>
          <w:color w:val="auto"/>
          <w:sz w:val="24"/>
          <w:szCs w:val="48"/>
          <w:highlight w:val="none"/>
        </w:rPr>
        <w:t>的评标</w:t>
      </w:r>
      <w:r>
        <w:rPr>
          <w:rFonts w:hint="eastAsia" w:ascii="宋体" w:hAnsi="宋体"/>
          <w:bCs/>
          <w:color w:val="auto"/>
          <w:sz w:val="24"/>
          <w:szCs w:val="48"/>
          <w:highlight w:val="none"/>
        </w:rPr>
        <w:t>。</w:t>
      </w:r>
    </w:p>
    <w:p w14:paraId="18374C95">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14:paraId="1C81A8ED">
      <w:pPr>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总分为100分，包含：价格分（10分）、技术、商务、资信及其他分（90分）</w:t>
      </w:r>
      <w:r>
        <w:rPr>
          <w:rFonts w:hint="eastAsia" w:ascii="宋体" w:hAnsi="宋体"/>
          <w:color w:val="auto"/>
          <w:sz w:val="24"/>
          <w:highlight w:val="none"/>
        </w:rPr>
        <w:t>。合格投标人的评标得分为各项目汇总得分，按评标得分由高到低顺序排列，得分相同的，按投标报价由低到高顺序排列；得分且投标报价相同的，按技术得分由高到低顺序排列。本项目由采购人授权评标委员会直接确定中标人。</w:t>
      </w:r>
      <w:r>
        <w:rPr>
          <w:rFonts w:hint="eastAsia" w:ascii="宋体" w:hAnsi="宋体"/>
          <w:bCs/>
          <w:color w:val="auto"/>
          <w:sz w:val="24"/>
          <w:highlight w:val="none"/>
        </w:rPr>
        <w:t>评分过程中采用四舍五入法，并保留小数2位。</w:t>
      </w:r>
    </w:p>
    <w:p w14:paraId="353A59CD">
      <w:pPr>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综合得分=价格分+(技术分+商务、资信及其他分)</w:t>
      </w:r>
    </w:p>
    <w:p w14:paraId="1A93CED0">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二、评标内容及标准</w:t>
      </w:r>
    </w:p>
    <w:p w14:paraId="3371C406">
      <w:pPr>
        <w:spacing w:line="360" w:lineRule="auto"/>
        <w:ind w:firstLine="482" w:firstLineChars="200"/>
        <w:rPr>
          <w:rFonts w:asciiTheme="minorEastAsia" w:hAnsiTheme="minorEastAsia" w:cstheme="minorEastAsia"/>
          <w:b/>
          <w:color w:val="auto"/>
          <w:sz w:val="24"/>
          <w:highlight w:val="none"/>
        </w:rPr>
      </w:pPr>
      <w:r>
        <w:rPr>
          <w:rFonts w:hint="eastAsia" w:hAnsi="宋体"/>
          <w:b/>
          <w:color w:val="auto"/>
          <w:sz w:val="24"/>
          <w:highlight w:val="none"/>
        </w:rPr>
        <w:t>（一）价格分</w:t>
      </w:r>
      <w:r>
        <w:rPr>
          <w:rFonts w:hint="eastAsia" w:ascii="宋体" w:hAnsi="宋体" w:eastAsia="宋体" w:cs="宋体"/>
          <w:b/>
          <w:color w:val="auto"/>
          <w:sz w:val="24"/>
          <w:highlight w:val="none"/>
        </w:rPr>
        <w:t>﹝</w:t>
      </w:r>
      <w:r>
        <w:rPr>
          <w:rFonts w:hint="eastAsia" w:hAnsi="宋体"/>
          <w:b/>
          <w:color w:val="auto"/>
          <w:sz w:val="24"/>
          <w:highlight w:val="none"/>
        </w:rPr>
        <w:t>10分，其中绿化养护价格分7分，绿化补植（含草花）价格分3分</w:t>
      </w:r>
      <w:r>
        <w:rPr>
          <w:rFonts w:hint="eastAsia" w:ascii="宋体" w:hAnsi="宋体" w:eastAsia="宋体" w:cs="宋体"/>
          <w:b/>
          <w:color w:val="auto"/>
          <w:sz w:val="24"/>
          <w:highlight w:val="none"/>
        </w:rPr>
        <w:t>﹞</w:t>
      </w:r>
    </w:p>
    <w:p w14:paraId="2E79F871">
      <w:pPr>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价格分采用低价优先法计算，即满足招标文件要求且投标价格最低的投标报价为评标基准价，其他投标人的价格分按照下列公式计算：</w:t>
      </w:r>
    </w:p>
    <w:p w14:paraId="183CCDDC">
      <w:pPr>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绿化养护： [养护（单价报价）元/㎡/年]投标报价得分=（评标基准价/投标报价）</w:t>
      </w:r>
      <w:r>
        <w:rPr>
          <w:rFonts w:hAnsi="宋体"/>
          <w:bCs/>
          <w:color w:val="auto"/>
          <w:sz w:val="24"/>
          <w:szCs w:val="24"/>
          <w:highlight w:val="none"/>
        </w:rPr>
        <w:t>×</w:t>
      </w:r>
      <w:r>
        <w:rPr>
          <w:rFonts w:hint="eastAsia" w:hAnsi="宋体"/>
          <w:bCs/>
          <w:color w:val="auto"/>
          <w:sz w:val="24"/>
          <w:szCs w:val="24"/>
          <w:highlight w:val="none"/>
        </w:rPr>
        <w:t>7%</w:t>
      </w:r>
      <w:r>
        <w:rPr>
          <w:rFonts w:hAnsi="宋体"/>
          <w:bCs/>
          <w:color w:val="auto"/>
          <w:sz w:val="24"/>
          <w:szCs w:val="24"/>
          <w:highlight w:val="none"/>
        </w:rPr>
        <w:t>×</w:t>
      </w:r>
      <w:r>
        <w:rPr>
          <w:rFonts w:hint="eastAsia" w:hAnsi="宋体"/>
          <w:bCs/>
          <w:color w:val="auto"/>
          <w:sz w:val="24"/>
          <w:szCs w:val="24"/>
          <w:highlight w:val="none"/>
        </w:rPr>
        <w:t>100</w:t>
      </w:r>
    </w:p>
    <w:p w14:paraId="6FB23D59">
      <w:pPr>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绿化补植（含草花）： [补植、草花（折扣报价）%]投标报价得分=（评标基准价/投标报价）</w:t>
      </w:r>
      <w:r>
        <w:rPr>
          <w:rFonts w:hAnsi="宋体"/>
          <w:bCs/>
          <w:color w:val="auto"/>
          <w:sz w:val="24"/>
          <w:szCs w:val="24"/>
          <w:highlight w:val="none"/>
        </w:rPr>
        <w:t>×</w:t>
      </w:r>
      <w:r>
        <w:rPr>
          <w:rFonts w:hint="eastAsia" w:hAnsi="宋体"/>
          <w:bCs/>
          <w:color w:val="auto"/>
          <w:sz w:val="24"/>
          <w:szCs w:val="24"/>
          <w:highlight w:val="none"/>
        </w:rPr>
        <w:t>3%</w:t>
      </w:r>
      <w:r>
        <w:rPr>
          <w:rFonts w:hAnsi="宋体"/>
          <w:bCs/>
          <w:color w:val="auto"/>
          <w:sz w:val="24"/>
          <w:szCs w:val="24"/>
          <w:highlight w:val="none"/>
        </w:rPr>
        <w:t>×</w:t>
      </w:r>
      <w:r>
        <w:rPr>
          <w:rFonts w:hint="eastAsia" w:hAnsi="宋体"/>
          <w:bCs/>
          <w:color w:val="auto"/>
          <w:sz w:val="24"/>
          <w:szCs w:val="24"/>
          <w:highlight w:val="none"/>
        </w:rPr>
        <w:t>100</w:t>
      </w:r>
    </w:p>
    <w:p w14:paraId="23E863AA">
      <w:pPr>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价格分=绿化养护投标报价得分+绿化补植（含草花）投标报价得分。</w:t>
      </w:r>
    </w:p>
    <w:p w14:paraId="25442CA1">
      <w:pPr>
        <w:spacing w:before="120" w:beforeLines="50" w:after="120" w:afterLines="50" w:line="400" w:lineRule="exact"/>
        <w:ind w:firstLine="472" w:firstLineChars="196"/>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color w:val="auto"/>
          <w:sz w:val="24"/>
          <w:highlight w:val="none"/>
        </w:rPr>
        <w:t>技术分、</w:t>
      </w:r>
      <w:r>
        <w:rPr>
          <w:rFonts w:hint="eastAsia" w:ascii="宋体" w:hAnsi="宋体"/>
          <w:b/>
          <w:bCs/>
          <w:color w:val="auto"/>
          <w:sz w:val="24"/>
          <w:highlight w:val="none"/>
        </w:rPr>
        <w:t>商务、资信及其他分</w:t>
      </w:r>
      <w:r>
        <w:rPr>
          <w:rFonts w:hint="eastAsia" w:ascii="宋体" w:hAnsi="宋体"/>
          <w:b/>
          <w:color w:val="auto"/>
          <w:sz w:val="24"/>
          <w:highlight w:val="none"/>
        </w:rPr>
        <w:t>（90分）</w:t>
      </w:r>
    </w:p>
    <w:tbl>
      <w:tblPr>
        <w:tblStyle w:val="47"/>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
        <w:gridCol w:w="7240"/>
        <w:gridCol w:w="844"/>
      </w:tblGrid>
      <w:tr w14:paraId="2368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0" w:type="dxa"/>
            <w:vAlign w:val="center"/>
          </w:tcPr>
          <w:p w14:paraId="4370D4FC">
            <w:pPr>
              <w:widowControl/>
              <w:snapToGrid w:val="0"/>
              <w:spacing w:beforeAutospacing="1" w:afterAutospacing="1" w:line="320" w:lineRule="atLeast"/>
              <w:ind w:left="1"/>
              <w:jc w:val="left"/>
              <w:rPr>
                <w:rFonts w:ascii="宋体" w:hAnsi="宋体"/>
                <w:color w:val="auto"/>
                <w:kern w:val="0"/>
                <w:sz w:val="22"/>
                <w:highlight w:val="none"/>
              </w:rPr>
            </w:pPr>
            <w:r>
              <w:rPr>
                <w:rFonts w:hint="eastAsia" w:ascii="宋体" w:hAnsi="宋体"/>
                <w:color w:val="auto"/>
                <w:kern w:val="0"/>
                <w:sz w:val="22"/>
                <w:highlight w:val="none"/>
              </w:rPr>
              <w:t>评定项目</w:t>
            </w:r>
          </w:p>
        </w:tc>
        <w:tc>
          <w:tcPr>
            <w:tcW w:w="7256" w:type="dxa"/>
            <w:gridSpan w:val="2"/>
            <w:vAlign w:val="center"/>
          </w:tcPr>
          <w:p w14:paraId="5AA79FBC">
            <w:pPr>
              <w:widowControl/>
              <w:snapToGrid w:val="0"/>
              <w:spacing w:beforeAutospacing="1" w:afterAutospacing="1" w:line="320" w:lineRule="atLeast"/>
              <w:ind w:left="1"/>
              <w:jc w:val="center"/>
              <w:rPr>
                <w:rFonts w:ascii="宋体" w:hAnsi="宋体"/>
                <w:color w:val="auto"/>
                <w:kern w:val="0"/>
                <w:sz w:val="22"/>
                <w:highlight w:val="none"/>
              </w:rPr>
            </w:pPr>
            <w:r>
              <w:rPr>
                <w:rFonts w:hint="eastAsia" w:ascii="宋体" w:hAnsi="宋体"/>
                <w:color w:val="auto"/>
                <w:kern w:val="0"/>
                <w:sz w:val="22"/>
                <w:highlight w:val="none"/>
              </w:rPr>
              <w:t>评定内容</w:t>
            </w:r>
          </w:p>
        </w:tc>
        <w:tc>
          <w:tcPr>
            <w:tcW w:w="844" w:type="dxa"/>
            <w:vAlign w:val="center"/>
          </w:tcPr>
          <w:p w14:paraId="6BA7E77B">
            <w:pPr>
              <w:widowControl/>
              <w:snapToGrid w:val="0"/>
              <w:spacing w:beforeAutospacing="1" w:afterAutospacing="1" w:line="320" w:lineRule="atLeast"/>
              <w:ind w:left="1"/>
              <w:jc w:val="left"/>
              <w:rPr>
                <w:rFonts w:ascii="宋体" w:hAnsi="宋体"/>
                <w:color w:val="auto"/>
                <w:kern w:val="0"/>
                <w:sz w:val="22"/>
                <w:highlight w:val="none"/>
              </w:rPr>
            </w:pPr>
            <w:r>
              <w:rPr>
                <w:rFonts w:hint="eastAsia" w:ascii="宋体" w:hAnsi="宋体"/>
                <w:color w:val="auto"/>
                <w:kern w:val="0"/>
                <w:sz w:val="22"/>
                <w:highlight w:val="none"/>
              </w:rPr>
              <w:t>分值范围</w:t>
            </w:r>
          </w:p>
        </w:tc>
      </w:tr>
      <w:tr w14:paraId="6ED7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16" w:type="dxa"/>
            <w:gridSpan w:val="3"/>
            <w:vAlign w:val="center"/>
          </w:tcPr>
          <w:p w14:paraId="7192D625">
            <w:pPr>
              <w:widowControl/>
              <w:snapToGrid w:val="0"/>
              <w:spacing w:beforeAutospacing="1" w:afterAutospacing="1" w:line="320" w:lineRule="atLeast"/>
              <w:ind w:left="1"/>
              <w:jc w:val="center"/>
              <w:rPr>
                <w:rFonts w:ascii="宋体" w:hAnsi="宋体"/>
                <w:color w:val="auto"/>
                <w:kern w:val="0"/>
                <w:sz w:val="22"/>
                <w:highlight w:val="none"/>
              </w:rPr>
            </w:pPr>
            <w:r>
              <w:rPr>
                <w:rFonts w:hint="eastAsia" w:ascii="宋体" w:hAnsi="宋体"/>
                <w:color w:val="auto"/>
                <w:kern w:val="0"/>
                <w:sz w:val="22"/>
                <w:highlight w:val="none"/>
              </w:rPr>
              <w:t>技术部分</w:t>
            </w:r>
          </w:p>
        </w:tc>
        <w:tc>
          <w:tcPr>
            <w:tcW w:w="844" w:type="dxa"/>
            <w:vAlign w:val="center"/>
          </w:tcPr>
          <w:p w14:paraId="292E4347">
            <w:pPr>
              <w:widowControl/>
              <w:snapToGrid w:val="0"/>
              <w:spacing w:beforeAutospacing="1" w:afterAutospacing="1" w:line="320" w:lineRule="atLeast"/>
              <w:ind w:left="1"/>
              <w:jc w:val="left"/>
              <w:rPr>
                <w:rFonts w:ascii="宋体" w:hAnsi="宋体"/>
                <w:color w:val="auto"/>
                <w:kern w:val="0"/>
                <w:sz w:val="22"/>
                <w:highlight w:val="none"/>
              </w:rPr>
            </w:pPr>
            <w:r>
              <w:rPr>
                <w:rFonts w:hint="eastAsia" w:ascii="宋体" w:hAnsi="宋体"/>
                <w:color w:val="auto"/>
                <w:kern w:val="0"/>
                <w:sz w:val="22"/>
                <w:highlight w:val="none"/>
              </w:rPr>
              <w:t>67分</w:t>
            </w:r>
          </w:p>
        </w:tc>
      </w:tr>
      <w:tr w14:paraId="26F1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60" w:type="dxa"/>
            <w:vAlign w:val="center"/>
          </w:tcPr>
          <w:p w14:paraId="654AC775">
            <w:pPr>
              <w:jc w:val="left"/>
              <w:rPr>
                <w:rFonts w:ascii="宋体" w:hAnsi="宋体" w:cs="宋体"/>
                <w:color w:val="auto"/>
                <w:sz w:val="24"/>
                <w:highlight w:val="none"/>
              </w:rPr>
            </w:pPr>
            <w:r>
              <w:rPr>
                <w:rFonts w:hint="eastAsia" w:ascii="宋体" w:hAnsi="宋体" w:cs="宋体"/>
                <w:color w:val="auto"/>
                <w:sz w:val="24"/>
                <w:highlight w:val="none"/>
              </w:rPr>
              <w:t>管理作业方案</w:t>
            </w:r>
          </w:p>
        </w:tc>
        <w:tc>
          <w:tcPr>
            <w:tcW w:w="7256" w:type="dxa"/>
            <w:gridSpan w:val="2"/>
            <w:vAlign w:val="center"/>
          </w:tcPr>
          <w:p w14:paraId="00D2C686">
            <w:pPr>
              <w:tabs>
                <w:tab w:val="left" w:pos="900"/>
              </w:tabs>
              <w:jc w:val="left"/>
              <w:rPr>
                <w:rFonts w:ascii="宋体" w:hAnsi="宋体" w:cs="宋体"/>
                <w:color w:val="auto"/>
                <w:sz w:val="24"/>
                <w:highlight w:val="none"/>
              </w:rPr>
            </w:pPr>
            <w:r>
              <w:rPr>
                <w:rFonts w:hint="eastAsia" w:ascii="宋体" w:hAnsi="宋体" w:cs="仿宋"/>
                <w:color w:val="auto"/>
                <w:sz w:val="24"/>
                <w:highlight w:val="none"/>
              </w:rPr>
              <w:t>1.</w:t>
            </w:r>
            <w:r>
              <w:rPr>
                <w:rFonts w:hint="eastAsia" w:ascii="宋体" w:hAnsi="宋体" w:eastAsia="宋体" w:cs="仿宋"/>
                <w:color w:val="auto"/>
                <w:sz w:val="24"/>
                <w:szCs w:val="24"/>
                <w:highlight w:val="none"/>
              </w:rPr>
              <w:t>绿化养护管理</w:t>
            </w:r>
            <w:r>
              <w:rPr>
                <w:rFonts w:hint="eastAsia" w:ascii="宋体" w:hAnsi="宋体" w:cs="宋体"/>
                <w:color w:val="auto"/>
                <w:sz w:val="24"/>
                <w:highlight w:val="none"/>
              </w:rPr>
              <w:t>方案（5分）， 充分结合本项目长效养护绿地特性，制订全年养护计划，提供养护技术方案、养护控制要点、养护质量保证措施、长效养护管理组织，方案科学、严密、合理，</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p w14:paraId="3116AF30">
            <w:pPr>
              <w:tabs>
                <w:tab w:val="left" w:pos="312"/>
                <w:tab w:val="left" w:pos="900"/>
              </w:tabs>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仿宋"/>
                <w:color w:val="auto"/>
                <w:sz w:val="24"/>
                <w:szCs w:val="24"/>
                <w:highlight w:val="none"/>
              </w:rPr>
              <w:t>草坪日常养护管理</w:t>
            </w:r>
            <w:r>
              <w:rPr>
                <w:rFonts w:hint="eastAsia" w:ascii="宋体" w:hAnsi="宋体" w:cs="宋体"/>
                <w:color w:val="auto"/>
                <w:sz w:val="24"/>
                <w:highlight w:val="none"/>
              </w:rPr>
              <w:t>方案（5分），充分结合本项目中</w:t>
            </w:r>
            <w:r>
              <w:rPr>
                <w:rFonts w:hint="eastAsia" w:ascii="宋体" w:hAnsi="宋体" w:eastAsia="宋体" w:cs="仿宋"/>
                <w:color w:val="auto"/>
                <w:sz w:val="24"/>
                <w:szCs w:val="24"/>
                <w:highlight w:val="none"/>
              </w:rPr>
              <w:t>草坪日常养护</w:t>
            </w:r>
            <w:r>
              <w:rPr>
                <w:rFonts w:hint="eastAsia" w:ascii="宋体" w:hAnsi="宋体" w:cs="宋体"/>
                <w:color w:val="auto"/>
                <w:sz w:val="24"/>
                <w:highlight w:val="none"/>
              </w:rPr>
              <w:t>特点，制订全年养护计划，提供的</w:t>
            </w:r>
            <w:r>
              <w:rPr>
                <w:rFonts w:hint="eastAsia" w:ascii="宋体" w:hAnsi="宋体" w:eastAsia="宋体" w:cs="仿宋"/>
                <w:color w:val="auto"/>
                <w:sz w:val="24"/>
                <w:szCs w:val="24"/>
                <w:highlight w:val="none"/>
              </w:rPr>
              <w:t>草坪日常养护管理</w:t>
            </w:r>
            <w:r>
              <w:rPr>
                <w:rFonts w:hint="eastAsia" w:ascii="宋体" w:hAnsi="宋体" w:cs="宋体"/>
                <w:color w:val="auto"/>
                <w:sz w:val="24"/>
                <w:highlight w:val="none"/>
              </w:rPr>
              <w:t>方案科学、严密、合理的，</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p w14:paraId="4E4B9A3B">
            <w:pPr>
              <w:tabs>
                <w:tab w:val="left" w:pos="312"/>
                <w:tab w:val="left" w:pos="900"/>
              </w:tabs>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仿宋"/>
                <w:color w:val="auto"/>
                <w:sz w:val="24"/>
                <w:szCs w:val="24"/>
                <w:highlight w:val="none"/>
              </w:rPr>
              <w:t>造型树养护管理</w:t>
            </w:r>
            <w:r>
              <w:rPr>
                <w:rFonts w:hint="eastAsia" w:ascii="宋体" w:hAnsi="宋体" w:cs="仿宋"/>
                <w:color w:val="auto"/>
                <w:sz w:val="24"/>
                <w:highlight w:val="none"/>
              </w:rPr>
              <w:t>、</w:t>
            </w:r>
            <w:r>
              <w:rPr>
                <w:rFonts w:hint="eastAsia" w:ascii="宋体" w:hAnsi="宋体" w:eastAsia="宋体" w:cs="仿宋"/>
                <w:color w:val="auto"/>
                <w:sz w:val="24"/>
                <w:szCs w:val="24"/>
                <w:highlight w:val="none"/>
              </w:rPr>
              <w:t>花箱养护</w:t>
            </w:r>
            <w:r>
              <w:rPr>
                <w:rFonts w:hint="eastAsia" w:ascii="宋体" w:hAnsi="宋体" w:cs="宋体"/>
                <w:color w:val="auto"/>
                <w:sz w:val="24"/>
                <w:highlight w:val="none"/>
              </w:rPr>
              <w:t>方案</w:t>
            </w:r>
            <w:r>
              <w:rPr>
                <w:rFonts w:hint="eastAsia" w:ascii="宋体" w:hAnsi="宋体"/>
                <w:color w:val="auto"/>
                <w:sz w:val="24"/>
                <w:highlight w:val="none"/>
              </w:rPr>
              <w:t>(5分)，</w:t>
            </w:r>
            <w:r>
              <w:rPr>
                <w:rFonts w:hint="eastAsia" w:ascii="宋体" w:hAnsi="宋体" w:cs="宋体"/>
                <w:color w:val="auto"/>
                <w:sz w:val="24"/>
                <w:highlight w:val="none"/>
              </w:rPr>
              <w:t>充分结合本项目中</w:t>
            </w:r>
            <w:r>
              <w:rPr>
                <w:rFonts w:hint="eastAsia" w:ascii="宋体" w:hAnsi="宋体" w:eastAsia="宋体" w:cs="仿宋"/>
                <w:color w:val="auto"/>
                <w:sz w:val="24"/>
                <w:szCs w:val="24"/>
                <w:highlight w:val="none"/>
              </w:rPr>
              <w:t>造型树养护管理</w:t>
            </w:r>
            <w:r>
              <w:rPr>
                <w:rFonts w:hint="eastAsia" w:ascii="宋体" w:hAnsi="宋体" w:cs="仿宋"/>
                <w:color w:val="auto"/>
                <w:sz w:val="24"/>
                <w:highlight w:val="none"/>
              </w:rPr>
              <w:t>、</w:t>
            </w:r>
            <w:r>
              <w:rPr>
                <w:rFonts w:hint="eastAsia" w:ascii="宋体" w:hAnsi="宋体" w:eastAsia="宋体" w:cs="仿宋"/>
                <w:color w:val="auto"/>
                <w:sz w:val="24"/>
                <w:szCs w:val="24"/>
                <w:highlight w:val="none"/>
              </w:rPr>
              <w:t>花箱养护</w:t>
            </w:r>
            <w:r>
              <w:rPr>
                <w:rFonts w:hint="eastAsia" w:ascii="宋体" w:hAnsi="宋体" w:cs="宋体"/>
                <w:color w:val="auto"/>
                <w:sz w:val="24"/>
                <w:highlight w:val="none"/>
              </w:rPr>
              <w:t>特点，</w:t>
            </w:r>
            <w:r>
              <w:rPr>
                <w:rFonts w:hint="eastAsia" w:ascii="宋体" w:hAnsi="宋体" w:eastAsia="宋体" w:cs="仿宋"/>
                <w:color w:val="auto"/>
                <w:sz w:val="24"/>
                <w:szCs w:val="24"/>
                <w:highlight w:val="none"/>
              </w:rPr>
              <w:t>造型树养护管理</w:t>
            </w:r>
            <w:r>
              <w:rPr>
                <w:rFonts w:hint="eastAsia" w:ascii="宋体" w:hAnsi="宋体" w:cs="仿宋"/>
                <w:color w:val="auto"/>
                <w:sz w:val="24"/>
                <w:highlight w:val="none"/>
              </w:rPr>
              <w:t>、</w:t>
            </w:r>
            <w:r>
              <w:rPr>
                <w:rFonts w:hint="eastAsia" w:ascii="宋体" w:hAnsi="宋体" w:eastAsia="宋体" w:cs="仿宋"/>
                <w:color w:val="auto"/>
                <w:sz w:val="24"/>
                <w:szCs w:val="24"/>
                <w:highlight w:val="none"/>
              </w:rPr>
              <w:t>花箱养护</w:t>
            </w:r>
            <w:r>
              <w:rPr>
                <w:rFonts w:hint="eastAsia" w:ascii="宋体" w:hAnsi="宋体" w:cs="宋体"/>
                <w:color w:val="auto"/>
                <w:sz w:val="24"/>
                <w:highlight w:val="none"/>
              </w:rPr>
              <w:t>方案科学、严密、合理的，</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p w14:paraId="4568ADF3">
            <w:pPr>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olor w:val="auto"/>
                <w:sz w:val="24"/>
                <w:highlight w:val="none"/>
              </w:rPr>
              <w:t>绿化补植（含草花）</w:t>
            </w:r>
            <w:r>
              <w:rPr>
                <w:rFonts w:hint="eastAsia" w:ascii="宋体" w:hAnsi="宋体" w:cs="宋体"/>
                <w:color w:val="auto"/>
                <w:sz w:val="24"/>
                <w:highlight w:val="none"/>
              </w:rPr>
              <w:t>方案</w:t>
            </w:r>
            <w:r>
              <w:rPr>
                <w:rFonts w:hint="eastAsia" w:ascii="宋体" w:hAnsi="宋体"/>
                <w:color w:val="auto"/>
                <w:sz w:val="24"/>
                <w:highlight w:val="none"/>
              </w:rPr>
              <w:t>(5分)，</w:t>
            </w:r>
            <w:r>
              <w:rPr>
                <w:rFonts w:hint="eastAsia" w:ascii="宋体" w:hAnsi="宋体" w:cs="宋体"/>
                <w:color w:val="auto"/>
                <w:sz w:val="24"/>
                <w:highlight w:val="none"/>
              </w:rPr>
              <w:t>充分结合本项目</w:t>
            </w:r>
            <w:r>
              <w:rPr>
                <w:rFonts w:hint="eastAsia" w:ascii="宋体" w:hAnsi="宋体"/>
                <w:color w:val="auto"/>
                <w:sz w:val="24"/>
                <w:highlight w:val="none"/>
              </w:rPr>
              <w:t>绿化补植（含草花）</w:t>
            </w:r>
            <w:r>
              <w:rPr>
                <w:rFonts w:hint="eastAsia" w:ascii="宋体" w:hAnsi="宋体" w:cs="宋体"/>
                <w:color w:val="auto"/>
                <w:sz w:val="24"/>
                <w:highlight w:val="none"/>
              </w:rPr>
              <w:t>特点，制订全年</w:t>
            </w:r>
            <w:r>
              <w:rPr>
                <w:rFonts w:hint="eastAsia" w:ascii="宋体" w:hAnsi="宋体"/>
                <w:color w:val="auto"/>
                <w:sz w:val="24"/>
                <w:highlight w:val="none"/>
              </w:rPr>
              <w:t>绿化补植（含草花）</w:t>
            </w:r>
            <w:r>
              <w:rPr>
                <w:rFonts w:hint="eastAsia" w:ascii="宋体" w:hAnsi="宋体" w:cs="宋体"/>
                <w:color w:val="auto"/>
                <w:sz w:val="24"/>
                <w:highlight w:val="none"/>
              </w:rPr>
              <w:t>计划，方案科学、严密、合理，</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tc>
        <w:tc>
          <w:tcPr>
            <w:tcW w:w="844" w:type="dxa"/>
            <w:vAlign w:val="center"/>
          </w:tcPr>
          <w:p w14:paraId="5BE623A2">
            <w:pPr>
              <w:widowControl/>
              <w:snapToGrid w:val="0"/>
              <w:spacing w:beforeAutospacing="1" w:afterAutospacing="1" w:line="320" w:lineRule="atLeast"/>
              <w:ind w:left="1"/>
              <w:jc w:val="center"/>
              <w:rPr>
                <w:rFonts w:ascii="宋体" w:hAnsi="宋体"/>
                <w:bCs/>
                <w:color w:val="auto"/>
                <w:spacing w:val="-4"/>
                <w:sz w:val="24"/>
                <w:highlight w:val="none"/>
              </w:rPr>
            </w:pPr>
            <w:r>
              <w:rPr>
                <w:rFonts w:hint="eastAsia" w:ascii="宋体" w:hAnsi="宋体"/>
                <w:bCs/>
                <w:color w:val="auto"/>
                <w:spacing w:val="-4"/>
                <w:sz w:val="24"/>
                <w:highlight w:val="none"/>
              </w:rPr>
              <w:t>20分</w:t>
            </w:r>
          </w:p>
        </w:tc>
      </w:tr>
      <w:tr w14:paraId="799D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14:paraId="2A508BEB">
            <w:pPr>
              <w:jc w:val="left"/>
              <w:rPr>
                <w:rFonts w:ascii="宋体" w:hAnsi="宋体" w:cs="宋体"/>
                <w:color w:val="auto"/>
                <w:sz w:val="24"/>
                <w:highlight w:val="none"/>
              </w:rPr>
            </w:pPr>
            <w:r>
              <w:rPr>
                <w:rFonts w:hint="eastAsia" w:ascii="宋体" w:hAnsi="宋体" w:cs="宋体"/>
                <w:color w:val="auto"/>
                <w:sz w:val="24"/>
                <w:highlight w:val="none"/>
              </w:rPr>
              <w:t>安全生产措施方案</w:t>
            </w:r>
          </w:p>
        </w:tc>
        <w:tc>
          <w:tcPr>
            <w:tcW w:w="7256" w:type="dxa"/>
            <w:gridSpan w:val="2"/>
            <w:vAlign w:val="center"/>
          </w:tcPr>
          <w:p w14:paraId="6F147ED3">
            <w:pPr>
              <w:jc w:val="left"/>
              <w:rPr>
                <w:rFonts w:ascii="宋体" w:hAnsi="宋体" w:cs="宋体"/>
                <w:color w:val="auto"/>
                <w:sz w:val="24"/>
                <w:highlight w:val="none"/>
              </w:rPr>
            </w:pPr>
            <w:r>
              <w:rPr>
                <w:rFonts w:hint="eastAsia" w:ascii="宋体" w:hAnsi="宋体" w:cs="宋体"/>
                <w:color w:val="auto"/>
                <w:sz w:val="24"/>
                <w:highlight w:val="none"/>
              </w:rPr>
              <w:t>1.日常作业安全措施方案（5分）,按养护安全作业规范要求，设置现场养护作业标志，落实养护作业人员安全教育培训,方案科学、严密、合理，</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p w14:paraId="0052574C">
            <w:pPr>
              <w:jc w:val="left"/>
              <w:rPr>
                <w:rFonts w:ascii="宋体" w:hAnsi="宋体" w:cs="宋体"/>
                <w:color w:val="auto"/>
                <w:sz w:val="24"/>
                <w:highlight w:val="none"/>
              </w:rPr>
            </w:pPr>
            <w:r>
              <w:rPr>
                <w:rFonts w:hint="eastAsia" w:ascii="宋体" w:hAnsi="宋体" w:cs="宋体"/>
                <w:color w:val="auto"/>
                <w:sz w:val="24"/>
                <w:highlight w:val="none"/>
              </w:rPr>
              <w:t>2.集中作业安全措施方案（5分）, 按路政等相关部门要求，编制并报备集中养护作业计划, 方案科学、严密、合理，</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tc>
        <w:tc>
          <w:tcPr>
            <w:tcW w:w="844" w:type="dxa"/>
            <w:vAlign w:val="center"/>
          </w:tcPr>
          <w:p w14:paraId="71EBAEC9">
            <w:pPr>
              <w:widowControl/>
              <w:snapToGrid w:val="0"/>
              <w:spacing w:beforeAutospacing="1" w:afterAutospacing="1" w:line="320" w:lineRule="atLeast"/>
              <w:ind w:left="1"/>
              <w:jc w:val="left"/>
              <w:rPr>
                <w:rFonts w:ascii="宋体" w:hAnsi="宋体"/>
                <w:bCs/>
                <w:color w:val="auto"/>
                <w:spacing w:val="-4"/>
                <w:sz w:val="24"/>
                <w:highlight w:val="none"/>
              </w:rPr>
            </w:pPr>
            <w:r>
              <w:rPr>
                <w:rFonts w:hint="eastAsia" w:ascii="宋体" w:hAnsi="宋体"/>
                <w:bCs/>
                <w:color w:val="auto"/>
                <w:spacing w:val="-4"/>
                <w:sz w:val="24"/>
                <w:highlight w:val="none"/>
              </w:rPr>
              <w:t>10</w:t>
            </w:r>
            <w:r>
              <w:rPr>
                <w:rFonts w:hint="eastAsia" w:ascii="宋体" w:hAnsi="宋体" w:cs="宋体"/>
                <w:color w:val="auto"/>
                <w:sz w:val="24"/>
                <w:highlight w:val="none"/>
              </w:rPr>
              <w:t>分</w:t>
            </w:r>
          </w:p>
        </w:tc>
      </w:tr>
      <w:tr w14:paraId="023B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14:paraId="22AD7959">
            <w:pPr>
              <w:jc w:val="left"/>
              <w:rPr>
                <w:rFonts w:ascii="宋体" w:hAnsi="宋体" w:cs="宋体"/>
                <w:color w:val="auto"/>
                <w:sz w:val="24"/>
                <w:highlight w:val="none"/>
              </w:rPr>
            </w:pPr>
            <w:r>
              <w:rPr>
                <w:rFonts w:hint="eastAsia" w:ascii="宋体" w:hAnsi="宋体" w:cs="宋体"/>
                <w:color w:val="auto"/>
                <w:sz w:val="24"/>
                <w:highlight w:val="none"/>
              </w:rPr>
              <w:t>养护移交平稳过渡计划实施方案</w:t>
            </w:r>
          </w:p>
        </w:tc>
        <w:tc>
          <w:tcPr>
            <w:tcW w:w="7256" w:type="dxa"/>
            <w:gridSpan w:val="2"/>
            <w:vAlign w:val="center"/>
          </w:tcPr>
          <w:p w14:paraId="7415045A">
            <w:pPr>
              <w:jc w:val="left"/>
              <w:rPr>
                <w:rFonts w:ascii="宋体" w:hAnsi="宋体" w:cs="宋体"/>
                <w:color w:val="auto"/>
                <w:sz w:val="24"/>
                <w:highlight w:val="none"/>
              </w:rPr>
            </w:pPr>
            <w:r>
              <w:rPr>
                <w:rFonts w:hint="eastAsia" w:ascii="宋体" w:hAnsi="宋体" w:cs="宋体"/>
                <w:color w:val="auto"/>
                <w:sz w:val="24"/>
                <w:highlight w:val="none"/>
              </w:rPr>
              <w:t>有详细的企业进出场交接计划措施、企业平稳过渡实施方案等相关措施且可行的，</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tc>
        <w:tc>
          <w:tcPr>
            <w:tcW w:w="844" w:type="dxa"/>
            <w:vAlign w:val="center"/>
          </w:tcPr>
          <w:p w14:paraId="6554D34D">
            <w:pPr>
              <w:jc w:val="left"/>
              <w:rPr>
                <w:rFonts w:ascii="宋体" w:hAnsi="宋体" w:cs="宋体"/>
                <w:color w:val="auto"/>
                <w:sz w:val="24"/>
                <w:highlight w:val="none"/>
              </w:rPr>
            </w:pPr>
            <w:r>
              <w:rPr>
                <w:rFonts w:hint="eastAsia" w:ascii="宋体" w:hAnsi="宋体" w:cs="宋体"/>
                <w:color w:val="auto"/>
                <w:sz w:val="24"/>
                <w:highlight w:val="none"/>
              </w:rPr>
              <w:t>5分</w:t>
            </w:r>
          </w:p>
        </w:tc>
      </w:tr>
      <w:tr w14:paraId="7DE5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14:paraId="2E541CA6">
            <w:pPr>
              <w:jc w:val="left"/>
              <w:rPr>
                <w:rFonts w:ascii="宋体" w:hAnsi="宋体" w:cs="宋体"/>
                <w:color w:val="auto"/>
                <w:sz w:val="24"/>
                <w:highlight w:val="none"/>
              </w:rPr>
            </w:pPr>
            <w:r>
              <w:rPr>
                <w:rFonts w:hint="eastAsia" w:ascii="宋体" w:hAnsi="宋体" w:cs="宋体"/>
                <w:color w:val="auto"/>
                <w:sz w:val="24"/>
                <w:highlight w:val="none"/>
              </w:rPr>
              <w:t>应急响应方案</w:t>
            </w:r>
          </w:p>
        </w:tc>
        <w:tc>
          <w:tcPr>
            <w:tcW w:w="7256" w:type="dxa"/>
            <w:gridSpan w:val="2"/>
            <w:vAlign w:val="center"/>
          </w:tcPr>
          <w:p w14:paraId="6BDBE000">
            <w:pPr>
              <w:jc w:val="left"/>
              <w:rPr>
                <w:rFonts w:ascii="宋体" w:hAnsi="宋体" w:cs="宋体"/>
                <w:color w:val="auto"/>
                <w:sz w:val="24"/>
                <w:highlight w:val="none"/>
              </w:rPr>
            </w:pPr>
            <w:r>
              <w:rPr>
                <w:rFonts w:hint="eastAsia" w:ascii="宋体" w:hAnsi="宋体" w:cs="宋体"/>
                <w:color w:val="auto"/>
                <w:sz w:val="24"/>
                <w:highlight w:val="none"/>
              </w:rPr>
              <w:t>成立专业的应急队伍</w:t>
            </w:r>
            <w:r>
              <w:rPr>
                <w:rFonts w:hint="eastAsia" w:ascii="宋体" w:hAnsi="宋体" w:cs="Times New Roman"/>
                <w:bCs/>
                <w:color w:val="auto"/>
                <w:sz w:val="24"/>
                <w:highlight w:val="none"/>
              </w:rPr>
              <w:t>（不少</w:t>
            </w:r>
            <w:r>
              <w:rPr>
                <w:rFonts w:hint="eastAsia" w:ascii="宋体" w:hAnsi="宋体" w:cs="宋体"/>
                <w:color w:val="auto"/>
                <w:sz w:val="24"/>
                <w:highlight w:val="none"/>
              </w:rPr>
              <w:t>于10人）。根据成交区块应急保障措施（防汛防台、突发事件应急处理及重大活动保障的人员配置、机械配置、应急处置方案，落实专职人员等内容）,方案覆盖全面、科学合理、针对性和可操作性强，</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tc>
        <w:tc>
          <w:tcPr>
            <w:tcW w:w="844" w:type="dxa"/>
            <w:vAlign w:val="center"/>
          </w:tcPr>
          <w:p w14:paraId="6D2D4CB8">
            <w:pPr>
              <w:jc w:val="left"/>
              <w:rPr>
                <w:rFonts w:ascii="宋体" w:hAnsi="宋体" w:cs="宋体"/>
                <w:color w:val="auto"/>
                <w:sz w:val="24"/>
                <w:highlight w:val="none"/>
              </w:rPr>
            </w:pPr>
            <w:r>
              <w:rPr>
                <w:rFonts w:hint="eastAsia" w:ascii="宋体" w:hAnsi="宋体" w:cs="宋体"/>
                <w:color w:val="auto"/>
                <w:sz w:val="24"/>
                <w:highlight w:val="none"/>
              </w:rPr>
              <w:t>5分</w:t>
            </w:r>
          </w:p>
        </w:tc>
      </w:tr>
      <w:tr w14:paraId="4B89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76" w:type="dxa"/>
            <w:gridSpan w:val="2"/>
            <w:vAlign w:val="center"/>
          </w:tcPr>
          <w:p w14:paraId="59C6CE13">
            <w:pPr>
              <w:jc w:val="left"/>
              <w:rPr>
                <w:rFonts w:ascii="宋体" w:hAnsi="宋体" w:cs="宋体"/>
                <w:color w:val="auto"/>
                <w:sz w:val="24"/>
                <w:highlight w:val="none"/>
              </w:rPr>
            </w:pPr>
            <w:r>
              <w:rPr>
                <w:rFonts w:hint="eastAsia" w:ascii="宋体" w:hAnsi="宋体" w:cs="宋体"/>
                <w:color w:val="auto"/>
                <w:sz w:val="24"/>
                <w:highlight w:val="none"/>
              </w:rPr>
              <w:t>拟投入本项目实施的团队人员配置</w:t>
            </w:r>
          </w:p>
        </w:tc>
        <w:tc>
          <w:tcPr>
            <w:tcW w:w="7240" w:type="dxa"/>
            <w:vAlign w:val="center"/>
          </w:tcPr>
          <w:p w14:paraId="3ADC91BC">
            <w:pPr>
              <w:jc w:val="left"/>
              <w:rPr>
                <w:rFonts w:ascii="宋体" w:hAnsi="宋体" w:cs="宋体"/>
                <w:color w:val="auto"/>
                <w:sz w:val="24"/>
                <w:highlight w:val="none"/>
              </w:rPr>
            </w:pPr>
            <w:r>
              <w:rPr>
                <w:rFonts w:hint="eastAsia" w:ascii="宋体" w:hAnsi="宋体" w:cs="宋体"/>
                <w:color w:val="auto"/>
                <w:sz w:val="24"/>
                <w:highlight w:val="none"/>
              </w:rPr>
              <w:t>1.项目负责人具有园林绿化类高级工程师职称得4分，具有中级工程师的得2分（取最高分）；</w:t>
            </w:r>
          </w:p>
          <w:p w14:paraId="3ACFA32D">
            <w:pPr>
              <w:jc w:val="left"/>
              <w:rPr>
                <w:rFonts w:ascii="宋体" w:hAnsi="宋体" w:cs="宋体"/>
                <w:color w:val="auto"/>
                <w:sz w:val="24"/>
                <w:highlight w:val="none"/>
              </w:rPr>
            </w:pPr>
            <w:r>
              <w:rPr>
                <w:rFonts w:hint="eastAsia" w:ascii="宋体" w:hAnsi="宋体" w:cs="宋体"/>
                <w:color w:val="auto"/>
                <w:sz w:val="24"/>
                <w:highlight w:val="none"/>
              </w:rPr>
              <w:t>2.拟投入本项目的项目组成员中具有以下（绿化、花卉、育苗）专业高级技工的，每提供1名得1分，最高得6分。</w:t>
            </w:r>
          </w:p>
          <w:p w14:paraId="4AB3D2EF">
            <w:pPr>
              <w:jc w:val="left"/>
              <w:rPr>
                <w:rFonts w:ascii="宋体" w:hAnsi="宋体" w:cs="宋体"/>
                <w:color w:val="auto"/>
                <w:sz w:val="24"/>
                <w:highlight w:val="none"/>
              </w:rPr>
            </w:pPr>
            <w:r>
              <w:rPr>
                <w:rFonts w:hint="eastAsia" w:ascii="宋体" w:hAnsi="宋体" w:cs="宋体"/>
                <w:color w:val="auto"/>
                <w:sz w:val="24"/>
                <w:highlight w:val="none"/>
              </w:rPr>
              <w:t>注：提供人员证书清晰扫描件或复印件。拟派项目组人员必须是本单位的在职正式员工，均需提供近3个月中任意一个月的社保缴费证明，提供汇总表的，为方便查找，请打"√"标明。</w:t>
            </w:r>
          </w:p>
        </w:tc>
        <w:tc>
          <w:tcPr>
            <w:tcW w:w="844" w:type="dxa"/>
            <w:vAlign w:val="center"/>
          </w:tcPr>
          <w:p w14:paraId="6FAFEFA4">
            <w:pPr>
              <w:jc w:val="left"/>
              <w:rPr>
                <w:rFonts w:ascii="宋体" w:hAnsi="宋体" w:cs="宋体"/>
                <w:color w:val="auto"/>
                <w:sz w:val="24"/>
                <w:highlight w:val="none"/>
              </w:rPr>
            </w:pPr>
            <w:r>
              <w:rPr>
                <w:rFonts w:hint="eastAsia" w:ascii="宋体" w:hAnsi="宋体" w:cs="宋体"/>
                <w:color w:val="auto"/>
                <w:sz w:val="24"/>
                <w:highlight w:val="none"/>
              </w:rPr>
              <w:t>10分</w:t>
            </w:r>
          </w:p>
        </w:tc>
      </w:tr>
      <w:tr w14:paraId="6F43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76" w:type="dxa"/>
            <w:gridSpan w:val="2"/>
            <w:vAlign w:val="center"/>
          </w:tcPr>
          <w:p w14:paraId="6F0571C0">
            <w:pPr>
              <w:jc w:val="left"/>
              <w:rPr>
                <w:rFonts w:ascii="宋体" w:hAnsi="宋体" w:cs="宋体"/>
                <w:color w:val="auto"/>
                <w:sz w:val="24"/>
                <w:highlight w:val="none"/>
              </w:rPr>
            </w:pPr>
            <w:r>
              <w:rPr>
                <w:rFonts w:hint="eastAsia" w:ascii="宋体" w:hAnsi="宋体" w:cs="宋体"/>
                <w:color w:val="auto"/>
                <w:sz w:val="24"/>
                <w:highlight w:val="none"/>
              </w:rPr>
              <w:t>拟投入本项目的车辆及设备配备情况</w:t>
            </w:r>
          </w:p>
        </w:tc>
        <w:tc>
          <w:tcPr>
            <w:tcW w:w="7240" w:type="dxa"/>
            <w:vAlign w:val="center"/>
          </w:tcPr>
          <w:p w14:paraId="3EE9B535">
            <w:pPr>
              <w:jc w:val="left"/>
              <w:rPr>
                <w:rFonts w:ascii="宋体" w:hAnsi="宋体" w:cs="宋体"/>
                <w:color w:val="auto"/>
                <w:sz w:val="24"/>
                <w:highlight w:val="none"/>
              </w:rPr>
            </w:pPr>
            <w:r>
              <w:rPr>
                <w:rFonts w:hint="eastAsia" w:ascii="宋体" w:hAnsi="宋体" w:cs="宋体"/>
                <w:color w:val="auto"/>
                <w:sz w:val="24"/>
                <w:highlight w:val="none"/>
              </w:rPr>
              <w:t>1.投标人配备洒水车（核定载质量9吨及以上）的，每辆得3分，最多得6分；</w:t>
            </w:r>
          </w:p>
          <w:p w14:paraId="26D97FCE">
            <w:pPr>
              <w:jc w:val="left"/>
              <w:rPr>
                <w:rFonts w:ascii="宋体" w:hAnsi="宋体" w:cs="宋体"/>
                <w:color w:val="auto"/>
                <w:sz w:val="24"/>
                <w:highlight w:val="none"/>
              </w:rPr>
            </w:pPr>
            <w:r>
              <w:rPr>
                <w:rFonts w:hint="eastAsia" w:ascii="宋体" w:hAnsi="宋体" w:cs="宋体"/>
                <w:color w:val="auto"/>
                <w:sz w:val="24"/>
                <w:highlight w:val="none"/>
              </w:rPr>
              <w:t>2.配备挖掘机的，每辆得3分，最高得3分；</w:t>
            </w:r>
          </w:p>
          <w:p w14:paraId="0108DB9B">
            <w:pPr>
              <w:jc w:val="left"/>
              <w:rPr>
                <w:rFonts w:ascii="宋体" w:hAnsi="宋体" w:cs="宋体"/>
                <w:color w:val="auto"/>
                <w:sz w:val="24"/>
                <w:highlight w:val="none"/>
              </w:rPr>
            </w:pPr>
            <w:r>
              <w:rPr>
                <w:rFonts w:hint="eastAsia" w:ascii="宋体" w:hAnsi="宋体" w:cs="宋体"/>
                <w:color w:val="auto"/>
                <w:sz w:val="24"/>
                <w:highlight w:val="none"/>
              </w:rPr>
              <w:t>3.配备载货运输汽车的（核定载质量650KG及以上），每辆得3分，最高得3分。</w:t>
            </w:r>
          </w:p>
          <w:p w14:paraId="4BDD6DA6">
            <w:pPr>
              <w:jc w:val="left"/>
              <w:rPr>
                <w:rFonts w:ascii="宋体" w:hAnsi="宋体" w:cs="宋体"/>
                <w:color w:val="auto"/>
                <w:sz w:val="24"/>
                <w:highlight w:val="none"/>
              </w:rPr>
            </w:pPr>
            <w:r>
              <w:rPr>
                <w:rFonts w:hint="eastAsia" w:ascii="宋体" w:hAnsi="宋体" w:cs="宋体"/>
                <w:color w:val="auto"/>
                <w:sz w:val="24"/>
                <w:highlight w:val="none"/>
              </w:rPr>
              <w:t>注：自有车辆设备需提供设备购车发票、车辆行驶证清晰扫描件或复印件；企业租赁车辆的须提供租赁协议、车辆行驶证（挖机无需提供）及购置发票清晰扫描件或复印件，不提供的不得分。</w:t>
            </w:r>
          </w:p>
        </w:tc>
        <w:tc>
          <w:tcPr>
            <w:tcW w:w="844" w:type="dxa"/>
            <w:vAlign w:val="center"/>
          </w:tcPr>
          <w:p w14:paraId="08C456D2">
            <w:pPr>
              <w:jc w:val="left"/>
              <w:rPr>
                <w:rFonts w:ascii="宋体" w:hAnsi="宋体" w:cs="宋体"/>
                <w:color w:val="auto"/>
                <w:sz w:val="24"/>
                <w:highlight w:val="none"/>
              </w:rPr>
            </w:pPr>
            <w:r>
              <w:rPr>
                <w:rFonts w:hint="eastAsia" w:ascii="宋体" w:hAnsi="宋体" w:cs="宋体"/>
                <w:color w:val="auto"/>
                <w:sz w:val="24"/>
                <w:highlight w:val="none"/>
              </w:rPr>
              <w:t>12分</w:t>
            </w:r>
          </w:p>
        </w:tc>
      </w:tr>
      <w:tr w14:paraId="504C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76" w:type="dxa"/>
            <w:gridSpan w:val="2"/>
            <w:vAlign w:val="center"/>
          </w:tcPr>
          <w:p w14:paraId="082936C9">
            <w:pPr>
              <w:jc w:val="left"/>
              <w:rPr>
                <w:rFonts w:ascii="宋体" w:hAnsi="宋体" w:cs="宋体"/>
                <w:color w:val="auto"/>
                <w:sz w:val="24"/>
                <w:highlight w:val="none"/>
              </w:rPr>
            </w:pPr>
            <w:r>
              <w:rPr>
                <w:rFonts w:hint="eastAsia" w:ascii="宋体" w:hAnsi="宋体" w:cs="宋体"/>
                <w:color w:val="auto"/>
                <w:sz w:val="24"/>
                <w:highlight w:val="none"/>
              </w:rPr>
              <w:t>管理制度措施</w:t>
            </w:r>
          </w:p>
        </w:tc>
        <w:tc>
          <w:tcPr>
            <w:tcW w:w="7240" w:type="dxa"/>
            <w:vAlign w:val="center"/>
          </w:tcPr>
          <w:p w14:paraId="3027669B">
            <w:pPr>
              <w:jc w:val="left"/>
              <w:rPr>
                <w:rFonts w:ascii="宋体" w:hAnsi="宋体" w:cs="宋体"/>
                <w:b/>
                <w:color w:val="auto"/>
                <w:sz w:val="24"/>
                <w:highlight w:val="none"/>
              </w:rPr>
            </w:pPr>
            <w:r>
              <w:rPr>
                <w:rFonts w:hint="eastAsia" w:ascii="宋体" w:hAnsi="宋体" w:cs="宋体"/>
                <w:color w:val="auto"/>
                <w:sz w:val="24"/>
                <w:highlight w:val="none"/>
              </w:rPr>
              <w:t>质量管理体系完善（质量管理工作规范、可溯及完整，针对本项目制订具体质量管理考核细则），组织管理体系科学合理，安全生产管理完善（具有安全生产管理制度、安全管理台账、安全生产培训记录等），财务管理制度完善、职工薪资、福利、假期管理体系等职工保障制度科学且符合法律法规规定，</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tc>
        <w:tc>
          <w:tcPr>
            <w:tcW w:w="844" w:type="dxa"/>
            <w:vAlign w:val="center"/>
          </w:tcPr>
          <w:p w14:paraId="72981AE0">
            <w:pPr>
              <w:jc w:val="left"/>
              <w:rPr>
                <w:rFonts w:ascii="宋体" w:hAnsi="宋体" w:cs="宋体"/>
                <w:color w:val="auto"/>
                <w:sz w:val="24"/>
                <w:highlight w:val="none"/>
              </w:rPr>
            </w:pPr>
            <w:r>
              <w:rPr>
                <w:rFonts w:hint="eastAsia" w:ascii="宋体" w:hAnsi="宋体" w:cs="宋体"/>
                <w:color w:val="auto"/>
                <w:sz w:val="24"/>
                <w:highlight w:val="none"/>
              </w:rPr>
              <w:t>5分</w:t>
            </w:r>
          </w:p>
        </w:tc>
      </w:tr>
      <w:tr w14:paraId="375A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16" w:type="dxa"/>
            <w:gridSpan w:val="3"/>
            <w:vAlign w:val="center"/>
          </w:tcPr>
          <w:p w14:paraId="10294B65">
            <w:pPr>
              <w:snapToGrid w:val="0"/>
              <w:spacing w:line="360" w:lineRule="auto"/>
              <w:rPr>
                <w:rFonts w:ascii="宋体" w:hAnsi="宋体"/>
                <w:color w:val="auto"/>
                <w:sz w:val="24"/>
                <w:highlight w:val="none"/>
              </w:rPr>
            </w:pPr>
            <w:r>
              <w:rPr>
                <w:rFonts w:hint="eastAsia" w:ascii="宋体" w:hAnsi="宋体"/>
                <w:color w:val="auto"/>
                <w:sz w:val="24"/>
                <w:highlight w:val="none"/>
              </w:rPr>
              <w:t>商务、资信及其他部分</w:t>
            </w:r>
          </w:p>
        </w:tc>
        <w:tc>
          <w:tcPr>
            <w:tcW w:w="844" w:type="dxa"/>
            <w:vAlign w:val="center"/>
          </w:tcPr>
          <w:p w14:paraId="1B3E128C">
            <w:pPr>
              <w:widowControl/>
              <w:snapToGrid w:val="0"/>
              <w:spacing w:beforeAutospacing="1" w:afterAutospacing="1" w:line="360" w:lineRule="auto"/>
              <w:ind w:left="1"/>
              <w:jc w:val="left"/>
              <w:rPr>
                <w:rFonts w:ascii="宋体" w:hAnsi="宋体"/>
                <w:color w:val="auto"/>
                <w:sz w:val="24"/>
                <w:highlight w:val="none"/>
              </w:rPr>
            </w:pPr>
            <w:r>
              <w:rPr>
                <w:rFonts w:hint="eastAsia" w:ascii="宋体" w:hAnsi="宋体"/>
                <w:color w:val="auto"/>
                <w:sz w:val="24"/>
                <w:highlight w:val="none"/>
              </w:rPr>
              <w:t>23分</w:t>
            </w:r>
          </w:p>
        </w:tc>
      </w:tr>
      <w:tr w14:paraId="159F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vAlign w:val="center"/>
          </w:tcPr>
          <w:p w14:paraId="1DA87077">
            <w:pPr>
              <w:jc w:val="left"/>
              <w:rPr>
                <w:rFonts w:ascii="宋体" w:hAnsi="宋体" w:cs="宋体"/>
                <w:color w:val="auto"/>
                <w:sz w:val="24"/>
                <w:highlight w:val="none"/>
              </w:rPr>
            </w:pPr>
            <w:r>
              <w:rPr>
                <w:rFonts w:hint="eastAsia" w:ascii="宋体" w:hAnsi="宋体" w:cs="宋体"/>
                <w:color w:val="auto"/>
                <w:sz w:val="24"/>
                <w:highlight w:val="none"/>
              </w:rPr>
              <w:t>权威认证</w:t>
            </w:r>
          </w:p>
        </w:tc>
        <w:tc>
          <w:tcPr>
            <w:tcW w:w="7256" w:type="dxa"/>
            <w:gridSpan w:val="2"/>
            <w:vAlign w:val="center"/>
          </w:tcPr>
          <w:p w14:paraId="61EF4657">
            <w:pPr>
              <w:jc w:val="left"/>
              <w:rPr>
                <w:rFonts w:ascii="宋体" w:hAnsi="宋体" w:cs="宋体"/>
                <w:color w:val="auto"/>
                <w:sz w:val="24"/>
                <w:highlight w:val="none"/>
              </w:rPr>
            </w:pPr>
            <w:r>
              <w:rPr>
                <w:rFonts w:hint="eastAsia" w:ascii="宋体" w:hAnsi="宋体" w:cs="宋体"/>
                <w:color w:val="auto"/>
                <w:sz w:val="24"/>
                <w:highlight w:val="none"/>
              </w:rPr>
              <w:t>投标人通过质量管理体系、环境认证体系及职业健康安全管理体系认证并获得相关证书的，每项得2分，最高6分。注：相关证书状态须为有效，提供网站截图及证书清晰扫描件或复印件。</w:t>
            </w:r>
          </w:p>
        </w:tc>
        <w:tc>
          <w:tcPr>
            <w:tcW w:w="844" w:type="dxa"/>
            <w:vAlign w:val="center"/>
          </w:tcPr>
          <w:p w14:paraId="336A71E4">
            <w:pPr>
              <w:jc w:val="center"/>
              <w:rPr>
                <w:rFonts w:ascii="宋体" w:hAnsi="宋体" w:cs="宋体"/>
                <w:color w:val="auto"/>
                <w:sz w:val="24"/>
                <w:highlight w:val="none"/>
              </w:rPr>
            </w:pPr>
            <w:r>
              <w:rPr>
                <w:rFonts w:hint="eastAsia" w:ascii="宋体" w:hAnsi="宋体" w:cs="宋体"/>
                <w:color w:val="auto"/>
                <w:sz w:val="24"/>
                <w:highlight w:val="none"/>
              </w:rPr>
              <w:t>6分</w:t>
            </w:r>
          </w:p>
        </w:tc>
      </w:tr>
      <w:tr w14:paraId="4D0C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vAlign w:val="center"/>
          </w:tcPr>
          <w:p w14:paraId="3596C40A">
            <w:pPr>
              <w:jc w:val="left"/>
              <w:rPr>
                <w:rFonts w:ascii="宋体" w:hAnsi="宋体" w:cs="宋体"/>
                <w:color w:val="auto"/>
                <w:sz w:val="24"/>
                <w:highlight w:val="none"/>
              </w:rPr>
            </w:pPr>
            <w:r>
              <w:rPr>
                <w:rFonts w:hint="eastAsia" w:ascii="宋体" w:hAnsi="宋体" w:cs="宋体"/>
                <w:color w:val="auto"/>
                <w:sz w:val="24"/>
                <w:highlight w:val="none"/>
              </w:rPr>
              <w:t>企业荣誉</w:t>
            </w:r>
          </w:p>
        </w:tc>
        <w:tc>
          <w:tcPr>
            <w:tcW w:w="7256" w:type="dxa"/>
            <w:gridSpan w:val="2"/>
            <w:vAlign w:val="center"/>
          </w:tcPr>
          <w:p w14:paraId="73EB8A9F">
            <w:pPr>
              <w:jc w:val="left"/>
              <w:rPr>
                <w:rFonts w:ascii="宋体" w:hAnsi="宋体" w:cs="宋体"/>
                <w:color w:val="auto"/>
                <w:sz w:val="24"/>
                <w:highlight w:val="none"/>
              </w:rPr>
            </w:pPr>
            <w:r>
              <w:rPr>
                <w:rFonts w:hint="eastAsia" w:ascii="宋体" w:hAnsi="宋体" w:cs="宋体"/>
                <w:color w:val="auto"/>
                <w:sz w:val="24"/>
                <w:highlight w:val="none"/>
              </w:rPr>
              <w:t>投标人2022年1月1日至今（以发证时间为准）获得区级及以上政府职能部门或行业主管部门颁发的企业荣誉，每提供一个得1分，最高得2分（提供获奖证书清晰扫描件或复印件）。</w:t>
            </w:r>
          </w:p>
        </w:tc>
        <w:tc>
          <w:tcPr>
            <w:tcW w:w="844" w:type="dxa"/>
            <w:vAlign w:val="center"/>
          </w:tcPr>
          <w:p w14:paraId="2E31F18B">
            <w:pPr>
              <w:jc w:val="center"/>
              <w:rPr>
                <w:rFonts w:ascii="宋体" w:hAnsi="宋体" w:cs="宋体"/>
                <w:color w:val="auto"/>
                <w:sz w:val="24"/>
                <w:highlight w:val="none"/>
              </w:rPr>
            </w:pPr>
            <w:r>
              <w:rPr>
                <w:rFonts w:hint="eastAsia" w:ascii="宋体" w:hAnsi="宋体" w:cs="宋体"/>
                <w:color w:val="auto"/>
                <w:sz w:val="24"/>
                <w:highlight w:val="none"/>
              </w:rPr>
              <w:t>2分</w:t>
            </w:r>
          </w:p>
        </w:tc>
      </w:tr>
      <w:tr w14:paraId="4CD3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260" w:type="dxa"/>
            <w:vAlign w:val="center"/>
          </w:tcPr>
          <w:p w14:paraId="69B49F42">
            <w:pPr>
              <w:jc w:val="left"/>
              <w:rPr>
                <w:rFonts w:ascii="宋体" w:hAnsi="宋体" w:cs="宋体"/>
                <w:color w:val="auto"/>
                <w:sz w:val="24"/>
                <w:highlight w:val="none"/>
              </w:rPr>
            </w:pPr>
            <w:r>
              <w:rPr>
                <w:rFonts w:hint="eastAsia" w:ascii="宋体" w:hAnsi="宋体" w:cs="宋体"/>
                <w:color w:val="auto"/>
                <w:sz w:val="24"/>
                <w:highlight w:val="none"/>
              </w:rPr>
              <w:t>企业业绩</w:t>
            </w:r>
          </w:p>
        </w:tc>
        <w:tc>
          <w:tcPr>
            <w:tcW w:w="7256" w:type="dxa"/>
            <w:gridSpan w:val="2"/>
            <w:vAlign w:val="center"/>
          </w:tcPr>
          <w:p w14:paraId="514E8576">
            <w:pPr>
              <w:jc w:val="left"/>
              <w:rPr>
                <w:rFonts w:ascii="宋体" w:hAnsi="宋体" w:cs="宋体"/>
                <w:color w:val="auto"/>
                <w:sz w:val="24"/>
                <w:highlight w:val="none"/>
              </w:rPr>
            </w:pPr>
            <w:r>
              <w:rPr>
                <w:rFonts w:hint="eastAsia" w:ascii="宋体" w:hAnsi="宋体" w:cs="宋体"/>
                <w:color w:val="auto"/>
                <w:sz w:val="24"/>
                <w:highlight w:val="none"/>
              </w:rPr>
              <w:t>1.投标人自2022年1月1日以来（以合同签订时间为准）承担过绿化工程项目业绩的，每提供一个得0.2分，最多得0.4分。</w:t>
            </w:r>
          </w:p>
          <w:p w14:paraId="4C62DB94">
            <w:pPr>
              <w:jc w:val="left"/>
              <w:rPr>
                <w:rFonts w:ascii="宋体" w:hAnsi="宋体" w:cs="宋体"/>
                <w:color w:val="auto"/>
                <w:sz w:val="24"/>
                <w:highlight w:val="none"/>
              </w:rPr>
            </w:pPr>
            <w:r>
              <w:rPr>
                <w:rFonts w:hint="eastAsia" w:ascii="宋体" w:hAnsi="宋体" w:cs="宋体"/>
                <w:color w:val="auto"/>
                <w:sz w:val="24"/>
                <w:highlight w:val="none"/>
              </w:rPr>
              <w:t>2.投标人自2022年1月1日以来（以合同签订时间为准）承担过绿化养护项目业绩的，每提供一个得0.2分.最多得0.6分。</w:t>
            </w:r>
          </w:p>
          <w:p w14:paraId="078EA332">
            <w:pPr>
              <w:jc w:val="left"/>
              <w:rPr>
                <w:rFonts w:ascii="宋体" w:hAnsi="宋体" w:cs="宋体"/>
                <w:color w:val="auto"/>
                <w:sz w:val="24"/>
                <w:highlight w:val="none"/>
              </w:rPr>
            </w:pPr>
            <w:r>
              <w:rPr>
                <w:rFonts w:hint="eastAsia" w:ascii="宋体" w:hAnsi="宋体" w:cs="宋体"/>
                <w:color w:val="auto"/>
                <w:sz w:val="24"/>
                <w:highlight w:val="none"/>
              </w:rPr>
              <w:t>注：必须同时提供合同及中标通知书（要求提供清晰扫描件或复印件）</w:t>
            </w:r>
          </w:p>
        </w:tc>
        <w:tc>
          <w:tcPr>
            <w:tcW w:w="844" w:type="dxa"/>
            <w:vAlign w:val="center"/>
          </w:tcPr>
          <w:p w14:paraId="06177442">
            <w:pPr>
              <w:jc w:val="center"/>
              <w:rPr>
                <w:rFonts w:ascii="宋体" w:hAnsi="宋体" w:cs="宋体"/>
                <w:color w:val="auto"/>
                <w:sz w:val="24"/>
                <w:highlight w:val="none"/>
              </w:rPr>
            </w:pPr>
            <w:r>
              <w:rPr>
                <w:rFonts w:hint="eastAsia" w:ascii="宋体" w:hAnsi="宋体" w:cs="宋体"/>
                <w:color w:val="auto"/>
                <w:sz w:val="24"/>
                <w:highlight w:val="none"/>
              </w:rPr>
              <w:t>1分</w:t>
            </w:r>
          </w:p>
        </w:tc>
      </w:tr>
      <w:tr w14:paraId="4B4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14:paraId="7174E6B1">
            <w:pPr>
              <w:jc w:val="left"/>
              <w:rPr>
                <w:rFonts w:ascii="宋体" w:hAnsi="宋体" w:cs="宋体"/>
                <w:color w:val="auto"/>
                <w:sz w:val="24"/>
                <w:highlight w:val="none"/>
              </w:rPr>
            </w:pPr>
            <w:r>
              <w:rPr>
                <w:rFonts w:hint="eastAsia" w:ascii="宋体" w:hAnsi="宋体" w:cs="宋体"/>
                <w:color w:val="auto"/>
                <w:sz w:val="24"/>
                <w:highlight w:val="none"/>
              </w:rPr>
              <w:t>服务承诺</w:t>
            </w:r>
          </w:p>
        </w:tc>
        <w:tc>
          <w:tcPr>
            <w:tcW w:w="7256" w:type="dxa"/>
            <w:gridSpan w:val="2"/>
            <w:vAlign w:val="center"/>
          </w:tcPr>
          <w:p w14:paraId="2CC2F63C">
            <w:pPr>
              <w:jc w:val="left"/>
              <w:rPr>
                <w:rFonts w:ascii="宋体" w:hAnsi="宋体" w:cs="宋体"/>
                <w:color w:val="auto"/>
                <w:sz w:val="24"/>
                <w:highlight w:val="none"/>
              </w:rPr>
            </w:pPr>
            <w:r>
              <w:rPr>
                <w:rFonts w:ascii="宋体" w:hAnsi="宋体"/>
                <w:color w:val="auto"/>
                <w:sz w:val="24"/>
                <w:highlight w:val="none"/>
              </w:rPr>
              <w:t>服务承诺</w:t>
            </w:r>
            <w:r>
              <w:rPr>
                <w:rFonts w:hint="eastAsia" w:ascii="宋体" w:hAnsi="宋体"/>
                <w:color w:val="auto"/>
                <w:sz w:val="24"/>
                <w:highlight w:val="none"/>
              </w:rPr>
              <w:t>以及人员到位时间承诺</w:t>
            </w:r>
            <w:r>
              <w:rPr>
                <w:rFonts w:ascii="宋体" w:hAnsi="宋体"/>
                <w:color w:val="auto"/>
                <w:sz w:val="24"/>
                <w:highlight w:val="none"/>
              </w:rPr>
              <w:t>完整、可行，落实保障措施和其他优惠承诺等全面周到</w:t>
            </w:r>
            <w:r>
              <w:rPr>
                <w:rFonts w:hint="eastAsia" w:ascii="宋体" w:hAnsi="宋体" w:cs="宋体"/>
                <w:color w:val="auto"/>
                <w:sz w:val="24"/>
                <w:highlight w:val="none"/>
              </w:rPr>
              <w:t>，</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cs="宋体"/>
                <w:color w:val="auto"/>
                <w:sz w:val="24"/>
                <w:highlight w:val="none"/>
              </w:rPr>
              <w:t>方案</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cs="宋体"/>
                <w:color w:val="auto"/>
                <w:sz w:val="24"/>
                <w:highlight w:val="none"/>
              </w:rPr>
              <w:t>方案</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tc>
        <w:tc>
          <w:tcPr>
            <w:tcW w:w="844" w:type="dxa"/>
            <w:vAlign w:val="center"/>
          </w:tcPr>
          <w:p w14:paraId="4E6D1EDB">
            <w:pPr>
              <w:jc w:val="center"/>
              <w:rPr>
                <w:rFonts w:ascii="宋体" w:hAnsi="宋体" w:cs="宋体"/>
                <w:color w:val="auto"/>
                <w:sz w:val="24"/>
                <w:highlight w:val="none"/>
              </w:rPr>
            </w:pPr>
            <w:r>
              <w:rPr>
                <w:rFonts w:hint="eastAsia" w:ascii="宋体" w:hAnsi="宋体" w:cs="宋体"/>
                <w:color w:val="auto"/>
                <w:sz w:val="24"/>
                <w:highlight w:val="none"/>
              </w:rPr>
              <w:t>5分</w:t>
            </w:r>
          </w:p>
        </w:tc>
      </w:tr>
      <w:tr w14:paraId="0A34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14:paraId="4A2C4218">
            <w:pPr>
              <w:jc w:val="left"/>
              <w:rPr>
                <w:rFonts w:ascii="宋体" w:hAnsi="宋体" w:cs="宋体"/>
                <w:color w:val="auto"/>
                <w:sz w:val="24"/>
                <w:highlight w:val="none"/>
              </w:rPr>
            </w:pPr>
            <w:r>
              <w:rPr>
                <w:rFonts w:hint="eastAsia" w:ascii="宋体" w:hAnsi="宋体" w:cs="宋体"/>
                <w:color w:val="auto"/>
                <w:sz w:val="24"/>
                <w:highlight w:val="none"/>
              </w:rPr>
              <w:t>服务网点</w:t>
            </w:r>
          </w:p>
        </w:tc>
        <w:tc>
          <w:tcPr>
            <w:tcW w:w="7256" w:type="dxa"/>
            <w:gridSpan w:val="2"/>
            <w:vAlign w:val="center"/>
          </w:tcPr>
          <w:p w14:paraId="1EF06225">
            <w:pPr>
              <w:jc w:val="left"/>
              <w:rPr>
                <w:rFonts w:ascii="宋体" w:hAnsi="宋体" w:cs="宋体"/>
                <w:color w:val="auto"/>
                <w:sz w:val="24"/>
                <w:highlight w:val="none"/>
              </w:rPr>
            </w:pPr>
            <w:r>
              <w:rPr>
                <w:rFonts w:hint="eastAsia" w:ascii="宋体" w:hAnsi="宋体" w:cs="宋体"/>
                <w:color w:val="auto"/>
                <w:sz w:val="24"/>
                <w:highlight w:val="none"/>
              </w:rPr>
              <w:t>投标人在投标的服务区范围内设置办公室，提供房屋租赁合同或房屋自有证明，或承诺中标后设立固定的售后服务场所，均得2分；</w:t>
            </w:r>
            <w:r>
              <w:rPr>
                <w:rFonts w:ascii="宋体" w:hAnsi="宋体"/>
                <w:bCs/>
                <w:color w:val="auto"/>
                <w:sz w:val="24"/>
                <w:highlight w:val="none"/>
              </w:rPr>
              <w:t>未</w:t>
            </w:r>
            <w:r>
              <w:rPr>
                <w:rFonts w:hint="eastAsia" w:ascii="宋体" w:hAnsi="宋体" w:cs="宋体"/>
                <w:color w:val="auto"/>
                <w:sz w:val="24"/>
                <w:highlight w:val="none"/>
              </w:rPr>
              <w:t>提供不得分。</w:t>
            </w:r>
          </w:p>
        </w:tc>
        <w:tc>
          <w:tcPr>
            <w:tcW w:w="844" w:type="dxa"/>
            <w:vAlign w:val="center"/>
          </w:tcPr>
          <w:p w14:paraId="06F1ED9A">
            <w:pPr>
              <w:jc w:val="center"/>
              <w:rPr>
                <w:rFonts w:ascii="宋体" w:hAnsi="宋体" w:cs="宋体"/>
                <w:color w:val="auto"/>
                <w:sz w:val="24"/>
                <w:highlight w:val="none"/>
              </w:rPr>
            </w:pPr>
            <w:r>
              <w:rPr>
                <w:rFonts w:hint="eastAsia" w:ascii="宋体" w:hAnsi="宋体" w:cs="宋体"/>
                <w:color w:val="auto"/>
                <w:sz w:val="24"/>
                <w:highlight w:val="none"/>
              </w:rPr>
              <w:t>2分</w:t>
            </w:r>
          </w:p>
        </w:tc>
      </w:tr>
      <w:tr w14:paraId="0F88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60" w:type="dxa"/>
            <w:vAlign w:val="center"/>
          </w:tcPr>
          <w:p w14:paraId="291C8636">
            <w:pPr>
              <w:jc w:val="left"/>
              <w:rPr>
                <w:rFonts w:ascii="宋体" w:hAnsi="宋体" w:cs="宋体"/>
                <w:color w:val="auto"/>
                <w:sz w:val="24"/>
                <w:highlight w:val="none"/>
              </w:rPr>
            </w:pPr>
            <w:r>
              <w:rPr>
                <w:rFonts w:hint="eastAsia" w:ascii="宋体" w:hAnsi="宋体" w:cs="宋体"/>
                <w:color w:val="auto"/>
                <w:sz w:val="24"/>
                <w:highlight w:val="none"/>
              </w:rPr>
              <w:t>员工培训措施及人员保障</w:t>
            </w:r>
          </w:p>
        </w:tc>
        <w:tc>
          <w:tcPr>
            <w:tcW w:w="7256" w:type="dxa"/>
            <w:gridSpan w:val="2"/>
            <w:vAlign w:val="center"/>
          </w:tcPr>
          <w:p w14:paraId="46558827">
            <w:pPr>
              <w:jc w:val="left"/>
              <w:rPr>
                <w:rFonts w:ascii="宋体" w:hAnsi="宋体" w:cs="宋体"/>
                <w:color w:val="auto"/>
                <w:sz w:val="24"/>
                <w:highlight w:val="none"/>
              </w:rPr>
            </w:pPr>
            <w:r>
              <w:rPr>
                <w:rFonts w:hint="eastAsia" w:ascii="宋体" w:hAnsi="宋体" w:cs="宋体"/>
                <w:color w:val="auto"/>
                <w:sz w:val="24"/>
                <w:highlight w:val="none"/>
              </w:rPr>
              <w:t>可行的员工训练或培训措施等方面（员工上岗培训，定期开展安全生产培训。每年不少于一次）有完善的员工培训计划及内容，定期开展安全生产培训，员工训练或培训措施</w:t>
            </w:r>
            <w:r>
              <w:rPr>
                <w:rFonts w:ascii="宋体" w:hAnsi="宋体"/>
                <w:bCs/>
                <w:color w:val="auto"/>
                <w:sz w:val="24"/>
                <w:highlight w:val="none"/>
              </w:rPr>
              <w:t>不漏项且有针对性解释说明:</w:t>
            </w:r>
            <w:r>
              <w:rPr>
                <w:rFonts w:hint="eastAsia" w:ascii="宋体" w:hAnsi="宋体"/>
                <w:bCs/>
                <w:color w:val="auto"/>
                <w:sz w:val="24"/>
                <w:highlight w:val="none"/>
              </w:rPr>
              <w:t>5</w:t>
            </w:r>
            <w:r>
              <w:rPr>
                <w:rFonts w:ascii="宋体" w:hAnsi="宋体"/>
                <w:bCs/>
                <w:color w:val="auto"/>
                <w:sz w:val="24"/>
                <w:highlight w:val="none"/>
              </w:rPr>
              <w:t>分;提供的</w:t>
            </w:r>
            <w:r>
              <w:rPr>
                <w:rFonts w:hint="eastAsia" w:ascii="宋体" w:hAnsi="宋体"/>
                <w:bCs/>
                <w:color w:val="auto"/>
                <w:sz w:val="24"/>
                <w:highlight w:val="none"/>
              </w:rPr>
              <w:t>措施</w:t>
            </w:r>
            <w:r>
              <w:rPr>
                <w:rFonts w:ascii="宋体" w:hAnsi="宋体"/>
                <w:bCs/>
                <w:color w:val="auto"/>
                <w:sz w:val="24"/>
                <w:highlight w:val="none"/>
              </w:rPr>
              <w:t>漏缺1项或2项，有针对性解释说明:</w:t>
            </w:r>
            <w:r>
              <w:rPr>
                <w:rFonts w:hint="eastAsia" w:ascii="宋体" w:hAnsi="宋体"/>
                <w:bCs/>
                <w:color w:val="auto"/>
                <w:sz w:val="24"/>
                <w:highlight w:val="none"/>
              </w:rPr>
              <w:t>4</w:t>
            </w:r>
            <w:r>
              <w:rPr>
                <w:rFonts w:ascii="宋体" w:hAnsi="宋体"/>
                <w:bCs/>
                <w:color w:val="auto"/>
                <w:sz w:val="24"/>
                <w:highlight w:val="none"/>
              </w:rPr>
              <w:t>分;提供的</w:t>
            </w:r>
            <w:r>
              <w:rPr>
                <w:rFonts w:hint="eastAsia" w:ascii="宋体" w:hAnsi="宋体"/>
                <w:bCs/>
                <w:color w:val="auto"/>
                <w:sz w:val="24"/>
                <w:highlight w:val="none"/>
              </w:rPr>
              <w:t>措施</w:t>
            </w:r>
            <w:r>
              <w:rPr>
                <w:rFonts w:ascii="宋体" w:hAnsi="宋体"/>
                <w:bCs/>
                <w:color w:val="auto"/>
                <w:sz w:val="24"/>
                <w:highlight w:val="none"/>
              </w:rPr>
              <w:t>基本全面，有针对性解释说明:</w:t>
            </w:r>
            <w:r>
              <w:rPr>
                <w:rFonts w:hint="eastAsia" w:ascii="宋体" w:hAnsi="宋体"/>
                <w:bCs/>
                <w:color w:val="auto"/>
                <w:sz w:val="24"/>
                <w:highlight w:val="none"/>
              </w:rPr>
              <w:t>3</w:t>
            </w:r>
            <w:r>
              <w:rPr>
                <w:rFonts w:ascii="宋体" w:hAnsi="宋体"/>
                <w:bCs/>
                <w:color w:val="auto"/>
                <w:sz w:val="24"/>
                <w:highlight w:val="none"/>
              </w:rPr>
              <w:t>分;提供的</w:t>
            </w:r>
            <w:r>
              <w:rPr>
                <w:rFonts w:hint="eastAsia" w:ascii="宋体" w:hAnsi="宋体"/>
                <w:bCs/>
                <w:color w:val="auto"/>
                <w:sz w:val="24"/>
                <w:highlight w:val="none"/>
              </w:rPr>
              <w:t>措施</w:t>
            </w:r>
            <w:r>
              <w:rPr>
                <w:rFonts w:ascii="宋体" w:hAnsi="宋体"/>
                <w:bCs/>
                <w:color w:val="auto"/>
                <w:sz w:val="24"/>
                <w:highlight w:val="none"/>
              </w:rPr>
              <w:t>不全面，有针对性解释说明:</w:t>
            </w:r>
            <w:r>
              <w:rPr>
                <w:rFonts w:hint="eastAsia" w:ascii="宋体" w:hAnsi="宋体"/>
                <w:bCs/>
                <w:color w:val="auto"/>
                <w:sz w:val="24"/>
                <w:highlight w:val="none"/>
              </w:rPr>
              <w:t>2</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提供的</w:t>
            </w:r>
            <w:r>
              <w:rPr>
                <w:rFonts w:hint="eastAsia" w:ascii="宋体" w:hAnsi="宋体"/>
                <w:bCs/>
                <w:color w:val="auto"/>
                <w:sz w:val="24"/>
                <w:highlight w:val="none"/>
              </w:rPr>
              <w:t>措施</w:t>
            </w:r>
            <w:r>
              <w:rPr>
                <w:rFonts w:ascii="宋体" w:hAnsi="宋体"/>
                <w:bCs/>
                <w:color w:val="auto"/>
                <w:sz w:val="24"/>
                <w:highlight w:val="none"/>
              </w:rPr>
              <w:t>不全面，没有解释说明:</w:t>
            </w:r>
            <w:r>
              <w:rPr>
                <w:rFonts w:hint="eastAsia" w:ascii="宋体" w:hAnsi="宋体"/>
                <w:bCs/>
                <w:color w:val="auto"/>
                <w:sz w:val="24"/>
                <w:highlight w:val="none"/>
              </w:rPr>
              <w:t>1</w:t>
            </w:r>
            <w:r>
              <w:rPr>
                <w:rFonts w:ascii="宋体" w:hAnsi="宋体"/>
                <w:bCs/>
                <w:color w:val="auto"/>
                <w:sz w:val="24"/>
                <w:highlight w:val="none"/>
              </w:rPr>
              <w:t>分</w:t>
            </w:r>
            <w:r>
              <w:rPr>
                <w:rFonts w:hint="eastAsia" w:ascii="宋体" w:hAnsi="宋体"/>
                <w:bCs/>
                <w:color w:val="auto"/>
                <w:sz w:val="24"/>
                <w:highlight w:val="none"/>
              </w:rPr>
              <w:t>；</w:t>
            </w:r>
            <w:r>
              <w:rPr>
                <w:rFonts w:ascii="宋体" w:hAnsi="宋体"/>
                <w:bCs/>
                <w:color w:val="auto"/>
                <w:sz w:val="24"/>
                <w:highlight w:val="none"/>
              </w:rPr>
              <w:t>未提供不得分。</w:t>
            </w:r>
          </w:p>
        </w:tc>
        <w:tc>
          <w:tcPr>
            <w:tcW w:w="844" w:type="dxa"/>
            <w:vAlign w:val="center"/>
          </w:tcPr>
          <w:p w14:paraId="5A552565">
            <w:pPr>
              <w:jc w:val="center"/>
              <w:rPr>
                <w:rFonts w:ascii="宋体" w:hAnsi="宋体" w:cs="宋体"/>
                <w:color w:val="auto"/>
                <w:sz w:val="24"/>
                <w:highlight w:val="none"/>
              </w:rPr>
            </w:pPr>
            <w:r>
              <w:rPr>
                <w:rFonts w:hint="eastAsia" w:ascii="宋体" w:hAnsi="宋体" w:cs="宋体"/>
                <w:color w:val="auto"/>
                <w:sz w:val="24"/>
                <w:highlight w:val="none"/>
              </w:rPr>
              <w:t>5分</w:t>
            </w:r>
          </w:p>
        </w:tc>
      </w:tr>
      <w:tr w14:paraId="2952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60" w:type="dxa"/>
            <w:vAlign w:val="center"/>
          </w:tcPr>
          <w:p w14:paraId="022651D4">
            <w:pPr>
              <w:jc w:val="left"/>
              <w:rPr>
                <w:rFonts w:ascii="宋体" w:hAnsi="宋体" w:cs="宋体"/>
                <w:color w:val="auto"/>
                <w:sz w:val="24"/>
                <w:highlight w:val="none"/>
              </w:rPr>
            </w:pPr>
            <w:r>
              <w:rPr>
                <w:rFonts w:hint="eastAsia" w:ascii="宋体" w:hAnsi="宋体" w:cs="宋体"/>
                <w:color w:val="auto"/>
                <w:sz w:val="24"/>
                <w:highlight w:val="none"/>
              </w:rPr>
              <w:t>响应时间</w:t>
            </w:r>
          </w:p>
        </w:tc>
        <w:tc>
          <w:tcPr>
            <w:tcW w:w="7256" w:type="dxa"/>
            <w:gridSpan w:val="2"/>
            <w:vAlign w:val="center"/>
          </w:tcPr>
          <w:p w14:paraId="131DEC76">
            <w:pPr>
              <w:jc w:val="left"/>
              <w:rPr>
                <w:rFonts w:ascii="宋体" w:hAnsi="宋体" w:cs="宋体"/>
                <w:color w:val="auto"/>
                <w:sz w:val="24"/>
                <w:highlight w:val="none"/>
              </w:rPr>
            </w:pPr>
            <w:r>
              <w:rPr>
                <w:rFonts w:hint="eastAsia" w:ascii="宋体" w:hAnsi="宋体" w:cs="宋体"/>
                <w:color w:val="auto"/>
                <w:sz w:val="24"/>
                <w:highlight w:val="none"/>
              </w:rPr>
              <w:t>在采购人有需求时接到通知（电话、电传等）后30 分钟内到现场响应得2分，不响应不得分。</w:t>
            </w:r>
          </w:p>
        </w:tc>
        <w:tc>
          <w:tcPr>
            <w:tcW w:w="844" w:type="dxa"/>
            <w:vAlign w:val="center"/>
          </w:tcPr>
          <w:p w14:paraId="7E05386B">
            <w:pPr>
              <w:jc w:val="center"/>
              <w:rPr>
                <w:rFonts w:ascii="宋体" w:hAnsi="宋体" w:cs="宋体"/>
                <w:color w:val="auto"/>
                <w:sz w:val="24"/>
                <w:highlight w:val="none"/>
              </w:rPr>
            </w:pPr>
            <w:r>
              <w:rPr>
                <w:rFonts w:hint="eastAsia" w:ascii="宋体" w:hAnsi="宋体" w:cs="宋体"/>
                <w:color w:val="auto"/>
                <w:sz w:val="24"/>
                <w:highlight w:val="none"/>
              </w:rPr>
              <w:t>2分</w:t>
            </w:r>
          </w:p>
        </w:tc>
      </w:tr>
      <w:tr w14:paraId="2363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60" w:type="dxa"/>
            <w:tcBorders>
              <w:top w:val="single" w:color="auto" w:sz="4" w:space="0"/>
              <w:left w:val="single" w:color="auto" w:sz="4" w:space="0"/>
              <w:bottom w:val="single" w:color="auto" w:sz="4" w:space="0"/>
              <w:right w:val="single" w:color="auto" w:sz="4" w:space="0"/>
            </w:tcBorders>
            <w:vAlign w:val="center"/>
          </w:tcPr>
          <w:p w14:paraId="5612C24A">
            <w:pPr>
              <w:snapToGrid w:val="0"/>
              <w:spacing w:line="360" w:lineRule="auto"/>
              <w:rPr>
                <w:rFonts w:ascii="宋体" w:hAnsi="宋体"/>
                <w:color w:val="auto"/>
                <w:sz w:val="24"/>
                <w:highlight w:val="none"/>
              </w:rPr>
            </w:pPr>
            <w:r>
              <w:rPr>
                <w:rFonts w:hint="eastAsia" w:ascii="宋体" w:hAnsi="宋体"/>
                <w:color w:val="auto"/>
                <w:sz w:val="24"/>
                <w:highlight w:val="none"/>
              </w:rPr>
              <w:t>合计</w:t>
            </w: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28B47630">
            <w:pPr>
              <w:snapToGrid w:val="0"/>
              <w:spacing w:line="360" w:lineRule="auto"/>
              <w:rPr>
                <w:rFonts w:ascii="宋体" w:hAnsi="宋体"/>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2E26D918">
            <w:pPr>
              <w:snapToGrid w:val="0"/>
              <w:spacing w:line="360" w:lineRule="auto"/>
              <w:rPr>
                <w:rFonts w:ascii="宋体" w:hAnsi="宋体"/>
                <w:color w:val="auto"/>
                <w:sz w:val="24"/>
                <w:highlight w:val="none"/>
              </w:rPr>
            </w:pPr>
            <w:r>
              <w:rPr>
                <w:rFonts w:hint="eastAsia" w:ascii="宋体" w:hAnsi="宋体"/>
                <w:color w:val="auto"/>
                <w:sz w:val="24"/>
                <w:highlight w:val="none"/>
              </w:rPr>
              <w:t>90分</w:t>
            </w:r>
          </w:p>
        </w:tc>
      </w:tr>
    </w:tbl>
    <w:p w14:paraId="302AC83D">
      <w:pPr>
        <w:spacing w:before="120" w:beforeLines="50" w:after="120" w:afterLines="50" w:line="400" w:lineRule="exact"/>
        <w:ind w:firstLine="551" w:firstLineChars="196"/>
        <w:rPr>
          <w:rFonts w:ascii="宋体" w:hAnsi="宋体"/>
          <w:b/>
          <w:bCs/>
          <w:color w:val="auto"/>
          <w:sz w:val="24"/>
          <w:highlight w:val="none"/>
        </w:rPr>
      </w:pPr>
      <w:r>
        <w:rPr>
          <w:rFonts w:hint="eastAsia" w:ascii="宋体" w:hAnsi="宋体" w:eastAsia="宋体" w:cs="宋体"/>
          <w:b/>
          <w:color w:val="auto"/>
          <w:sz w:val="28"/>
          <w:szCs w:val="28"/>
          <w:highlight w:val="none"/>
        </w:rPr>
        <w:t>注：投标单位必须确保投标时所提供的所有资料真实有效，如发现有弄虚作假行为将报同级财政部门处罚。</w:t>
      </w:r>
    </w:p>
    <w:p w14:paraId="74509630">
      <w:pPr>
        <w:spacing w:before="120" w:beforeLines="50" w:after="120" w:afterLines="50" w:line="400" w:lineRule="exact"/>
        <w:ind w:firstLine="472" w:firstLineChars="196"/>
        <w:rPr>
          <w:rFonts w:ascii="宋体" w:hAnsi="宋体"/>
          <w:b/>
          <w:bCs/>
          <w:color w:val="auto"/>
          <w:sz w:val="24"/>
          <w:highlight w:val="none"/>
        </w:rPr>
      </w:pPr>
      <w:r>
        <w:rPr>
          <w:rFonts w:hint="eastAsia" w:ascii="宋体" w:hAnsi="宋体"/>
          <w:b/>
          <w:bCs/>
          <w:color w:val="auto"/>
          <w:sz w:val="24"/>
          <w:highlight w:val="none"/>
        </w:rPr>
        <w:t>（五）技术、商务、资信及其他分的计算</w:t>
      </w:r>
    </w:p>
    <w:p w14:paraId="529E9A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技术、商务、资信及其他分按照评标委员会成员的独立评分结果汇总数的算术平均分计算，计算公式为：</w:t>
      </w:r>
    </w:p>
    <w:p w14:paraId="29AB9C05">
      <w:pPr>
        <w:spacing w:line="360" w:lineRule="auto"/>
        <w:ind w:firstLine="495"/>
        <w:rPr>
          <w:rFonts w:ascii="宋体" w:hAnsi="宋体"/>
          <w:color w:val="auto"/>
          <w:sz w:val="24"/>
          <w:highlight w:val="none"/>
        </w:rPr>
      </w:pPr>
      <w:r>
        <w:rPr>
          <w:rFonts w:hint="eastAsia" w:ascii="宋体" w:hAnsi="宋体"/>
          <w:color w:val="auto"/>
          <w:sz w:val="24"/>
          <w:highlight w:val="none"/>
        </w:rPr>
        <w:t>技术商务资信分=（评标委员会所有成员评分合计数）/（评标委员会组成人员数）</w:t>
      </w:r>
    </w:p>
    <w:p w14:paraId="378D3EB0">
      <w:pPr>
        <w:pStyle w:val="19"/>
        <w:rPr>
          <w:color w:val="auto"/>
          <w:highlight w:val="none"/>
        </w:rPr>
      </w:pPr>
    </w:p>
    <w:p w14:paraId="40AABBBB">
      <w:pPr>
        <w:pStyle w:val="20"/>
        <w:rPr>
          <w:color w:val="auto"/>
          <w:highlight w:val="none"/>
        </w:rPr>
      </w:pPr>
    </w:p>
    <w:p w14:paraId="70F0CDF2">
      <w:pPr>
        <w:rPr>
          <w:color w:val="auto"/>
          <w:highlight w:val="none"/>
        </w:rPr>
      </w:pPr>
    </w:p>
    <w:p w14:paraId="6119B506">
      <w:pPr>
        <w:rPr>
          <w:color w:val="auto"/>
          <w:highlight w:val="none"/>
        </w:rPr>
      </w:pPr>
    </w:p>
    <w:p w14:paraId="3242879D">
      <w:pPr>
        <w:rPr>
          <w:color w:val="auto"/>
          <w:highlight w:val="none"/>
        </w:rPr>
      </w:pPr>
    </w:p>
    <w:p w14:paraId="3D59631C">
      <w:pPr>
        <w:rPr>
          <w:color w:val="auto"/>
          <w:highlight w:val="none"/>
        </w:rPr>
      </w:pPr>
    </w:p>
    <w:p w14:paraId="293BF12E">
      <w:pPr>
        <w:rPr>
          <w:color w:val="auto"/>
          <w:highlight w:val="none"/>
        </w:rPr>
      </w:pPr>
    </w:p>
    <w:p w14:paraId="7BA03A8A">
      <w:pPr>
        <w:rPr>
          <w:color w:val="auto"/>
          <w:highlight w:val="none"/>
        </w:rPr>
      </w:pPr>
    </w:p>
    <w:p w14:paraId="4CF2AF40">
      <w:pPr>
        <w:rPr>
          <w:color w:val="auto"/>
          <w:highlight w:val="none"/>
        </w:rPr>
      </w:pPr>
    </w:p>
    <w:p w14:paraId="153A127A">
      <w:pPr>
        <w:rPr>
          <w:color w:val="auto"/>
          <w:highlight w:val="none"/>
        </w:rPr>
      </w:pPr>
    </w:p>
    <w:p w14:paraId="6FE39F32">
      <w:pPr>
        <w:rPr>
          <w:color w:val="auto"/>
          <w:highlight w:val="none"/>
        </w:rPr>
      </w:pPr>
    </w:p>
    <w:p w14:paraId="0A5F28F1">
      <w:pPr>
        <w:rPr>
          <w:color w:val="auto"/>
          <w:highlight w:val="none"/>
        </w:rPr>
      </w:pPr>
    </w:p>
    <w:p w14:paraId="7FB26F0D">
      <w:pPr>
        <w:rPr>
          <w:color w:val="auto"/>
          <w:highlight w:val="none"/>
        </w:rPr>
      </w:pPr>
    </w:p>
    <w:p w14:paraId="7B5B4D31">
      <w:pPr>
        <w:rPr>
          <w:color w:val="auto"/>
          <w:highlight w:val="none"/>
        </w:rPr>
      </w:pPr>
    </w:p>
    <w:p w14:paraId="78AD3A39">
      <w:pPr>
        <w:rPr>
          <w:color w:val="auto"/>
          <w:highlight w:val="none"/>
        </w:rPr>
      </w:pPr>
    </w:p>
    <w:p w14:paraId="289F8C6D">
      <w:pPr>
        <w:rPr>
          <w:color w:val="auto"/>
          <w:highlight w:val="none"/>
        </w:rPr>
      </w:pPr>
    </w:p>
    <w:p w14:paraId="0BDB04D9">
      <w:pPr>
        <w:rPr>
          <w:color w:val="auto"/>
          <w:highlight w:val="none"/>
        </w:rPr>
      </w:pPr>
    </w:p>
    <w:p w14:paraId="6C55A4BD">
      <w:pPr>
        <w:pStyle w:val="20"/>
        <w:rPr>
          <w:color w:val="auto"/>
          <w:highlight w:val="none"/>
        </w:rPr>
      </w:pPr>
    </w:p>
    <w:p w14:paraId="2C9DD16F">
      <w:pPr>
        <w:rPr>
          <w:color w:val="auto"/>
          <w:highlight w:val="none"/>
        </w:rPr>
      </w:pPr>
    </w:p>
    <w:p w14:paraId="22D9CD53">
      <w:pPr>
        <w:rPr>
          <w:color w:val="auto"/>
          <w:highlight w:val="none"/>
        </w:rPr>
      </w:pPr>
    </w:p>
    <w:p w14:paraId="4FB8E5C6">
      <w:pPr>
        <w:rPr>
          <w:color w:val="auto"/>
          <w:highlight w:val="none"/>
        </w:rPr>
      </w:pPr>
    </w:p>
    <w:p w14:paraId="3E77AB27">
      <w:pPr>
        <w:rPr>
          <w:color w:val="auto"/>
          <w:highlight w:val="none"/>
        </w:rPr>
      </w:pPr>
    </w:p>
    <w:p w14:paraId="2F393C45">
      <w:pPr>
        <w:rPr>
          <w:color w:val="auto"/>
          <w:highlight w:val="none"/>
        </w:rPr>
      </w:pPr>
    </w:p>
    <w:p w14:paraId="78943484">
      <w:pPr>
        <w:rPr>
          <w:color w:val="auto"/>
          <w:highlight w:val="none"/>
        </w:rPr>
      </w:pPr>
    </w:p>
    <w:p w14:paraId="365DED00">
      <w:pPr>
        <w:rPr>
          <w:color w:val="auto"/>
          <w:highlight w:val="none"/>
        </w:rPr>
      </w:pPr>
    </w:p>
    <w:p w14:paraId="31221B26">
      <w:pPr>
        <w:rPr>
          <w:color w:val="auto"/>
          <w:highlight w:val="none"/>
        </w:rPr>
      </w:pPr>
    </w:p>
    <w:p w14:paraId="18DE163F">
      <w:pPr>
        <w:rPr>
          <w:color w:val="auto"/>
          <w:highlight w:val="none"/>
        </w:rPr>
      </w:pPr>
    </w:p>
    <w:p w14:paraId="3D786305">
      <w:pPr>
        <w:rPr>
          <w:color w:val="auto"/>
          <w:highlight w:val="none"/>
        </w:rPr>
      </w:pPr>
    </w:p>
    <w:p w14:paraId="4E7B8C89">
      <w:pPr>
        <w:rPr>
          <w:color w:val="auto"/>
          <w:highlight w:val="none"/>
        </w:rPr>
      </w:pPr>
    </w:p>
    <w:p w14:paraId="74CB35D0">
      <w:pPr>
        <w:rPr>
          <w:color w:val="auto"/>
          <w:highlight w:val="none"/>
        </w:rPr>
      </w:pPr>
    </w:p>
    <w:p w14:paraId="32DC68CB">
      <w:pPr>
        <w:rPr>
          <w:color w:val="auto"/>
          <w:highlight w:val="none"/>
        </w:rPr>
      </w:pPr>
    </w:p>
    <w:p w14:paraId="0BF85DC9">
      <w:pPr>
        <w:adjustRightInd w:val="0"/>
        <w:spacing w:line="360" w:lineRule="auto"/>
        <w:jc w:val="center"/>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第五章 </w:t>
      </w:r>
      <w:r>
        <w:rPr>
          <w:rFonts w:hint="eastAsia" w:ascii="黑体" w:hAnsi="宋体" w:eastAsia="黑体"/>
          <w:bCs/>
          <w:color w:val="auto"/>
          <w:sz w:val="30"/>
          <w:szCs w:val="30"/>
          <w:highlight w:val="none"/>
        </w:rPr>
        <w:t>合同主要条款（供参考）</w:t>
      </w:r>
    </w:p>
    <w:p w14:paraId="5232974C">
      <w:pPr>
        <w:widowControl/>
        <w:spacing w:line="360" w:lineRule="auto"/>
        <w:ind w:right="62" w:firstLine="480"/>
        <w:rPr>
          <w:rFonts w:ascii="宋体" w:hAnsi="宋体" w:cs="宋体"/>
          <w:color w:val="auto"/>
          <w:sz w:val="24"/>
          <w:highlight w:val="none"/>
        </w:rPr>
      </w:pPr>
      <w:r>
        <w:rPr>
          <w:rFonts w:hint="eastAsia" w:ascii="宋体" w:hAnsi="宋体" w:cs="宋体"/>
          <w:color w:val="auto"/>
          <w:sz w:val="24"/>
          <w:highlight w:val="none"/>
        </w:rPr>
        <w:t xml:space="preserve">财政审批编号:                                采购文件编号:    </w:t>
      </w:r>
    </w:p>
    <w:p w14:paraId="79E3300C">
      <w:pPr>
        <w:spacing w:line="340" w:lineRule="exact"/>
        <w:ind w:firstLine="643" w:firstLineChars="200"/>
        <w:jc w:val="center"/>
        <w:rPr>
          <w:rFonts w:ascii="宋体" w:hAnsi="宋体" w:cs="宋体"/>
          <w:b/>
          <w:bCs/>
          <w:color w:val="auto"/>
          <w:sz w:val="32"/>
          <w:szCs w:val="30"/>
          <w:highlight w:val="none"/>
        </w:rPr>
      </w:pPr>
    </w:p>
    <w:p w14:paraId="1BB73CB7">
      <w:pPr>
        <w:tabs>
          <w:tab w:val="left" w:pos="5925"/>
        </w:tabs>
        <w:spacing w:line="400" w:lineRule="exact"/>
        <w:rPr>
          <w:rFonts w:ascii="宋体" w:hAnsi="宋体" w:cs="宋体"/>
          <w:color w:val="auto"/>
          <w:sz w:val="24"/>
          <w:highlight w:val="none"/>
        </w:rPr>
      </w:pPr>
      <w:r>
        <w:rPr>
          <w:rFonts w:hint="eastAsia" w:ascii="宋体" w:hAnsi="宋体" w:cs="宋体"/>
          <w:color w:val="auto"/>
          <w:sz w:val="24"/>
          <w:highlight w:val="none"/>
        </w:rPr>
        <w:t xml:space="preserve">项目名称： </w:t>
      </w:r>
    </w:p>
    <w:p w14:paraId="5FA0F1CD">
      <w:pPr>
        <w:tabs>
          <w:tab w:val="left" w:pos="5925"/>
        </w:tabs>
        <w:spacing w:line="400" w:lineRule="exact"/>
        <w:rPr>
          <w:rFonts w:ascii="宋体" w:hAnsi="宋体" w:cs="宋体"/>
          <w:color w:val="auto"/>
          <w:sz w:val="24"/>
          <w:highlight w:val="none"/>
        </w:rPr>
      </w:pPr>
      <w:r>
        <w:rPr>
          <w:rFonts w:hint="eastAsia" w:ascii="宋体" w:hAnsi="宋体" w:cs="宋体"/>
          <w:color w:val="auto"/>
          <w:sz w:val="24"/>
          <w:highlight w:val="none"/>
        </w:rPr>
        <w:t>甲方：</w:t>
      </w:r>
    </w:p>
    <w:p w14:paraId="3C691D97">
      <w:pPr>
        <w:tabs>
          <w:tab w:val="left" w:pos="5925"/>
        </w:tabs>
        <w:spacing w:line="400" w:lineRule="exact"/>
        <w:rPr>
          <w:rFonts w:ascii="宋体" w:hAnsi="宋体" w:cs="宋体"/>
          <w:color w:val="auto"/>
          <w:sz w:val="24"/>
          <w:highlight w:val="none"/>
        </w:rPr>
      </w:pPr>
      <w:r>
        <w:rPr>
          <w:rFonts w:hint="eastAsia" w:ascii="宋体" w:hAnsi="宋体" w:cs="宋体"/>
          <w:color w:val="auto"/>
          <w:sz w:val="24"/>
          <w:highlight w:val="none"/>
        </w:rPr>
        <w:t>乙方：</w:t>
      </w:r>
    </w:p>
    <w:p w14:paraId="27A0F4B6">
      <w:pPr>
        <w:tabs>
          <w:tab w:val="left" w:pos="592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甲乙双方根据浙江华耀建设咨询有限公司关于</w:t>
      </w:r>
      <w:r>
        <w:rPr>
          <w:rFonts w:hint="eastAsia" w:ascii="宋体" w:hAnsi="宋体" w:cs="宋体"/>
          <w:color w:val="auto"/>
          <w:sz w:val="24"/>
          <w:highlight w:val="none"/>
          <w:u w:val="single"/>
        </w:rPr>
        <w:t>湖州南太湖新区市本级移交道路绿化养护补植项目（2025-2027年度）</w:t>
      </w:r>
      <w:r>
        <w:rPr>
          <w:rFonts w:hint="eastAsia" w:ascii="宋体" w:hAnsi="宋体" w:cs="宋体"/>
          <w:color w:val="auto"/>
          <w:sz w:val="24"/>
          <w:highlight w:val="none"/>
        </w:rPr>
        <w:t xml:space="preserve"> 招标的结果，签署本合同。</w:t>
      </w:r>
    </w:p>
    <w:p w14:paraId="64D8AF33">
      <w:pPr>
        <w:spacing w:line="360" w:lineRule="auto"/>
        <w:ind w:firstLine="480" w:firstLineChars="200"/>
        <w:rPr>
          <w:rFonts w:asciiTheme="majorEastAsia" w:hAnsiTheme="majorEastAsia" w:eastAsiaTheme="majorEastAsia" w:cstheme="majorEastAsia"/>
          <w:color w:val="auto"/>
          <w:sz w:val="24"/>
          <w:szCs w:val="24"/>
          <w:highlight w:val="none"/>
        </w:rPr>
      </w:pPr>
    </w:p>
    <w:p w14:paraId="67C6237F">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1.定义</w:t>
      </w:r>
    </w:p>
    <w:p w14:paraId="374CB586">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本合同中的下列术语应解释为：</w:t>
      </w:r>
    </w:p>
    <w:p w14:paraId="14DCAF39">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1.1“合同”系指供需双方签署的、合同格式中载明的供需双方所达成的协议，包括所有的附件、附录和构成合同的所有文件；</w:t>
      </w:r>
    </w:p>
    <w:p w14:paraId="713AD381">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1.2“合同价”系指根据合同规定，采购人在供应商完全履行合同义务后应付给的价格；</w:t>
      </w:r>
    </w:p>
    <w:p w14:paraId="010A5077">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rPr>
        <w:t>“服务”系指根据合同规定供应商承担本项目招标范围内的服务；</w:t>
      </w:r>
    </w:p>
    <w:p w14:paraId="03BD9FC1">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1.5“采购人”系指具体接受服务的使用单位；</w:t>
      </w:r>
    </w:p>
    <w:p w14:paraId="1CA65D46">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1.6“供应商”系指根据合同规定提供采购项目服务的具有法人资格的公司、企业或实体；</w:t>
      </w:r>
    </w:p>
    <w:p w14:paraId="35550135">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1.7“财政审批编号”系指市财政局审批编号。</w:t>
      </w:r>
    </w:p>
    <w:p w14:paraId="191C2057">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2.合同项目与内容</w:t>
      </w:r>
    </w:p>
    <w:p w14:paraId="67116FC6">
      <w:pPr>
        <w:spacing w:line="360" w:lineRule="auto"/>
        <w:ind w:left="420"/>
        <w:rPr>
          <w:rFonts w:cs="仿宋" w:asciiTheme="majorEastAsia" w:hAnsiTheme="majorEastAsia" w:eastAsiaTheme="majorEastAsia"/>
          <w:bCs/>
          <w:color w:val="auto"/>
          <w:sz w:val="24"/>
          <w:szCs w:val="24"/>
          <w:highlight w:val="none"/>
        </w:rPr>
      </w:pPr>
      <w:r>
        <w:rPr>
          <w:rFonts w:hint="eastAsia" w:cs="仿宋" w:asciiTheme="majorEastAsia" w:hAnsiTheme="majorEastAsia" w:eastAsiaTheme="majorEastAsia"/>
          <w:bCs/>
          <w:color w:val="auto"/>
          <w:sz w:val="24"/>
          <w:szCs w:val="24"/>
          <w:highlight w:val="none"/>
        </w:rPr>
        <w:t>2.1 合同总价：人民币</w:t>
      </w:r>
      <w:r>
        <w:rPr>
          <w:rFonts w:hint="eastAsia" w:cs="仿宋" w:asciiTheme="majorEastAsia" w:hAnsiTheme="majorEastAsia" w:eastAsiaTheme="majorEastAsia"/>
          <w:bCs/>
          <w:color w:val="auto"/>
          <w:sz w:val="24"/>
          <w:szCs w:val="24"/>
          <w:highlight w:val="none"/>
          <w:u w:val="single"/>
        </w:rPr>
        <w:t xml:space="preserve">                    元（           /年 </w:t>
      </w:r>
      <w:r>
        <w:rPr>
          <w:rFonts w:hint="eastAsia" w:cs="仿宋" w:asciiTheme="majorEastAsia" w:hAnsiTheme="majorEastAsia" w:eastAsiaTheme="majorEastAsia"/>
          <w:bCs/>
          <w:color w:val="auto"/>
          <w:sz w:val="24"/>
          <w:szCs w:val="24"/>
          <w:highlight w:val="none"/>
        </w:rPr>
        <w:t>）。</w:t>
      </w:r>
    </w:p>
    <w:p w14:paraId="22F9F009">
      <w:pPr>
        <w:spacing w:line="360" w:lineRule="auto"/>
        <w:ind w:left="420"/>
        <w:rPr>
          <w:rFonts w:cs="仿宋" w:asciiTheme="majorEastAsia" w:hAnsiTheme="majorEastAsia" w:eastAsiaTheme="majorEastAsia"/>
          <w:color w:val="auto"/>
          <w:sz w:val="24"/>
          <w:szCs w:val="24"/>
          <w:highlight w:val="none"/>
          <w:u w:val="single"/>
        </w:rPr>
      </w:pPr>
      <w:r>
        <w:rPr>
          <w:rFonts w:hint="eastAsia" w:cs="仿宋" w:asciiTheme="majorEastAsia" w:hAnsiTheme="majorEastAsia" w:eastAsiaTheme="majorEastAsia"/>
          <w:bCs/>
          <w:color w:val="auto"/>
          <w:sz w:val="24"/>
          <w:szCs w:val="24"/>
          <w:highlight w:val="none"/>
        </w:rPr>
        <w:t>2.2 合同单价：</w:t>
      </w:r>
      <w:r>
        <w:rPr>
          <w:rFonts w:hint="eastAsia" w:cs="仿宋" w:asciiTheme="majorEastAsia" w:hAnsiTheme="majorEastAsia" w:eastAsiaTheme="majorEastAsia"/>
          <w:color w:val="auto"/>
          <w:sz w:val="24"/>
          <w:szCs w:val="24"/>
          <w:highlight w:val="none"/>
        </w:rPr>
        <w:t>绿化养护单价：</w:t>
      </w:r>
      <w:r>
        <w:rPr>
          <w:rFonts w:hint="eastAsia" w:cs="仿宋" w:asciiTheme="majorEastAsia" w:hAnsiTheme="majorEastAsia" w:eastAsiaTheme="majorEastAsia"/>
          <w:color w:val="auto"/>
          <w:sz w:val="24"/>
          <w:szCs w:val="24"/>
          <w:highlight w:val="none"/>
          <w:u w:val="single"/>
        </w:rPr>
        <w:t>元/㎡·年</w:t>
      </w:r>
    </w:p>
    <w:p w14:paraId="697A570B">
      <w:pPr>
        <w:spacing w:line="360" w:lineRule="auto"/>
        <w:ind w:firstLine="2160" w:firstLineChars="9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绿化补植单价（折扣报价）：</w:t>
      </w:r>
      <w:r>
        <w:rPr>
          <w:rFonts w:hint="eastAsia" w:cs="仿宋" w:asciiTheme="majorEastAsia" w:hAnsiTheme="majorEastAsia" w:eastAsiaTheme="majorEastAsia"/>
          <w:color w:val="auto"/>
          <w:sz w:val="24"/>
          <w:szCs w:val="24"/>
          <w:highlight w:val="none"/>
          <w:u w:val="single"/>
        </w:rPr>
        <w:t>%</w:t>
      </w:r>
    </w:p>
    <w:p w14:paraId="156A2FAB">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3.服务时间与服务地点</w:t>
      </w:r>
    </w:p>
    <w:p w14:paraId="25B37177">
      <w:pPr>
        <w:spacing w:line="360" w:lineRule="auto"/>
        <w:jc w:val="left"/>
        <w:outlineLvl w:val="0"/>
        <w:rPr>
          <w:rFonts w:cs="宋体"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服务时间：详见招标文件要求</w:t>
      </w:r>
      <w:r>
        <w:rPr>
          <w:rFonts w:hint="eastAsia" w:cs="宋体" w:asciiTheme="majorEastAsia" w:hAnsiTheme="majorEastAsia" w:eastAsiaTheme="majorEastAsia"/>
          <w:color w:val="auto"/>
          <w:sz w:val="24"/>
          <w:szCs w:val="24"/>
          <w:highlight w:val="none"/>
        </w:rPr>
        <w:t>；</w:t>
      </w:r>
    </w:p>
    <w:p w14:paraId="70149A80">
      <w:pPr>
        <w:spacing w:line="360" w:lineRule="auto"/>
        <w:jc w:val="left"/>
        <w:outlineLvl w:val="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服务地点：由采购单位指定。</w:t>
      </w:r>
    </w:p>
    <w:p w14:paraId="61780A26">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4.签署合同的要求</w:t>
      </w:r>
    </w:p>
    <w:p w14:paraId="552A3223">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4.1、供应商必须按照投标文件和询标过程中承诺的条款以及中标通知书中规定的时间、地点与采购人签订合同；</w:t>
      </w:r>
    </w:p>
    <w:p w14:paraId="4ED25CDA">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4.</w:t>
      </w:r>
      <w:r>
        <w:rPr>
          <w:rFonts w:asciiTheme="majorEastAsia" w:hAnsiTheme="majorEastAsia" w:eastAsiaTheme="majorEastAsia"/>
          <w:bCs/>
          <w:color w:val="auto"/>
          <w:sz w:val="24"/>
          <w:szCs w:val="24"/>
          <w:highlight w:val="none"/>
        </w:rPr>
        <w:t>2</w:t>
      </w:r>
      <w:r>
        <w:rPr>
          <w:rFonts w:hint="eastAsia" w:asciiTheme="majorEastAsia" w:hAnsiTheme="majorEastAsia" w:eastAsiaTheme="majorEastAsia"/>
          <w:bCs/>
          <w:color w:val="auto"/>
          <w:sz w:val="24"/>
          <w:szCs w:val="24"/>
          <w:highlight w:val="none"/>
        </w:rPr>
        <w:t>、所签订的合同内容不得对招标文件和供应商的投标文件作实质性修改；</w:t>
      </w:r>
    </w:p>
    <w:p w14:paraId="774105DD">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4.</w:t>
      </w:r>
      <w:r>
        <w:rPr>
          <w:rFonts w:asciiTheme="majorEastAsia" w:hAnsiTheme="majorEastAsia" w:eastAsiaTheme="majorEastAsia"/>
          <w:bCs/>
          <w:color w:val="auto"/>
          <w:sz w:val="24"/>
          <w:szCs w:val="24"/>
          <w:highlight w:val="none"/>
        </w:rPr>
        <w:t>3</w:t>
      </w:r>
      <w:r>
        <w:rPr>
          <w:rFonts w:hint="eastAsia" w:asciiTheme="majorEastAsia" w:hAnsiTheme="majorEastAsia" w:eastAsiaTheme="majorEastAsia"/>
          <w:bCs/>
          <w:color w:val="auto"/>
          <w:sz w:val="24"/>
          <w:szCs w:val="24"/>
          <w:highlight w:val="none"/>
        </w:rPr>
        <w:t>、采购人不得向供应商提出任何不合理的要求，作为签订合同的条件，不得与供应商私下订立背离合同实质性内容的协议；</w:t>
      </w:r>
    </w:p>
    <w:p w14:paraId="148AD3FE">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4.</w:t>
      </w:r>
      <w:r>
        <w:rPr>
          <w:rFonts w:asciiTheme="majorEastAsia" w:hAnsiTheme="majorEastAsia" w:eastAsiaTheme="majorEastAsia"/>
          <w:bCs/>
          <w:color w:val="auto"/>
          <w:sz w:val="24"/>
          <w:szCs w:val="24"/>
          <w:highlight w:val="none"/>
        </w:rPr>
        <w:t>4</w:t>
      </w:r>
      <w:r>
        <w:rPr>
          <w:rFonts w:hint="eastAsia" w:asciiTheme="majorEastAsia" w:hAnsiTheme="majorEastAsia" w:eastAsiaTheme="majorEastAsia"/>
          <w:bCs/>
          <w:color w:val="auto"/>
          <w:sz w:val="24"/>
          <w:szCs w:val="24"/>
          <w:highlight w:val="none"/>
        </w:rPr>
        <w:t>、自采购合同签订之日起 7个工作日内，将采购合同副本 2份送本项目招标代理机构、同级人民政府财政部门备案。</w:t>
      </w:r>
    </w:p>
    <w:p w14:paraId="2CF36F8C">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5.技术规范</w:t>
      </w:r>
    </w:p>
    <w:p w14:paraId="120B1126">
      <w:pPr>
        <w:spacing w:line="360" w:lineRule="auto"/>
        <w:ind w:firstLine="480" w:firstLineChars="200"/>
        <w:rPr>
          <w:rFonts w:asciiTheme="majorEastAsia" w:hAnsiTheme="majorEastAsia" w:eastAsiaTheme="majorEastAsia"/>
          <w:color w:val="auto"/>
          <w:sz w:val="24"/>
          <w:szCs w:val="24"/>
          <w:highlight w:val="none"/>
          <w:lang w:val="zh-CN"/>
        </w:rPr>
      </w:pPr>
      <w:r>
        <w:rPr>
          <w:rFonts w:hint="eastAsia" w:asciiTheme="majorEastAsia" w:hAnsiTheme="majorEastAsia" w:eastAsiaTheme="majorEastAsia"/>
          <w:color w:val="auto"/>
          <w:sz w:val="24"/>
          <w:szCs w:val="24"/>
          <w:highlight w:val="none"/>
          <w:lang w:val="zh-CN"/>
        </w:rPr>
        <w:t>本合同执行国家及本省、市现行项目实施及验收规范及有关条例、实施办法等。</w:t>
      </w:r>
    </w:p>
    <w:p w14:paraId="4D9D96A0">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提供和交付的服务技术规范应与招标文件规定的技术规范相一致。</w:t>
      </w:r>
    </w:p>
    <w:p w14:paraId="30E34CBC">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6.知识产权</w:t>
      </w:r>
    </w:p>
    <w:p w14:paraId="7E7808B8">
      <w:pPr>
        <w:spacing w:line="360" w:lineRule="auto"/>
        <w:ind w:firstLine="480" w:firstLineChars="200"/>
        <w:rPr>
          <w:rFonts w:ascii="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252B82C5">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7.工作考核及付款方式</w:t>
      </w:r>
    </w:p>
    <w:p w14:paraId="11447EE2">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7.1付款方式：</w:t>
      </w:r>
    </w:p>
    <w:p w14:paraId="0BC46A3D">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(1)合同生效以及具备实施条件后7个工作日内支付年合同价款的20%作为预付款；</w:t>
      </w:r>
    </w:p>
    <w:p w14:paraId="092C5A3D">
      <w:pPr>
        <w:spacing w:line="360" w:lineRule="auto"/>
        <w:ind w:firstLine="482" w:firstLineChars="200"/>
        <w:rPr>
          <w:b/>
          <w:color w:val="auto"/>
          <w:sz w:val="24"/>
          <w:szCs w:val="24"/>
          <w:highlight w:val="none"/>
        </w:rPr>
      </w:pPr>
      <w:r>
        <w:rPr>
          <w:rFonts w:hint="eastAsia" w:asciiTheme="majorEastAsia" w:hAnsiTheme="majorEastAsia" w:eastAsiaTheme="majorEastAsia"/>
          <w:b/>
          <w:color w:val="auto"/>
          <w:sz w:val="24"/>
          <w:szCs w:val="24"/>
          <w:highlight w:val="none"/>
        </w:rPr>
        <w:t>(2)</w:t>
      </w:r>
      <w:r>
        <w:rPr>
          <w:rFonts w:hint="eastAsia"/>
          <w:b/>
          <w:color w:val="auto"/>
          <w:sz w:val="24"/>
          <w:szCs w:val="24"/>
          <w:highlight w:val="none"/>
        </w:rPr>
        <w:t>合同价款分两部分支付：绿化养护费用招标人根据考核情况按季度支付，每次支付按实际完成工程量的80% （扣除每月对应考核考评结果相应罚款）支付，余款按年度待核准后结清；绿化补植（含草花）费用每年完成竣工验收后支付实际完成工程量的50%，余款待核准后一次性付清。</w:t>
      </w:r>
    </w:p>
    <w:p w14:paraId="058E92DB">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(3)采购人在向供应商支付预付款之前，有权要求供应商向采购人提供与预付款金额相对应的担保措施，担保措施可以是银行、保险公司等金融机构出具的预付款保函或其他担保措施。</w:t>
      </w:r>
    </w:p>
    <w:p w14:paraId="49A493FB">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p w14:paraId="49CDD568">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7.2工作考核：</w:t>
      </w:r>
    </w:p>
    <w:p w14:paraId="7880CCB9">
      <w:pPr>
        <w:numPr>
          <w:ilvl w:val="0"/>
          <w:numId w:val="14"/>
        </w:numPr>
        <w:spacing w:line="360" w:lineRule="auto"/>
        <w:jc w:val="left"/>
        <w:outlineLvl w:val="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主要工作任务</w:t>
      </w:r>
    </w:p>
    <w:p w14:paraId="003ABC2A">
      <w:pPr>
        <w:snapToGrid w:val="0"/>
        <w:spacing w:line="360" w:lineRule="auto"/>
        <w:ind w:left="280"/>
        <w:rPr>
          <w:rFonts w:cs="仿宋" w:asciiTheme="majorEastAsia" w:hAnsiTheme="majorEastAsia" w:eastAsiaTheme="majorEastAsia"/>
          <w:b/>
          <w:color w:val="auto"/>
          <w:sz w:val="24"/>
          <w:szCs w:val="24"/>
          <w:highlight w:val="none"/>
          <w:shd w:val="clear" w:color="auto" w:fill="FFFFFF"/>
        </w:rPr>
      </w:pPr>
      <w:r>
        <w:rPr>
          <w:rFonts w:hint="eastAsia" w:cs="仿宋" w:asciiTheme="majorEastAsia" w:hAnsiTheme="majorEastAsia" w:eastAsiaTheme="majorEastAsia"/>
          <w:b/>
          <w:color w:val="auto"/>
          <w:sz w:val="24"/>
          <w:szCs w:val="24"/>
          <w:highlight w:val="none"/>
          <w:shd w:val="clear" w:color="auto" w:fill="FFFFFF"/>
        </w:rPr>
        <w:t>1、日常养护工作内容</w:t>
      </w:r>
    </w:p>
    <w:p w14:paraId="68513A8C">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绿化养护管理：中耕施肥、整地除草、修剪剥芽、树桩维护、防病除害、倒地扶正、清除枯枝、环境清理、浇水排水、分株移植、看护巡查、刷白、支撑加固、绿化垃圾处理（对修剪下来的树枝、树叶、草末等绿化垃圾做到随产随清;保持绿地整洁，无砖石、瓦块、塑料袋等垃圾和杂物）。</w:t>
      </w:r>
    </w:p>
    <w:p w14:paraId="0F3FFBE8">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草坪日常养护管理∶整地镇压、割草修边、草屑清除、挑除杂草、加土施肥、浇水排水、防病除害、环境清理、打孔复播、草籽播种（冬季草坪补播黑麦草草籽20g/m2）、绿化垃圾处理（对修剪下来的树枝、树叶、草末等绿化垃圾做到日产日清∶保持绿地整洁，无│砖石、瓦块、塑料袋等垃圾和杂物）</w:t>
      </w:r>
    </w:p>
    <w:p w14:paraId="24AFBC7D">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造型树养护管理：中耕施肥、整地除草、修剪剥芽、树桩维护、防病除害、倒地扶正、清除枯枝、环境清理、浇水排水等养护管理工作。</w:t>
      </w:r>
    </w:p>
    <w:p w14:paraId="04DECCA6">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花箱养护∶每个花箱内栽植月季、黄馨、红花继木球等，中耕施肥、整地除草、修剪剥芽、树桩维护、防病除害、倒地扶正、清除枯枝、环境清理、浇水排水等养护管理工作</w:t>
      </w:r>
    </w:p>
    <w:p w14:paraId="725DA97C">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安全教育及技能培训管理：做好养护、保洁、安保等工作人员安全生产教育，规范操作，避免工伤（含上下班途中）及因养护操作不当、不到位造成的人身和财产伤害；同时要求每年对职工开展组织不少于2次的园林绿化相关技能知识培训，主题及时间由发包人统一协调安排。</w:t>
      </w:r>
    </w:p>
    <w:p w14:paraId="0E3BE832">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应急管理：遇一般突发性、不可抗力事件（如台风、雪、旱、涝等）</w:t>
      </w:r>
      <w:r>
        <w:rPr>
          <w:rFonts w:hint="eastAsia" w:cs="仿宋" w:asciiTheme="majorEastAsia" w:hAnsiTheme="majorEastAsia" w:eastAsiaTheme="majorEastAsia"/>
          <w:color w:val="auto"/>
          <w:kern w:val="0"/>
          <w:sz w:val="24"/>
          <w:szCs w:val="24"/>
          <w:highlight w:val="none"/>
        </w:rPr>
        <w:t>应急处置，积极有效的处理，</w:t>
      </w:r>
      <w:r>
        <w:rPr>
          <w:rFonts w:hint="eastAsia" w:cs="仿宋" w:asciiTheme="majorEastAsia" w:hAnsiTheme="majorEastAsia" w:eastAsiaTheme="majorEastAsia"/>
          <w:color w:val="auto"/>
          <w:sz w:val="24"/>
          <w:szCs w:val="24"/>
          <w:highlight w:val="none"/>
        </w:rPr>
        <w:t>要及时处置并安排好值班巡查，做好应急处置方案，配备齐全应急救援人员和相应装备，所需费用自行考虑进投标报价中。</w:t>
      </w:r>
    </w:p>
    <w:p w14:paraId="2B477A3E">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热线处理：同时安排专职人员负责对接、处理养护管理范围内阳光热线、数字城管、媒体、群众来电来信来访等所反映的问题。各公园须设立便民服务热线，公布于出入口位置。</w:t>
      </w:r>
    </w:p>
    <w:p w14:paraId="70295936">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其它：养护范围内对外衔接、行政审批过程跟踪等工作。</w:t>
      </w:r>
    </w:p>
    <w:p w14:paraId="7D5071C3">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各养护单位至少配备一名现场管理人员（自配办公用品），由甲方统一安排，在指定办公地点配合甲方处理日常养护工作，乙方管理人员的人事任命须征得甲方同意，管理人员应具备丰富的管理经验，需保证工作日8小时在岗，节假日期间做好相关管理工作，24小时通讯通畅，管理人员必须服从甲方的管理和工作部署，如不服从甲方有权提出更换。</w:t>
      </w:r>
    </w:p>
    <w:p w14:paraId="12293D81">
      <w:pPr>
        <w:numPr>
          <w:ilvl w:val="0"/>
          <w:numId w:val="15"/>
        </w:num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各养护单位必须提供园林绿化垃圾无害化处置方案，鼓励管养单位自行资源化处理或委托有垃圾处理资质的相关单位进行处置，并定期对垃圾处置情况及处置费用进行统计和上报，费用自行考虑在报价中，不再额外增加费用。</w:t>
      </w:r>
    </w:p>
    <w:p w14:paraId="5329347C">
      <w:pPr>
        <w:snapToGrid w:val="0"/>
        <w:spacing w:line="360" w:lineRule="auto"/>
        <w:ind w:left="280"/>
        <w:rPr>
          <w:rFonts w:cs="仿宋" w:asciiTheme="majorEastAsia" w:hAnsiTheme="majorEastAsia" w:eastAsiaTheme="majorEastAsia"/>
          <w:b/>
          <w:color w:val="auto"/>
          <w:sz w:val="24"/>
          <w:szCs w:val="24"/>
          <w:highlight w:val="none"/>
          <w:shd w:val="clear" w:color="auto" w:fill="FFFFFF"/>
        </w:rPr>
      </w:pPr>
      <w:r>
        <w:rPr>
          <w:rFonts w:hint="eastAsia" w:cs="仿宋" w:asciiTheme="majorEastAsia" w:hAnsiTheme="majorEastAsia" w:eastAsiaTheme="majorEastAsia"/>
          <w:b/>
          <w:color w:val="auto"/>
          <w:sz w:val="24"/>
          <w:szCs w:val="24"/>
          <w:highlight w:val="none"/>
          <w:shd w:val="clear" w:color="auto" w:fill="FFFFFF"/>
        </w:rPr>
        <w:t>2、绿化补植（含草花）工作内容：</w:t>
      </w:r>
    </w:p>
    <w:p w14:paraId="6ECF62D8">
      <w:pPr>
        <w:pStyle w:val="35"/>
        <w:numPr>
          <w:ilvl w:val="0"/>
          <w:numId w:val="16"/>
        </w:numPr>
        <w:spacing w:line="360" w:lineRule="auto"/>
        <w:ind w:left="480" w:leftChars="0" w:hanging="48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场地清理与平整、种植土回填、苗木采购、种植等绿化施工内容。</w:t>
      </w:r>
    </w:p>
    <w:p w14:paraId="250FE498">
      <w:pPr>
        <w:pStyle w:val="35"/>
        <w:numPr>
          <w:ilvl w:val="0"/>
          <w:numId w:val="16"/>
        </w:numPr>
        <w:spacing w:line="360" w:lineRule="auto"/>
        <w:ind w:left="480" w:leftChars="0" w:hanging="48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摆放装饰（重大活动及节假日氛围环境布置）及立体美化（组合花箱、花钵、造型花篮，节点花镜立体绿化造型）等。包括但不限于花卉种植、日常养护、多余废土清运、损坏补植、场地清理及重大节日、活动临时的花卉布置等。</w:t>
      </w:r>
    </w:p>
    <w:p w14:paraId="6DC152E3">
      <w:pPr>
        <w:pStyle w:val="35"/>
        <w:numPr>
          <w:ilvl w:val="0"/>
          <w:numId w:val="16"/>
        </w:numPr>
        <w:spacing w:line="360" w:lineRule="auto"/>
        <w:ind w:left="480" w:leftChars="0" w:hanging="48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适时适种，草花一年5季，中标人所用时花的规格、品种必须符合采购单位的要求，质量必须符合国家现行规范和标准中规定的时花质量，且经采购单位验收同意后方可使用。</w:t>
      </w:r>
    </w:p>
    <w:p w14:paraId="2C95CD18">
      <w:pPr>
        <w:snapToGrid w:val="0"/>
        <w:spacing w:line="360" w:lineRule="auto"/>
        <w:ind w:left="280"/>
        <w:rPr>
          <w:rFonts w:cs="仿宋" w:asciiTheme="majorEastAsia" w:hAnsiTheme="majorEastAsia" w:eastAsiaTheme="majorEastAsia"/>
          <w:b/>
          <w:color w:val="auto"/>
          <w:sz w:val="24"/>
          <w:szCs w:val="24"/>
          <w:highlight w:val="none"/>
          <w:shd w:val="clear" w:color="auto" w:fill="FFFFFF"/>
        </w:rPr>
      </w:pPr>
      <w:r>
        <w:rPr>
          <w:rFonts w:hint="eastAsia" w:cs="仿宋" w:asciiTheme="majorEastAsia" w:hAnsiTheme="majorEastAsia" w:eastAsiaTheme="majorEastAsia"/>
          <w:b/>
          <w:color w:val="auto"/>
          <w:sz w:val="24"/>
          <w:szCs w:val="24"/>
          <w:highlight w:val="none"/>
          <w:shd w:val="clear" w:color="auto" w:fill="FFFFFF"/>
        </w:rPr>
        <w:t>3、各类检查评比活动及采购人安排的突击任务；</w:t>
      </w:r>
    </w:p>
    <w:p w14:paraId="09E9EAAA">
      <w:pPr>
        <w:snapToGrid w:val="0"/>
        <w:spacing w:line="360" w:lineRule="auto"/>
        <w:ind w:firstLine="241" w:firstLineChars="1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b/>
          <w:color w:val="auto"/>
          <w:sz w:val="24"/>
          <w:szCs w:val="24"/>
          <w:highlight w:val="none"/>
          <w:shd w:val="clear" w:color="auto" w:fill="FFFFFF"/>
        </w:rPr>
        <w:t>4、采购人安排的其他与绿化养护、补植（含草花）作业相关的服务。</w:t>
      </w:r>
    </w:p>
    <w:p w14:paraId="6DDC202C">
      <w:pPr>
        <w:spacing w:line="360" w:lineRule="auto"/>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（二）养护人员及机械设备</w:t>
      </w:r>
    </w:p>
    <w:p w14:paraId="30CB1C77">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乙方养护人员及分块绿地养护小组人员名单、机械设备配备等需报甲方备案（详见附件1）。</w:t>
      </w:r>
    </w:p>
    <w:p w14:paraId="7B0FCB08">
      <w:pPr>
        <w:spacing w:line="360" w:lineRule="auto"/>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（三）养护方式</w:t>
      </w:r>
    </w:p>
    <w:p w14:paraId="27ECEEE3">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1、乙方在养护范围内以包工包料包机械的方式实施养护。</w:t>
      </w:r>
    </w:p>
    <w:p w14:paraId="47955368">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2、养护所需的材料、成品、设备等，均由乙方自行解决。</w:t>
      </w:r>
    </w:p>
    <w:p w14:paraId="46AD878F">
      <w:pPr>
        <w:spacing w:line="360" w:lineRule="auto"/>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（四）税费</w:t>
      </w:r>
    </w:p>
    <w:p w14:paraId="0A365D6F">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本合同执行中相关的一切税费均由乙方负担。</w:t>
      </w:r>
    </w:p>
    <w:p w14:paraId="62AB0EB0">
      <w:pPr>
        <w:spacing w:line="360" w:lineRule="auto"/>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（五）养护质量标准及考核办法</w:t>
      </w:r>
    </w:p>
    <w:p w14:paraId="575F6BF3">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1、养护质量标准：按《浙江省园林绿化技术规程（试行）》、原《湖州经济技术开发区园林绿化养护管理手册》及国家现行有关的规范标准执行。</w:t>
      </w:r>
    </w:p>
    <w:p w14:paraId="02BD2658">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2、考核办法：按《南太湖新区公用事业管理中心绿化养护考核实施细则》的有关规定执行。</w:t>
      </w:r>
    </w:p>
    <w:p w14:paraId="2D74A203">
      <w:pPr>
        <w:spacing w:line="360" w:lineRule="auto"/>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（六）绿化养护范围的调整</w:t>
      </w:r>
    </w:p>
    <w:p w14:paraId="6E780EBA">
      <w:pPr>
        <w:spacing w:line="360" w:lineRule="auto"/>
        <w:ind w:firstLine="482" w:firstLineChars="200"/>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招标范围外增加养护面积：新增养护面积在1万平方米之内不作费用调整，新增养护面积若超过1万平方米，超出差额（超过1万平方米部分面积）部分按中标单价计养护费结算，总体费用不得高于采购预算。</w:t>
      </w:r>
    </w:p>
    <w:p w14:paraId="0ED9EAE9">
      <w:pPr>
        <w:spacing w:line="360" w:lineRule="auto"/>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（七）服务及承诺</w:t>
      </w:r>
    </w:p>
    <w:p w14:paraId="5915B181">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1、乙方应明确承诺服务各项内容和措施，提供详细的服务地点、联系人、电话等有关资料。</w:t>
      </w:r>
    </w:p>
    <w:p w14:paraId="304778EE">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2、在养护期内，因绿化养护不当所发生的一切费用均由乙方承担。</w:t>
      </w:r>
    </w:p>
    <w:p w14:paraId="40F71ED9">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3、乙方在收到甲方通知后必须小时之内及时进行现场响应。</w:t>
      </w:r>
    </w:p>
    <w:p w14:paraId="6367433F">
      <w:pPr>
        <w:spacing w:line="360" w:lineRule="auto"/>
        <w:rPr>
          <w:rFonts w:cs="仿宋" w:asciiTheme="majorEastAsia" w:hAnsiTheme="majorEastAsia" w:eastAsiaTheme="majorEastAsia"/>
          <w:b/>
          <w:bCs/>
          <w:color w:val="auto"/>
          <w:sz w:val="24"/>
          <w:szCs w:val="24"/>
          <w:highlight w:val="none"/>
        </w:rPr>
      </w:pPr>
      <w:r>
        <w:rPr>
          <w:rFonts w:hint="eastAsia" w:cs="仿宋" w:asciiTheme="majorEastAsia" w:hAnsiTheme="majorEastAsia" w:eastAsiaTheme="majorEastAsia"/>
          <w:b/>
          <w:bCs/>
          <w:color w:val="auto"/>
          <w:sz w:val="24"/>
          <w:szCs w:val="24"/>
          <w:highlight w:val="none"/>
        </w:rPr>
        <w:t>（八） 违约责任</w:t>
      </w:r>
    </w:p>
    <w:p w14:paraId="0B8BAE9E">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1、工作期内如有绿化养护人员、保洁人员、看护人员短缺，甲方有权按市场平均每人每日费用的两倍扣除作为违约金。</w:t>
      </w:r>
    </w:p>
    <w:p w14:paraId="08B69800">
      <w:pPr>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2．工作期内如使用的绿化物料、苗木、工具、设备低于（或少于）、不符合质量要求等，甲方有权按比例扣除违约金。</w:t>
      </w:r>
    </w:p>
    <w:p w14:paraId="5FF1FF1B">
      <w:pPr>
        <w:spacing w:line="360" w:lineRule="auto"/>
        <w:rPr>
          <w:rFonts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3、如乙方服务质量下降，甲方以书面形式通知后十天仍未改善，甲方有权雇佣任何所需人员进行上述改善</w:t>
      </w:r>
      <w:r>
        <w:rPr>
          <w:rFonts w:hint="eastAsia" w:asciiTheme="majorEastAsia" w:hAnsiTheme="majorEastAsia" w:eastAsiaTheme="majorEastAsia"/>
          <w:color w:val="auto"/>
          <w:sz w:val="24"/>
          <w:szCs w:val="24"/>
          <w:highlight w:val="none"/>
        </w:rPr>
        <w:t>，而所需一切费用则从合同款中扣除。如遇紧急突发事件如台风等，而乙方未能及时处理，甲方有权雇佣工人进行有关工作，一切费用从合同款中扣除；由于不可抗力原因除外。</w:t>
      </w:r>
    </w:p>
    <w:p w14:paraId="61D4971B">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4、双方不得无故终止合同（除合同约定），否则视为违约，由违约方支付对方违约金。</w:t>
      </w:r>
    </w:p>
    <w:p w14:paraId="33B5E105">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（九） 双方职责</w:t>
      </w:r>
    </w:p>
    <w:p w14:paraId="63863A1B">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1、甲方职责</w:t>
      </w:r>
    </w:p>
    <w:p w14:paraId="2F700DFA">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（1）及时对乙方的养护工作进行指导、监督与考核。</w:t>
      </w:r>
    </w:p>
    <w:p w14:paraId="78D5066F">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（2）及时告知乙方养护内容和标准的相关调整内容。</w:t>
      </w:r>
    </w:p>
    <w:p w14:paraId="1F64CFA1">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（3）按合同规定按时支付乙方养护经费。</w:t>
      </w:r>
    </w:p>
    <w:p w14:paraId="797E1E57">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2、乙方职责</w:t>
      </w:r>
    </w:p>
    <w:p w14:paraId="765EDB0D">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（1）必须严格按照本次招投标要求、《南太湖新区公用事业管理中心绿化养护考核实施细则》及合同条款等相关规定，合理组织，精心养护，保质保量完成养护范围内的绿化养护工作。</w:t>
      </w:r>
    </w:p>
    <w:p w14:paraId="30066DD8">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（2）严格履行投标书及询标答复的各项承诺。</w:t>
      </w:r>
    </w:p>
    <w:p w14:paraId="01B0D582">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乙方应严格按照《中华人民共和国劳动法》等相关规定聘用养护人员，在中标后应给每一个道路绿化、看护工作人员购买人身意外伤害保险及其他必要的保险。乙方对绿化、看护人员的安全负全责（上下班途中及工作时间），作业期间发生的任何安全事故（游客和水、火、电引起的安全事故），由乙方负责。</w:t>
      </w:r>
    </w:p>
    <w:p w14:paraId="77FB8E20">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（4）养护作业人员及数量的投入、机械设备的投入必须与投标时作出的承诺相一致。</w:t>
      </w:r>
    </w:p>
    <w:p w14:paraId="088860C9">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5）制定全年及每月绿地养管工作计划，包括绿地的各类养管措施（如施肥、修剪、病虫害防治等）、质量安全保证、应急管理（抗旱、防汛、抗台、抗寒、抗雪等）、重点技术措施、绿化垃圾方案等，并及时上报甲方。</w:t>
      </w:r>
    </w:p>
    <w:p w14:paraId="72F5AC80">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（6）安排养护管理力量，制定劳动力计划表，做好突击性工作的应急安排等，落实专职养护人员名单，养护管理责任人名单。</w:t>
      </w:r>
    </w:p>
    <w:p w14:paraId="55E78E27">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7）有设施等看护需求的，乙方按照看护要求设置保安巡更系统配备必要的看护使用的工具（保安服装、通讯工具、巡逻车、巡更系统、警械、照明灯具等），看护人员24小时现场打点巡逻，每天要认真做好巡查记录和交接班工作。乙方需文明看护，发现有不法行为的，按正常程序制止、报警、扭送派出所，配合警方的取证工作；乙方应采取切实可能措施，确保看护人员的安全；保有期内乙方应当向建设单位通报设施故障情况，以便通知保修单位及时修复。保有期结束后及时向甲方通报设施故障情况，负责配合甲方或其他单位的检查和维修。</w:t>
      </w:r>
    </w:p>
    <w:p w14:paraId="2F455E7D">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（8）养护人员、看护人员必须穿统一工作服，在道路绿化养护、看护中为保证安全，作业人员必须穿反光背心装，并加强安全管理。保安人员穿保安服、公园管理人员佩戴工作证。</w:t>
      </w:r>
    </w:p>
    <w:p w14:paraId="13469F9B">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（9）确保在各类考核中不失责任分。</w:t>
      </w:r>
    </w:p>
    <w:p w14:paraId="1765A7A5">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 xml:space="preserve">（十） 验收 </w:t>
      </w:r>
    </w:p>
    <w:p w14:paraId="31DD3078">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1、工程养护质量验收按《政府采购需求管理办法》（财库【2021】22号）第二十四条规定执行。</w:t>
      </w:r>
    </w:p>
    <w:p w14:paraId="0D994908">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（十一） 突发事件处理及台风、大雪、旱灾、水灾等</w:t>
      </w:r>
    </w:p>
    <w:p w14:paraId="4C937ECA">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1、养护期间乙方应密切注意气象预报，及时采取防范措施，防止台风、大雪、旱灾、水灾、火灾等造成的损害。</w:t>
      </w:r>
    </w:p>
    <w:p w14:paraId="5173DEC7">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乙方应成立突发事件应急处理领导小组和应急抢险突击队，认真做好台风、大雪、旱灾、水灾等突发事件应急抢险工作，确保人员、设备、材料“三落实”，并做好数据、图片和台账的记录、存档，及时反映情况，严格服从甲方的统一指挥和安排。</w:t>
      </w:r>
    </w:p>
    <w:p w14:paraId="65365880">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3、若遇突发性、不可抗力事件（如台风、大雪、旱灾、水灾等），导致绿化养护现场交通堵塞、出行不便、存在安全隐患，此时需要及时清理断枝、残枝等事宜。</w:t>
      </w:r>
    </w:p>
    <w:p w14:paraId="70EE0907">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4、若发生非养护原因引起的意外事故或人为破坏造成的设施损坏，乙方应立即采取相关措施或临时应急措施，并通知甲方和相关部门。</w:t>
      </w:r>
    </w:p>
    <w:p w14:paraId="76DD4C46">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（十二）合同的解除与违约责任</w:t>
      </w:r>
    </w:p>
    <w:p w14:paraId="22C407A7">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1、合同解除</w:t>
      </w:r>
    </w:p>
    <w:p w14:paraId="55664CA3">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（1）甲方和乙方协商一致，可以解除合同，并报政府采购监管部门审查备案。</w:t>
      </w:r>
    </w:p>
    <w:p w14:paraId="5096E12E">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（2）因合同一方违约导致合同不能履行，另一方有权解除合同。有权解除合同的一方，应当在违约事实发生之后三十天内书面通知对方以主张解除合同，合同在书面通知到达对方时解除。</w:t>
      </w:r>
    </w:p>
    <w:p w14:paraId="474984FE">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2、乙方在养护管理期间，由于养管措施不力，处置不当，出现以下情况之一，甲方有权终止合同并由乙方承担一切责任。</w:t>
      </w:r>
    </w:p>
    <w:p w14:paraId="6A7FD199">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（1）检查考核过程中，发现有转包和分包行为的；</w:t>
      </w:r>
    </w:p>
    <w:p w14:paraId="4498C5CE">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（2）发生重大质量安全责任事故；</w:t>
      </w:r>
    </w:p>
    <w:p w14:paraId="33E946E7">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（3）因养护、处置不当，被媒体曝光造成恶劣社会影响；</w:t>
      </w:r>
    </w:p>
    <w:p w14:paraId="1751E84F">
      <w:pPr>
        <w:spacing w:line="360" w:lineRule="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（4）遇灾害性天气，未听从甲方统一指挥，未按甲方要求进行应急处置造成严重损失；</w:t>
      </w:r>
    </w:p>
    <w:p w14:paraId="3C49D0C0">
      <w:pPr>
        <w:pStyle w:val="45"/>
        <w:spacing w:line="360" w:lineRule="auto"/>
        <w:ind w:firstLine="0" w:firstLineChars="0"/>
        <w:rPr>
          <w:rFonts w:asciiTheme="majorEastAsia" w:hAnsiTheme="majorEastAsia" w:eastAsiaTheme="majorEastAsia"/>
          <w:color w:val="auto"/>
          <w:sz w:val="24"/>
          <w:szCs w:val="24"/>
          <w:highlight w:val="none"/>
        </w:rPr>
      </w:pPr>
      <w:r>
        <w:rPr>
          <w:rFonts w:hint="eastAsia" w:cs="Times New Roman" w:asciiTheme="majorEastAsia" w:hAnsiTheme="majorEastAsia" w:eastAsiaTheme="majorEastAsia"/>
          <w:color w:val="auto"/>
          <w:sz w:val="24"/>
          <w:szCs w:val="24"/>
          <w:highlight w:val="none"/>
        </w:rPr>
        <w:t>（5）累计三个月得分60分以下或累计六个月得分在70分以下的养护单位，公用中心有权解除承包合同并上报行业主管部门。</w:t>
      </w:r>
    </w:p>
    <w:p w14:paraId="76DA3C79">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9.技术服务</w:t>
      </w:r>
    </w:p>
    <w:p w14:paraId="2D4EEF49">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供应商应负责安排采购人相关人员进行操作、维修的培训。具体时间及培训内容在投标时由供应商提出建议；</w:t>
      </w:r>
    </w:p>
    <w:p w14:paraId="483E8AC7">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10.售后服务及承诺</w:t>
      </w:r>
    </w:p>
    <w:p w14:paraId="225EC42B">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10.1供应商应明确承诺售后服务各项内容和措施，提供详细的服务地点、联系人、电话等有关资料；</w:t>
      </w:r>
    </w:p>
    <w:p w14:paraId="2898713A">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10.2</w:t>
      </w:r>
      <w:r>
        <w:rPr>
          <w:rFonts w:hint="eastAsia" w:asciiTheme="majorEastAsia" w:hAnsiTheme="majorEastAsia" w:eastAsiaTheme="majorEastAsia"/>
          <w:b/>
          <w:bCs/>
          <w:color w:val="auto"/>
          <w:sz w:val="24"/>
          <w:szCs w:val="24"/>
          <w:highlight w:val="none"/>
        </w:rPr>
        <w:t>服务期：本项目服务期限为3年(相关要求及考核未达到招标人要求，采购人有权终止与中标人本项目合同并没收中标人履约保证金）</w:t>
      </w:r>
      <w:r>
        <w:rPr>
          <w:rFonts w:hint="eastAsia" w:asciiTheme="majorEastAsia" w:hAnsiTheme="majorEastAsia" w:eastAsiaTheme="majorEastAsia"/>
          <w:bCs/>
          <w:color w:val="auto"/>
          <w:sz w:val="24"/>
          <w:szCs w:val="24"/>
          <w:highlight w:val="none"/>
        </w:rPr>
        <w:t>。在服务期内，因服务质量所发生的一切费用均由供应商承担；</w:t>
      </w:r>
    </w:p>
    <w:p w14:paraId="7B3C7C1C">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11.履约保证及后续服务</w:t>
      </w:r>
    </w:p>
    <w:p w14:paraId="5A72274C">
      <w:pPr>
        <w:spacing w:line="360" w:lineRule="auto"/>
        <w:ind w:firstLine="482" w:firstLineChars="200"/>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1</w:t>
      </w:r>
      <w:r>
        <w:rPr>
          <w:rFonts w:asciiTheme="majorEastAsia" w:hAnsiTheme="majorEastAsia" w:eastAsiaTheme="majorEastAsia"/>
          <w:b/>
          <w:bCs/>
          <w:color w:val="auto"/>
          <w:sz w:val="24"/>
          <w:szCs w:val="24"/>
          <w:highlight w:val="none"/>
        </w:rPr>
        <w:t xml:space="preserve">1.1 </w:t>
      </w:r>
      <w:r>
        <w:rPr>
          <w:rFonts w:hint="eastAsia" w:asciiTheme="majorEastAsia" w:hAnsiTheme="majorEastAsia" w:eastAsiaTheme="majorEastAsia"/>
          <w:b/>
          <w:bCs/>
          <w:color w:val="auto"/>
          <w:sz w:val="24"/>
          <w:szCs w:val="24"/>
          <w:highlight w:val="none"/>
        </w:rPr>
        <w:t>供应商应在签订本合同之日起15日内提供提交合同金额1%的履约保证金，提供由银行、保险公司出具保函形式或网银电汇提交履约保证金。</w:t>
      </w:r>
    </w:p>
    <w:p w14:paraId="685A6274">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11.</w:t>
      </w:r>
      <w:r>
        <w:rPr>
          <w:rFonts w:asciiTheme="majorEastAsia" w:hAnsiTheme="majorEastAsia" w:eastAsiaTheme="majorEastAsia"/>
          <w:bCs/>
          <w:color w:val="auto"/>
          <w:sz w:val="24"/>
          <w:szCs w:val="24"/>
          <w:highlight w:val="none"/>
        </w:rPr>
        <w:t>2</w:t>
      </w:r>
      <w:r>
        <w:rPr>
          <w:rFonts w:hint="eastAsia" w:asciiTheme="majorEastAsia" w:hAnsiTheme="majorEastAsia" w:eastAsiaTheme="majorEastAsia"/>
          <w:bCs/>
          <w:color w:val="auto"/>
          <w:sz w:val="24"/>
          <w:szCs w:val="24"/>
          <w:highlight w:val="none"/>
        </w:rPr>
        <w:t xml:space="preserve"> 供应商应按招标文件规定的服务标准向采购人提供服务。</w:t>
      </w:r>
    </w:p>
    <w:p w14:paraId="6E7FDFCB">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11.</w:t>
      </w:r>
      <w:r>
        <w:rPr>
          <w:rFonts w:asciiTheme="majorEastAsia" w:hAnsiTheme="majorEastAsia" w:eastAsiaTheme="majorEastAsia"/>
          <w:bCs/>
          <w:color w:val="auto"/>
          <w:sz w:val="24"/>
          <w:szCs w:val="24"/>
          <w:highlight w:val="none"/>
        </w:rPr>
        <w:t>3</w:t>
      </w:r>
      <w:r>
        <w:rPr>
          <w:rFonts w:hint="eastAsia" w:asciiTheme="majorEastAsia" w:hAnsiTheme="majorEastAsia" w:eastAsiaTheme="majorEastAsia"/>
          <w:bCs/>
          <w:color w:val="auto"/>
          <w:sz w:val="24"/>
          <w:szCs w:val="24"/>
          <w:highlight w:val="none"/>
        </w:rPr>
        <w:t xml:space="preserve"> 如采购人检查发现供应商提供的服务不符合标准要求，供应商应立即进行整改，直到符合要求为止。采购人可根据考核标准中扣除供应商因检查不合格而应该扣罚的款项（扣罚款项在签订合同时明确）。</w:t>
      </w:r>
    </w:p>
    <w:p w14:paraId="3AB95EEA">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11.</w:t>
      </w:r>
      <w:r>
        <w:rPr>
          <w:rFonts w:asciiTheme="majorEastAsia" w:hAnsiTheme="majorEastAsia" w:eastAsiaTheme="majorEastAsia"/>
          <w:bCs/>
          <w:color w:val="auto"/>
          <w:sz w:val="24"/>
          <w:szCs w:val="24"/>
          <w:highlight w:val="none"/>
        </w:rPr>
        <w:t>4</w:t>
      </w:r>
      <w:r>
        <w:rPr>
          <w:rFonts w:hint="eastAsia" w:asciiTheme="majorEastAsia" w:hAnsiTheme="majorEastAsia" w:eastAsiaTheme="majorEastAsia"/>
          <w:bCs/>
          <w:color w:val="auto"/>
          <w:sz w:val="24"/>
          <w:szCs w:val="24"/>
          <w:highlight w:val="none"/>
        </w:rPr>
        <w:t xml:space="preserve"> 供应商提供的服务人员不符合本合同约定的数额，供应商应当自接到采购人通知之日起2日内予以补足，采购人有权按照缺岗天数及缺岗人数扣除相应的履约保证金。</w:t>
      </w:r>
    </w:p>
    <w:p w14:paraId="747B0DB2">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11.</w:t>
      </w:r>
      <w:r>
        <w:rPr>
          <w:rFonts w:asciiTheme="majorEastAsia" w:hAnsiTheme="majorEastAsia" w:eastAsiaTheme="majorEastAsia"/>
          <w:bCs/>
          <w:color w:val="auto"/>
          <w:sz w:val="24"/>
          <w:szCs w:val="24"/>
          <w:highlight w:val="none"/>
        </w:rPr>
        <w:t>5</w:t>
      </w:r>
      <w:r>
        <w:rPr>
          <w:rFonts w:hint="eastAsia" w:asciiTheme="majorEastAsia" w:hAnsiTheme="majorEastAsia" w:eastAsiaTheme="majorEastAsia"/>
          <w:bCs/>
          <w:color w:val="auto"/>
          <w:sz w:val="24"/>
          <w:szCs w:val="24"/>
          <w:highlight w:val="none"/>
        </w:rPr>
        <w:t xml:space="preserve"> 由于供应商服务人员原因在服务工作中给采购人的设施、材料造成损失，供应商应负责赔偿。</w:t>
      </w:r>
    </w:p>
    <w:p w14:paraId="2FC96BF0">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11.</w:t>
      </w:r>
      <w:r>
        <w:rPr>
          <w:rFonts w:asciiTheme="majorEastAsia" w:hAnsiTheme="majorEastAsia" w:eastAsiaTheme="majorEastAsia"/>
          <w:bCs/>
          <w:color w:val="auto"/>
          <w:sz w:val="24"/>
          <w:szCs w:val="24"/>
          <w:highlight w:val="none"/>
        </w:rPr>
        <w:t>6</w:t>
      </w:r>
      <w:r>
        <w:rPr>
          <w:rFonts w:hint="eastAsia" w:asciiTheme="majorEastAsia" w:hAnsiTheme="majorEastAsia" w:eastAsiaTheme="majorEastAsia"/>
          <w:bCs/>
          <w:color w:val="auto"/>
          <w:sz w:val="24"/>
          <w:szCs w:val="24"/>
          <w:highlight w:val="none"/>
        </w:rPr>
        <w:t xml:space="preserve"> 在使用过程中发生问题，供应商在接到采购人通知后在1小时内到达采购人现场。</w:t>
      </w:r>
    </w:p>
    <w:p w14:paraId="5D3E9CD8">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11.</w:t>
      </w:r>
      <w:r>
        <w:rPr>
          <w:rFonts w:asciiTheme="majorEastAsia" w:hAnsiTheme="majorEastAsia" w:eastAsiaTheme="majorEastAsia"/>
          <w:bCs/>
          <w:color w:val="auto"/>
          <w:sz w:val="24"/>
          <w:szCs w:val="24"/>
          <w:highlight w:val="none"/>
        </w:rPr>
        <w:t>7</w:t>
      </w:r>
      <w:r>
        <w:rPr>
          <w:rFonts w:hint="eastAsia" w:asciiTheme="majorEastAsia" w:hAnsiTheme="majorEastAsia" w:eastAsiaTheme="majorEastAsia"/>
          <w:bCs/>
          <w:color w:val="auto"/>
          <w:sz w:val="24"/>
          <w:szCs w:val="24"/>
          <w:highlight w:val="none"/>
        </w:rPr>
        <w:t xml:space="preserve"> 在服务质量保证期内，供应商应对出现的服务质量及安全问题负责处理解决并承担一切费用。</w:t>
      </w:r>
    </w:p>
    <w:p w14:paraId="4613EF52">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w:t>
      </w:r>
      <w:r>
        <w:rPr>
          <w:rFonts w:asciiTheme="majorEastAsia" w:hAnsiTheme="majorEastAsia" w:eastAsiaTheme="majorEastAsia"/>
          <w:bCs/>
          <w:color w:val="auto"/>
          <w:sz w:val="24"/>
          <w:szCs w:val="24"/>
          <w:highlight w:val="none"/>
        </w:rPr>
        <w:t xml:space="preserve">1.8 </w:t>
      </w:r>
      <w:r>
        <w:rPr>
          <w:rFonts w:hint="eastAsia" w:asciiTheme="majorEastAsia" w:hAnsiTheme="majorEastAsia" w:eastAsiaTheme="majorEastAsia"/>
          <w:bCs/>
          <w:color w:val="auto"/>
          <w:sz w:val="24"/>
          <w:szCs w:val="24"/>
          <w:highlight w:val="none"/>
        </w:rPr>
        <w:t>在本合同履行完毕后，采购人扣除供应商在履约过程中产生的本合同涉及的相关赔偿金额后，在15日内将剩余履约保证金退还至供应商。</w:t>
      </w:r>
    </w:p>
    <w:p w14:paraId="05D1095D">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12.违约责任</w:t>
      </w:r>
    </w:p>
    <w:p w14:paraId="3F60EFD4">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12.1 采购人无正当理由拒收接受服务的，采购人向供应商偿付合同款项百分之五作为违约金。</w:t>
      </w:r>
    </w:p>
    <w:p w14:paraId="04DD76F4">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12.2 采购人无故逾期验收和办理款项支付手续的,采购人应按逾期付款总额每日万分之五向供应商支付违约金。</w:t>
      </w:r>
    </w:p>
    <w:p w14:paraId="3F292770">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28DAC164">
      <w:pPr>
        <w:spacing w:line="360" w:lineRule="auto"/>
        <w:ind w:firstLine="480" w:firstLineChars="200"/>
        <w:rPr>
          <w:rFonts w:asciiTheme="majorEastAsia" w:hAnsiTheme="majorEastAsia" w:eastAsiaTheme="majorEastAsia"/>
          <w:bCs/>
          <w:color w:val="auto"/>
          <w:sz w:val="24"/>
          <w:szCs w:val="24"/>
          <w:highlight w:val="none"/>
        </w:rPr>
      </w:pPr>
      <w:r>
        <w:rPr>
          <w:rFonts w:asciiTheme="majorEastAsia" w:hAnsiTheme="majorEastAsia" w:eastAsiaTheme="majorEastAsia"/>
          <w:bCs/>
          <w:color w:val="auto"/>
          <w:sz w:val="24"/>
          <w:szCs w:val="24"/>
          <w:highlight w:val="none"/>
        </w:rPr>
        <w:t>12.4</w:t>
      </w:r>
      <w:r>
        <w:rPr>
          <w:rFonts w:hint="eastAsia" w:asciiTheme="majorEastAsia" w:hAnsiTheme="majorEastAsia" w:eastAsiaTheme="majorEastAsia"/>
          <w:color w:val="auto"/>
          <w:sz w:val="24"/>
          <w:szCs w:val="24"/>
          <w:highlight w:val="none"/>
        </w:rPr>
        <w:t>如供应商提供的服务或与服务相关的物品存在知识产权纠纷而导致本合同无法继续履行，在采购人发函要求解决相关知识产权问题后30日内仍未解决的，则采购人有权单方终止本合同的履行，并要求供应商承担相应赔偿责任。</w:t>
      </w:r>
    </w:p>
    <w:p w14:paraId="6B39DAAA">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13.不可抗力事件处理</w:t>
      </w:r>
    </w:p>
    <w:p w14:paraId="25869496">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13.1 在合同有效期内，任何一方因不可抗力事件导致不能履行合同，则合同履行期可延长，其延长期与不可抗力影响期相同。</w:t>
      </w:r>
    </w:p>
    <w:p w14:paraId="36FEF677">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13.2 不可抗力事件发生后，应立即通知对方，并寄送有关权威机构出具的证明。</w:t>
      </w:r>
    </w:p>
    <w:p w14:paraId="6E420101">
      <w:pPr>
        <w:spacing w:line="360" w:lineRule="auto"/>
        <w:ind w:firstLine="480" w:firstLineChars="20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13.3 不可抗力事件延续120天以上，双方应通过友好协商，确定是否继续履行合同。</w:t>
      </w:r>
    </w:p>
    <w:p w14:paraId="752D7208">
      <w:pPr>
        <w:spacing w:line="360" w:lineRule="auto"/>
        <w:rPr>
          <w:rFonts w:asciiTheme="majorEastAsia" w:hAnsiTheme="majorEastAsia" w:eastAsiaTheme="majorEastAsia"/>
          <w:bCs/>
          <w:color w:val="auto"/>
          <w:sz w:val="24"/>
          <w:szCs w:val="24"/>
          <w:highlight w:val="none"/>
        </w:rPr>
      </w:pPr>
      <w:r>
        <w:rPr>
          <w:rFonts w:hint="eastAsia" w:asciiTheme="majorEastAsia" w:hAnsiTheme="majorEastAsia" w:eastAsiaTheme="majorEastAsia"/>
          <w:b/>
          <w:bCs/>
          <w:color w:val="auto"/>
          <w:sz w:val="24"/>
          <w:szCs w:val="24"/>
          <w:highlight w:val="none"/>
        </w:rPr>
        <w:t>14.争议解决</w:t>
      </w:r>
    </w:p>
    <w:p w14:paraId="6B7C81AF">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14.1在执行本合同中所发生的或与本合同有关的一切争端，合同双方应通过友好协商解决，经过协商仍不能解决，双方选择通过下列第</w:t>
      </w:r>
      <w:r>
        <w:rPr>
          <w:rFonts w:asciiTheme="majorEastAsia" w:hAnsiTheme="majorEastAsia" w:eastAsiaTheme="majorEastAsia"/>
          <w:color w:val="auto"/>
          <w:sz w:val="24"/>
          <w:szCs w:val="24"/>
          <w:highlight w:val="none"/>
        </w:rPr>
        <w:t>x</w:t>
      </w:r>
      <w:r>
        <w:rPr>
          <w:rFonts w:hint="eastAsia" w:asciiTheme="majorEastAsia" w:hAnsiTheme="majorEastAsia" w:eastAsiaTheme="majorEastAsia"/>
          <w:color w:val="auto"/>
          <w:sz w:val="24"/>
          <w:szCs w:val="24"/>
          <w:highlight w:val="none"/>
        </w:rPr>
        <w:t>种方式解决：</w:t>
      </w:r>
    </w:p>
    <w:p w14:paraId="2287FC41">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（1）将争端提交湖州仲裁委员会仲裁</w:t>
      </w:r>
    </w:p>
    <w:p w14:paraId="55E50FD2">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（2）直接向采购人所在地有管辖权的人民法院起诉。</w:t>
      </w:r>
    </w:p>
    <w:p w14:paraId="4F9CCCB2">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14.</w:t>
      </w:r>
      <w:r>
        <w:rPr>
          <w:rFonts w:asciiTheme="majorEastAsia" w:hAnsiTheme="majorEastAsia" w:eastAsiaTheme="majorEastAsia"/>
          <w:color w:val="auto"/>
          <w:sz w:val="24"/>
          <w:szCs w:val="24"/>
          <w:highlight w:val="none"/>
        </w:rPr>
        <w:t>2</w:t>
      </w:r>
      <w:r>
        <w:rPr>
          <w:rFonts w:hint="eastAsia" w:asciiTheme="majorEastAsia" w:hAnsiTheme="majorEastAsia" w:eastAsiaTheme="majorEastAsia"/>
          <w:color w:val="auto"/>
          <w:sz w:val="24"/>
          <w:szCs w:val="24"/>
          <w:highlight w:val="none"/>
        </w:rPr>
        <w:t>仲裁费用或诉讼费用应由败诉方负担。</w:t>
      </w:r>
    </w:p>
    <w:p w14:paraId="4D65A799">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14.</w:t>
      </w:r>
      <w:r>
        <w:rPr>
          <w:rFonts w:asciiTheme="majorEastAsia" w:hAnsiTheme="majorEastAsia" w:eastAsiaTheme="majorEastAsia"/>
          <w:color w:val="auto"/>
          <w:sz w:val="24"/>
          <w:szCs w:val="24"/>
          <w:highlight w:val="none"/>
        </w:rPr>
        <w:t>3</w:t>
      </w:r>
      <w:r>
        <w:rPr>
          <w:rFonts w:hint="eastAsia" w:asciiTheme="majorEastAsia" w:hAnsiTheme="majorEastAsia" w:eastAsiaTheme="majorEastAsia"/>
          <w:color w:val="auto"/>
          <w:sz w:val="24"/>
          <w:szCs w:val="24"/>
          <w:highlight w:val="none"/>
        </w:rPr>
        <w:t>在仲裁或诉讼期间，除进行仲裁或诉讼的部分外，本合同其他部分应继续执行。</w:t>
      </w:r>
    </w:p>
    <w:p w14:paraId="4FDB77BE">
      <w:pPr>
        <w:spacing w:line="360" w:lineRule="auto"/>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15.转让或分包</w:t>
      </w:r>
    </w:p>
    <w:p w14:paraId="318D81BA">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15.1本合同范围的服务，应由供应商提供，不得转让他人供应；</w:t>
      </w:r>
    </w:p>
    <w:p w14:paraId="1CB67DE9">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15.2本项目</w:t>
      </w:r>
      <w:r>
        <w:rPr>
          <w:rFonts w:hint="eastAsia" w:asciiTheme="majorEastAsia" w:hAnsiTheme="majorEastAsia" w:eastAsiaTheme="majorEastAsia"/>
          <w:color w:val="auto"/>
          <w:sz w:val="24"/>
          <w:szCs w:val="24"/>
          <w:highlight w:val="none"/>
        </w:rPr>
        <w:t>不允许分包</w:t>
      </w:r>
      <w:r>
        <w:rPr>
          <w:rFonts w:hint="eastAsia" w:asciiTheme="majorEastAsia" w:hAnsiTheme="majorEastAsia" w:eastAsiaTheme="majorEastAsia"/>
          <w:color w:val="auto"/>
          <w:sz w:val="24"/>
          <w:szCs w:val="24"/>
          <w:highlight w:val="none"/>
        </w:rPr>
        <w:t>。</w:t>
      </w:r>
    </w:p>
    <w:p w14:paraId="3950C159">
      <w:pPr>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15.3如有转让和未经采购人同意的分包行为，采购人有权给予终止合同。</w:t>
      </w:r>
    </w:p>
    <w:p w14:paraId="6A163FC2">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16.适用法律</w:t>
      </w:r>
    </w:p>
    <w:p w14:paraId="7298D9CE">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合同适用法律有《中华人民共和国政府采购法》、《中华人民共和国民法典》和浙江省有关条例等。</w:t>
      </w:r>
    </w:p>
    <w:p w14:paraId="6CE895FD">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17.合同生效及其他</w:t>
      </w:r>
    </w:p>
    <w:p w14:paraId="31CF0951">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17.1本合同经双方法人及法定代表人签字盖章生效；</w:t>
      </w:r>
    </w:p>
    <w:p w14:paraId="6EA52C62">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17.2本合同一式八份，供应商、采购人各执四份。</w:t>
      </w:r>
    </w:p>
    <w:p w14:paraId="51A4A223">
      <w:pPr>
        <w:spacing w:line="360" w:lineRule="auto"/>
        <w:rPr>
          <w:rFonts w:cs="Arial" w:asciiTheme="majorEastAsia" w:hAnsiTheme="majorEastAsia" w:eastAsiaTheme="majorEastAsia"/>
          <w:b/>
          <w:color w:val="auto"/>
          <w:sz w:val="24"/>
          <w:szCs w:val="24"/>
          <w:highlight w:val="none"/>
        </w:rPr>
      </w:pPr>
    </w:p>
    <w:p w14:paraId="33ED0057">
      <w:pPr>
        <w:spacing w:line="440" w:lineRule="exact"/>
        <w:ind w:firstLine="480" w:firstLineChars="200"/>
        <w:rPr>
          <w:rFonts w:cs="宋体" w:asciiTheme="majorEastAsia" w:hAnsiTheme="majorEastAsia" w:eastAsiaTheme="majorEastAsia"/>
          <w:color w:val="auto"/>
          <w:sz w:val="24"/>
          <w:szCs w:val="24"/>
          <w:highlight w:val="none"/>
        </w:rPr>
      </w:pPr>
    </w:p>
    <w:p w14:paraId="2632EB77">
      <w:pPr>
        <w:spacing w:line="440" w:lineRule="exact"/>
        <w:ind w:firstLine="480" w:firstLineChars="200"/>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甲方：</w:t>
      </w:r>
      <w:r>
        <w:rPr>
          <w:rFonts w:hint="eastAsia" w:asciiTheme="majorEastAsia" w:hAnsiTheme="majorEastAsia" w:eastAsiaTheme="majorEastAsia"/>
          <w:color w:val="auto"/>
          <w:sz w:val="24"/>
          <w:szCs w:val="24"/>
          <w:highlight w:val="none"/>
        </w:rPr>
        <w:t xml:space="preserve">                                 </w:t>
      </w:r>
      <w:r>
        <w:rPr>
          <w:rFonts w:asciiTheme="majorEastAsia" w:hAnsiTheme="majorEastAsia" w:eastAsiaTheme="majorEastAsia"/>
          <w:color w:val="auto"/>
          <w:sz w:val="24"/>
          <w:szCs w:val="24"/>
          <w:highlight w:val="none"/>
        </w:rPr>
        <w:t>乙方：</w:t>
      </w:r>
    </w:p>
    <w:p w14:paraId="0A7FF040">
      <w:pPr>
        <w:spacing w:line="440" w:lineRule="exact"/>
        <w:ind w:firstLine="480" w:firstLineChars="200"/>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地址：</w:t>
      </w:r>
      <w:r>
        <w:rPr>
          <w:rFonts w:hint="eastAsia" w:asciiTheme="majorEastAsia" w:hAnsiTheme="majorEastAsia" w:eastAsiaTheme="majorEastAsia"/>
          <w:color w:val="auto"/>
          <w:sz w:val="24"/>
          <w:szCs w:val="24"/>
          <w:highlight w:val="none"/>
        </w:rPr>
        <w:t xml:space="preserve">                                 </w:t>
      </w:r>
      <w:r>
        <w:rPr>
          <w:rFonts w:asciiTheme="majorEastAsia" w:hAnsiTheme="majorEastAsia" w:eastAsiaTheme="majorEastAsia"/>
          <w:color w:val="auto"/>
          <w:sz w:val="24"/>
          <w:szCs w:val="24"/>
          <w:highlight w:val="none"/>
        </w:rPr>
        <w:t>地址：</w:t>
      </w:r>
    </w:p>
    <w:p w14:paraId="69308DAE">
      <w:pPr>
        <w:spacing w:line="440" w:lineRule="exact"/>
        <w:ind w:firstLine="480" w:firstLineChars="200"/>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法定</w:t>
      </w:r>
      <w:r>
        <w:rPr>
          <w:rFonts w:hint="eastAsia" w:asciiTheme="majorEastAsia" w:hAnsiTheme="majorEastAsia" w:eastAsiaTheme="majorEastAsia"/>
          <w:color w:val="auto"/>
          <w:sz w:val="24"/>
          <w:szCs w:val="24"/>
          <w:highlight w:val="none"/>
        </w:rPr>
        <w:t>（授权）</w:t>
      </w:r>
      <w:r>
        <w:rPr>
          <w:rFonts w:asciiTheme="majorEastAsia" w:hAnsiTheme="majorEastAsia" w:eastAsiaTheme="majorEastAsia"/>
          <w:color w:val="auto"/>
          <w:sz w:val="24"/>
          <w:szCs w:val="24"/>
          <w:highlight w:val="none"/>
        </w:rPr>
        <w:t>代表人：</w:t>
      </w:r>
      <w:r>
        <w:rPr>
          <w:rFonts w:hint="eastAsia" w:asciiTheme="majorEastAsia" w:hAnsiTheme="majorEastAsia" w:eastAsiaTheme="majorEastAsia"/>
          <w:color w:val="auto"/>
          <w:sz w:val="24"/>
          <w:szCs w:val="24"/>
          <w:highlight w:val="none"/>
        </w:rPr>
        <w:t xml:space="preserve">                  </w:t>
      </w:r>
      <w:r>
        <w:rPr>
          <w:rFonts w:asciiTheme="majorEastAsia" w:hAnsiTheme="majorEastAsia" w:eastAsiaTheme="majorEastAsia"/>
          <w:color w:val="auto"/>
          <w:sz w:val="24"/>
          <w:szCs w:val="24"/>
          <w:highlight w:val="none"/>
        </w:rPr>
        <w:t>法定</w:t>
      </w:r>
      <w:r>
        <w:rPr>
          <w:rFonts w:hint="eastAsia" w:asciiTheme="majorEastAsia" w:hAnsiTheme="majorEastAsia" w:eastAsiaTheme="majorEastAsia"/>
          <w:color w:val="auto"/>
          <w:sz w:val="24"/>
          <w:szCs w:val="24"/>
          <w:highlight w:val="none"/>
        </w:rPr>
        <w:t>（授权）</w:t>
      </w:r>
      <w:r>
        <w:rPr>
          <w:rFonts w:asciiTheme="majorEastAsia" w:hAnsiTheme="majorEastAsia" w:eastAsiaTheme="majorEastAsia"/>
          <w:color w:val="auto"/>
          <w:sz w:val="24"/>
          <w:szCs w:val="24"/>
          <w:highlight w:val="none"/>
        </w:rPr>
        <w:t>代表人：</w:t>
      </w:r>
    </w:p>
    <w:p w14:paraId="06B84287">
      <w:pPr>
        <w:spacing w:line="440" w:lineRule="exact"/>
        <w:ind w:firstLine="480" w:firstLineChars="200"/>
        <w:rPr>
          <w:rFonts w:cs="Times New Roman" w:asciiTheme="majorEastAsia" w:hAnsiTheme="majorEastAsia" w:eastAsiaTheme="majorEastAsia"/>
          <w:color w:val="auto"/>
          <w:sz w:val="24"/>
          <w:szCs w:val="24"/>
          <w:highlight w:val="none"/>
        </w:rPr>
      </w:pPr>
      <w:r>
        <w:rPr>
          <w:rFonts w:hint="eastAsia" w:cs="Times New Roman" w:asciiTheme="majorEastAsia" w:hAnsiTheme="majorEastAsia" w:eastAsiaTheme="majorEastAsia"/>
          <w:color w:val="auto"/>
          <w:sz w:val="24"/>
          <w:szCs w:val="24"/>
          <w:highlight w:val="none"/>
        </w:rPr>
        <w:t>电话：                                电话：</w:t>
      </w:r>
    </w:p>
    <w:p w14:paraId="65DCE140">
      <w:pPr>
        <w:spacing w:line="440" w:lineRule="exact"/>
        <w:ind w:firstLine="480" w:firstLineChars="200"/>
        <w:rPr>
          <w:rFonts w:cs="Times New Roman" w:asciiTheme="majorEastAsia" w:hAnsiTheme="majorEastAsia" w:eastAsiaTheme="majorEastAsia"/>
          <w:color w:val="auto"/>
          <w:sz w:val="24"/>
          <w:szCs w:val="24"/>
          <w:highlight w:val="none"/>
        </w:rPr>
      </w:pPr>
      <w:r>
        <w:rPr>
          <w:rFonts w:hint="eastAsia" w:cs="Times New Roman" w:asciiTheme="majorEastAsia" w:hAnsiTheme="majorEastAsia" w:eastAsiaTheme="majorEastAsia"/>
          <w:color w:val="auto"/>
          <w:sz w:val="24"/>
          <w:szCs w:val="24"/>
          <w:highlight w:val="none"/>
        </w:rPr>
        <w:t>传真：                                传真：</w:t>
      </w:r>
    </w:p>
    <w:p w14:paraId="65BA3488">
      <w:pPr>
        <w:spacing w:line="440" w:lineRule="exact"/>
        <w:ind w:firstLine="480" w:firstLineChars="200"/>
        <w:rPr>
          <w:rFonts w:cs="Times New Roman" w:asciiTheme="majorEastAsia" w:hAnsiTheme="majorEastAsia" w:eastAsiaTheme="majorEastAsia"/>
          <w:color w:val="auto"/>
          <w:sz w:val="24"/>
          <w:szCs w:val="24"/>
          <w:highlight w:val="none"/>
        </w:rPr>
      </w:pPr>
      <w:r>
        <w:rPr>
          <w:rFonts w:hint="eastAsia" w:cs="Times New Roman" w:asciiTheme="majorEastAsia" w:hAnsiTheme="majorEastAsia" w:eastAsiaTheme="majorEastAsia"/>
          <w:color w:val="auto"/>
          <w:sz w:val="24"/>
          <w:szCs w:val="24"/>
          <w:highlight w:val="none"/>
        </w:rPr>
        <w:t>开户银行：                            开户银行：</w:t>
      </w:r>
    </w:p>
    <w:p w14:paraId="337E2EE8">
      <w:pPr>
        <w:spacing w:line="440" w:lineRule="exact"/>
        <w:ind w:firstLine="480" w:firstLineChars="200"/>
        <w:rPr>
          <w:rFonts w:cs="Times New Roman" w:asciiTheme="majorEastAsia" w:hAnsiTheme="majorEastAsia" w:eastAsiaTheme="majorEastAsia"/>
          <w:color w:val="auto"/>
          <w:sz w:val="24"/>
          <w:szCs w:val="24"/>
          <w:highlight w:val="none"/>
        </w:rPr>
      </w:pPr>
      <w:r>
        <w:rPr>
          <w:rFonts w:hint="eastAsia" w:cs="Times New Roman" w:asciiTheme="majorEastAsia" w:hAnsiTheme="majorEastAsia" w:eastAsiaTheme="majorEastAsia"/>
          <w:color w:val="auto"/>
          <w:sz w:val="24"/>
          <w:szCs w:val="24"/>
          <w:highlight w:val="none"/>
        </w:rPr>
        <w:t>账号：                                账号：</w:t>
      </w:r>
    </w:p>
    <w:p w14:paraId="0ADA4A88">
      <w:pPr>
        <w:spacing w:line="440" w:lineRule="exact"/>
        <w:ind w:firstLine="480" w:firstLineChars="200"/>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签</w:t>
      </w:r>
      <w:r>
        <w:rPr>
          <w:rFonts w:hint="eastAsia" w:asciiTheme="majorEastAsia" w:hAnsiTheme="majorEastAsia" w:eastAsiaTheme="majorEastAsia"/>
          <w:color w:val="auto"/>
          <w:sz w:val="24"/>
          <w:szCs w:val="24"/>
          <w:highlight w:val="none"/>
        </w:rPr>
        <w:t>字日期</w:t>
      </w:r>
      <w:r>
        <w:rPr>
          <w:rFonts w:asciiTheme="majorEastAsia" w:hAnsiTheme="majorEastAsia" w:eastAsiaTheme="majorEastAsia"/>
          <w:color w:val="auto"/>
          <w:sz w:val="24"/>
          <w:szCs w:val="24"/>
          <w:highlight w:val="none"/>
        </w:rPr>
        <w:t>：年月日</w:t>
      </w:r>
      <w:r>
        <w:rPr>
          <w:rFonts w:hint="eastAsia" w:asciiTheme="majorEastAsia" w:hAnsiTheme="majorEastAsia" w:eastAsiaTheme="majorEastAsia"/>
          <w:color w:val="auto"/>
          <w:sz w:val="24"/>
          <w:szCs w:val="24"/>
          <w:highlight w:val="none"/>
        </w:rPr>
        <w:t xml:space="preserve">                      </w:t>
      </w:r>
      <w:r>
        <w:rPr>
          <w:rFonts w:asciiTheme="majorEastAsia" w:hAnsiTheme="majorEastAsia" w:eastAsiaTheme="majorEastAsia"/>
          <w:color w:val="auto"/>
          <w:sz w:val="24"/>
          <w:szCs w:val="24"/>
          <w:highlight w:val="none"/>
        </w:rPr>
        <w:t>签</w:t>
      </w:r>
      <w:r>
        <w:rPr>
          <w:rFonts w:hint="eastAsia" w:asciiTheme="majorEastAsia" w:hAnsiTheme="majorEastAsia" w:eastAsiaTheme="majorEastAsia"/>
          <w:color w:val="auto"/>
          <w:sz w:val="24"/>
          <w:szCs w:val="24"/>
          <w:highlight w:val="none"/>
        </w:rPr>
        <w:t>字</w:t>
      </w:r>
      <w:r>
        <w:rPr>
          <w:rFonts w:asciiTheme="majorEastAsia" w:hAnsiTheme="majorEastAsia" w:eastAsiaTheme="majorEastAsia"/>
          <w:color w:val="auto"/>
          <w:sz w:val="24"/>
          <w:szCs w:val="24"/>
          <w:highlight w:val="none"/>
        </w:rPr>
        <w:t>日期：年月日</w:t>
      </w:r>
    </w:p>
    <w:p w14:paraId="736A0B7C">
      <w:pPr>
        <w:ind w:firstLine="480" w:firstLineChars="200"/>
        <w:rPr>
          <w:rFonts w:ascii="宋体" w:hAnsi="宋体" w:cs="仿宋"/>
          <w:color w:val="auto"/>
          <w:sz w:val="24"/>
          <w:highlight w:val="none"/>
        </w:rPr>
      </w:pPr>
    </w:p>
    <w:p w14:paraId="46478A35">
      <w:pPr>
        <w:ind w:firstLine="480" w:firstLineChars="200"/>
        <w:rPr>
          <w:rFonts w:ascii="宋体" w:hAnsi="宋体" w:cs="仿宋"/>
          <w:color w:val="auto"/>
          <w:sz w:val="24"/>
          <w:highlight w:val="none"/>
        </w:rPr>
      </w:pPr>
    </w:p>
    <w:p w14:paraId="418DFE54">
      <w:pPr>
        <w:ind w:firstLine="480" w:firstLineChars="200"/>
        <w:rPr>
          <w:rFonts w:ascii="宋体" w:hAnsi="宋体" w:cs="仿宋"/>
          <w:color w:val="auto"/>
          <w:sz w:val="24"/>
          <w:highlight w:val="none"/>
        </w:rPr>
      </w:pPr>
    </w:p>
    <w:p w14:paraId="7F62A5A4">
      <w:pPr>
        <w:ind w:firstLine="480" w:firstLineChars="200"/>
        <w:rPr>
          <w:rFonts w:ascii="宋体" w:hAnsi="宋体" w:cs="仿宋"/>
          <w:color w:val="auto"/>
          <w:sz w:val="24"/>
          <w:highlight w:val="none"/>
        </w:rPr>
      </w:pPr>
    </w:p>
    <w:p w14:paraId="06798F93">
      <w:pPr>
        <w:ind w:firstLine="480" w:firstLineChars="200"/>
        <w:rPr>
          <w:rFonts w:ascii="宋体" w:hAnsi="宋体" w:cs="仿宋"/>
          <w:color w:val="auto"/>
          <w:sz w:val="24"/>
          <w:highlight w:val="none"/>
        </w:rPr>
      </w:pPr>
    </w:p>
    <w:p w14:paraId="0085ABC9">
      <w:pPr>
        <w:ind w:firstLine="480" w:firstLineChars="200"/>
        <w:rPr>
          <w:rFonts w:ascii="宋体" w:hAnsi="宋体" w:cs="仿宋"/>
          <w:color w:val="auto"/>
          <w:sz w:val="24"/>
          <w:highlight w:val="none"/>
        </w:rPr>
      </w:pPr>
    </w:p>
    <w:p w14:paraId="231BE609">
      <w:pPr>
        <w:ind w:firstLine="480" w:firstLineChars="200"/>
        <w:rPr>
          <w:rFonts w:ascii="宋体" w:hAnsi="宋体" w:cs="仿宋"/>
          <w:color w:val="auto"/>
          <w:sz w:val="24"/>
          <w:highlight w:val="none"/>
        </w:rPr>
      </w:pPr>
    </w:p>
    <w:p w14:paraId="00549A9A">
      <w:pPr>
        <w:ind w:firstLine="480" w:firstLineChars="200"/>
        <w:rPr>
          <w:rFonts w:ascii="宋体" w:hAnsi="宋体" w:cs="仿宋"/>
          <w:color w:val="auto"/>
          <w:sz w:val="24"/>
          <w:highlight w:val="none"/>
        </w:rPr>
      </w:pPr>
    </w:p>
    <w:p w14:paraId="48BBAED2">
      <w:pPr>
        <w:ind w:firstLine="480" w:firstLineChars="200"/>
        <w:rPr>
          <w:rFonts w:ascii="宋体" w:hAnsi="宋体" w:cs="仿宋"/>
          <w:color w:val="auto"/>
          <w:sz w:val="24"/>
          <w:highlight w:val="none"/>
        </w:rPr>
      </w:pPr>
    </w:p>
    <w:p w14:paraId="6FA404FB">
      <w:pPr>
        <w:ind w:firstLine="480" w:firstLineChars="200"/>
        <w:rPr>
          <w:rFonts w:ascii="宋体" w:hAnsi="宋体" w:cs="仿宋"/>
          <w:color w:val="auto"/>
          <w:sz w:val="24"/>
          <w:highlight w:val="none"/>
        </w:rPr>
      </w:pPr>
    </w:p>
    <w:p w14:paraId="396B4171">
      <w:pPr>
        <w:ind w:firstLine="480" w:firstLineChars="200"/>
        <w:rPr>
          <w:rFonts w:ascii="宋体" w:hAnsi="宋体" w:cs="仿宋"/>
          <w:color w:val="auto"/>
          <w:sz w:val="24"/>
          <w:highlight w:val="none"/>
        </w:rPr>
      </w:pPr>
    </w:p>
    <w:p w14:paraId="21B8FD77">
      <w:pPr>
        <w:ind w:firstLine="480" w:firstLineChars="200"/>
        <w:rPr>
          <w:rFonts w:ascii="宋体" w:hAnsi="宋体" w:cs="仿宋"/>
          <w:color w:val="auto"/>
          <w:sz w:val="24"/>
          <w:highlight w:val="none"/>
        </w:rPr>
      </w:pPr>
    </w:p>
    <w:p w14:paraId="503FDE5A">
      <w:pPr>
        <w:ind w:firstLine="480" w:firstLineChars="200"/>
        <w:rPr>
          <w:rFonts w:ascii="宋体" w:hAnsi="宋体" w:cs="仿宋"/>
          <w:color w:val="auto"/>
          <w:sz w:val="24"/>
          <w:highlight w:val="none"/>
        </w:rPr>
      </w:pPr>
    </w:p>
    <w:p w14:paraId="29818E6C">
      <w:pPr>
        <w:ind w:firstLine="480" w:firstLineChars="200"/>
        <w:rPr>
          <w:rFonts w:ascii="宋体" w:hAnsi="宋体" w:cs="仿宋"/>
          <w:color w:val="auto"/>
          <w:sz w:val="24"/>
          <w:highlight w:val="none"/>
        </w:rPr>
      </w:pPr>
    </w:p>
    <w:p w14:paraId="71BCF65E">
      <w:pPr>
        <w:ind w:firstLine="480" w:firstLineChars="200"/>
        <w:rPr>
          <w:rFonts w:ascii="宋体" w:hAnsi="宋体" w:cs="仿宋"/>
          <w:color w:val="auto"/>
          <w:sz w:val="24"/>
          <w:highlight w:val="none"/>
        </w:rPr>
      </w:pPr>
    </w:p>
    <w:p w14:paraId="4E1FE142">
      <w:pPr>
        <w:ind w:firstLine="480" w:firstLineChars="200"/>
        <w:rPr>
          <w:rFonts w:ascii="宋体" w:hAnsi="宋体" w:cs="仿宋"/>
          <w:color w:val="auto"/>
          <w:sz w:val="24"/>
          <w:highlight w:val="none"/>
        </w:rPr>
      </w:pPr>
    </w:p>
    <w:p w14:paraId="11F7B1B9">
      <w:pPr>
        <w:ind w:firstLine="480" w:firstLineChars="200"/>
        <w:rPr>
          <w:rFonts w:ascii="宋体" w:hAnsi="宋体" w:cs="仿宋"/>
          <w:color w:val="auto"/>
          <w:sz w:val="24"/>
          <w:highlight w:val="none"/>
        </w:rPr>
      </w:pPr>
    </w:p>
    <w:p w14:paraId="7FAC4FC3">
      <w:pPr>
        <w:ind w:firstLine="480" w:firstLineChars="200"/>
        <w:rPr>
          <w:rFonts w:ascii="宋体" w:hAnsi="宋体" w:cs="仿宋"/>
          <w:color w:val="auto"/>
          <w:sz w:val="24"/>
          <w:highlight w:val="none"/>
        </w:rPr>
      </w:pPr>
    </w:p>
    <w:p w14:paraId="22C5FBC3">
      <w:pPr>
        <w:ind w:firstLine="480" w:firstLineChars="200"/>
        <w:rPr>
          <w:rFonts w:ascii="宋体" w:hAnsi="宋体" w:cs="仿宋"/>
          <w:color w:val="auto"/>
          <w:sz w:val="24"/>
          <w:highlight w:val="none"/>
        </w:rPr>
      </w:pPr>
    </w:p>
    <w:p w14:paraId="73E26D22">
      <w:pPr>
        <w:ind w:firstLine="480" w:firstLineChars="200"/>
        <w:rPr>
          <w:rFonts w:ascii="宋体" w:hAnsi="宋体" w:cs="仿宋"/>
          <w:color w:val="auto"/>
          <w:sz w:val="24"/>
          <w:highlight w:val="none"/>
        </w:rPr>
      </w:pPr>
    </w:p>
    <w:p w14:paraId="632E7835">
      <w:pPr>
        <w:ind w:firstLine="480" w:firstLineChars="200"/>
        <w:rPr>
          <w:rFonts w:ascii="宋体" w:hAnsi="宋体" w:cs="仿宋"/>
          <w:color w:val="auto"/>
          <w:sz w:val="24"/>
          <w:highlight w:val="none"/>
        </w:rPr>
      </w:pPr>
    </w:p>
    <w:p w14:paraId="08C6657F">
      <w:pPr>
        <w:ind w:firstLine="480" w:firstLineChars="200"/>
        <w:rPr>
          <w:rFonts w:ascii="宋体" w:hAnsi="宋体" w:cs="仿宋"/>
          <w:color w:val="auto"/>
          <w:sz w:val="24"/>
          <w:highlight w:val="none"/>
        </w:rPr>
      </w:pPr>
    </w:p>
    <w:p w14:paraId="3E305D41">
      <w:pPr>
        <w:ind w:firstLine="480" w:firstLineChars="200"/>
        <w:rPr>
          <w:rFonts w:ascii="宋体" w:hAnsi="宋体" w:cs="仿宋"/>
          <w:color w:val="auto"/>
          <w:sz w:val="24"/>
          <w:highlight w:val="none"/>
        </w:rPr>
      </w:pPr>
    </w:p>
    <w:p w14:paraId="60764F38">
      <w:pPr>
        <w:ind w:firstLine="480" w:firstLineChars="200"/>
        <w:rPr>
          <w:rFonts w:ascii="宋体" w:hAnsi="宋体" w:cs="仿宋"/>
          <w:color w:val="auto"/>
          <w:sz w:val="24"/>
          <w:highlight w:val="none"/>
        </w:rPr>
      </w:pPr>
    </w:p>
    <w:p w14:paraId="35C9F18F">
      <w:pPr>
        <w:ind w:firstLine="480" w:firstLineChars="200"/>
        <w:rPr>
          <w:rFonts w:ascii="宋体" w:hAnsi="宋体" w:cs="仿宋"/>
          <w:color w:val="auto"/>
          <w:sz w:val="24"/>
          <w:highlight w:val="none"/>
        </w:rPr>
      </w:pPr>
    </w:p>
    <w:p w14:paraId="1F44C91A">
      <w:pPr>
        <w:ind w:firstLine="480" w:firstLineChars="200"/>
        <w:rPr>
          <w:rFonts w:ascii="宋体" w:hAnsi="宋体" w:cs="仿宋"/>
          <w:color w:val="auto"/>
          <w:sz w:val="24"/>
          <w:highlight w:val="none"/>
        </w:rPr>
      </w:pPr>
    </w:p>
    <w:p w14:paraId="2CE3AF3B">
      <w:pPr>
        <w:ind w:firstLine="480" w:firstLineChars="200"/>
        <w:rPr>
          <w:rFonts w:ascii="宋体" w:hAnsi="宋体" w:cs="仿宋"/>
          <w:color w:val="auto"/>
          <w:sz w:val="24"/>
          <w:highlight w:val="none"/>
        </w:rPr>
      </w:pPr>
    </w:p>
    <w:p w14:paraId="35C63A88">
      <w:pPr>
        <w:snapToGrid w:val="0"/>
        <w:spacing w:line="360" w:lineRule="auto"/>
        <w:jc w:val="center"/>
        <w:rPr>
          <w:color w:val="auto"/>
          <w:sz w:val="30"/>
          <w:szCs w:val="30"/>
          <w:highlight w:val="none"/>
        </w:rPr>
      </w:pPr>
      <w:r>
        <w:rPr>
          <w:rFonts w:hint="eastAsia"/>
          <w:color w:val="auto"/>
          <w:sz w:val="30"/>
          <w:szCs w:val="30"/>
          <w:highlight w:val="none"/>
        </w:rPr>
        <w:t>第六章　投标文件格式</w:t>
      </w:r>
    </w:p>
    <w:p w14:paraId="10C053EB">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一、资格文件格式</w:t>
      </w:r>
    </w:p>
    <w:p w14:paraId="3D60100D">
      <w:pPr>
        <w:snapToGrid w:val="0"/>
        <w:spacing w:line="360" w:lineRule="auto"/>
        <w:rPr>
          <w:rFonts w:ascii="宋体" w:hAnsi="宋体"/>
          <w:color w:val="auto"/>
          <w:sz w:val="24"/>
          <w:szCs w:val="20"/>
          <w:highlight w:val="none"/>
        </w:rPr>
      </w:pPr>
      <w:r>
        <w:rPr>
          <w:rFonts w:hint="eastAsia" w:ascii="宋体" w:hAnsi="宋体"/>
          <w:color w:val="auto"/>
          <w:sz w:val="24"/>
          <w:highlight w:val="none"/>
        </w:rPr>
        <w:t>1.资格文件封面格式：</w:t>
      </w:r>
    </w:p>
    <w:p w14:paraId="2954869C">
      <w:pPr>
        <w:snapToGrid w:val="0"/>
        <w:spacing w:line="360" w:lineRule="auto"/>
        <w:jc w:val="center"/>
        <w:rPr>
          <w:rFonts w:ascii="宋体" w:hAnsi="宋体"/>
          <w:bCs/>
          <w:color w:val="auto"/>
          <w:sz w:val="24"/>
          <w:highlight w:val="none"/>
        </w:rPr>
      </w:pPr>
    </w:p>
    <w:p w14:paraId="2ABCD7E1">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资格文件</w:t>
      </w:r>
    </w:p>
    <w:p w14:paraId="29B297F9">
      <w:pPr>
        <w:snapToGrid w:val="0"/>
        <w:spacing w:line="360" w:lineRule="auto"/>
        <w:rPr>
          <w:rFonts w:ascii="宋体" w:hAnsi="宋体"/>
          <w:bCs/>
          <w:color w:val="auto"/>
          <w:sz w:val="24"/>
          <w:szCs w:val="20"/>
          <w:highlight w:val="none"/>
        </w:rPr>
      </w:pPr>
    </w:p>
    <w:p w14:paraId="437CFF01">
      <w:pPr>
        <w:snapToGrid w:val="0"/>
        <w:spacing w:line="360" w:lineRule="auto"/>
        <w:ind w:firstLine="960" w:firstLine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湖州南太湖新区市本级移交道路绿化养护补植项目（2025-2027年度）</w:t>
      </w:r>
    </w:p>
    <w:p w14:paraId="2D4F9125">
      <w:pPr>
        <w:snapToGrid w:val="0"/>
        <w:spacing w:line="360" w:lineRule="auto"/>
        <w:ind w:firstLine="960" w:firstLineChars="400"/>
        <w:rPr>
          <w:rFonts w:ascii="宋体" w:hAnsi="宋体"/>
          <w:bCs/>
          <w:color w:val="auto"/>
          <w:sz w:val="24"/>
          <w:szCs w:val="20"/>
          <w:highlight w:val="none"/>
        </w:rPr>
      </w:pPr>
      <w:r>
        <w:rPr>
          <w:rFonts w:hint="eastAsia" w:ascii="宋体" w:hAnsi="宋体"/>
          <w:bCs/>
          <w:color w:val="auto"/>
          <w:sz w:val="24"/>
          <w:highlight w:val="none"/>
        </w:rPr>
        <w:t>项目编号：</w:t>
      </w:r>
      <w:r>
        <w:rPr>
          <w:rFonts w:hint="eastAsia" w:ascii="宋体" w:hAnsi="宋体"/>
          <w:color w:val="auto"/>
          <w:sz w:val="24"/>
          <w:highlight w:val="none"/>
        </w:rPr>
        <w:t>HYHZ</w:t>
      </w:r>
      <w:r>
        <w:rPr>
          <w:rFonts w:hint="eastAsia" w:ascii="宋体" w:hAnsi="宋体"/>
          <w:b/>
          <w:color w:val="auto"/>
          <w:sz w:val="24"/>
          <w:highlight w:val="none"/>
        </w:rPr>
        <w:t>2025-103</w:t>
      </w:r>
    </w:p>
    <w:p w14:paraId="608012BA">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2C5B650E">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49408AC0">
      <w:pPr>
        <w:snapToGrid w:val="0"/>
        <w:spacing w:line="360" w:lineRule="auto"/>
        <w:ind w:firstLine="645"/>
        <w:jc w:val="center"/>
        <w:rPr>
          <w:rFonts w:ascii="宋体" w:hAnsi="宋体"/>
          <w:color w:val="auto"/>
          <w:sz w:val="24"/>
          <w:highlight w:val="none"/>
        </w:rPr>
      </w:pPr>
      <w:r>
        <w:rPr>
          <w:rFonts w:hint="eastAsia" w:ascii="宋体" w:hAnsi="宋体"/>
          <w:color w:val="auto"/>
          <w:sz w:val="24"/>
          <w:highlight w:val="none"/>
        </w:rPr>
        <w:t>年月日</w:t>
      </w:r>
    </w:p>
    <w:p w14:paraId="4C17B839">
      <w:pPr>
        <w:snapToGrid w:val="0"/>
        <w:spacing w:line="360" w:lineRule="auto"/>
        <w:ind w:firstLine="645"/>
        <w:jc w:val="center"/>
        <w:rPr>
          <w:rFonts w:ascii="宋体" w:hAnsi="宋体"/>
          <w:color w:val="auto"/>
          <w:sz w:val="24"/>
          <w:highlight w:val="none"/>
        </w:rPr>
      </w:pPr>
    </w:p>
    <w:p w14:paraId="45033FB1">
      <w:pPr>
        <w:snapToGrid w:val="0"/>
        <w:spacing w:line="360" w:lineRule="auto"/>
        <w:ind w:firstLine="645"/>
        <w:jc w:val="center"/>
        <w:rPr>
          <w:rFonts w:ascii="宋体" w:hAnsi="宋体"/>
          <w:color w:val="auto"/>
          <w:sz w:val="24"/>
          <w:highlight w:val="none"/>
        </w:rPr>
      </w:pPr>
    </w:p>
    <w:p w14:paraId="28AF531A">
      <w:pPr>
        <w:snapToGrid w:val="0"/>
        <w:spacing w:line="360" w:lineRule="auto"/>
        <w:ind w:firstLine="645"/>
        <w:jc w:val="center"/>
        <w:rPr>
          <w:rFonts w:ascii="宋体" w:hAnsi="宋体"/>
          <w:color w:val="auto"/>
          <w:sz w:val="24"/>
          <w:highlight w:val="none"/>
        </w:rPr>
      </w:pPr>
    </w:p>
    <w:p w14:paraId="6913D234">
      <w:pPr>
        <w:snapToGrid w:val="0"/>
        <w:spacing w:line="360" w:lineRule="auto"/>
        <w:ind w:firstLine="645"/>
        <w:jc w:val="center"/>
        <w:rPr>
          <w:rFonts w:ascii="宋体" w:hAnsi="宋体"/>
          <w:color w:val="auto"/>
          <w:sz w:val="24"/>
          <w:highlight w:val="none"/>
        </w:rPr>
      </w:pPr>
    </w:p>
    <w:p w14:paraId="3873F2DA">
      <w:pPr>
        <w:snapToGrid w:val="0"/>
        <w:spacing w:line="360" w:lineRule="auto"/>
        <w:ind w:firstLine="645"/>
        <w:jc w:val="center"/>
        <w:rPr>
          <w:rFonts w:ascii="宋体" w:hAnsi="宋体"/>
          <w:color w:val="auto"/>
          <w:sz w:val="24"/>
          <w:highlight w:val="none"/>
        </w:rPr>
      </w:pPr>
    </w:p>
    <w:p w14:paraId="5338667E">
      <w:pPr>
        <w:snapToGrid w:val="0"/>
        <w:spacing w:line="360" w:lineRule="auto"/>
        <w:ind w:firstLine="645"/>
        <w:jc w:val="center"/>
        <w:rPr>
          <w:rFonts w:ascii="宋体" w:hAnsi="宋体"/>
          <w:color w:val="auto"/>
          <w:sz w:val="24"/>
          <w:highlight w:val="none"/>
        </w:rPr>
      </w:pPr>
    </w:p>
    <w:p w14:paraId="35C0CCAF">
      <w:pPr>
        <w:snapToGrid w:val="0"/>
        <w:spacing w:line="360" w:lineRule="auto"/>
        <w:ind w:firstLine="645"/>
        <w:jc w:val="center"/>
        <w:rPr>
          <w:rFonts w:ascii="宋体" w:hAnsi="宋体"/>
          <w:color w:val="auto"/>
          <w:sz w:val="24"/>
          <w:highlight w:val="none"/>
        </w:rPr>
      </w:pPr>
    </w:p>
    <w:p w14:paraId="40793868">
      <w:pPr>
        <w:snapToGrid w:val="0"/>
        <w:spacing w:line="360" w:lineRule="auto"/>
        <w:ind w:firstLine="645"/>
        <w:jc w:val="center"/>
        <w:rPr>
          <w:rFonts w:ascii="宋体" w:hAnsi="宋体"/>
          <w:color w:val="auto"/>
          <w:sz w:val="24"/>
          <w:highlight w:val="none"/>
        </w:rPr>
      </w:pPr>
    </w:p>
    <w:p w14:paraId="0575B7AA">
      <w:pPr>
        <w:snapToGrid w:val="0"/>
        <w:spacing w:line="360" w:lineRule="auto"/>
        <w:ind w:firstLine="645"/>
        <w:jc w:val="center"/>
        <w:rPr>
          <w:rFonts w:ascii="宋体" w:hAnsi="宋体"/>
          <w:color w:val="auto"/>
          <w:sz w:val="24"/>
          <w:highlight w:val="none"/>
        </w:rPr>
      </w:pPr>
    </w:p>
    <w:p w14:paraId="1013ABFC">
      <w:pPr>
        <w:snapToGrid w:val="0"/>
        <w:spacing w:line="360" w:lineRule="auto"/>
        <w:ind w:firstLine="645"/>
        <w:jc w:val="center"/>
        <w:rPr>
          <w:rFonts w:ascii="宋体" w:hAnsi="宋体"/>
          <w:color w:val="auto"/>
          <w:sz w:val="24"/>
          <w:highlight w:val="none"/>
        </w:rPr>
      </w:pPr>
    </w:p>
    <w:p w14:paraId="5DB99100">
      <w:pPr>
        <w:snapToGrid w:val="0"/>
        <w:spacing w:line="360" w:lineRule="auto"/>
        <w:ind w:firstLine="645"/>
        <w:jc w:val="center"/>
        <w:rPr>
          <w:rFonts w:ascii="宋体" w:hAnsi="宋体"/>
          <w:color w:val="auto"/>
          <w:sz w:val="24"/>
          <w:highlight w:val="none"/>
        </w:rPr>
      </w:pPr>
    </w:p>
    <w:p w14:paraId="32FC9E84">
      <w:pPr>
        <w:snapToGrid w:val="0"/>
        <w:spacing w:line="360" w:lineRule="auto"/>
        <w:ind w:firstLine="645"/>
        <w:jc w:val="center"/>
        <w:rPr>
          <w:rFonts w:ascii="宋体" w:hAnsi="宋体"/>
          <w:color w:val="auto"/>
          <w:sz w:val="24"/>
          <w:highlight w:val="none"/>
        </w:rPr>
      </w:pPr>
    </w:p>
    <w:p w14:paraId="205A0EEA">
      <w:pPr>
        <w:snapToGrid w:val="0"/>
        <w:spacing w:line="360" w:lineRule="auto"/>
        <w:ind w:firstLine="645"/>
        <w:jc w:val="center"/>
        <w:rPr>
          <w:rFonts w:ascii="宋体" w:hAnsi="宋体"/>
          <w:color w:val="auto"/>
          <w:sz w:val="24"/>
          <w:highlight w:val="none"/>
        </w:rPr>
      </w:pPr>
    </w:p>
    <w:p w14:paraId="39FADC22">
      <w:pPr>
        <w:snapToGrid w:val="0"/>
        <w:spacing w:line="360" w:lineRule="auto"/>
        <w:ind w:firstLine="645"/>
        <w:jc w:val="center"/>
        <w:rPr>
          <w:rFonts w:ascii="宋体" w:hAnsi="宋体"/>
          <w:color w:val="auto"/>
          <w:sz w:val="24"/>
          <w:highlight w:val="none"/>
        </w:rPr>
      </w:pPr>
    </w:p>
    <w:p w14:paraId="67DBD5DF">
      <w:pPr>
        <w:snapToGrid w:val="0"/>
        <w:spacing w:line="360" w:lineRule="auto"/>
        <w:ind w:firstLine="645"/>
        <w:jc w:val="center"/>
        <w:rPr>
          <w:rFonts w:ascii="宋体" w:hAnsi="宋体"/>
          <w:color w:val="auto"/>
          <w:sz w:val="24"/>
          <w:highlight w:val="none"/>
        </w:rPr>
      </w:pPr>
    </w:p>
    <w:p w14:paraId="77A8BDD3">
      <w:pPr>
        <w:snapToGrid w:val="0"/>
        <w:spacing w:line="360" w:lineRule="auto"/>
        <w:ind w:firstLine="645"/>
        <w:jc w:val="center"/>
        <w:rPr>
          <w:rFonts w:ascii="宋体" w:hAnsi="宋体"/>
          <w:color w:val="auto"/>
          <w:sz w:val="24"/>
          <w:highlight w:val="none"/>
        </w:rPr>
      </w:pPr>
    </w:p>
    <w:p w14:paraId="1F87447C">
      <w:pPr>
        <w:snapToGrid w:val="0"/>
        <w:spacing w:line="360" w:lineRule="auto"/>
        <w:ind w:firstLine="645"/>
        <w:jc w:val="center"/>
        <w:rPr>
          <w:rFonts w:ascii="宋体" w:hAnsi="宋体"/>
          <w:color w:val="auto"/>
          <w:sz w:val="24"/>
          <w:highlight w:val="none"/>
        </w:rPr>
      </w:pPr>
    </w:p>
    <w:p w14:paraId="235B1434">
      <w:pPr>
        <w:snapToGrid w:val="0"/>
        <w:spacing w:line="360" w:lineRule="auto"/>
        <w:ind w:firstLine="645"/>
        <w:jc w:val="center"/>
        <w:rPr>
          <w:rFonts w:ascii="宋体" w:hAnsi="宋体"/>
          <w:color w:val="auto"/>
          <w:sz w:val="24"/>
          <w:highlight w:val="none"/>
        </w:rPr>
      </w:pPr>
    </w:p>
    <w:p w14:paraId="7822C97B">
      <w:pPr>
        <w:snapToGrid w:val="0"/>
        <w:spacing w:line="360" w:lineRule="auto"/>
        <w:ind w:firstLine="645"/>
        <w:jc w:val="center"/>
        <w:rPr>
          <w:rFonts w:ascii="宋体" w:hAnsi="宋体"/>
          <w:color w:val="auto"/>
          <w:sz w:val="24"/>
          <w:szCs w:val="20"/>
          <w:highlight w:val="none"/>
        </w:rPr>
      </w:pPr>
    </w:p>
    <w:p w14:paraId="69987588">
      <w:pPr>
        <w:snapToGrid w:val="0"/>
        <w:spacing w:line="360" w:lineRule="auto"/>
        <w:rPr>
          <w:rFonts w:ascii="宋体" w:hAnsi="宋体"/>
          <w:b/>
          <w:bCs/>
          <w:color w:val="auto"/>
          <w:sz w:val="24"/>
          <w:highlight w:val="none"/>
        </w:rPr>
      </w:pPr>
      <w:r>
        <w:rPr>
          <w:rFonts w:hint="eastAsia" w:ascii="宋体" w:hAnsi="宋体"/>
          <w:color w:val="auto"/>
          <w:sz w:val="24"/>
          <w:highlight w:val="none"/>
        </w:rPr>
        <w:t>2.</w:t>
      </w:r>
      <w:r>
        <w:rPr>
          <w:rFonts w:hint="eastAsia" w:ascii="宋体" w:hAnsi="宋体"/>
          <w:b/>
          <w:bCs/>
          <w:color w:val="auto"/>
          <w:sz w:val="24"/>
          <w:highlight w:val="none"/>
        </w:rPr>
        <w:t>资格文件目录</w:t>
      </w:r>
    </w:p>
    <w:p w14:paraId="18E1DA5F">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）投标声明书————————（页码）</w:t>
      </w:r>
    </w:p>
    <w:p w14:paraId="2B831A92">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）有效的营业执照、税务登记证、组织机构代码证或“三证合一”的营业执照或“五证合一”的营业执照————————</w:t>
      </w:r>
    </w:p>
    <w:p w14:paraId="5F9F2562">
      <w:pPr>
        <w:snapToGrid w:val="0"/>
        <w:spacing w:line="360" w:lineRule="auto"/>
        <w:jc w:val="left"/>
        <w:rPr>
          <w:rFonts w:ascii="宋体" w:hAnsi="宋体"/>
          <w:color w:val="auto"/>
          <w:sz w:val="24"/>
          <w:highlight w:val="none"/>
        </w:rPr>
      </w:pPr>
      <w:r>
        <w:rPr>
          <w:rFonts w:hint="eastAsia" w:ascii="宋体" w:hAnsi="宋体"/>
          <w:color w:val="auto"/>
          <w:sz w:val="24"/>
          <w:highlight w:val="none"/>
        </w:rPr>
        <w:t>（3）法定代表人有效身份证明书或法定代表人授权书</w:t>
      </w:r>
      <w:r>
        <w:rPr>
          <w:rFonts w:ascii="宋体" w:hAnsi="宋体"/>
          <w:color w:val="auto"/>
          <w:sz w:val="24"/>
          <w:highlight w:val="none"/>
        </w:rPr>
        <w:t>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r>
        <w:rPr>
          <w:rFonts w:hint="eastAsia" w:ascii="宋体" w:hAnsi="宋体"/>
          <w:color w:val="auto"/>
          <w:sz w:val="24"/>
          <w:highlight w:val="none"/>
        </w:rPr>
        <w:t>————————</w:t>
      </w:r>
    </w:p>
    <w:p w14:paraId="776A1257">
      <w:pPr>
        <w:snapToGrid w:val="0"/>
        <w:spacing w:line="360" w:lineRule="auto"/>
        <w:jc w:val="left"/>
        <w:rPr>
          <w:rFonts w:ascii="宋体" w:hAnsi="宋体"/>
          <w:color w:val="auto"/>
          <w:sz w:val="24"/>
          <w:highlight w:val="none"/>
        </w:rPr>
      </w:pPr>
      <w:r>
        <w:rPr>
          <w:rFonts w:hint="eastAsia" w:ascii="宋体" w:hAnsi="宋体"/>
          <w:color w:val="auto"/>
          <w:sz w:val="24"/>
          <w:highlight w:val="none"/>
        </w:rPr>
        <w:t>（4）投标承诺书———————</w:t>
      </w:r>
    </w:p>
    <w:p w14:paraId="3B4E8978">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w:t>
      </w:r>
      <w:r>
        <w:rPr>
          <w:rFonts w:hint="eastAsia" w:ascii="宋体" w:hAnsi="宋体" w:cs="宋体"/>
          <w:color w:val="auto"/>
          <w:sz w:val="24"/>
          <w:highlight w:val="none"/>
        </w:rPr>
        <w:t>信用承诺书</w:t>
      </w:r>
      <w:r>
        <w:rPr>
          <w:rFonts w:hint="eastAsia" w:ascii="宋体" w:hAnsi="宋体"/>
          <w:color w:val="auto"/>
          <w:sz w:val="24"/>
          <w:highlight w:val="none"/>
        </w:rPr>
        <w:t>———————</w:t>
      </w:r>
    </w:p>
    <w:p w14:paraId="4EFC8FCB">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5FC790B9">
      <w:pPr>
        <w:snapToGrid w:val="0"/>
        <w:spacing w:line="360" w:lineRule="auto"/>
        <w:jc w:val="left"/>
        <w:rPr>
          <w:rFonts w:ascii="宋体" w:hAnsi="宋体"/>
          <w:color w:val="auto"/>
          <w:sz w:val="24"/>
          <w:highlight w:val="none"/>
        </w:rPr>
      </w:pPr>
      <w:r>
        <w:rPr>
          <w:rFonts w:hint="eastAsia" w:ascii="宋体" w:hAnsi="宋体" w:cs="宋体"/>
          <w:color w:val="auto"/>
          <w:kern w:val="0"/>
          <w:sz w:val="24"/>
          <w:highlight w:val="none"/>
        </w:rPr>
        <w:t>（7）</w:t>
      </w:r>
      <w:r>
        <w:rPr>
          <w:rFonts w:hint="eastAsia" w:ascii="宋体" w:hAnsi="宋体"/>
          <w:color w:val="auto"/>
          <w:sz w:val="24"/>
          <w:highlight w:val="none"/>
        </w:rPr>
        <w:t>《中小企业声明函》（格式见附件），残疾人福利性单位需提供《残疾人福利性单位声明函》，监狱企业需提供省级以</w:t>
      </w:r>
      <w:r>
        <w:rPr>
          <w:rFonts w:hint="eastAsia" w:ascii="宋体" w:hAnsi="宋体" w:cs="宋体"/>
          <w:color w:val="auto"/>
          <w:sz w:val="24"/>
          <w:highlight w:val="none"/>
        </w:rPr>
        <w:t>上监狱管理局、戒毒管理局（含新疆生产建设兵团）出具的属于监狱企业的证明文件</w:t>
      </w:r>
      <w:r>
        <w:rPr>
          <w:rFonts w:hint="eastAsia" w:ascii="宋体" w:hAnsi="宋体"/>
          <w:color w:val="auto"/>
          <w:sz w:val="24"/>
          <w:highlight w:val="none"/>
        </w:rPr>
        <w:t>————————</w:t>
      </w:r>
    </w:p>
    <w:p w14:paraId="10F0048E">
      <w:pPr>
        <w:snapToGrid w:val="0"/>
        <w:spacing w:line="360" w:lineRule="auto"/>
        <w:jc w:val="left"/>
        <w:rPr>
          <w:rFonts w:ascii="宋体" w:hAnsi="宋体" w:cs="宋体"/>
          <w:color w:val="auto"/>
          <w:kern w:val="0"/>
          <w:sz w:val="24"/>
          <w:highlight w:val="none"/>
        </w:rPr>
      </w:pPr>
    </w:p>
    <w:p w14:paraId="62EB7AF9">
      <w:pPr>
        <w:snapToGrid w:val="0"/>
        <w:spacing w:line="360" w:lineRule="auto"/>
        <w:jc w:val="left"/>
        <w:rPr>
          <w:rFonts w:ascii="宋体" w:hAnsi="宋体" w:cs="Arial"/>
          <w:color w:val="auto"/>
          <w:kern w:val="0"/>
          <w:sz w:val="24"/>
          <w:highlight w:val="none"/>
        </w:rPr>
      </w:pPr>
    </w:p>
    <w:p w14:paraId="7ED995EB">
      <w:pPr>
        <w:snapToGrid w:val="0"/>
        <w:spacing w:line="360" w:lineRule="auto"/>
        <w:jc w:val="left"/>
        <w:rPr>
          <w:rFonts w:ascii="宋体" w:hAnsi="宋体" w:cs="Arial"/>
          <w:color w:val="auto"/>
          <w:kern w:val="0"/>
          <w:sz w:val="24"/>
          <w:highlight w:val="none"/>
        </w:rPr>
      </w:pPr>
    </w:p>
    <w:p w14:paraId="7C59550C">
      <w:pPr>
        <w:snapToGrid w:val="0"/>
        <w:spacing w:line="360" w:lineRule="auto"/>
        <w:jc w:val="left"/>
        <w:rPr>
          <w:rFonts w:ascii="宋体" w:hAnsi="宋体" w:cs="Arial"/>
          <w:color w:val="auto"/>
          <w:kern w:val="0"/>
          <w:sz w:val="24"/>
          <w:highlight w:val="none"/>
        </w:rPr>
      </w:pPr>
    </w:p>
    <w:p w14:paraId="0A20B728">
      <w:pPr>
        <w:snapToGrid w:val="0"/>
        <w:spacing w:line="360" w:lineRule="auto"/>
        <w:jc w:val="left"/>
        <w:rPr>
          <w:rFonts w:ascii="宋体" w:hAnsi="宋体" w:cs="Arial"/>
          <w:color w:val="auto"/>
          <w:kern w:val="0"/>
          <w:sz w:val="24"/>
          <w:highlight w:val="none"/>
        </w:rPr>
      </w:pPr>
    </w:p>
    <w:p w14:paraId="241F2E82">
      <w:pPr>
        <w:snapToGrid w:val="0"/>
        <w:spacing w:line="360" w:lineRule="auto"/>
        <w:jc w:val="left"/>
        <w:rPr>
          <w:rFonts w:ascii="宋体" w:hAnsi="宋体" w:cs="Arial"/>
          <w:color w:val="auto"/>
          <w:kern w:val="0"/>
          <w:sz w:val="24"/>
          <w:highlight w:val="none"/>
        </w:rPr>
      </w:pPr>
    </w:p>
    <w:p w14:paraId="5B47F4CF">
      <w:pPr>
        <w:snapToGrid w:val="0"/>
        <w:spacing w:line="360" w:lineRule="auto"/>
        <w:jc w:val="left"/>
        <w:rPr>
          <w:rFonts w:ascii="宋体" w:hAnsi="宋体" w:cs="Arial"/>
          <w:color w:val="auto"/>
          <w:kern w:val="0"/>
          <w:sz w:val="24"/>
          <w:highlight w:val="none"/>
        </w:rPr>
      </w:pPr>
    </w:p>
    <w:p w14:paraId="7287A341">
      <w:pPr>
        <w:snapToGrid w:val="0"/>
        <w:spacing w:line="360" w:lineRule="auto"/>
        <w:jc w:val="left"/>
        <w:rPr>
          <w:rFonts w:ascii="宋体" w:hAnsi="宋体" w:cs="Arial"/>
          <w:color w:val="auto"/>
          <w:kern w:val="0"/>
          <w:sz w:val="24"/>
          <w:highlight w:val="none"/>
        </w:rPr>
      </w:pPr>
    </w:p>
    <w:p w14:paraId="588EF0B1">
      <w:pPr>
        <w:snapToGrid w:val="0"/>
        <w:spacing w:line="360" w:lineRule="auto"/>
        <w:jc w:val="left"/>
        <w:rPr>
          <w:rFonts w:ascii="宋体" w:hAnsi="宋体" w:cs="Arial"/>
          <w:color w:val="auto"/>
          <w:kern w:val="0"/>
          <w:sz w:val="24"/>
          <w:highlight w:val="none"/>
        </w:rPr>
      </w:pPr>
    </w:p>
    <w:p w14:paraId="7EB4AEB5">
      <w:pPr>
        <w:snapToGrid w:val="0"/>
        <w:spacing w:line="360" w:lineRule="auto"/>
        <w:jc w:val="left"/>
        <w:rPr>
          <w:rFonts w:ascii="宋体" w:hAnsi="宋体" w:cs="Arial"/>
          <w:color w:val="auto"/>
          <w:kern w:val="0"/>
          <w:sz w:val="24"/>
          <w:highlight w:val="none"/>
        </w:rPr>
      </w:pPr>
    </w:p>
    <w:p w14:paraId="749F51FB">
      <w:pPr>
        <w:snapToGrid w:val="0"/>
        <w:spacing w:line="360" w:lineRule="auto"/>
        <w:jc w:val="left"/>
        <w:rPr>
          <w:rFonts w:ascii="宋体" w:hAnsi="宋体" w:cs="Arial"/>
          <w:color w:val="auto"/>
          <w:kern w:val="0"/>
          <w:sz w:val="24"/>
          <w:highlight w:val="none"/>
        </w:rPr>
      </w:pPr>
    </w:p>
    <w:p w14:paraId="1F1910AF">
      <w:pPr>
        <w:snapToGrid w:val="0"/>
        <w:spacing w:line="360" w:lineRule="auto"/>
        <w:jc w:val="left"/>
        <w:rPr>
          <w:rFonts w:ascii="宋体" w:hAnsi="宋体" w:cs="Arial"/>
          <w:color w:val="auto"/>
          <w:kern w:val="0"/>
          <w:sz w:val="24"/>
          <w:highlight w:val="none"/>
        </w:rPr>
      </w:pPr>
    </w:p>
    <w:p w14:paraId="1FA1BEDA">
      <w:pPr>
        <w:snapToGrid w:val="0"/>
        <w:spacing w:line="360" w:lineRule="auto"/>
        <w:jc w:val="left"/>
        <w:rPr>
          <w:rFonts w:ascii="宋体" w:hAnsi="宋体" w:cs="Arial"/>
          <w:color w:val="auto"/>
          <w:kern w:val="0"/>
          <w:sz w:val="24"/>
          <w:highlight w:val="none"/>
        </w:rPr>
      </w:pPr>
    </w:p>
    <w:p w14:paraId="1B236A4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3.投标声明书格式：</w:t>
      </w:r>
    </w:p>
    <w:p w14:paraId="38B18275">
      <w:pPr>
        <w:snapToGrid w:val="0"/>
        <w:spacing w:line="360" w:lineRule="auto"/>
        <w:jc w:val="center"/>
        <w:rPr>
          <w:rFonts w:ascii="宋体" w:hAnsi="宋体"/>
          <w:color w:val="auto"/>
          <w:sz w:val="24"/>
          <w:szCs w:val="20"/>
          <w:highlight w:val="none"/>
        </w:rPr>
      </w:pPr>
      <w:r>
        <w:rPr>
          <w:rFonts w:hint="eastAsia" w:ascii="宋体" w:hAnsi="宋体"/>
          <w:color w:val="auto"/>
          <w:sz w:val="30"/>
          <w:highlight w:val="none"/>
        </w:rPr>
        <w:t>投标声明书</w:t>
      </w:r>
    </w:p>
    <w:p w14:paraId="0CE699B9">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05A4122C">
      <w:pPr>
        <w:snapToGrid w:val="0"/>
        <w:spacing w:line="360" w:lineRule="auto"/>
        <w:ind w:firstLine="720" w:firstLineChars="300"/>
        <w:rPr>
          <w:rFonts w:ascii="宋体" w:hAnsi="宋体"/>
          <w:color w:val="auto"/>
          <w:sz w:val="24"/>
          <w:szCs w:val="20"/>
          <w:highlight w:val="none"/>
        </w:rPr>
      </w:pP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（投标人名称）系中华人民共和国合法企业，经营地址。</w:t>
      </w:r>
    </w:p>
    <w:p w14:paraId="0259CBCC">
      <w:pPr>
        <w:snapToGrid w:val="0"/>
        <w:spacing w:line="360" w:lineRule="auto"/>
        <w:ind w:firstLine="645"/>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w:t>
      </w:r>
      <w:r>
        <w:rPr>
          <w:rFonts w:ascii="宋体" w:hAnsi="宋体"/>
          <w:color w:val="auto"/>
          <w:sz w:val="24"/>
          <w:highlight w:val="none"/>
          <w:u w:val="single"/>
        </w:rPr>
        <w:t xml:space="preserve">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w:t>
      </w:r>
      <w:r>
        <w:rPr>
          <w:rFonts w:ascii="宋体" w:hAnsi="宋体"/>
          <w:color w:val="auto"/>
          <w:sz w:val="24"/>
          <w:highlight w:val="none"/>
          <w:u w:val="single"/>
        </w:rPr>
        <w:t>_              _     _</w:t>
      </w:r>
      <w:r>
        <w:rPr>
          <w:rFonts w:ascii="宋体" w:hAnsi="宋体"/>
          <w:color w:val="auto"/>
          <w:sz w:val="24"/>
          <w:highlight w:val="none"/>
        </w:rPr>
        <w:t>_</w:t>
      </w:r>
      <w:r>
        <w:rPr>
          <w:rFonts w:hint="eastAsia" w:ascii="宋体" w:hAnsi="宋体"/>
          <w:color w:val="auto"/>
          <w:sz w:val="24"/>
          <w:highlight w:val="none"/>
        </w:rPr>
        <w:t>项目的投标，为便于贵方公正、择优地确定中标人及其投标产品和服务，我方就本次投标有关事项郑重声明如下：</w:t>
      </w:r>
    </w:p>
    <w:p w14:paraId="49EC1239">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14:paraId="0083E8A2">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5F8043C0">
      <w:pPr>
        <w:snapToGrid w:val="0"/>
        <w:spacing w:line="360" w:lineRule="auto"/>
        <w:ind w:firstLine="480" w:firstLineChars="200"/>
        <w:rPr>
          <w:rFonts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hAnsi="宋体"/>
          <w:color w:val="auto"/>
          <w:sz w:val="24"/>
          <w:highlight w:val="none"/>
        </w:rPr>
        <w:t>我方及由本人担任法定代表人的其他机构</w:t>
      </w:r>
      <w:r>
        <w:rPr>
          <w:rFonts w:hAnsi="宋体"/>
          <w:color w:val="auto"/>
          <w:sz w:val="24"/>
          <w:highlight w:val="none"/>
        </w:rPr>
        <w:t>近三年内被</w:t>
      </w:r>
      <w:r>
        <w:rPr>
          <w:rFonts w:hint="eastAsia" w:hAnsi="宋体"/>
          <w:color w:val="auto"/>
          <w:sz w:val="24"/>
          <w:highlight w:val="none"/>
        </w:rPr>
        <w:t>通报或者被处罚的</w:t>
      </w:r>
      <w:r>
        <w:rPr>
          <w:rFonts w:hAnsi="宋体"/>
          <w:color w:val="auto"/>
          <w:sz w:val="24"/>
          <w:highlight w:val="none"/>
        </w:rPr>
        <w:t>违法行为有：</w:t>
      </w:r>
    </w:p>
    <w:p w14:paraId="56B3FFBB">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52668C36">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431DE74E">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4.以上事项如有虚假或隐瞒，我方愿意承担一切后果，并不再寻求任何旨在减轻或免除法律责任的辩解。</w:t>
      </w:r>
    </w:p>
    <w:p w14:paraId="6D3F868E">
      <w:pPr>
        <w:pStyle w:val="101"/>
        <w:snapToGrid w:val="0"/>
        <w:spacing w:line="360" w:lineRule="auto"/>
        <w:ind w:firstLine="200"/>
        <w:rPr>
          <w:rFonts w:ascii="宋体" w:hAnsi="宋体"/>
          <w:color w:val="auto"/>
          <w:highlight w:val="none"/>
        </w:rPr>
      </w:pPr>
    </w:p>
    <w:p w14:paraId="3919F304">
      <w:pPr>
        <w:snapToGrid w:val="0"/>
        <w:spacing w:line="360" w:lineRule="auto"/>
        <w:ind w:firstLine="200"/>
        <w:rPr>
          <w:rFonts w:ascii="宋体" w:hAnsi="宋体"/>
          <w:color w:val="auto"/>
          <w:sz w:val="24"/>
          <w:szCs w:val="20"/>
          <w:highlight w:val="none"/>
          <w:u w:val="single"/>
        </w:rPr>
      </w:pPr>
      <w:r>
        <w:rPr>
          <w:rFonts w:hint="eastAsia" w:ascii="宋体" w:hAnsi="宋体"/>
          <w:color w:val="auto"/>
          <w:sz w:val="24"/>
          <w:highlight w:val="none"/>
        </w:rPr>
        <w:t>法定代表人签名：</w:t>
      </w:r>
    </w:p>
    <w:p w14:paraId="338CBCFE">
      <w:pPr>
        <w:snapToGrid w:val="0"/>
        <w:spacing w:line="360" w:lineRule="auto"/>
        <w:ind w:firstLine="240" w:firstLineChars="100"/>
        <w:rPr>
          <w:rFonts w:ascii="宋体" w:hAnsi="宋体"/>
          <w:color w:val="auto"/>
          <w:sz w:val="24"/>
          <w:szCs w:val="20"/>
          <w:highlight w:val="none"/>
        </w:rPr>
      </w:pPr>
      <w:r>
        <w:rPr>
          <w:rFonts w:hint="eastAsia" w:ascii="宋体" w:hAnsi="宋体"/>
          <w:color w:val="auto"/>
          <w:sz w:val="24"/>
          <w:highlight w:val="none"/>
        </w:rPr>
        <w:t>投标人公章：</w:t>
      </w:r>
      <w:r>
        <w:rPr>
          <w:rFonts w:ascii="宋体" w:hAnsi="宋体"/>
          <w:color w:val="auto"/>
          <w:sz w:val="24"/>
          <w:highlight w:val="none"/>
        </w:rPr>
        <w:t>年月日</w:t>
      </w:r>
    </w:p>
    <w:p w14:paraId="393B1C43">
      <w:pPr>
        <w:snapToGrid w:val="0"/>
        <w:spacing w:line="360" w:lineRule="auto"/>
        <w:rPr>
          <w:rFonts w:ascii="宋体" w:hAnsi="宋体"/>
          <w:color w:val="auto"/>
          <w:sz w:val="24"/>
          <w:szCs w:val="20"/>
          <w:highlight w:val="none"/>
        </w:rPr>
      </w:pPr>
    </w:p>
    <w:p w14:paraId="2BB814D3">
      <w:pPr>
        <w:snapToGrid w:val="0"/>
        <w:spacing w:line="360" w:lineRule="auto"/>
        <w:rPr>
          <w:rFonts w:ascii="宋体" w:hAnsi="宋体"/>
          <w:color w:val="auto"/>
          <w:sz w:val="24"/>
          <w:szCs w:val="20"/>
          <w:highlight w:val="none"/>
        </w:rPr>
      </w:pPr>
    </w:p>
    <w:p w14:paraId="5003BE5D">
      <w:pPr>
        <w:snapToGrid w:val="0"/>
        <w:spacing w:line="360" w:lineRule="auto"/>
        <w:rPr>
          <w:rFonts w:ascii="宋体" w:hAnsi="宋体"/>
          <w:color w:val="auto"/>
          <w:sz w:val="24"/>
          <w:szCs w:val="20"/>
          <w:highlight w:val="none"/>
        </w:rPr>
      </w:pPr>
    </w:p>
    <w:p w14:paraId="3AAADC36">
      <w:pPr>
        <w:snapToGrid w:val="0"/>
        <w:spacing w:line="360" w:lineRule="auto"/>
        <w:rPr>
          <w:rFonts w:ascii="宋体" w:hAnsi="宋体"/>
          <w:color w:val="auto"/>
          <w:sz w:val="24"/>
          <w:szCs w:val="20"/>
          <w:highlight w:val="none"/>
        </w:rPr>
      </w:pPr>
    </w:p>
    <w:p w14:paraId="47CEE912">
      <w:pPr>
        <w:snapToGrid w:val="0"/>
        <w:spacing w:line="360" w:lineRule="auto"/>
        <w:rPr>
          <w:rFonts w:ascii="宋体" w:hAnsi="宋体"/>
          <w:color w:val="auto"/>
          <w:sz w:val="24"/>
          <w:szCs w:val="20"/>
          <w:highlight w:val="none"/>
        </w:rPr>
      </w:pPr>
    </w:p>
    <w:p w14:paraId="67D02F21">
      <w:pPr>
        <w:snapToGrid w:val="0"/>
        <w:spacing w:line="360" w:lineRule="auto"/>
        <w:rPr>
          <w:rFonts w:ascii="宋体" w:hAnsi="宋体"/>
          <w:color w:val="auto"/>
          <w:sz w:val="24"/>
          <w:szCs w:val="20"/>
          <w:highlight w:val="none"/>
        </w:rPr>
      </w:pPr>
    </w:p>
    <w:p w14:paraId="38ACEBCA">
      <w:pPr>
        <w:snapToGrid w:val="0"/>
        <w:spacing w:line="360" w:lineRule="auto"/>
        <w:rPr>
          <w:rFonts w:ascii="宋体" w:hAnsi="宋体"/>
          <w:color w:val="auto"/>
          <w:sz w:val="24"/>
          <w:highlight w:val="none"/>
        </w:rPr>
      </w:pPr>
      <w:r>
        <w:rPr>
          <w:rFonts w:hint="eastAsia" w:ascii="宋体" w:hAnsi="宋体"/>
          <w:color w:val="auto"/>
          <w:sz w:val="24"/>
          <w:highlight w:val="none"/>
        </w:rPr>
        <w:t>4. 有效的营业执照、税务登记证、组织机构代码证或“三证合一”的营业执照或“五证合一”的营业执照复印件</w:t>
      </w:r>
    </w:p>
    <w:p w14:paraId="5CDE8650">
      <w:pPr>
        <w:pStyle w:val="21"/>
        <w:rPr>
          <w:color w:val="auto"/>
          <w:highlight w:val="none"/>
        </w:rPr>
      </w:pPr>
    </w:p>
    <w:p w14:paraId="5FD39469">
      <w:pPr>
        <w:snapToGrid w:val="0"/>
        <w:spacing w:line="360" w:lineRule="auto"/>
        <w:rPr>
          <w:rFonts w:ascii="宋体" w:hAnsi="宋体"/>
          <w:color w:val="auto"/>
          <w:sz w:val="24"/>
          <w:highlight w:val="none"/>
        </w:rPr>
      </w:pPr>
    </w:p>
    <w:p w14:paraId="52F168D2">
      <w:pPr>
        <w:snapToGrid w:val="0"/>
        <w:spacing w:line="360" w:lineRule="auto"/>
        <w:rPr>
          <w:rFonts w:ascii="宋体" w:hAnsi="宋体"/>
          <w:color w:val="auto"/>
          <w:sz w:val="24"/>
          <w:highlight w:val="none"/>
        </w:rPr>
      </w:pPr>
    </w:p>
    <w:p w14:paraId="124F109E">
      <w:pPr>
        <w:snapToGrid w:val="0"/>
        <w:spacing w:line="360" w:lineRule="auto"/>
        <w:rPr>
          <w:rFonts w:ascii="宋体" w:hAnsi="宋体"/>
          <w:color w:val="auto"/>
          <w:sz w:val="24"/>
          <w:highlight w:val="none"/>
        </w:rPr>
      </w:pPr>
    </w:p>
    <w:p w14:paraId="7E3D2615">
      <w:pPr>
        <w:spacing w:line="500" w:lineRule="exact"/>
        <w:rPr>
          <w:rFonts w:ascii="宋体" w:hAnsi="宋体"/>
          <w:color w:val="auto"/>
          <w:sz w:val="24"/>
          <w:highlight w:val="none"/>
        </w:rPr>
      </w:pPr>
      <w:r>
        <w:rPr>
          <w:rFonts w:hint="eastAsia" w:ascii="宋体" w:hAnsi="宋体"/>
          <w:color w:val="auto"/>
          <w:sz w:val="24"/>
          <w:highlight w:val="none"/>
        </w:rPr>
        <w:t>5.法定代表人有效身份证明书格式：</w:t>
      </w:r>
    </w:p>
    <w:p w14:paraId="0AEAE5AC">
      <w:pPr>
        <w:snapToGrid w:val="0"/>
        <w:spacing w:line="360" w:lineRule="auto"/>
        <w:rPr>
          <w:rFonts w:ascii="宋体" w:hAnsi="宋体"/>
          <w:color w:val="auto"/>
          <w:sz w:val="24"/>
          <w:highlight w:val="none"/>
        </w:rPr>
      </w:pPr>
    </w:p>
    <w:p w14:paraId="7079BCA4">
      <w:pPr>
        <w:snapToGrid w:val="0"/>
        <w:spacing w:line="360" w:lineRule="auto"/>
        <w:jc w:val="center"/>
        <w:rPr>
          <w:rFonts w:ascii="宋体" w:hAnsi="宋体"/>
          <w:color w:val="auto"/>
          <w:sz w:val="24"/>
          <w:highlight w:val="none"/>
        </w:rPr>
      </w:pPr>
      <w:r>
        <w:rPr>
          <w:rFonts w:hint="eastAsia" w:ascii="宋体" w:hAnsi="宋体"/>
          <w:color w:val="auto"/>
          <w:sz w:val="24"/>
          <w:highlight w:val="none"/>
        </w:rPr>
        <w:t>法定代表人有效身份证明书</w:t>
      </w:r>
    </w:p>
    <w:p w14:paraId="0946D28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（姓名）是（投标人全称）的法定代表人，身份证号码为 ______________。</w:t>
      </w:r>
    </w:p>
    <w:p w14:paraId="7D07045D">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特此证明。</w:t>
      </w:r>
    </w:p>
    <w:p w14:paraId="113F7201">
      <w:pPr>
        <w:spacing w:line="500" w:lineRule="exact"/>
        <w:jc w:val="left"/>
        <w:rPr>
          <w:rFonts w:ascii="宋体" w:hAnsi="宋体"/>
          <w:color w:val="auto"/>
          <w:sz w:val="24"/>
          <w:highlight w:val="none"/>
        </w:rPr>
      </w:pPr>
    </w:p>
    <w:p w14:paraId="4A053A8C">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45A3F0D0">
      <w:pPr>
        <w:spacing w:line="500" w:lineRule="exact"/>
        <w:jc w:val="left"/>
        <w:rPr>
          <w:rFonts w:ascii="宋体" w:hAnsi="宋体"/>
          <w:color w:val="auto"/>
          <w:sz w:val="24"/>
          <w:highlight w:val="none"/>
        </w:rPr>
      </w:pPr>
      <w:r>
        <w:rPr>
          <w:rFonts w:hint="eastAsia" w:ascii="宋体" w:hAnsi="宋体"/>
          <w:color w:val="auto"/>
          <w:sz w:val="24"/>
          <w:highlight w:val="none"/>
        </w:rPr>
        <w:t>法定代表人（签</w:t>
      </w:r>
      <w:bookmarkStart w:id="25" w:name="OLE_LINK3"/>
      <w:bookmarkStart w:id="26" w:name="OLE_LINK4"/>
      <w:r>
        <w:rPr>
          <w:rFonts w:hint="eastAsia" w:ascii="宋体" w:hAnsi="宋体"/>
          <w:color w:val="auto"/>
          <w:sz w:val="24"/>
          <w:highlight w:val="none"/>
        </w:rPr>
        <w:t>名</w:t>
      </w:r>
      <w:bookmarkEnd w:id="25"/>
      <w:bookmarkEnd w:id="26"/>
      <w:r>
        <w:rPr>
          <w:rFonts w:hint="eastAsia" w:ascii="宋体" w:hAnsi="宋体"/>
          <w:color w:val="auto"/>
          <w:sz w:val="24"/>
          <w:highlight w:val="none"/>
        </w:rPr>
        <w:t>）：</w:t>
      </w:r>
    </w:p>
    <w:p w14:paraId="3D5A413E">
      <w:pPr>
        <w:spacing w:line="500" w:lineRule="exact"/>
        <w:jc w:val="left"/>
        <w:rPr>
          <w:rFonts w:ascii="宋体" w:hAnsi="宋体"/>
          <w:color w:val="auto"/>
          <w:sz w:val="24"/>
          <w:highlight w:val="none"/>
        </w:rPr>
      </w:pPr>
    </w:p>
    <w:p w14:paraId="4A85ADA8">
      <w:pPr>
        <w:spacing w:line="500" w:lineRule="exact"/>
        <w:jc w:val="left"/>
        <w:rPr>
          <w:rFonts w:ascii="宋体" w:hAnsi="宋体"/>
          <w:color w:val="auto"/>
          <w:sz w:val="24"/>
          <w:highlight w:val="none"/>
        </w:rPr>
      </w:pPr>
      <w:r>
        <w:rPr>
          <w:rFonts w:hint="eastAsia" w:ascii="宋体" w:hAnsi="宋体"/>
          <w:color w:val="auto"/>
          <w:sz w:val="24"/>
          <w:highlight w:val="none"/>
        </w:rPr>
        <w:t>日期：      年   月   日</w:t>
      </w:r>
    </w:p>
    <w:p w14:paraId="0563E079">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14:paraId="63A73EA6">
      <w:pPr>
        <w:spacing w:line="500" w:lineRule="exact"/>
        <w:jc w:val="center"/>
        <w:rPr>
          <w:rFonts w:ascii="仿宋" w:hAnsi="仿宋" w:eastAsia="仿宋" w:cs="宋体"/>
          <w:color w:val="auto"/>
          <w:kern w:val="0"/>
          <w:sz w:val="24"/>
          <w:highlight w:val="none"/>
        </w:rPr>
      </w:pPr>
    </w:p>
    <w:p w14:paraId="221B4517">
      <w:pPr>
        <w:spacing w:line="500" w:lineRule="exact"/>
        <w:jc w:val="center"/>
        <w:rPr>
          <w:rFonts w:ascii="宋体" w:hAnsi="宋体"/>
          <w:color w:val="auto"/>
          <w:sz w:val="24"/>
          <w:highlight w:val="none"/>
        </w:rPr>
      </w:pPr>
      <w:r>
        <w:rPr>
          <w:rFonts w:hint="eastAsia" w:ascii="宋体" w:hAnsi="宋体"/>
          <w:color w:val="auto"/>
          <w:sz w:val="24"/>
          <w:highlight w:val="none"/>
        </w:rPr>
        <w:t>有效身份证明复印件粘贴处</w:t>
      </w:r>
    </w:p>
    <w:p w14:paraId="0B365495">
      <w:pPr>
        <w:spacing w:line="500" w:lineRule="exact"/>
        <w:rPr>
          <w:rFonts w:ascii="宋体" w:hAnsi="宋体"/>
          <w:color w:val="auto"/>
          <w:sz w:val="24"/>
          <w:highlight w:val="none"/>
        </w:rPr>
      </w:pPr>
    </w:p>
    <w:p w14:paraId="3E5787B5">
      <w:pPr>
        <w:spacing w:line="500" w:lineRule="exact"/>
        <w:rPr>
          <w:rFonts w:ascii="宋体" w:hAnsi="宋体"/>
          <w:color w:val="auto"/>
          <w:sz w:val="24"/>
          <w:highlight w:val="none"/>
        </w:rPr>
      </w:pPr>
    </w:p>
    <w:p w14:paraId="3EFE11B5">
      <w:pPr>
        <w:spacing w:line="50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法定代表人授权委托书格式：</w:t>
      </w:r>
    </w:p>
    <w:p w14:paraId="33FA1642">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1C34C316">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s="仿宋_GB2312"/>
          <w:color w:val="auto"/>
          <w:sz w:val="28"/>
          <w:szCs w:val="28"/>
          <w:highlight w:val="none"/>
          <w:u w:val="single"/>
        </w:rPr>
        <w:t>______</w:t>
      </w:r>
      <w:r>
        <w:rPr>
          <w:rFonts w:hint="eastAsia" w:ascii="宋体" w:hAnsi="宋体"/>
          <w:color w:val="auto"/>
          <w:sz w:val="24"/>
          <w:highlight w:val="none"/>
        </w:rPr>
        <w:t>（招标采购单位名称）：</w:t>
      </w:r>
    </w:p>
    <w:p w14:paraId="2F2CE60E">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w:t>
      </w:r>
      <w:r>
        <w:rPr>
          <w:rFonts w:ascii="宋体" w:hAnsi="宋体" w:cs="仿宋_GB2312"/>
          <w:color w:val="auto"/>
          <w:sz w:val="28"/>
          <w:szCs w:val="28"/>
          <w:highlight w:val="none"/>
          <w:u w:val="single"/>
        </w:rPr>
        <w:t>_</w:t>
      </w:r>
      <w:bookmarkStart w:id="27" w:name="OLE_LINK52"/>
      <w:bookmarkStart w:id="28" w:name="OLE_LINK53"/>
      <w:r>
        <w:rPr>
          <w:rFonts w:ascii="宋体" w:hAnsi="宋体" w:cs="仿宋_GB2312"/>
          <w:color w:val="auto"/>
          <w:sz w:val="28"/>
          <w:szCs w:val="28"/>
          <w:highlight w:val="none"/>
          <w:u w:val="single"/>
        </w:rPr>
        <w:t>______</w:t>
      </w:r>
      <w:bookmarkEnd w:id="27"/>
      <w:bookmarkEnd w:id="28"/>
      <w:r>
        <w:rPr>
          <w:rFonts w:hint="eastAsia" w:ascii="宋体" w:hAnsi="宋体"/>
          <w:color w:val="auto"/>
          <w:sz w:val="24"/>
          <w:highlight w:val="none"/>
        </w:rPr>
        <w:t>（姓名）系</w:t>
      </w:r>
      <w:r>
        <w:rPr>
          <w:rFonts w:ascii="宋体" w:hAnsi="宋体"/>
          <w:color w:val="auto"/>
          <w:sz w:val="24"/>
          <w:highlight w:val="none"/>
        </w:rPr>
        <w:t>_______</w:t>
      </w:r>
      <w:r>
        <w:rPr>
          <w:rFonts w:hint="eastAsia" w:ascii="宋体" w:hAnsi="宋体"/>
          <w:color w:val="auto"/>
          <w:sz w:val="24"/>
          <w:highlight w:val="none"/>
        </w:rPr>
        <w:t>（投标人名称）的法定代表人，现授</w:t>
      </w:r>
      <w:bookmarkStart w:id="29" w:name="OLE_LINK49"/>
      <w:bookmarkStart w:id="30" w:name="OLE_LINK50"/>
      <w:r>
        <w:rPr>
          <w:rFonts w:hint="eastAsia" w:ascii="宋体" w:hAnsi="宋体"/>
          <w:color w:val="auto"/>
          <w:sz w:val="24"/>
          <w:highlight w:val="none"/>
        </w:rPr>
        <w:t>权委托</w:t>
      </w:r>
      <w:bookmarkEnd w:id="29"/>
      <w:bookmarkEnd w:id="30"/>
      <w:r>
        <w:rPr>
          <w:rFonts w:hint="eastAsia" w:ascii="宋体" w:hAnsi="宋体" w:cs="仿宋_GB2312"/>
          <w:color w:val="auto"/>
          <w:sz w:val="28"/>
          <w:szCs w:val="28"/>
          <w:highlight w:val="none"/>
          <w:u w:val="single"/>
        </w:rPr>
        <w:t xml:space="preserve">      </w:t>
      </w:r>
      <w:r>
        <w:rPr>
          <w:rFonts w:hint="eastAsia" w:ascii="宋体" w:hAnsi="宋体"/>
          <w:color w:val="auto"/>
          <w:sz w:val="24"/>
          <w:highlight w:val="none"/>
        </w:rPr>
        <w:t>（单位名称）</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（姓名）以我方的名义参加湖州南太湖新区市本级移交道路绿化养护补植项目（2025-2027年度）的投标活动，并代表我方全权办理针对上述项目的投标、开标、评标、签约等具体事务和签署相关文件。</w:t>
      </w:r>
    </w:p>
    <w:p w14:paraId="6882705D">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我方对被授权人的签名事项负全部责任。</w:t>
      </w:r>
    </w:p>
    <w:p w14:paraId="6F1D9259">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5C84561E">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5BE8AB6B">
      <w:pPr>
        <w:snapToGrid w:val="0"/>
        <w:spacing w:line="360" w:lineRule="auto"/>
        <w:rPr>
          <w:rFonts w:ascii="宋体" w:hAnsi="宋体"/>
          <w:color w:val="auto"/>
          <w:sz w:val="24"/>
          <w:szCs w:val="20"/>
          <w:highlight w:val="none"/>
        </w:rPr>
      </w:pPr>
    </w:p>
    <w:p w14:paraId="0804FEA4">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 xml:space="preserve">被授权人签名： </w:t>
      </w:r>
      <w:r>
        <w:rPr>
          <w:rFonts w:ascii="宋体" w:hAnsi="宋体"/>
          <w:color w:val="auto"/>
          <w:sz w:val="24"/>
          <w:highlight w:val="none"/>
        </w:rPr>
        <w:t xml:space="preserve">                   </w:t>
      </w:r>
      <w:r>
        <w:rPr>
          <w:rFonts w:hint="eastAsia" w:ascii="宋体" w:hAnsi="宋体"/>
          <w:color w:val="auto"/>
          <w:sz w:val="24"/>
          <w:highlight w:val="none"/>
        </w:rPr>
        <w:t>法定代表人签名：</w:t>
      </w:r>
    </w:p>
    <w:p w14:paraId="42A99A17">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 xml:space="preserve">职务： </w:t>
      </w:r>
      <w:r>
        <w:rPr>
          <w:rFonts w:ascii="宋体" w:hAnsi="宋体"/>
          <w:color w:val="auto"/>
          <w:sz w:val="24"/>
          <w:highlight w:val="none"/>
        </w:rPr>
        <w:t xml:space="preserve">                    </w:t>
      </w:r>
      <w:r>
        <w:rPr>
          <w:rFonts w:hint="eastAsia" w:ascii="宋体" w:hAnsi="宋体"/>
          <w:color w:val="auto"/>
          <w:sz w:val="24"/>
          <w:highlight w:val="none"/>
        </w:rPr>
        <w:t>职务：</w:t>
      </w:r>
    </w:p>
    <w:p w14:paraId="7F894D40">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51659BD7">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4218703B">
      <w:pPr>
        <w:pStyle w:val="6"/>
        <w:spacing w:after="120"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3E965B34">
      <w:pPr>
        <w:pStyle w:val="6"/>
        <w:spacing w:after="120" w:line="360" w:lineRule="auto"/>
        <w:ind w:firstLine="374" w:firstLineChars="156"/>
        <w:jc w:val="center"/>
        <w:rPr>
          <w:rFonts w:ascii="宋体" w:hAnsi="宋体"/>
          <w:color w:val="auto"/>
          <w:sz w:val="24"/>
          <w:szCs w:val="24"/>
          <w:highlight w:val="none"/>
        </w:rPr>
      </w:pPr>
    </w:p>
    <w:p w14:paraId="2935B694">
      <w:pPr>
        <w:pStyle w:val="6"/>
        <w:spacing w:after="120"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0CAA19B2">
      <w:pPr>
        <w:snapToGrid w:val="0"/>
        <w:spacing w:line="360" w:lineRule="auto"/>
        <w:rPr>
          <w:rFonts w:ascii="宋体" w:hAnsi="宋体"/>
          <w:color w:val="auto"/>
          <w:sz w:val="24"/>
          <w:highlight w:val="none"/>
        </w:rPr>
      </w:pPr>
    </w:p>
    <w:p w14:paraId="74A8718A">
      <w:pPr>
        <w:snapToGrid w:val="0"/>
        <w:spacing w:line="360" w:lineRule="auto"/>
        <w:rPr>
          <w:rFonts w:ascii="宋体" w:hAnsi="宋体"/>
          <w:color w:val="auto"/>
          <w:sz w:val="24"/>
          <w:highlight w:val="none"/>
        </w:rPr>
      </w:pPr>
    </w:p>
    <w:p w14:paraId="7D18BDF4">
      <w:pPr>
        <w:snapToGrid w:val="0"/>
        <w:spacing w:line="360" w:lineRule="auto"/>
        <w:jc w:val="center"/>
        <w:rPr>
          <w:rFonts w:ascii="宋体" w:hAnsi="宋体"/>
          <w:color w:val="auto"/>
          <w:sz w:val="24"/>
          <w:highlight w:val="none"/>
        </w:rPr>
      </w:pPr>
      <w:r>
        <w:rPr>
          <w:rFonts w:hint="eastAsia" w:ascii="宋体" w:hAnsi="宋体"/>
          <w:color w:val="auto"/>
          <w:sz w:val="24"/>
          <w:highlight w:val="none"/>
        </w:rPr>
        <w:t>年月日</w:t>
      </w:r>
    </w:p>
    <w:p w14:paraId="393C3F8A">
      <w:pPr>
        <w:snapToGrid w:val="0"/>
        <w:spacing w:before="120" w:beforeLines="50" w:after="50"/>
        <w:rPr>
          <w:color w:val="auto"/>
          <w:sz w:val="24"/>
          <w:highlight w:val="none"/>
        </w:rPr>
      </w:pPr>
      <w:r>
        <w:rPr>
          <w:rFonts w:hint="eastAsia"/>
          <w:color w:val="auto"/>
          <w:sz w:val="24"/>
          <w:highlight w:val="none"/>
        </w:rPr>
        <w:t>附：</w:t>
      </w:r>
      <w:r>
        <w:rPr>
          <w:color w:val="auto"/>
          <w:sz w:val="24"/>
          <w:highlight w:val="none"/>
        </w:rPr>
        <w:t>授权代理人社保证明复印件</w:t>
      </w:r>
      <w:r>
        <w:rPr>
          <w:rFonts w:hint="eastAsia"/>
          <w:color w:val="auto"/>
          <w:sz w:val="24"/>
          <w:highlight w:val="none"/>
        </w:rPr>
        <w:t>（</w:t>
      </w:r>
      <w:r>
        <w:rPr>
          <w:color w:val="auto"/>
          <w:sz w:val="24"/>
          <w:highlight w:val="none"/>
        </w:rPr>
        <w:t>社保机构出具的由本单位或分公司为其缴纳的近1个月的社保证明</w:t>
      </w:r>
      <w:r>
        <w:rPr>
          <w:rFonts w:hint="eastAsia"/>
          <w:color w:val="auto"/>
          <w:sz w:val="24"/>
          <w:highlight w:val="none"/>
        </w:rPr>
        <w:t>）</w:t>
      </w:r>
    </w:p>
    <w:p w14:paraId="575E5B63">
      <w:pPr>
        <w:snapToGrid w:val="0"/>
        <w:spacing w:line="360" w:lineRule="auto"/>
        <w:rPr>
          <w:rFonts w:ascii="宋体" w:hAnsi="宋体"/>
          <w:color w:val="auto"/>
          <w:highlight w:val="none"/>
        </w:rPr>
      </w:pPr>
    </w:p>
    <w:p w14:paraId="59E4BF07">
      <w:pPr>
        <w:rPr>
          <w:color w:val="auto"/>
          <w:highlight w:val="none"/>
        </w:rPr>
      </w:pPr>
    </w:p>
    <w:p w14:paraId="3781561F">
      <w:pPr>
        <w:snapToGrid w:val="0"/>
        <w:spacing w:line="560" w:lineRule="exact"/>
        <w:rPr>
          <w:color w:val="auto"/>
          <w:sz w:val="24"/>
          <w:highlight w:val="none"/>
        </w:rPr>
      </w:pPr>
      <w:r>
        <w:rPr>
          <w:rFonts w:ascii="宋体" w:hAnsi="宋体"/>
          <w:color w:val="auto"/>
          <w:sz w:val="24"/>
          <w:highlight w:val="none"/>
        </w:rPr>
        <w:t>7.</w:t>
      </w:r>
      <w:r>
        <w:rPr>
          <w:rFonts w:hint="eastAsia"/>
          <w:color w:val="auto"/>
          <w:sz w:val="24"/>
          <w:highlight w:val="none"/>
        </w:rPr>
        <w:t>投标承诺书</w:t>
      </w:r>
    </w:p>
    <w:p w14:paraId="77D1B049">
      <w:pPr>
        <w:snapToGrid w:val="0"/>
        <w:spacing w:before="120" w:beforeLines="50" w:after="50" w:line="500" w:lineRule="exact"/>
        <w:rPr>
          <w:color w:val="auto"/>
          <w:sz w:val="24"/>
          <w:highlight w:val="none"/>
        </w:rPr>
      </w:pPr>
      <w:r>
        <w:rPr>
          <w:rFonts w:hint="eastAsia"/>
          <w:color w:val="auto"/>
          <w:sz w:val="24"/>
          <w:highlight w:val="none"/>
        </w:rPr>
        <w:t>（投标人）现参加               （项目名称）政府采购活动，我单位承诺如下：</w:t>
      </w:r>
    </w:p>
    <w:p w14:paraId="4264D63B">
      <w:pPr>
        <w:numPr>
          <w:ilvl w:val="0"/>
          <w:numId w:val="17"/>
        </w:numPr>
        <w:snapToGrid w:val="0"/>
        <w:spacing w:before="120" w:beforeLines="50" w:after="50" w:line="500" w:lineRule="exact"/>
        <w:ind w:firstLine="480" w:firstLineChars="200"/>
        <w:rPr>
          <w:color w:val="auto"/>
          <w:sz w:val="24"/>
          <w:highlight w:val="none"/>
        </w:rPr>
      </w:pPr>
      <w:r>
        <w:rPr>
          <w:rFonts w:hint="eastAsia"/>
          <w:color w:val="auto"/>
          <w:sz w:val="24"/>
          <w:highlight w:val="none"/>
        </w:rPr>
        <w:t>符合参与政府采购活动的资格条件（符合《中华人民共和国政府采购法》第二十二条规定和浙财采监【2013】24号《关于规范政府采购投标人资格设定及资格审查的通知》第六条规定；未被“信用中国”（www.creditchina.gov.cn）、“中国政府采购网”（www.ccgp.gov.cn）列入失信被执行人、重大税收违法案件当事人名单、政府采购严重违法失信行为记录名单）。</w:t>
      </w:r>
    </w:p>
    <w:p w14:paraId="317B7D10">
      <w:pPr>
        <w:numPr>
          <w:ilvl w:val="0"/>
          <w:numId w:val="17"/>
        </w:numPr>
        <w:snapToGrid w:val="0"/>
        <w:spacing w:before="120" w:beforeLines="50" w:after="50" w:line="500" w:lineRule="exact"/>
        <w:ind w:firstLine="480" w:firstLineChars="200"/>
        <w:rPr>
          <w:color w:val="auto"/>
          <w:sz w:val="24"/>
          <w:highlight w:val="none"/>
        </w:rPr>
      </w:pPr>
      <w:r>
        <w:rPr>
          <w:rFonts w:hint="eastAsia"/>
          <w:color w:val="auto"/>
          <w:sz w:val="24"/>
          <w:highlight w:val="none"/>
        </w:rPr>
        <w:t>没有税收缴纳、社会保障等方面的失信记录，若违背以上承诺的，我单位愿意承担相应法律后果和责任，并依法依规列入严重失信名单。</w:t>
      </w:r>
    </w:p>
    <w:p w14:paraId="69798A4E">
      <w:pPr>
        <w:snapToGrid w:val="0"/>
        <w:spacing w:before="120" w:beforeLines="50" w:after="50" w:line="500" w:lineRule="exact"/>
        <w:rPr>
          <w:color w:val="auto"/>
          <w:sz w:val="24"/>
          <w:highlight w:val="none"/>
        </w:rPr>
      </w:pPr>
    </w:p>
    <w:p w14:paraId="76BBB4B7">
      <w:pPr>
        <w:snapToGrid w:val="0"/>
        <w:spacing w:before="120" w:beforeLines="50" w:after="50" w:line="500" w:lineRule="exact"/>
        <w:rPr>
          <w:color w:val="auto"/>
          <w:sz w:val="24"/>
          <w:highlight w:val="none"/>
        </w:rPr>
      </w:pPr>
      <w:r>
        <w:rPr>
          <w:rFonts w:hint="eastAsia"/>
          <w:color w:val="auto"/>
          <w:sz w:val="24"/>
          <w:highlight w:val="none"/>
        </w:rPr>
        <w:t xml:space="preserve">   </w:t>
      </w:r>
    </w:p>
    <w:p w14:paraId="1A10BD47">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0F3A1CBF">
      <w:pPr>
        <w:snapToGrid w:val="0"/>
        <w:spacing w:before="120" w:beforeLines="50" w:after="50" w:line="500" w:lineRule="exact"/>
        <w:rPr>
          <w:color w:val="auto"/>
          <w:sz w:val="24"/>
          <w:highlight w:val="none"/>
        </w:rPr>
      </w:pPr>
      <w:r>
        <w:rPr>
          <w:rFonts w:hint="eastAsia"/>
          <w:color w:val="auto"/>
          <w:sz w:val="24"/>
          <w:highlight w:val="none"/>
        </w:rPr>
        <w:t>时  间：     年     月    日</w:t>
      </w:r>
    </w:p>
    <w:p w14:paraId="436D7798">
      <w:pPr>
        <w:snapToGrid w:val="0"/>
        <w:spacing w:line="360" w:lineRule="auto"/>
        <w:rPr>
          <w:color w:val="auto"/>
          <w:sz w:val="24"/>
          <w:highlight w:val="none"/>
        </w:rPr>
      </w:pPr>
      <w:r>
        <w:rPr>
          <w:color w:val="auto"/>
          <w:sz w:val="24"/>
          <w:highlight w:val="none"/>
        </w:rPr>
        <w:br w:type="page"/>
      </w:r>
    </w:p>
    <w:p w14:paraId="5991E280">
      <w:pPr>
        <w:snapToGrid w:val="0"/>
        <w:spacing w:line="360" w:lineRule="auto"/>
        <w:jc w:val="left"/>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4CAB3200">
      <w:pPr>
        <w:snapToGrid w:val="0"/>
        <w:spacing w:line="360" w:lineRule="auto"/>
        <w:jc w:val="left"/>
        <w:rPr>
          <w:rFonts w:ascii="宋体" w:hAnsi="宋体"/>
          <w:color w:val="auto"/>
          <w:sz w:val="24"/>
          <w:highlight w:val="none"/>
        </w:rPr>
      </w:pPr>
    </w:p>
    <w:p w14:paraId="5EA9FA3F">
      <w:pPr>
        <w:snapToGrid w:val="0"/>
        <w:spacing w:line="360" w:lineRule="auto"/>
        <w:jc w:val="left"/>
        <w:rPr>
          <w:rFonts w:ascii="宋体" w:hAnsi="宋体"/>
          <w:color w:val="auto"/>
          <w:sz w:val="24"/>
          <w:highlight w:val="none"/>
        </w:rPr>
      </w:pPr>
    </w:p>
    <w:p w14:paraId="39F23155">
      <w:pPr>
        <w:pStyle w:val="19"/>
        <w:rPr>
          <w:color w:val="auto"/>
          <w:highlight w:val="none"/>
        </w:rPr>
      </w:pPr>
    </w:p>
    <w:p w14:paraId="1B5B59AE">
      <w:pPr>
        <w:snapToGrid w:val="0"/>
        <w:spacing w:line="360" w:lineRule="auto"/>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w:t>
      </w:r>
      <w:r>
        <w:rPr>
          <w:rFonts w:hint="eastAsia" w:ascii="宋体" w:hAnsi="宋体"/>
          <w:color w:val="auto"/>
          <w:sz w:val="24"/>
          <w:highlight w:val="none"/>
        </w:rPr>
        <w:t>信用承诺书</w:t>
      </w:r>
    </w:p>
    <w:p w14:paraId="1A8C2CD9">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0EA142FF">
      <w:pPr>
        <w:tabs>
          <w:tab w:val="left" w:pos="1650"/>
        </w:tabs>
        <w:spacing w:line="360" w:lineRule="auto"/>
        <w:jc w:val="left"/>
        <w:rPr>
          <w:rFonts w:ascii="宋体" w:hAnsi="宋体"/>
          <w:color w:val="auto"/>
          <w:sz w:val="24"/>
          <w:highlight w:val="none"/>
        </w:rPr>
      </w:pPr>
      <w:r>
        <w:rPr>
          <w:rFonts w:hint="eastAsia" w:ascii="宋体" w:hAnsi="宋体"/>
          <w:color w:val="auto"/>
          <w:sz w:val="24"/>
          <w:highlight w:val="none"/>
        </w:rPr>
        <w:t>（投标单位）现参加（采购项目）政府采购活动，郑重承诺如下：</w:t>
      </w:r>
    </w:p>
    <w:p w14:paraId="5B93F306">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14:paraId="55DF0478">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14:paraId="67BB60E2">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1A80B085">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56009FCD">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70FF723B">
      <w:pPr>
        <w:pStyle w:val="121"/>
        <w:spacing w:before="0" w:beforeAutospacing="0" w:after="0" w:afterAutospacing="0" w:line="360" w:lineRule="auto"/>
        <w:ind w:firstLine="600" w:firstLineChars="250"/>
        <w:rPr>
          <w:rFonts w:cs="Times New Roman"/>
          <w:color w:val="auto"/>
          <w:kern w:val="2"/>
          <w:highlight w:val="none"/>
        </w:rPr>
      </w:pPr>
      <w:r>
        <w:rPr>
          <w:rFonts w:hint="eastAsia" w:cs="Times New Roman"/>
          <w:color w:val="auto"/>
          <w:kern w:val="2"/>
          <w:highlight w:val="none"/>
        </w:rPr>
        <w:t>统一社会信用代码：</w:t>
      </w:r>
    </w:p>
    <w:p w14:paraId="12CE3DD1">
      <w:pPr>
        <w:pStyle w:val="121"/>
        <w:spacing w:before="0" w:beforeAutospacing="0" w:after="0" w:afterAutospacing="0" w:line="360" w:lineRule="auto"/>
        <w:ind w:firstLine="600" w:firstLineChars="250"/>
        <w:rPr>
          <w:rFonts w:cs="Times New Roman"/>
          <w:color w:val="auto"/>
          <w:kern w:val="2"/>
          <w:highlight w:val="none"/>
        </w:rPr>
      </w:pPr>
    </w:p>
    <w:p w14:paraId="0D26427C">
      <w:pPr>
        <w:pStyle w:val="121"/>
        <w:spacing w:before="0" w:beforeAutospacing="0" w:after="0" w:afterAutospacing="0" w:line="360" w:lineRule="auto"/>
        <w:ind w:firstLine="565" w:firstLineChars="250"/>
        <w:rPr>
          <w:rFonts w:cs="Times New Roman"/>
          <w:color w:val="auto"/>
          <w:spacing w:val="-7"/>
          <w:highlight w:val="none"/>
        </w:rPr>
      </w:pPr>
    </w:p>
    <w:p w14:paraId="0FD1546F">
      <w:pPr>
        <w:pStyle w:val="121"/>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个人（盖章</w:t>
      </w:r>
      <w:r>
        <w:rPr>
          <w:rFonts w:cs="Times New Roman"/>
          <w:color w:val="auto"/>
          <w:kern w:val="2"/>
          <w:highlight w:val="none"/>
        </w:rPr>
        <w:t>/</w:t>
      </w:r>
      <w:r>
        <w:rPr>
          <w:rFonts w:hint="eastAsia" w:cs="Times New Roman"/>
          <w:color w:val="auto"/>
          <w:kern w:val="2"/>
          <w:highlight w:val="none"/>
        </w:rPr>
        <w:t>签名）</w:t>
      </w:r>
    </w:p>
    <w:p w14:paraId="6CA0E171">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w:t>
      </w:r>
      <w:r>
        <w:rPr>
          <w:rFonts w:ascii="宋体" w:hAnsi="宋体"/>
          <w:color w:val="auto"/>
          <w:sz w:val="24"/>
          <w:highlight w:val="none"/>
        </w:rPr>
        <w:t>2025年</w:t>
      </w:r>
      <w:r>
        <w:rPr>
          <w:rFonts w:hint="eastAsia" w:ascii="宋体" w:hAnsi="宋体"/>
          <w:color w:val="auto"/>
          <w:sz w:val="24"/>
          <w:highlight w:val="none"/>
        </w:rPr>
        <w:t xml:space="preserve"> 月 日</w:t>
      </w:r>
    </w:p>
    <w:p w14:paraId="72F591F3">
      <w:pPr>
        <w:pStyle w:val="19"/>
        <w:rPr>
          <w:color w:val="auto"/>
          <w:highlight w:val="none"/>
        </w:rPr>
      </w:pPr>
    </w:p>
    <w:p w14:paraId="51ED18AE">
      <w:pPr>
        <w:pStyle w:val="27"/>
        <w:rPr>
          <w:color w:val="auto"/>
          <w:highlight w:val="none"/>
        </w:rPr>
      </w:pPr>
    </w:p>
    <w:p w14:paraId="0FD8995D">
      <w:pPr>
        <w:rPr>
          <w:color w:val="auto"/>
          <w:highlight w:val="none"/>
        </w:rPr>
      </w:pPr>
    </w:p>
    <w:p w14:paraId="03804993">
      <w:pPr>
        <w:pStyle w:val="19"/>
        <w:rPr>
          <w:color w:val="auto"/>
          <w:highlight w:val="none"/>
        </w:rPr>
      </w:pPr>
    </w:p>
    <w:p w14:paraId="6B933623">
      <w:pPr>
        <w:rPr>
          <w:color w:val="auto"/>
          <w:highlight w:val="none"/>
        </w:rPr>
      </w:pPr>
    </w:p>
    <w:p w14:paraId="0990BD3A">
      <w:pPr>
        <w:pStyle w:val="21"/>
        <w:rPr>
          <w:color w:val="auto"/>
          <w:highlight w:val="none"/>
        </w:rPr>
      </w:pPr>
    </w:p>
    <w:p w14:paraId="10B80BC0">
      <w:pPr>
        <w:pStyle w:val="21"/>
        <w:rPr>
          <w:color w:val="auto"/>
          <w:highlight w:val="none"/>
        </w:rPr>
      </w:pPr>
    </w:p>
    <w:p w14:paraId="7FA788A2">
      <w:pPr>
        <w:pStyle w:val="21"/>
        <w:rPr>
          <w:color w:val="auto"/>
          <w:highlight w:val="none"/>
        </w:rPr>
      </w:pPr>
    </w:p>
    <w:p w14:paraId="2AFE1C24">
      <w:pPr>
        <w:snapToGrid w:val="0"/>
        <w:spacing w:line="360" w:lineRule="auto"/>
        <w:jc w:val="left"/>
        <w:rPr>
          <w:rFonts w:ascii="宋体" w:hAnsi="宋体"/>
          <w:color w:val="auto"/>
          <w:sz w:val="24"/>
          <w:highlight w:val="none"/>
        </w:rPr>
      </w:pPr>
      <w:r>
        <w:rPr>
          <w:rFonts w:hint="eastAsia" w:ascii="宋体" w:hAnsi="宋体"/>
          <w:color w:val="auto"/>
          <w:sz w:val="24"/>
          <w:highlight w:val="none"/>
        </w:rPr>
        <w:t>10.</w:t>
      </w:r>
      <w:r>
        <w:rPr>
          <w:rFonts w:hint="eastAsia" w:ascii="宋体" w:hAnsi="宋体" w:cs="仿宋"/>
          <w:color w:val="auto"/>
          <w:sz w:val="24"/>
          <w:highlight w:val="none"/>
        </w:rPr>
        <w:t xml:space="preserve"> </w:t>
      </w:r>
      <w:r>
        <w:rPr>
          <w:rFonts w:hint="eastAsia" w:ascii="宋体" w:hAnsi="宋体"/>
          <w:color w:val="auto"/>
          <w:sz w:val="24"/>
          <w:highlight w:val="none"/>
        </w:rPr>
        <w:t>中小企业声明函</w:t>
      </w:r>
    </w:p>
    <w:p w14:paraId="59319E6B">
      <w:pPr>
        <w:snapToGrid w:val="0"/>
        <w:spacing w:line="360" w:lineRule="auto"/>
        <w:jc w:val="left"/>
        <w:rPr>
          <w:rFonts w:ascii="宋体" w:hAnsi="宋体" w:cs="Arial"/>
          <w:color w:val="auto"/>
          <w:kern w:val="0"/>
          <w:sz w:val="24"/>
          <w:highlight w:val="none"/>
        </w:rPr>
      </w:pPr>
    </w:p>
    <w:p w14:paraId="5F975A8B">
      <w:pPr>
        <w:spacing w:line="360" w:lineRule="auto"/>
        <w:jc w:val="center"/>
        <w:rPr>
          <w:rFonts w:ascii="宋体" w:hAnsi="宋体"/>
          <w:color w:val="auto"/>
          <w:sz w:val="28"/>
          <w:szCs w:val="28"/>
          <w:highlight w:val="none"/>
        </w:rPr>
      </w:pPr>
      <w:r>
        <w:rPr>
          <w:rFonts w:hint="eastAsia" w:ascii="宋体" w:hAnsi="宋体"/>
          <w:b/>
          <w:color w:val="auto"/>
          <w:sz w:val="28"/>
          <w:szCs w:val="28"/>
          <w:highlight w:val="none"/>
        </w:rPr>
        <w:t>中小企业声明函</w:t>
      </w:r>
    </w:p>
    <w:p w14:paraId="4C796102">
      <w:pPr>
        <w:spacing w:line="360" w:lineRule="auto"/>
        <w:ind w:firstLine="480" w:firstLineChars="20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78B73BF">
      <w:pPr>
        <w:spacing w:line="360" w:lineRule="auto"/>
        <w:ind w:firstLine="480" w:firstLineChars="20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 xml:space="preserve">1. </w:t>
      </w:r>
      <w:r>
        <w:rPr>
          <w:rFonts w:hint="eastAsia" w:ascii="宋体" w:hAnsi="宋体" w:eastAsia="宋体" w:cs="仿宋"/>
          <w:color w:val="auto"/>
          <w:kern w:val="0"/>
          <w:sz w:val="24"/>
          <w:highlight w:val="none"/>
          <w:u w:val="single"/>
        </w:rPr>
        <w:t>（标的名称）</w:t>
      </w:r>
      <w:r>
        <w:rPr>
          <w:rFonts w:hint="eastAsia" w:ascii="宋体" w:hAnsi="宋体" w:eastAsia="宋体" w:cs="仿宋"/>
          <w:color w:val="auto"/>
          <w:kern w:val="0"/>
          <w:sz w:val="24"/>
          <w:highlight w:val="none"/>
        </w:rPr>
        <w:t>，属于</w:t>
      </w:r>
      <w:r>
        <w:rPr>
          <w:rFonts w:hint="eastAsia" w:ascii="宋体" w:hAnsi="宋体" w:eastAsia="宋体" w:cs="仿宋"/>
          <w:color w:val="auto"/>
          <w:kern w:val="0"/>
          <w:sz w:val="24"/>
          <w:highlight w:val="none"/>
          <w:u w:val="single"/>
        </w:rPr>
        <w:t>（采购文件中明确的所属行业）</w:t>
      </w:r>
      <w:r>
        <w:rPr>
          <w:rFonts w:hint="eastAsia" w:ascii="宋体" w:hAnsi="宋体" w:eastAsia="宋体" w:cs="仿宋"/>
          <w:color w:val="auto"/>
          <w:kern w:val="0"/>
          <w:sz w:val="24"/>
          <w:highlight w:val="none"/>
        </w:rPr>
        <w:t>；承建（承接）企业为</w:t>
      </w:r>
      <w:r>
        <w:rPr>
          <w:rFonts w:hint="eastAsia" w:ascii="宋体" w:hAnsi="宋体" w:eastAsia="宋体" w:cs="仿宋"/>
          <w:color w:val="auto"/>
          <w:kern w:val="0"/>
          <w:sz w:val="24"/>
          <w:highlight w:val="none"/>
          <w:u w:val="single"/>
        </w:rPr>
        <w:t>（企业名称）</w:t>
      </w:r>
      <w:r>
        <w:rPr>
          <w:rFonts w:hint="eastAsia" w:ascii="宋体" w:hAnsi="宋体" w:eastAsia="宋体" w:cs="仿宋"/>
          <w:color w:val="auto"/>
          <w:kern w:val="0"/>
          <w:sz w:val="24"/>
          <w:highlight w:val="none"/>
        </w:rPr>
        <w:t>，从业人员___人，营业收入为___万元，资产总额为___万元①，属于</w:t>
      </w:r>
      <w:r>
        <w:rPr>
          <w:rFonts w:hint="eastAsia" w:ascii="宋体" w:hAnsi="宋体" w:eastAsia="宋体" w:cs="仿宋"/>
          <w:color w:val="auto"/>
          <w:kern w:val="0"/>
          <w:sz w:val="24"/>
          <w:highlight w:val="none"/>
          <w:u w:val="single"/>
        </w:rPr>
        <w:t>（中型企业、小型企业、微型企业）</w:t>
      </w:r>
      <w:r>
        <w:rPr>
          <w:rFonts w:hint="eastAsia" w:ascii="宋体" w:hAnsi="宋体" w:eastAsia="宋体" w:cs="仿宋"/>
          <w:color w:val="auto"/>
          <w:kern w:val="0"/>
          <w:sz w:val="24"/>
          <w:highlight w:val="none"/>
        </w:rPr>
        <w:t>；</w:t>
      </w:r>
    </w:p>
    <w:p w14:paraId="6BE46769">
      <w:pPr>
        <w:spacing w:line="360" w:lineRule="auto"/>
        <w:ind w:firstLine="480" w:firstLineChars="200"/>
        <w:rPr>
          <w:rFonts w:ascii="宋体" w:hAnsi="宋体" w:eastAsia="宋体" w:cs="仿宋"/>
          <w:color w:val="auto"/>
          <w:kern w:val="0"/>
          <w:sz w:val="24"/>
          <w:highlight w:val="none"/>
        </w:rPr>
      </w:pPr>
    </w:p>
    <w:p w14:paraId="34601F1B">
      <w:pPr>
        <w:spacing w:line="360" w:lineRule="auto"/>
        <w:ind w:firstLine="480" w:firstLineChars="20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w:t>
      </w:r>
    </w:p>
    <w:p w14:paraId="6696214D">
      <w:pPr>
        <w:spacing w:line="360" w:lineRule="auto"/>
        <w:ind w:firstLine="480" w:firstLineChars="20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以上企业，不属于大企业的分支机构，不存在控股股东为大企业的情形，也不存在与大企业的负责人为同一人的情形。</w:t>
      </w:r>
    </w:p>
    <w:p w14:paraId="288886A7">
      <w:pPr>
        <w:spacing w:line="360" w:lineRule="auto"/>
        <w:ind w:firstLine="480" w:firstLineChars="20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本企业对上述声明内容的真实性负责。如有虚假，将依法承担相应责任。</w:t>
      </w:r>
    </w:p>
    <w:p w14:paraId="18A27BED">
      <w:pPr>
        <w:spacing w:line="360" w:lineRule="auto"/>
        <w:ind w:firstLine="5640" w:firstLineChars="235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企业名称（盖章）：</w:t>
      </w:r>
    </w:p>
    <w:p w14:paraId="2C7902F9">
      <w:pPr>
        <w:spacing w:line="360" w:lineRule="auto"/>
        <w:ind w:firstLine="5640" w:firstLineChars="235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日期：</w:t>
      </w:r>
    </w:p>
    <w:p w14:paraId="3973D60F">
      <w:pPr>
        <w:spacing w:line="360" w:lineRule="auto"/>
        <w:ind w:firstLine="5640" w:firstLineChars="2350"/>
        <w:rPr>
          <w:rFonts w:ascii="宋体" w:hAnsi="宋体" w:eastAsia="宋体" w:cs="仿宋"/>
          <w:color w:val="auto"/>
          <w:kern w:val="0"/>
          <w:sz w:val="24"/>
          <w:highlight w:val="none"/>
        </w:rPr>
      </w:pPr>
    </w:p>
    <w:p w14:paraId="2BE7E1DB">
      <w:pPr>
        <w:spacing w:line="360" w:lineRule="auto"/>
        <w:ind w:firstLine="5640" w:firstLineChars="2350"/>
        <w:rPr>
          <w:rFonts w:ascii="宋体" w:hAnsi="宋体" w:eastAsia="宋体" w:cs="Times New Roman"/>
          <w:bCs/>
          <w:color w:val="auto"/>
          <w:sz w:val="24"/>
          <w:highlight w:val="none"/>
        </w:rPr>
      </w:pPr>
    </w:p>
    <w:p w14:paraId="051D9AF8">
      <w:pPr>
        <w:rPr>
          <w:rFonts w:ascii="宋体" w:hAnsi="宋体" w:cs="仿宋"/>
          <w:color w:val="auto"/>
          <w:kern w:val="0"/>
          <w:sz w:val="24"/>
          <w:highlight w:val="none"/>
        </w:rPr>
      </w:pPr>
      <w:r>
        <w:rPr>
          <w:rFonts w:hint="eastAsia" w:ascii="宋体" w:hAnsi="宋体" w:cs="仿宋"/>
          <w:color w:val="auto"/>
          <w:kern w:val="0"/>
          <w:sz w:val="24"/>
          <w:highlight w:val="none"/>
        </w:rPr>
        <w:t>注：填写要求：①“标的名称”、“文件中明确的所属行业”依据文件内容填写；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不清晰完整，被不予认可的，不享受中小企业扶持政策。声明内容不实的，属于提供虚假材料谋取中标、成交的，依法承担法律责任。</w:t>
      </w:r>
    </w:p>
    <w:p w14:paraId="47CC8A8F">
      <w:pPr>
        <w:spacing w:line="360" w:lineRule="auto"/>
        <w:ind w:firstLine="5600" w:firstLineChars="2000"/>
        <w:rPr>
          <w:rFonts w:ascii="宋体" w:hAnsi="宋体"/>
          <w:color w:val="auto"/>
          <w:sz w:val="28"/>
          <w:szCs w:val="28"/>
          <w:highlight w:val="none"/>
        </w:rPr>
      </w:pPr>
    </w:p>
    <w:p w14:paraId="0CEC6CCA">
      <w:pPr>
        <w:snapToGrid w:val="0"/>
        <w:spacing w:line="360" w:lineRule="auto"/>
        <w:jc w:val="left"/>
        <w:rPr>
          <w:rFonts w:ascii="宋体" w:hAnsi="宋体"/>
          <w:color w:val="auto"/>
          <w:sz w:val="24"/>
          <w:highlight w:val="none"/>
        </w:rPr>
      </w:pPr>
    </w:p>
    <w:p w14:paraId="76DBA4A7">
      <w:pPr>
        <w:widowControl/>
        <w:jc w:val="left"/>
        <w:rPr>
          <w:rFonts w:ascii="宋体" w:hAnsi="宋体" w:cs="宋体"/>
          <w:color w:val="auto"/>
          <w:sz w:val="24"/>
          <w:szCs w:val="20"/>
          <w:highlight w:val="none"/>
        </w:rPr>
      </w:pPr>
    </w:p>
    <w:p w14:paraId="7330B158">
      <w:pPr>
        <w:snapToGrid w:val="0"/>
        <w:spacing w:line="360" w:lineRule="auto"/>
        <w:jc w:val="left"/>
        <w:rPr>
          <w:rFonts w:ascii="宋体" w:hAnsi="宋体"/>
          <w:color w:val="auto"/>
          <w:sz w:val="24"/>
          <w:highlight w:val="none"/>
        </w:rPr>
      </w:pPr>
    </w:p>
    <w:p w14:paraId="16500179">
      <w:pPr>
        <w:snapToGrid w:val="0"/>
        <w:spacing w:line="360" w:lineRule="auto"/>
        <w:jc w:val="left"/>
        <w:rPr>
          <w:rFonts w:ascii="宋体" w:hAnsi="宋体"/>
          <w:color w:val="auto"/>
          <w:sz w:val="24"/>
          <w:highlight w:val="none"/>
        </w:rPr>
      </w:pPr>
    </w:p>
    <w:p w14:paraId="4BEFE707">
      <w:pPr>
        <w:snapToGrid w:val="0"/>
        <w:spacing w:line="360" w:lineRule="auto"/>
        <w:jc w:val="left"/>
        <w:rPr>
          <w:rFonts w:ascii="宋体" w:hAnsi="宋体"/>
          <w:color w:val="auto"/>
          <w:sz w:val="24"/>
          <w:highlight w:val="none"/>
        </w:rPr>
      </w:pPr>
    </w:p>
    <w:p w14:paraId="2E106306">
      <w:pPr>
        <w:spacing w:line="588" w:lineRule="exact"/>
        <w:jc w:val="center"/>
        <w:rPr>
          <w:rFonts w:ascii="宋体" w:hAnsi="宋体"/>
          <w:b/>
          <w:bCs/>
          <w:color w:val="auto"/>
          <w:sz w:val="30"/>
          <w:highlight w:val="none"/>
        </w:rPr>
      </w:pPr>
      <w:r>
        <w:rPr>
          <w:rFonts w:hint="eastAsia" w:ascii="宋体" w:hAnsi="宋体"/>
          <w:b/>
          <w:bCs/>
          <w:color w:val="auto"/>
          <w:sz w:val="30"/>
          <w:highlight w:val="none"/>
        </w:rPr>
        <w:t>残疾人福利性单位声明函</w:t>
      </w:r>
    </w:p>
    <w:p w14:paraId="45B39FF1">
      <w:pPr>
        <w:spacing w:line="588" w:lineRule="exact"/>
        <w:jc w:val="center"/>
        <w:rPr>
          <w:rFonts w:asciiTheme="majorEastAsia" w:hAnsiTheme="majorEastAsia" w:eastAsiaTheme="majorEastAsia"/>
          <w:b/>
          <w:color w:val="auto"/>
          <w:spacing w:val="6"/>
          <w:sz w:val="24"/>
          <w:highlight w:val="none"/>
        </w:rPr>
      </w:pPr>
    </w:p>
    <w:p w14:paraId="170BB453">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118A7A">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本单位对上述声明的真实性负责。如有虚假，将依法承担相应责任。</w:t>
      </w:r>
    </w:p>
    <w:p w14:paraId="36FA383F">
      <w:pPr>
        <w:snapToGrid w:val="0"/>
        <w:spacing w:line="360" w:lineRule="auto"/>
        <w:ind w:firstLine="480" w:firstLineChars="200"/>
        <w:rPr>
          <w:rFonts w:asciiTheme="majorEastAsia" w:hAnsiTheme="majorEastAsia" w:eastAsiaTheme="majorEastAsia"/>
          <w:color w:val="auto"/>
          <w:sz w:val="24"/>
          <w:highlight w:val="none"/>
        </w:rPr>
      </w:pPr>
    </w:p>
    <w:p w14:paraId="384C9F21">
      <w:pPr>
        <w:spacing w:line="588" w:lineRule="exact"/>
        <w:ind w:firstLine="504" w:firstLineChars="200"/>
        <w:rPr>
          <w:rFonts w:asciiTheme="majorEastAsia" w:hAnsiTheme="majorEastAsia" w:eastAsiaTheme="majorEastAsia"/>
          <w:color w:val="auto"/>
          <w:spacing w:val="6"/>
          <w:sz w:val="24"/>
          <w:highlight w:val="none"/>
        </w:rPr>
      </w:pPr>
    </w:p>
    <w:p w14:paraId="6E819173">
      <w:pPr>
        <w:snapToGrid w:val="0"/>
        <w:spacing w:line="360" w:lineRule="auto"/>
        <w:ind w:firstLine="480" w:firstLineChars="200"/>
        <w:jc w:val="righ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单位名称（盖章）：</w:t>
      </w:r>
    </w:p>
    <w:p w14:paraId="7BB5C828">
      <w:pPr>
        <w:snapToGrid w:val="0"/>
        <w:spacing w:line="360" w:lineRule="auto"/>
        <w:ind w:firstLine="480" w:firstLineChars="200"/>
        <w:jc w:val="righ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日  期：</w:t>
      </w:r>
    </w:p>
    <w:p w14:paraId="07CCAF94">
      <w:pPr>
        <w:rPr>
          <w:rFonts w:asciiTheme="majorEastAsia" w:hAnsiTheme="majorEastAsia" w:eastAsiaTheme="majorEastAsia"/>
          <w:color w:val="auto"/>
          <w:sz w:val="24"/>
          <w:highlight w:val="none"/>
        </w:rPr>
      </w:pPr>
    </w:p>
    <w:p w14:paraId="52787CC8">
      <w:pPr>
        <w:snapToGrid w:val="0"/>
        <w:spacing w:before="50"/>
        <w:jc w:val="center"/>
        <w:rPr>
          <w:rFonts w:asciiTheme="majorEastAsia" w:hAnsiTheme="majorEastAsia" w:eastAsiaTheme="majorEastAsia"/>
          <w:b/>
          <w:color w:val="auto"/>
          <w:spacing w:val="40"/>
          <w:kern w:val="0"/>
          <w:sz w:val="24"/>
          <w:highlight w:val="none"/>
        </w:rPr>
      </w:pPr>
    </w:p>
    <w:p w14:paraId="7357F173">
      <w:pPr>
        <w:snapToGrid w:val="0"/>
        <w:spacing w:before="50"/>
        <w:rPr>
          <w:rFonts w:asciiTheme="majorEastAsia" w:hAnsiTheme="majorEastAsia" w:eastAsiaTheme="majorEastAsia"/>
          <w:b/>
          <w:color w:val="auto"/>
          <w:spacing w:val="40"/>
          <w:kern w:val="0"/>
          <w:sz w:val="24"/>
          <w:highlight w:val="none"/>
        </w:rPr>
      </w:pPr>
      <w:r>
        <w:rPr>
          <w:rFonts w:hint="eastAsia" w:asciiTheme="majorEastAsia" w:hAnsiTheme="majorEastAsia" w:eastAsiaTheme="majorEastAsia"/>
          <w:color w:val="auto"/>
          <w:sz w:val="24"/>
          <w:highlight w:val="none"/>
          <w:u w:val="single"/>
        </w:rPr>
        <w:t>注：若不是残疾人福利性单位，请勿填写此表。</w:t>
      </w:r>
    </w:p>
    <w:p w14:paraId="0FD6BF18">
      <w:pPr>
        <w:snapToGrid w:val="0"/>
        <w:spacing w:line="360" w:lineRule="auto"/>
        <w:jc w:val="left"/>
        <w:rPr>
          <w:rFonts w:ascii="宋体" w:hAnsi="宋体"/>
          <w:color w:val="auto"/>
          <w:sz w:val="28"/>
          <w:szCs w:val="28"/>
          <w:highlight w:val="none"/>
        </w:rPr>
      </w:pPr>
    </w:p>
    <w:p w14:paraId="3C6DA800">
      <w:pPr>
        <w:snapToGrid w:val="0"/>
        <w:spacing w:line="360" w:lineRule="auto"/>
        <w:jc w:val="left"/>
        <w:rPr>
          <w:rFonts w:ascii="宋体" w:hAnsi="宋体"/>
          <w:color w:val="auto"/>
          <w:sz w:val="28"/>
          <w:szCs w:val="28"/>
          <w:highlight w:val="none"/>
        </w:rPr>
      </w:pPr>
    </w:p>
    <w:p w14:paraId="55D2EF40">
      <w:pPr>
        <w:widowControl/>
        <w:jc w:val="left"/>
        <w:rPr>
          <w:rFonts w:ascii="宋体" w:hAnsi="宋体"/>
          <w:color w:val="auto"/>
          <w:sz w:val="28"/>
          <w:szCs w:val="28"/>
          <w:highlight w:val="none"/>
        </w:rPr>
      </w:pPr>
      <w:r>
        <w:rPr>
          <w:rFonts w:ascii="宋体" w:hAnsi="宋体"/>
          <w:color w:val="auto"/>
          <w:sz w:val="28"/>
          <w:szCs w:val="28"/>
          <w:highlight w:val="none"/>
        </w:rPr>
        <w:br w:type="page"/>
      </w:r>
    </w:p>
    <w:p w14:paraId="18314FA1">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二、技术/资信/商务文件格式</w:t>
      </w:r>
    </w:p>
    <w:p w14:paraId="36C8A41D">
      <w:pPr>
        <w:snapToGrid w:val="0"/>
        <w:spacing w:line="360" w:lineRule="auto"/>
        <w:jc w:val="center"/>
        <w:rPr>
          <w:rFonts w:ascii="宋体" w:hAnsi="宋体"/>
          <w:color w:val="auto"/>
          <w:sz w:val="24"/>
          <w:szCs w:val="20"/>
          <w:highlight w:val="none"/>
        </w:rPr>
      </w:pPr>
    </w:p>
    <w:p w14:paraId="4A4CB118">
      <w:pPr>
        <w:snapToGrid w:val="0"/>
        <w:spacing w:line="360" w:lineRule="auto"/>
        <w:rPr>
          <w:rFonts w:ascii="宋体" w:hAnsi="宋体"/>
          <w:color w:val="auto"/>
          <w:sz w:val="24"/>
          <w:szCs w:val="20"/>
          <w:highlight w:val="none"/>
        </w:rPr>
      </w:pPr>
      <w:r>
        <w:rPr>
          <w:rFonts w:hint="eastAsia" w:ascii="宋体" w:hAnsi="宋体"/>
          <w:color w:val="auto"/>
          <w:sz w:val="24"/>
          <w:highlight w:val="none"/>
        </w:rPr>
        <w:t>11.技术/资信/商务文件封面格式：</w:t>
      </w:r>
    </w:p>
    <w:p w14:paraId="7B32C746">
      <w:pPr>
        <w:snapToGrid w:val="0"/>
        <w:spacing w:line="360" w:lineRule="auto"/>
        <w:jc w:val="center"/>
        <w:rPr>
          <w:rFonts w:ascii="宋体" w:hAnsi="宋体"/>
          <w:b/>
          <w:bCs/>
          <w:color w:val="auto"/>
          <w:highlight w:val="none"/>
        </w:rPr>
      </w:pPr>
    </w:p>
    <w:p w14:paraId="6613B54C">
      <w:pPr>
        <w:snapToGrid w:val="0"/>
        <w:spacing w:line="360" w:lineRule="auto"/>
        <w:jc w:val="center"/>
        <w:rPr>
          <w:rFonts w:ascii="宋体" w:hAnsi="宋体"/>
          <w:bCs/>
          <w:color w:val="auto"/>
          <w:sz w:val="24"/>
          <w:szCs w:val="20"/>
          <w:highlight w:val="none"/>
        </w:rPr>
      </w:pPr>
    </w:p>
    <w:p w14:paraId="1D1F21F8">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技术/资信/商务文件</w:t>
      </w:r>
    </w:p>
    <w:p w14:paraId="4E66D626">
      <w:pPr>
        <w:snapToGrid w:val="0"/>
        <w:spacing w:line="360" w:lineRule="auto"/>
        <w:ind w:firstLine="960" w:firstLineChars="400"/>
        <w:rPr>
          <w:rFonts w:ascii="宋体" w:hAnsi="宋体"/>
          <w:bCs/>
          <w:color w:val="auto"/>
          <w:sz w:val="24"/>
          <w:szCs w:val="20"/>
          <w:highlight w:val="none"/>
        </w:rPr>
      </w:pPr>
    </w:p>
    <w:p w14:paraId="5A324C57">
      <w:pPr>
        <w:snapToGrid w:val="0"/>
        <w:spacing w:line="360" w:lineRule="auto"/>
        <w:ind w:firstLine="960" w:firstLineChars="400"/>
        <w:rPr>
          <w:rFonts w:ascii="宋体" w:hAnsi="宋体"/>
          <w:color w:val="auto"/>
          <w:spacing w:val="-20"/>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湖州南太湖新区市本级移交道路绿化养护补植项目（2025-2027年度）</w:t>
      </w:r>
    </w:p>
    <w:p w14:paraId="56A78BF5">
      <w:pPr>
        <w:snapToGrid w:val="0"/>
        <w:spacing w:line="360" w:lineRule="auto"/>
        <w:ind w:firstLine="960" w:firstLineChars="400"/>
        <w:rPr>
          <w:rFonts w:ascii="宋体" w:hAnsi="宋体"/>
          <w:bCs/>
          <w:color w:val="auto"/>
          <w:sz w:val="24"/>
          <w:highlight w:val="none"/>
        </w:rPr>
      </w:pPr>
      <w:r>
        <w:rPr>
          <w:rFonts w:hint="eastAsia" w:ascii="宋体" w:hAnsi="宋体"/>
          <w:bCs/>
          <w:color w:val="auto"/>
          <w:sz w:val="24"/>
          <w:highlight w:val="none"/>
        </w:rPr>
        <w:t>项目编号：HYHZ2025-103</w:t>
      </w:r>
    </w:p>
    <w:p w14:paraId="74B1147C">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86BDB1F">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6CC21AB0">
      <w:pPr>
        <w:pStyle w:val="6"/>
        <w:snapToGrid w:val="0"/>
        <w:spacing w:line="360" w:lineRule="auto"/>
        <w:ind w:firstLine="960" w:firstLineChars="400"/>
        <w:rPr>
          <w:rFonts w:ascii="宋体" w:hAnsi="宋体"/>
          <w:bCs/>
          <w:color w:val="auto"/>
          <w:sz w:val="24"/>
          <w:szCs w:val="24"/>
          <w:highlight w:val="none"/>
        </w:rPr>
      </w:pPr>
    </w:p>
    <w:p w14:paraId="6D86B763">
      <w:pPr>
        <w:snapToGrid w:val="0"/>
        <w:spacing w:line="360" w:lineRule="auto"/>
        <w:ind w:firstLine="4080" w:firstLineChars="1700"/>
        <w:rPr>
          <w:rFonts w:ascii="宋体" w:hAnsi="宋体"/>
          <w:color w:val="auto"/>
          <w:sz w:val="24"/>
          <w:szCs w:val="20"/>
          <w:highlight w:val="none"/>
        </w:rPr>
      </w:pPr>
    </w:p>
    <w:p w14:paraId="64364F11">
      <w:pPr>
        <w:snapToGrid w:val="0"/>
        <w:spacing w:line="360" w:lineRule="auto"/>
        <w:ind w:firstLine="645"/>
        <w:jc w:val="center"/>
        <w:rPr>
          <w:rFonts w:ascii="宋体" w:hAnsi="宋体"/>
          <w:color w:val="auto"/>
          <w:sz w:val="24"/>
          <w:highlight w:val="none"/>
        </w:rPr>
      </w:pPr>
      <w:r>
        <w:rPr>
          <w:rFonts w:hint="eastAsia" w:ascii="宋体" w:hAnsi="宋体"/>
          <w:color w:val="auto"/>
          <w:sz w:val="24"/>
          <w:highlight w:val="none"/>
        </w:rPr>
        <w:t>年月日</w:t>
      </w:r>
    </w:p>
    <w:p w14:paraId="128433FE">
      <w:pPr>
        <w:snapToGrid w:val="0"/>
        <w:spacing w:line="360" w:lineRule="auto"/>
        <w:ind w:firstLine="645"/>
        <w:jc w:val="center"/>
        <w:rPr>
          <w:rFonts w:ascii="宋体" w:hAnsi="宋体"/>
          <w:color w:val="auto"/>
          <w:sz w:val="24"/>
          <w:highlight w:val="none"/>
        </w:rPr>
      </w:pPr>
    </w:p>
    <w:p w14:paraId="74CB5191">
      <w:pPr>
        <w:snapToGrid w:val="0"/>
        <w:spacing w:line="360" w:lineRule="auto"/>
        <w:ind w:firstLine="645"/>
        <w:jc w:val="center"/>
        <w:rPr>
          <w:rFonts w:ascii="宋体" w:hAnsi="宋体"/>
          <w:color w:val="auto"/>
          <w:sz w:val="24"/>
          <w:highlight w:val="none"/>
        </w:rPr>
      </w:pPr>
    </w:p>
    <w:p w14:paraId="37050DA7">
      <w:pPr>
        <w:snapToGrid w:val="0"/>
        <w:spacing w:line="360" w:lineRule="auto"/>
        <w:ind w:firstLine="645"/>
        <w:jc w:val="center"/>
        <w:rPr>
          <w:rFonts w:ascii="宋体" w:hAnsi="宋体"/>
          <w:color w:val="auto"/>
          <w:sz w:val="24"/>
          <w:highlight w:val="none"/>
        </w:rPr>
      </w:pPr>
    </w:p>
    <w:p w14:paraId="57E9A1BF">
      <w:pPr>
        <w:snapToGrid w:val="0"/>
        <w:spacing w:line="360" w:lineRule="auto"/>
        <w:ind w:firstLine="645"/>
        <w:jc w:val="center"/>
        <w:rPr>
          <w:rFonts w:ascii="宋体" w:hAnsi="宋体"/>
          <w:color w:val="auto"/>
          <w:sz w:val="24"/>
          <w:highlight w:val="none"/>
        </w:rPr>
      </w:pPr>
    </w:p>
    <w:p w14:paraId="38EF13AC">
      <w:pPr>
        <w:snapToGrid w:val="0"/>
        <w:spacing w:line="360" w:lineRule="auto"/>
        <w:rPr>
          <w:rFonts w:ascii="宋体" w:hAnsi="宋体"/>
          <w:b/>
          <w:bCs/>
          <w:color w:val="auto"/>
          <w:sz w:val="24"/>
          <w:highlight w:val="none"/>
        </w:rPr>
      </w:pPr>
      <w:r>
        <w:rPr>
          <w:rFonts w:hint="eastAsia" w:ascii="宋体" w:hAnsi="宋体"/>
          <w:b/>
          <w:bCs/>
          <w:color w:val="auto"/>
          <w:sz w:val="24"/>
          <w:highlight w:val="none"/>
        </w:rPr>
        <w:t>12.技术/资信/商务文件目录</w:t>
      </w:r>
    </w:p>
    <w:p w14:paraId="46D28DEB">
      <w:pPr>
        <w:snapToGrid w:val="0"/>
        <w:spacing w:line="360" w:lineRule="auto"/>
        <w:rPr>
          <w:rFonts w:ascii="宋体" w:hAnsi="宋体"/>
          <w:color w:val="auto"/>
          <w:sz w:val="24"/>
          <w:highlight w:val="none"/>
        </w:rPr>
      </w:pPr>
      <w:r>
        <w:rPr>
          <w:rFonts w:hint="eastAsia" w:ascii="宋体" w:hAnsi="宋体"/>
          <w:color w:val="auto"/>
          <w:sz w:val="24"/>
          <w:highlight w:val="none"/>
        </w:rPr>
        <w:t>技术：</w:t>
      </w:r>
    </w:p>
    <w:p w14:paraId="169B4172">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）管理作业方案————————（页码）</w:t>
      </w:r>
    </w:p>
    <w:p w14:paraId="5D2A7A6B">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）安全生产措施方案————————</w:t>
      </w:r>
    </w:p>
    <w:p w14:paraId="41A74A11">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（3）技术响应表————————</w:t>
      </w:r>
    </w:p>
    <w:p w14:paraId="49D136EE">
      <w:pPr>
        <w:snapToGrid w:val="0"/>
        <w:spacing w:line="360" w:lineRule="auto"/>
        <w:jc w:val="left"/>
        <w:rPr>
          <w:rFonts w:asciiTheme="majorEastAsia" w:hAnsiTheme="majorEastAsia" w:eastAsiaTheme="majorEastAsia" w:cstheme="majorEastAsia"/>
          <w:color w:val="auto"/>
          <w:sz w:val="24"/>
          <w:szCs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Theme="majorEastAsia" w:hAnsiTheme="majorEastAsia" w:eastAsiaTheme="majorEastAsia" w:cstheme="majorEastAsia"/>
          <w:color w:val="auto"/>
          <w:sz w:val="24"/>
          <w:szCs w:val="24"/>
          <w:highlight w:val="none"/>
        </w:rPr>
        <w:t>养护移交平稳过渡计划实施方案</w:t>
      </w:r>
      <w:r>
        <w:rPr>
          <w:rFonts w:hint="eastAsia" w:ascii="宋体" w:hAnsi="宋体"/>
          <w:color w:val="auto"/>
          <w:sz w:val="24"/>
          <w:highlight w:val="none"/>
        </w:rPr>
        <w:t>————————</w:t>
      </w:r>
    </w:p>
    <w:p w14:paraId="7A35309C">
      <w:pPr>
        <w:snapToGrid w:val="0"/>
        <w:spacing w:line="360" w:lineRule="auto"/>
        <w:jc w:val="left"/>
        <w:rPr>
          <w:rFonts w:asciiTheme="majorEastAsia" w:hAnsiTheme="majorEastAsia" w:eastAsiaTheme="majorEastAsia" w:cstheme="majorEastAsia"/>
          <w:color w:val="auto"/>
          <w:sz w:val="24"/>
          <w:szCs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Theme="majorEastAsia" w:hAnsiTheme="majorEastAsia" w:eastAsiaTheme="majorEastAsia" w:cstheme="majorEastAsia"/>
          <w:color w:val="auto"/>
          <w:sz w:val="24"/>
          <w:szCs w:val="24"/>
          <w:highlight w:val="none"/>
        </w:rPr>
        <w:t>应急响应方案</w:t>
      </w:r>
      <w:r>
        <w:rPr>
          <w:rFonts w:hint="eastAsia" w:ascii="宋体" w:hAnsi="宋体"/>
          <w:color w:val="auto"/>
          <w:sz w:val="24"/>
          <w:highlight w:val="none"/>
        </w:rPr>
        <w:t>————————</w:t>
      </w:r>
    </w:p>
    <w:p w14:paraId="6596BCF1">
      <w:pPr>
        <w:snapToGrid w:val="0"/>
        <w:spacing w:line="360" w:lineRule="auto"/>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）项目实施人员一览表</w:t>
      </w:r>
      <w:r>
        <w:rPr>
          <w:rFonts w:hint="eastAsia" w:ascii="宋体" w:hAnsi="宋体"/>
          <w:color w:val="auto"/>
          <w:sz w:val="24"/>
          <w:highlight w:val="none"/>
        </w:rPr>
        <w:t>————————</w:t>
      </w:r>
    </w:p>
    <w:p w14:paraId="62DB5585">
      <w:pPr>
        <w:snapToGrid w:val="0"/>
        <w:spacing w:line="360" w:lineRule="auto"/>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拟投入本项目的车辆及设备配备————————</w:t>
      </w:r>
    </w:p>
    <w:p w14:paraId="136CC5B5">
      <w:pPr>
        <w:snapToGrid w:val="0"/>
        <w:spacing w:line="360" w:lineRule="auto"/>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管理制度措施————————</w:t>
      </w:r>
    </w:p>
    <w:p w14:paraId="4EE963EE">
      <w:pPr>
        <w:snapToGrid w:val="0"/>
        <w:spacing w:line="360" w:lineRule="auto"/>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p w14:paraId="6AAB7D9F">
      <w:pPr>
        <w:snapToGrid w:val="0"/>
        <w:spacing w:line="360" w:lineRule="auto"/>
        <w:jc w:val="left"/>
        <w:rPr>
          <w:rFonts w:ascii="宋体" w:hAnsi="宋体"/>
          <w:color w:val="auto"/>
          <w:sz w:val="24"/>
          <w:highlight w:val="none"/>
        </w:rPr>
      </w:pPr>
      <w:r>
        <w:rPr>
          <w:rFonts w:hint="eastAsia" w:ascii="宋体" w:hAnsi="宋体"/>
          <w:color w:val="auto"/>
          <w:sz w:val="24"/>
          <w:highlight w:val="none"/>
        </w:rPr>
        <w:t>（10）投标人认为可以证明其能力或业绩的其他材料————————</w:t>
      </w:r>
    </w:p>
    <w:p w14:paraId="4FFF26A2">
      <w:pPr>
        <w:snapToGrid w:val="0"/>
        <w:spacing w:line="360" w:lineRule="auto"/>
        <w:rPr>
          <w:rFonts w:ascii="宋体" w:hAnsi="宋体"/>
          <w:color w:val="auto"/>
          <w:sz w:val="24"/>
          <w:highlight w:val="none"/>
        </w:rPr>
      </w:pPr>
      <w:r>
        <w:rPr>
          <w:rFonts w:hint="eastAsia" w:ascii="宋体" w:hAnsi="宋体"/>
          <w:color w:val="auto"/>
          <w:sz w:val="24"/>
          <w:highlight w:val="none"/>
        </w:rPr>
        <w:t>资信：</w:t>
      </w:r>
    </w:p>
    <w:p w14:paraId="0A7A07F2">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（10）类似成功案例的业绩证明（投标人同类项目实施情况一览表、合同复印件）————————</w:t>
      </w:r>
    </w:p>
    <w:p w14:paraId="068F8265">
      <w:pPr>
        <w:snapToGrid w:val="0"/>
        <w:spacing w:line="360" w:lineRule="auto"/>
        <w:jc w:val="left"/>
        <w:rPr>
          <w:rFonts w:ascii="宋体" w:hAnsi="宋体"/>
          <w:color w:val="auto"/>
          <w:sz w:val="24"/>
          <w:highlight w:val="none"/>
        </w:rPr>
      </w:pPr>
      <w:r>
        <w:rPr>
          <w:rFonts w:hint="eastAsia" w:ascii="宋体" w:hAnsi="宋体"/>
          <w:color w:val="auto"/>
          <w:sz w:val="24"/>
          <w:highlight w:val="none"/>
        </w:rPr>
        <w:t>（11）投标人质量管理和质量保证体系等方面的认证证书————————</w:t>
      </w:r>
    </w:p>
    <w:p w14:paraId="4A8A0800">
      <w:pPr>
        <w:snapToGrid w:val="0"/>
        <w:spacing w:line="360" w:lineRule="auto"/>
        <w:jc w:val="left"/>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企业荣誉证书————————</w:t>
      </w:r>
    </w:p>
    <w:p w14:paraId="2C61C164">
      <w:pPr>
        <w:snapToGrid w:val="0"/>
        <w:spacing w:line="360" w:lineRule="auto"/>
        <w:jc w:val="left"/>
        <w:rPr>
          <w:rFonts w:ascii="宋体" w:hAnsi="宋体"/>
          <w:color w:val="auto"/>
          <w:sz w:val="24"/>
          <w:highlight w:val="none"/>
        </w:rPr>
      </w:pPr>
      <w:r>
        <w:rPr>
          <w:rFonts w:hint="eastAsia" w:ascii="宋体" w:hAnsi="宋体"/>
          <w:color w:val="auto"/>
          <w:sz w:val="24"/>
          <w:highlight w:val="none"/>
        </w:rPr>
        <w:t>（13）投标人认为可以证明其能力或业绩的其他材料————————</w:t>
      </w:r>
    </w:p>
    <w:p w14:paraId="3D44E78E">
      <w:pPr>
        <w:snapToGrid w:val="0"/>
        <w:spacing w:line="360" w:lineRule="auto"/>
        <w:rPr>
          <w:rFonts w:ascii="宋体" w:hAnsi="宋体"/>
          <w:color w:val="auto"/>
          <w:sz w:val="24"/>
          <w:highlight w:val="none"/>
        </w:rPr>
      </w:pPr>
      <w:r>
        <w:rPr>
          <w:rFonts w:hint="eastAsia" w:ascii="宋体" w:hAnsi="宋体"/>
          <w:color w:val="auto"/>
          <w:sz w:val="24"/>
          <w:highlight w:val="none"/>
        </w:rPr>
        <w:t>商务：</w:t>
      </w:r>
    </w:p>
    <w:p w14:paraId="1773FE57">
      <w:pPr>
        <w:snapToGrid w:val="0"/>
        <w:spacing w:line="360" w:lineRule="auto"/>
        <w:jc w:val="left"/>
        <w:rPr>
          <w:rFonts w:ascii="宋体" w:hAnsi="宋体"/>
          <w:color w:val="auto"/>
          <w:sz w:val="24"/>
          <w:highlight w:val="none"/>
        </w:rPr>
      </w:pPr>
      <w:r>
        <w:rPr>
          <w:rFonts w:hint="eastAsia" w:ascii="宋体" w:hAnsi="宋体"/>
          <w:color w:val="auto"/>
          <w:sz w:val="24"/>
          <w:highlight w:val="none"/>
        </w:rPr>
        <w:t>（14）商务响应表————————</w:t>
      </w:r>
    </w:p>
    <w:p w14:paraId="57F11B95">
      <w:pPr>
        <w:spacing w:line="360" w:lineRule="auto"/>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服务承诺————————</w:t>
      </w:r>
    </w:p>
    <w:p w14:paraId="57BC0403">
      <w:pPr>
        <w:spacing w:line="360" w:lineRule="auto"/>
        <w:rPr>
          <w:rFonts w:ascii="宋体" w:hAnsi="宋体" w:eastAsia="宋体" w:cs="宋体"/>
          <w:color w:val="auto"/>
          <w:sz w:val="24"/>
          <w:szCs w:val="24"/>
          <w:highlight w:val="none"/>
        </w:rPr>
      </w:pPr>
      <w:r>
        <w:rPr>
          <w:rFonts w:hint="eastAsia" w:ascii="宋体" w:hAnsi="宋体"/>
          <w:color w:val="auto"/>
          <w:sz w:val="24"/>
          <w:highlight w:val="none"/>
        </w:rPr>
        <w:t>（16）</w:t>
      </w:r>
      <w:r>
        <w:rPr>
          <w:rFonts w:hint="eastAsia" w:ascii="宋体" w:hAnsi="宋体" w:eastAsia="宋体" w:cs="宋体"/>
          <w:color w:val="auto"/>
          <w:sz w:val="24"/>
          <w:szCs w:val="24"/>
          <w:highlight w:val="none"/>
        </w:rPr>
        <w:t>服务网点</w:t>
      </w:r>
      <w:r>
        <w:rPr>
          <w:rFonts w:hint="eastAsia" w:ascii="宋体" w:hAnsi="宋体"/>
          <w:color w:val="auto"/>
          <w:sz w:val="24"/>
          <w:highlight w:val="none"/>
        </w:rPr>
        <w:t>————————</w:t>
      </w:r>
    </w:p>
    <w:p w14:paraId="62F2BB9B">
      <w:pPr>
        <w:spacing w:line="360" w:lineRule="auto"/>
        <w:rPr>
          <w:rFonts w:ascii="宋体" w:hAnsi="宋体"/>
          <w:color w:val="auto"/>
          <w:sz w:val="24"/>
          <w:highlight w:val="none"/>
        </w:rPr>
      </w:pPr>
      <w:r>
        <w:rPr>
          <w:rFonts w:hint="eastAsia" w:ascii="宋体" w:hAnsi="宋体"/>
          <w:color w:val="auto"/>
          <w:sz w:val="24"/>
          <w:highlight w:val="none"/>
        </w:rPr>
        <w:t>（17）员工培训措施及人员保障————————</w:t>
      </w:r>
    </w:p>
    <w:p w14:paraId="15142551">
      <w:pPr>
        <w:spacing w:line="360" w:lineRule="auto"/>
        <w:rPr>
          <w:rFonts w:ascii="宋体" w:hAnsi="宋体" w:eastAsia="宋体" w:cs="宋体"/>
          <w:color w:val="auto"/>
          <w:sz w:val="24"/>
          <w:szCs w:val="24"/>
          <w:highlight w:val="none"/>
        </w:rPr>
      </w:pPr>
      <w:r>
        <w:rPr>
          <w:rFonts w:hint="eastAsia" w:ascii="宋体" w:hAnsi="宋体"/>
          <w:color w:val="auto"/>
          <w:sz w:val="24"/>
          <w:highlight w:val="none"/>
        </w:rPr>
        <w:t>（18）</w:t>
      </w:r>
      <w:r>
        <w:rPr>
          <w:rFonts w:hint="eastAsia" w:ascii="宋体" w:hAnsi="宋体" w:eastAsia="宋体" w:cs="宋体"/>
          <w:color w:val="auto"/>
          <w:sz w:val="24"/>
          <w:szCs w:val="24"/>
          <w:highlight w:val="none"/>
        </w:rPr>
        <w:t>响应时间</w:t>
      </w:r>
      <w:r>
        <w:rPr>
          <w:rFonts w:hint="eastAsia" w:ascii="宋体" w:hAnsi="宋体"/>
          <w:color w:val="auto"/>
          <w:sz w:val="24"/>
          <w:highlight w:val="none"/>
        </w:rPr>
        <w:t>————————</w:t>
      </w:r>
    </w:p>
    <w:p w14:paraId="40E85F81">
      <w:pPr>
        <w:spacing w:line="360" w:lineRule="auto"/>
        <w:rPr>
          <w:rFonts w:ascii="宋体" w:hAnsi="宋体"/>
          <w:color w:val="auto"/>
          <w:sz w:val="24"/>
          <w:highlight w:val="none"/>
        </w:rPr>
      </w:pPr>
      <w:r>
        <w:rPr>
          <w:rFonts w:hint="eastAsia" w:ascii="宋体" w:hAnsi="宋体"/>
          <w:color w:val="auto"/>
          <w:sz w:val="24"/>
          <w:highlight w:val="none"/>
        </w:rPr>
        <w:t>（19）信用承诺书————————</w:t>
      </w:r>
    </w:p>
    <w:p w14:paraId="2DA4B1DB">
      <w:pPr>
        <w:spacing w:line="360" w:lineRule="auto"/>
        <w:rPr>
          <w:rFonts w:ascii="宋体" w:hAnsi="宋体"/>
          <w:color w:val="auto"/>
          <w:sz w:val="24"/>
          <w:highlight w:val="none"/>
        </w:rPr>
      </w:pPr>
      <w:r>
        <w:rPr>
          <w:rFonts w:hint="eastAsia" w:ascii="宋体" w:hAnsi="宋体"/>
          <w:color w:val="auto"/>
          <w:sz w:val="24"/>
          <w:highlight w:val="none"/>
        </w:rPr>
        <w:t>（20）技术、商务、资信及其他分自评表————————</w:t>
      </w:r>
    </w:p>
    <w:p w14:paraId="2247D7CE">
      <w:pPr>
        <w:snapToGrid w:val="0"/>
        <w:spacing w:line="360" w:lineRule="auto"/>
        <w:rPr>
          <w:rFonts w:ascii="宋体" w:hAnsi="宋体"/>
          <w:color w:val="auto"/>
          <w:sz w:val="24"/>
          <w:highlight w:val="none"/>
        </w:rPr>
      </w:pPr>
    </w:p>
    <w:p w14:paraId="392ECAFC">
      <w:pPr>
        <w:snapToGrid w:val="0"/>
        <w:spacing w:line="360" w:lineRule="auto"/>
        <w:rPr>
          <w:rFonts w:ascii="宋体" w:hAnsi="宋体"/>
          <w:color w:val="auto"/>
          <w:sz w:val="24"/>
          <w:highlight w:val="none"/>
        </w:rPr>
      </w:pPr>
    </w:p>
    <w:p w14:paraId="532DF485">
      <w:pPr>
        <w:snapToGrid w:val="0"/>
        <w:spacing w:line="360" w:lineRule="auto"/>
        <w:rPr>
          <w:rFonts w:ascii="宋体" w:hAnsi="宋体"/>
          <w:color w:val="auto"/>
          <w:sz w:val="24"/>
          <w:highlight w:val="none"/>
        </w:rPr>
      </w:pPr>
    </w:p>
    <w:p w14:paraId="250A7D6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13.管理作业方案（格式自拟）</w:t>
      </w:r>
    </w:p>
    <w:p w14:paraId="1E792E76">
      <w:pPr>
        <w:snapToGrid w:val="0"/>
        <w:spacing w:line="360" w:lineRule="auto"/>
        <w:jc w:val="left"/>
        <w:rPr>
          <w:rFonts w:ascii="宋体" w:hAnsi="宋体"/>
          <w:color w:val="auto"/>
          <w:sz w:val="24"/>
          <w:szCs w:val="20"/>
          <w:highlight w:val="none"/>
        </w:rPr>
      </w:pPr>
    </w:p>
    <w:p w14:paraId="29F82322">
      <w:pPr>
        <w:snapToGrid w:val="0"/>
        <w:spacing w:line="360" w:lineRule="auto"/>
        <w:jc w:val="left"/>
        <w:rPr>
          <w:rFonts w:ascii="宋体" w:hAnsi="宋体"/>
          <w:color w:val="auto"/>
          <w:sz w:val="24"/>
          <w:szCs w:val="20"/>
          <w:highlight w:val="none"/>
        </w:rPr>
      </w:pPr>
    </w:p>
    <w:p w14:paraId="2F68A705">
      <w:pPr>
        <w:snapToGrid w:val="0"/>
        <w:spacing w:line="360" w:lineRule="auto"/>
        <w:jc w:val="left"/>
        <w:rPr>
          <w:rFonts w:ascii="宋体" w:hAnsi="宋体"/>
          <w:color w:val="auto"/>
          <w:sz w:val="24"/>
          <w:szCs w:val="20"/>
          <w:highlight w:val="none"/>
        </w:rPr>
      </w:pPr>
    </w:p>
    <w:p w14:paraId="5CDC3239">
      <w:pPr>
        <w:snapToGrid w:val="0"/>
        <w:spacing w:line="360" w:lineRule="auto"/>
        <w:jc w:val="left"/>
        <w:rPr>
          <w:rFonts w:ascii="宋体" w:hAnsi="宋体"/>
          <w:color w:val="auto"/>
          <w:sz w:val="24"/>
          <w:szCs w:val="20"/>
          <w:highlight w:val="none"/>
        </w:rPr>
      </w:pPr>
    </w:p>
    <w:p w14:paraId="067F9285">
      <w:pPr>
        <w:snapToGrid w:val="0"/>
        <w:spacing w:line="360" w:lineRule="auto"/>
        <w:jc w:val="left"/>
        <w:rPr>
          <w:rFonts w:ascii="宋体" w:hAnsi="宋体"/>
          <w:color w:val="auto"/>
          <w:sz w:val="24"/>
          <w:szCs w:val="20"/>
          <w:highlight w:val="none"/>
        </w:rPr>
      </w:pPr>
      <w:r>
        <w:rPr>
          <w:rFonts w:hint="eastAsia" w:ascii="宋体" w:hAnsi="宋体"/>
          <w:color w:val="auto"/>
          <w:sz w:val="24"/>
          <w:szCs w:val="20"/>
          <w:highlight w:val="none"/>
        </w:rPr>
        <w:t>14.</w:t>
      </w:r>
      <w:r>
        <w:rPr>
          <w:rFonts w:hint="eastAsia" w:ascii="宋体" w:hAnsi="宋体"/>
          <w:color w:val="auto"/>
          <w:sz w:val="24"/>
          <w:highlight w:val="none"/>
        </w:rPr>
        <w:t>安全生产措施方案（格式自拟）</w:t>
      </w:r>
    </w:p>
    <w:p w14:paraId="6724BBAD">
      <w:pPr>
        <w:snapToGrid w:val="0"/>
        <w:spacing w:line="360" w:lineRule="auto"/>
        <w:jc w:val="left"/>
        <w:rPr>
          <w:rFonts w:ascii="宋体" w:hAnsi="宋体"/>
          <w:color w:val="auto"/>
          <w:sz w:val="24"/>
          <w:highlight w:val="none"/>
        </w:rPr>
      </w:pPr>
    </w:p>
    <w:p w14:paraId="0740C101">
      <w:pPr>
        <w:snapToGrid w:val="0"/>
        <w:spacing w:line="360" w:lineRule="auto"/>
        <w:jc w:val="left"/>
        <w:rPr>
          <w:rFonts w:ascii="宋体" w:hAnsi="宋体"/>
          <w:color w:val="auto"/>
          <w:sz w:val="24"/>
          <w:highlight w:val="none"/>
        </w:rPr>
      </w:pPr>
    </w:p>
    <w:p w14:paraId="5A38FF14">
      <w:pPr>
        <w:snapToGrid w:val="0"/>
        <w:spacing w:line="360" w:lineRule="auto"/>
        <w:jc w:val="left"/>
        <w:rPr>
          <w:rFonts w:ascii="宋体" w:hAnsi="宋体"/>
          <w:color w:val="auto"/>
          <w:sz w:val="24"/>
          <w:highlight w:val="none"/>
        </w:rPr>
      </w:pPr>
    </w:p>
    <w:p w14:paraId="579E998D">
      <w:pPr>
        <w:snapToGrid w:val="0"/>
        <w:spacing w:line="360" w:lineRule="auto"/>
        <w:jc w:val="left"/>
        <w:rPr>
          <w:rFonts w:ascii="宋体" w:hAnsi="宋体"/>
          <w:color w:val="auto"/>
          <w:sz w:val="24"/>
          <w:highlight w:val="none"/>
        </w:rPr>
      </w:pPr>
    </w:p>
    <w:p w14:paraId="7A7596A7">
      <w:pPr>
        <w:snapToGrid w:val="0"/>
        <w:spacing w:line="360" w:lineRule="auto"/>
        <w:jc w:val="left"/>
        <w:rPr>
          <w:rFonts w:ascii="宋体" w:hAnsi="宋体"/>
          <w:color w:val="auto"/>
          <w:sz w:val="24"/>
          <w:highlight w:val="none"/>
        </w:rPr>
      </w:pPr>
    </w:p>
    <w:p w14:paraId="0C217C1B">
      <w:pPr>
        <w:snapToGrid w:val="0"/>
        <w:spacing w:line="360" w:lineRule="auto"/>
        <w:jc w:val="left"/>
        <w:rPr>
          <w:rFonts w:ascii="宋体" w:hAnsi="宋体"/>
          <w:color w:val="auto"/>
          <w:sz w:val="24"/>
          <w:highlight w:val="none"/>
        </w:rPr>
      </w:pPr>
    </w:p>
    <w:p w14:paraId="7BA2DFF6">
      <w:pPr>
        <w:snapToGrid w:val="0"/>
        <w:spacing w:line="360" w:lineRule="auto"/>
        <w:jc w:val="left"/>
        <w:rPr>
          <w:rFonts w:ascii="宋体" w:hAnsi="宋体"/>
          <w:color w:val="auto"/>
          <w:sz w:val="24"/>
          <w:highlight w:val="none"/>
        </w:rPr>
      </w:pPr>
    </w:p>
    <w:p w14:paraId="3276DD80">
      <w:pPr>
        <w:snapToGrid w:val="0"/>
        <w:spacing w:line="360" w:lineRule="auto"/>
        <w:jc w:val="left"/>
        <w:rPr>
          <w:rFonts w:ascii="宋体" w:hAnsi="宋体"/>
          <w:color w:val="auto"/>
          <w:sz w:val="24"/>
          <w:highlight w:val="none"/>
        </w:rPr>
      </w:pPr>
      <w:r>
        <w:rPr>
          <w:rFonts w:hint="eastAsia" w:ascii="宋体" w:hAnsi="宋体"/>
          <w:color w:val="auto"/>
          <w:sz w:val="24"/>
          <w:highlight w:val="none"/>
        </w:rPr>
        <w:t>15.技术响应表格式：</w:t>
      </w:r>
    </w:p>
    <w:p w14:paraId="151C382B">
      <w:pPr>
        <w:snapToGrid w:val="0"/>
        <w:spacing w:line="360" w:lineRule="auto"/>
        <w:jc w:val="left"/>
        <w:rPr>
          <w:rFonts w:ascii="宋体" w:hAnsi="宋体" w:eastAsia="宋体" w:cs="Times New Roman"/>
          <w:color w:val="auto"/>
          <w:kern w:val="44"/>
          <w:sz w:val="24"/>
          <w:highlight w:val="none"/>
        </w:rPr>
      </w:pPr>
      <w:r>
        <w:rPr>
          <w:rFonts w:hint="eastAsia" w:ascii="宋体" w:hAnsi="宋体"/>
          <w:color w:val="auto"/>
          <w:highlight w:val="none"/>
        </w:rPr>
        <w:t>项目名称：</w:t>
      </w:r>
    </w:p>
    <w:tbl>
      <w:tblPr>
        <w:tblStyle w:val="4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2340"/>
      </w:tblGrid>
      <w:tr w14:paraId="7C829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76A373BA">
            <w:pPr>
              <w:tabs>
                <w:tab w:val="left" w:pos="3654"/>
              </w:tabs>
              <w:spacing w:line="360" w:lineRule="auto"/>
              <w:jc w:val="center"/>
              <w:rPr>
                <w:rFonts w:ascii="宋体" w:hAnsi="宋体" w:eastAsia="宋体" w:cs="Times New Roman"/>
                <w:color w:val="auto"/>
                <w:kern w:val="44"/>
                <w:sz w:val="24"/>
                <w:highlight w:val="none"/>
              </w:rPr>
            </w:pPr>
            <w:r>
              <w:rPr>
                <w:rFonts w:hint="eastAsia" w:ascii="宋体" w:hAnsi="宋体" w:eastAsia="宋体" w:cs="Times New Roman"/>
                <w:color w:val="auto"/>
                <w:kern w:val="44"/>
                <w:sz w:val="24"/>
                <w:highlight w:val="none"/>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779BA9EB">
            <w:pPr>
              <w:tabs>
                <w:tab w:val="left" w:pos="3654"/>
              </w:tabs>
              <w:spacing w:line="360" w:lineRule="auto"/>
              <w:jc w:val="center"/>
              <w:rPr>
                <w:rFonts w:ascii="宋体" w:hAnsi="宋体" w:eastAsia="宋体" w:cs="Times New Roman"/>
                <w:color w:val="auto"/>
                <w:kern w:val="44"/>
                <w:sz w:val="24"/>
                <w:highlight w:val="none"/>
              </w:rPr>
            </w:pPr>
            <w:r>
              <w:rPr>
                <w:rFonts w:hint="eastAsia" w:ascii="宋体" w:hAnsi="宋体" w:eastAsia="宋体" w:cs="Times New Roman"/>
                <w:color w:val="auto"/>
                <w:kern w:val="44"/>
                <w:sz w:val="24"/>
                <w:highlight w:val="none"/>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29D2863F">
            <w:pPr>
              <w:tabs>
                <w:tab w:val="left" w:pos="3654"/>
              </w:tabs>
              <w:spacing w:line="360" w:lineRule="auto"/>
              <w:jc w:val="center"/>
              <w:rPr>
                <w:rFonts w:ascii="宋体" w:hAnsi="宋体" w:eastAsia="宋体" w:cs="Times New Roman"/>
                <w:color w:val="auto"/>
                <w:kern w:val="44"/>
                <w:sz w:val="24"/>
                <w:highlight w:val="none"/>
              </w:rPr>
            </w:pPr>
            <w:r>
              <w:rPr>
                <w:rFonts w:hint="eastAsia" w:ascii="宋体" w:hAnsi="宋体" w:eastAsia="宋体" w:cs="Times New Roman"/>
                <w:color w:val="auto"/>
                <w:kern w:val="44"/>
                <w:sz w:val="24"/>
                <w:highlight w:val="none"/>
              </w:rPr>
              <w:t>投标文件的商务条款</w:t>
            </w:r>
          </w:p>
        </w:tc>
        <w:tc>
          <w:tcPr>
            <w:tcW w:w="2340" w:type="dxa"/>
            <w:tcBorders>
              <w:top w:val="single" w:color="auto" w:sz="4" w:space="0"/>
              <w:left w:val="single" w:color="auto" w:sz="4" w:space="0"/>
              <w:bottom w:val="single" w:color="auto" w:sz="4" w:space="0"/>
              <w:right w:val="single" w:color="auto" w:sz="4" w:space="0"/>
            </w:tcBorders>
            <w:vAlign w:val="center"/>
          </w:tcPr>
          <w:p w14:paraId="0C74EBB1">
            <w:pPr>
              <w:tabs>
                <w:tab w:val="left" w:pos="3654"/>
              </w:tabs>
              <w:spacing w:line="360" w:lineRule="auto"/>
              <w:rPr>
                <w:rFonts w:ascii="宋体" w:hAnsi="宋体" w:eastAsia="宋体" w:cs="Times New Roman"/>
                <w:color w:val="auto"/>
                <w:kern w:val="44"/>
                <w:sz w:val="24"/>
                <w:highlight w:val="none"/>
              </w:rPr>
            </w:pPr>
            <w:r>
              <w:rPr>
                <w:rFonts w:hint="eastAsia" w:ascii="宋体" w:hAnsi="宋体" w:eastAsia="宋体" w:cs="Times New Roman"/>
                <w:color w:val="auto"/>
                <w:kern w:val="44"/>
                <w:sz w:val="24"/>
                <w:highlight w:val="none"/>
              </w:rPr>
              <w:t>偏离原因</w:t>
            </w:r>
          </w:p>
        </w:tc>
      </w:tr>
      <w:tr w14:paraId="392FE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A372FF0">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7236E406">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3ED6B237">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4D7FC185">
            <w:pPr>
              <w:tabs>
                <w:tab w:val="left" w:pos="3654"/>
              </w:tabs>
              <w:spacing w:line="360" w:lineRule="auto"/>
              <w:ind w:firstLine="480" w:firstLineChars="200"/>
              <w:rPr>
                <w:rFonts w:ascii="宋体" w:hAnsi="宋体" w:eastAsia="宋体" w:cs="Times New Roman"/>
                <w:color w:val="auto"/>
                <w:kern w:val="44"/>
                <w:sz w:val="24"/>
                <w:highlight w:val="none"/>
              </w:rPr>
            </w:pPr>
          </w:p>
        </w:tc>
      </w:tr>
      <w:tr w14:paraId="288E9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DD01D31">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33FCD3E4">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0559ABAC">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C1B90CB">
            <w:pPr>
              <w:tabs>
                <w:tab w:val="left" w:pos="3654"/>
              </w:tabs>
              <w:spacing w:line="360" w:lineRule="auto"/>
              <w:ind w:firstLine="480" w:firstLineChars="200"/>
              <w:rPr>
                <w:rFonts w:ascii="宋体" w:hAnsi="宋体" w:eastAsia="宋体" w:cs="Times New Roman"/>
                <w:color w:val="auto"/>
                <w:kern w:val="44"/>
                <w:sz w:val="24"/>
                <w:highlight w:val="none"/>
              </w:rPr>
            </w:pPr>
          </w:p>
        </w:tc>
      </w:tr>
      <w:tr w14:paraId="307CD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0FC2DF2">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657B424D">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44AB7650">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0E6C76A">
            <w:pPr>
              <w:tabs>
                <w:tab w:val="left" w:pos="3654"/>
              </w:tabs>
              <w:spacing w:line="360" w:lineRule="auto"/>
              <w:ind w:firstLine="480" w:firstLineChars="200"/>
              <w:rPr>
                <w:rFonts w:ascii="宋体" w:hAnsi="宋体" w:eastAsia="宋体" w:cs="Times New Roman"/>
                <w:color w:val="auto"/>
                <w:kern w:val="44"/>
                <w:sz w:val="24"/>
                <w:highlight w:val="none"/>
              </w:rPr>
            </w:pPr>
          </w:p>
        </w:tc>
      </w:tr>
      <w:tr w14:paraId="77C41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FD04C3D">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3509A9B3">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4EBFF89D">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5B18EE7">
            <w:pPr>
              <w:tabs>
                <w:tab w:val="left" w:pos="3654"/>
              </w:tabs>
              <w:spacing w:line="360" w:lineRule="auto"/>
              <w:ind w:firstLine="480" w:firstLineChars="200"/>
              <w:rPr>
                <w:rFonts w:ascii="宋体" w:hAnsi="宋体" w:eastAsia="宋体" w:cs="Times New Roman"/>
                <w:color w:val="auto"/>
                <w:kern w:val="44"/>
                <w:sz w:val="24"/>
                <w:highlight w:val="none"/>
              </w:rPr>
            </w:pPr>
          </w:p>
        </w:tc>
      </w:tr>
      <w:tr w14:paraId="45E49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867709B">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7357B3A9">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069453EF">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3649CEB">
            <w:pPr>
              <w:tabs>
                <w:tab w:val="left" w:pos="3654"/>
              </w:tabs>
              <w:spacing w:line="360" w:lineRule="auto"/>
              <w:ind w:firstLine="480" w:firstLineChars="200"/>
              <w:rPr>
                <w:rFonts w:ascii="宋体" w:hAnsi="宋体" w:eastAsia="宋体" w:cs="Times New Roman"/>
                <w:color w:val="auto"/>
                <w:kern w:val="44"/>
                <w:sz w:val="24"/>
                <w:highlight w:val="none"/>
              </w:rPr>
            </w:pPr>
          </w:p>
        </w:tc>
      </w:tr>
      <w:tr w14:paraId="57473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CFA7A52">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6033952C">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35EE9CB7">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DFEE941">
            <w:pPr>
              <w:tabs>
                <w:tab w:val="left" w:pos="3654"/>
              </w:tabs>
              <w:spacing w:line="360" w:lineRule="auto"/>
              <w:ind w:firstLine="480" w:firstLineChars="200"/>
              <w:rPr>
                <w:rFonts w:ascii="宋体" w:hAnsi="宋体" w:eastAsia="宋体" w:cs="Times New Roman"/>
                <w:color w:val="auto"/>
                <w:kern w:val="44"/>
                <w:sz w:val="24"/>
                <w:highlight w:val="none"/>
              </w:rPr>
            </w:pPr>
          </w:p>
        </w:tc>
      </w:tr>
      <w:tr w14:paraId="4E667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1CD4C7C">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1BFC1EAB">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323155FF">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9BCE33E">
            <w:pPr>
              <w:tabs>
                <w:tab w:val="left" w:pos="3654"/>
              </w:tabs>
              <w:spacing w:line="360" w:lineRule="auto"/>
              <w:ind w:firstLine="480" w:firstLineChars="200"/>
              <w:rPr>
                <w:rFonts w:ascii="宋体" w:hAnsi="宋体" w:eastAsia="宋体" w:cs="Times New Roman"/>
                <w:color w:val="auto"/>
                <w:kern w:val="44"/>
                <w:sz w:val="24"/>
                <w:highlight w:val="none"/>
              </w:rPr>
            </w:pPr>
          </w:p>
        </w:tc>
      </w:tr>
      <w:tr w14:paraId="16751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D38A070">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106FBC76">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299DB131">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1A372BA">
            <w:pPr>
              <w:tabs>
                <w:tab w:val="left" w:pos="3654"/>
              </w:tabs>
              <w:spacing w:line="360" w:lineRule="auto"/>
              <w:ind w:firstLine="480" w:firstLineChars="200"/>
              <w:rPr>
                <w:rFonts w:ascii="宋体" w:hAnsi="宋体" w:eastAsia="宋体" w:cs="Times New Roman"/>
                <w:color w:val="auto"/>
                <w:kern w:val="44"/>
                <w:sz w:val="24"/>
                <w:highlight w:val="none"/>
              </w:rPr>
            </w:pPr>
          </w:p>
        </w:tc>
      </w:tr>
      <w:tr w14:paraId="55004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6524B07">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3E150490">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475CEAEB">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2AD14B5">
            <w:pPr>
              <w:tabs>
                <w:tab w:val="left" w:pos="3654"/>
              </w:tabs>
              <w:spacing w:line="360" w:lineRule="auto"/>
              <w:ind w:firstLine="480" w:firstLineChars="200"/>
              <w:rPr>
                <w:rFonts w:ascii="宋体" w:hAnsi="宋体" w:eastAsia="宋体" w:cs="Times New Roman"/>
                <w:color w:val="auto"/>
                <w:kern w:val="44"/>
                <w:sz w:val="24"/>
                <w:highlight w:val="none"/>
              </w:rPr>
            </w:pPr>
          </w:p>
        </w:tc>
      </w:tr>
      <w:tr w14:paraId="7F02C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7B1C617">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4A090FB6">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58AC8B2A">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E63A020">
            <w:pPr>
              <w:tabs>
                <w:tab w:val="left" w:pos="3654"/>
              </w:tabs>
              <w:spacing w:line="360" w:lineRule="auto"/>
              <w:ind w:firstLine="480" w:firstLineChars="200"/>
              <w:rPr>
                <w:rFonts w:ascii="宋体" w:hAnsi="宋体" w:eastAsia="宋体" w:cs="Times New Roman"/>
                <w:color w:val="auto"/>
                <w:kern w:val="44"/>
                <w:sz w:val="24"/>
                <w:highlight w:val="none"/>
              </w:rPr>
            </w:pPr>
          </w:p>
        </w:tc>
      </w:tr>
      <w:tr w14:paraId="2480B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949ED60">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14243D4A">
            <w:pPr>
              <w:tabs>
                <w:tab w:val="left" w:pos="3654"/>
              </w:tabs>
              <w:spacing w:line="360" w:lineRule="auto"/>
              <w:ind w:firstLine="480" w:firstLineChars="200"/>
              <w:rPr>
                <w:rFonts w:ascii="宋体" w:hAnsi="宋体" w:eastAsia="宋体" w:cs="Times New Roman"/>
                <w:color w:val="auto"/>
                <w:kern w:val="44"/>
                <w:sz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4D500950">
            <w:pPr>
              <w:tabs>
                <w:tab w:val="left" w:pos="3654"/>
              </w:tabs>
              <w:spacing w:line="360" w:lineRule="auto"/>
              <w:ind w:firstLine="480" w:firstLineChars="200"/>
              <w:rPr>
                <w:rFonts w:ascii="宋体" w:hAnsi="宋体" w:eastAsia="宋体" w:cs="Times New Roman"/>
                <w:color w:val="auto"/>
                <w:kern w:val="44"/>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2821C34">
            <w:pPr>
              <w:tabs>
                <w:tab w:val="left" w:pos="3654"/>
              </w:tabs>
              <w:spacing w:line="360" w:lineRule="auto"/>
              <w:ind w:firstLine="480" w:firstLineChars="200"/>
              <w:rPr>
                <w:rFonts w:ascii="宋体" w:hAnsi="宋体" w:eastAsia="宋体" w:cs="Times New Roman"/>
                <w:color w:val="auto"/>
                <w:kern w:val="44"/>
                <w:sz w:val="24"/>
                <w:highlight w:val="none"/>
              </w:rPr>
            </w:pPr>
          </w:p>
        </w:tc>
      </w:tr>
    </w:tbl>
    <w:p w14:paraId="7A08A7CE">
      <w:pPr>
        <w:spacing w:line="360" w:lineRule="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注：1、投标人必须按采购需求一一对应,如实填写《技术偏离表》，未按要求填写的，有可能作负偏离处理；</w:t>
      </w:r>
    </w:p>
    <w:p w14:paraId="391A7FEC">
      <w:pPr>
        <w:spacing w:line="360" w:lineRule="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2、此表仅提供了表格形式，投标人应根据需要准备足够数量的表格来填写。</w:t>
      </w:r>
    </w:p>
    <w:p w14:paraId="48AA64C3">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4BE8797C">
      <w:pPr>
        <w:snapToGrid w:val="0"/>
        <w:spacing w:line="360" w:lineRule="auto"/>
        <w:rPr>
          <w:rFonts w:ascii="宋体" w:hAnsi="宋体"/>
          <w:color w:val="auto"/>
          <w:sz w:val="24"/>
          <w:szCs w:val="20"/>
          <w:highlight w:val="none"/>
        </w:rPr>
      </w:pPr>
      <w:r>
        <w:rPr>
          <w:rFonts w:hint="eastAsia" w:ascii="宋体" w:hAnsi="宋体"/>
          <w:color w:val="auto"/>
          <w:spacing w:val="20"/>
          <w:sz w:val="24"/>
          <w:highlight w:val="none"/>
        </w:rPr>
        <w:t>投标人盖章：日 期：</w:t>
      </w:r>
    </w:p>
    <w:p w14:paraId="3089726C">
      <w:pPr>
        <w:snapToGrid w:val="0"/>
        <w:spacing w:line="360" w:lineRule="auto"/>
        <w:jc w:val="left"/>
        <w:rPr>
          <w:rFonts w:ascii="宋体" w:hAnsi="宋体"/>
          <w:color w:val="auto"/>
          <w:sz w:val="24"/>
          <w:szCs w:val="20"/>
          <w:highlight w:val="none"/>
        </w:rPr>
      </w:pPr>
    </w:p>
    <w:p w14:paraId="23F7740D">
      <w:pPr>
        <w:tabs>
          <w:tab w:val="left" w:pos="312"/>
        </w:tabs>
        <w:spacing w:line="360" w:lineRule="auto"/>
        <w:jc w:val="left"/>
        <w:rPr>
          <w:rFonts w:ascii="宋体" w:hAnsi="宋体"/>
          <w:color w:val="auto"/>
          <w:sz w:val="24"/>
          <w:highlight w:val="none"/>
        </w:rPr>
      </w:pPr>
      <w:r>
        <w:rPr>
          <w:rFonts w:hint="eastAsia" w:asciiTheme="majorEastAsia" w:hAnsiTheme="majorEastAsia" w:eastAsiaTheme="majorEastAsia" w:cstheme="majorEastAsia"/>
          <w:color w:val="auto"/>
          <w:sz w:val="24"/>
          <w:szCs w:val="24"/>
          <w:highlight w:val="none"/>
        </w:rPr>
        <w:t>16.养护移交平稳过渡计划实施方案</w:t>
      </w:r>
      <w:r>
        <w:rPr>
          <w:rFonts w:hint="eastAsia" w:ascii="宋体" w:hAnsi="宋体"/>
          <w:color w:val="auto"/>
          <w:sz w:val="24"/>
          <w:highlight w:val="none"/>
        </w:rPr>
        <w:t>（格式自拟）</w:t>
      </w:r>
    </w:p>
    <w:p w14:paraId="672BCFE4">
      <w:pPr>
        <w:spacing w:line="360" w:lineRule="auto"/>
        <w:jc w:val="left"/>
        <w:rPr>
          <w:rFonts w:ascii="宋体" w:hAnsi="宋体"/>
          <w:color w:val="auto"/>
          <w:sz w:val="24"/>
          <w:highlight w:val="none"/>
        </w:rPr>
      </w:pPr>
    </w:p>
    <w:p w14:paraId="16D34E60">
      <w:pPr>
        <w:spacing w:line="360" w:lineRule="auto"/>
        <w:jc w:val="left"/>
        <w:rPr>
          <w:rFonts w:ascii="宋体" w:hAnsi="宋体"/>
          <w:color w:val="auto"/>
          <w:sz w:val="24"/>
          <w:highlight w:val="none"/>
        </w:rPr>
      </w:pPr>
    </w:p>
    <w:p w14:paraId="4372659B">
      <w:pPr>
        <w:spacing w:line="360" w:lineRule="auto"/>
        <w:jc w:val="left"/>
        <w:rPr>
          <w:rFonts w:ascii="宋体" w:hAnsi="宋体"/>
          <w:color w:val="auto"/>
          <w:sz w:val="24"/>
          <w:highlight w:val="none"/>
        </w:rPr>
      </w:pPr>
    </w:p>
    <w:p w14:paraId="16B0D602">
      <w:pPr>
        <w:spacing w:line="360" w:lineRule="auto"/>
        <w:jc w:val="left"/>
        <w:rPr>
          <w:rFonts w:ascii="宋体" w:hAnsi="宋体"/>
          <w:color w:val="auto"/>
          <w:sz w:val="24"/>
          <w:highlight w:val="none"/>
        </w:rPr>
      </w:pPr>
    </w:p>
    <w:p w14:paraId="190ED762">
      <w:pPr>
        <w:tabs>
          <w:tab w:val="left" w:pos="312"/>
        </w:tabs>
        <w:spacing w:line="360" w:lineRule="auto"/>
        <w:jc w:val="left"/>
        <w:rPr>
          <w:rFonts w:ascii="宋体" w:hAnsi="宋体"/>
          <w:color w:val="auto"/>
          <w:sz w:val="24"/>
          <w:highlight w:val="none"/>
        </w:rPr>
      </w:pPr>
      <w:r>
        <w:rPr>
          <w:rFonts w:hint="eastAsia" w:asciiTheme="majorEastAsia" w:hAnsiTheme="majorEastAsia" w:eastAsiaTheme="majorEastAsia" w:cstheme="majorEastAsia"/>
          <w:color w:val="auto"/>
          <w:sz w:val="24"/>
          <w:szCs w:val="24"/>
          <w:highlight w:val="none"/>
        </w:rPr>
        <w:t>17.应急响应方案</w:t>
      </w:r>
      <w:r>
        <w:rPr>
          <w:rFonts w:hint="eastAsia" w:ascii="宋体" w:hAnsi="宋体"/>
          <w:color w:val="auto"/>
          <w:sz w:val="24"/>
          <w:highlight w:val="none"/>
        </w:rPr>
        <w:t>（格式自拟）</w:t>
      </w:r>
    </w:p>
    <w:p w14:paraId="6969771B">
      <w:pPr>
        <w:snapToGrid w:val="0"/>
        <w:spacing w:line="360" w:lineRule="auto"/>
        <w:jc w:val="left"/>
        <w:rPr>
          <w:rFonts w:ascii="宋体" w:hAnsi="宋体"/>
          <w:color w:val="auto"/>
          <w:sz w:val="24"/>
          <w:szCs w:val="20"/>
          <w:highlight w:val="none"/>
        </w:rPr>
      </w:pPr>
    </w:p>
    <w:p w14:paraId="0E0B42F8">
      <w:pPr>
        <w:snapToGrid w:val="0"/>
        <w:spacing w:line="360" w:lineRule="auto"/>
        <w:jc w:val="left"/>
        <w:rPr>
          <w:rFonts w:ascii="宋体" w:hAnsi="宋体"/>
          <w:color w:val="auto"/>
          <w:sz w:val="24"/>
          <w:szCs w:val="20"/>
          <w:highlight w:val="none"/>
        </w:rPr>
      </w:pPr>
    </w:p>
    <w:p w14:paraId="6114D6BE">
      <w:pPr>
        <w:snapToGrid w:val="0"/>
        <w:spacing w:line="360" w:lineRule="auto"/>
        <w:jc w:val="left"/>
        <w:rPr>
          <w:rFonts w:ascii="宋体" w:hAnsi="宋体"/>
          <w:color w:val="auto"/>
          <w:sz w:val="24"/>
          <w:szCs w:val="20"/>
          <w:highlight w:val="none"/>
        </w:rPr>
      </w:pPr>
    </w:p>
    <w:p w14:paraId="777F2F21">
      <w:pPr>
        <w:snapToGrid w:val="0"/>
        <w:spacing w:line="360" w:lineRule="auto"/>
        <w:jc w:val="left"/>
        <w:rPr>
          <w:rFonts w:ascii="宋体" w:hAnsi="宋体"/>
          <w:color w:val="auto"/>
          <w:sz w:val="24"/>
          <w:szCs w:val="20"/>
          <w:highlight w:val="none"/>
        </w:rPr>
      </w:pPr>
    </w:p>
    <w:p w14:paraId="65400BB5">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18. 项目实施人员一览表格式：</w:t>
      </w:r>
    </w:p>
    <w:p w14:paraId="650E0F5F">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项目实施人员（主要从业人员及其技术资格）一览表</w:t>
      </w:r>
    </w:p>
    <w:p w14:paraId="67708993">
      <w:pPr>
        <w:spacing w:line="360" w:lineRule="auto"/>
        <w:jc w:val="center"/>
        <w:rPr>
          <w:rFonts w:ascii="宋体" w:hAnsi="宋体" w:eastAsia="宋体" w:cs="Times New Roman"/>
          <w:color w:val="auto"/>
          <w:sz w:val="24"/>
          <w:highlight w:val="none"/>
        </w:rPr>
      </w:pPr>
      <w:r>
        <w:rPr>
          <w:rFonts w:hint="eastAsia" w:ascii="宋体" w:hAnsi="宋体"/>
          <w:color w:val="auto"/>
          <w:highlight w:val="none"/>
        </w:rPr>
        <w:t>项目名称：</w:t>
      </w:r>
    </w:p>
    <w:tbl>
      <w:tblPr>
        <w:tblStyle w:val="4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87"/>
        <w:gridCol w:w="69"/>
        <w:gridCol w:w="343"/>
        <w:gridCol w:w="586"/>
        <w:gridCol w:w="840"/>
        <w:gridCol w:w="840"/>
        <w:gridCol w:w="945"/>
        <w:gridCol w:w="1260"/>
        <w:gridCol w:w="945"/>
        <w:gridCol w:w="2145"/>
      </w:tblGrid>
      <w:tr w14:paraId="3787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Align w:val="center"/>
          </w:tcPr>
          <w:p w14:paraId="635AB2FA">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序号</w:t>
            </w:r>
          </w:p>
        </w:tc>
        <w:tc>
          <w:tcPr>
            <w:tcW w:w="787" w:type="dxa"/>
            <w:vAlign w:val="center"/>
          </w:tcPr>
          <w:p w14:paraId="29911436">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姓名</w:t>
            </w:r>
          </w:p>
        </w:tc>
        <w:tc>
          <w:tcPr>
            <w:tcW w:w="412" w:type="dxa"/>
            <w:gridSpan w:val="2"/>
            <w:vAlign w:val="center"/>
          </w:tcPr>
          <w:p w14:paraId="3DC12AF7">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性别</w:t>
            </w:r>
          </w:p>
        </w:tc>
        <w:tc>
          <w:tcPr>
            <w:tcW w:w="586" w:type="dxa"/>
            <w:vAlign w:val="center"/>
          </w:tcPr>
          <w:p w14:paraId="369A2D48">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年龄</w:t>
            </w:r>
          </w:p>
        </w:tc>
        <w:tc>
          <w:tcPr>
            <w:tcW w:w="840" w:type="dxa"/>
            <w:vAlign w:val="center"/>
          </w:tcPr>
          <w:p w14:paraId="53C7FE0B">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学历</w:t>
            </w:r>
          </w:p>
        </w:tc>
        <w:tc>
          <w:tcPr>
            <w:tcW w:w="840" w:type="dxa"/>
            <w:vAlign w:val="center"/>
          </w:tcPr>
          <w:p w14:paraId="3A69D280">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专业</w:t>
            </w:r>
          </w:p>
        </w:tc>
        <w:tc>
          <w:tcPr>
            <w:tcW w:w="945" w:type="dxa"/>
            <w:vAlign w:val="center"/>
          </w:tcPr>
          <w:p w14:paraId="08BD3E90">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职称</w:t>
            </w:r>
          </w:p>
        </w:tc>
        <w:tc>
          <w:tcPr>
            <w:tcW w:w="1260" w:type="dxa"/>
            <w:vAlign w:val="center"/>
          </w:tcPr>
          <w:p w14:paraId="5F15C76B">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本项目中的职责</w:t>
            </w:r>
          </w:p>
        </w:tc>
        <w:tc>
          <w:tcPr>
            <w:tcW w:w="945" w:type="dxa"/>
            <w:vAlign w:val="center"/>
          </w:tcPr>
          <w:p w14:paraId="61903B0C">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项目经历</w:t>
            </w:r>
          </w:p>
        </w:tc>
        <w:tc>
          <w:tcPr>
            <w:tcW w:w="2145" w:type="dxa"/>
            <w:vAlign w:val="center"/>
          </w:tcPr>
          <w:p w14:paraId="753619C4">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参与本项目的到位情况</w:t>
            </w:r>
          </w:p>
        </w:tc>
      </w:tr>
      <w:tr w14:paraId="7914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600" w:type="dxa"/>
            <w:vAlign w:val="center"/>
          </w:tcPr>
          <w:p w14:paraId="61C61452">
            <w:pPr>
              <w:spacing w:line="360" w:lineRule="auto"/>
              <w:jc w:val="center"/>
              <w:rPr>
                <w:rFonts w:ascii="宋体" w:hAnsi="宋体" w:eastAsia="宋体" w:cs="Times New Roman"/>
                <w:color w:val="auto"/>
                <w:sz w:val="24"/>
                <w:highlight w:val="none"/>
              </w:rPr>
            </w:pPr>
          </w:p>
        </w:tc>
        <w:tc>
          <w:tcPr>
            <w:tcW w:w="787" w:type="dxa"/>
            <w:vAlign w:val="center"/>
          </w:tcPr>
          <w:p w14:paraId="070679D7">
            <w:pPr>
              <w:spacing w:line="360" w:lineRule="auto"/>
              <w:jc w:val="center"/>
              <w:rPr>
                <w:rFonts w:ascii="宋体" w:hAnsi="宋体" w:eastAsia="宋体" w:cs="Times New Roman"/>
                <w:color w:val="auto"/>
                <w:sz w:val="24"/>
                <w:highlight w:val="none"/>
              </w:rPr>
            </w:pPr>
          </w:p>
        </w:tc>
        <w:tc>
          <w:tcPr>
            <w:tcW w:w="412" w:type="dxa"/>
            <w:gridSpan w:val="2"/>
            <w:vAlign w:val="center"/>
          </w:tcPr>
          <w:p w14:paraId="1E7CDDBC">
            <w:pPr>
              <w:spacing w:line="360" w:lineRule="auto"/>
              <w:jc w:val="center"/>
              <w:rPr>
                <w:rFonts w:ascii="宋体" w:hAnsi="宋体" w:eastAsia="宋体" w:cs="Times New Roman"/>
                <w:color w:val="auto"/>
                <w:sz w:val="24"/>
                <w:highlight w:val="none"/>
              </w:rPr>
            </w:pPr>
          </w:p>
        </w:tc>
        <w:tc>
          <w:tcPr>
            <w:tcW w:w="586" w:type="dxa"/>
            <w:vAlign w:val="center"/>
          </w:tcPr>
          <w:p w14:paraId="37534AB7">
            <w:pPr>
              <w:spacing w:line="360" w:lineRule="auto"/>
              <w:jc w:val="center"/>
              <w:rPr>
                <w:rFonts w:ascii="宋体" w:hAnsi="宋体" w:eastAsia="宋体" w:cs="Times New Roman"/>
                <w:color w:val="auto"/>
                <w:sz w:val="24"/>
                <w:highlight w:val="none"/>
              </w:rPr>
            </w:pPr>
          </w:p>
        </w:tc>
        <w:tc>
          <w:tcPr>
            <w:tcW w:w="840" w:type="dxa"/>
            <w:vAlign w:val="center"/>
          </w:tcPr>
          <w:p w14:paraId="11662B05">
            <w:pPr>
              <w:spacing w:line="360" w:lineRule="auto"/>
              <w:jc w:val="center"/>
              <w:rPr>
                <w:rFonts w:ascii="宋体" w:hAnsi="宋体" w:eastAsia="宋体" w:cs="Times New Roman"/>
                <w:color w:val="auto"/>
                <w:sz w:val="24"/>
                <w:highlight w:val="none"/>
              </w:rPr>
            </w:pPr>
          </w:p>
        </w:tc>
        <w:tc>
          <w:tcPr>
            <w:tcW w:w="840" w:type="dxa"/>
            <w:vAlign w:val="center"/>
          </w:tcPr>
          <w:p w14:paraId="178D1ECF">
            <w:pPr>
              <w:spacing w:line="360" w:lineRule="auto"/>
              <w:jc w:val="center"/>
              <w:rPr>
                <w:rFonts w:ascii="宋体" w:hAnsi="宋体" w:eastAsia="宋体" w:cs="Times New Roman"/>
                <w:color w:val="auto"/>
                <w:sz w:val="24"/>
                <w:highlight w:val="none"/>
              </w:rPr>
            </w:pPr>
          </w:p>
        </w:tc>
        <w:tc>
          <w:tcPr>
            <w:tcW w:w="945" w:type="dxa"/>
            <w:vAlign w:val="center"/>
          </w:tcPr>
          <w:p w14:paraId="1BE3A353">
            <w:pPr>
              <w:spacing w:line="360" w:lineRule="auto"/>
              <w:jc w:val="center"/>
              <w:rPr>
                <w:rFonts w:ascii="宋体" w:hAnsi="宋体" w:eastAsia="宋体" w:cs="Times New Roman"/>
                <w:color w:val="auto"/>
                <w:sz w:val="24"/>
                <w:highlight w:val="none"/>
              </w:rPr>
            </w:pPr>
          </w:p>
        </w:tc>
        <w:tc>
          <w:tcPr>
            <w:tcW w:w="1260" w:type="dxa"/>
            <w:vAlign w:val="center"/>
          </w:tcPr>
          <w:p w14:paraId="06FD5C81">
            <w:pPr>
              <w:spacing w:line="360" w:lineRule="auto"/>
              <w:jc w:val="center"/>
              <w:rPr>
                <w:rFonts w:ascii="宋体" w:hAnsi="宋体" w:eastAsia="宋体" w:cs="Times New Roman"/>
                <w:color w:val="auto"/>
                <w:sz w:val="24"/>
                <w:highlight w:val="none"/>
              </w:rPr>
            </w:pPr>
          </w:p>
        </w:tc>
        <w:tc>
          <w:tcPr>
            <w:tcW w:w="945" w:type="dxa"/>
            <w:vAlign w:val="center"/>
          </w:tcPr>
          <w:p w14:paraId="40D280ED">
            <w:pPr>
              <w:spacing w:line="360" w:lineRule="auto"/>
              <w:jc w:val="center"/>
              <w:rPr>
                <w:rFonts w:ascii="宋体" w:hAnsi="宋体" w:eastAsia="宋体" w:cs="Times New Roman"/>
                <w:color w:val="auto"/>
                <w:sz w:val="24"/>
                <w:highlight w:val="none"/>
              </w:rPr>
            </w:pPr>
          </w:p>
        </w:tc>
        <w:tc>
          <w:tcPr>
            <w:tcW w:w="2145" w:type="dxa"/>
            <w:vAlign w:val="center"/>
          </w:tcPr>
          <w:p w14:paraId="66A8E98C">
            <w:pPr>
              <w:spacing w:line="360" w:lineRule="auto"/>
              <w:jc w:val="center"/>
              <w:rPr>
                <w:rFonts w:ascii="宋体" w:hAnsi="宋体" w:eastAsia="宋体" w:cs="Times New Roman"/>
                <w:color w:val="auto"/>
                <w:sz w:val="24"/>
                <w:highlight w:val="none"/>
              </w:rPr>
            </w:pPr>
          </w:p>
        </w:tc>
      </w:tr>
      <w:tr w14:paraId="233F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26F71B5E">
            <w:pPr>
              <w:spacing w:line="360" w:lineRule="auto"/>
              <w:jc w:val="center"/>
              <w:rPr>
                <w:rFonts w:ascii="宋体" w:hAnsi="宋体" w:eastAsia="宋体" w:cs="Times New Roman"/>
                <w:color w:val="auto"/>
                <w:sz w:val="24"/>
                <w:highlight w:val="none"/>
              </w:rPr>
            </w:pPr>
          </w:p>
        </w:tc>
        <w:tc>
          <w:tcPr>
            <w:tcW w:w="787" w:type="dxa"/>
            <w:vAlign w:val="center"/>
          </w:tcPr>
          <w:p w14:paraId="70E1A0B7">
            <w:pPr>
              <w:spacing w:line="360" w:lineRule="auto"/>
              <w:jc w:val="center"/>
              <w:rPr>
                <w:rFonts w:ascii="宋体" w:hAnsi="宋体" w:eastAsia="宋体" w:cs="Times New Roman"/>
                <w:color w:val="auto"/>
                <w:sz w:val="24"/>
                <w:highlight w:val="none"/>
              </w:rPr>
            </w:pPr>
          </w:p>
        </w:tc>
        <w:tc>
          <w:tcPr>
            <w:tcW w:w="412" w:type="dxa"/>
            <w:gridSpan w:val="2"/>
            <w:vAlign w:val="center"/>
          </w:tcPr>
          <w:p w14:paraId="1ADF75D5">
            <w:pPr>
              <w:spacing w:line="360" w:lineRule="auto"/>
              <w:jc w:val="center"/>
              <w:rPr>
                <w:rFonts w:ascii="宋体" w:hAnsi="宋体" w:eastAsia="宋体" w:cs="Times New Roman"/>
                <w:color w:val="auto"/>
                <w:sz w:val="24"/>
                <w:highlight w:val="none"/>
              </w:rPr>
            </w:pPr>
          </w:p>
        </w:tc>
        <w:tc>
          <w:tcPr>
            <w:tcW w:w="586" w:type="dxa"/>
            <w:vAlign w:val="center"/>
          </w:tcPr>
          <w:p w14:paraId="09B82ED8">
            <w:pPr>
              <w:spacing w:line="360" w:lineRule="auto"/>
              <w:jc w:val="center"/>
              <w:rPr>
                <w:rFonts w:ascii="宋体" w:hAnsi="宋体" w:eastAsia="宋体" w:cs="Times New Roman"/>
                <w:color w:val="auto"/>
                <w:sz w:val="24"/>
                <w:highlight w:val="none"/>
              </w:rPr>
            </w:pPr>
          </w:p>
        </w:tc>
        <w:tc>
          <w:tcPr>
            <w:tcW w:w="840" w:type="dxa"/>
            <w:vAlign w:val="center"/>
          </w:tcPr>
          <w:p w14:paraId="79E9CC5D">
            <w:pPr>
              <w:spacing w:line="360" w:lineRule="auto"/>
              <w:jc w:val="center"/>
              <w:rPr>
                <w:rFonts w:ascii="宋体" w:hAnsi="宋体" w:eastAsia="宋体" w:cs="Times New Roman"/>
                <w:color w:val="auto"/>
                <w:sz w:val="24"/>
                <w:highlight w:val="none"/>
              </w:rPr>
            </w:pPr>
          </w:p>
        </w:tc>
        <w:tc>
          <w:tcPr>
            <w:tcW w:w="840" w:type="dxa"/>
            <w:vAlign w:val="center"/>
          </w:tcPr>
          <w:p w14:paraId="1951F8F5">
            <w:pPr>
              <w:spacing w:line="360" w:lineRule="auto"/>
              <w:jc w:val="center"/>
              <w:rPr>
                <w:rFonts w:ascii="宋体" w:hAnsi="宋体" w:eastAsia="宋体" w:cs="Times New Roman"/>
                <w:color w:val="auto"/>
                <w:sz w:val="24"/>
                <w:highlight w:val="none"/>
              </w:rPr>
            </w:pPr>
          </w:p>
        </w:tc>
        <w:tc>
          <w:tcPr>
            <w:tcW w:w="945" w:type="dxa"/>
            <w:vAlign w:val="center"/>
          </w:tcPr>
          <w:p w14:paraId="78C89B81">
            <w:pPr>
              <w:spacing w:line="360" w:lineRule="auto"/>
              <w:jc w:val="center"/>
              <w:rPr>
                <w:rFonts w:ascii="宋体" w:hAnsi="宋体" w:eastAsia="宋体" w:cs="Times New Roman"/>
                <w:color w:val="auto"/>
                <w:sz w:val="24"/>
                <w:highlight w:val="none"/>
              </w:rPr>
            </w:pPr>
          </w:p>
        </w:tc>
        <w:tc>
          <w:tcPr>
            <w:tcW w:w="1260" w:type="dxa"/>
            <w:vAlign w:val="center"/>
          </w:tcPr>
          <w:p w14:paraId="43028F29">
            <w:pPr>
              <w:spacing w:line="360" w:lineRule="auto"/>
              <w:jc w:val="center"/>
              <w:rPr>
                <w:rFonts w:ascii="宋体" w:hAnsi="宋体" w:eastAsia="宋体" w:cs="Times New Roman"/>
                <w:color w:val="auto"/>
                <w:sz w:val="24"/>
                <w:highlight w:val="none"/>
              </w:rPr>
            </w:pPr>
          </w:p>
        </w:tc>
        <w:tc>
          <w:tcPr>
            <w:tcW w:w="945" w:type="dxa"/>
            <w:vAlign w:val="center"/>
          </w:tcPr>
          <w:p w14:paraId="543AF5EE">
            <w:pPr>
              <w:spacing w:line="360" w:lineRule="auto"/>
              <w:jc w:val="center"/>
              <w:rPr>
                <w:rFonts w:ascii="宋体" w:hAnsi="宋体" w:eastAsia="宋体" w:cs="Times New Roman"/>
                <w:color w:val="auto"/>
                <w:sz w:val="24"/>
                <w:highlight w:val="none"/>
              </w:rPr>
            </w:pPr>
          </w:p>
        </w:tc>
        <w:tc>
          <w:tcPr>
            <w:tcW w:w="2145" w:type="dxa"/>
            <w:vAlign w:val="center"/>
          </w:tcPr>
          <w:p w14:paraId="74F983B9">
            <w:pPr>
              <w:spacing w:line="360" w:lineRule="auto"/>
              <w:jc w:val="center"/>
              <w:rPr>
                <w:rFonts w:ascii="宋体" w:hAnsi="宋体" w:eastAsia="宋体" w:cs="Times New Roman"/>
                <w:color w:val="auto"/>
                <w:sz w:val="24"/>
                <w:highlight w:val="none"/>
              </w:rPr>
            </w:pPr>
          </w:p>
        </w:tc>
      </w:tr>
      <w:tr w14:paraId="1DD3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4ED45FB4">
            <w:pPr>
              <w:spacing w:line="360" w:lineRule="auto"/>
              <w:jc w:val="center"/>
              <w:rPr>
                <w:rFonts w:ascii="宋体" w:hAnsi="宋体" w:eastAsia="宋体" w:cs="Times New Roman"/>
                <w:color w:val="auto"/>
                <w:sz w:val="24"/>
                <w:highlight w:val="none"/>
              </w:rPr>
            </w:pPr>
          </w:p>
        </w:tc>
        <w:tc>
          <w:tcPr>
            <w:tcW w:w="787" w:type="dxa"/>
            <w:vAlign w:val="center"/>
          </w:tcPr>
          <w:p w14:paraId="446849B7">
            <w:pPr>
              <w:spacing w:line="360" w:lineRule="auto"/>
              <w:jc w:val="center"/>
              <w:rPr>
                <w:rFonts w:ascii="宋体" w:hAnsi="宋体" w:eastAsia="宋体" w:cs="Times New Roman"/>
                <w:color w:val="auto"/>
                <w:sz w:val="24"/>
                <w:highlight w:val="none"/>
              </w:rPr>
            </w:pPr>
          </w:p>
        </w:tc>
        <w:tc>
          <w:tcPr>
            <w:tcW w:w="412" w:type="dxa"/>
            <w:gridSpan w:val="2"/>
            <w:vAlign w:val="center"/>
          </w:tcPr>
          <w:p w14:paraId="6FE0DCB3">
            <w:pPr>
              <w:spacing w:line="360" w:lineRule="auto"/>
              <w:jc w:val="center"/>
              <w:rPr>
                <w:rFonts w:ascii="宋体" w:hAnsi="宋体" w:eastAsia="宋体" w:cs="Times New Roman"/>
                <w:color w:val="auto"/>
                <w:sz w:val="24"/>
                <w:highlight w:val="none"/>
              </w:rPr>
            </w:pPr>
          </w:p>
        </w:tc>
        <w:tc>
          <w:tcPr>
            <w:tcW w:w="586" w:type="dxa"/>
            <w:vAlign w:val="center"/>
          </w:tcPr>
          <w:p w14:paraId="207FBC76">
            <w:pPr>
              <w:spacing w:line="360" w:lineRule="auto"/>
              <w:jc w:val="center"/>
              <w:rPr>
                <w:rFonts w:ascii="宋体" w:hAnsi="宋体" w:eastAsia="宋体" w:cs="Times New Roman"/>
                <w:color w:val="auto"/>
                <w:sz w:val="24"/>
                <w:highlight w:val="none"/>
              </w:rPr>
            </w:pPr>
          </w:p>
        </w:tc>
        <w:tc>
          <w:tcPr>
            <w:tcW w:w="840" w:type="dxa"/>
            <w:vAlign w:val="center"/>
          </w:tcPr>
          <w:p w14:paraId="5F6DB10A">
            <w:pPr>
              <w:spacing w:line="360" w:lineRule="auto"/>
              <w:jc w:val="center"/>
              <w:rPr>
                <w:rFonts w:ascii="宋体" w:hAnsi="宋体" w:eastAsia="宋体" w:cs="Times New Roman"/>
                <w:color w:val="auto"/>
                <w:sz w:val="24"/>
                <w:highlight w:val="none"/>
              </w:rPr>
            </w:pPr>
          </w:p>
        </w:tc>
        <w:tc>
          <w:tcPr>
            <w:tcW w:w="840" w:type="dxa"/>
            <w:vAlign w:val="center"/>
          </w:tcPr>
          <w:p w14:paraId="0E2DB2FD">
            <w:pPr>
              <w:spacing w:line="360" w:lineRule="auto"/>
              <w:jc w:val="center"/>
              <w:rPr>
                <w:rFonts w:ascii="宋体" w:hAnsi="宋体" w:eastAsia="宋体" w:cs="Times New Roman"/>
                <w:color w:val="auto"/>
                <w:sz w:val="24"/>
                <w:highlight w:val="none"/>
              </w:rPr>
            </w:pPr>
          </w:p>
        </w:tc>
        <w:tc>
          <w:tcPr>
            <w:tcW w:w="945" w:type="dxa"/>
            <w:vAlign w:val="center"/>
          </w:tcPr>
          <w:p w14:paraId="0A384C09">
            <w:pPr>
              <w:spacing w:line="360" w:lineRule="auto"/>
              <w:jc w:val="center"/>
              <w:rPr>
                <w:rFonts w:ascii="宋体" w:hAnsi="宋体" w:eastAsia="宋体" w:cs="Times New Roman"/>
                <w:color w:val="auto"/>
                <w:sz w:val="24"/>
                <w:highlight w:val="none"/>
              </w:rPr>
            </w:pPr>
          </w:p>
        </w:tc>
        <w:tc>
          <w:tcPr>
            <w:tcW w:w="1260" w:type="dxa"/>
            <w:vAlign w:val="center"/>
          </w:tcPr>
          <w:p w14:paraId="2CC9AA9F">
            <w:pPr>
              <w:spacing w:line="360" w:lineRule="auto"/>
              <w:jc w:val="center"/>
              <w:rPr>
                <w:rFonts w:ascii="宋体" w:hAnsi="宋体" w:eastAsia="宋体" w:cs="Times New Roman"/>
                <w:color w:val="auto"/>
                <w:sz w:val="24"/>
                <w:highlight w:val="none"/>
              </w:rPr>
            </w:pPr>
          </w:p>
        </w:tc>
        <w:tc>
          <w:tcPr>
            <w:tcW w:w="945" w:type="dxa"/>
            <w:vAlign w:val="center"/>
          </w:tcPr>
          <w:p w14:paraId="4FA355D3">
            <w:pPr>
              <w:spacing w:line="360" w:lineRule="auto"/>
              <w:jc w:val="center"/>
              <w:rPr>
                <w:rFonts w:ascii="宋体" w:hAnsi="宋体" w:eastAsia="宋体" w:cs="Times New Roman"/>
                <w:color w:val="auto"/>
                <w:sz w:val="24"/>
                <w:highlight w:val="none"/>
              </w:rPr>
            </w:pPr>
          </w:p>
        </w:tc>
        <w:tc>
          <w:tcPr>
            <w:tcW w:w="2145" w:type="dxa"/>
            <w:vAlign w:val="center"/>
          </w:tcPr>
          <w:p w14:paraId="4820651B">
            <w:pPr>
              <w:spacing w:line="360" w:lineRule="auto"/>
              <w:jc w:val="center"/>
              <w:rPr>
                <w:rFonts w:ascii="宋体" w:hAnsi="宋体" w:eastAsia="宋体" w:cs="Times New Roman"/>
                <w:color w:val="auto"/>
                <w:sz w:val="24"/>
                <w:highlight w:val="none"/>
              </w:rPr>
            </w:pPr>
          </w:p>
        </w:tc>
      </w:tr>
      <w:tr w14:paraId="51E9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58F0F3DB">
            <w:pPr>
              <w:spacing w:line="360" w:lineRule="auto"/>
              <w:jc w:val="center"/>
              <w:rPr>
                <w:rFonts w:ascii="宋体" w:hAnsi="宋体" w:eastAsia="宋体" w:cs="Times New Roman"/>
                <w:color w:val="auto"/>
                <w:sz w:val="24"/>
                <w:highlight w:val="none"/>
              </w:rPr>
            </w:pPr>
          </w:p>
        </w:tc>
        <w:tc>
          <w:tcPr>
            <w:tcW w:w="787" w:type="dxa"/>
            <w:vAlign w:val="center"/>
          </w:tcPr>
          <w:p w14:paraId="2EC7FA7E">
            <w:pPr>
              <w:spacing w:line="360" w:lineRule="auto"/>
              <w:jc w:val="center"/>
              <w:rPr>
                <w:rFonts w:ascii="宋体" w:hAnsi="宋体" w:eastAsia="宋体" w:cs="Times New Roman"/>
                <w:color w:val="auto"/>
                <w:sz w:val="24"/>
                <w:highlight w:val="none"/>
              </w:rPr>
            </w:pPr>
          </w:p>
        </w:tc>
        <w:tc>
          <w:tcPr>
            <w:tcW w:w="412" w:type="dxa"/>
            <w:gridSpan w:val="2"/>
            <w:vAlign w:val="center"/>
          </w:tcPr>
          <w:p w14:paraId="48E176C2">
            <w:pPr>
              <w:spacing w:line="360" w:lineRule="auto"/>
              <w:jc w:val="center"/>
              <w:rPr>
                <w:rFonts w:ascii="宋体" w:hAnsi="宋体" w:eastAsia="宋体" w:cs="Times New Roman"/>
                <w:color w:val="auto"/>
                <w:sz w:val="24"/>
                <w:highlight w:val="none"/>
              </w:rPr>
            </w:pPr>
          </w:p>
        </w:tc>
        <w:tc>
          <w:tcPr>
            <w:tcW w:w="586" w:type="dxa"/>
            <w:vAlign w:val="center"/>
          </w:tcPr>
          <w:p w14:paraId="0C95D928">
            <w:pPr>
              <w:spacing w:line="360" w:lineRule="auto"/>
              <w:jc w:val="center"/>
              <w:rPr>
                <w:rFonts w:ascii="宋体" w:hAnsi="宋体" w:eastAsia="宋体" w:cs="Times New Roman"/>
                <w:color w:val="auto"/>
                <w:sz w:val="24"/>
                <w:highlight w:val="none"/>
              </w:rPr>
            </w:pPr>
          </w:p>
        </w:tc>
        <w:tc>
          <w:tcPr>
            <w:tcW w:w="840" w:type="dxa"/>
            <w:vAlign w:val="center"/>
          </w:tcPr>
          <w:p w14:paraId="6BB87D7D">
            <w:pPr>
              <w:spacing w:line="360" w:lineRule="auto"/>
              <w:jc w:val="center"/>
              <w:rPr>
                <w:rFonts w:ascii="宋体" w:hAnsi="宋体" w:eastAsia="宋体" w:cs="Times New Roman"/>
                <w:color w:val="auto"/>
                <w:sz w:val="24"/>
                <w:highlight w:val="none"/>
              </w:rPr>
            </w:pPr>
          </w:p>
        </w:tc>
        <w:tc>
          <w:tcPr>
            <w:tcW w:w="840" w:type="dxa"/>
            <w:vAlign w:val="center"/>
          </w:tcPr>
          <w:p w14:paraId="1FB319D3">
            <w:pPr>
              <w:spacing w:line="360" w:lineRule="auto"/>
              <w:jc w:val="center"/>
              <w:rPr>
                <w:rFonts w:ascii="宋体" w:hAnsi="宋体" w:eastAsia="宋体" w:cs="Times New Roman"/>
                <w:color w:val="auto"/>
                <w:sz w:val="24"/>
                <w:highlight w:val="none"/>
              </w:rPr>
            </w:pPr>
          </w:p>
        </w:tc>
        <w:tc>
          <w:tcPr>
            <w:tcW w:w="945" w:type="dxa"/>
            <w:vAlign w:val="center"/>
          </w:tcPr>
          <w:p w14:paraId="34F27F68">
            <w:pPr>
              <w:spacing w:line="360" w:lineRule="auto"/>
              <w:jc w:val="center"/>
              <w:rPr>
                <w:rFonts w:ascii="宋体" w:hAnsi="宋体" w:eastAsia="宋体" w:cs="Times New Roman"/>
                <w:color w:val="auto"/>
                <w:sz w:val="24"/>
                <w:highlight w:val="none"/>
              </w:rPr>
            </w:pPr>
          </w:p>
        </w:tc>
        <w:tc>
          <w:tcPr>
            <w:tcW w:w="1260" w:type="dxa"/>
            <w:vAlign w:val="center"/>
          </w:tcPr>
          <w:p w14:paraId="560E84C2">
            <w:pPr>
              <w:spacing w:line="360" w:lineRule="auto"/>
              <w:jc w:val="center"/>
              <w:rPr>
                <w:rFonts w:ascii="宋体" w:hAnsi="宋体" w:eastAsia="宋体" w:cs="Times New Roman"/>
                <w:color w:val="auto"/>
                <w:sz w:val="24"/>
                <w:highlight w:val="none"/>
              </w:rPr>
            </w:pPr>
          </w:p>
        </w:tc>
        <w:tc>
          <w:tcPr>
            <w:tcW w:w="945" w:type="dxa"/>
            <w:vAlign w:val="center"/>
          </w:tcPr>
          <w:p w14:paraId="0607E75D">
            <w:pPr>
              <w:spacing w:line="360" w:lineRule="auto"/>
              <w:jc w:val="center"/>
              <w:rPr>
                <w:rFonts w:ascii="宋体" w:hAnsi="宋体" w:eastAsia="宋体" w:cs="Times New Roman"/>
                <w:color w:val="auto"/>
                <w:sz w:val="24"/>
                <w:highlight w:val="none"/>
              </w:rPr>
            </w:pPr>
          </w:p>
        </w:tc>
        <w:tc>
          <w:tcPr>
            <w:tcW w:w="2145" w:type="dxa"/>
            <w:vAlign w:val="center"/>
          </w:tcPr>
          <w:p w14:paraId="784388F0">
            <w:pPr>
              <w:spacing w:line="360" w:lineRule="auto"/>
              <w:jc w:val="center"/>
              <w:rPr>
                <w:rFonts w:ascii="宋体" w:hAnsi="宋体" w:eastAsia="宋体" w:cs="Times New Roman"/>
                <w:color w:val="auto"/>
                <w:sz w:val="24"/>
                <w:highlight w:val="none"/>
              </w:rPr>
            </w:pPr>
          </w:p>
        </w:tc>
      </w:tr>
      <w:tr w14:paraId="1CCE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005C5852">
            <w:pPr>
              <w:spacing w:line="360" w:lineRule="auto"/>
              <w:jc w:val="center"/>
              <w:rPr>
                <w:rFonts w:ascii="宋体" w:hAnsi="宋体" w:eastAsia="宋体" w:cs="Times New Roman"/>
                <w:color w:val="auto"/>
                <w:sz w:val="24"/>
                <w:highlight w:val="none"/>
              </w:rPr>
            </w:pPr>
          </w:p>
        </w:tc>
        <w:tc>
          <w:tcPr>
            <w:tcW w:w="787" w:type="dxa"/>
            <w:vAlign w:val="center"/>
          </w:tcPr>
          <w:p w14:paraId="71B4FC61">
            <w:pPr>
              <w:spacing w:line="360" w:lineRule="auto"/>
              <w:jc w:val="center"/>
              <w:rPr>
                <w:rFonts w:ascii="宋体" w:hAnsi="宋体" w:eastAsia="宋体" w:cs="Times New Roman"/>
                <w:color w:val="auto"/>
                <w:sz w:val="24"/>
                <w:highlight w:val="none"/>
              </w:rPr>
            </w:pPr>
          </w:p>
        </w:tc>
        <w:tc>
          <w:tcPr>
            <w:tcW w:w="412" w:type="dxa"/>
            <w:gridSpan w:val="2"/>
            <w:vAlign w:val="center"/>
          </w:tcPr>
          <w:p w14:paraId="47431717">
            <w:pPr>
              <w:spacing w:line="360" w:lineRule="auto"/>
              <w:jc w:val="center"/>
              <w:rPr>
                <w:rFonts w:ascii="宋体" w:hAnsi="宋体" w:eastAsia="宋体" w:cs="Times New Roman"/>
                <w:color w:val="auto"/>
                <w:sz w:val="24"/>
                <w:highlight w:val="none"/>
              </w:rPr>
            </w:pPr>
          </w:p>
        </w:tc>
        <w:tc>
          <w:tcPr>
            <w:tcW w:w="586" w:type="dxa"/>
            <w:vAlign w:val="center"/>
          </w:tcPr>
          <w:p w14:paraId="73D9AD56">
            <w:pPr>
              <w:spacing w:line="360" w:lineRule="auto"/>
              <w:jc w:val="center"/>
              <w:rPr>
                <w:rFonts w:ascii="宋体" w:hAnsi="宋体" w:eastAsia="宋体" w:cs="Times New Roman"/>
                <w:color w:val="auto"/>
                <w:sz w:val="24"/>
                <w:highlight w:val="none"/>
              </w:rPr>
            </w:pPr>
          </w:p>
        </w:tc>
        <w:tc>
          <w:tcPr>
            <w:tcW w:w="840" w:type="dxa"/>
            <w:vAlign w:val="center"/>
          </w:tcPr>
          <w:p w14:paraId="00DBB03C">
            <w:pPr>
              <w:spacing w:line="360" w:lineRule="auto"/>
              <w:jc w:val="center"/>
              <w:rPr>
                <w:rFonts w:ascii="宋体" w:hAnsi="宋体" w:eastAsia="宋体" w:cs="Times New Roman"/>
                <w:color w:val="auto"/>
                <w:sz w:val="24"/>
                <w:highlight w:val="none"/>
              </w:rPr>
            </w:pPr>
          </w:p>
        </w:tc>
        <w:tc>
          <w:tcPr>
            <w:tcW w:w="840" w:type="dxa"/>
            <w:vAlign w:val="center"/>
          </w:tcPr>
          <w:p w14:paraId="0704A82B">
            <w:pPr>
              <w:spacing w:line="360" w:lineRule="auto"/>
              <w:jc w:val="center"/>
              <w:rPr>
                <w:rFonts w:ascii="宋体" w:hAnsi="宋体" w:eastAsia="宋体" w:cs="Times New Roman"/>
                <w:color w:val="auto"/>
                <w:sz w:val="24"/>
                <w:highlight w:val="none"/>
              </w:rPr>
            </w:pPr>
          </w:p>
        </w:tc>
        <w:tc>
          <w:tcPr>
            <w:tcW w:w="945" w:type="dxa"/>
            <w:vAlign w:val="center"/>
          </w:tcPr>
          <w:p w14:paraId="58B44034">
            <w:pPr>
              <w:spacing w:line="360" w:lineRule="auto"/>
              <w:jc w:val="center"/>
              <w:rPr>
                <w:rFonts w:ascii="宋体" w:hAnsi="宋体" w:eastAsia="宋体" w:cs="Times New Roman"/>
                <w:color w:val="auto"/>
                <w:sz w:val="24"/>
                <w:highlight w:val="none"/>
              </w:rPr>
            </w:pPr>
          </w:p>
        </w:tc>
        <w:tc>
          <w:tcPr>
            <w:tcW w:w="1260" w:type="dxa"/>
            <w:vAlign w:val="center"/>
          </w:tcPr>
          <w:p w14:paraId="160FF448">
            <w:pPr>
              <w:spacing w:line="360" w:lineRule="auto"/>
              <w:jc w:val="center"/>
              <w:rPr>
                <w:rFonts w:ascii="宋体" w:hAnsi="宋体" w:eastAsia="宋体" w:cs="Times New Roman"/>
                <w:color w:val="auto"/>
                <w:sz w:val="24"/>
                <w:highlight w:val="none"/>
              </w:rPr>
            </w:pPr>
          </w:p>
        </w:tc>
        <w:tc>
          <w:tcPr>
            <w:tcW w:w="945" w:type="dxa"/>
            <w:vAlign w:val="center"/>
          </w:tcPr>
          <w:p w14:paraId="7D1B20CE">
            <w:pPr>
              <w:spacing w:line="360" w:lineRule="auto"/>
              <w:jc w:val="center"/>
              <w:rPr>
                <w:rFonts w:ascii="宋体" w:hAnsi="宋体" w:eastAsia="宋体" w:cs="Times New Roman"/>
                <w:color w:val="auto"/>
                <w:sz w:val="24"/>
                <w:highlight w:val="none"/>
              </w:rPr>
            </w:pPr>
          </w:p>
        </w:tc>
        <w:tc>
          <w:tcPr>
            <w:tcW w:w="2145" w:type="dxa"/>
            <w:vAlign w:val="center"/>
          </w:tcPr>
          <w:p w14:paraId="14C676F3">
            <w:pPr>
              <w:spacing w:line="360" w:lineRule="auto"/>
              <w:jc w:val="center"/>
              <w:rPr>
                <w:rFonts w:ascii="宋体" w:hAnsi="宋体" w:eastAsia="宋体" w:cs="Times New Roman"/>
                <w:color w:val="auto"/>
                <w:sz w:val="24"/>
                <w:highlight w:val="none"/>
              </w:rPr>
            </w:pPr>
          </w:p>
        </w:tc>
      </w:tr>
      <w:tr w14:paraId="36AD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263CE168">
            <w:pPr>
              <w:spacing w:line="360" w:lineRule="auto"/>
              <w:jc w:val="center"/>
              <w:rPr>
                <w:rFonts w:ascii="宋体" w:hAnsi="宋体" w:eastAsia="宋体" w:cs="Times New Roman"/>
                <w:color w:val="auto"/>
                <w:sz w:val="24"/>
                <w:highlight w:val="none"/>
              </w:rPr>
            </w:pPr>
          </w:p>
        </w:tc>
        <w:tc>
          <w:tcPr>
            <w:tcW w:w="787" w:type="dxa"/>
            <w:vAlign w:val="center"/>
          </w:tcPr>
          <w:p w14:paraId="08A01ACB">
            <w:pPr>
              <w:spacing w:line="360" w:lineRule="auto"/>
              <w:jc w:val="center"/>
              <w:rPr>
                <w:rFonts w:ascii="宋体" w:hAnsi="宋体" w:eastAsia="宋体" w:cs="Times New Roman"/>
                <w:color w:val="auto"/>
                <w:sz w:val="24"/>
                <w:highlight w:val="none"/>
              </w:rPr>
            </w:pPr>
          </w:p>
        </w:tc>
        <w:tc>
          <w:tcPr>
            <w:tcW w:w="412" w:type="dxa"/>
            <w:gridSpan w:val="2"/>
            <w:vAlign w:val="center"/>
          </w:tcPr>
          <w:p w14:paraId="01308038">
            <w:pPr>
              <w:spacing w:line="360" w:lineRule="auto"/>
              <w:jc w:val="center"/>
              <w:rPr>
                <w:rFonts w:ascii="宋体" w:hAnsi="宋体" w:eastAsia="宋体" w:cs="Times New Roman"/>
                <w:color w:val="auto"/>
                <w:sz w:val="24"/>
                <w:highlight w:val="none"/>
              </w:rPr>
            </w:pPr>
          </w:p>
        </w:tc>
        <w:tc>
          <w:tcPr>
            <w:tcW w:w="586" w:type="dxa"/>
            <w:vAlign w:val="center"/>
          </w:tcPr>
          <w:p w14:paraId="3CB386BD">
            <w:pPr>
              <w:spacing w:line="360" w:lineRule="auto"/>
              <w:jc w:val="center"/>
              <w:rPr>
                <w:rFonts w:ascii="宋体" w:hAnsi="宋体" w:eastAsia="宋体" w:cs="Times New Roman"/>
                <w:color w:val="auto"/>
                <w:sz w:val="24"/>
                <w:highlight w:val="none"/>
              </w:rPr>
            </w:pPr>
          </w:p>
        </w:tc>
        <w:tc>
          <w:tcPr>
            <w:tcW w:w="840" w:type="dxa"/>
            <w:vAlign w:val="center"/>
          </w:tcPr>
          <w:p w14:paraId="4E44C273">
            <w:pPr>
              <w:spacing w:line="360" w:lineRule="auto"/>
              <w:jc w:val="center"/>
              <w:rPr>
                <w:rFonts w:ascii="宋体" w:hAnsi="宋体" w:eastAsia="宋体" w:cs="Times New Roman"/>
                <w:color w:val="auto"/>
                <w:sz w:val="24"/>
                <w:highlight w:val="none"/>
              </w:rPr>
            </w:pPr>
          </w:p>
        </w:tc>
        <w:tc>
          <w:tcPr>
            <w:tcW w:w="840" w:type="dxa"/>
            <w:vAlign w:val="center"/>
          </w:tcPr>
          <w:p w14:paraId="3EE48726">
            <w:pPr>
              <w:spacing w:line="360" w:lineRule="auto"/>
              <w:jc w:val="center"/>
              <w:rPr>
                <w:rFonts w:ascii="宋体" w:hAnsi="宋体" w:eastAsia="宋体" w:cs="Times New Roman"/>
                <w:color w:val="auto"/>
                <w:sz w:val="24"/>
                <w:highlight w:val="none"/>
              </w:rPr>
            </w:pPr>
          </w:p>
        </w:tc>
        <w:tc>
          <w:tcPr>
            <w:tcW w:w="945" w:type="dxa"/>
            <w:vAlign w:val="center"/>
          </w:tcPr>
          <w:p w14:paraId="6021A0AF">
            <w:pPr>
              <w:spacing w:line="360" w:lineRule="auto"/>
              <w:jc w:val="center"/>
              <w:rPr>
                <w:rFonts w:ascii="宋体" w:hAnsi="宋体" w:eastAsia="宋体" w:cs="Times New Roman"/>
                <w:color w:val="auto"/>
                <w:sz w:val="24"/>
                <w:highlight w:val="none"/>
              </w:rPr>
            </w:pPr>
          </w:p>
        </w:tc>
        <w:tc>
          <w:tcPr>
            <w:tcW w:w="1260" w:type="dxa"/>
            <w:vAlign w:val="center"/>
          </w:tcPr>
          <w:p w14:paraId="051E384A">
            <w:pPr>
              <w:spacing w:line="360" w:lineRule="auto"/>
              <w:jc w:val="center"/>
              <w:rPr>
                <w:rFonts w:ascii="宋体" w:hAnsi="宋体" w:eastAsia="宋体" w:cs="Times New Roman"/>
                <w:color w:val="auto"/>
                <w:sz w:val="24"/>
                <w:highlight w:val="none"/>
              </w:rPr>
            </w:pPr>
          </w:p>
        </w:tc>
        <w:tc>
          <w:tcPr>
            <w:tcW w:w="945" w:type="dxa"/>
            <w:vAlign w:val="center"/>
          </w:tcPr>
          <w:p w14:paraId="736212C5">
            <w:pPr>
              <w:spacing w:line="360" w:lineRule="auto"/>
              <w:jc w:val="center"/>
              <w:rPr>
                <w:rFonts w:ascii="宋体" w:hAnsi="宋体" w:eastAsia="宋体" w:cs="Times New Roman"/>
                <w:color w:val="auto"/>
                <w:sz w:val="24"/>
                <w:highlight w:val="none"/>
              </w:rPr>
            </w:pPr>
          </w:p>
        </w:tc>
        <w:tc>
          <w:tcPr>
            <w:tcW w:w="2145" w:type="dxa"/>
            <w:vAlign w:val="center"/>
          </w:tcPr>
          <w:p w14:paraId="14770FFF">
            <w:pPr>
              <w:spacing w:line="360" w:lineRule="auto"/>
              <w:jc w:val="center"/>
              <w:rPr>
                <w:rFonts w:ascii="宋体" w:hAnsi="宋体" w:eastAsia="宋体" w:cs="Times New Roman"/>
                <w:color w:val="auto"/>
                <w:sz w:val="24"/>
                <w:highlight w:val="none"/>
              </w:rPr>
            </w:pPr>
          </w:p>
        </w:tc>
      </w:tr>
      <w:tr w14:paraId="0DEE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35C85CF7">
            <w:pPr>
              <w:spacing w:line="360" w:lineRule="auto"/>
              <w:jc w:val="center"/>
              <w:rPr>
                <w:rFonts w:ascii="宋体" w:hAnsi="宋体" w:eastAsia="宋体" w:cs="Times New Roman"/>
                <w:color w:val="auto"/>
                <w:sz w:val="24"/>
                <w:highlight w:val="none"/>
              </w:rPr>
            </w:pPr>
          </w:p>
        </w:tc>
        <w:tc>
          <w:tcPr>
            <w:tcW w:w="787" w:type="dxa"/>
            <w:vAlign w:val="center"/>
          </w:tcPr>
          <w:p w14:paraId="62A336D6">
            <w:pPr>
              <w:spacing w:line="360" w:lineRule="auto"/>
              <w:jc w:val="center"/>
              <w:rPr>
                <w:rFonts w:ascii="宋体" w:hAnsi="宋体" w:eastAsia="宋体" w:cs="Times New Roman"/>
                <w:color w:val="auto"/>
                <w:sz w:val="24"/>
                <w:highlight w:val="none"/>
              </w:rPr>
            </w:pPr>
          </w:p>
        </w:tc>
        <w:tc>
          <w:tcPr>
            <w:tcW w:w="412" w:type="dxa"/>
            <w:gridSpan w:val="2"/>
            <w:vAlign w:val="center"/>
          </w:tcPr>
          <w:p w14:paraId="2A7B980B">
            <w:pPr>
              <w:spacing w:line="360" w:lineRule="auto"/>
              <w:jc w:val="center"/>
              <w:rPr>
                <w:rFonts w:ascii="宋体" w:hAnsi="宋体" w:eastAsia="宋体" w:cs="Times New Roman"/>
                <w:color w:val="auto"/>
                <w:sz w:val="24"/>
                <w:highlight w:val="none"/>
              </w:rPr>
            </w:pPr>
          </w:p>
        </w:tc>
        <w:tc>
          <w:tcPr>
            <w:tcW w:w="586" w:type="dxa"/>
            <w:vAlign w:val="center"/>
          </w:tcPr>
          <w:p w14:paraId="6284B1D7">
            <w:pPr>
              <w:spacing w:line="360" w:lineRule="auto"/>
              <w:jc w:val="center"/>
              <w:rPr>
                <w:rFonts w:ascii="宋体" w:hAnsi="宋体" w:eastAsia="宋体" w:cs="Times New Roman"/>
                <w:color w:val="auto"/>
                <w:sz w:val="24"/>
                <w:highlight w:val="none"/>
              </w:rPr>
            </w:pPr>
          </w:p>
        </w:tc>
        <w:tc>
          <w:tcPr>
            <w:tcW w:w="840" w:type="dxa"/>
            <w:vAlign w:val="center"/>
          </w:tcPr>
          <w:p w14:paraId="17A768C3">
            <w:pPr>
              <w:spacing w:line="360" w:lineRule="auto"/>
              <w:jc w:val="center"/>
              <w:rPr>
                <w:rFonts w:ascii="宋体" w:hAnsi="宋体" w:eastAsia="宋体" w:cs="Times New Roman"/>
                <w:color w:val="auto"/>
                <w:sz w:val="24"/>
                <w:highlight w:val="none"/>
              </w:rPr>
            </w:pPr>
          </w:p>
        </w:tc>
        <w:tc>
          <w:tcPr>
            <w:tcW w:w="840" w:type="dxa"/>
            <w:vAlign w:val="center"/>
          </w:tcPr>
          <w:p w14:paraId="0C6ACAA6">
            <w:pPr>
              <w:spacing w:line="360" w:lineRule="auto"/>
              <w:jc w:val="center"/>
              <w:rPr>
                <w:rFonts w:ascii="宋体" w:hAnsi="宋体" w:eastAsia="宋体" w:cs="Times New Roman"/>
                <w:color w:val="auto"/>
                <w:sz w:val="24"/>
                <w:highlight w:val="none"/>
              </w:rPr>
            </w:pPr>
          </w:p>
        </w:tc>
        <w:tc>
          <w:tcPr>
            <w:tcW w:w="945" w:type="dxa"/>
            <w:vAlign w:val="center"/>
          </w:tcPr>
          <w:p w14:paraId="77ECF28E">
            <w:pPr>
              <w:spacing w:line="360" w:lineRule="auto"/>
              <w:jc w:val="center"/>
              <w:rPr>
                <w:rFonts w:ascii="宋体" w:hAnsi="宋体" w:eastAsia="宋体" w:cs="Times New Roman"/>
                <w:color w:val="auto"/>
                <w:sz w:val="24"/>
                <w:highlight w:val="none"/>
              </w:rPr>
            </w:pPr>
          </w:p>
        </w:tc>
        <w:tc>
          <w:tcPr>
            <w:tcW w:w="1260" w:type="dxa"/>
            <w:vAlign w:val="center"/>
          </w:tcPr>
          <w:p w14:paraId="582230E3">
            <w:pPr>
              <w:spacing w:line="360" w:lineRule="auto"/>
              <w:jc w:val="center"/>
              <w:rPr>
                <w:rFonts w:ascii="宋体" w:hAnsi="宋体" w:eastAsia="宋体" w:cs="Times New Roman"/>
                <w:color w:val="auto"/>
                <w:sz w:val="24"/>
                <w:highlight w:val="none"/>
              </w:rPr>
            </w:pPr>
          </w:p>
        </w:tc>
        <w:tc>
          <w:tcPr>
            <w:tcW w:w="945" w:type="dxa"/>
            <w:vAlign w:val="center"/>
          </w:tcPr>
          <w:p w14:paraId="32BA65AF">
            <w:pPr>
              <w:spacing w:line="360" w:lineRule="auto"/>
              <w:jc w:val="center"/>
              <w:rPr>
                <w:rFonts w:ascii="宋体" w:hAnsi="宋体" w:eastAsia="宋体" w:cs="Times New Roman"/>
                <w:color w:val="auto"/>
                <w:sz w:val="24"/>
                <w:highlight w:val="none"/>
              </w:rPr>
            </w:pPr>
          </w:p>
        </w:tc>
        <w:tc>
          <w:tcPr>
            <w:tcW w:w="2145" w:type="dxa"/>
            <w:vAlign w:val="center"/>
          </w:tcPr>
          <w:p w14:paraId="33DBAFA9">
            <w:pPr>
              <w:spacing w:line="360" w:lineRule="auto"/>
              <w:jc w:val="center"/>
              <w:rPr>
                <w:rFonts w:ascii="宋体" w:hAnsi="宋体" w:eastAsia="宋体" w:cs="Times New Roman"/>
                <w:color w:val="auto"/>
                <w:sz w:val="24"/>
                <w:highlight w:val="none"/>
              </w:rPr>
            </w:pPr>
          </w:p>
        </w:tc>
      </w:tr>
      <w:tr w14:paraId="6F46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18497264">
            <w:pPr>
              <w:spacing w:line="360" w:lineRule="auto"/>
              <w:jc w:val="center"/>
              <w:rPr>
                <w:rFonts w:ascii="宋体" w:hAnsi="宋体" w:eastAsia="宋体" w:cs="Times New Roman"/>
                <w:color w:val="auto"/>
                <w:sz w:val="24"/>
                <w:highlight w:val="none"/>
              </w:rPr>
            </w:pPr>
          </w:p>
        </w:tc>
        <w:tc>
          <w:tcPr>
            <w:tcW w:w="787" w:type="dxa"/>
            <w:vAlign w:val="center"/>
          </w:tcPr>
          <w:p w14:paraId="54B61981">
            <w:pPr>
              <w:spacing w:line="360" w:lineRule="auto"/>
              <w:jc w:val="center"/>
              <w:rPr>
                <w:rFonts w:ascii="宋体" w:hAnsi="宋体" w:eastAsia="宋体" w:cs="Times New Roman"/>
                <w:color w:val="auto"/>
                <w:sz w:val="24"/>
                <w:highlight w:val="none"/>
              </w:rPr>
            </w:pPr>
          </w:p>
        </w:tc>
        <w:tc>
          <w:tcPr>
            <w:tcW w:w="412" w:type="dxa"/>
            <w:gridSpan w:val="2"/>
            <w:vAlign w:val="center"/>
          </w:tcPr>
          <w:p w14:paraId="68FD4606">
            <w:pPr>
              <w:spacing w:line="360" w:lineRule="auto"/>
              <w:jc w:val="center"/>
              <w:rPr>
                <w:rFonts w:ascii="宋体" w:hAnsi="宋体" w:eastAsia="宋体" w:cs="Times New Roman"/>
                <w:color w:val="auto"/>
                <w:sz w:val="24"/>
                <w:highlight w:val="none"/>
              </w:rPr>
            </w:pPr>
          </w:p>
        </w:tc>
        <w:tc>
          <w:tcPr>
            <w:tcW w:w="586" w:type="dxa"/>
            <w:vAlign w:val="center"/>
          </w:tcPr>
          <w:p w14:paraId="57743E0D">
            <w:pPr>
              <w:spacing w:line="360" w:lineRule="auto"/>
              <w:jc w:val="center"/>
              <w:rPr>
                <w:rFonts w:ascii="宋体" w:hAnsi="宋体" w:eastAsia="宋体" w:cs="Times New Roman"/>
                <w:color w:val="auto"/>
                <w:sz w:val="24"/>
                <w:highlight w:val="none"/>
              </w:rPr>
            </w:pPr>
          </w:p>
        </w:tc>
        <w:tc>
          <w:tcPr>
            <w:tcW w:w="840" w:type="dxa"/>
            <w:vAlign w:val="center"/>
          </w:tcPr>
          <w:p w14:paraId="217D6BD1">
            <w:pPr>
              <w:spacing w:line="360" w:lineRule="auto"/>
              <w:jc w:val="center"/>
              <w:rPr>
                <w:rFonts w:ascii="宋体" w:hAnsi="宋体" w:eastAsia="宋体" w:cs="Times New Roman"/>
                <w:color w:val="auto"/>
                <w:sz w:val="24"/>
                <w:highlight w:val="none"/>
              </w:rPr>
            </w:pPr>
          </w:p>
        </w:tc>
        <w:tc>
          <w:tcPr>
            <w:tcW w:w="840" w:type="dxa"/>
            <w:vAlign w:val="center"/>
          </w:tcPr>
          <w:p w14:paraId="639DE466">
            <w:pPr>
              <w:spacing w:line="360" w:lineRule="auto"/>
              <w:jc w:val="center"/>
              <w:rPr>
                <w:rFonts w:ascii="宋体" w:hAnsi="宋体" w:eastAsia="宋体" w:cs="Times New Roman"/>
                <w:color w:val="auto"/>
                <w:sz w:val="24"/>
                <w:highlight w:val="none"/>
              </w:rPr>
            </w:pPr>
          </w:p>
        </w:tc>
        <w:tc>
          <w:tcPr>
            <w:tcW w:w="945" w:type="dxa"/>
            <w:vAlign w:val="center"/>
          </w:tcPr>
          <w:p w14:paraId="3B501517">
            <w:pPr>
              <w:spacing w:line="360" w:lineRule="auto"/>
              <w:jc w:val="center"/>
              <w:rPr>
                <w:rFonts w:ascii="宋体" w:hAnsi="宋体" w:eastAsia="宋体" w:cs="Times New Roman"/>
                <w:color w:val="auto"/>
                <w:sz w:val="24"/>
                <w:highlight w:val="none"/>
              </w:rPr>
            </w:pPr>
          </w:p>
        </w:tc>
        <w:tc>
          <w:tcPr>
            <w:tcW w:w="1260" w:type="dxa"/>
            <w:vAlign w:val="center"/>
          </w:tcPr>
          <w:p w14:paraId="0A45ECC0">
            <w:pPr>
              <w:spacing w:line="360" w:lineRule="auto"/>
              <w:jc w:val="center"/>
              <w:rPr>
                <w:rFonts w:ascii="宋体" w:hAnsi="宋体" w:eastAsia="宋体" w:cs="Times New Roman"/>
                <w:color w:val="auto"/>
                <w:sz w:val="24"/>
                <w:highlight w:val="none"/>
              </w:rPr>
            </w:pPr>
          </w:p>
        </w:tc>
        <w:tc>
          <w:tcPr>
            <w:tcW w:w="945" w:type="dxa"/>
            <w:vAlign w:val="center"/>
          </w:tcPr>
          <w:p w14:paraId="3798299D">
            <w:pPr>
              <w:spacing w:line="360" w:lineRule="auto"/>
              <w:jc w:val="center"/>
              <w:rPr>
                <w:rFonts w:ascii="宋体" w:hAnsi="宋体" w:eastAsia="宋体" w:cs="Times New Roman"/>
                <w:color w:val="auto"/>
                <w:sz w:val="24"/>
                <w:highlight w:val="none"/>
              </w:rPr>
            </w:pPr>
          </w:p>
        </w:tc>
        <w:tc>
          <w:tcPr>
            <w:tcW w:w="2145" w:type="dxa"/>
            <w:vAlign w:val="center"/>
          </w:tcPr>
          <w:p w14:paraId="638137C9">
            <w:pPr>
              <w:spacing w:line="360" w:lineRule="auto"/>
              <w:jc w:val="center"/>
              <w:rPr>
                <w:rFonts w:ascii="宋体" w:hAnsi="宋体" w:eastAsia="宋体" w:cs="Times New Roman"/>
                <w:color w:val="auto"/>
                <w:sz w:val="24"/>
                <w:highlight w:val="none"/>
              </w:rPr>
            </w:pPr>
          </w:p>
        </w:tc>
      </w:tr>
      <w:tr w14:paraId="31FE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6D55064D">
            <w:pPr>
              <w:spacing w:line="360" w:lineRule="auto"/>
              <w:jc w:val="center"/>
              <w:rPr>
                <w:rFonts w:ascii="宋体" w:hAnsi="宋体" w:eastAsia="宋体" w:cs="Times New Roman"/>
                <w:color w:val="auto"/>
                <w:sz w:val="24"/>
                <w:highlight w:val="none"/>
              </w:rPr>
            </w:pPr>
          </w:p>
        </w:tc>
        <w:tc>
          <w:tcPr>
            <w:tcW w:w="787" w:type="dxa"/>
            <w:vAlign w:val="center"/>
          </w:tcPr>
          <w:p w14:paraId="71DFB2ED">
            <w:pPr>
              <w:spacing w:line="360" w:lineRule="auto"/>
              <w:jc w:val="center"/>
              <w:rPr>
                <w:rFonts w:ascii="宋体" w:hAnsi="宋体" w:eastAsia="宋体" w:cs="Times New Roman"/>
                <w:color w:val="auto"/>
                <w:sz w:val="24"/>
                <w:highlight w:val="none"/>
              </w:rPr>
            </w:pPr>
          </w:p>
        </w:tc>
        <w:tc>
          <w:tcPr>
            <w:tcW w:w="412" w:type="dxa"/>
            <w:gridSpan w:val="2"/>
            <w:vAlign w:val="center"/>
          </w:tcPr>
          <w:p w14:paraId="2DE03126">
            <w:pPr>
              <w:spacing w:line="360" w:lineRule="auto"/>
              <w:jc w:val="center"/>
              <w:rPr>
                <w:rFonts w:ascii="宋体" w:hAnsi="宋体" w:eastAsia="宋体" w:cs="Times New Roman"/>
                <w:color w:val="auto"/>
                <w:sz w:val="24"/>
                <w:highlight w:val="none"/>
              </w:rPr>
            </w:pPr>
          </w:p>
        </w:tc>
        <w:tc>
          <w:tcPr>
            <w:tcW w:w="586" w:type="dxa"/>
            <w:vAlign w:val="center"/>
          </w:tcPr>
          <w:p w14:paraId="0CCA4CCF">
            <w:pPr>
              <w:spacing w:line="360" w:lineRule="auto"/>
              <w:jc w:val="center"/>
              <w:rPr>
                <w:rFonts w:ascii="宋体" w:hAnsi="宋体" w:eastAsia="宋体" w:cs="Times New Roman"/>
                <w:color w:val="auto"/>
                <w:sz w:val="24"/>
                <w:highlight w:val="none"/>
              </w:rPr>
            </w:pPr>
          </w:p>
        </w:tc>
        <w:tc>
          <w:tcPr>
            <w:tcW w:w="840" w:type="dxa"/>
            <w:vAlign w:val="center"/>
          </w:tcPr>
          <w:p w14:paraId="47F1580C">
            <w:pPr>
              <w:spacing w:line="360" w:lineRule="auto"/>
              <w:jc w:val="center"/>
              <w:rPr>
                <w:rFonts w:ascii="宋体" w:hAnsi="宋体" w:eastAsia="宋体" w:cs="Times New Roman"/>
                <w:color w:val="auto"/>
                <w:sz w:val="24"/>
                <w:highlight w:val="none"/>
              </w:rPr>
            </w:pPr>
          </w:p>
        </w:tc>
        <w:tc>
          <w:tcPr>
            <w:tcW w:w="840" w:type="dxa"/>
            <w:vAlign w:val="center"/>
          </w:tcPr>
          <w:p w14:paraId="10CB9CB4">
            <w:pPr>
              <w:spacing w:line="360" w:lineRule="auto"/>
              <w:jc w:val="center"/>
              <w:rPr>
                <w:rFonts w:ascii="宋体" w:hAnsi="宋体" w:eastAsia="宋体" w:cs="Times New Roman"/>
                <w:color w:val="auto"/>
                <w:sz w:val="24"/>
                <w:highlight w:val="none"/>
              </w:rPr>
            </w:pPr>
          </w:p>
        </w:tc>
        <w:tc>
          <w:tcPr>
            <w:tcW w:w="945" w:type="dxa"/>
            <w:vAlign w:val="center"/>
          </w:tcPr>
          <w:p w14:paraId="6E475EC8">
            <w:pPr>
              <w:spacing w:line="360" w:lineRule="auto"/>
              <w:jc w:val="center"/>
              <w:rPr>
                <w:rFonts w:ascii="宋体" w:hAnsi="宋体" w:eastAsia="宋体" w:cs="Times New Roman"/>
                <w:color w:val="auto"/>
                <w:sz w:val="24"/>
                <w:highlight w:val="none"/>
              </w:rPr>
            </w:pPr>
          </w:p>
        </w:tc>
        <w:tc>
          <w:tcPr>
            <w:tcW w:w="1260" w:type="dxa"/>
            <w:vAlign w:val="center"/>
          </w:tcPr>
          <w:p w14:paraId="430C241B">
            <w:pPr>
              <w:spacing w:line="360" w:lineRule="auto"/>
              <w:jc w:val="center"/>
              <w:rPr>
                <w:rFonts w:ascii="宋体" w:hAnsi="宋体" w:eastAsia="宋体" w:cs="Times New Roman"/>
                <w:color w:val="auto"/>
                <w:sz w:val="24"/>
                <w:highlight w:val="none"/>
              </w:rPr>
            </w:pPr>
          </w:p>
        </w:tc>
        <w:tc>
          <w:tcPr>
            <w:tcW w:w="945" w:type="dxa"/>
            <w:vAlign w:val="center"/>
          </w:tcPr>
          <w:p w14:paraId="43D1E69E">
            <w:pPr>
              <w:spacing w:line="360" w:lineRule="auto"/>
              <w:jc w:val="center"/>
              <w:rPr>
                <w:rFonts w:ascii="宋体" w:hAnsi="宋体" w:eastAsia="宋体" w:cs="Times New Roman"/>
                <w:color w:val="auto"/>
                <w:sz w:val="24"/>
                <w:highlight w:val="none"/>
              </w:rPr>
            </w:pPr>
          </w:p>
        </w:tc>
        <w:tc>
          <w:tcPr>
            <w:tcW w:w="2145" w:type="dxa"/>
            <w:vAlign w:val="center"/>
          </w:tcPr>
          <w:p w14:paraId="668907D3">
            <w:pPr>
              <w:spacing w:line="360" w:lineRule="auto"/>
              <w:jc w:val="center"/>
              <w:rPr>
                <w:rFonts w:ascii="宋体" w:hAnsi="宋体" w:eastAsia="宋体" w:cs="Times New Roman"/>
                <w:color w:val="auto"/>
                <w:sz w:val="24"/>
                <w:highlight w:val="none"/>
              </w:rPr>
            </w:pPr>
          </w:p>
        </w:tc>
      </w:tr>
      <w:tr w14:paraId="016F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7A6B3856">
            <w:pPr>
              <w:spacing w:line="360" w:lineRule="auto"/>
              <w:jc w:val="center"/>
              <w:rPr>
                <w:rFonts w:ascii="宋体" w:hAnsi="宋体" w:eastAsia="宋体" w:cs="Times New Roman"/>
                <w:color w:val="auto"/>
                <w:sz w:val="24"/>
                <w:highlight w:val="none"/>
              </w:rPr>
            </w:pPr>
          </w:p>
        </w:tc>
        <w:tc>
          <w:tcPr>
            <w:tcW w:w="787" w:type="dxa"/>
            <w:vAlign w:val="center"/>
          </w:tcPr>
          <w:p w14:paraId="7E5D397E">
            <w:pPr>
              <w:spacing w:line="360" w:lineRule="auto"/>
              <w:jc w:val="center"/>
              <w:rPr>
                <w:rFonts w:ascii="宋体" w:hAnsi="宋体" w:eastAsia="宋体" w:cs="Times New Roman"/>
                <w:color w:val="auto"/>
                <w:sz w:val="24"/>
                <w:highlight w:val="none"/>
              </w:rPr>
            </w:pPr>
          </w:p>
        </w:tc>
        <w:tc>
          <w:tcPr>
            <w:tcW w:w="412" w:type="dxa"/>
            <w:gridSpan w:val="2"/>
            <w:vAlign w:val="center"/>
          </w:tcPr>
          <w:p w14:paraId="59739986">
            <w:pPr>
              <w:spacing w:line="360" w:lineRule="auto"/>
              <w:jc w:val="center"/>
              <w:rPr>
                <w:rFonts w:ascii="宋体" w:hAnsi="宋体" w:eastAsia="宋体" w:cs="Times New Roman"/>
                <w:color w:val="auto"/>
                <w:sz w:val="24"/>
                <w:highlight w:val="none"/>
              </w:rPr>
            </w:pPr>
          </w:p>
        </w:tc>
        <w:tc>
          <w:tcPr>
            <w:tcW w:w="586" w:type="dxa"/>
            <w:vAlign w:val="center"/>
          </w:tcPr>
          <w:p w14:paraId="42D5822C">
            <w:pPr>
              <w:spacing w:line="360" w:lineRule="auto"/>
              <w:jc w:val="center"/>
              <w:rPr>
                <w:rFonts w:ascii="宋体" w:hAnsi="宋体" w:eastAsia="宋体" w:cs="Times New Roman"/>
                <w:color w:val="auto"/>
                <w:sz w:val="24"/>
                <w:highlight w:val="none"/>
              </w:rPr>
            </w:pPr>
          </w:p>
        </w:tc>
        <w:tc>
          <w:tcPr>
            <w:tcW w:w="840" w:type="dxa"/>
            <w:vAlign w:val="center"/>
          </w:tcPr>
          <w:p w14:paraId="13EF9952">
            <w:pPr>
              <w:spacing w:line="360" w:lineRule="auto"/>
              <w:jc w:val="center"/>
              <w:rPr>
                <w:rFonts w:ascii="宋体" w:hAnsi="宋体" w:eastAsia="宋体" w:cs="Times New Roman"/>
                <w:color w:val="auto"/>
                <w:sz w:val="24"/>
                <w:highlight w:val="none"/>
              </w:rPr>
            </w:pPr>
          </w:p>
        </w:tc>
        <w:tc>
          <w:tcPr>
            <w:tcW w:w="840" w:type="dxa"/>
            <w:vAlign w:val="center"/>
          </w:tcPr>
          <w:p w14:paraId="69D98F44">
            <w:pPr>
              <w:spacing w:line="360" w:lineRule="auto"/>
              <w:jc w:val="center"/>
              <w:rPr>
                <w:rFonts w:ascii="宋体" w:hAnsi="宋体" w:eastAsia="宋体" w:cs="Times New Roman"/>
                <w:color w:val="auto"/>
                <w:sz w:val="24"/>
                <w:highlight w:val="none"/>
              </w:rPr>
            </w:pPr>
          </w:p>
        </w:tc>
        <w:tc>
          <w:tcPr>
            <w:tcW w:w="945" w:type="dxa"/>
            <w:vAlign w:val="center"/>
          </w:tcPr>
          <w:p w14:paraId="5A5A118C">
            <w:pPr>
              <w:spacing w:line="360" w:lineRule="auto"/>
              <w:jc w:val="center"/>
              <w:rPr>
                <w:rFonts w:ascii="宋体" w:hAnsi="宋体" w:eastAsia="宋体" w:cs="Times New Roman"/>
                <w:color w:val="auto"/>
                <w:sz w:val="24"/>
                <w:highlight w:val="none"/>
              </w:rPr>
            </w:pPr>
          </w:p>
        </w:tc>
        <w:tc>
          <w:tcPr>
            <w:tcW w:w="1260" w:type="dxa"/>
            <w:vAlign w:val="center"/>
          </w:tcPr>
          <w:p w14:paraId="4C600CA3">
            <w:pPr>
              <w:spacing w:line="360" w:lineRule="auto"/>
              <w:jc w:val="center"/>
              <w:rPr>
                <w:rFonts w:ascii="宋体" w:hAnsi="宋体" w:eastAsia="宋体" w:cs="Times New Roman"/>
                <w:color w:val="auto"/>
                <w:sz w:val="24"/>
                <w:highlight w:val="none"/>
              </w:rPr>
            </w:pPr>
          </w:p>
        </w:tc>
        <w:tc>
          <w:tcPr>
            <w:tcW w:w="945" w:type="dxa"/>
            <w:vAlign w:val="center"/>
          </w:tcPr>
          <w:p w14:paraId="1BD1AED2">
            <w:pPr>
              <w:spacing w:line="360" w:lineRule="auto"/>
              <w:jc w:val="center"/>
              <w:rPr>
                <w:rFonts w:ascii="宋体" w:hAnsi="宋体" w:eastAsia="宋体" w:cs="Times New Roman"/>
                <w:color w:val="auto"/>
                <w:sz w:val="24"/>
                <w:highlight w:val="none"/>
              </w:rPr>
            </w:pPr>
          </w:p>
        </w:tc>
        <w:tc>
          <w:tcPr>
            <w:tcW w:w="2145" w:type="dxa"/>
            <w:vAlign w:val="center"/>
          </w:tcPr>
          <w:p w14:paraId="562C6D74">
            <w:pPr>
              <w:spacing w:line="360" w:lineRule="auto"/>
              <w:jc w:val="center"/>
              <w:rPr>
                <w:rFonts w:ascii="宋体" w:hAnsi="宋体" w:eastAsia="宋体" w:cs="Times New Roman"/>
                <w:color w:val="auto"/>
                <w:sz w:val="24"/>
                <w:highlight w:val="none"/>
              </w:rPr>
            </w:pPr>
          </w:p>
        </w:tc>
      </w:tr>
      <w:tr w14:paraId="5A69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6" w:type="dxa"/>
            <w:gridSpan w:val="3"/>
            <w:vMerge w:val="restart"/>
            <w:vAlign w:val="center"/>
          </w:tcPr>
          <w:p w14:paraId="3AFF8AB5">
            <w:pPr>
              <w:spacing w:line="360" w:lineRule="auto"/>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合计人数</w:t>
            </w:r>
          </w:p>
        </w:tc>
        <w:tc>
          <w:tcPr>
            <w:tcW w:w="7904" w:type="dxa"/>
            <w:gridSpan w:val="8"/>
            <w:vAlign w:val="center"/>
          </w:tcPr>
          <w:p w14:paraId="7879240F">
            <w:pPr>
              <w:spacing w:line="360" w:lineRule="auto"/>
              <w:jc w:val="center"/>
              <w:rPr>
                <w:rFonts w:ascii="宋体" w:hAnsi="宋体" w:eastAsia="宋体" w:cs="Times New Roman"/>
                <w:color w:val="auto"/>
                <w:sz w:val="24"/>
                <w:highlight w:val="none"/>
              </w:rPr>
            </w:pPr>
          </w:p>
        </w:tc>
      </w:tr>
      <w:tr w14:paraId="19E8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6" w:type="dxa"/>
            <w:gridSpan w:val="3"/>
            <w:vMerge w:val="continue"/>
            <w:vAlign w:val="center"/>
          </w:tcPr>
          <w:p w14:paraId="137EF914">
            <w:pPr>
              <w:spacing w:line="360" w:lineRule="auto"/>
              <w:jc w:val="center"/>
              <w:rPr>
                <w:rFonts w:ascii="宋体" w:hAnsi="宋体" w:eastAsia="宋体" w:cs="Times New Roman"/>
                <w:color w:val="auto"/>
                <w:sz w:val="24"/>
                <w:highlight w:val="none"/>
              </w:rPr>
            </w:pPr>
          </w:p>
        </w:tc>
        <w:tc>
          <w:tcPr>
            <w:tcW w:w="7904" w:type="dxa"/>
            <w:gridSpan w:val="8"/>
            <w:vAlign w:val="center"/>
          </w:tcPr>
          <w:p w14:paraId="092635C2">
            <w:pPr>
              <w:spacing w:line="360" w:lineRule="auto"/>
              <w:jc w:val="center"/>
              <w:rPr>
                <w:rFonts w:ascii="宋体" w:hAnsi="宋体" w:eastAsia="宋体" w:cs="Times New Roman"/>
                <w:color w:val="auto"/>
                <w:sz w:val="24"/>
                <w:highlight w:val="none"/>
              </w:rPr>
            </w:pPr>
          </w:p>
        </w:tc>
      </w:tr>
    </w:tbl>
    <w:p w14:paraId="1A52609C">
      <w:pPr>
        <w:snapToGrid w:val="0"/>
        <w:spacing w:line="360" w:lineRule="auto"/>
        <w:rPr>
          <w:rFonts w:ascii="宋体" w:hAnsi="宋体"/>
          <w:color w:val="auto"/>
          <w:sz w:val="24"/>
          <w:szCs w:val="20"/>
          <w:highlight w:val="none"/>
        </w:rPr>
      </w:pPr>
      <w:r>
        <w:rPr>
          <w:rFonts w:hint="eastAsia" w:ascii="宋体" w:hAnsi="宋体"/>
          <w:color w:val="auto"/>
          <w:sz w:val="24"/>
          <w:highlight w:val="none"/>
        </w:rPr>
        <w:t>注：在填写时，如本表格不适合投标单位的实际情况，可根据本表格式自行划表填写。</w:t>
      </w:r>
    </w:p>
    <w:p w14:paraId="6551083A">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70B584D1">
      <w:pPr>
        <w:snapToGrid w:val="0"/>
        <w:spacing w:line="360" w:lineRule="auto"/>
        <w:jc w:val="left"/>
        <w:rPr>
          <w:rFonts w:ascii="宋体" w:hAnsi="宋体"/>
          <w:color w:val="auto"/>
          <w:spacing w:val="20"/>
          <w:sz w:val="24"/>
          <w:szCs w:val="20"/>
          <w:highlight w:val="none"/>
          <w:u w:val="single"/>
        </w:rPr>
      </w:pPr>
      <w:r>
        <w:rPr>
          <w:rFonts w:hint="eastAsia" w:ascii="宋体" w:hAnsi="宋体"/>
          <w:color w:val="auto"/>
          <w:spacing w:val="20"/>
          <w:sz w:val="24"/>
          <w:highlight w:val="none"/>
        </w:rPr>
        <w:t>投标人盖章：日期：</w:t>
      </w:r>
    </w:p>
    <w:p w14:paraId="7EB52767">
      <w:pPr>
        <w:snapToGrid w:val="0"/>
        <w:spacing w:line="360" w:lineRule="auto"/>
        <w:jc w:val="left"/>
        <w:rPr>
          <w:rFonts w:ascii="宋体" w:hAnsi="宋体"/>
          <w:color w:val="auto"/>
          <w:sz w:val="24"/>
          <w:szCs w:val="20"/>
          <w:highlight w:val="none"/>
        </w:rPr>
      </w:pPr>
    </w:p>
    <w:p w14:paraId="06B5A6C3">
      <w:pPr>
        <w:snapToGrid w:val="0"/>
        <w:spacing w:line="360" w:lineRule="auto"/>
        <w:jc w:val="left"/>
        <w:rPr>
          <w:rFonts w:ascii="宋体" w:hAnsi="宋体"/>
          <w:color w:val="auto"/>
          <w:sz w:val="24"/>
          <w:highlight w:val="none"/>
        </w:rPr>
      </w:pPr>
      <w:r>
        <w:rPr>
          <w:rFonts w:hint="eastAsia" w:ascii="宋体" w:hAnsi="宋体"/>
          <w:color w:val="auto"/>
          <w:sz w:val="24"/>
          <w:highlight w:val="none"/>
        </w:rPr>
        <w:t>19. 拟投入本项目的车辆及设备配备（格式自拟）</w:t>
      </w:r>
    </w:p>
    <w:p w14:paraId="01CB4290">
      <w:pPr>
        <w:snapToGrid w:val="0"/>
        <w:spacing w:line="360" w:lineRule="auto"/>
        <w:jc w:val="left"/>
        <w:rPr>
          <w:rFonts w:ascii="宋体" w:hAnsi="宋体"/>
          <w:color w:val="auto"/>
          <w:sz w:val="24"/>
          <w:highlight w:val="none"/>
        </w:rPr>
      </w:pPr>
    </w:p>
    <w:p w14:paraId="6DC538DF">
      <w:pPr>
        <w:snapToGrid w:val="0"/>
        <w:spacing w:line="360" w:lineRule="auto"/>
        <w:jc w:val="left"/>
        <w:rPr>
          <w:rFonts w:ascii="宋体" w:hAnsi="宋体"/>
          <w:color w:val="auto"/>
          <w:sz w:val="24"/>
          <w:highlight w:val="none"/>
        </w:rPr>
      </w:pPr>
    </w:p>
    <w:p w14:paraId="4223A372">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20.管理制度措施（格式自拟）</w:t>
      </w:r>
    </w:p>
    <w:p w14:paraId="6C42347D">
      <w:pPr>
        <w:snapToGrid w:val="0"/>
        <w:spacing w:line="360" w:lineRule="auto"/>
        <w:jc w:val="left"/>
        <w:rPr>
          <w:rFonts w:ascii="宋体" w:hAnsi="宋体"/>
          <w:color w:val="auto"/>
          <w:sz w:val="24"/>
          <w:szCs w:val="20"/>
          <w:highlight w:val="none"/>
        </w:rPr>
      </w:pPr>
    </w:p>
    <w:p w14:paraId="42E484B7">
      <w:pPr>
        <w:snapToGrid w:val="0"/>
        <w:spacing w:line="360" w:lineRule="auto"/>
        <w:jc w:val="left"/>
        <w:rPr>
          <w:rFonts w:ascii="宋体" w:hAnsi="宋体"/>
          <w:color w:val="auto"/>
          <w:sz w:val="24"/>
          <w:szCs w:val="20"/>
          <w:highlight w:val="none"/>
        </w:rPr>
      </w:pPr>
    </w:p>
    <w:p w14:paraId="53C42A22">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21.投标人需要说明的其他文件和说明（格式自拟）</w:t>
      </w:r>
    </w:p>
    <w:p w14:paraId="27914966">
      <w:pPr>
        <w:snapToGrid w:val="0"/>
        <w:spacing w:line="360" w:lineRule="auto"/>
        <w:jc w:val="left"/>
        <w:rPr>
          <w:rFonts w:ascii="宋体" w:hAnsi="宋体"/>
          <w:color w:val="auto"/>
          <w:highlight w:val="none"/>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0BB988E0">
      <w:pPr>
        <w:snapToGrid w:val="0"/>
        <w:spacing w:line="360" w:lineRule="auto"/>
        <w:jc w:val="left"/>
        <w:rPr>
          <w:rFonts w:ascii="宋体" w:hAnsi="宋体"/>
          <w:color w:val="auto"/>
          <w:sz w:val="24"/>
          <w:highlight w:val="none"/>
        </w:rPr>
      </w:pPr>
      <w:r>
        <w:rPr>
          <w:rFonts w:hint="eastAsia" w:ascii="宋体" w:hAnsi="宋体"/>
          <w:color w:val="auto"/>
          <w:sz w:val="24"/>
          <w:highlight w:val="none"/>
        </w:rPr>
        <w:t>22.投标人的类似成功案例的业绩证明文件：</w:t>
      </w:r>
    </w:p>
    <w:p w14:paraId="67C4C367">
      <w:pPr>
        <w:pStyle w:val="34"/>
        <w:snapToGrid w:val="0"/>
        <w:spacing w:line="360" w:lineRule="auto"/>
        <w:ind w:left="480" w:hanging="480"/>
        <w:rPr>
          <w:rFonts w:ascii="宋体" w:hAnsi="宋体"/>
          <w:color w:val="auto"/>
          <w:sz w:val="24"/>
          <w:highlight w:val="none"/>
        </w:rPr>
      </w:pPr>
      <w:r>
        <w:rPr>
          <w:rFonts w:ascii="宋体" w:hAnsi="宋体"/>
          <w:color w:val="auto"/>
          <w:sz w:val="24"/>
          <w:highlight w:val="none"/>
        </w:rPr>
        <w:t>投标人同类项目实施情况一览表格式：（投标人同类项目合同复印件）</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063AC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28931F2">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44DB720">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47738E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w:t>
            </w:r>
          </w:p>
          <w:p w14:paraId="3CCE73BF">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73B35F6">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1591F476">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p w14:paraId="1B5C216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金额</w:t>
            </w:r>
          </w:p>
          <w:p w14:paraId="3879E0F4">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36B7D27F">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513348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采购单位联系人及</w:t>
            </w:r>
          </w:p>
          <w:p w14:paraId="0CD298C1">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联系电话</w:t>
            </w:r>
          </w:p>
        </w:tc>
      </w:tr>
      <w:tr w14:paraId="2ED89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8F21E9A">
            <w:pPr>
              <w:widowControl/>
              <w:spacing w:line="360" w:lineRule="auto"/>
              <w:jc w:val="left"/>
              <w:rPr>
                <w:rFonts w:ascii="宋体" w:hAnsi="宋体"/>
                <w:color w:val="auto"/>
                <w:sz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B8CB3DE">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FDD0EC8">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E8D0544">
            <w:pPr>
              <w:widowControl/>
              <w:spacing w:line="360" w:lineRule="auto"/>
              <w:jc w:val="left"/>
              <w:rPr>
                <w:rFonts w:ascii="宋体" w:hAnsi="宋体"/>
                <w:color w:val="auto"/>
                <w:sz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30FF038">
            <w:pPr>
              <w:widowControl/>
              <w:spacing w:line="360" w:lineRule="auto"/>
              <w:jc w:val="left"/>
              <w:rPr>
                <w:rFonts w:ascii="宋体" w:hAnsi="宋体"/>
                <w:color w:val="auto"/>
                <w:sz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57F9179">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9FCB5D6">
            <w:pPr>
              <w:widowControl/>
              <w:spacing w:line="360" w:lineRule="auto"/>
              <w:jc w:val="left"/>
              <w:rPr>
                <w:rFonts w:ascii="宋体" w:hAnsi="宋体"/>
                <w:color w:val="auto"/>
                <w:sz w:val="18"/>
                <w:highlight w:val="none"/>
              </w:rPr>
            </w:pPr>
          </w:p>
        </w:tc>
      </w:tr>
      <w:tr w14:paraId="403BC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45E689E4">
            <w:pPr>
              <w:snapToGrid w:val="0"/>
              <w:spacing w:line="360" w:lineRule="auto"/>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3844D4C2">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3A2E3A7">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B045AF4">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512221F3">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57D42EB">
            <w:pPr>
              <w:snapToGrid w:val="0"/>
              <w:spacing w:line="360" w:lineRule="auto"/>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517CEA77">
            <w:pPr>
              <w:snapToGrid w:val="0"/>
              <w:spacing w:line="360" w:lineRule="auto"/>
              <w:jc w:val="left"/>
              <w:rPr>
                <w:rFonts w:ascii="宋体" w:hAnsi="宋体"/>
                <w:color w:val="auto"/>
                <w:sz w:val="18"/>
                <w:szCs w:val="20"/>
                <w:highlight w:val="none"/>
              </w:rPr>
            </w:pPr>
          </w:p>
        </w:tc>
      </w:tr>
      <w:tr w14:paraId="6A75B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4F60760D">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429DBB0C">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81D8B89">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07EC7E1">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AC6FD05">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EE59371">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08561BD0">
            <w:pPr>
              <w:snapToGrid w:val="0"/>
              <w:spacing w:line="360" w:lineRule="auto"/>
              <w:jc w:val="left"/>
              <w:rPr>
                <w:rFonts w:ascii="宋体" w:hAnsi="宋体"/>
                <w:color w:val="auto"/>
                <w:sz w:val="24"/>
                <w:szCs w:val="20"/>
                <w:highlight w:val="none"/>
              </w:rPr>
            </w:pPr>
          </w:p>
        </w:tc>
      </w:tr>
      <w:tr w14:paraId="26EDA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4040A031">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0A4E54B7">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A14ACF2">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63BB029">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AE1CC44">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3662F76">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023784C8">
            <w:pPr>
              <w:snapToGrid w:val="0"/>
              <w:spacing w:line="360" w:lineRule="auto"/>
              <w:jc w:val="left"/>
              <w:rPr>
                <w:rFonts w:ascii="宋体" w:hAnsi="宋体"/>
                <w:color w:val="auto"/>
                <w:sz w:val="24"/>
                <w:szCs w:val="20"/>
                <w:highlight w:val="none"/>
              </w:rPr>
            </w:pPr>
          </w:p>
        </w:tc>
      </w:tr>
      <w:tr w14:paraId="4A67D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0652DC73">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33DFE718">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FB149DA">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F6B0AA2">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883CBE9">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3326211">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7EE8F765">
            <w:pPr>
              <w:snapToGrid w:val="0"/>
              <w:spacing w:line="360" w:lineRule="auto"/>
              <w:jc w:val="left"/>
              <w:rPr>
                <w:rFonts w:ascii="宋体" w:hAnsi="宋体"/>
                <w:color w:val="auto"/>
                <w:sz w:val="24"/>
                <w:szCs w:val="20"/>
                <w:highlight w:val="none"/>
              </w:rPr>
            </w:pPr>
          </w:p>
        </w:tc>
      </w:tr>
      <w:tr w14:paraId="02AAF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0D22F2AB">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10C4343C">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214986B">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B282AAB">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EF9CE3E">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069FE8F">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5D578C37">
            <w:pPr>
              <w:snapToGrid w:val="0"/>
              <w:spacing w:line="360" w:lineRule="auto"/>
              <w:jc w:val="left"/>
              <w:rPr>
                <w:rFonts w:ascii="宋体" w:hAnsi="宋体"/>
                <w:color w:val="auto"/>
                <w:sz w:val="24"/>
                <w:szCs w:val="20"/>
                <w:highlight w:val="none"/>
              </w:rPr>
            </w:pPr>
          </w:p>
        </w:tc>
      </w:tr>
    </w:tbl>
    <w:p w14:paraId="733052C5">
      <w:pPr>
        <w:pStyle w:val="14"/>
        <w:snapToGrid w:val="0"/>
        <w:spacing w:before="0" w:after="0" w:line="360" w:lineRule="auto"/>
        <w:rPr>
          <w:rFonts w:ascii="宋体" w:hAnsi="宋体" w:eastAsia="宋体"/>
          <w:color w:val="auto"/>
          <w:sz w:val="24"/>
          <w:highlight w:val="none"/>
        </w:rPr>
      </w:pPr>
    </w:p>
    <w:p w14:paraId="1FE43C4B">
      <w:pPr>
        <w:pStyle w:val="14"/>
        <w:snapToGrid w:val="0"/>
        <w:spacing w:before="0" w:after="0" w:line="360" w:lineRule="auto"/>
        <w:rPr>
          <w:rFonts w:ascii="宋体" w:hAnsi="宋体" w:eastAsiaTheme="minorEastAsia" w:cstheme="minorBidi"/>
          <w:color w:val="auto"/>
          <w:sz w:val="24"/>
          <w:szCs w:val="22"/>
          <w:highlight w:val="none"/>
        </w:rPr>
      </w:pPr>
      <w:r>
        <w:rPr>
          <w:rFonts w:hint="eastAsia" w:ascii="宋体" w:hAnsi="宋体" w:eastAsiaTheme="minorEastAsia" w:cstheme="minorBidi"/>
          <w:color w:val="auto"/>
          <w:sz w:val="24"/>
          <w:szCs w:val="22"/>
          <w:highlight w:val="none"/>
        </w:rPr>
        <w:t>法定代表人签名：　　　　　</w:t>
      </w:r>
    </w:p>
    <w:p w14:paraId="11E9C2D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投标人公章：年月日</w:t>
      </w:r>
    </w:p>
    <w:p w14:paraId="4FE58C46">
      <w:pPr>
        <w:snapToGrid w:val="0"/>
        <w:spacing w:line="360" w:lineRule="auto"/>
        <w:ind w:firstLine="480" w:firstLineChars="200"/>
        <w:jc w:val="left"/>
        <w:rPr>
          <w:rFonts w:ascii="仿宋_GB2312" w:eastAsia="仿宋_GB2312"/>
          <w:color w:val="auto"/>
          <w:sz w:val="24"/>
          <w:highlight w:val="none"/>
        </w:rPr>
      </w:pPr>
    </w:p>
    <w:p w14:paraId="34433A2A">
      <w:pPr>
        <w:snapToGrid w:val="0"/>
        <w:spacing w:line="360" w:lineRule="auto"/>
        <w:jc w:val="left"/>
        <w:rPr>
          <w:rFonts w:ascii="宋体" w:hAnsi="宋体"/>
          <w:color w:val="auto"/>
          <w:sz w:val="24"/>
          <w:highlight w:val="none"/>
        </w:rPr>
        <w:sectPr>
          <w:pgSz w:w="16838" w:h="11906" w:orient="landscape"/>
          <w:pgMar w:top="1797" w:right="1474" w:bottom="1797" w:left="1247" w:header="851" w:footer="851" w:gutter="0"/>
          <w:cols w:space="720" w:num="1"/>
          <w:docGrid w:linePitch="312" w:charSpace="0"/>
        </w:sectPr>
      </w:pPr>
    </w:p>
    <w:p w14:paraId="121B23D8">
      <w:pPr>
        <w:snapToGrid w:val="0"/>
        <w:spacing w:line="360" w:lineRule="auto"/>
        <w:jc w:val="left"/>
        <w:rPr>
          <w:rFonts w:ascii="宋体" w:hAnsi="宋体"/>
          <w:color w:val="auto"/>
          <w:sz w:val="24"/>
          <w:highlight w:val="none"/>
        </w:rPr>
      </w:pPr>
      <w:r>
        <w:rPr>
          <w:rFonts w:hint="eastAsia" w:ascii="宋体" w:hAnsi="宋体"/>
          <w:color w:val="auto"/>
          <w:sz w:val="24"/>
          <w:highlight w:val="none"/>
        </w:rPr>
        <w:t>23.投标人质量管理和质量保证体系等方面的认证证书复印件</w:t>
      </w:r>
    </w:p>
    <w:p w14:paraId="363ACCFE">
      <w:pPr>
        <w:snapToGrid w:val="0"/>
        <w:spacing w:line="360" w:lineRule="auto"/>
        <w:jc w:val="left"/>
        <w:rPr>
          <w:rFonts w:ascii="宋体" w:hAnsi="宋体"/>
          <w:color w:val="auto"/>
          <w:sz w:val="24"/>
          <w:highlight w:val="none"/>
        </w:rPr>
      </w:pPr>
    </w:p>
    <w:p w14:paraId="08D6F69B">
      <w:pPr>
        <w:snapToGrid w:val="0"/>
        <w:spacing w:line="360" w:lineRule="auto"/>
        <w:jc w:val="left"/>
        <w:rPr>
          <w:rFonts w:ascii="宋体" w:hAnsi="宋体"/>
          <w:color w:val="auto"/>
          <w:sz w:val="24"/>
          <w:highlight w:val="none"/>
        </w:rPr>
      </w:pPr>
    </w:p>
    <w:p w14:paraId="39BF52FA">
      <w:pPr>
        <w:snapToGrid w:val="0"/>
        <w:spacing w:line="360" w:lineRule="auto"/>
        <w:jc w:val="left"/>
        <w:rPr>
          <w:rFonts w:ascii="宋体" w:hAnsi="宋体"/>
          <w:color w:val="auto"/>
          <w:sz w:val="24"/>
          <w:highlight w:val="none"/>
        </w:rPr>
      </w:pPr>
    </w:p>
    <w:p w14:paraId="7BDF2346">
      <w:pPr>
        <w:snapToGrid w:val="0"/>
        <w:spacing w:line="360" w:lineRule="auto"/>
        <w:jc w:val="left"/>
        <w:rPr>
          <w:rFonts w:ascii="宋体" w:hAnsi="宋体" w:eastAsia="宋体" w:cs="仿宋"/>
          <w:color w:val="auto"/>
          <w:sz w:val="24"/>
          <w:highlight w:val="none"/>
        </w:rPr>
      </w:pPr>
      <w:r>
        <w:rPr>
          <w:rFonts w:hint="eastAsia" w:ascii="宋体" w:hAnsi="宋体"/>
          <w:color w:val="auto"/>
          <w:sz w:val="24"/>
          <w:highlight w:val="none"/>
        </w:rPr>
        <w:t>24.</w:t>
      </w:r>
      <w:r>
        <w:rPr>
          <w:rFonts w:hint="eastAsia" w:ascii="宋体" w:hAnsi="宋体" w:eastAsia="宋体" w:cs="仿宋"/>
          <w:color w:val="auto"/>
          <w:sz w:val="24"/>
          <w:highlight w:val="none"/>
        </w:rPr>
        <w:t xml:space="preserve"> 企业荣誉证书复印件</w:t>
      </w:r>
    </w:p>
    <w:p w14:paraId="3A592832">
      <w:pPr>
        <w:snapToGrid w:val="0"/>
        <w:spacing w:line="360" w:lineRule="auto"/>
        <w:jc w:val="left"/>
        <w:rPr>
          <w:rFonts w:ascii="宋体" w:hAnsi="宋体" w:eastAsia="宋体" w:cs="仿宋"/>
          <w:color w:val="auto"/>
          <w:sz w:val="24"/>
          <w:highlight w:val="none"/>
        </w:rPr>
      </w:pPr>
    </w:p>
    <w:p w14:paraId="0967D212">
      <w:pPr>
        <w:snapToGrid w:val="0"/>
        <w:spacing w:line="360" w:lineRule="auto"/>
        <w:jc w:val="left"/>
        <w:rPr>
          <w:rFonts w:ascii="宋体" w:hAnsi="宋体"/>
          <w:color w:val="auto"/>
          <w:sz w:val="24"/>
          <w:highlight w:val="none"/>
        </w:rPr>
      </w:pPr>
    </w:p>
    <w:p w14:paraId="6EF2B016">
      <w:pPr>
        <w:rPr>
          <w:color w:val="auto"/>
          <w:highlight w:val="none"/>
        </w:rPr>
      </w:pPr>
    </w:p>
    <w:p w14:paraId="6F5A3AFE">
      <w:pPr>
        <w:snapToGrid w:val="0"/>
        <w:spacing w:line="360" w:lineRule="auto"/>
        <w:jc w:val="left"/>
        <w:rPr>
          <w:rFonts w:ascii="宋体" w:hAnsi="宋体"/>
          <w:color w:val="auto"/>
          <w:sz w:val="24"/>
          <w:highlight w:val="none"/>
        </w:rPr>
      </w:pPr>
      <w:r>
        <w:rPr>
          <w:rFonts w:hint="eastAsia" w:ascii="宋体" w:hAnsi="宋体"/>
          <w:color w:val="auto"/>
          <w:sz w:val="24"/>
          <w:highlight w:val="none"/>
        </w:rPr>
        <w:t>25.投标人认为可以证明其能力或业绩的其他材料（格式自拟）</w:t>
      </w:r>
    </w:p>
    <w:p w14:paraId="73961DFA">
      <w:pPr>
        <w:snapToGrid w:val="0"/>
        <w:spacing w:line="360" w:lineRule="auto"/>
        <w:jc w:val="left"/>
        <w:rPr>
          <w:rFonts w:ascii="宋体" w:hAnsi="宋体"/>
          <w:color w:val="auto"/>
          <w:sz w:val="24"/>
          <w:highlight w:val="none"/>
        </w:rPr>
      </w:pPr>
    </w:p>
    <w:p w14:paraId="6108FBD3">
      <w:pPr>
        <w:snapToGrid w:val="0"/>
        <w:spacing w:line="360" w:lineRule="auto"/>
        <w:jc w:val="left"/>
        <w:rPr>
          <w:rFonts w:ascii="宋体" w:hAnsi="宋体"/>
          <w:color w:val="auto"/>
          <w:sz w:val="24"/>
          <w:highlight w:val="none"/>
        </w:rPr>
      </w:pPr>
    </w:p>
    <w:p w14:paraId="30B1BF2C">
      <w:pPr>
        <w:snapToGrid w:val="0"/>
        <w:spacing w:line="360" w:lineRule="auto"/>
        <w:jc w:val="left"/>
        <w:rPr>
          <w:rFonts w:ascii="宋体" w:hAnsi="宋体"/>
          <w:color w:val="auto"/>
          <w:sz w:val="24"/>
          <w:highlight w:val="none"/>
        </w:rPr>
      </w:pPr>
    </w:p>
    <w:p w14:paraId="2DFFB59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26.商务响应表格式：</w:t>
      </w:r>
    </w:p>
    <w:p w14:paraId="45E5CA41">
      <w:pPr>
        <w:snapToGrid w:val="0"/>
        <w:spacing w:line="360" w:lineRule="auto"/>
        <w:jc w:val="left"/>
        <w:rPr>
          <w:rFonts w:ascii="宋体" w:hAnsi="宋体"/>
          <w:color w:val="auto"/>
          <w:sz w:val="24"/>
          <w:szCs w:val="20"/>
          <w:highlight w:val="none"/>
          <w:u w:val="single"/>
        </w:rPr>
      </w:pPr>
      <w:r>
        <w:rPr>
          <w:rFonts w:hint="eastAsia" w:ascii="宋体" w:hAnsi="宋体"/>
          <w:color w:val="auto"/>
          <w:sz w:val="24"/>
          <w:highlight w:val="none"/>
        </w:rPr>
        <w:t>项目名称：</w:t>
      </w:r>
    </w:p>
    <w:tbl>
      <w:tblPr>
        <w:tblStyle w:val="47"/>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6237"/>
        <w:gridCol w:w="851"/>
        <w:gridCol w:w="1417"/>
      </w:tblGrid>
      <w:tr w14:paraId="3F8C4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84" w:type="dxa"/>
            <w:tcBorders>
              <w:top w:val="single" w:color="auto" w:sz="4" w:space="0"/>
              <w:left w:val="single" w:color="auto" w:sz="4" w:space="0"/>
              <w:bottom w:val="single" w:color="auto" w:sz="4" w:space="0"/>
              <w:right w:val="single" w:color="auto" w:sz="4" w:space="0"/>
            </w:tcBorders>
          </w:tcPr>
          <w:p w14:paraId="1B8CF123">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w:t>
            </w:r>
          </w:p>
        </w:tc>
        <w:tc>
          <w:tcPr>
            <w:tcW w:w="6237" w:type="dxa"/>
            <w:tcBorders>
              <w:top w:val="single" w:color="auto" w:sz="4" w:space="0"/>
              <w:left w:val="single" w:color="auto" w:sz="4" w:space="0"/>
              <w:bottom w:val="single" w:color="auto" w:sz="4" w:space="0"/>
              <w:right w:val="single" w:color="auto" w:sz="4" w:space="0"/>
            </w:tcBorders>
          </w:tcPr>
          <w:p w14:paraId="090B972C">
            <w:pPr>
              <w:snapToGrid w:val="0"/>
              <w:spacing w:line="360" w:lineRule="auto"/>
              <w:rPr>
                <w:rFonts w:ascii="宋体" w:hAnsi="宋体"/>
                <w:color w:val="auto"/>
                <w:sz w:val="24"/>
                <w:szCs w:val="20"/>
                <w:highlight w:val="none"/>
              </w:rPr>
            </w:pPr>
            <w:r>
              <w:rPr>
                <w:rFonts w:hint="eastAsia" w:ascii="宋体" w:hAnsi="宋体"/>
                <w:color w:val="auto"/>
                <w:sz w:val="24"/>
                <w:highlight w:val="none"/>
              </w:rPr>
              <w:t>招标文件要求</w:t>
            </w:r>
          </w:p>
        </w:tc>
        <w:tc>
          <w:tcPr>
            <w:tcW w:w="851" w:type="dxa"/>
            <w:tcBorders>
              <w:top w:val="single" w:color="auto" w:sz="4" w:space="0"/>
              <w:left w:val="single" w:color="auto" w:sz="4" w:space="0"/>
              <w:bottom w:val="single" w:color="auto" w:sz="4" w:space="0"/>
              <w:right w:val="single" w:color="auto" w:sz="4" w:space="0"/>
            </w:tcBorders>
          </w:tcPr>
          <w:p w14:paraId="1CB32317">
            <w:pPr>
              <w:snapToGrid w:val="0"/>
              <w:spacing w:line="360" w:lineRule="auto"/>
              <w:rPr>
                <w:rFonts w:ascii="宋体" w:hAnsi="宋体"/>
                <w:color w:val="auto"/>
                <w:sz w:val="24"/>
                <w:szCs w:val="20"/>
                <w:highlight w:val="none"/>
              </w:rPr>
            </w:pPr>
            <w:r>
              <w:rPr>
                <w:rFonts w:hint="eastAsia" w:ascii="宋体" w:hAnsi="宋体"/>
                <w:color w:val="auto"/>
                <w:sz w:val="24"/>
                <w:highlight w:val="none"/>
              </w:rPr>
              <w:t>是否响应</w:t>
            </w:r>
          </w:p>
        </w:tc>
        <w:tc>
          <w:tcPr>
            <w:tcW w:w="1417" w:type="dxa"/>
            <w:tcBorders>
              <w:top w:val="single" w:color="auto" w:sz="4" w:space="0"/>
              <w:left w:val="single" w:color="auto" w:sz="4" w:space="0"/>
              <w:bottom w:val="single" w:color="auto" w:sz="4" w:space="0"/>
              <w:right w:val="single" w:color="auto" w:sz="4" w:space="0"/>
            </w:tcBorders>
          </w:tcPr>
          <w:p w14:paraId="1F55F45C">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投标人的承诺或说明</w:t>
            </w:r>
          </w:p>
        </w:tc>
      </w:tr>
      <w:tr w14:paraId="7031D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84" w:type="dxa"/>
            <w:tcBorders>
              <w:top w:val="single" w:color="auto" w:sz="4" w:space="0"/>
              <w:left w:val="single" w:color="auto" w:sz="4" w:space="0"/>
              <w:bottom w:val="single" w:color="auto" w:sz="4" w:space="0"/>
              <w:right w:val="single" w:color="auto" w:sz="4" w:space="0"/>
            </w:tcBorders>
          </w:tcPr>
          <w:p w14:paraId="029112C9">
            <w:pPr>
              <w:snapToGrid w:val="0"/>
              <w:spacing w:line="360" w:lineRule="auto"/>
              <w:rPr>
                <w:rFonts w:ascii="宋体" w:hAnsi="宋体"/>
                <w:color w:val="auto"/>
                <w:sz w:val="24"/>
                <w:highlight w:val="none"/>
              </w:rPr>
            </w:pPr>
            <w:r>
              <w:rPr>
                <w:rFonts w:hint="eastAsia" w:ascii="宋体" w:hAnsi="宋体"/>
                <w:color w:val="auto"/>
                <w:sz w:val="24"/>
                <w:highlight w:val="none"/>
              </w:rPr>
              <w:t>服务期</w:t>
            </w:r>
          </w:p>
        </w:tc>
        <w:tc>
          <w:tcPr>
            <w:tcW w:w="6237" w:type="dxa"/>
            <w:tcBorders>
              <w:top w:val="single" w:color="auto" w:sz="4" w:space="0"/>
              <w:left w:val="single" w:color="auto" w:sz="4" w:space="0"/>
              <w:bottom w:val="single" w:color="auto" w:sz="4" w:space="0"/>
              <w:right w:val="single" w:color="auto" w:sz="4" w:space="0"/>
            </w:tcBorders>
          </w:tcPr>
          <w:p w14:paraId="128A536F">
            <w:pPr>
              <w:snapToGrid w:val="0"/>
              <w:spacing w:line="360" w:lineRule="auto"/>
              <w:rPr>
                <w:rFonts w:ascii="宋体" w:hAnsi="宋体"/>
                <w:color w:val="auto"/>
                <w:sz w:val="24"/>
                <w:highlight w:val="none"/>
              </w:rPr>
            </w:pPr>
            <w:r>
              <w:rPr>
                <w:rFonts w:hint="eastAsia" w:ascii="宋体" w:hAnsi="宋体"/>
                <w:color w:val="auto"/>
                <w:sz w:val="24"/>
                <w:highlight w:val="none"/>
              </w:rPr>
              <w:t>▲服务期3年</w:t>
            </w:r>
          </w:p>
        </w:tc>
        <w:tc>
          <w:tcPr>
            <w:tcW w:w="851" w:type="dxa"/>
            <w:tcBorders>
              <w:top w:val="single" w:color="auto" w:sz="4" w:space="0"/>
              <w:left w:val="single" w:color="auto" w:sz="4" w:space="0"/>
              <w:bottom w:val="single" w:color="auto" w:sz="4" w:space="0"/>
              <w:right w:val="single" w:color="auto" w:sz="4" w:space="0"/>
            </w:tcBorders>
          </w:tcPr>
          <w:p w14:paraId="5FAF7575">
            <w:pPr>
              <w:snapToGrid w:val="0"/>
              <w:spacing w:line="360" w:lineRule="auto"/>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6939F9D2">
            <w:pPr>
              <w:snapToGrid w:val="0"/>
              <w:spacing w:line="360" w:lineRule="auto"/>
              <w:rPr>
                <w:rFonts w:ascii="宋体" w:hAnsi="宋体"/>
                <w:color w:val="auto"/>
                <w:sz w:val="24"/>
                <w:szCs w:val="20"/>
                <w:highlight w:val="none"/>
              </w:rPr>
            </w:pPr>
          </w:p>
        </w:tc>
      </w:tr>
      <w:tr w14:paraId="77873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84" w:type="dxa"/>
            <w:tcBorders>
              <w:top w:val="single" w:color="auto" w:sz="4" w:space="0"/>
              <w:left w:val="single" w:color="auto" w:sz="4" w:space="0"/>
              <w:bottom w:val="single" w:color="auto" w:sz="4" w:space="0"/>
              <w:right w:val="single" w:color="auto" w:sz="4" w:space="0"/>
            </w:tcBorders>
          </w:tcPr>
          <w:p w14:paraId="424C1C2B">
            <w:pPr>
              <w:snapToGrid w:val="0"/>
              <w:spacing w:line="360" w:lineRule="auto"/>
              <w:rPr>
                <w:rFonts w:ascii="宋体" w:hAnsi="宋体"/>
                <w:color w:val="auto"/>
                <w:sz w:val="24"/>
                <w:highlight w:val="none"/>
              </w:rPr>
            </w:pPr>
            <w:r>
              <w:rPr>
                <w:rFonts w:hint="eastAsia" w:ascii="宋体" w:hAnsi="宋体"/>
                <w:color w:val="auto"/>
                <w:sz w:val="24"/>
                <w:highlight w:val="none"/>
              </w:rPr>
              <w:t>服务地点</w:t>
            </w:r>
          </w:p>
        </w:tc>
        <w:tc>
          <w:tcPr>
            <w:tcW w:w="6237" w:type="dxa"/>
            <w:tcBorders>
              <w:top w:val="single" w:color="auto" w:sz="4" w:space="0"/>
              <w:left w:val="single" w:color="auto" w:sz="4" w:space="0"/>
              <w:bottom w:val="single" w:color="auto" w:sz="4" w:space="0"/>
              <w:right w:val="single" w:color="auto" w:sz="4" w:space="0"/>
            </w:tcBorders>
          </w:tcPr>
          <w:p w14:paraId="7CE16938">
            <w:pPr>
              <w:spacing w:line="360" w:lineRule="auto"/>
              <w:rPr>
                <w:rFonts w:ascii="宋体" w:hAnsi="宋体"/>
                <w:color w:val="auto"/>
                <w:sz w:val="24"/>
                <w:highlight w:val="none"/>
              </w:rPr>
            </w:pPr>
            <w:r>
              <w:rPr>
                <w:rFonts w:hint="eastAsia" w:ascii="宋体" w:hAnsi="宋体"/>
                <w:color w:val="auto"/>
                <w:sz w:val="24"/>
                <w:highlight w:val="none"/>
              </w:rPr>
              <w:t xml:space="preserve">▲采购人指定地点。 </w:t>
            </w:r>
          </w:p>
        </w:tc>
        <w:tc>
          <w:tcPr>
            <w:tcW w:w="851" w:type="dxa"/>
            <w:tcBorders>
              <w:top w:val="single" w:color="auto" w:sz="4" w:space="0"/>
              <w:left w:val="single" w:color="auto" w:sz="4" w:space="0"/>
              <w:bottom w:val="single" w:color="auto" w:sz="4" w:space="0"/>
              <w:right w:val="single" w:color="auto" w:sz="4" w:space="0"/>
            </w:tcBorders>
          </w:tcPr>
          <w:p w14:paraId="6E8E941C">
            <w:pPr>
              <w:snapToGrid w:val="0"/>
              <w:spacing w:line="360" w:lineRule="auto"/>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6ED4DF4B">
            <w:pPr>
              <w:snapToGrid w:val="0"/>
              <w:spacing w:line="360" w:lineRule="auto"/>
              <w:rPr>
                <w:rFonts w:ascii="宋体" w:hAnsi="宋体"/>
                <w:color w:val="auto"/>
                <w:sz w:val="24"/>
                <w:szCs w:val="20"/>
                <w:highlight w:val="none"/>
              </w:rPr>
            </w:pPr>
          </w:p>
        </w:tc>
      </w:tr>
      <w:tr w14:paraId="44095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vAlign w:val="center"/>
          </w:tcPr>
          <w:p w14:paraId="19DA57DF">
            <w:pPr>
              <w:snapToGrid w:val="0"/>
              <w:spacing w:line="360" w:lineRule="auto"/>
              <w:rPr>
                <w:rFonts w:ascii="宋体" w:hAnsi="宋体"/>
                <w:color w:val="auto"/>
                <w:sz w:val="24"/>
                <w:highlight w:val="none"/>
              </w:rPr>
            </w:pPr>
            <w:r>
              <w:rPr>
                <w:rFonts w:hint="eastAsia" w:ascii="宋体" w:hAnsi="宋体"/>
                <w:color w:val="auto"/>
                <w:sz w:val="24"/>
                <w:highlight w:val="none"/>
              </w:rPr>
              <w:t>履约保证金</w:t>
            </w:r>
          </w:p>
        </w:tc>
        <w:tc>
          <w:tcPr>
            <w:tcW w:w="6237" w:type="dxa"/>
            <w:tcBorders>
              <w:top w:val="single" w:color="auto" w:sz="4" w:space="0"/>
              <w:left w:val="single" w:color="auto" w:sz="4" w:space="0"/>
              <w:bottom w:val="single" w:color="auto" w:sz="4" w:space="0"/>
              <w:right w:val="single" w:color="auto" w:sz="4" w:space="0"/>
            </w:tcBorders>
            <w:vAlign w:val="center"/>
          </w:tcPr>
          <w:p w14:paraId="6869D6DB">
            <w:pPr>
              <w:spacing w:line="360" w:lineRule="auto"/>
              <w:rPr>
                <w:b/>
                <w:color w:val="auto"/>
                <w:sz w:val="24"/>
                <w:szCs w:val="24"/>
                <w:highlight w:val="none"/>
              </w:rPr>
            </w:pPr>
            <w:r>
              <w:rPr>
                <w:rFonts w:hint="eastAsia" w:ascii="宋体" w:hAnsi="宋体"/>
                <w:color w:val="auto"/>
                <w:sz w:val="24"/>
                <w:highlight w:val="none"/>
              </w:rPr>
              <w:t>本项目的履约保证金</w:t>
            </w:r>
            <w:r>
              <w:rPr>
                <w:rFonts w:hint="eastAsia" w:ascii="宋体" w:hAnsi="宋体" w:cs="宋体"/>
                <w:bCs/>
                <w:color w:val="auto"/>
                <w:sz w:val="24"/>
                <w:highlight w:val="none"/>
              </w:rPr>
              <w:t>按合同金额的1%计收</w:t>
            </w:r>
            <w:r>
              <w:rPr>
                <w:rFonts w:hint="eastAsia" w:ascii="宋体" w:hAnsi="宋体"/>
                <w:color w:val="auto"/>
                <w:sz w:val="24"/>
                <w:highlight w:val="none"/>
              </w:rPr>
              <w:t>；履约保证金形式为：银行转账或银行、保险公司出具的保函。在承包期满后30天内退还（不计息）。如承包期内，在承包期内如因中标人原因造成采购人财产损失的，采购人有权在履约保证金中扣除。</w:t>
            </w:r>
          </w:p>
        </w:tc>
        <w:tc>
          <w:tcPr>
            <w:tcW w:w="851" w:type="dxa"/>
            <w:tcBorders>
              <w:top w:val="single" w:color="auto" w:sz="4" w:space="0"/>
              <w:left w:val="single" w:color="auto" w:sz="4" w:space="0"/>
              <w:bottom w:val="single" w:color="auto" w:sz="4" w:space="0"/>
              <w:right w:val="single" w:color="auto" w:sz="4" w:space="0"/>
            </w:tcBorders>
          </w:tcPr>
          <w:p w14:paraId="3F648F63">
            <w:pPr>
              <w:snapToGrid w:val="0"/>
              <w:spacing w:line="360" w:lineRule="auto"/>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0FDD9E29">
            <w:pPr>
              <w:snapToGrid w:val="0"/>
              <w:spacing w:line="360" w:lineRule="auto"/>
              <w:rPr>
                <w:rFonts w:ascii="宋体" w:hAnsi="宋体"/>
                <w:color w:val="auto"/>
                <w:sz w:val="24"/>
                <w:szCs w:val="20"/>
                <w:highlight w:val="none"/>
              </w:rPr>
            </w:pPr>
          </w:p>
        </w:tc>
      </w:tr>
      <w:tr w14:paraId="4E1F9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14:paraId="34AFD165">
            <w:pPr>
              <w:autoSpaceDN w:val="0"/>
              <w:spacing w:line="384"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付款方式</w:t>
            </w:r>
          </w:p>
        </w:tc>
        <w:tc>
          <w:tcPr>
            <w:tcW w:w="6237" w:type="dxa"/>
            <w:tcBorders>
              <w:top w:val="single" w:color="auto" w:sz="4" w:space="0"/>
              <w:left w:val="single" w:color="auto" w:sz="4" w:space="0"/>
              <w:bottom w:val="single" w:color="auto" w:sz="4" w:space="0"/>
              <w:right w:val="single" w:color="auto" w:sz="4" w:space="0"/>
            </w:tcBorders>
          </w:tcPr>
          <w:p w14:paraId="5800ED0D">
            <w:pPr>
              <w:spacing w:line="360" w:lineRule="auto"/>
              <w:rPr>
                <w:b/>
                <w:color w:val="auto"/>
                <w:sz w:val="24"/>
                <w:szCs w:val="24"/>
                <w:highlight w:val="none"/>
              </w:rPr>
            </w:pPr>
            <w:r>
              <w:rPr>
                <w:rFonts w:hint="eastAsia" w:ascii="宋体" w:hAnsi="宋体" w:cs="宋体"/>
                <w:color w:val="auto"/>
                <w:sz w:val="24"/>
                <w:highlight w:val="none"/>
                <w:shd w:val="clear" w:color="auto" w:fill="FFFFFF"/>
              </w:rPr>
              <w:t>▲</w:t>
            </w:r>
            <w:r>
              <w:rPr>
                <w:rFonts w:hint="eastAsia"/>
                <w:b/>
                <w:color w:val="auto"/>
                <w:sz w:val="24"/>
                <w:szCs w:val="24"/>
                <w:highlight w:val="none"/>
              </w:rPr>
              <w:t>（1）合同生效以及具备实施条件后7个工作日内支付年合同价款的20%作为预付款；</w:t>
            </w:r>
          </w:p>
          <w:p w14:paraId="3692F200">
            <w:pPr>
              <w:spacing w:line="360" w:lineRule="auto"/>
              <w:rPr>
                <w:b/>
                <w:color w:val="auto"/>
                <w:sz w:val="24"/>
                <w:szCs w:val="24"/>
                <w:highlight w:val="none"/>
              </w:rPr>
            </w:pPr>
            <w:r>
              <w:rPr>
                <w:rFonts w:hint="eastAsia"/>
                <w:b/>
                <w:color w:val="auto"/>
                <w:sz w:val="24"/>
                <w:szCs w:val="24"/>
                <w:highlight w:val="none"/>
              </w:rPr>
              <w:t>（2）合同价款分两部分支付：绿化养护费用招标人根据考核情况按季度支付，每次支付按实际完成工程量的80% （扣除每月对应考核考评结果相应罚款）支付，余款按年度待核准后结清；绿化补植（含草花）费用每年完成竣工验收后支付实际完成工程量的50%，余款待核准后一次性付清。</w:t>
            </w:r>
          </w:p>
          <w:p w14:paraId="3E5AC184">
            <w:pPr>
              <w:spacing w:line="360" w:lineRule="auto"/>
              <w:rPr>
                <w:b/>
                <w:color w:val="auto"/>
                <w:sz w:val="24"/>
                <w:szCs w:val="24"/>
                <w:highlight w:val="none"/>
              </w:rPr>
            </w:pPr>
            <w:r>
              <w:rPr>
                <w:rFonts w:hint="eastAsia"/>
                <w:b/>
                <w:color w:val="auto"/>
                <w:sz w:val="24"/>
                <w:szCs w:val="24"/>
                <w:highlight w:val="none"/>
              </w:rPr>
              <w:t>（3）采购人在向供应商支付预付款之前，有权要求供应商向采购人提供与预付款金额相对应的担保措施，担保措施可以是银行、保险公司等金融机构出具的预付款保函或其他担保措施。</w:t>
            </w:r>
          </w:p>
          <w:p w14:paraId="3ABEC4C9">
            <w:pPr>
              <w:spacing w:line="360" w:lineRule="auto"/>
              <w:rPr>
                <w:b/>
                <w:color w:val="auto"/>
                <w:sz w:val="24"/>
                <w:szCs w:val="24"/>
                <w:highlight w:val="none"/>
              </w:rPr>
            </w:pPr>
            <w:r>
              <w:rPr>
                <w:rFonts w:hint="eastAsia"/>
                <w:b/>
                <w:color w:val="auto"/>
                <w:sz w:val="24"/>
                <w:szCs w:val="24"/>
                <w:highlight w:val="none"/>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tc>
        <w:tc>
          <w:tcPr>
            <w:tcW w:w="851" w:type="dxa"/>
            <w:tcBorders>
              <w:top w:val="single" w:color="auto" w:sz="4" w:space="0"/>
              <w:left w:val="single" w:color="auto" w:sz="4" w:space="0"/>
              <w:bottom w:val="single" w:color="auto" w:sz="4" w:space="0"/>
              <w:right w:val="single" w:color="auto" w:sz="4" w:space="0"/>
            </w:tcBorders>
          </w:tcPr>
          <w:p w14:paraId="43903912">
            <w:pPr>
              <w:snapToGrid w:val="0"/>
              <w:spacing w:line="360" w:lineRule="auto"/>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0EEA5084">
            <w:pPr>
              <w:snapToGrid w:val="0"/>
              <w:spacing w:line="360" w:lineRule="auto"/>
              <w:rPr>
                <w:rFonts w:ascii="宋体" w:hAnsi="宋体"/>
                <w:color w:val="auto"/>
                <w:sz w:val="24"/>
                <w:szCs w:val="20"/>
                <w:highlight w:val="none"/>
              </w:rPr>
            </w:pPr>
          </w:p>
        </w:tc>
      </w:tr>
      <w:tr w14:paraId="5796D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14:paraId="2DF50CF3">
            <w:pPr>
              <w:snapToGrid w:val="0"/>
              <w:spacing w:line="360" w:lineRule="auto"/>
              <w:rPr>
                <w:rFonts w:ascii="宋体" w:hAnsi="宋体"/>
                <w:b/>
                <w:color w:val="auto"/>
                <w:sz w:val="24"/>
                <w:highlight w:val="none"/>
              </w:rPr>
            </w:pPr>
            <w:r>
              <w:rPr>
                <w:rFonts w:hint="eastAsia"/>
                <w:b/>
                <w:color w:val="auto"/>
                <w:sz w:val="24"/>
                <w:szCs w:val="24"/>
                <w:highlight w:val="none"/>
              </w:rPr>
              <w:t>承包方式</w:t>
            </w:r>
          </w:p>
        </w:tc>
        <w:tc>
          <w:tcPr>
            <w:tcW w:w="6237" w:type="dxa"/>
            <w:tcBorders>
              <w:top w:val="single" w:color="auto" w:sz="4" w:space="0"/>
              <w:left w:val="single" w:color="auto" w:sz="4" w:space="0"/>
              <w:bottom w:val="single" w:color="auto" w:sz="4" w:space="0"/>
              <w:right w:val="single" w:color="auto" w:sz="4" w:space="0"/>
            </w:tcBorders>
          </w:tcPr>
          <w:p w14:paraId="2CFE9374">
            <w:pPr>
              <w:spacing w:line="360" w:lineRule="auto"/>
              <w:rPr>
                <w:b/>
                <w:color w:val="auto"/>
                <w:sz w:val="24"/>
                <w:szCs w:val="24"/>
                <w:highlight w:val="none"/>
              </w:rPr>
            </w:pPr>
            <w:r>
              <w:rPr>
                <w:rFonts w:hint="eastAsia"/>
                <w:b/>
                <w:color w:val="auto"/>
                <w:sz w:val="24"/>
                <w:szCs w:val="24"/>
                <w:highlight w:val="none"/>
              </w:rPr>
              <w:t>包工包料、包机械</w:t>
            </w:r>
          </w:p>
        </w:tc>
        <w:tc>
          <w:tcPr>
            <w:tcW w:w="851" w:type="dxa"/>
            <w:tcBorders>
              <w:top w:val="single" w:color="auto" w:sz="4" w:space="0"/>
              <w:left w:val="single" w:color="auto" w:sz="4" w:space="0"/>
              <w:bottom w:val="single" w:color="auto" w:sz="4" w:space="0"/>
              <w:right w:val="single" w:color="auto" w:sz="4" w:space="0"/>
            </w:tcBorders>
          </w:tcPr>
          <w:p w14:paraId="3D6BA66D">
            <w:pPr>
              <w:snapToGrid w:val="0"/>
              <w:spacing w:line="360" w:lineRule="auto"/>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65DC82E8">
            <w:pPr>
              <w:snapToGrid w:val="0"/>
              <w:spacing w:line="360" w:lineRule="auto"/>
              <w:rPr>
                <w:rFonts w:ascii="宋体" w:hAnsi="宋体"/>
                <w:color w:val="auto"/>
                <w:sz w:val="24"/>
                <w:szCs w:val="20"/>
                <w:highlight w:val="none"/>
              </w:rPr>
            </w:pPr>
          </w:p>
        </w:tc>
      </w:tr>
      <w:tr w14:paraId="48611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14:paraId="5132EBD4">
            <w:pPr>
              <w:snapToGrid w:val="0"/>
              <w:spacing w:line="360" w:lineRule="auto"/>
              <w:rPr>
                <w:rFonts w:ascii="宋体" w:hAnsi="宋体"/>
                <w:b/>
                <w:color w:val="auto"/>
                <w:sz w:val="24"/>
                <w:highlight w:val="none"/>
              </w:rPr>
            </w:pPr>
            <w:r>
              <w:rPr>
                <w:rFonts w:hint="eastAsia" w:ascii="宋体" w:hAnsi="宋体"/>
                <w:b/>
                <w:color w:val="auto"/>
                <w:sz w:val="24"/>
                <w:highlight w:val="none"/>
              </w:rPr>
              <w:t>其他要求</w:t>
            </w:r>
          </w:p>
        </w:tc>
        <w:tc>
          <w:tcPr>
            <w:tcW w:w="6237" w:type="dxa"/>
            <w:tcBorders>
              <w:top w:val="single" w:color="auto" w:sz="4" w:space="0"/>
              <w:left w:val="single" w:color="auto" w:sz="4" w:space="0"/>
              <w:bottom w:val="single" w:color="auto" w:sz="4" w:space="0"/>
              <w:right w:val="single" w:color="auto" w:sz="4" w:space="0"/>
            </w:tcBorders>
          </w:tcPr>
          <w:p w14:paraId="298E0D97">
            <w:pPr>
              <w:snapToGrid w:val="0"/>
              <w:spacing w:line="360" w:lineRule="auto"/>
              <w:rPr>
                <w:rFonts w:ascii="宋体" w:hAnsi="宋体"/>
                <w:b/>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49AC3112">
            <w:pPr>
              <w:snapToGrid w:val="0"/>
              <w:spacing w:line="360" w:lineRule="auto"/>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6DE369DC">
            <w:pPr>
              <w:snapToGrid w:val="0"/>
              <w:spacing w:line="360" w:lineRule="auto"/>
              <w:rPr>
                <w:rFonts w:ascii="宋体" w:hAnsi="宋体"/>
                <w:color w:val="auto"/>
                <w:sz w:val="24"/>
                <w:szCs w:val="20"/>
                <w:highlight w:val="none"/>
              </w:rPr>
            </w:pPr>
          </w:p>
        </w:tc>
      </w:tr>
    </w:tbl>
    <w:p w14:paraId="4F345721">
      <w:pPr>
        <w:snapToGrid w:val="0"/>
        <w:spacing w:line="360" w:lineRule="auto"/>
        <w:jc w:val="left"/>
        <w:rPr>
          <w:rFonts w:ascii="宋体" w:hAnsi="宋体"/>
          <w:bCs/>
          <w:color w:val="auto"/>
          <w:sz w:val="24"/>
          <w:highlight w:val="none"/>
        </w:rPr>
      </w:pPr>
    </w:p>
    <w:p w14:paraId="25FF6ED9">
      <w:pPr>
        <w:snapToGrid w:val="0"/>
        <w:spacing w:line="360" w:lineRule="auto"/>
        <w:jc w:val="left"/>
        <w:rPr>
          <w:rFonts w:ascii="宋体" w:hAnsi="宋体"/>
          <w:bCs/>
          <w:color w:val="auto"/>
          <w:sz w:val="24"/>
          <w:highlight w:val="none"/>
        </w:rPr>
      </w:pPr>
    </w:p>
    <w:p w14:paraId="534C36D9">
      <w:pPr>
        <w:snapToGrid w:val="0"/>
        <w:spacing w:line="360" w:lineRule="auto"/>
        <w:jc w:val="left"/>
        <w:rPr>
          <w:rFonts w:ascii="宋体" w:hAnsi="宋体"/>
          <w:bCs/>
          <w:color w:val="auto"/>
          <w:sz w:val="24"/>
          <w:highlight w:val="none"/>
        </w:rPr>
      </w:pPr>
    </w:p>
    <w:p w14:paraId="2DE10FA1">
      <w:pPr>
        <w:snapToGrid w:val="0"/>
        <w:spacing w:line="360" w:lineRule="auto"/>
        <w:jc w:val="left"/>
        <w:rPr>
          <w:rFonts w:ascii="宋体" w:hAnsi="宋体"/>
          <w:bCs/>
          <w:color w:val="auto"/>
          <w:sz w:val="24"/>
          <w:highlight w:val="none"/>
        </w:rPr>
      </w:pPr>
    </w:p>
    <w:p w14:paraId="2E216370">
      <w:pPr>
        <w:snapToGrid w:val="0"/>
        <w:spacing w:line="360" w:lineRule="auto"/>
        <w:jc w:val="left"/>
        <w:rPr>
          <w:rFonts w:ascii="宋体" w:hAnsi="宋体"/>
          <w:bCs/>
          <w:color w:val="auto"/>
          <w:sz w:val="24"/>
          <w:highlight w:val="none"/>
        </w:rPr>
      </w:pPr>
    </w:p>
    <w:p w14:paraId="51F09242">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27.</w:t>
      </w:r>
      <w:r>
        <w:rPr>
          <w:rFonts w:hint="eastAsia" w:ascii="宋体" w:hAnsi="宋体"/>
          <w:color w:val="auto"/>
          <w:sz w:val="24"/>
          <w:highlight w:val="none"/>
        </w:rPr>
        <w:t>服务承诺（格式自拟）</w:t>
      </w:r>
    </w:p>
    <w:p w14:paraId="1527CE43">
      <w:pPr>
        <w:snapToGrid w:val="0"/>
        <w:spacing w:line="360" w:lineRule="auto"/>
        <w:jc w:val="left"/>
        <w:rPr>
          <w:rFonts w:ascii="宋体" w:hAnsi="宋体"/>
          <w:color w:val="auto"/>
          <w:sz w:val="24"/>
          <w:highlight w:val="none"/>
        </w:rPr>
      </w:pPr>
    </w:p>
    <w:p w14:paraId="3320A37A">
      <w:pPr>
        <w:snapToGrid w:val="0"/>
        <w:spacing w:line="360" w:lineRule="auto"/>
        <w:jc w:val="left"/>
        <w:rPr>
          <w:rFonts w:ascii="宋体" w:hAnsi="宋体"/>
          <w:color w:val="auto"/>
          <w:sz w:val="24"/>
          <w:highlight w:val="none"/>
        </w:rPr>
      </w:pPr>
    </w:p>
    <w:p w14:paraId="062C4F93">
      <w:pPr>
        <w:snapToGrid w:val="0"/>
        <w:spacing w:line="360" w:lineRule="auto"/>
        <w:jc w:val="left"/>
        <w:rPr>
          <w:rFonts w:ascii="宋体" w:hAnsi="宋体"/>
          <w:color w:val="auto"/>
          <w:sz w:val="24"/>
          <w:highlight w:val="none"/>
        </w:rPr>
      </w:pPr>
    </w:p>
    <w:p w14:paraId="6CF55C1E">
      <w:pPr>
        <w:snapToGrid w:val="0"/>
        <w:spacing w:line="360" w:lineRule="auto"/>
        <w:jc w:val="left"/>
        <w:rPr>
          <w:rFonts w:ascii="宋体" w:hAnsi="宋体"/>
          <w:color w:val="auto"/>
          <w:sz w:val="24"/>
          <w:highlight w:val="none"/>
        </w:rPr>
      </w:pPr>
    </w:p>
    <w:p w14:paraId="1BDBE110">
      <w:pPr>
        <w:snapToGrid w:val="0"/>
        <w:spacing w:line="360" w:lineRule="auto"/>
        <w:jc w:val="left"/>
        <w:rPr>
          <w:rFonts w:ascii="宋体" w:hAnsi="宋体"/>
          <w:i/>
          <w:color w:val="auto"/>
          <w:sz w:val="24"/>
          <w:highlight w:val="none"/>
        </w:rPr>
      </w:pPr>
      <w:r>
        <w:rPr>
          <w:rFonts w:hint="eastAsia" w:ascii="宋体" w:hAnsi="宋体"/>
          <w:color w:val="auto"/>
          <w:sz w:val="24"/>
          <w:highlight w:val="none"/>
        </w:rPr>
        <w:t>28.距采购人最近或者能为本项目提供最优服务的网点情况表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2F618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5D55E785">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439FC8CF">
            <w:pPr>
              <w:snapToGrid w:val="0"/>
              <w:spacing w:line="360" w:lineRule="auto"/>
              <w:jc w:val="left"/>
              <w:rPr>
                <w:rFonts w:ascii="宋体" w:hAnsi="宋体"/>
                <w:color w:val="auto"/>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tcPr>
          <w:p w14:paraId="63E791D3">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投标文件</w:t>
            </w:r>
          </w:p>
          <w:p w14:paraId="45D249AF">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页码</w:t>
            </w:r>
          </w:p>
        </w:tc>
      </w:tr>
      <w:tr w14:paraId="67056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B5DCBFE">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6867B8FF">
            <w:pPr>
              <w:snapToGrid w:val="0"/>
              <w:spacing w:line="360" w:lineRule="auto"/>
              <w:jc w:val="left"/>
              <w:rPr>
                <w:rFonts w:ascii="宋体" w:hAnsi="宋体"/>
                <w:color w:val="auto"/>
                <w:sz w:val="24"/>
                <w:szCs w:val="20"/>
                <w:highlight w:val="none"/>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6E30F3CA">
            <w:pPr>
              <w:widowControl/>
              <w:spacing w:line="360" w:lineRule="auto"/>
              <w:jc w:val="left"/>
              <w:rPr>
                <w:rFonts w:ascii="宋体" w:hAnsi="宋体"/>
                <w:color w:val="auto"/>
                <w:sz w:val="24"/>
                <w:highlight w:val="none"/>
              </w:rPr>
            </w:pPr>
          </w:p>
        </w:tc>
      </w:tr>
      <w:tr w14:paraId="3F9C9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66B9C3A">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79554478">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5730A2E8">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7FE68D19">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4ABFEAB9">
            <w:pPr>
              <w:snapToGrid w:val="0"/>
              <w:spacing w:line="360" w:lineRule="auto"/>
              <w:jc w:val="left"/>
              <w:rPr>
                <w:rFonts w:ascii="宋体" w:hAnsi="宋体"/>
                <w:color w:val="auto"/>
                <w:sz w:val="24"/>
                <w:szCs w:val="20"/>
                <w:highlight w:val="none"/>
              </w:rPr>
            </w:pPr>
          </w:p>
        </w:tc>
      </w:tr>
      <w:tr w14:paraId="762E9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9044B8">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5DA93C1B">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4073BBFD">
            <w:pPr>
              <w:snapToGrid w:val="0"/>
              <w:spacing w:line="360" w:lineRule="auto"/>
              <w:ind w:left="6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tcPr>
          <w:p w14:paraId="32FFAD21">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15A1AB20">
            <w:pPr>
              <w:snapToGrid w:val="0"/>
              <w:spacing w:line="360" w:lineRule="auto"/>
              <w:jc w:val="left"/>
              <w:rPr>
                <w:rFonts w:ascii="宋体" w:hAnsi="宋体"/>
                <w:color w:val="auto"/>
                <w:sz w:val="24"/>
                <w:szCs w:val="20"/>
                <w:highlight w:val="none"/>
              </w:rPr>
            </w:pPr>
          </w:p>
        </w:tc>
      </w:tr>
      <w:tr w14:paraId="24FC7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5B63A2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6AE164D9">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63E6B6B7">
            <w:pPr>
              <w:snapToGrid w:val="0"/>
              <w:spacing w:line="360" w:lineRule="auto"/>
              <w:jc w:val="left"/>
              <w:rPr>
                <w:rFonts w:ascii="宋体" w:hAnsi="宋体"/>
                <w:color w:val="auto"/>
                <w:sz w:val="24"/>
                <w:szCs w:val="20"/>
                <w:highlight w:val="none"/>
              </w:rPr>
            </w:pPr>
          </w:p>
        </w:tc>
      </w:tr>
      <w:tr w14:paraId="2E40A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51107E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79686DCC">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6491F40">
            <w:pPr>
              <w:snapToGrid w:val="0"/>
              <w:spacing w:line="360" w:lineRule="auto"/>
              <w:jc w:val="left"/>
              <w:rPr>
                <w:rFonts w:ascii="宋体" w:hAnsi="宋体"/>
                <w:color w:val="auto"/>
                <w:sz w:val="24"/>
                <w:szCs w:val="20"/>
                <w:highlight w:val="none"/>
              </w:rPr>
            </w:pPr>
          </w:p>
        </w:tc>
      </w:tr>
      <w:tr w14:paraId="20397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0AEC609">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4BEFF74C">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4FEF0902">
            <w:pPr>
              <w:snapToGrid w:val="0"/>
              <w:spacing w:line="360" w:lineRule="auto"/>
              <w:jc w:val="left"/>
              <w:rPr>
                <w:rFonts w:ascii="宋体" w:hAnsi="宋体"/>
                <w:color w:val="auto"/>
                <w:sz w:val="24"/>
                <w:szCs w:val="20"/>
                <w:highlight w:val="none"/>
              </w:rPr>
            </w:pPr>
          </w:p>
        </w:tc>
      </w:tr>
      <w:tr w14:paraId="639EE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730BC3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03B173EF">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49B94528">
            <w:pPr>
              <w:snapToGrid w:val="0"/>
              <w:spacing w:line="360" w:lineRule="auto"/>
              <w:jc w:val="left"/>
              <w:rPr>
                <w:rFonts w:ascii="宋体" w:hAnsi="宋体"/>
                <w:color w:val="auto"/>
                <w:sz w:val="24"/>
                <w:szCs w:val="20"/>
                <w:highlight w:val="none"/>
              </w:rPr>
            </w:pPr>
          </w:p>
        </w:tc>
      </w:tr>
      <w:tr w14:paraId="3BC7C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1CD9A4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27A52B7B">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0681C74F">
            <w:pPr>
              <w:snapToGrid w:val="0"/>
              <w:spacing w:line="360" w:lineRule="auto"/>
              <w:jc w:val="left"/>
              <w:rPr>
                <w:rFonts w:ascii="宋体" w:hAnsi="宋体"/>
                <w:color w:val="auto"/>
                <w:sz w:val="24"/>
                <w:szCs w:val="20"/>
                <w:highlight w:val="none"/>
              </w:rPr>
            </w:pPr>
          </w:p>
        </w:tc>
      </w:tr>
      <w:tr w14:paraId="244EB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A756619">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04DABA08">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561F7C94">
            <w:pPr>
              <w:snapToGrid w:val="0"/>
              <w:spacing w:line="360" w:lineRule="auto"/>
              <w:ind w:firstLine="240" w:firstLineChars="100"/>
              <w:jc w:val="left"/>
              <w:rPr>
                <w:rFonts w:ascii="宋体" w:hAnsi="宋体"/>
                <w:color w:val="auto"/>
                <w:sz w:val="24"/>
                <w:szCs w:val="20"/>
                <w:highlight w:val="none"/>
              </w:rPr>
            </w:pPr>
            <w:r>
              <w:rPr>
                <w:rFonts w:hint="eastAsia" w:ascii="宋体" w:hAnsi="宋体"/>
                <w:color w:val="auto"/>
                <w:sz w:val="24"/>
                <w:highlight w:val="none"/>
              </w:rPr>
              <w:t>传</w:t>
            </w:r>
            <w:r>
              <w:rPr>
                <w:rFonts w:ascii="宋体" w:hAnsi="宋体"/>
                <w:color w:val="auto"/>
                <w:sz w:val="24"/>
                <w:highlight w:val="none"/>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10FB1209">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tcPr>
          <w:p w14:paraId="0AEF95B3">
            <w:pPr>
              <w:snapToGrid w:val="0"/>
              <w:spacing w:line="360" w:lineRule="auto"/>
              <w:jc w:val="left"/>
              <w:rPr>
                <w:rFonts w:ascii="宋体" w:hAnsi="宋体"/>
                <w:color w:val="auto"/>
                <w:sz w:val="24"/>
                <w:szCs w:val="20"/>
                <w:highlight w:val="none"/>
              </w:rPr>
            </w:pPr>
          </w:p>
        </w:tc>
      </w:tr>
      <w:tr w14:paraId="1159A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9E4215E">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3FE1027E">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3629729E">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6F1EDEE1">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0E594285">
            <w:pPr>
              <w:snapToGrid w:val="0"/>
              <w:spacing w:line="360" w:lineRule="auto"/>
              <w:jc w:val="left"/>
              <w:rPr>
                <w:rFonts w:ascii="宋体" w:hAnsi="宋体"/>
                <w:color w:val="auto"/>
                <w:sz w:val="24"/>
                <w:szCs w:val="20"/>
                <w:highlight w:val="none"/>
              </w:rPr>
            </w:pPr>
          </w:p>
        </w:tc>
      </w:tr>
    </w:tbl>
    <w:p w14:paraId="3780B7FC">
      <w:pPr>
        <w:pStyle w:val="14"/>
        <w:snapToGrid w:val="0"/>
        <w:spacing w:before="0" w:after="0" w:line="360" w:lineRule="auto"/>
        <w:rPr>
          <w:rFonts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授权代表签名：　　　　　</w:t>
      </w:r>
    </w:p>
    <w:p w14:paraId="601F18FC">
      <w:pPr>
        <w:pStyle w:val="19"/>
        <w:snapToGrid w:val="0"/>
        <w:spacing w:after="0" w:line="360" w:lineRule="auto"/>
        <w:rPr>
          <w:rFonts w:ascii="宋体" w:hAnsi="宋体"/>
          <w:color w:val="auto"/>
          <w:sz w:val="24"/>
          <w:highlight w:val="none"/>
        </w:rPr>
      </w:pPr>
      <w:r>
        <w:rPr>
          <w:rFonts w:hint="eastAsia" w:ascii="宋体" w:hAnsi="宋体"/>
          <w:color w:val="auto"/>
          <w:sz w:val="24"/>
          <w:highlight w:val="none"/>
        </w:rPr>
        <w:t>投标人公章：　 年月　 日</w:t>
      </w:r>
    </w:p>
    <w:p w14:paraId="240E5E9B">
      <w:pPr>
        <w:pStyle w:val="19"/>
        <w:rPr>
          <w:color w:val="auto"/>
          <w:highlight w:val="none"/>
        </w:rPr>
      </w:pPr>
    </w:p>
    <w:p w14:paraId="565018BB">
      <w:pPr>
        <w:pStyle w:val="20"/>
        <w:rPr>
          <w:color w:val="auto"/>
          <w:highlight w:val="none"/>
        </w:rPr>
      </w:pPr>
    </w:p>
    <w:p w14:paraId="59D18F28">
      <w:pPr>
        <w:rPr>
          <w:color w:val="auto"/>
          <w:highlight w:val="none"/>
        </w:rPr>
      </w:pPr>
    </w:p>
    <w:p w14:paraId="576DC779">
      <w:pPr>
        <w:rPr>
          <w:color w:val="auto"/>
          <w:highlight w:val="none"/>
        </w:rPr>
      </w:pPr>
    </w:p>
    <w:p w14:paraId="298A53E9">
      <w:pPr>
        <w:rPr>
          <w:color w:val="auto"/>
          <w:highlight w:val="none"/>
        </w:rPr>
      </w:pPr>
    </w:p>
    <w:p w14:paraId="3AC1DB26">
      <w:pPr>
        <w:snapToGrid w:val="0"/>
        <w:spacing w:line="360" w:lineRule="auto"/>
        <w:jc w:val="left"/>
        <w:rPr>
          <w:rFonts w:ascii="宋体" w:hAnsi="宋体"/>
          <w:color w:val="auto"/>
          <w:sz w:val="24"/>
          <w:highlight w:val="none"/>
        </w:rPr>
      </w:pPr>
      <w:r>
        <w:rPr>
          <w:rFonts w:hint="eastAsia" w:ascii="宋体" w:hAnsi="宋体"/>
          <w:color w:val="auto"/>
          <w:sz w:val="24"/>
          <w:highlight w:val="none"/>
        </w:rPr>
        <w:t>29.员工培训措施及人员保障（格式自拟）</w:t>
      </w:r>
    </w:p>
    <w:p w14:paraId="3A0121EA">
      <w:pPr>
        <w:snapToGrid w:val="0"/>
        <w:spacing w:line="360" w:lineRule="auto"/>
        <w:jc w:val="left"/>
        <w:rPr>
          <w:rFonts w:ascii="宋体" w:hAnsi="宋体"/>
          <w:color w:val="auto"/>
          <w:sz w:val="24"/>
          <w:highlight w:val="none"/>
        </w:rPr>
      </w:pPr>
    </w:p>
    <w:p w14:paraId="587ED111">
      <w:pPr>
        <w:snapToGrid w:val="0"/>
        <w:spacing w:line="360" w:lineRule="auto"/>
        <w:jc w:val="left"/>
        <w:rPr>
          <w:rFonts w:ascii="宋体" w:hAnsi="宋体"/>
          <w:color w:val="auto"/>
          <w:sz w:val="24"/>
          <w:highlight w:val="none"/>
        </w:rPr>
      </w:pPr>
    </w:p>
    <w:p w14:paraId="142768D2">
      <w:pPr>
        <w:snapToGrid w:val="0"/>
        <w:spacing w:line="360" w:lineRule="auto"/>
        <w:jc w:val="left"/>
        <w:rPr>
          <w:rFonts w:ascii="宋体" w:hAnsi="宋体"/>
          <w:color w:val="auto"/>
          <w:sz w:val="24"/>
          <w:highlight w:val="none"/>
        </w:rPr>
      </w:pPr>
    </w:p>
    <w:p w14:paraId="46ED0C7E">
      <w:pPr>
        <w:snapToGrid w:val="0"/>
        <w:spacing w:line="360" w:lineRule="auto"/>
        <w:jc w:val="left"/>
        <w:rPr>
          <w:rFonts w:ascii="宋体" w:hAnsi="宋体"/>
          <w:color w:val="auto"/>
          <w:sz w:val="24"/>
          <w:highlight w:val="none"/>
        </w:rPr>
      </w:pPr>
    </w:p>
    <w:p w14:paraId="0F050D33">
      <w:pPr>
        <w:snapToGrid w:val="0"/>
        <w:spacing w:line="360" w:lineRule="auto"/>
        <w:jc w:val="left"/>
        <w:rPr>
          <w:rFonts w:ascii="宋体" w:hAnsi="宋体"/>
          <w:color w:val="auto"/>
          <w:sz w:val="24"/>
          <w:highlight w:val="none"/>
        </w:rPr>
      </w:pPr>
      <w:r>
        <w:rPr>
          <w:rFonts w:hint="eastAsia" w:asciiTheme="majorEastAsia" w:hAnsiTheme="majorEastAsia" w:eastAsiaTheme="majorEastAsia" w:cstheme="majorEastAsia"/>
          <w:color w:val="auto"/>
          <w:sz w:val="24"/>
          <w:szCs w:val="24"/>
          <w:highlight w:val="none"/>
        </w:rPr>
        <w:t>30.响应时间</w:t>
      </w:r>
      <w:r>
        <w:rPr>
          <w:rFonts w:hint="eastAsia" w:ascii="宋体" w:hAnsi="宋体"/>
          <w:color w:val="auto"/>
          <w:sz w:val="24"/>
          <w:highlight w:val="none"/>
        </w:rPr>
        <w:t>（格式自拟）</w:t>
      </w:r>
    </w:p>
    <w:p w14:paraId="4FD825AF">
      <w:pPr>
        <w:snapToGrid w:val="0"/>
        <w:spacing w:line="360" w:lineRule="auto"/>
        <w:jc w:val="left"/>
        <w:rPr>
          <w:rFonts w:ascii="宋体" w:hAnsi="宋体"/>
          <w:color w:val="auto"/>
          <w:sz w:val="24"/>
          <w:highlight w:val="none"/>
        </w:rPr>
      </w:pPr>
    </w:p>
    <w:p w14:paraId="322A8158">
      <w:pPr>
        <w:snapToGrid w:val="0"/>
        <w:spacing w:line="360" w:lineRule="auto"/>
        <w:jc w:val="left"/>
        <w:rPr>
          <w:rFonts w:ascii="宋体" w:hAnsi="宋体"/>
          <w:color w:val="auto"/>
          <w:sz w:val="24"/>
          <w:highlight w:val="none"/>
        </w:rPr>
      </w:pPr>
    </w:p>
    <w:p w14:paraId="23B0CD7C">
      <w:pPr>
        <w:snapToGrid w:val="0"/>
        <w:spacing w:line="360" w:lineRule="auto"/>
        <w:jc w:val="left"/>
        <w:rPr>
          <w:rFonts w:ascii="宋体" w:hAnsi="宋体"/>
          <w:color w:val="auto"/>
          <w:sz w:val="24"/>
          <w:highlight w:val="none"/>
        </w:rPr>
      </w:pPr>
    </w:p>
    <w:p w14:paraId="50C7D095">
      <w:pPr>
        <w:snapToGrid w:val="0"/>
        <w:spacing w:line="360" w:lineRule="auto"/>
        <w:jc w:val="left"/>
        <w:rPr>
          <w:rFonts w:ascii="宋体" w:hAnsi="宋体"/>
          <w:color w:val="auto"/>
          <w:sz w:val="24"/>
          <w:highlight w:val="none"/>
        </w:rPr>
      </w:pPr>
    </w:p>
    <w:p w14:paraId="1C99C95C">
      <w:pPr>
        <w:snapToGrid w:val="0"/>
        <w:spacing w:line="360" w:lineRule="auto"/>
        <w:jc w:val="left"/>
        <w:rPr>
          <w:rFonts w:ascii="宋体" w:hAnsi="宋体"/>
          <w:color w:val="auto"/>
          <w:sz w:val="24"/>
          <w:highlight w:val="none"/>
        </w:rPr>
      </w:pPr>
    </w:p>
    <w:p w14:paraId="52CE911B">
      <w:pPr>
        <w:snapToGrid w:val="0"/>
        <w:spacing w:line="360" w:lineRule="auto"/>
        <w:jc w:val="left"/>
        <w:rPr>
          <w:rFonts w:ascii="宋体" w:hAnsi="宋体"/>
          <w:color w:val="auto"/>
          <w:sz w:val="24"/>
          <w:highlight w:val="none"/>
        </w:rPr>
      </w:pPr>
    </w:p>
    <w:p w14:paraId="59A1ABF9">
      <w:pPr>
        <w:snapToGrid w:val="0"/>
        <w:spacing w:line="360" w:lineRule="auto"/>
        <w:jc w:val="left"/>
        <w:rPr>
          <w:rFonts w:ascii="宋体" w:hAnsi="宋体"/>
          <w:color w:val="auto"/>
          <w:sz w:val="24"/>
          <w:highlight w:val="none"/>
        </w:rPr>
      </w:pPr>
    </w:p>
    <w:p w14:paraId="2A4F5044">
      <w:pPr>
        <w:snapToGrid w:val="0"/>
        <w:spacing w:line="360" w:lineRule="auto"/>
        <w:jc w:val="left"/>
        <w:rPr>
          <w:rFonts w:ascii="宋体" w:hAnsi="宋体"/>
          <w:color w:val="auto"/>
          <w:sz w:val="24"/>
          <w:highlight w:val="none"/>
        </w:rPr>
      </w:pPr>
    </w:p>
    <w:p w14:paraId="3FC70E41">
      <w:pPr>
        <w:snapToGrid w:val="0"/>
        <w:spacing w:line="360" w:lineRule="auto"/>
        <w:jc w:val="left"/>
        <w:rPr>
          <w:rFonts w:ascii="宋体" w:hAnsi="宋体"/>
          <w:color w:val="auto"/>
          <w:sz w:val="24"/>
          <w:highlight w:val="none"/>
        </w:rPr>
      </w:pPr>
    </w:p>
    <w:p w14:paraId="527AAD60">
      <w:pPr>
        <w:snapToGrid w:val="0"/>
        <w:spacing w:line="360" w:lineRule="auto"/>
        <w:jc w:val="left"/>
        <w:rPr>
          <w:rFonts w:ascii="宋体" w:hAnsi="宋体"/>
          <w:color w:val="auto"/>
          <w:sz w:val="24"/>
          <w:highlight w:val="none"/>
        </w:rPr>
      </w:pPr>
    </w:p>
    <w:p w14:paraId="475A2CF1">
      <w:pPr>
        <w:snapToGrid w:val="0"/>
        <w:spacing w:line="360" w:lineRule="auto"/>
        <w:rPr>
          <w:rFonts w:ascii="宋体" w:hAnsi="宋体"/>
          <w:color w:val="auto"/>
          <w:sz w:val="24"/>
          <w:highlight w:val="none"/>
        </w:rPr>
      </w:pPr>
      <w:r>
        <w:rPr>
          <w:rFonts w:hint="eastAsia" w:ascii="宋体" w:hAnsi="宋体"/>
          <w:color w:val="auto"/>
          <w:sz w:val="24"/>
          <w:highlight w:val="none"/>
        </w:rPr>
        <w:t>31．信用承诺书</w:t>
      </w:r>
    </w:p>
    <w:p w14:paraId="697AF70F">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2D64EEAA">
      <w:pPr>
        <w:tabs>
          <w:tab w:val="left" w:pos="1650"/>
        </w:tabs>
        <w:spacing w:line="360" w:lineRule="auto"/>
        <w:jc w:val="left"/>
        <w:rPr>
          <w:rFonts w:ascii="宋体" w:hAnsi="宋体"/>
          <w:color w:val="auto"/>
          <w:sz w:val="24"/>
          <w:highlight w:val="none"/>
        </w:rPr>
      </w:pPr>
      <w:r>
        <w:rPr>
          <w:rFonts w:hint="eastAsia" w:ascii="宋体" w:hAnsi="宋体"/>
          <w:color w:val="auto"/>
          <w:sz w:val="24"/>
          <w:highlight w:val="none"/>
        </w:rPr>
        <w:t>（投标单位）现参加（采购项目）政府采购活动，郑重承诺如下：</w:t>
      </w:r>
    </w:p>
    <w:p w14:paraId="1424BF09">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14:paraId="60C1767D">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14:paraId="78EB786B">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7C7786FF">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1082D4A8">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0624F9CA">
      <w:pPr>
        <w:pStyle w:val="121"/>
        <w:spacing w:before="0" w:beforeAutospacing="0" w:after="0" w:afterAutospacing="0" w:line="360" w:lineRule="auto"/>
        <w:ind w:firstLine="600" w:firstLineChars="250"/>
        <w:rPr>
          <w:rFonts w:cs="Times New Roman"/>
          <w:color w:val="auto"/>
          <w:spacing w:val="-7"/>
          <w:highlight w:val="none"/>
        </w:rPr>
      </w:pPr>
      <w:r>
        <w:rPr>
          <w:rFonts w:hint="eastAsia" w:cs="Times New Roman"/>
          <w:color w:val="auto"/>
          <w:kern w:val="2"/>
          <w:highlight w:val="none"/>
        </w:rPr>
        <w:t>统一社会信用代码：</w:t>
      </w:r>
    </w:p>
    <w:p w14:paraId="538F7C2B">
      <w:pPr>
        <w:pStyle w:val="121"/>
        <w:spacing w:before="0" w:beforeAutospacing="0" w:after="0" w:afterAutospacing="0" w:line="360" w:lineRule="auto"/>
        <w:rPr>
          <w:rFonts w:cs="Times New Roman"/>
          <w:color w:val="auto"/>
          <w:highlight w:val="none"/>
        </w:rPr>
      </w:pPr>
    </w:p>
    <w:p w14:paraId="429B69E5">
      <w:pPr>
        <w:pStyle w:val="121"/>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个人（盖章</w:t>
      </w:r>
      <w:r>
        <w:rPr>
          <w:rFonts w:cs="Times New Roman"/>
          <w:color w:val="auto"/>
          <w:kern w:val="2"/>
          <w:highlight w:val="none"/>
        </w:rPr>
        <w:t>/</w:t>
      </w:r>
      <w:r>
        <w:rPr>
          <w:rFonts w:hint="eastAsia" w:cs="Times New Roman"/>
          <w:color w:val="auto"/>
          <w:kern w:val="2"/>
          <w:highlight w:val="none"/>
        </w:rPr>
        <w:t>签名）</w:t>
      </w:r>
    </w:p>
    <w:p w14:paraId="5F3A3BB9">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w:t>
      </w:r>
      <w:r>
        <w:rPr>
          <w:rFonts w:ascii="宋体" w:hAnsi="宋体"/>
          <w:color w:val="auto"/>
          <w:sz w:val="24"/>
          <w:highlight w:val="none"/>
        </w:rPr>
        <w:t>202</w:t>
      </w:r>
      <w:r>
        <w:rPr>
          <w:rFonts w:hint="eastAsia" w:ascii="宋体" w:hAnsi="宋体"/>
          <w:color w:val="auto"/>
          <w:sz w:val="24"/>
          <w:highlight w:val="none"/>
        </w:rPr>
        <w:t>5</w:t>
      </w:r>
      <w:r>
        <w:rPr>
          <w:rFonts w:ascii="宋体" w:hAnsi="宋体"/>
          <w:color w:val="auto"/>
          <w:sz w:val="24"/>
          <w:highlight w:val="none"/>
        </w:rPr>
        <w:t>年</w:t>
      </w:r>
      <w:r>
        <w:rPr>
          <w:rFonts w:hint="eastAsia" w:ascii="宋体" w:hAnsi="宋体"/>
          <w:color w:val="auto"/>
          <w:sz w:val="24"/>
          <w:highlight w:val="none"/>
        </w:rPr>
        <w:t>月日</w:t>
      </w:r>
    </w:p>
    <w:p w14:paraId="581217A0">
      <w:pPr>
        <w:snapToGrid w:val="0"/>
        <w:spacing w:line="360" w:lineRule="auto"/>
        <w:rPr>
          <w:rFonts w:ascii="宋体" w:hAnsi="宋体"/>
          <w:color w:val="auto"/>
          <w:sz w:val="24"/>
          <w:highlight w:val="none"/>
        </w:rPr>
      </w:pPr>
    </w:p>
    <w:p w14:paraId="492132C9">
      <w:pPr>
        <w:pStyle w:val="19"/>
        <w:rPr>
          <w:color w:val="auto"/>
          <w:highlight w:val="none"/>
        </w:rPr>
      </w:pPr>
    </w:p>
    <w:p w14:paraId="19A624CF">
      <w:pPr>
        <w:pStyle w:val="20"/>
        <w:rPr>
          <w:color w:val="auto"/>
          <w:highlight w:val="none"/>
        </w:rPr>
      </w:pPr>
    </w:p>
    <w:p w14:paraId="15DEE03C">
      <w:pPr>
        <w:rPr>
          <w:color w:val="auto"/>
          <w:highlight w:val="none"/>
        </w:rPr>
      </w:pPr>
    </w:p>
    <w:p w14:paraId="224D18C5">
      <w:pPr>
        <w:rPr>
          <w:color w:val="auto"/>
          <w:highlight w:val="none"/>
        </w:rPr>
      </w:pPr>
    </w:p>
    <w:p w14:paraId="02BBEF2C">
      <w:pPr>
        <w:rPr>
          <w:color w:val="auto"/>
          <w:highlight w:val="none"/>
        </w:rPr>
      </w:pPr>
    </w:p>
    <w:p w14:paraId="7ED327E6">
      <w:pPr>
        <w:rPr>
          <w:color w:val="auto"/>
          <w:highlight w:val="none"/>
        </w:rPr>
      </w:pPr>
    </w:p>
    <w:p w14:paraId="05AE9640">
      <w:pPr>
        <w:rPr>
          <w:color w:val="auto"/>
          <w:highlight w:val="none"/>
        </w:rPr>
      </w:pPr>
    </w:p>
    <w:p w14:paraId="15C6CAD4">
      <w:pPr>
        <w:rPr>
          <w:color w:val="auto"/>
          <w:highlight w:val="none"/>
        </w:rPr>
      </w:pPr>
    </w:p>
    <w:p w14:paraId="065FD5A0">
      <w:pPr>
        <w:rPr>
          <w:color w:val="auto"/>
          <w:highlight w:val="none"/>
        </w:rPr>
      </w:pPr>
    </w:p>
    <w:p w14:paraId="25930DDA">
      <w:pPr>
        <w:rPr>
          <w:color w:val="auto"/>
          <w:highlight w:val="none"/>
        </w:rPr>
      </w:pPr>
    </w:p>
    <w:p w14:paraId="15873CEA">
      <w:pPr>
        <w:rPr>
          <w:color w:val="auto"/>
          <w:highlight w:val="none"/>
        </w:rPr>
      </w:pPr>
    </w:p>
    <w:p w14:paraId="003892E3">
      <w:pPr>
        <w:rPr>
          <w:color w:val="auto"/>
          <w:highlight w:val="none"/>
        </w:rPr>
      </w:pPr>
    </w:p>
    <w:p w14:paraId="1567B295">
      <w:pPr>
        <w:rPr>
          <w:color w:val="auto"/>
          <w:highlight w:val="none"/>
        </w:rPr>
      </w:pPr>
    </w:p>
    <w:p w14:paraId="463AC6BC">
      <w:pPr>
        <w:rPr>
          <w:color w:val="auto"/>
          <w:highlight w:val="none"/>
        </w:rPr>
      </w:pPr>
    </w:p>
    <w:p w14:paraId="57E702E0">
      <w:pPr>
        <w:rPr>
          <w:color w:val="auto"/>
          <w:highlight w:val="none"/>
        </w:rPr>
      </w:pPr>
    </w:p>
    <w:p w14:paraId="546642F6">
      <w:pPr>
        <w:rPr>
          <w:color w:val="auto"/>
          <w:highlight w:val="none"/>
        </w:rPr>
      </w:pPr>
    </w:p>
    <w:p w14:paraId="7223AD4F">
      <w:pPr>
        <w:rPr>
          <w:color w:val="auto"/>
          <w:highlight w:val="none"/>
        </w:rPr>
      </w:pPr>
    </w:p>
    <w:p w14:paraId="5DBC96A6">
      <w:pPr>
        <w:rPr>
          <w:color w:val="auto"/>
          <w:highlight w:val="none"/>
        </w:rPr>
      </w:pPr>
    </w:p>
    <w:p w14:paraId="26EC4E53">
      <w:pPr>
        <w:rPr>
          <w:color w:val="auto"/>
          <w:highlight w:val="none"/>
        </w:rPr>
      </w:pPr>
    </w:p>
    <w:p w14:paraId="52858ED5">
      <w:pPr>
        <w:rPr>
          <w:color w:val="auto"/>
          <w:highlight w:val="none"/>
        </w:rPr>
      </w:pPr>
    </w:p>
    <w:p w14:paraId="68C5628F">
      <w:pPr>
        <w:snapToGrid w:val="0"/>
        <w:spacing w:line="360" w:lineRule="auto"/>
        <w:rPr>
          <w:rFonts w:ascii="宋体" w:hAnsi="宋体"/>
          <w:color w:val="auto"/>
          <w:sz w:val="24"/>
          <w:highlight w:val="none"/>
        </w:rPr>
      </w:pPr>
      <w:r>
        <w:rPr>
          <w:rFonts w:hint="eastAsia" w:ascii="宋体" w:hAnsi="宋体"/>
          <w:bCs/>
          <w:color w:val="auto"/>
          <w:sz w:val="24"/>
          <w:highlight w:val="none"/>
        </w:rPr>
        <w:t>32.</w:t>
      </w:r>
      <w:r>
        <w:rPr>
          <w:rFonts w:hint="eastAsia" w:ascii="宋体" w:hAnsi="宋体"/>
          <w:color w:val="auto"/>
          <w:sz w:val="24"/>
          <w:highlight w:val="none"/>
        </w:rPr>
        <w:t>技术、商务、资信及其他分自评表</w:t>
      </w:r>
    </w:p>
    <w:p w14:paraId="7762F857">
      <w:pPr>
        <w:spacing w:line="360" w:lineRule="auto"/>
        <w:rPr>
          <w:color w:val="auto"/>
          <w:highlight w:val="none"/>
        </w:rPr>
      </w:pPr>
      <w:r>
        <w:rPr>
          <w:rFonts w:hint="eastAsia" w:ascii="宋体" w:hAnsi="宋体"/>
          <w:b/>
          <w:color w:val="auto"/>
          <w:sz w:val="24"/>
          <w:szCs w:val="30"/>
          <w:highlight w:val="none"/>
        </w:rPr>
        <w:t>投标人名称</w:t>
      </w: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75"/>
        <w:gridCol w:w="2268"/>
        <w:gridCol w:w="1134"/>
        <w:gridCol w:w="1701"/>
      </w:tblGrid>
      <w:tr w14:paraId="668C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03" w:type="dxa"/>
            <w:gridSpan w:val="2"/>
            <w:vAlign w:val="center"/>
          </w:tcPr>
          <w:p w14:paraId="2ADE0D21">
            <w:pPr>
              <w:spacing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2268" w:type="dxa"/>
            <w:vAlign w:val="center"/>
          </w:tcPr>
          <w:p w14:paraId="23AA77A4">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投标文件对应资料</w:t>
            </w:r>
          </w:p>
        </w:tc>
        <w:tc>
          <w:tcPr>
            <w:tcW w:w="1134" w:type="dxa"/>
            <w:vAlign w:val="center"/>
          </w:tcPr>
          <w:p w14:paraId="5DBCA173">
            <w:pPr>
              <w:snapToGrid w:val="0"/>
              <w:spacing w:line="360" w:lineRule="auto"/>
              <w:jc w:val="center"/>
              <w:rPr>
                <w:rFonts w:ascii="宋体" w:hAnsi="宋体"/>
                <w:color w:val="auto"/>
                <w:sz w:val="24"/>
                <w:highlight w:val="none"/>
              </w:rPr>
            </w:pPr>
            <w:r>
              <w:rPr>
                <w:rFonts w:hint="eastAsia" w:ascii="宋体" w:hAnsi="宋体"/>
                <w:color w:val="auto"/>
                <w:sz w:val="24"/>
                <w:highlight w:val="none"/>
              </w:rPr>
              <w:t>自评分</w:t>
            </w:r>
          </w:p>
        </w:tc>
        <w:tc>
          <w:tcPr>
            <w:tcW w:w="1701" w:type="dxa"/>
            <w:vAlign w:val="center"/>
          </w:tcPr>
          <w:p w14:paraId="288A8E92">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14:paraId="456D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828" w:type="dxa"/>
            <w:vMerge w:val="restart"/>
            <w:vAlign w:val="center"/>
          </w:tcPr>
          <w:p w14:paraId="2FE7FAD6">
            <w:pPr>
              <w:spacing w:line="360" w:lineRule="auto"/>
              <w:jc w:val="left"/>
              <w:rPr>
                <w:rFonts w:ascii="宋体" w:hAnsi="宋体"/>
                <w:b/>
                <w:bCs/>
                <w:color w:val="auto"/>
                <w:sz w:val="24"/>
                <w:highlight w:val="none"/>
              </w:rPr>
            </w:pPr>
            <w:r>
              <w:rPr>
                <w:rFonts w:hint="eastAsia" w:ascii="宋体" w:hAnsi="宋体"/>
                <w:b/>
                <w:bCs/>
                <w:color w:val="auto"/>
                <w:sz w:val="24"/>
                <w:highlight w:val="none"/>
              </w:rPr>
              <w:t>技</w:t>
            </w:r>
          </w:p>
          <w:p w14:paraId="718E9DBC">
            <w:pPr>
              <w:spacing w:line="360" w:lineRule="auto"/>
              <w:jc w:val="left"/>
              <w:rPr>
                <w:rFonts w:ascii="宋体" w:hAnsi="宋体"/>
                <w:b/>
                <w:bCs/>
                <w:color w:val="auto"/>
                <w:sz w:val="24"/>
                <w:highlight w:val="none"/>
              </w:rPr>
            </w:pPr>
            <w:r>
              <w:rPr>
                <w:rFonts w:hint="eastAsia" w:ascii="宋体" w:hAnsi="宋体"/>
                <w:b/>
                <w:bCs/>
                <w:color w:val="auto"/>
                <w:sz w:val="24"/>
                <w:highlight w:val="none"/>
              </w:rPr>
              <w:t>术</w:t>
            </w:r>
          </w:p>
          <w:p w14:paraId="074625C5">
            <w:pPr>
              <w:spacing w:line="360" w:lineRule="auto"/>
              <w:jc w:val="left"/>
              <w:rPr>
                <w:rFonts w:ascii="宋体" w:hAnsi="宋体"/>
                <w:b/>
                <w:bCs/>
                <w:color w:val="auto"/>
                <w:sz w:val="24"/>
                <w:highlight w:val="none"/>
              </w:rPr>
            </w:pPr>
            <w:r>
              <w:rPr>
                <w:rFonts w:hint="eastAsia" w:ascii="宋体" w:hAnsi="宋体"/>
                <w:b/>
                <w:bCs/>
                <w:color w:val="auto"/>
                <w:sz w:val="24"/>
                <w:highlight w:val="none"/>
              </w:rPr>
              <w:t>分</w:t>
            </w:r>
          </w:p>
          <w:p w14:paraId="29239C68">
            <w:pPr>
              <w:spacing w:line="360" w:lineRule="auto"/>
              <w:jc w:val="left"/>
              <w:rPr>
                <w:rFonts w:ascii="宋体" w:hAnsi="宋体"/>
                <w:b/>
                <w:bCs/>
                <w:color w:val="auto"/>
                <w:sz w:val="24"/>
                <w:highlight w:val="none"/>
              </w:rPr>
            </w:pPr>
            <w:r>
              <w:rPr>
                <w:rFonts w:hint="eastAsia" w:ascii="宋体" w:hAnsi="宋体"/>
                <w:b/>
                <w:bCs/>
                <w:color w:val="auto"/>
                <w:sz w:val="24"/>
                <w:highlight w:val="none"/>
              </w:rPr>
              <w:t>67</w:t>
            </w:r>
          </w:p>
          <w:p w14:paraId="56341134">
            <w:pPr>
              <w:spacing w:line="360" w:lineRule="auto"/>
              <w:jc w:val="left"/>
              <w:rPr>
                <w:rFonts w:ascii="宋体" w:hAnsi="宋体"/>
                <w:b/>
                <w:bCs/>
                <w:color w:val="auto"/>
                <w:sz w:val="24"/>
                <w:highlight w:val="none"/>
              </w:rPr>
            </w:pPr>
            <w:r>
              <w:rPr>
                <w:rFonts w:hint="eastAsia" w:ascii="宋体" w:hAnsi="宋体"/>
                <w:b/>
                <w:bCs/>
                <w:color w:val="auto"/>
                <w:sz w:val="24"/>
                <w:highlight w:val="none"/>
              </w:rPr>
              <w:t>分</w:t>
            </w:r>
          </w:p>
        </w:tc>
        <w:tc>
          <w:tcPr>
            <w:tcW w:w="3675" w:type="dxa"/>
          </w:tcPr>
          <w:p w14:paraId="2684E669">
            <w:pPr>
              <w:spacing w:line="360" w:lineRule="auto"/>
              <w:jc w:val="left"/>
              <w:rPr>
                <w:rFonts w:ascii="宋体" w:hAnsi="宋体"/>
                <w:color w:val="auto"/>
                <w:sz w:val="24"/>
                <w:highlight w:val="none"/>
              </w:rPr>
            </w:pPr>
          </w:p>
        </w:tc>
        <w:tc>
          <w:tcPr>
            <w:tcW w:w="2268" w:type="dxa"/>
          </w:tcPr>
          <w:p w14:paraId="538820E9">
            <w:pPr>
              <w:spacing w:line="360" w:lineRule="auto"/>
              <w:jc w:val="left"/>
              <w:rPr>
                <w:rFonts w:ascii="宋体" w:hAnsi="宋体"/>
                <w:color w:val="auto"/>
                <w:sz w:val="24"/>
                <w:highlight w:val="none"/>
              </w:rPr>
            </w:pPr>
          </w:p>
        </w:tc>
        <w:tc>
          <w:tcPr>
            <w:tcW w:w="1134" w:type="dxa"/>
          </w:tcPr>
          <w:p w14:paraId="28637186">
            <w:pPr>
              <w:spacing w:line="360" w:lineRule="auto"/>
              <w:rPr>
                <w:rFonts w:ascii="宋体" w:hAnsi="宋体"/>
                <w:color w:val="auto"/>
                <w:sz w:val="24"/>
                <w:highlight w:val="none"/>
              </w:rPr>
            </w:pPr>
          </w:p>
        </w:tc>
        <w:tc>
          <w:tcPr>
            <w:tcW w:w="1701" w:type="dxa"/>
          </w:tcPr>
          <w:p w14:paraId="0A06E438">
            <w:pPr>
              <w:spacing w:line="360" w:lineRule="auto"/>
              <w:rPr>
                <w:rFonts w:ascii="宋体" w:hAnsi="宋体"/>
                <w:color w:val="auto"/>
                <w:sz w:val="24"/>
                <w:highlight w:val="none"/>
              </w:rPr>
            </w:pPr>
          </w:p>
        </w:tc>
      </w:tr>
      <w:tr w14:paraId="3395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828" w:type="dxa"/>
            <w:vMerge w:val="continue"/>
          </w:tcPr>
          <w:p w14:paraId="26B1954E">
            <w:pPr>
              <w:spacing w:line="360" w:lineRule="auto"/>
              <w:jc w:val="left"/>
              <w:rPr>
                <w:rFonts w:ascii="宋体" w:hAnsi="宋体"/>
                <w:color w:val="auto"/>
                <w:sz w:val="24"/>
                <w:highlight w:val="none"/>
              </w:rPr>
            </w:pPr>
          </w:p>
        </w:tc>
        <w:tc>
          <w:tcPr>
            <w:tcW w:w="3675" w:type="dxa"/>
          </w:tcPr>
          <w:p w14:paraId="05B99E24">
            <w:pPr>
              <w:spacing w:line="360" w:lineRule="auto"/>
              <w:jc w:val="left"/>
              <w:rPr>
                <w:rFonts w:ascii="宋体" w:hAnsi="宋体"/>
                <w:color w:val="auto"/>
                <w:sz w:val="24"/>
                <w:highlight w:val="none"/>
              </w:rPr>
            </w:pPr>
          </w:p>
        </w:tc>
        <w:tc>
          <w:tcPr>
            <w:tcW w:w="2268" w:type="dxa"/>
          </w:tcPr>
          <w:p w14:paraId="3CF48586">
            <w:pPr>
              <w:spacing w:line="360" w:lineRule="auto"/>
              <w:jc w:val="left"/>
              <w:rPr>
                <w:rFonts w:ascii="宋体" w:hAnsi="宋体"/>
                <w:color w:val="auto"/>
                <w:sz w:val="24"/>
                <w:highlight w:val="none"/>
              </w:rPr>
            </w:pPr>
          </w:p>
        </w:tc>
        <w:tc>
          <w:tcPr>
            <w:tcW w:w="1134" w:type="dxa"/>
          </w:tcPr>
          <w:p w14:paraId="0BB3333C">
            <w:pPr>
              <w:spacing w:line="360" w:lineRule="auto"/>
              <w:rPr>
                <w:rFonts w:ascii="宋体" w:hAnsi="宋体"/>
                <w:color w:val="auto"/>
                <w:sz w:val="24"/>
                <w:highlight w:val="none"/>
              </w:rPr>
            </w:pPr>
          </w:p>
        </w:tc>
        <w:tc>
          <w:tcPr>
            <w:tcW w:w="1701" w:type="dxa"/>
          </w:tcPr>
          <w:p w14:paraId="74C13832">
            <w:pPr>
              <w:spacing w:line="360" w:lineRule="auto"/>
              <w:rPr>
                <w:rFonts w:ascii="宋体" w:hAnsi="宋体"/>
                <w:color w:val="auto"/>
                <w:sz w:val="24"/>
                <w:highlight w:val="none"/>
              </w:rPr>
            </w:pPr>
          </w:p>
        </w:tc>
      </w:tr>
      <w:tr w14:paraId="647D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828" w:type="dxa"/>
            <w:vMerge w:val="continue"/>
          </w:tcPr>
          <w:p w14:paraId="14090006">
            <w:pPr>
              <w:spacing w:line="360" w:lineRule="auto"/>
              <w:jc w:val="left"/>
              <w:rPr>
                <w:rFonts w:ascii="宋体" w:hAnsi="宋体"/>
                <w:color w:val="auto"/>
                <w:sz w:val="24"/>
                <w:highlight w:val="none"/>
              </w:rPr>
            </w:pPr>
          </w:p>
        </w:tc>
        <w:tc>
          <w:tcPr>
            <w:tcW w:w="3675" w:type="dxa"/>
          </w:tcPr>
          <w:p w14:paraId="385294A3">
            <w:pPr>
              <w:spacing w:line="360" w:lineRule="auto"/>
              <w:jc w:val="left"/>
              <w:rPr>
                <w:rFonts w:ascii="宋体" w:hAnsi="宋体"/>
                <w:color w:val="auto"/>
                <w:sz w:val="24"/>
                <w:highlight w:val="none"/>
              </w:rPr>
            </w:pPr>
          </w:p>
        </w:tc>
        <w:tc>
          <w:tcPr>
            <w:tcW w:w="2268" w:type="dxa"/>
          </w:tcPr>
          <w:p w14:paraId="531CFC5E">
            <w:pPr>
              <w:spacing w:line="360" w:lineRule="auto"/>
              <w:jc w:val="left"/>
              <w:rPr>
                <w:rFonts w:ascii="宋体" w:hAnsi="宋体"/>
                <w:color w:val="auto"/>
                <w:sz w:val="24"/>
                <w:highlight w:val="none"/>
              </w:rPr>
            </w:pPr>
          </w:p>
        </w:tc>
        <w:tc>
          <w:tcPr>
            <w:tcW w:w="1134" w:type="dxa"/>
          </w:tcPr>
          <w:p w14:paraId="1A0A831C">
            <w:pPr>
              <w:spacing w:line="360" w:lineRule="auto"/>
              <w:rPr>
                <w:rFonts w:ascii="宋体" w:hAnsi="宋体"/>
                <w:color w:val="auto"/>
                <w:sz w:val="24"/>
                <w:highlight w:val="none"/>
              </w:rPr>
            </w:pPr>
          </w:p>
        </w:tc>
        <w:tc>
          <w:tcPr>
            <w:tcW w:w="1701" w:type="dxa"/>
          </w:tcPr>
          <w:p w14:paraId="20547E4C">
            <w:pPr>
              <w:spacing w:line="360" w:lineRule="auto"/>
              <w:rPr>
                <w:rFonts w:ascii="宋体" w:hAnsi="宋体"/>
                <w:color w:val="auto"/>
                <w:sz w:val="24"/>
                <w:highlight w:val="none"/>
              </w:rPr>
            </w:pPr>
          </w:p>
        </w:tc>
      </w:tr>
      <w:tr w14:paraId="6FAE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28" w:type="dxa"/>
            <w:vMerge w:val="continue"/>
          </w:tcPr>
          <w:p w14:paraId="501812CE">
            <w:pPr>
              <w:spacing w:line="360" w:lineRule="auto"/>
              <w:jc w:val="left"/>
              <w:rPr>
                <w:rFonts w:ascii="宋体" w:hAnsi="宋体"/>
                <w:color w:val="auto"/>
                <w:sz w:val="24"/>
                <w:highlight w:val="none"/>
              </w:rPr>
            </w:pPr>
          </w:p>
        </w:tc>
        <w:tc>
          <w:tcPr>
            <w:tcW w:w="3675" w:type="dxa"/>
          </w:tcPr>
          <w:p w14:paraId="46963F4E">
            <w:pPr>
              <w:spacing w:line="360" w:lineRule="auto"/>
              <w:jc w:val="left"/>
              <w:rPr>
                <w:rFonts w:ascii="宋体" w:hAnsi="宋体"/>
                <w:color w:val="auto"/>
                <w:sz w:val="24"/>
                <w:highlight w:val="none"/>
              </w:rPr>
            </w:pPr>
          </w:p>
        </w:tc>
        <w:tc>
          <w:tcPr>
            <w:tcW w:w="2268" w:type="dxa"/>
          </w:tcPr>
          <w:p w14:paraId="0D075E58">
            <w:pPr>
              <w:spacing w:line="360" w:lineRule="auto"/>
              <w:jc w:val="left"/>
              <w:rPr>
                <w:rFonts w:ascii="宋体" w:hAnsi="宋体"/>
                <w:color w:val="auto"/>
                <w:sz w:val="24"/>
                <w:highlight w:val="none"/>
              </w:rPr>
            </w:pPr>
          </w:p>
        </w:tc>
        <w:tc>
          <w:tcPr>
            <w:tcW w:w="1134" w:type="dxa"/>
          </w:tcPr>
          <w:p w14:paraId="6EBB02A0">
            <w:pPr>
              <w:spacing w:line="360" w:lineRule="auto"/>
              <w:rPr>
                <w:rFonts w:ascii="宋体" w:hAnsi="宋体"/>
                <w:color w:val="auto"/>
                <w:sz w:val="24"/>
                <w:highlight w:val="none"/>
              </w:rPr>
            </w:pPr>
          </w:p>
        </w:tc>
        <w:tc>
          <w:tcPr>
            <w:tcW w:w="1701" w:type="dxa"/>
          </w:tcPr>
          <w:p w14:paraId="176097DB">
            <w:pPr>
              <w:spacing w:line="360" w:lineRule="auto"/>
              <w:rPr>
                <w:rFonts w:ascii="宋体" w:hAnsi="宋体"/>
                <w:color w:val="auto"/>
                <w:sz w:val="24"/>
                <w:highlight w:val="none"/>
              </w:rPr>
            </w:pPr>
          </w:p>
        </w:tc>
      </w:tr>
      <w:tr w14:paraId="3423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28" w:type="dxa"/>
            <w:vMerge w:val="continue"/>
          </w:tcPr>
          <w:p w14:paraId="140DD840">
            <w:pPr>
              <w:spacing w:line="360" w:lineRule="auto"/>
              <w:jc w:val="left"/>
              <w:rPr>
                <w:rFonts w:ascii="宋体" w:hAnsi="宋体"/>
                <w:color w:val="auto"/>
                <w:sz w:val="24"/>
                <w:highlight w:val="none"/>
              </w:rPr>
            </w:pPr>
          </w:p>
        </w:tc>
        <w:tc>
          <w:tcPr>
            <w:tcW w:w="3675" w:type="dxa"/>
          </w:tcPr>
          <w:p w14:paraId="722DBE3A">
            <w:pPr>
              <w:spacing w:line="360" w:lineRule="auto"/>
              <w:jc w:val="left"/>
              <w:rPr>
                <w:rFonts w:ascii="宋体" w:hAnsi="宋体"/>
                <w:color w:val="auto"/>
                <w:sz w:val="24"/>
                <w:highlight w:val="none"/>
              </w:rPr>
            </w:pPr>
          </w:p>
        </w:tc>
        <w:tc>
          <w:tcPr>
            <w:tcW w:w="2268" w:type="dxa"/>
          </w:tcPr>
          <w:p w14:paraId="5FE7B300">
            <w:pPr>
              <w:spacing w:line="360" w:lineRule="auto"/>
              <w:jc w:val="left"/>
              <w:rPr>
                <w:rFonts w:ascii="宋体" w:hAnsi="宋体"/>
                <w:color w:val="auto"/>
                <w:sz w:val="24"/>
                <w:highlight w:val="none"/>
              </w:rPr>
            </w:pPr>
          </w:p>
        </w:tc>
        <w:tc>
          <w:tcPr>
            <w:tcW w:w="1134" w:type="dxa"/>
          </w:tcPr>
          <w:p w14:paraId="56CAF19F">
            <w:pPr>
              <w:spacing w:line="360" w:lineRule="auto"/>
              <w:rPr>
                <w:rFonts w:ascii="宋体" w:hAnsi="宋体"/>
                <w:color w:val="auto"/>
                <w:sz w:val="24"/>
                <w:highlight w:val="none"/>
              </w:rPr>
            </w:pPr>
          </w:p>
        </w:tc>
        <w:tc>
          <w:tcPr>
            <w:tcW w:w="1701" w:type="dxa"/>
          </w:tcPr>
          <w:p w14:paraId="42A44CCF">
            <w:pPr>
              <w:spacing w:line="360" w:lineRule="auto"/>
              <w:rPr>
                <w:rFonts w:ascii="宋体" w:hAnsi="宋体"/>
                <w:color w:val="auto"/>
                <w:sz w:val="24"/>
                <w:highlight w:val="none"/>
              </w:rPr>
            </w:pPr>
          </w:p>
        </w:tc>
      </w:tr>
      <w:tr w14:paraId="3662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restart"/>
          </w:tcPr>
          <w:p w14:paraId="4FC6C538">
            <w:pPr>
              <w:spacing w:line="360" w:lineRule="auto"/>
              <w:jc w:val="left"/>
              <w:rPr>
                <w:rFonts w:ascii="宋体" w:hAnsi="宋体"/>
                <w:color w:val="auto"/>
                <w:sz w:val="24"/>
                <w:highlight w:val="none"/>
              </w:rPr>
            </w:pPr>
            <w:r>
              <w:rPr>
                <w:rFonts w:hint="eastAsia" w:ascii="宋体" w:hAnsi="宋体"/>
                <w:b/>
                <w:bCs/>
                <w:color w:val="auto"/>
                <w:sz w:val="24"/>
                <w:highlight w:val="none"/>
              </w:rPr>
              <w:t>商务、资信及其他分23分</w:t>
            </w:r>
          </w:p>
        </w:tc>
        <w:tc>
          <w:tcPr>
            <w:tcW w:w="3675" w:type="dxa"/>
          </w:tcPr>
          <w:p w14:paraId="1788D1E2">
            <w:pPr>
              <w:spacing w:line="360" w:lineRule="auto"/>
              <w:jc w:val="left"/>
              <w:rPr>
                <w:rFonts w:ascii="宋体" w:hAnsi="宋体"/>
                <w:color w:val="auto"/>
                <w:sz w:val="24"/>
                <w:highlight w:val="none"/>
              </w:rPr>
            </w:pPr>
          </w:p>
        </w:tc>
        <w:tc>
          <w:tcPr>
            <w:tcW w:w="2268" w:type="dxa"/>
          </w:tcPr>
          <w:p w14:paraId="76E88B16">
            <w:pPr>
              <w:spacing w:line="360" w:lineRule="auto"/>
              <w:jc w:val="left"/>
              <w:rPr>
                <w:rFonts w:ascii="宋体" w:hAnsi="宋体"/>
                <w:color w:val="auto"/>
                <w:sz w:val="24"/>
                <w:highlight w:val="none"/>
              </w:rPr>
            </w:pPr>
          </w:p>
        </w:tc>
        <w:tc>
          <w:tcPr>
            <w:tcW w:w="1134" w:type="dxa"/>
          </w:tcPr>
          <w:p w14:paraId="522CCFD7">
            <w:pPr>
              <w:spacing w:line="360" w:lineRule="auto"/>
              <w:rPr>
                <w:rFonts w:ascii="宋体" w:hAnsi="宋体"/>
                <w:color w:val="auto"/>
                <w:sz w:val="24"/>
                <w:highlight w:val="none"/>
              </w:rPr>
            </w:pPr>
          </w:p>
        </w:tc>
        <w:tc>
          <w:tcPr>
            <w:tcW w:w="1701" w:type="dxa"/>
          </w:tcPr>
          <w:p w14:paraId="1C2E46E5">
            <w:pPr>
              <w:spacing w:line="360" w:lineRule="auto"/>
              <w:rPr>
                <w:rFonts w:ascii="宋体" w:hAnsi="宋体"/>
                <w:color w:val="auto"/>
                <w:sz w:val="24"/>
                <w:highlight w:val="none"/>
              </w:rPr>
            </w:pPr>
          </w:p>
        </w:tc>
      </w:tr>
      <w:tr w14:paraId="5232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14:paraId="7CC41A09">
            <w:pPr>
              <w:spacing w:line="360" w:lineRule="auto"/>
              <w:jc w:val="left"/>
              <w:rPr>
                <w:rFonts w:ascii="宋体" w:hAnsi="宋体"/>
                <w:color w:val="auto"/>
                <w:sz w:val="24"/>
                <w:highlight w:val="none"/>
              </w:rPr>
            </w:pPr>
          </w:p>
        </w:tc>
        <w:tc>
          <w:tcPr>
            <w:tcW w:w="3675" w:type="dxa"/>
          </w:tcPr>
          <w:p w14:paraId="0A27C99A">
            <w:pPr>
              <w:spacing w:line="360" w:lineRule="auto"/>
              <w:jc w:val="left"/>
              <w:rPr>
                <w:rFonts w:ascii="宋体" w:hAnsi="宋体"/>
                <w:color w:val="auto"/>
                <w:sz w:val="24"/>
                <w:highlight w:val="none"/>
              </w:rPr>
            </w:pPr>
          </w:p>
        </w:tc>
        <w:tc>
          <w:tcPr>
            <w:tcW w:w="2268" w:type="dxa"/>
          </w:tcPr>
          <w:p w14:paraId="336DD603">
            <w:pPr>
              <w:spacing w:line="360" w:lineRule="auto"/>
              <w:jc w:val="left"/>
              <w:rPr>
                <w:rFonts w:ascii="宋体" w:hAnsi="宋体"/>
                <w:color w:val="auto"/>
                <w:sz w:val="24"/>
                <w:highlight w:val="none"/>
              </w:rPr>
            </w:pPr>
          </w:p>
        </w:tc>
        <w:tc>
          <w:tcPr>
            <w:tcW w:w="1134" w:type="dxa"/>
          </w:tcPr>
          <w:p w14:paraId="17B80C5B">
            <w:pPr>
              <w:spacing w:line="360" w:lineRule="auto"/>
              <w:rPr>
                <w:rFonts w:ascii="宋体" w:hAnsi="宋体"/>
                <w:color w:val="auto"/>
                <w:sz w:val="24"/>
                <w:highlight w:val="none"/>
              </w:rPr>
            </w:pPr>
          </w:p>
        </w:tc>
        <w:tc>
          <w:tcPr>
            <w:tcW w:w="1701" w:type="dxa"/>
          </w:tcPr>
          <w:p w14:paraId="0ABEBBAE">
            <w:pPr>
              <w:spacing w:line="360" w:lineRule="auto"/>
              <w:rPr>
                <w:rFonts w:ascii="宋体" w:hAnsi="宋体"/>
                <w:color w:val="auto"/>
                <w:sz w:val="24"/>
                <w:highlight w:val="none"/>
              </w:rPr>
            </w:pPr>
          </w:p>
        </w:tc>
      </w:tr>
      <w:tr w14:paraId="163E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14:paraId="7E235619">
            <w:pPr>
              <w:spacing w:line="360" w:lineRule="auto"/>
              <w:jc w:val="left"/>
              <w:rPr>
                <w:rFonts w:ascii="宋体" w:hAnsi="宋体"/>
                <w:color w:val="auto"/>
                <w:sz w:val="24"/>
                <w:highlight w:val="none"/>
              </w:rPr>
            </w:pPr>
          </w:p>
        </w:tc>
        <w:tc>
          <w:tcPr>
            <w:tcW w:w="3675" w:type="dxa"/>
          </w:tcPr>
          <w:p w14:paraId="2CAAF904">
            <w:pPr>
              <w:spacing w:line="360" w:lineRule="auto"/>
              <w:jc w:val="left"/>
              <w:rPr>
                <w:rFonts w:ascii="宋体" w:hAnsi="宋体"/>
                <w:color w:val="auto"/>
                <w:sz w:val="24"/>
                <w:highlight w:val="none"/>
              </w:rPr>
            </w:pPr>
          </w:p>
        </w:tc>
        <w:tc>
          <w:tcPr>
            <w:tcW w:w="2268" w:type="dxa"/>
          </w:tcPr>
          <w:p w14:paraId="361FD2B7">
            <w:pPr>
              <w:spacing w:line="360" w:lineRule="auto"/>
              <w:jc w:val="left"/>
              <w:rPr>
                <w:rFonts w:ascii="宋体" w:hAnsi="宋体"/>
                <w:color w:val="auto"/>
                <w:sz w:val="24"/>
                <w:highlight w:val="none"/>
              </w:rPr>
            </w:pPr>
          </w:p>
        </w:tc>
        <w:tc>
          <w:tcPr>
            <w:tcW w:w="1134" w:type="dxa"/>
          </w:tcPr>
          <w:p w14:paraId="7DE37C29">
            <w:pPr>
              <w:spacing w:line="360" w:lineRule="auto"/>
              <w:rPr>
                <w:rFonts w:ascii="宋体" w:hAnsi="宋体"/>
                <w:color w:val="auto"/>
                <w:sz w:val="24"/>
                <w:highlight w:val="none"/>
              </w:rPr>
            </w:pPr>
          </w:p>
        </w:tc>
        <w:tc>
          <w:tcPr>
            <w:tcW w:w="1701" w:type="dxa"/>
          </w:tcPr>
          <w:p w14:paraId="1B1F2E41">
            <w:pPr>
              <w:spacing w:line="360" w:lineRule="auto"/>
              <w:rPr>
                <w:rFonts w:ascii="宋体" w:hAnsi="宋体"/>
                <w:color w:val="auto"/>
                <w:sz w:val="24"/>
                <w:highlight w:val="none"/>
              </w:rPr>
            </w:pPr>
          </w:p>
        </w:tc>
      </w:tr>
      <w:tr w14:paraId="17E7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828" w:type="dxa"/>
            <w:vMerge w:val="continue"/>
          </w:tcPr>
          <w:p w14:paraId="68C7B687">
            <w:pPr>
              <w:spacing w:line="360" w:lineRule="auto"/>
              <w:jc w:val="left"/>
              <w:rPr>
                <w:rFonts w:ascii="宋体" w:hAnsi="宋体"/>
                <w:color w:val="auto"/>
                <w:sz w:val="24"/>
                <w:highlight w:val="none"/>
              </w:rPr>
            </w:pPr>
          </w:p>
        </w:tc>
        <w:tc>
          <w:tcPr>
            <w:tcW w:w="3675" w:type="dxa"/>
          </w:tcPr>
          <w:p w14:paraId="50B23B46">
            <w:pPr>
              <w:spacing w:line="360" w:lineRule="auto"/>
              <w:jc w:val="left"/>
              <w:rPr>
                <w:rFonts w:ascii="宋体" w:hAnsi="宋体"/>
                <w:color w:val="auto"/>
                <w:sz w:val="24"/>
                <w:highlight w:val="none"/>
              </w:rPr>
            </w:pPr>
          </w:p>
        </w:tc>
        <w:tc>
          <w:tcPr>
            <w:tcW w:w="2268" w:type="dxa"/>
          </w:tcPr>
          <w:p w14:paraId="6098CB4A">
            <w:pPr>
              <w:spacing w:line="360" w:lineRule="auto"/>
              <w:jc w:val="left"/>
              <w:rPr>
                <w:rFonts w:ascii="宋体" w:hAnsi="宋体"/>
                <w:color w:val="auto"/>
                <w:sz w:val="24"/>
                <w:highlight w:val="none"/>
              </w:rPr>
            </w:pPr>
          </w:p>
        </w:tc>
        <w:tc>
          <w:tcPr>
            <w:tcW w:w="1134" w:type="dxa"/>
          </w:tcPr>
          <w:p w14:paraId="60BBAE12">
            <w:pPr>
              <w:spacing w:line="360" w:lineRule="auto"/>
              <w:rPr>
                <w:rFonts w:ascii="宋体" w:hAnsi="宋体"/>
                <w:color w:val="auto"/>
                <w:sz w:val="24"/>
                <w:highlight w:val="none"/>
              </w:rPr>
            </w:pPr>
          </w:p>
        </w:tc>
        <w:tc>
          <w:tcPr>
            <w:tcW w:w="1701" w:type="dxa"/>
          </w:tcPr>
          <w:p w14:paraId="1B11E0BA">
            <w:pPr>
              <w:spacing w:line="360" w:lineRule="auto"/>
              <w:rPr>
                <w:rFonts w:ascii="宋体" w:hAnsi="宋体"/>
                <w:color w:val="auto"/>
                <w:sz w:val="24"/>
                <w:highlight w:val="none"/>
              </w:rPr>
            </w:pPr>
          </w:p>
        </w:tc>
      </w:tr>
      <w:tr w14:paraId="06B0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14:paraId="140C4DC1">
            <w:pPr>
              <w:spacing w:line="360" w:lineRule="auto"/>
              <w:jc w:val="left"/>
              <w:rPr>
                <w:rFonts w:ascii="宋体" w:hAnsi="宋体"/>
                <w:color w:val="auto"/>
                <w:sz w:val="24"/>
                <w:highlight w:val="none"/>
              </w:rPr>
            </w:pPr>
          </w:p>
        </w:tc>
        <w:tc>
          <w:tcPr>
            <w:tcW w:w="3675" w:type="dxa"/>
          </w:tcPr>
          <w:p w14:paraId="370FB19E">
            <w:pPr>
              <w:spacing w:line="360" w:lineRule="auto"/>
              <w:jc w:val="left"/>
              <w:rPr>
                <w:rFonts w:ascii="宋体" w:hAnsi="宋体"/>
                <w:color w:val="auto"/>
                <w:sz w:val="24"/>
                <w:highlight w:val="none"/>
              </w:rPr>
            </w:pPr>
          </w:p>
        </w:tc>
        <w:tc>
          <w:tcPr>
            <w:tcW w:w="2268" w:type="dxa"/>
          </w:tcPr>
          <w:p w14:paraId="701DBF54">
            <w:pPr>
              <w:spacing w:line="360" w:lineRule="auto"/>
              <w:jc w:val="left"/>
              <w:rPr>
                <w:rFonts w:ascii="宋体" w:hAnsi="宋体"/>
                <w:color w:val="auto"/>
                <w:sz w:val="24"/>
                <w:highlight w:val="none"/>
              </w:rPr>
            </w:pPr>
          </w:p>
        </w:tc>
        <w:tc>
          <w:tcPr>
            <w:tcW w:w="1134" w:type="dxa"/>
          </w:tcPr>
          <w:p w14:paraId="4041FDEA">
            <w:pPr>
              <w:spacing w:line="360" w:lineRule="auto"/>
              <w:rPr>
                <w:rFonts w:ascii="宋体" w:hAnsi="宋体"/>
                <w:color w:val="auto"/>
                <w:sz w:val="24"/>
                <w:highlight w:val="none"/>
              </w:rPr>
            </w:pPr>
          </w:p>
        </w:tc>
        <w:tc>
          <w:tcPr>
            <w:tcW w:w="1701" w:type="dxa"/>
          </w:tcPr>
          <w:p w14:paraId="3EB6D259">
            <w:pPr>
              <w:spacing w:line="360" w:lineRule="auto"/>
              <w:rPr>
                <w:rFonts w:ascii="宋体" w:hAnsi="宋体"/>
                <w:color w:val="auto"/>
                <w:sz w:val="24"/>
                <w:highlight w:val="none"/>
              </w:rPr>
            </w:pPr>
          </w:p>
        </w:tc>
      </w:tr>
      <w:tr w14:paraId="1EB2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03" w:type="dxa"/>
            <w:gridSpan w:val="2"/>
            <w:vAlign w:val="center"/>
          </w:tcPr>
          <w:p w14:paraId="3C2ED171">
            <w:pPr>
              <w:spacing w:line="360" w:lineRule="auto"/>
              <w:jc w:val="center"/>
              <w:rPr>
                <w:rFonts w:ascii="宋体" w:hAnsi="宋体"/>
                <w:color w:val="auto"/>
                <w:sz w:val="24"/>
                <w:highlight w:val="none"/>
              </w:rPr>
            </w:pPr>
            <w:r>
              <w:rPr>
                <w:rFonts w:hint="eastAsia" w:ascii="宋体" w:hAnsi="宋体"/>
                <w:color w:val="auto"/>
                <w:sz w:val="24"/>
                <w:highlight w:val="none"/>
              </w:rPr>
              <w:t>合计得分</w:t>
            </w:r>
          </w:p>
        </w:tc>
        <w:tc>
          <w:tcPr>
            <w:tcW w:w="2268" w:type="dxa"/>
          </w:tcPr>
          <w:p w14:paraId="6B25A2C8">
            <w:pPr>
              <w:spacing w:line="360" w:lineRule="auto"/>
              <w:rPr>
                <w:rFonts w:ascii="宋体" w:hAnsi="宋体"/>
                <w:color w:val="auto"/>
                <w:sz w:val="24"/>
                <w:highlight w:val="none"/>
              </w:rPr>
            </w:pPr>
          </w:p>
        </w:tc>
        <w:tc>
          <w:tcPr>
            <w:tcW w:w="2835" w:type="dxa"/>
            <w:gridSpan w:val="2"/>
          </w:tcPr>
          <w:p w14:paraId="1DE2BE7B">
            <w:pPr>
              <w:spacing w:line="360" w:lineRule="auto"/>
              <w:rPr>
                <w:rFonts w:ascii="宋体" w:hAnsi="宋体"/>
                <w:color w:val="auto"/>
                <w:sz w:val="24"/>
                <w:highlight w:val="none"/>
              </w:rPr>
            </w:pPr>
          </w:p>
        </w:tc>
      </w:tr>
    </w:tbl>
    <w:p w14:paraId="35EEE538">
      <w:pPr>
        <w:rPr>
          <w:color w:val="auto"/>
          <w:highlight w:val="none"/>
        </w:rPr>
      </w:pPr>
    </w:p>
    <w:p w14:paraId="28DC6CA3">
      <w:pPr>
        <w:snapToGrid w:val="0"/>
        <w:spacing w:line="360" w:lineRule="auto"/>
        <w:jc w:val="center"/>
        <w:rPr>
          <w:rFonts w:ascii="宋体" w:hAnsi="宋体"/>
          <w:color w:val="auto"/>
          <w:sz w:val="24"/>
          <w:highlight w:val="none"/>
        </w:rPr>
      </w:pPr>
    </w:p>
    <w:p w14:paraId="2B407425">
      <w:pPr>
        <w:snapToGrid w:val="0"/>
        <w:spacing w:line="360" w:lineRule="auto"/>
        <w:jc w:val="center"/>
        <w:rPr>
          <w:rFonts w:ascii="宋体" w:hAnsi="宋体"/>
          <w:color w:val="auto"/>
          <w:sz w:val="24"/>
          <w:highlight w:val="none"/>
        </w:rPr>
      </w:pPr>
    </w:p>
    <w:p w14:paraId="62B47B7E">
      <w:pPr>
        <w:rPr>
          <w:color w:val="auto"/>
          <w:highlight w:val="none"/>
        </w:rPr>
      </w:pPr>
    </w:p>
    <w:p w14:paraId="40F278A0">
      <w:pPr>
        <w:snapToGrid w:val="0"/>
        <w:spacing w:line="360" w:lineRule="auto"/>
        <w:jc w:val="center"/>
        <w:rPr>
          <w:rFonts w:ascii="宋体" w:hAnsi="宋体"/>
          <w:color w:val="auto"/>
          <w:sz w:val="24"/>
          <w:highlight w:val="none"/>
        </w:rPr>
      </w:pPr>
    </w:p>
    <w:p w14:paraId="310A6286">
      <w:pPr>
        <w:snapToGrid w:val="0"/>
        <w:spacing w:line="360" w:lineRule="auto"/>
        <w:jc w:val="center"/>
        <w:rPr>
          <w:rFonts w:ascii="宋体" w:hAnsi="宋体"/>
          <w:color w:val="auto"/>
          <w:sz w:val="24"/>
          <w:highlight w:val="none"/>
        </w:rPr>
      </w:pPr>
    </w:p>
    <w:p w14:paraId="767284B2">
      <w:pPr>
        <w:snapToGrid w:val="0"/>
        <w:spacing w:line="360" w:lineRule="auto"/>
        <w:jc w:val="center"/>
        <w:rPr>
          <w:rFonts w:ascii="宋体" w:hAnsi="宋体"/>
          <w:color w:val="auto"/>
          <w:sz w:val="24"/>
          <w:highlight w:val="none"/>
        </w:rPr>
      </w:pPr>
    </w:p>
    <w:p w14:paraId="22598E96">
      <w:pPr>
        <w:snapToGrid w:val="0"/>
        <w:spacing w:line="360" w:lineRule="auto"/>
        <w:jc w:val="center"/>
        <w:rPr>
          <w:rFonts w:ascii="宋体" w:hAnsi="宋体"/>
          <w:color w:val="auto"/>
          <w:sz w:val="24"/>
          <w:highlight w:val="none"/>
        </w:rPr>
      </w:pPr>
    </w:p>
    <w:p w14:paraId="60BFD5F3">
      <w:pPr>
        <w:snapToGrid w:val="0"/>
        <w:spacing w:line="360" w:lineRule="auto"/>
        <w:jc w:val="center"/>
        <w:rPr>
          <w:rFonts w:ascii="宋体" w:hAnsi="宋体"/>
          <w:color w:val="auto"/>
          <w:sz w:val="24"/>
          <w:highlight w:val="none"/>
        </w:rPr>
      </w:pPr>
    </w:p>
    <w:p w14:paraId="3A7FB3BA">
      <w:pPr>
        <w:snapToGrid w:val="0"/>
        <w:spacing w:line="360" w:lineRule="auto"/>
        <w:jc w:val="center"/>
        <w:rPr>
          <w:rFonts w:ascii="宋体" w:hAnsi="宋体"/>
          <w:color w:val="auto"/>
          <w:sz w:val="24"/>
          <w:highlight w:val="none"/>
        </w:rPr>
      </w:pPr>
    </w:p>
    <w:p w14:paraId="501EC85A">
      <w:pPr>
        <w:snapToGrid w:val="0"/>
        <w:spacing w:line="360" w:lineRule="auto"/>
        <w:jc w:val="center"/>
        <w:rPr>
          <w:rFonts w:ascii="宋体" w:hAnsi="宋体"/>
          <w:color w:val="auto"/>
          <w:sz w:val="24"/>
          <w:highlight w:val="none"/>
        </w:rPr>
      </w:pPr>
    </w:p>
    <w:p w14:paraId="47F9001C">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三、报价文件格式</w:t>
      </w:r>
    </w:p>
    <w:p w14:paraId="3685FCBA">
      <w:pPr>
        <w:snapToGrid w:val="0"/>
        <w:spacing w:line="360" w:lineRule="auto"/>
        <w:rPr>
          <w:rFonts w:ascii="宋体" w:hAnsi="宋体"/>
          <w:color w:val="auto"/>
          <w:sz w:val="24"/>
          <w:szCs w:val="20"/>
          <w:highlight w:val="none"/>
        </w:rPr>
      </w:pPr>
      <w:r>
        <w:rPr>
          <w:rFonts w:hint="eastAsia" w:ascii="宋体" w:hAnsi="宋体"/>
          <w:color w:val="auto"/>
          <w:sz w:val="24"/>
          <w:highlight w:val="none"/>
        </w:rPr>
        <w:t>32.报价文件封面格式：</w:t>
      </w:r>
    </w:p>
    <w:p w14:paraId="4D3D3B25">
      <w:pPr>
        <w:snapToGrid w:val="0"/>
        <w:spacing w:line="360" w:lineRule="auto"/>
        <w:rPr>
          <w:rFonts w:ascii="宋体" w:hAnsi="宋体"/>
          <w:b/>
          <w:bCs/>
          <w:color w:val="auto"/>
          <w:highlight w:val="none"/>
        </w:rPr>
      </w:pPr>
    </w:p>
    <w:p w14:paraId="4112D089">
      <w:pPr>
        <w:snapToGrid w:val="0"/>
        <w:spacing w:line="360" w:lineRule="auto"/>
        <w:rPr>
          <w:rFonts w:ascii="宋体" w:hAnsi="宋体"/>
          <w:color w:val="auto"/>
          <w:sz w:val="24"/>
          <w:szCs w:val="20"/>
          <w:highlight w:val="none"/>
        </w:rPr>
      </w:pPr>
    </w:p>
    <w:p w14:paraId="09D6E64C">
      <w:pPr>
        <w:snapToGrid w:val="0"/>
        <w:spacing w:line="360" w:lineRule="auto"/>
        <w:jc w:val="center"/>
        <w:rPr>
          <w:rFonts w:ascii="宋体" w:hAnsi="宋体"/>
          <w:bCs/>
          <w:color w:val="auto"/>
          <w:sz w:val="24"/>
          <w:szCs w:val="20"/>
          <w:highlight w:val="none"/>
        </w:rPr>
      </w:pPr>
    </w:p>
    <w:p w14:paraId="144DB2E0">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报价文件</w:t>
      </w:r>
    </w:p>
    <w:p w14:paraId="03D3F6DF">
      <w:pPr>
        <w:snapToGrid w:val="0"/>
        <w:spacing w:line="360" w:lineRule="auto"/>
        <w:rPr>
          <w:rFonts w:ascii="宋体" w:hAnsi="宋体"/>
          <w:bCs/>
          <w:color w:val="auto"/>
          <w:sz w:val="24"/>
          <w:szCs w:val="20"/>
          <w:highlight w:val="none"/>
        </w:rPr>
      </w:pPr>
    </w:p>
    <w:p w14:paraId="75B28507">
      <w:pPr>
        <w:snapToGrid w:val="0"/>
        <w:spacing w:line="360" w:lineRule="auto"/>
        <w:ind w:firstLine="960" w:firstLine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湖州南太湖新区市本级移交道路绿化养护补植项目（2025-2027年度）</w:t>
      </w:r>
    </w:p>
    <w:p w14:paraId="5CA64A56">
      <w:pPr>
        <w:snapToGrid w:val="0"/>
        <w:spacing w:line="360" w:lineRule="auto"/>
        <w:ind w:firstLine="960" w:firstLineChars="400"/>
        <w:jc w:val="left"/>
        <w:rPr>
          <w:rFonts w:ascii="宋体" w:hAnsi="宋体"/>
          <w:color w:val="auto"/>
          <w:sz w:val="24"/>
          <w:highlight w:val="none"/>
        </w:rPr>
      </w:pPr>
      <w:r>
        <w:rPr>
          <w:rFonts w:hint="eastAsia" w:ascii="宋体" w:hAnsi="宋体"/>
          <w:bCs/>
          <w:color w:val="auto"/>
          <w:sz w:val="24"/>
          <w:highlight w:val="none"/>
        </w:rPr>
        <w:t>项目编号：HYHZ</w:t>
      </w:r>
      <w:r>
        <w:rPr>
          <w:rFonts w:hint="eastAsia" w:ascii="宋体" w:hAnsi="宋体"/>
          <w:b/>
          <w:bCs/>
          <w:color w:val="auto"/>
          <w:sz w:val="24"/>
          <w:highlight w:val="none"/>
        </w:rPr>
        <w:t>2025-103</w:t>
      </w:r>
    </w:p>
    <w:p w14:paraId="727EBB8D">
      <w:pPr>
        <w:snapToGrid w:val="0"/>
        <w:spacing w:line="360" w:lineRule="auto"/>
        <w:ind w:firstLine="1080" w:firstLineChars="450"/>
        <w:rPr>
          <w:color w:val="auto"/>
          <w:sz w:val="24"/>
          <w:highlight w:val="none"/>
        </w:rPr>
      </w:pPr>
      <w:r>
        <w:rPr>
          <w:rFonts w:hint="eastAsia"/>
          <w:color w:val="auto"/>
          <w:sz w:val="24"/>
          <w:highlight w:val="none"/>
        </w:rPr>
        <w:t>投标人名称：</w:t>
      </w:r>
    </w:p>
    <w:p w14:paraId="02EE0929">
      <w:pPr>
        <w:pStyle w:val="6"/>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00E223F8">
      <w:pPr>
        <w:pStyle w:val="6"/>
        <w:snapToGrid w:val="0"/>
        <w:spacing w:line="360" w:lineRule="auto"/>
        <w:ind w:firstLine="960" w:firstLineChars="400"/>
        <w:rPr>
          <w:rFonts w:ascii="宋体" w:hAnsi="宋体"/>
          <w:bCs/>
          <w:color w:val="auto"/>
          <w:sz w:val="24"/>
          <w:szCs w:val="24"/>
          <w:highlight w:val="none"/>
        </w:rPr>
      </w:pPr>
    </w:p>
    <w:p w14:paraId="7E8A8BCD">
      <w:pPr>
        <w:pStyle w:val="6"/>
        <w:snapToGrid w:val="0"/>
        <w:spacing w:line="360" w:lineRule="auto"/>
        <w:ind w:firstLine="1497" w:firstLineChars="416"/>
        <w:rPr>
          <w:rFonts w:ascii="宋体" w:hAnsi="宋体"/>
          <w:color w:val="auto"/>
          <w:sz w:val="36"/>
          <w:highlight w:val="none"/>
        </w:rPr>
      </w:pPr>
    </w:p>
    <w:p w14:paraId="24223CD7">
      <w:pPr>
        <w:snapToGrid w:val="0"/>
        <w:spacing w:line="360" w:lineRule="auto"/>
        <w:ind w:firstLine="4080" w:firstLineChars="1700"/>
        <w:rPr>
          <w:rFonts w:ascii="宋体" w:hAnsi="宋体"/>
          <w:color w:val="auto"/>
          <w:sz w:val="24"/>
          <w:szCs w:val="20"/>
          <w:highlight w:val="none"/>
        </w:rPr>
      </w:pPr>
    </w:p>
    <w:p w14:paraId="5084D733">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年月日</w:t>
      </w:r>
    </w:p>
    <w:p w14:paraId="1340AA3A">
      <w:pPr>
        <w:snapToGrid w:val="0"/>
        <w:spacing w:line="360" w:lineRule="auto"/>
        <w:jc w:val="center"/>
        <w:rPr>
          <w:rFonts w:ascii="宋体" w:hAnsi="宋体"/>
          <w:color w:val="auto"/>
          <w:sz w:val="30"/>
          <w:szCs w:val="20"/>
          <w:highlight w:val="none"/>
        </w:rPr>
      </w:pPr>
    </w:p>
    <w:p w14:paraId="32CF3FB9">
      <w:pPr>
        <w:snapToGrid w:val="0"/>
        <w:spacing w:line="360" w:lineRule="auto"/>
        <w:rPr>
          <w:rFonts w:ascii="宋体" w:hAnsi="宋体"/>
          <w:color w:val="auto"/>
          <w:sz w:val="24"/>
          <w:szCs w:val="20"/>
          <w:highlight w:val="none"/>
        </w:rPr>
      </w:pPr>
      <w:r>
        <w:rPr>
          <w:rFonts w:ascii="宋体" w:hAnsi="宋体"/>
          <w:color w:val="auto"/>
          <w:highlight w:val="none"/>
        </w:rPr>
        <w:br w:type="page"/>
      </w:r>
      <w:r>
        <w:rPr>
          <w:rFonts w:hint="eastAsia" w:ascii="宋体" w:hAnsi="宋体"/>
          <w:color w:val="auto"/>
          <w:highlight w:val="none"/>
        </w:rPr>
        <w:t>33</w:t>
      </w:r>
      <w:r>
        <w:rPr>
          <w:rFonts w:hint="eastAsia" w:ascii="宋体" w:hAnsi="宋体"/>
          <w:color w:val="auto"/>
          <w:sz w:val="24"/>
          <w:highlight w:val="none"/>
        </w:rPr>
        <w:t>.投标函格式：</w:t>
      </w:r>
    </w:p>
    <w:p w14:paraId="53CC6F14">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投标函</w:t>
      </w:r>
    </w:p>
    <w:p w14:paraId="64CE280E">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53E3A077">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根据贵方为项目的招标公告</w:t>
      </w:r>
      <w:r>
        <w:rPr>
          <w:rFonts w:ascii="宋体" w:hAnsi="宋体"/>
          <w:color w:val="auto"/>
          <w:sz w:val="24"/>
          <w:highlight w:val="none"/>
        </w:rPr>
        <w:t>/</w:t>
      </w:r>
      <w:r>
        <w:rPr>
          <w:rFonts w:hint="eastAsia" w:ascii="宋体" w:hAnsi="宋体"/>
          <w:color w:val="auto"/>
          <w:sz w:val="24"/>
          <w:highlight w:val="none"/>
        </w:rPr>
        <w:t>投标邀请书</w:t>
      </w:r>
    </w:p>
    <w:p w14:paraId="5E8FC6FA">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（项目编号：</w:t>
      </w:r>
      <w:r>
        <w:rPr>
          <w:rFonts w:ascii="宋体" w:hAnsi="宋体"/>
          <w:color w:val="auto"/>
          <w:sz w:val="24"/>
          <w:highlight w:val="none"/>
        </w:rPr>
        <w:t>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），签字代表</w:t>
      </w:r>
      <w:r>
        <w:rPr>
          <w:rFonts w:ascii="宋体" w:hAnsi="宋体"/>
          <w:color w:val="auto"/>
          <w:sz w:val="24"/>
          <w:highlight w:val="none"/>
        </w:rPr>
        <w:t>______</w:t>
      </w:r>
      <w:r>
        <w:rPr>
          <w:rFonts w:ascii="宋体" w:hAnsi="宋体"/>
          <w:color w:val="auto"/>
          <w:sz w:val="24"/>
          <w:highlight w:val="none"/>
          <w:u w:val="single"/>
        </w:rPr>
        <w:t xml:space="preserve">_     </w:t>
      </w:r>
      <w:r>
        <w:rPr>
          <w:rFonts w:hint="eastAsia" w:ascii="宋体" w:hAnsi="宋体"/>
          <w:color w:val="auto"/>
          <w:sz w:val="24"/>
          <w:highlight w:val="none"/>
        </w:rPr>
        <w:t>（全名）经正式授权并代表投标人</w:t>
      </w:r>
      <w:r>
        <w:rPr>
          <w:rFonts w:ascii="宋体" w:hAnsi="宋体"/>
          <w:color w:val="auto"/>
          <w:sz w:val="24"/>
          <w:highlight w:val="none"/>
        </w:rPr>
        <w:t>_____</w:t>
      </w:r>
      <w:r>
        <w:rPr>
          <w:rFonts w:ascii="宋体" w:hAnsi="宋体"/>
          <w:color w:val="auto"/>
          <w:sz w:val="24"/>
          <w:highlight w:val="none"/>
          <w:u w:val="single"/>
        </w:rPr>
        <w:t>__                    __</w:t>
      </w:r>
      <w:r>
        <w:rPr>
          <w:rFonts w:hint="eastAsia" w:ascii="宋体" w:hAnsi="宋体"/>
          <w:color w:val="auto"/>
          <w:sz w:val="24"/>
          <w:highlight w:val="none"/>
        </w:rPr>
        <w:t>（投标人名称）提交资格文件、技术/资信/商务文件</w:t>
      </w:r>
      <w:r>
        <w:rPr>
          <w:rFonts w:hint="eastAsia" w:ascii="宋体" w:hAnsi="宋体" w:cs="Arial"/>
          <w:color w:val="auto"/>
          <w:sz w:val="24"/>
          <w:highlight w:val="none"/>
        </w:rPr>
        <w:t>、</w:t>
      </w:r>
      <w:r>
        <w:rPr>
          <w:rFonts w:hint="eastAsia" w:ascii="宋体" w:hAnsi="宋体"/>
          <w:color w:val="auto"/>
          <w:sz w:val="24"/>
          <w:highlight w:val="none"/>
        </w:rPr>
        <w:t>投标报价文件各一份。</w:t>
      </w:r>
    </w:p>
    <w:p w14:paraId="4CD1452D">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14:paraId="1357BFD1">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2866810E">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14:paraId="7F71BE8A">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14:paraId="49A7A6C6">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14:paraId="3FB5D079">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.投标人同意按照贵方要求提供与投标有关的一切数据或资料。</w:t>
      </w:r>
    </w:p>
    <w:p w14:paraId="3D0B83EE">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14:paraId="7DD1105B">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 xml:space="preserve">        _</w:t>
      </w:r>
      <w:r>
        <w:rPr>
          <w:rFonts w:ascii="宋体" w:hAnsi="宋体"/>
          <w:color w:val="auto"/>
          <w:sz w:val="24"/>
          <w:highlight w:val="none"/>
        </w:rPr>
        <w:t>____</w:t>
      </w:r>
      <w:r>
        <w:rPr>
          <w:rFonts w:hint="eastAsia" w:ascii="宋体" w:hAnsi="宋体"/>
          <w:color w:val="auto"/>
          <w:sz w:val="24"/>
          <w:highlight w:val="none"/>
        </w:rPr>
        <w:t>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14:paraId="586D7D86">
      <w:pPr>
        <w:snapToGrid w:val="0"/>
        <w:spacing w:line="360" w:lineRule="auto"/>
        <w:rPr>
          <w:rFonts w:ascii="宋体" w:hAns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投标人代表姓名</w:t>
      </w:r>
      <w:r>
        <w:rPr>
          <w:rFonts w:ascii="宋体" w:hAnsi="宋体"/>
          <w:color w:val="auto"/>
          <w:sz w:val="24"/>
          <w:highlight w:val="none"/>
        </w:rPr>
        <w:t xml:space="preserve"> ___________  </w:t>
      </w:r>
      <w:r>
        <w:rPr>
          <w:rFonts w:hint="eastAsia" w:ascii="宋体" w:hAnsi="宋体"/>
          <w:color w:val="auto"/>
          <w:sz w:val="24"/>
          <w:highlight w:val="none"/>
        </w:rPr>
        <w:t>职务：</w:t>
      </w:r>
      <w:r>
        <w:rPr>
          <w:rFonts w:ascii="宋体" w:hAnsi="宋体"/>
          <w:color w:val="auto"/>
          <w:sz w:val="24"/>
          <w:highlight w:val="none"/>
        </w:rPr>
        <w:t>_____________</w:t>
      </w:r>
    </w:p>
    <w:p w14:paraId="7B75714A">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w:t>
      </w:r>
      <w:r>
        <w:rPr>
          <w:rFonts w:ascii="宋体" w:hAnsi="宋体"/>
          <w:color w:val="auto"/>
          <w:sz w:val="24"/>
          <w:highlight w:val="none"/>
        </w:rPr>
        <w:t>(</w:t>
      </w:r>
      <w:r>
        <w:rPr>
          <w:rFonts w:hint="eastAsia" w:ascii="宋体" w:hAnsi="宋体"/>
          <w:color w:val="auto"/>
          <w:sz w:val="24"/>
          <w:highlight w:val="none"/>
        </w:rPr>
        <w:t>公章</w:t>
      </w:r>
      <w:r>
        <w:rPr>
          <w:rFonts w:ascii="宋体" w:hAnsi="宋体"/>
          <w:color w:val="auto"/>
          <w:sz w:val="24"/>
          <w:highlight w:val="none"/>
        </w:rPr>
        <w:t>):___________________</w:t>
      </w:r>
    </w:p>
    <w:p w14:paraId="63882E80">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开户银行：银行账号：</w:t>
      </w:r>
    </w:p>
    <w:p w14:paraId="7A6CBFD6">
      <w:pPr>
        <w:snapToGrid w:val="0"/>
        <w:spacing w:line="360" w:lineRule="auto"/>
        <w:rPr>
          <w:rFonts w:ascii="宋体" w:hAnsi="宋体"/>
          <w:color w:val="auto"/>
          <w:sz w:val="30"/>
          <w:szCs w:val="20"/>
          <w:highlight w:val="none"/>
        </w:rPr>
      </w:pPr>
      <w:r>
        <w:rPr>
          <w:rFonts w:hint="eastAsia" w:ascii="宋体" w:hAnsi="宋体"/>
          <w:color w:val="auto"/>
          <w:sz w:val="24"/>
          <w:highlight w:val="none"/>
        </w:rPr>
        <w:t>法定代表人签名</w:t>
      </w:r>
      <w:r>
        <w:rPr>
          <w:rFonts w:ascii="宋体" w:hAnsi="宋体"/>
          <w:color w:val="auto"/>
          <w:sz w:val="24"/>
          <w:highlight w:val="none"/>
        </w:rPr>
        <w:t xml:space="preserve">:___________                      </w:t>
      </w: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39085EB1">
      <w:pPr>
        <w:pStyle w:val="26"/>
        <w:snapToGrid w:val="0"/>
        <w:spacing w:beforeLines="0" w:afterLines="0" w:line="360" w:lineRule="auto"/>
        <w:rPr>
          <w:rFonts w:hAnsi="宋体"/>
          <w:color w:val="auto"/>
          <w:highlight w:val="none"/>
        </w:rPr>
      </w:pPr>
    </w:p>
    <w:p w14:paraId="11258026">
      <w:pPr>
        <w:snapToGrid w:val="0"/>
        <w:spacing w:line="360" w:lineRule="auto"/>
        <w:jc w:val="left"/>
        <w:rPr>
          <w:color w:val="auto"/>
          <w:sz w:val="24"/>
          <w:highlight w:val="none"/>
        </w:rPr>
      </w:pPr>
      <w:r>
        <w:rPr>
          <w:rFonts w:hAnsi="宋体"/>
          <w:color w:val="auto"/>
          <w:highlight w:val="none"/>
        </w:rPr>
        <w:br w:type="page"/>
      </w:r>
      <w:r>
        <w:rPr>
          <w:rFonts w:hint="eastAsia" w:ascii="宋体" w:hAnsi="宋体" w:cs="仿宋"/>
          <w:color w:val="auto"/>
          <w:sz w:val="24"/>
          <w:highlight w:val="none"/>
        </w:rPr>
        <w:t>34.</w:t>
      </w:r>
      <w:r>
        <w:rPr>
          <w:color w:val="auto"/>
          <w:highlight w:val="none"/>
        </w:rPr>
        <w:t xml:space="preserve"> </w:t>
      </w:r>
      <w:r>
        <w:rPr>
          <w:rFonts w:hint="eastAsia"/>
          <w:color w:val="auto"/>
          <w:sz w:val="24"/>
          <w:highlight w:val="none"/>
        </w:rPr>
        <w:t>招标代理服务费承诺函</w:t>
      </w:r>
    </w:p>
    <w:p w14:paraId="66B1EF18">
      <w:pPr>
        <w:spacing w:line="360" w:lineRule="auto"/>
        <w:jc w:val="center"/>
        <w:rPr>
          <w:b/>
          <w:color w:val="auto"/>
          <w:sz w:val="32"/>
          <w:highlight w:val="none"/>
        </w:rPr>
      </w:pPr>
    </w:p>
    <w:p w14:paraId="532E5BE3">
      <w:pPr>
        <w:tabs>
          <w:tab w:val="left" w:pos="2996"/>
        </w:tabs>
        <w:spacing w:line="360" w:lineRule="auto"/>
        <w:ind w:firstLine="480" w:firstLineChars="200"/>
        <w:rPr>
          <w:color w:val="auto"/>
          <w:sz w:val="24"/>
          <w:highlight w:val="none"/>
        </w:rPr>
      </w:pPr>
      <w:r>
        <w:rPr>
          <w:rFonts w:hint="eastAsia"/>
          <w:color w:val="auto"/>
          <w:sz w:val="24"/>
          <w:highlight w:val="none"/>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3487EA15">
      <w:pPr>
        <w:spacing w:line="360" w:lineRule="auto"/>
        <w:rPr>
          <w:color w:val="auto"/>
          <w:sz w:val="24"/>
          <w:highlight w:val="none"/>
        </w:rPr>
      </w:pPr>
    </w:p>
    <w:p w14:paraId="5D2C0091">
      <w:pPr>
        <w:spacing w:line="360" w:lineRule="auto"/>
        <w:rPr>
          <w:color w:val="auto"/>
          <w:sz w:val="24"/>
          <w:highlight w:val="none"/>
        </w:rPr>
      </w:pPr>
    </w:p>
    <w:p w14:paraId="7C1EABD0">
      <w:pPr>
        <w:spacing w:line="360" w:lineRule="auto"/>
        <w:rPr>
          <w:color w:val="auto"/>
          <w:sz w:val="24"/>
          <w:highlight w:val="none"/>
        </w:rPr>
      </w:pPr>
    </w:p>
    <w:p w14:paraId="3FB25568">
      <w:pPr>
        <w:spacing w:line="360" w:lineRule="auto"/>
        <w:rPr>
          <w:color w:val="auto"/>
          <w:sz w:val="24"/>
          <w:highlight w:val="none"/>
        </w:rPr>
      </w:pPr>
    </w:p>
    <w:p w14:paraId="37834096">
      <w:pPr>
        <w:spacing w:line="360" w:lineRule="auto"/>
        <w:ind w:firstLine="480" w:firstLineChars="200"/>
        <w:rPr>
          <w:color w:val="auto"/>
          <w:sz w:val="24"/>
          <w:highlight w:val="none"/>
        </w:rPr>
      </w:pPr>
    </w:p>
    <w:p w14:paraId="4151911C">
      <w:pPr>
        <w:spacing w:line="360" w:lineRule="auto"/>
        <w:ind w:firstLine="480" w:firstLineChars="200"/>
        <w:rPr>
          <w:color w:val="auto"/>
          <w:sz w:val="24"/>
          <w:highlight w:val="none"/>
        </w:rPr>
      </w:pPr>
    </w:p>
    <w:p w14:paraId="7138B81C">
      <w:pPr>
        <w:pStyle w:val="6"/>
        <w:spacing w:line="360" w:lineRule="auto"/>
        <w:ind w:firstLine="1454" w:firstLineChars="606"/>
        <w:rPr>
          <w:rFonts w:ascii="宋体" w:hAnsi="宋体"/>
          <w:color w:val="auto"/>
          <w:sz w:val="24"/>
          <w:szCs w:val="24"/>
          <w:highlight w:val="none"/>
        </w:rPr>
      </w:pPr>
      <w:r>
        <w:rPr>
          <w:rFonts w:hint="eastAsia" w:ascii="宋体" w:hAnsi="宋体"/>
          <w:color w:val="auto"/>
          <w:sz w:val="24"/>
          <w:szCs w:val="24"/>
          <w:highlight w:val="none"/>
        </w:rPr>
        <w:t>投标人：（盖章）</w:t>
      </w:r>
    </w:p>
    <w:p w14:paraId="27FBFB51">
      <w:pPr>
        <w:pStyle w:val="6"/>
        <w:spacing w:line="360" w:lineRule="auto"/>
        <w:ind w:firstLine="374" w:firstLineChars="156"/>
        <w:rPr>
          <w:rFonts w:ascii="宋体" w:hAnsi="宋体"/>
          <w:color w:val="auto"/>
          <w:sz w:val="24"/>
          <w:szCs w:val="24"/>
          <w:highlight w:val="none"/>
        </w:rPr>
      </w:pPr>
    </w:p>
    <w:p w14:paraId="08E510B2">
      <w:pPr>
        <w:pStyle w:val="6"/>
        <w:spacing w:line="360" w:lineRule="auto"/>
        <w:ind w:firstLine="1334" w:firstLineChars="556"/>
        <w:rPr>
          <w:rFonts w:ascii="宋体" w:hAnsi="宋体"/>
          <w:color w:val="auto"/>
          <w:sz w:val="24"/>
          <w:szCs w:val="24"/>
          <w:highlight w:val="none"/>
        </w:rPr>
      </w:pPr>
      <w:r>
        <w:rPr>
          <w:rFonts w:hint="eastAsia" w:ascii="宋体" w:hAnsi="宋体"/>
          <w:color w:val="auto"/>
          <w:sz w:val="24"/>
          <w:szCs w:val="24"/>
          <w:highlight w:val="none"/>
        </w:rPr>
        <w:t>法定代表人或其授权代理人（签名或盖章）</w:t>
      </w:r>
    </w:p>
    <w:p w14:paraId="56BE2DF7">
      <w:pPr>
        <w:pStyle w:val="6"/>
        <w:spacing w:line="360" w:lineRule="auto"/>
        <w:ind w:firstLine="374" w:firstLineChars="156"/>
        <w:jc w:val="center"/>
        <w:rPr>
          <w:rFonts w:ascii="宋体" w:hAnsi="宋体"/>
          <w:color w:val="auto"/>
          <w:sz w:val="24"/>
          <w:szCs w:val="24"/>
          <w:highlight w:val="none"/>
        </w:rPr>
      </w:pPr>
    </w:p>
    <w:p w14:paraId="58F64A80">
      <w:pPr>
        <w:pStyle w:val="6"/>
        <w:spacing w:line="360" w:lineRule="auto"/>
        <w:ind w:left="840" w:firstLine="374" w:firstLineChars="156"/>
        <w:rPr>
          <w:rFonts w:ascii="宋体" w:hAnsi="宋体"/>
          <w:color w:val="auto"/>
          <w:sz w:val="24"/>
          <w:szCs w:val="24"/>
          <w:highlight w:val="none"/>
        </w:rPr>
      </w:pPr>
      <w:r>
        <w:rPr>
          <w:rFonts w:hint="eastAsia" w:ascii="宋体" w:hAnsi="宋体"/>
          <w:color w:val="auto"/>
          <w:sz w:val="24"/>
          <w:szCs w:val="24"/>
          <w:highlight w:val="none"/>
        </w:rPr>
        <w:t>日期：年月日</w:t>
      </w:r>
    </w:p>
    <w:p w14:paraId="7B94EE4F">
      <w:pPr>
        <w:spacing w:line="360" w:lineRule="auto"/>
        <w:rPr>
          <w:color w:val="auto"/>
          <w:sz w:val="24"/>
          <w:highlight w:val="none"/>
        </w:rPr>
      </w:pPr>
    </w:p>
    <w:p w14:paraId="1B87366D">
      <w:pPr>
        <w:pStyle w:val="6"/>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2D3FB277">
      <w:pPr>
        <w:snapToGrid w:val="0"/>
        <w:jc w:val="left"/>
        <w:rPr>
          <w:rFonts w:ascii="宋体" w:hAnsi="宋体"/>
          <w:color w:val="auto"/>
          <w:sz w:val="24"/>
          <w:highlight w:val="none"/>
        </w:rPr>
      </w:pPr>
    </w:p>
    <w:p w14:paraId="7FAE41EA">
      <w:pPr>
        <w:snapToGrid w:val="0"/>
        <w:jc w:val="left"/>
        <w:rPr>
          <w:rFonts w:ascii="宋体" w:hAnsi="宋体"/>
          <w:color w:val="auto"/>
          <w:sz w:val="24"/>
          <w:highlight w:val="none"/>
        </w:rPr>
      </w:pPr>
    </w:p>
    <w:p w14:paraId="5B23A12C">
      <w:pPr>
        <w:snapToGrid w:val="0"/>
        <w:jc w:val="left"/>
        <w:rPr>
          <w:rFonts w:ascii="宋体" w:hAnsi="宋体"/>
          <w:color w:val="auto"/>
          <w:sz w:val="24"/>
          <w:highlight w:val="none"/>
        </w:rPr>
      </w:pPr>
    </w:p>
    <w:p w14:paraId="00EAF5DF">
      <w:pPr>
        <w:snapToGrid w:val="0"/>
        <w:rPr>
          <w:rFonts w:ascii="宋体" w:hAnsi="宋体"/>
          <w:color w:val="auto"/>
          <w:sz w:val="24"/>
          <w:highlight w:val="none"/>
        </w:rPr>
      </w:pPr>
      <w:r>
        <w:rPr>
          <w:rFonts w:hint="eastAsia" w:ascii="宋体" w:hAnsi="宋体"/>
          <w:color w:val="auto"/>
          <w:sz w:val="24"/>
          <w:highlight w:val="none"/>
        </w:rPr>
        <w:t>单位名称：浙江华耀建设咨询有限公司龙溪北路分公司</w:t>
      </w:r>
    </w:p>
    <w:p w14:paraId="50E71A2B">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4CE3B944">
      <w:pPr>
        <w:tabs>
          <w:tab w:val="left" w:pos="1418"/>
        </w:tabs>
        <w:snapToGrid w:val="0"/>
        <w:spacing w:before="50" w:after="50"/>
        <w:rPr>
          <w:rFonts w:ascii="宋体" w:hAnsi="宋体"/>
          <w:color w:val="auto"/>
          <w:spacing w:val="20"/>
          <w:sz w:val="24"/>
          <w:szCs w:val="20"/>
          <w:highlight w:val="none"/>
          <w:u w:val="single"/>
        </w:rPr>
      </w:pPr>
      <w:r>
        <w:rPr>
          <w:rFonts w:hint="eastAsia" w:ascii="宋体" w:hAnsi="宋体"/>
          <w:color w:val="auto"/>
          <w:sz w:val="24"/>
          <w:highlight w:val="none"/>
        </w:rPr>
        <w:t>银行账号：1205210409001029749</w:t>
      </w:r>
    </w:p>
    <w:p w14:paraId="57473C3F">
      <w:pPr>
        <w:pStyle w:val="26"/>
        <w:snapToGrid w:val="0"/>
        <w:spacing w:beforeLines="0" w:afterLines="0" w:line="360" w:lineRule="auto"/>
        <w:rPr>
          <w:color w:val="auto"/>
          <w:highlight w:val="none"/>
        </w:rPr>
      </w:pPr>
    </w:p>
    <w:p w14:paraId="62DF0EDB">
      <w:pPr>
        <w:pStyle w:val="26"/>
        <w:snapToGrid w:val="0"/>
        <w:spacing w:beforeLines="0" w:afterLines="0" w:line="360" w:lineRule="auto"/>
        <w:rPr>
          <w:color w:val="auto"/>
          <w:highlight w:val="none"/>
        </w:rPr>
      </w:pPr>
    </w:p>
    <w:p w14:paraId="2249DCD3">
      <w:pPr>
        <w:spacing w:line="360" w:lineRule="auto"/>
        <w:ind w:firstLine="480" w:firstLineChars="200"/>
        <w:rPr>
          <w:color w:val="auto"/>
          <w:sz w:val="24"/>
          <w:highlight w:val="none"/>
        </w:rPr>
      </w:pPr>
    </w:p>
    <w:p w14:paraId="06A94866">
      <w:pPr>
        <w:spacing w:line="360" w:lineRule="auto"/>
        <w:ind w:firstLine="480" w:firstLineChars="200"/>
        <w:rPr>
          <w:color w:val="auto"/>
          <w:sz w:val="24"/>
          <w:highlight w:val="none"/>
        </w:rPr>
      </w:pPr>
    </w:p>
    <w:p w14:paraId="274B17F2">
      <w:pPr>
        <w:spacing w:line="360" w:lineRule="auto"/>
        <w:ind w:firstLine="480" w:firstLineChars="200"/>
        <w:rPr>
          <w:color w:val="auto"/>
          <w:sz w:val="24"/>
          <w:highlight w:val="none"/>
        </w:rPr>
      </w:pPr>
    </w:p>
    <w:p w14:paraId="06E25CCF">
      <w:pPr>
        <w:spacing w:line="360" w:lineRule="auto"/>
        <w:ind w:firstLine="480" w:firstLineChars="200"/>
        <w:rPr>
          <w:color w:val="auto"/>
          <w:sz w:val="24"/>
          <w:highlight w:val="none"/>
        </w:rPr>
      </w:pPr>
    </w:p>
    <w:p w14:paraId="350F2606">
      <w:pPr>
        <w:spacing w:line="360" w:lineRule="auto"/>
        <w:ind w:firstLine="480" w:firstLineChars="200"/>
        <w:rPr>
          <w:color w:val="auto"/>
          <w:sz w:val="24"/>
          <w:highlight w:val="none"/>
        </w:rPr>
      </w:pPr>
    </w:p>
    <w:p w14:paraId="21329032">
      <w:pPr>
        <w:pStyle w:val="6"/>
        <w:spacing w:line="360" w:lineRule="auto"/>
        <w:ind w:left="840" w:firstLine="374" w:firstLineChars="156"/>
        <w:rPr>
          <w:rFonts w:ascii="宋体" w:hAnsi="宋体"/>
          <w:color w:val="auto"/>
          <w:sz w:val="24"/>
          <w:szCs w:val="24"/>
          <w:highlight w:val="none"/>
        </w:rPr>
      </w:pPr>
    </w:p>
    <w:p w14:paraId="2BD283BD">
      <w:pPr>
        <w:pStyle w:val="26"/>
        <w:snapToGrid w:val="0"/>
        <w:spacing w:beforeLines="0" w:afterLines="0" w:line="360" w:lineRule="auto"/>
        <w:rPr>
          <w:color w:val="auto"/>
          <w:highlight w:val="none"/>
        </w:rPr>
      </w:pPr>
      <w:r>
        <w:rPr>
          <w:rFonts w:hint="eastAsia"/>
          <w:color w:val="auto"/>
          <w:highlight w:val="none"/>
        </w:rPr>
        <w:t>35.开标一览表</w:t>
      </w:r>
    </w:p>
    <w:p w14:paraId="4614BEA1">
      <w:pPr>
        <w:spacing w:line="700" w:lineRule="exact"/>
        <w:ind w:firstLine="309"/>
        <w:rPr>
          <w:rFonts w:ascii="宋体" w:hAnsi="宋体" w:eastAsia="宋体" w:cs="Times New Roman"/>
          <w:color w:val="auto"/>
          <w:szCs w:val="28"/>
          <w:highlight w:val="none"/>
        </w:rPr>
      </w:pPr>
      <w:r>
        <w:rPr>
          <w:rFonts w:hint="eastAsia" w:ascii="宋体" w:hAnsi="宋体"/>
          <w:color w:val="auto"/>
          <w:spacing w:val="-20"/>
          <w:sz w:val="24"/>
          <w:highlight w:val="none"/>
        </w:rPr>
        <w:t>项目名称：湖州南太湖新区市本级移交道路绿化养护补植项目（2025-2027年度）</w:t>
      </w:r>
    </w:p>
    <w:tbl>
      <w:tblPr>
        <w:tblStyle w:val="47"/>
        <w:tblW w:w="939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0"/>
        <w:gridCol w:w="283"/>
        <w:gridCol w:w="851"/>
        <w:gridCol w:w="1275"/>
        <w:gridCol w:w="3828"/>
      </w:tblGrid>
      <w:tr w14:paraId="33E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8" w:type="dxa"/>
            <w:tcBorders>
              <w:top w:val="single" w:color="auto" w:sz="4" w:space="0"/>
              <w:left w:val="single" w:color="auto" w:sz="4" w:space="0"/>
              <w:bottom w:val="single" w:color="auto" w:sz="4" w:space="0"/>
              <w:right w:val="single" w:color="auto" w:sz="4" w:space="0"/>
            </w:tcBorders>
            <w:vAlign w:val="center"/>
          </w:tcPr>
          <w:p w14:paraId="24E1FF94">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0D16A97C">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项目内容</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970AFEC">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投标单价</w:t>
            </w:r>
          </w:p>
        </w:tc>
        <w:tc>
          <w:tcPr>
            <w:tcW w:w="1275" w:type="dxa"/>
            <w:tcBorders>
              <w:top w:val="single" w:color="auto" w:sz="4" w:space="0"/>
              <w:left w:val="single" w:color="auto" w:sz="4" w:space="0"/>
              <w:bottom w:val="single" w:color="auto" w:sz="4" w:space="0"/>
              <w:right w:val="single" w:color="auto" w:sz="4" w:space="0"/>
            </w:tcBorders>
            <w:vAlign w:val="center"/>
          </w:tcPr>
          <w:p w14:paraId="3319BB37">
            <w:pPr>
              <w:spacing w:line="500" w:lineRule="exact"/>
              <w:ind w:left="30"/>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面积</w:t>
            </w:r>
          </w:p>
        </w:tc>
        <w:tc>
          <w:tcPr>
            <w:tcW w:w="3828" w:type="dxa"/>
            <w:tcBorders>
              <w:top w:val="single" w:color="auto" w:sz="4" w:space="0"/>
              <w:left w:val="single" w:color="auto" w:sz="4" w:space="0"/>
              <w:bottom w:val="single" w:color="auto" w:sz="4" w:space="0"/>
              <w:right w:val="single" w:color="auto" w:sz="4" w:space="0"/>
            </w:tcBorders>
            <w:vAlign w:val="center"/>
          </w:tcPr>
          <w:p w14:paraId="7D2FF595">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每年总价</w:t>
            </w:r>
          </w:p>
        </w:tc>
      </w:tr>
      <w:tr w14:paraId="0BE6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8" w:type="dxa"/>
            <w:tcBorders>
              <w:top w:val="single" w:color="auto" w:sz="4" w:space="0"/>
              <w:left w:val="single" w:color="auto" w:sz="4" w:space="0"/>
              <w:bottom w:val="single" w:color="auto" w:sz="4" w:space="0"/>
              <w:right w:val="single" w:color="auto" w:sz="4" w:space="0"/>
            </w:tcBorders>
            <w:vAlign w:val="center"/>
          </w:tcPr>
          <w:p w14:paraId="32FDCEE8">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1</w:t>
            </w:r>
          </w:p>
        </w:tc>
        <w:tc>
          <w:tcPr>
            <w:tcW w:w="2410" w:type="dxa"/>
            <w:tcBorders>
              <w:top w:val="single" w:color="auto" w:sz="4" w:space="0"/>
              <w:left w:val="single" w:color="auto" w:sz="4" w:space="0"/>
              <w:bottom w:val="single" w:color="auto" w:sz="4" w:space="0"/>
              <w:right w:val="single" w:color="auto" w:sz="4" w:space="0"/>
            </w:tcBorders>
            <w:vAlign w:val="center"/>
          </w:tcPr>
          <w:p w14:paraId="4DF75F11">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养护（单价报价）</w:t>
            </w:r>
            <w:bookmarkStart w:id="31" w:name="OLE_LINK18"/>
            <w:bookmarkStart w:id="32" w:name="OLE_LINK19"/>
            <w:r>
              <w:rPr>
                <w:rFonts w:hint="eastAsia" w:ascii="宋体" w:hAnsi="宋体" w:eastAsia="宋体" w:cs="Times New Roman"/>
                <w:color w:val="auto"/>
                <w:szCs w:val="28"/>
                <w:highlight w:val="none"/>
              </w:rPr>
              <w:t>元/㎡</w:t>
            </w:r>
            <w:bookmarkEnd w:id="31"/>
            <w:bookmarkEnd w:id="32"/>
            <w:r>
              <w:rPr>
                <w:rFonts w:hint="eastAsia" w:ascii="宋体" w:hAnsi="宋体" w:eastAsia="宋体" w:cs="Times New Roman"/>
                <w:color w:val="auto"/>
                <w:szCs w:val="28"/>
                <w:highlight w:val="none"/>
              </w:rPr>
              <w:t>/年</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606DF47">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元/㎡/年</w:t>
            </w:r>
          </w:p>
        </w:tc>
        <w:tc>
          <w:tcPr>
            <w:tcW w:w="1275" w:type="dxa"/>
            <w:tcBorders>
              <w:top w:val="single" w:color="auto" w:sz="4" w:space="0"/>
              <w:left w:val="single" w:color="auto" w:sz="4" w:space="0"/>
              <w:bottom w:val="single" w:color="auto" w:sz="4" w:space="0"/>
              <w:right w:val="single" w:color="auto" w:sz="4" w:space="0"/>
            </w:tcBorders>
            <w:vAlign w:val="center"/>
          </w:tcPr>
          <w:p w14:paraId="70B060EF">
            <w:pPr>
              <w:spacing w:line="500" w:lineRule="exac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23.061万平方米</w:t>
            </w:r>
          </w:p>
        </w:tc>
        <w:tc>
          <w:tcPr>
            <w:tcW w:w="3828" w:type="dxa"/>
            <w:tcBorders>
              <w:top w:val="single" w:color="auto" w:sz="4" w:space="0"/>
              <w:left w:val="single" w:color="auto" w:sz="4" w:space="0"/>
              <w:bottom w:val="single" w:color="auto" w:sz="4" w:space="0"/>
              <w:right w:val="single" w:color="auto" w:sz="4" w:space="0"/>
            </w:tcBorders>
            <w:vAlign w:val="center"/>
          </w:tcPr>
          <w:p w14:paraId="3983AF3B">
            <w:pPr>
              <w:spacing w:line="500" w:lineRule="exact"/>
              <w:jc w:val="center"/>
              <w:rPr>
                <w:rFonts w:ascii="宋体" w:hAnsi="宋体" w:eastAsia="宋体" w:cs="Times New Roman"/>
                <w:color w:val="auto"/>
                <w:sz w:val="24"/>
                <w:highlight w:val="none"/>
              </w:rPr>
            </w:pPr>
          </w:p>
        </w:tc>
      </w:tr>
      <w:tr w14:paraId="1E04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8" w:type="dxa"/>
            <w:tcBorders>
              <w:top w:val="single" w:color="auto" w:sz="4" w:space="0"/>
              <w:left w:val="single" w:color="auto" w:sz="4" w:space="0"/>
              <w:bottom w:val="single" w:color="auto" w:sz="4" w:space="0"/>
              <w:right w:val="single" w:color="auto" w:sz="4" w:space="0"/>
            </w:tcBorders>
            <w:vAlign w:val="center"/>
          </w:tcPr>
          <w:p w14:paraId="188EA8DE">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2</w:t>
            </w:r>
          </w:p>
        </w:tc>
        <w:tc>
          <w:tcPr>
            <w:tcW w:w="2410" w:type="dxa"/>
            <w:tcBorders>
              <w:top w:val="single" w:color="auto" w:sz="4" w:space="0"/>
              <w:left w:val="single" w:color="auto" w:sz="4" w:space="0"/>
              <w:bottom w:val="single" w:color="auto" w:sz="4" w:space="0"/>
              <w:right w:val="single" w:color="auto" w:sz="4" w:space="0"/>
            </w:tcBorders>
            <w:vAlign w:val="center"/>
          </w:tcPr>
          <w:p w14:paraId="33F10DC3">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补植、草花</w:t>
            </w:r>
          </w:p>
          <w:p w14:paraId="41A9C5C2">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（折扣报价）%</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9148E1A">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14:paraId="149C4122">
            <w:pPr>
              <w:spacing w:line="500" w:lineRule="exac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w:t>
            </w:r>
          </w:p>
        </w:tc>
        <w:tc>
          <w:tcPr>
            <w:tcW w:w="3828" w:type="dxa"/>
            <w:tcBorders>
              <w:top w:val="single" w:color="auto" w:sz="4" w:space="0"/>
              <w:left w:val="single" w:color="auto" w:sz="4" w:space="0"/>
              <w:bottom w:val="single" w:color="auto" w:sz="4" w:space="0"/>
              <w:right w:val="single" w:color="auto" w:sz="4" w:space="0"/>
            </w:tcBorders>
            <w:vAlign w:val="center"/>
          </w:tcPr>
          <w:p w14:paraId="497B65FB">
            <w:pPr>
              <w:spacing w:line="500" w:lineRule="exac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30万元（注：按固定价计入投标总价）</w:t>
            </w:r>
          </w:p>
        </w:tc>
      </w:tr>
      <w:tr w14:paraId="2DE2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5567" w:type="dxa"/>
            <w:gridSpan w:val="5"/>
            <w:tcBorders>
              <w:top w:val="single" w:color="auto" w:sz="4" w:space="0"/>
              <w:left w:val="single" w:color="auto" w:sz="4" w:space="0"/>
              <w:bottom w:val="single" w:color="auto" w:sz="4" w:space="0"/>
              <w:right w:val="single" w:color="auto" w:sz="4" w:space="0"/>
            </w:tcBorders>
            <w:vAlign w:val="center"/>
          </w:tcPr>
          <w:p w14:paraId="1FD6A77C">
            <w:pPr>
              <w:spacing w:line="500" w:lineRule="exact"/>
              <w:jc w:val="center"/>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合计</w:t>
            </w:r>
          </w:p>
        </w:tc>
        <w:tc>
          <w:tcPr>
            <w:tcW w:w="3828" w:type="dxa"/>
            <w:tcBorders>
              <w:top w:val="single" w:color="auto" w:sz="4" w:space="0"/>
              <w:left w:val="single" w:color="auto" w:sz="4" w:space="0"/>
              <w:bottom w:val="single" w:color="auto" w:sz="4" w:space="0"/>
              <w:right w:val="single" w:color="auto" w:sz="4" w:space="0"/>
            </w:tcBorders>
            <w:vAlign w:val="center"/>
          </w:tcPr>
          <w:p w14:paraId="08E4000A">
            <w:pPr>
              <w:spacing w:line="500" w:lineRule="exact"/>
              <w:jc w:val="center"/>
              <w:rPr>
                <w:rFonts w:ascii="宋体" w:hAnsi="宋体" w:eastAsia="宋体" w:cs="Times New Roman"/>
                <w:color w:val="auto"/>
                <w:sz w:val="24"/>
                <w:highlight w:val="none"/>
              </w:rPr>
            </w:pPr>
          </w:p>
        </w:tc>
      </w:tr>
      <w:tr w14:paraId="3015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tcBorders>
              <w:top w:val="single" w:color="auto" w:sz="4" w:space="0"/>
              <w:left w:val="single" w:color="auto" w:sz="4" w:space="0"/>
              <w:bottom w:val="single" w:color="auto" w:sz="4" w:space="0"/>
              <w:right w:val="single" w:color="auto" w:sz="4" w:space="0"/>
            </w:tcBorders>
            <w:vAlign w:val="center"/>
          </w:tcPr>
          <w:p w14:paraId="5A81C2D3">
            <w:pPr>
              <w:spacing w:line="500" w:lineRule="exac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服务期限</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3F1BFF14">
            <w:pPr>
              <w:spacing w:line="500" w:lineRule="exact"/>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3年</w:t>
            </w:r>
          </w:p>
        </w:tc>
      </w:tr>
      <w:tr w14:paraId="1D03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tcBorders>
              <w:top w:val="single" w:color="auto" w:sz="4" w:space="0"/>
              <w:left w:val="single" w:color="auto" w:sz="4" w:space="0"/>
              <w:bottom w:val="single" w:color="auto" w:sz="4" w:space="0"/>
              <w:right w:val="single" w:color="auto" w:sz="4" w:space="0"/>
            </w:tcBorders>
            <w:vAlign w:val="center"/>
          </w:tcPr>
          <w:p w14:paraId="4504756F">
            <w:pPr>
              <w:spacing w:line="500" w:lineRule="exac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项目负责人</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571A0A20">
            <w:pPr>
              <w:spacing w:line="500" w:lineRule="exact"/>
              <w:jc w:val="center"/>
              <w:rPr>
                <w:rFonts w:ascii="宋体" w:hAnsi="宋体" w:eastAsia="宋体" w:cs="Times New Roman"/>
                <w:color w:val="auto"/>
                <w:sz w:val="24"/>
                <w:highlight w:val="none"/>
              </w:rPr>
            </w:pPr>
          </w:p>
        </w:tc>
      </w:tr>
      <w:tr w14:paraId="5659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vMerge w:val="restart"/>
            <w:tcBorders>
              <w:top w:val="single" w:color="auto" w:sz="4" w:space="0"/>
              <w:left w:val="single" w:color="auto" w:sz="4" w:space="0"/>
              <w:right w:val="single" w:color="auto" w:sz="4" w:space="0"/>
            </w:tcBorders>
            <w:vAlign w:val="center"/>
          </w:tcPr>
          <w:p w14:paraId="230FE3F0">
            <w:pPr>
              <w:spacing w:line="500" w:lineRule="exac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投标总价（人民币：元）</w:t>
            </w:r>
          </w:p>
        </w:tc>
        <w:tc>
          <w:tcPr>
            <w:tcW w:w="5954" w:type="dxa"/>
            <w:gridSpan w:val="3"/>
            <w:tcBorders>
              <w:top w:val="single" w:color="auto" w:sz="4" w:space="0"/>
              <w:left w:val="single" w:color="auto" w:sz="4" w:space="0"/>
              <w:bottom w:val="single" w:color="auto" w:sz="4" w:space="0"/>
            </w:tcBorders>
            <w:vAlign w:val="center"/>
          </w:tcPr>
          <w:p w14:paraId="33A83080">
            <w:pPr>
              <w:spacing w:line="500" w:lineRule="exact"/>
              <w:jc w:val="left"/>
              <w:rPr>
                <w:rFonts w:ascii="宋体" w:hAnsi="宋体" w:eastAsia="宋体" w:cs="Times New Roman"/>
                <w:color w:val="auto"/>
                <w:sz w:val="24"/>
                <w:highlight w:val="none"/>
              </w:rPr>
            </w:pPr>
            <w:r>
              <w:rPr>
                <w:rFonts w:hint="eastAsia" w:ascii="宋体" w:hAnsi="宋体" w:eastAsia="宋体" w:cs="Times New Roman"/>
                <w:color w:val="auto"/>
                <w:szCs w:val="28"/>
                <w:highlight w:val="none"/>
              </w:rPr>
              <w:t>小写：</w:t>
            </w:r>
          </w:p>
        </w:tc>
      </w:tr>
      <w:tr w14:paraId="0CC9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vMerge w:val="continue"/>
            <w:tcBorders>
              <w:left w:val="single" w:color="auto" w:sz="4" w:space="0"/>
              <w:bottom w:val="single" w:color="auto" w:sz="4" w:space="0"/>
              <w:right w:val="single" w:color="auto" w:sz="4" w:space="0"/>
            </w:tcBorders>
            <w:vAlign w:val="center"/>
          </w:tcPr>
          <w:p w14:paraId="3FFD63B4">
            <w:pPr>
              <w:spacing w:line="500" w:lineRule="exact"/>
              <w:rPr>
                <w:rFonts w:ascii="宋体" w:hAnsi="宋体" w:eastAsia="宋体" w:cs="Times New Roman"/>
                <w:color w:val="auto"/>
                <w:szCs w:val="28"/>
                <w:highlight w:val="none"/>
              </w:rPr>
            </w:pP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76E6BC11">
            <w:pPr>
              <w:spacing w:line="500" w:lineRule="exact"/>
              <w:jc w:val="left"/>
              <w:rPr>
                <w:rFonts w:ascii="宋体" w:hAnsi="宋体" w:eastAsia="宋体" w:cs="Times New Roman"/>
                <w:color w:val="auto"/>
                <w:sz w:val="24"/>
                <w:highlight w:val="none"/>
              </w:rPr>
            </w:pPr>
            <w:r>
              <w:rPr>
                <w:rFonts w:hint="eastAsia" w:ascii="宋体" w:hAnsi="宋体" w:eastAsia="宋体" w:cs="Times New Roman"/>
                <w:color w:val="auto"/>
                <w:szCs w:val="28"/>
                <w:highlight w:val="none"/>
              </w:rPr>
              <w:t>大写：</w:t>
            </w:r>
          </w:p>
        </w:tc>
      </w:tr>
      <w:tr w14:paraId="0484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tcBorders>
              <w:top w:val="single" w:color="auto" w:sz="4" w:space="0"/>
              <w:left w:val="single" w:color="auto" w:sz="4" w:space="0"/>
              <w:bottom w:val="single" w:color="auto" w:sz="4" w:space="0"/>
              <w:right w:val="single" w:color="auto" w:sz="4" w:space="0"/>
            </w:tcBorders>
            <w:vAlign w:val="center"/>
          </w:tcPr>
          <w:p w14:paraId="335FB6F0">
            <w:pPr>
              <w:spacing w:line="500" w:lineRule="exac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是否具有符合价格扣除政策的情形</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79F9F04C">
            <w:pPr>
              <w:spacing w:line="500" w:lineRule="exact"/>
              <w:jc w:val="center"/>
              <w:rPr>
                <w:rFonts w:ascii="宋体" w:hAnsi="宋体" w:eastAsia="宋体" w:cs="Times New Roman"/>
                <w:color w:val="auto"/>
                <w:sz w:val="24"/>
                <w:highlight w:val="none"/>
              </w:rPr>
            </w:pPr>
          </w:p>
        </w:tc>
      </w:tr>
    </w:tbl>
    <w:p w14:paraId="6C6F6C95">
      <w:pPr>
        <w:spacing w:line="360" w:lineRule="auto"/>
        <w:ind w:firstLine="309"/>
        <w:rPr>
          <w:rFonts w:ascii="宋体" w:hAnsi="宋体" w:cs="仿宋"/>
          <w:color w:val="auto"/>
          <w:sz w:val="24"/>
          <w:highlight w:val="none"/>
        </w:rPr>
      </w:pPr>
      <w:r>
        <w:rPr>
          <w:rFonts w:hint="eastAsia" w:ascii="宋体" w:hAnsi="宋体" w:cs="仿宋"/>
          <w:color w:val="auto"/>
          <w:sz w:val="24"/>
          <w:highlight w:val="none"/>
        </w:rPr>
        <w:t>注:1、报价一经涂改，应在涂改处加盖单位公章或者由法定代表人或授权委托人签字或盖章，否则其投标作无效标处理。</w:t>
      </w:r>
    </w:p>
    <w:p w14:paraId="09A5920F">
      <w:pPr>
        <w:snapToGrid w:val="0"/>
        <w:spacing w:line="360" w:lineRule="auto"/>
        <w:ind w:firstLine="600" w:firstLineChars="250"/>
        <w:jc w:val="left"/>
        <w:rPr>
          <w:rFonts w:ascii="宋体" w:hAnsi="宋体" w:cs="仿宋"/>
          <w:color w:val="auto"/>
          <w:sz w:val="24"/>
          <w:highlight w:val="none"/>
        </w:rPr>
      </w:pPr>
      <w:r>
        <w:rPr>
          <w:rFonts w:hint="eastAsia" w:ascii="宋体" w:hAnsi="宋体" w:cs="仿宋"/>
          <w:color w:val="auto"/>
          <w:sz w:val="24"/>
          <w:highlight w:val="none"/>
        </w:rPr>
        <w:t>2、项目费用包括项目实施所需的工程费、工时费、服务费、运输费、购买及制作标书费、税费及其他一切费用。</w:t>
      </w:r>
    </w:p>
    <w:p w14:paraId="2FE0FBBA">
      <w:pPr>
        <w:snapToGrid w:val="0"/>
        <w:spacing w:line="360" w:lineRule="auto"/>
        <w:ind w:firstLine="600" w:firstLineChars="250"/>
        <w:jc w:val="left"/>
        <w:rPr>
          <w:rFonts w:ascii="宋体" w:hAnsi="宋体" w:cs="仿宋"/>
          <w:color w:val="auto"/>
          <w:sz w:val="24"/>
          <w:highlight w:val="none"/>
        </w:rPr>
      </w:pPr>
      <w:r>
        <w:rPr>
          <w:rFonts w:hint="eastAsia" w:ascii="宋体" w:hAnsi="宋体" w:cs="仿宋"/>
          <w:color w:val="auto"/>
          <w:sz w:val="24"/>
          <w:highlight w:val="none"/>
        </w:rPr>
        <w:t>3、本项目补植结算按审计单位审定价格的95%为上限价，各投标单位在不超过审定价95%的基础下进行优惠报价。但凡超大于（或等于)95 %限价的，均作无效标处理。养护单价报价4.87元/㎡为上限价。</w:t>
      </w:r>
    </w:p>
    <w:p w14:paraId="6525E3D6">
      <w:pPr>
        <w:snapToGrid w:val="0"/>
        <w:spacing w:line="360" w:lineRule="auto"/>
        <w:ind w:left="-2" w:leftChars="-1" w:right="-817" w:rightChars="-389"/>
        <w:rPr>
          <w:rFonts w:ascii="宋体" w:hAnsi="宋体"/>
          <w:color w:val="auto"/>
          <w:sz w:val="24"/>
          <w:szCs w:val="20"/>
          <w:highlight w:val="none"/>
        </w:rPr>
      </w:pPr>
      <w:r>
        <w:rPr>
          <w:rFonts w:hint="eastAsia" w:ascii="宋体" w:hAnsi="宋体"/>
          <w:color w:val="auto"/>
          <w:sz w:val="24"/>
          <w:highlight w:val="none"/>
        </w:rPr>
        <w:t>法定代表人签字：</w:t>
      </w:r>
    </w:p>
    <w:p w14:paraId="79A27DB4">
      <w:pPr>
        <w:snapToGrid w:val="0"/>
        <w:spacing w:line="360" w:lineRule="auto"/>
        <w:ind w:right="-817" w:rightChars="-389"/>
        <w:rPr>
          <w:rFonts w:ascii="宋体" w:hAnsi="宋体"/>
          <w:color w:val="auto"/>
          <w:sz w:val="24"/>
          <w:highlight w:val="none"/>
        </w:rPr>
      </w:pPr>
      <w:r>
        <w:rPr>
          <w:rFonts w:hint="eastAsia" w:ascii="宋体" w:hAnsi="宋体"/>
          <w:color w:val="auto"/>
          <w:sz w:val="24"/>
          <w:highlight w:val="none"/>
        </w:rPr>
        <w:t>投标人名称（盖章）：日期：年月日</w:t>
      </w:r>
    </w:p>
    <w:p w14:paraId="69BD50FC">
      <w:pPr>
        <w:spacing w:line="360" w:lineRule="auto"/>
        <w:rPr>
          <w:color w:val="auto"/>
          <w:sz w:val="28"/>
          <w:szCs w:val="28"/>
          <w:highlight w:val="none"/>
        </w:rPr>
      </w:pPr>
      <w:r>
        <w:rPr>
          <w:rFonts w:hint="eastAsia"/>
          <w:color w:val="auto"/>
          <w:sz w:val="28"/>
          <w:szCs w:val="28"/>
          <w:highlight w:val="none"/>
        </w:rPr>
        <w:t>附件：</w:t>
      </w:r>
      <w:r>
        <w:rPr>
          <w:color w:val="auto"/>
          <w:sz w:val="28"/>
          <w:szCs w:val="28"/>
          <w:highlight w:val="none"/>
        </w:rPr>
        <w:t xml:space="preserve"> “</w:t>
      </w:r>
      <w:r>
        <w:rPr>
          <w:rFonts w:hint="eastAsia"/>
          <w:color w:val="auto"/>
          <w:sz w:val="28"/>
          <w:szCs w:val="28"/>
          <w:highlight w:val="none"/>
        </w:rPr>
        <w:t>信用中国</w:t>
      </w:r>
      <w:r>
        <w:rPr>
          <w:color w:val="auto"/>
          <w:sz w:val="28"/>
          <w:szCs w:val="28"/>
          <w:highlight w:val="none"/>
        </w:rPr>
        <w:t>”</w:t>
      </w:r>
      <w:r>
        <w:rPr>
          <w:rFonts w:hint="eastAsia"/>
          <w:color w:val="auto"/>
          <w:sz w:val="28"/>
          <w:szCs w:val="28"/>
          <w:highlight w:val="none"/>
        </w:rPr>
        <w:t>（</w:t>
      </w:r>
      <w:r>
        <w:rPr>
          <w:color w:val="auto"/>
          <w:sz w:val="28"/>
          <w:szCs w:val="28"/>
          <w:highlight w:val="none"/>
        </w:rPr>
        <w:t>www.creditchina.gov.cn</w:t>
      </w:r>
      <w:r>
        <w:rPr>
          <w:rFonts w:hint="eastAsia"/>
          <w:color w:val="auto"/>
          <w:sz w:val="28"/>
          <w:szCs w:val="28"/>
          <w:highlight w:val="none"/>
        </w:rPr>
        <w:t>）、</w:t>
      </w:r>
      <w:r>
        <w:rPr>
          <w:color w:val="auto"/>
          <w:sz w:val="28"/>
          <w:szCs w:val="28"/>
          <w:highlight w:val="none"/>
        </w:rPr>
        <w:t>“</w:t>
      </w:r>
      <w:r>
        <w:rPr>
          <w:rFonts w:hint="eastAsia"/>
          <w:color w:val="auto"/>
          <w:sz w:val="28"/>
          <w:szCs w:val="28"/>
          <w:highlight w:val="none"/>
        </w:rPr>
        <w:t>中国政府采购网</w:t>
      </w:r>
      <w:r>
        <w:rPr>
          <w:color w:val="auto"/>
          <w:sz w:val="28"/>
          <w:szCs w:val="28"/>
          <w:highlight w:val="none"/>
        </w:rPr>
        <w:t>”</w:t>
      </w:r>
      <w:r>
        <w:rPr>
          <w:rFonts w:hint="eastAsia"/>
          <w:color w:val="auto"/>
          <w:sz w:val="28"/>
          <w:szCs w:val="28"/>
          <w:highlight w:val="none"/>
        </w:rPr>
        <w:t>（</w:t>
      </w:r>
      <w:r>
        <w:rPr>
          <w:color w:val="auto"/>
          <w:sz w:val="28"/>
          <w:szCs w:val="28"/>
          <w:highlight w:val="none"/>
        </w:rPr>
        <w:t>www.ccgp.gov.cn</w:t>
      </w:r>
      <w:r>
        <w:rPr>
          <w:rFonts w:hint="eastAsia"/>
          <w:color w:val="auto"/>
          <w:sz w:val="28"/>
          <w:szCs w:val="28"/>
          <w:highlight w:val="none"/>
        </w:rPr>
        <w:t>）网页截图</w:t>
      </w:r>
      <w:r>
        <w:rPr>
          <w:color w:val="auto"/>
          <w:sz w:val="28"/>
          <w:szCs w:val="28"/>
          <w:highlight w:val="none"/>
        </w:rPr>
        <w:t>模板</w:t>
      </w:r>
    </w:p>
    <w:p w14:paraId="1ED8B149">
      <w:pPr>
        <w:pStyle w:val="45"/>
        <w:ind w:firstLine="210"/>
        <w:rPr>
          <w:color w:val="auto"/>
          <w:highlight w:val="none"/>
        </w:rPr>
      </w:pPr>
    </w:p>
    <w:p w14:paraId="7A15F9E9">
      <w:pPr>
        <w:spacing w:line="360" w:lineRule="auto"/>
        <w:rPr>
          <w:i/>
          <w:color w:val="auto"/>
          <w:sz w:val="28"/>
          <w:szCs w:val="28"/>
          <w:highlight w:val="none"/>
        </w:rPr>
      </w:pPr>
    </w:p>
    <w:p w14:paraId="382148EB">
      <w:pPr>
        <w:rPr>
          <w:color w:val="auto"/>
          <w:highlight w:val="none"/>
        </w:rPr>
      </w:pPr>
      <w:r>
        <w:rPr>
          <w:color w:val="auto"/>
          <w:highlight w:val="none"/>
        </w:rPr>
        <w:drawing>
          <wp:inline distT="0" distB="0" distL="0" distR="0">
            <wp:extent cx="5175885" cy="3847465"/>
            <wp:effectExtent l="0" t="0" r="571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75885" cy="3847465"/>
                    </a:xfrm>
                    <a:prstGeom prst="rect">
                      <a:avLst/>
                    </a:prstGeom>
                    <a:noFill/>
                    <a:ln>
                      <a:noFill/>
                    </a:ln>
                  </pic:spPr>
                </pic:pic>
              </a:graphicData>
            </a:graphic>
          </wp:inline>
        </w:drawing>
      </w:r>
      <w:r>
        <w:rPr>
          <w:color w:val="auto"/>
          <w:highlight w:val="none"/>
        </w:rPr>
        <w:drawing>
          <wp:inline distT="0" distB="0" distL="0" distR="0">
            <wp:extent cx="5279390" cy="30708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9390" cy="3070860"/>
                    </a:xfrm>
                    <a:prstGeom prst="rect">
                      <a:avLst/>
                    </a:prstGeom>
                    <a:noFill/>
                    <a:ln>
                      <a:noFill/>
                    </a:ln>
                  </pic:spPr>
                </pic:pic>
              </a:graphicData>
            </a:graphic>
          </wp:inline>
        </w:drawing>
      </w: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swiss"/>
    <w:pitch w:val="default"/>
    <w:sig w:usb0="00000000" w:usb1="00000000" w:usb2="00000000" w:usb3="00000000" w:csb0="0000009F" w:csb1="00000000"/>
  </w:font>
  <w:font w:name="创艺简标宋">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5A8A">
    <w:pPr>
      <w:pStyle w:val="31"/>
      <w:framePr w:wrap="around" w:vAnchor="text" w:hAnchor="margin" w:xAlign="outside" w:y="1"/>
      <w:rPr>
        <w:rStyle w:val="51"/>
        <w:rFonts w:ascii="宋体" w:hAnsi="宋体" w:eastAsia="宋体"/>
        <w:sz w:val="28"/>
        <w:szCs w:val="28"/>
      </w:rPr>
    </w:pPr>
  </w:p>
  <w:p w14:paraId="58663E04">
    <w:pPr>
      <w:pStyle w:val="131"/>
      <w:ind w:firstLine="420"/>
      <w:rPr>
        <w:sz w:val="24"/>
        <w:szCs w:val="24"/>
      </w:rPr>
    </w:pPr>
    <w:r>
      <w:rPr>
        <w:rFonts w:hint="eastAsia"/>
      </w:rPr>
      <w:t>浙江华耀建设咨询有限公司</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80</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BA56">
    <w:pPr>
      <w:pStyle w:val="31"/>
      <w:framePr w:wrap="around" w:vAnchor="text" w:hAnchor="margin" w:xAlign="outside" w:y="1"/>
      <w:rPr>
        <w:rStyle w:val="51"/>
      </w:rPr>
    </w:pPr>
    <w:r>
      <w:fldChar w:fldCharType="begin"/>
    </w:r>
    <w:r>
      <w:rPr>
        <w:rStyle w:val="51"/>
      </w:rPr>
      <w:instrText xml:space="preserve">PAGE  </w:instrText>
    </w:r>
    <w:r>
      <w:fldChar w:fldCharType="end"/>
    </w:r>
  </w:p>
  <w:p w14:paraId="25FF6AE2">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FCC6">
    <w:pPr>
      <w:pStyle w:val="26"/>
      <w:snapToGrid w:val="0"/>
      <w:spacing w:beforeLines="0" w:afterLines="0" w:line="360" w:lineRule="auto"/>
      <w:rPr>
        <w:rFonts w:hAnsi="宋体"/>
        <w:u w:val="single"/>
      </w:rPr>
    </w:pPr>
    <w:r>
      <w:rPr>
        <w:rFonts w:hint="eastAsia" w:cs="Arial"/>
        <w:u w:val="single"/>
      </w:rPr>
      <w:t xml:space="preserve">湖州南太湖新区市本级移交道路绿化养护补植项目（2025-2027年度）         </w:t>
    </w:r>
    <w:r>
      <w:rPr>
        <w:rFonts w:hint="eastAsia" w:hAnsi="宋体" w:cs="Arial"/>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4B99"/>
    <w:multiLevelType w:val="singleLevel"/>
    <w:tmpl w:val="85264B99"/>
    <w:lvl w:ilvl="0" w:tentative="0">
      <w:start w:val="2"/>
      <w:numFmt w:val="decimal"/>
      <w:suff w:val="nothing"/>
      <w:lvlText w:val="%1、"/>
      <w:lvlJc w:val="left"/>
    </w:lvl>
  </w:abstractNum>
  <w:abstractNum w:abstractNumId="1">
    <w:nsid w:val="8BFA2F29"/>
    <w:multiLevelType w:val="singleLevel"/>
    <w:tmpl w:val="8BFA2F29"/>
    <w:lvl w:ilvl="0" w:tentative="0">
      <w:start w:val="1"/>
      <w:numFmt w:val="decimal"/>
      <w:suff w:val="nothing"/>
      <w:lvlText w:val="%1．"/>
      <w:lvlJc w:val="left"/>
      <w:pPr>
        <w:ind w:left="0" w:firstLine="400"/>
      </w:pPr>
      <w:rPr>
        <w:rFonts w:hint="default"/>
      </w:rPr>
    </w:lvl>
  </w:abstractNum>
  <w:abstractNum w:abstractNumId="2">
    <w:nsid w:val="A85D664C"/>
    <w:multiLevelType w:val="singleLevel"/>
    <w:tmpl w:val="A85D664C"/>
    <w:lvl w:ilvl="0" w:tentative="0">
      <w:start w:val="1"/>
      <w:numFmt w:val="decimal"/>
      <w:suff w:val="nothing"/>
      <w:lvlText w:val="%1．"/>
      <w:lvlJc w:val="left"/>
      <w:pPr>
        <w:ind w:left="0" w:firstLine="400"/>
      </w:pPr>
      <w:rPr>
        <w:rFonts w:hint="default"/>
      </w:rPr>
    </w:lvl>
  </w:abstractNum>
  <w:abstractNum w:abstractNumId="3">
    <w:nsid w:val="AC2DAD24"/>
    <w:multiLevelType w:val="singleLevel"/>
    <w:tmpl w:val="AC2DAD24"/>
    <w:lvl w:ilvl="0" w:tentative="0">
      <w:start w:val="1"/>
      <w:numFmt w:val="decimal"/>
      <w:suff w:val="nothing"/>
      <w:lvlText w:val="（%1）"/>
      <w:lvlJc w:val="left"/>
    </w:lvl>
  </w:abstractNum>
  <w:abstractNum w:abstractNumId="4">
    <w:nsid w:val="B8665092"/>
    <w:multiLevelType w:val="singleLevel"/>
    <w:tmpl w:val="B8665092"/>
    <w:lvl w:ilvl="0" w:tentative="0">
      <w:start w:val="2"/>
      <w:numFmt w:val="chineseCounting"/>
      <w:suff w:val="nothing"/>
      <w:lvlText w:val="%1、"/>
      <w:lvlJc w:val="left"/>
      <w:rPr>
        <w:rFonts w:hint="eastAsia"/>
      </w:rPr>
    </w:lvl>
  </w:abstractNum>
  <w:abstractNum w:abstractNumId="5">
    <w:nsid w:val="C2321728"/>
    <w:multiLevelType w:val="singleLevel"/>
    <w:tmpl w:val="C2321728"/>
    <w:lvl w:ilvl="0" w:tentative="0">
      <w:start w:val="4"/>
      <w:numFmt w:val="chineseCounting"/>
      <w:suff w:val="nothing"/>
      <w:lvlText w:val="%1、"/>
      <w:lvlJc w:val="left"/>
      <w:rPr>
        <w:rFonts w:hint="eastAsia"/>
      </w:rPr>
    </w:lvl>
  </w:abstractNum>
  <w:abstractNum w:abstractNumId="6">
    <w:nsid w:val="DB4FE3DD"/>
    <w:multiLevelType w:val="singleLevel"/>
    <w:tmpl w:val="DB4FE3DD"/>
    <w:lvl w:ilvl="0" w:tentative="0">
      <w:start w:val="1"/>
      <w:numFmt w:val="decimal"/>
      <w:suff w:val="nothing"/>
      <w:lvlText w:val="%1．"/>
      <w:lvlJc w:val="left"/>
      <w:pPr>
        <w:ind w:left="0" w:firstLine="400"/>
      </w:pPr>
      <w:rPr>
        <w:rFonts w:hint="default"/>
      </w:rPr>
    </w:lvl>
  </w:abstractNum>
  <w:abstractNum w:abstractNumId="7">
    <w:nsid w:val="E4B47157"/>
    <w:multiLevelType w:val="multilevel"/>
    <w:tmpl w:val="E4B4715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E8E29B5B"/>
    <w:multiLevelType w:val="multilevel"/>
    <w:tmpl w:val="E8E29B5B"/>
    <w:lvl w:ilvl="0" w:tentative="0">
      <w:start w:val="1"/>
      <w:numFmt w:val="decimal"/>
      <w:lvlText w:val="%1."/>
      <w:lvlJc w:val="left"/>
      <w:pPr>
        <w:ind w:left="425" w:hanging="425"/>
      </w:pPr>
      <w:rPr>
        <w:rFonts w:hint="default"/>
      </w:rPr>
    </w:lvl>
    <w:lvl w:ilvl="1" w:tentative="0">
      <w:start w:val="1"/>
      <w:numFmt w:val="decimal"/>
      <w:lvlText w:val="5.%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0000001A"/>
    <w:multiLevelType w:val="multilevel"/>
    <w:tmpl w:val="0000001A"/>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pStyle w:val="151"/>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0">
    <w:nsid w:val="1FF1B744"/>
    <w:multiLevelType w:val="singleLevel"/>
    <w:tmpl w:val="1FF1B744"/>
    <w:lvl w:ilvl="0" w:tentative="0">
      <w:start w:val="1"/>
      <w:numFmt w:val="decimal"/>
      <w:lvlText w:val="(%1)"/>
      <w:lvlJc w:val="left"/>
      <w:pPr>
        <w:ind w:left="425" w:hanging="425"/>
      </w:pPr>
      <w:rPr>
        <w:rFonts w:hint="default"/>
      </w:rPr>
    </w:lvl>
  </w:abstractNum>
  <w:abstractNum w:abstractNumId="11">
    <w:nsid w:val="3D7572D5"/>
    <w:multiLevelType w:val="singleLevel"/>
    <w:tmpl w:val="3D7572D5"/>
    <w:lvl w:ilvl="0" w:tentative="0">
      <w:start w:val="1"/>
      <w:numFmt w:val="decimal"/>
      <w:suff w:val="nothing"/>
      <w:lvlText w:val="%1、"/>
      <w:lvlJc w:val="left"/>
    </w:lvl>
  </w:abstractNum>
  <w:abstractNum w:abstractNumId="12">
    <w:nsid w:val="46DCC730"/>
    <w:multiLevelType w:val="singleLevel"/>
    <w:tmpl w:val="46DCC730"/>
    <w:lvl w:ilvl="0" w:tentative="0">
      <w:start w:val="1"/>
      <w:numFmt w:val="decimal"/>
      <w:lvlText w:val="(%1)"/>
      <w:lvlJc w:val="left"/>
      <w:pPr>
        <w:ind w:left="425" w:hanging="425"/>
      </w:pPr>
      <w:rPr>
        <w:rFonts w:hint="default"/>
      </w:rPr>
    </w:lvl>
  </w:abstractNum>
  <w:abstractNum w:abstractNumId="13">
    <w:nsid w:val="5FAE6C94"/>
    <w:multiLevelType w:val="multilevel"/>
    <w:tmpl w:val="5FAE6C94"/>
    <w:lvl w:ilvl="0" w:tentative="0">
      <w:start w:val="1"/>
      <w:numFmt w:val="japaneseCounting"/>
      <w:lvlText w:val="第%1章"/>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D0043AC"/>
    <w:multiLevelType w:val="multilevel"/>
    <w:tmpl w:val="6D0043A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6D4F0AD5"/>
    <w:multiLevelType w:val="singleLevel"/>
    <w:tmpl w:val="6D4F0AD5"/>
    <w:lvl w:ilvl="0" w:tentative="0">
      <w:start w:val="1"/>
      <w:numFmt w:val="decimal"/>
      <w:lvlText w:val="(%1)"/>
      <w:lvlJc w:val="left"/>
      <w:pPr>
        <w:ind w:left="425" w:hanging="425"/>
      </w:pPr>
      <w:rPr>
        <w:rFonts w:hint="default"/>
      </w:rPr>
    </w:lvl>
  </w:abstractNum>
  <w:abstractNum w:abstractNumId="16">
    <w:nsid w:val="7DF3F1B9"/>
    <w:multiLevelType w:val="singleLevel"/>
    <w:tmpl w:val="7DF3F1B9"/>
    <w:lvl w:ilvl="0" w:tentative="0">
      <w:start w:val="1"/>
      <w:numFmt w:val="decimal"/>
      <w:lvlText w:val="(%1)"/>
      <w:lvlJc w:val="left"/>
      <w:pPr>
        <w:ind w:left="425" w:hanging="425"/>
      </w:pPr>
      <w:rPr>
        <w:rFonts w:hint="default"/>
      </w:rPr>
    </w:lvl>
  </w:abstractNum>
  <w:num w:numId="1">
    <w:abstractNumId w:val="9"/>
  </w:num>
  <w:num w:numId="2">
    <w:abstractNumId w:val="13"/>
  </w:num>
  <w:num w:numId="3">
    <w:abstractNumId w:val="3"/>
  </w:num>
  <w:num w:numId="4">
    <w:abstractNumId w:val="0"/>
  </w:num>
  <w:num w:numId="5">
    <w:abstractNumId w:val="14"/>
  </w:num>
  <w:num w:numId="6">
    <w:abstractNumId w:val="12"/>
  </w:num>
  <w:num w:numId="7">
    <w:abstractNumId w:val="16"/>
  </w:num>
  <w:num w:numId="8">
    <w:abstractNumId w:val="2"/>
  </w:num>
  <w:num w:numId="9">
    <w:abstractNumId w:val="4"/>
  </w:num>
  <w:num w:numId="10">
    <w:abstractNumId w:val="1"/>
  </w:num>
  <w:num w:numId="11">
    <w:abstractNumId w:val="6"/>
  </w:num>
  <w:num w:numId="12">
    <w:abstractNumId w:val="8"/>
  </w:num>
  <w:num w:numId="13">
    <w:abstractNumId w:val="5"/>
  </w:num>
  <w:num w:numId="14">
    <w:abstractNumId w:val="7"/>
  </w:num>
  <w:num w:numId="15">
    <w:abstractNumId w:val="1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3YzJlMmZmMDkwMzU3M2RlN2ZjMTllNmYwMDAxODAifQ=="/>
  </w:docVars>
  <w:rsids>
    <w:rsidRoot w:val="00E22623"/>
    <w:rsid w:val="00000288"/>
    <w:rsid w:val="0000138B"/>
    <w:rsid w:val="00001781"/>
    <w:rsid w:val="00002EE2"/>
    <w:rsid w:val="00004175"/>
    <w:rsid w:val="000066A8"/>
    <w:rsid w:val="00011473"/>
    <w:rsid w:val="000115CA"/>
    <w:rsid w:val="00014C68"/>
    <w:rsid w:val="00015972"/>
    <w:rsid w:val="00016398"/>
    <w:rsid w:val="00016D00"/>
    <w:rsid w:val="0002190B"/>
    <w:rsid w:val="00025041"/>
    <w:rsid w:val="0002509A"/>
    <w:rsid w:val="000270D2"/>
    <w:rsid w:val="00032927"/>
    <w:rsid w:val="00034ABC"/>
    <w:rsid w:val="000358A1"/>
    <w:rsid w:val="000369DD"/>
    <w:rsid w:val="0004162D"/>
    <w:rsid w:val="00042647"/>
    <w:rsid w:val="00043005"/>
    <w:rsid w:val="000442A6"/>
    <w:rsid w:val="000451A8"/>
    <w:rsid w:val="00045F19"/>
    <w:rsid w:val="00047EF4"/>
    <w:rsid w:val="00052960"/>
    <w:rsid w:val="00054F98"/>
    <w:rsid w:val="000550D9"/>
    <w:rsid w:val="000565A9"/>
    <w:rsid w:val="00056910"/>
    <w:rsid w:val="0005691E"/>
    <w:rsid w:val="00056E8B"/>
    <w:rsid w:val="0006199C"/>
    <w:rsid w:val="00062156"/>
    <w:rsid w:val="000621B6"/>
    <w:rsid w:val="00065C40"/>
    <w:rsid w:val="00066C07"/>
    <w:rsid w:val="00067E41"/>
    <w:rsid w:val="00071BAD"/>
    <w:rsid w:val="00072679"/>
    <w:rsid w:val="00073D05"/>
    <w:rsid w:val="000750C7"/>
    <w:rsid w:val="00076B8C"/>
    <w:rsid w:val="000777C0"/>
    <w:rsid w:val="00077E6B"/>
    <w:rsid w:val="00080FF5"/>
    <w:rsid w:val="0008394F"/>
    <w:rsid w:val="00083987"/>
    <w:rsid w:val="00085F54"/>
    <w:rsid w:val="00086543"/>
    <w:rsid w:val="000906E5"/>
    <w:rsid w:val="00090AA5"/>
    <w:rsid w:val="00091B3F"/>
    <w:rsid w:val="000A0473"/>
    <w:rsid w:val="000A08E9"/>
    <w:rsid w:val="000A230C"/>
    <w:rsid w:val="000A31DC"/>
    <w:rsid w:val="000A416D"/>
    <w:rsid w:val="000A47C6"/>
    <w:rsid w:val="000A6101"/>
    <w:rsid w:val="000A6B19"/>
    <w:rsid w:val="000A7CAD"/>
    <w:rsid w:val="000B10F0"/>
    <w:rsid w:val="000B1763"/>
    <w:rsid w:val="000B2DE1"/>
    <w:rsid w:val="000B4A03"/>
    <w:rsid w:val="000B7B32"/>
    <w:rsid w:val="000C0027"/>
    <w:rsid w:val="000C0298"/>
    <w:rsid w:val="000C0B12"/>
    <w:rsid w:val="000C22AB"/>
    <w:rsid w:val="000C5B46"/>
    <w:rsid w:val="000C5B67"/>
    <w:rsid w:val="000D089A"/>
    <w:rsid w:val="000D2B9E"/>
    <w:rsid w:val="000D4753"/>
    <w:rsid w:val="000D5FF2"/>
    <w:rsid w:val="000D666C"/>
    <w:rsid w:val="000D6DAB"/>
    <w:rsid w:val="000D7A19"/>
    <w:rsid w:val="000E0ADC"/>
    <w:rsid w:val="000E11C1"/>
    <w:rsid w:val="000E1BE4"/>
    <w:rsid w:val="000E2E79"/>
    <w:rsid w:val="000E51D7"/>
    <w:rsid w:val="000E679A"/>
    <w:rsid w:val="000E6D59"/>
    <w:rsid w:val="000E7D51"/>
    <w:rsid w:val="000F199D"/>
    <w:rsid w:val="000F2513"/>
    <w:rsid w:val="000F2BB8"/>
    <w:rsid w:val="000F33FC"/>
    <w:rsid w:val="000F48DF"/>
    <w:rsid w:val="000F75D5"/>
    <w:rsid w:val="00100DBE"/>
    <w:rsid w:val="00102F5B"/>
    <w:rsid w:val="0010381A"/>
    <w:rsid w:val="0010479F"/>
    <w:rsid w:val="00104DA6"/>
    <w:rsid w:val="001053FA"/>
    <w:rsid w:val="0010589A"/>
    <w:rsid w:val="00106C3D"/>
    <w:rsid w:val="00107723"/>
    <w:rsid w:val="00107B86"/>
    <w:rsid w:val="00110C0A"/>
    <w:rsid w:val="00113ECD"/>
    <w:rsid w:val="00114F20"/>
    <w:rsid w:val="001165FB"/>
    <w:rsid w:val="00117D72"/>
    <w:rsid w:val="001201A3"/>
    <w:rsid w:val="00120560"/>
    <w:rsid w:val="001206EE"/>
    <w:rsid w:val="001209EE"/>
    <w:rsid w:val="001226FA"/>
    <w:rsid w:val="00122E4A"/>
    <w:rsid w:val="00125816"/>
    <w:rsid w:val="001262DD"/>
    <w:rsid w:val="001265E1"/>
    <w:rsid w:val="001279A9"/>
    <w:rsid w:val="0013249E"/>
    <w:rsid w:val="00133118"/>
    <w:rsid w:val="00134F89"/>
    <w:rsid w:val="00135690"/>
    <w:rsid w:val="00135AEB"/>
    <w:rsid w:val="00136687"/>
    <w:rsid w:val="00136AA4"/>
    <w:rsid w:val="00141849"/>
    <w:rsid w:val="00141C6A"/>
    <w:rsid w:val="0014654F"/>
    <w:rsid w:val="001468C8"/>
    <w:rsid w:val="0014706B"/>
    <w:rsid w:val="00152604"/>
    <w:rsid w:val="00160122"/>
    <w:rsid w:val="00162073"/>
    <w:rsid w:val="00162CBE"/>
    <w:rsid w:val="00164F62"/>
    <w:rsid w:val="00165A8C"/>
    <w:rsid w:val="00166603"/>
    <w:rsid w:val="0016765F"/>
    <w:rsid w:val="001677F8"/>
    <w:rsid w:val="00167F68"/>
    <w:rsid w:val="001700FD"/>
    <w:rsid w:val="00171BB8"/>
    <w:rsid w:val="00173199"/>
    <w:rsid w:val="001741FC"/>
    <w:rsid w:val="0017591C"/>
    <w:rsid w:val="00176E77"/>
    <w:rsid w:val="001812D3"/>
    <w:rsid w:val="001815E5"/>
    <w:rsid w:val="00181B22"/>
    <w:rsid w:val="00181B78"/>
    <w:rsid w:val="0018386B"/>
    <w:rsid w:val="00184AD9"/>
    <w:rsid w:val="00185FAF"/>
    <w:rsid w:val="00186033"/>
    <w:rsid w:val="00187740"/>
    <w:rsid w:val="00187A6D"/>
    <w:rsid w:val="001906FE"/>
    <w:rsid w:val="00190F3C"/>
    <w:rsid w:val="001945F9"/>
    <w:rsid w:val="0019509F"/>
    <w:rsid w:val="00195E9B"/>
    <w:rsid w:val="0019771E"/>
    <w:rsid w:val="001A2E95"/>
    <w:rsid w:val="001A5076"/>
    <w:rsid w:val="001A594A"/>
    <w:rsid w:val="001A6572"/>
    <w:rsid w:val="001A69C9"/>
    <w:rsid w:val="001B1910"/>
    <w:rsid w:val="001B1E22"/>
    <w:rsid w:val="001B2D15"/>
    <w:rsid w:val="001B4058"/>
    <w:rsid w:val="001C0BC6"/>
    <w:rsid w:val="001C210B"/>
    <w:rsid w:val="001C290B"/>
    <w:rsid w:val="001C467C"/>
    <w:rsid w:val="001C4FE6"/>
    <w:rsid w:val="001C797A"/>
    <w:rsid w:val="001D07BF"/>
    <w:rsid w:val="001D24B0"/>
    <w:rsid w:val="001D2679"/>
    <w:rsid w:val="001D3997"/>
    <w:rsid w:val="001D6731"/>
    <w:rsid w:val="001D748E"/>
    <w:rsid w:val="001E1673"/>
    <w:rsid w:val="001E1837"/>
    <w:rsid w:val="001E1ECB"/>
    <w:rsid w:val="001E3B1B"/>
    <w:rsid w:val="001E4054"/>
    <w:rsid w:val="001E530F"/>
    <w:rsid w:val="001E629C"/>
    <w:rsid w:val="001E6B13"/>
    <w:rsid w:val="001E7206"/>
    <w:rsid w:val="001F067E"/>
    <w:rsid w:val="001F1028"/>
    <w:rsid w:val="001F10B6"/>
    <w:rsid w:val="001F1667"/>
    <w:rsid w:val="001F25DA"/>
    <w:rsid w:val="00203242"/>
    <w:rsid w:val="00203A80"/>
    <w:rsid w:val="00204528"/>
    <w:rsid w:val="00204B59"/>
    <w:rsid w:val="00206E90"/>
    <w:rsid w:val="00210DA4"/>
    <w:rsid w:val="00217C28"/>
    <w:rsid w:val="002244AB"/>
    <w:rsid w:val="0022644A"/>
    <w:rsid w:val="00227A88"/>
    <w:rsid w:val="00231714"/>
    <w:rsid w:val="002360EE"/>
    <w:rsid w:val="00236B47"/>
    <w:rsid w:val="002373B2"/>
    <w:rsid w:val="002400EE"/>
    <w:rsid w:val="00242B8D"/>
    <w:rsid w:val="00242E30"/>
    <w:rsid w:val="00244848"/>
    <w:rsid w:val="00245BFB"/>
    <w:rsid w:val="00246E78"/>
    <w:rsid w:val="00250B2A"/>
    <w:rsid w:val="00251C5F"/>
    <w:rsid w:val="00253571"/>
    <w:rsid w:val="002539F8"/>
    <w:rsid w:val="00254AE9"/>
    <w:rsid w:val="002553ED"/>
    <w:rsid w:val="00263588"/>
    <w:rsid w:val="0026474E"/>
    <w:rsid w:val="002670BF"/>
    <w:rsid w:val="00271D39"/>
    <w:rsid w:val="00272E19"/>
    <w:rsid w:val="00273D62"/>
    <w:rsid w:val="002804E2"/>
    <w:rsid w:val="00280B96"/>
    <w:rsid w:val="00283EB0"/>
    <w:rsid w:val="00284217"/>
    <w:rsid w:val="00285613"/>
    <w:rsid w:val="0028726D"/>
    <w:rsid w:val="00287A9F"/>
    <w:rsid w:val="002910B5"/>
    <w:rsid w:val="00291F80"/>
    <w:rsid w:val="00292416"/>
    <w:rsid w:val="00292A09"/>
    <w:rsid w:val="00292BC2"/>
    <w:rsid w:val="00293149"/>
    <w:rsid w:val="00293ECF"/>
    <w:rsid w:val="00295AD9"/>
    <w:rsid w:val="002961AD"/>
    <w:rsid w:val="0029740B"/>
    <w:rsid w:val="002A04CC"/>
    <w:rsid w:val="002A1078"/>
    <w:rsid w:val="002A1C61"/>
    <w:rsid w:val="002A263D"/>
    <w:rsid w:val="002A4478"/>
    <w:rsid w:val="002A7257"/>
    <w:rsid w:val="002B0740"/>
    <w:rsid w:val="002B09A4"/>
    <w:rsid w:val="002B191E"/>
    <w:rsid w:val="002B4C42"/>
    <w:rsid w:val="002B54E1"/>
    <w:rsid w:val="002B7DA0"/>
    <w:rsid w:val="002C00CA"/>
    <w:rsid w:val="002C3693"/>
    <w:rsid w:val="002C43B5"/>
    <w:rsid w:val="002C51A2"/>
    <w:rsid w:val="002C6803"/>
    <w:rsid w:val="002C6CE7"/>
    <w:rsid w:val="002C78BE"/>
    <w:rsid w:val="002D07B8"/>
    <w:rsid w:val="002D2368"/>
    <w:rsid w:val="002D2F13"/>
    <w:rsid w:val="002D4A07"/>
    <w:rsid w:val="002D632B"/>
    <w:rsid w:val="002D6B82"/>
    <w:rsid w:val="002D7298"/>
    <w:rsid w:val="002E054A"/>
    <w:rsid w:val="002E25DC"/>
    <w:rsid w:val="002E288C"/>
    <w:rsid w:val="002E318B"/>
    <w:rsid w:val="002F06C9"/>
    <w:rsid w:val="002F0BDE"/>
    <w:rsid w:val="002F0C38"/>
    <w:rsid w:val="002F2143"/>
    <w:rsid w:val="002F2E20"/>
    <w:rsid w:val="002F59F7"/>
    <w:rsid w:val="00304BBC"/>
    <w:rsid w:val="0030531F"/>
    <w:rsid w:val="00305484"/>
    <w:rsid w:val="00311549"/>
    <w:rsid w:val="00312DB7"/>
    <w:rsid w:val="003136BE"/>
    <w:rsid w:val="00316226"/>
    <w:rsid w:val="00317C77"/>
    <w:rsid w:val="00322ABB"/>
    <w:rsid w:val="0032319C"/>
    <w:rsid w:val="0032385D"/>
    <w:rsid w:val="0032391A"/>
    <w:rsid w:val="00325EAB"/>
    <w:rsid w:val="003268CE"/>
    <w:rsid w:val="00331DB9"/>
    <w:rsid w:val="003321C5"/>
    <w:rsid w:val="00332F5F"/>
    <w:rsid w:val="00333702"/>
    <w:rsid w:val="003344D5"/>
    <w:rsid w:val="00334503"/>
    <w:rsid w:val="0034168C"/>
    <w:rsid w:val="00341970"/>
    <w:rsid w:val="003443C3"/>
    <w:rsid w:val="00344876"/>
    <w:rsid w:val="00345C05"/>
    <w:rsid w:val="003460CF"/>
    <w:rsid w:val="00346192"/>
    <w:rsid w:val="00346630"/>
    <w:rsid w:val="003476D5"/>
    <w:rsid w:val="00347CB7"/>
    <w:rsid w:val="00354297"/>
    <w:rsid w:val="00354C4E"/>
    <w:rsid w:val="00354DAD"/>
    <w:rsid w:val="00355015"/>
    <w:rsid w:val="00355068"/>
    <w:rsid w:val="00355381"/>
    <w:rsid w:val="00355989"/>
    <w:rsid w:val="0035776E"/>
    <w:rsid w:val="00360403"/>
    <w:rsid w:val="00360D25"/>
    <w:rsid w:val="00363BDB"/>
    <w:rsid w:val="00363FD6"/>
    <w:rsid w:val="00365561"/>
    <w:rsid w:val="00365EFA"/>
    <w:rsid w:val="00366089"/>
    <w:rsid w:val="00366147"/>
    <w:rsid w:val="00366DE6"/>
    <w:rsid w:val="00367AFC"/>
    <w:rsid w:val="003700BF"/>
    <w:rsid w:val="003755ED"/>
    <w:rsid w:val="00376E36"/>
    <w:rsid w:val="003770B8"/>
    <w:rsid w:val="0037777E"/>
    <w:rsid w:val="003800C1"/>
    <w:rsid w:val="00382EBB"/>
    <w:rsid w:val="0038506E"/>
    <w:rsid w:val="0038619A"/>
    <w:rsid w:val="0038637C"/>
    <w:rsid w:val="00387B93"/>
    <w:rsid w:val="00390176"/>
    <w:rsid w:val="00390674"/>
    <w:rsid w:val="00394388"/>
    <w:rsid w:val="0039666C"/>
    <w:rsid w:val="003A0378"/>
    <w:rsid w:val="003A0B7B"/>
    <w:rsid w:val="003A67CC"/>
    <w:rsid w:val="003A7607"/>
    <w:rsid w:val="003A7890"/>
    <w:rsid w:val="003B0CE2"/>
    <w:rsid w:val="003B1AAB"/>
    <w:rsid w:val="003B4D25"/>
    <w:rsid w:val="003B572F"/>
    <w:rsid w:val="003B5779"/>
    <w:rsid w:val="003B65A8"/>
    <w:rsid w:val="003C021B"/>
    <w:rsid w:val="003C1772"/>
    <w:rsid w:val="003C1AF9"/>
    <w:rsid w:val="003C43C9"/>
    <w:rsid w:val="003C471F"/>
    <w:rsid w:val="003C4C1D"/>
    <w:rsid w:val="003C66D3"/>
    <w:rsid w:val="003C6C97"/>
    <w:rsid w:val="003C75F6"/>
    <w:rsid w:val="003D14BC"/>
    <w:rsid w:val="003D3581"/>
    <w:rsid w:val="003D3B4D"/>
    <w:rsid w:val="003D3FDC"/>
    <w:rsid w:val="003D4562"/>
    <w:rsid w:val="003D46A2"/>
    <w:rsid w:val="003D477B"/>
    <w:rsid w:val="003D5D63"/>
    <w:rsid w:val="003E2C0D"/>
    <w:rsid w:val="003E2FA3"/>
    <w:rsid w:val="003E3FF3"/>
    <w:rsid w:val="003E4E5A"/>
    <w:rsid w:val="003F0B90"/>
    <w:rsid w:val="003F13A0"/>
    <w:rsid w:val="003F60CF"/>
    <w:rsid w:val="004023FB"/>
    <w:rsid w:val="004047D0"/>
    <w:rsid w:val="004067A7"/>
    <w:rsid w:val="004118EE"/>
    <w:rsid w:val="00413D02"/>
    <w:rsid w:val="00414D68"/>
    <w:rsid w:val="00415B7C"/>
    <w:rsid w:val="00415BA3"/>
    <w:rsid w:val="00415D09"/>
    <w:rsid w:val="004205EC"/>
    <w:rsid w:val="00421BAA"/>
    <w:rsid w:val="00422DB1"/>
    <w:rsid w:val="00423349"/>
    <w:rsid w:val="00424ECD"/>
    <w:rsid w:val="004276CA"/>
    <w:rsid w:val="00432244"/>
    <w:rsid w:val="00432AFA"/>
    <w:rsid w:val="004338EC"/>
    <w:rsid w:val="00434066"/>
    <w:rsid w:val="0044025E"/>
    <w:rsid w:val="00443F07"/>
    <w:rsid w:val="00444084"/>
    <w:rsid w:val="00446302"/>
    <w:rsid w:val="0044648F"/>
    <w:rsid w:val="00446B0D"/>
    <w:rsid w:val="004470F0"/>
    <w:rsid w:val="00454113"/>
    <w:rsid w:val="00454B1B"/>
    <w:rsid w:val="00454BCD"/>
    <w:rsid w:val="00455A9C"/>
    <w:rsid w:val="00457A9A"/>
    <w:rsid w:val="00461897"/>
    <w:rsid w:val="00462A1F"/>
    <w:rsid w:val="00463702"/>
    <w:rsid w:val="004638D7"/>
    <w:rsid w:val="00464838"/>
    <w:rsid w:val="00464F27"/>
    <w:rsid w:val="004655F1"/>
    <w:rsid w:val="0046653E"/>
    <w:rsid w:val="00471B45"/>
    <w:rsid w:val="004732A9"/>
    <w:rsid w:val="00473A4D"/>
    <w:rsid w:val="00473BAF"/>
    <w:rsid w:val="00474DCB"/>
    <w:rsid w:val="00475886"/>
    <w:rsid w:val="00476AE9"/>
    <w:rsid w:val="004774D6"/>
    <w:rsid w:val="004778B5"/>
    <w:rsid w:val="004835B9"/>
    <w:rsid w:val="0048703B"/>
    <w:rsid w:val="00487B57"/>
    <w:rsid w:val="004910FD"/>
    <w:rsid w:val="00491BB3"/>
    <w:rsid w:val="0049368F"/>
    <w:rsid w:val="004960DB"/>
    <w:rsid w:val="00496585"/>
    <w:rsid w:val="00496C94"/>
    <w:rsid w:val="004A3575"/>
    <w:rsid w:val="004A3FCB"/>
    <w:rsid w:val="004A5A70"/>
    <w:rsid w:val="004B0A0D"/>
    <w:rsid w:val="004B1563"/>
    <w:rsid w:val="004B1ABA"/>
    <w:rsid w:val="004B3CB5"/>
    <w:rsid w:val="004B63BD"/>
    <w:rsid w:val="004B6E25"/>
    <w:rsid w:val="004C03CA"/>
    <w:rsid w:val="004C3F9B"/>
    <w:rsid w:val="004C4AFD"/>
    <w:rsid w:val="004D24D7"/>
    <w:rsid w:val="004D2813"/>
    <w:rsid w:val="004D4429"/>
    <w:rsid w:val="004D5029"/>
    <w:rsid w:val="004D5ED9"/>
    <w:rsid w:val="004D656E"/>
    <w:rsid w:val="004D6877"/>
    <w:rsid w:val="004D68DB"/>
    <w:rsid w:val="004D785E"/>
    <w:rsid w:val="004E49F4"/>
    <w:rsid w:val="004E4A15"/>
    <w:rsid w:val="004E7E11"/>
    <w:rsid w:val="004F307F"/>
    <w:rsid w:val="004F44B8"/>
    <w:rsid w:val="004F4830"/>
    <w:rsid w:val="004F538F"/>
    <w:rsid w:val="004F5D75"/>
    <w:rsid w:val="004F67F7"/>
    <w:rsid w:val="00500179"/>
    <w:rsid w:val="00500F36"/>
    <w:rsid w:val="005016D2"/>
    <w:rsid w:val="00502F51"/>
    <w:rsid w:val="0050359E"/>
    <w:rsid w:val="0050441C"/>
    <w:rsid w:val="00504A35"/>
    <w:rsid w:val="00504BE7"/>
    <w:rsid w:val="00505A15"/>
    <w:rsid w:val="00505AB4"/>
    <w:rsid w:val="005060F7"/>
    <w:rsid w:val="0050666C"/>
    <w:rsid w:val="00506FB4"/>
    <w:rsid w:val="005070BA"/>
    <w:rsid w:val="005108A4"/>
    <w:rsid w:val="005109C5"/>
    <w:rsid w:val="00511340"/>
    <w:rsid w:val="00511AF5"/>
    <w:rsid w:val="00511CFC"/>
    <w:rsid w:val="00511D10"/>
    <w:rsid w:val="00514993"/>
    <w:rsid w:val="005168C8"/>
    <w:rsid w:val="005169CD"/>
    <w:rsid w:val="005172B1"/>
    <w:rsid w:val="005239D2"/>
    <w:rsid w:val="00525A48"/>
    <w:rsid w:val="00527257"/>
    <w:rsid w:val="005329B6"/>
    <w:rsid w:val="00532A05"/>
    <w:rsid w:val="00533BC4"/>
    <w:rsid w:val="00534BEB"/>
    <w:rsid w:val="00535385"/>
    <w:rsid w:val="0053703D"/>
    <w:rsid w:val="005370C1"/>
    <w:rsid w:val="0053734A"/>
    <w:rsid w:val="00540291"/>
    <w:rsid w:val="005404E5"/>
    <w:rsid w:val="00542863"/>
    <w:rsid w:val="00543DD7"/>
    <w:rsid w:val="00544558"/>
    <w:rsid w:val="005452B4"/>
    <w:rsid w:val="005468AD"/>
    <w:rsid w:val="005476A7"/>
    <w:rsid w:val="00551FE2"/>
    <w:rsid w:val="00553908"/>
    <w:rsid w:val="00554971"/>
    <w:rsid w:val="00554D20"/>
    <w:rsid w:val="005558DD"/>
    <w:rsid w:val="0055773F"/>
    <w:rsid w:val="005578D1"/>
    <w:rsid w:val="00561E2C"/>
    <w:rsid w:val="00562461"/>
    <w:rsid w:val="0056258D"/>
    <w:rsid w:val="00565316"/>
    <w:rsid w:val="00566772"/>
    <w:rsid w:val="00566BA2"/>
    <w:rsid w:val="00567730"/>
    <w:rsid w:val="00567936"/>
    <w:rsid w:val="005712DA"/>
    <w:rsid w:val="005716B8"/>
    <w:rsid w:val="005723FD"/>
    <w:rsid w:val="005728A7"/>
    <w:rsid w:val="005769B7"/>
    <w:rsid w:val="00581080"/>
    <w:rsid w:val="00585137"/>
    <w:rsid w:val="00585B74"/>
    <w:rsid w:val="005927CD"/>
    <w:rsid w:val="00592E62"/>
    <w:rsid w:val="005930D4"/>
    <w:rsid w:val="0059591F"/>
    <w:rsid w:val="005959D4"/>
    <w:rsid w:val="005A2072"/>
    <w:rsid w:val="005A4484"/>
    <w:rsid w:val="005A589A"/>
    <w:rsid w:val="005A60C6"/>
    <w:rsid w:val="005A67FC"/>
    <w:rsid w:val="005B527A"/>
    <w:rsid w:val="005B57D1"/>
    <w:rsid w:val="005B6FE5"/>
    <w:rsid w:val="005B7EF6"/>
    <w:rsid w:val="005C088A"/>
    <w:rsid w:val="005C1126"/>
    <w:rsid w:val="005C239E"/>
    <w:rsid w:val="005C2EF0"/>
    <w:rsid w:val="005C48FD"/>
    <w:rsid w:val="005C6B7F"/>
    <w:rsid w:val="005C6CD6"/>
    <w:rsid w:val="005C7239"/>
    <w:rsid w:val="005C7FAF"/>
    <w:rsid w:val="005D1449"/>
    <w:rsid w:val="005D185F"/>
    <w:rsid w:val="005D3073"/>
    <w:rsid w:val="005D3B13"/>
    <w:rsid w:val="005D46D6"/>
    <w:rsid w:val="005D578A"/>
    <w:rsid w:val="005D5989"/>
    <w:rsid w:val="005D61C0"/>
    <w:rsid w:val="005D6AF2"/>
    <w:rsid w:val="005E14CE"/>
    <w:rsid w:val="005E34FD"/>
    <w:rsid w:val="005E3B3A"/>
    <w:rsid w:val="005E40E9"/>
    <w:rsid w:val="005E469B"/>
    <w:rsid w:val="005E614A"/>
    <w:rsid w:val="005E631B"/>
    <w:rsid w:val="005F161F"/>
    <w:rsid w:val="005F3A08"/>
    <w:rsid w:val="005F4D79"/>
    <w:rsid w:val="005F5C9C"/>
    <w:rsid w:val="00605F1F"/>
    <w:rsid w:val="006109F0"/>
    <w:rsid w:val="00611631"/>
    <w:rsid w:val="00611A2F"/>
    <w:rsid w:val="00615F16"/>
    <w:rsid w:val="00616BE6"/>
    <w:rsid w:val="00617339"/>
    <w:rsid w:val="006177B7"/>
    <w:rsid w:val="00621404"/>
    <w:rsid w:val="00621759"/>
    <w:rsid w:val="00621AB0"/>
    <w:rsid w:val="00623E38"/>
    <w:rsid w:val="00624166"/>
    <w:rsid w:val="006244C1"/>
    <w:rsid w:val="006252D9"/>
    <w:rsid w:val="006305A5"/>
    <w:rsid w:val="00630696"/>
    <w:rsid w:val="00633AA2"/>
    <w:rsid w:val="00634517"/>
    <w:rsid w:val="006348C6"/>
    <w:rsid w:val="006354DD"/>
    <w:rsid w:val="00636DB9"/>
    <w:rsid w:val="00637245"/>
    <w:rsid w:val="00642128"/>
    <w:rsid w:val="00650A95"/>
    <w:rsid w:val="006519D2"/>
    <w:rsid w:val="00653AA2"/>
    <w:rsid w:val="0065435A"/>
    <w:rsid w:val="00655397"/>
    <w:rsid w:val="006573E8"/>
    <w:rsid w:val="00660630"/>
    <w:rsid w:val="00664A58"/>
    <w:rsid w:val="0067042B"/>
    <w:rsid w:val="00672061"/>
    <w:rsid w:val="00672BFC"/>
    <w:rsid w:val="006747C7"/>
    <w:rsid w:val="0067789C"/>
    <w:rsid w:val="006805C8"/>
    <w:rsid w:val="006818D1"/>
    <w:rsid w:val="00681D18"/>
    <w:rsid w:val="006837F0"/>
    <w:rsid w:val="00684983"/>
    <w:rsid w:val="00686A50"/>
    <w:rsid w:val="00687A22"/>
    <w:rsid w:val="0069043F"/>
    <w:rsid w:val="00691295"/>
    <w:rsid w:val="006921AB"/>
    <w:rsid w:val="0069316B"/>
    <w:rsid w:val="0069615F"/>
    <w:rsid w:val="006972C4"/>
    <w:rsid w:val="00697788"/>
    <w:rsid w:val="006977FB"/>
    <w:rsid w:val="006A19A2"/>
    <w:rsid w:val="006A2CF2"/>
    <w:rsid w:val="006A437E"/>
    <w:rsid w:val="006A607D"/>
    <w:rsid w:val="006A6ACD"/>
    <w:rsid w:val="006B044F"/>
    <w:rsid w:val="006B0471"/>
    <w:rsid w:val="006B1006"/>
    <w:rsid w:val="006B1DB9"/>
    <w:rsid w:val="006B24FF"/>
    <w:rsid w:val="006B28FB"/>
    <w:rsid w:val="006B3EBC"/>
    <w:rsid w:val="006B65E8"/>
    <w:rsid w:val="006B6775"/>
    <w:rsid w:val="006B6F72"/>
    <w:rsid w:val="006B7172"/>
    <w:rsid w:val="006B798A"/>
    <w:rsid w:val="006B7ACB"/>
    <w:rsid w:val="006C030B"/>
    <w:rsid w:val="006C1584"/>
    <w:rsid w:val="006C5B9E"/>
    <w:rsid w:val="006C722B"/>
    <w:rsid w:val="006D12D6"/>
    <w:rsid w:val="006D141A"/>
    <w:rsid w:val="006D2896"/>
    <w:rsid w:val="006D3A8F"/>
    <w:rsid w:val="006D6926"/>
    <w:rsid w:val="006E1228"/>
    <w:rsid w:val="006E5111"/>
    <w:rsid w:val="006E6A5C"/>
    <w:rsid w:val="006E78C1"/>
    <w:rsid w:val="006F03F8"/>
    <w:rsid w:val="006F10DE"/>
    <w:rsid w:val="006F1B65"/>
    <w:rsid w:val="006F38AB"/>
    <w:rsid w:val="006F3C50"/>
    <w:rsid w:val="006F4285"/>
    <w:rsid w:val="006F46E1"/>
    <w:rsid w:val="006F6863"/>
    <w:rsid w:val="006F7BF3"/>
    <w:rsid w:val="007018BF"/>
    <w:rsid w:val="00702BBD"/>
    <w:rsid w:val="00702C24"/>
    <w:rsid w:val="00706A7F"/>
    <w:rsid w:val="00707DFC"/>
    <w:rsid w:val="007109AE"/>
    <w:rsid w:val="00711D5D"/>
    <w:rsid w:val="00711D9A"/>
    <w:rsid w:val="00713CEC"/>
    <w:rsid w:val="00714F07"/>
    <w:rsid w:val="0071582E"/>
    <w:rsid w:val="0071755D"/>
    <w:rsid w:val="00720A98"/>
    <w:rsid w:val="0072154C"/>
    <w:rsid w:val="00722077"/>
    <w:rsid w:val="007227CD"/>
    <w:rsid w:val="00722D73"/>
    <w:rsid w:val="00724946"/>
    <w:rsid w:val="00726116"/>
    <w:rsid w:val="007334BB"/>
    <w:rsid w:val="0073355F"/>
    <w:rsid w:val="00734B11"/>
    <w:rsid w:val="007352A5"/>
    <w:rsid w:val="00740757"/>
    <w:rsid w:val="00740D4E"/>
    <w:rsid w:val="00741826"/>
    <w:rsid w:val="0074254A"/>
    <w:rsid w:val="007444D7"/>
    <w:rsid w:val="007457AA"/>
    <w:rsid w:val="007459B5"/>
    <w:rsid w:val="007478BC"/>
    <w:rsid w:val="00750142"/>
    <w:rsid w:val="00750750"/>
    <w:rsid w:val="00751887"/>
    <w:rsid w:val="00752477"/>
    <w:rsid w:val="007532AD"/>
    <w:rsid w:val="007537D3"/>
    <w:rsid w:val="00756CEF"/>
    <w:rsid w:val="00756F2A"/>
    <w:rsid w:val="00756F31"/>
    <w:rsid w:val="0075724F"/>
    <w:rsid w:val="007633D5"/>
    <w:rsid w:val="00765214"/>
    <w:rsid w:val="00765545"/>
    <w:rsid w:val="00765C82"/>
    <w:rsid w:val="00775512"/>
    <w:rsid w:val="00775BAE"/>
    <w:rsid w:val="00776AC9"/>
    <w:rsid w:val="007773DA"/>
    <w:rsid w:val="00780549"/>
    <w:rsid w:val="00781261"/>
    <w:rsid w:val="007845F6"/>
    <w:rsid w:val="0078590B"/>
    <w:rsid w:val="00785D58"/>
    <w:rsid w:val="00790543"/>
    <w:rsid w:val="00791C94"/>
    <w:rsid w:val="00792A9A"/>
    <w:rsid w:val="00793065"/>
    <w:rsid w:val="00794551"/>
    <w:rsid w:val="0079619E"/>
    <w:rsid w:val="007A0310"/>
    <w:rsid w:val="007A1F32"/>
    <w:rsid w:val="007A28EB"/>
    <w:rsid w:val="007A3695"/>
    <w:rsid w:val="007A7621"/>
    <w:rsid w:val="007A79A6"/>
    <w:rsid w:val="007B10B4"/>
    <w:rsid w:val="007B17CB"/>
    <w:rsid w:val="007B2180"/>
    <w:rsid w:val="007B3B27"/>
    <w:rsid w:val="007B4DB8"/>
    <w:rsid w:val="007C032B"/>
    <w:rsid w:val="007C0621"/>
    <w:rsid w:val="007C096C"/>
    <w:rsid w:val="007C18AA"/>
    <w:rsid w:val="007C6882"/>
    <w:rsid w:val="007C7519"/>
    <w:rsid w:val="007D20F4"/>
    <w:rsid w:val="007D2A20"/>
    <w:rsid w:val="007D2E7C"/>
    <w:rsid w:val="007D2F4F"/>
    <w:rsid w:val="007D4B77"/>
    <w:rsid w:val="007D7D19"/>
    <w:rsid w:val="007E1445"/>
    <w:rsid w:val="007E1F97"/>
    <w:rsid w:val="007E332F"/>
    <w:rsid w:val="007E53B0"/>
    <w:rsid w:val="007E5A43"/>
    <w:rsid w:val="007F3E1B"/>
    <w:rsid w:val="007F4303"/>
    <w:rsid w:val="007F47F4"/>
    <w:rsid w:val="007F47F5"/>
    <w:rsid w:val="007F4BC4"/>
    <w:rsid w:val="007F6A9B"/>
    <w:rsid w:val="007F6E22"/>
    <w:rsid w:val="00801840"/>
    <w:rsid w:val="00802A8C"/>
    <w:rsid w:val="00804AC6"/>
    <w:rsid w:val="00804E5B"/>
    <w:rsid w:val="00805A4F"/>
    <w:rsid w:val="00806642"/>
    <w:rsid w:val="00806BFD"/>
    <w:rsid w:val="00807A4F"/>
    <w:rsid w:val="00811552"/>
    <w:rsid w:val="008115C5"/>
    <w:rsid w:val="00811E83"/>
    <w:rsid w:val="00813F1A"/>
    <w:rsid w:val="00814412"/>
    <w:rsid w:val="008151C3"/>
    <w:rsid w:val="00816667"/>
    <w:rsid w:val="0081799E"/>
    <w:rsid w:val="00821947"/>
    <w:rsid w:val="00822081"/>
    <w:rsid w:val="00822EDF"/>
    <w:rsid w:val="008250F6"/>
    <w:rsid w:val="008269FF"/>
    <w:rsid w:val="00826A6D"/>
    <w:rsid w:val="00826AFA"/>
    <w:rsid w:val="00826D91"/>
    <w:rsid w:val="00826FBE"/>
    <w:rsid w:val="008335BB"/>
    <w:rsid w:val="008335FA"/>
    <w:rsid w:val="0083377B"/>
    <w:rsid w:val="00833A56"/>
    <w:rsid w:val="00834D2D"/>
    <w:rsid w:val="008362CC"/>
    <w:rsid w:val="008370CF"/>
    <w:rsid w:val="0083750E"/>
    <w:rsid w:val="0084017D"/>
    <w:rsid w:val="00841142"/>
    <w:rsid w:val="00846C6E"/>
    <w:rsid w:val="00852DE5"/>
    <w:rsid w:val="00855938"/>
    <w:rsid w:val="00855DED"/>
    <w:rsid w:val="008566DF"/>
    <w:rsid w:val="00856ABE"/>
    <w:rsid w:val="00856ADD"/>
    <w:rsid w:val="00860F6A"/>
    <w:rsid w:val="00860FC3"/>
    <w:rsid w:val="00865FEB"/>
    <w:rsid w:val="00866942"/>
    <w:rsid w:val="00871D16"/>
    <w:rsid w:val="00873198"/>
    <w:rsid w:val="00873316"/>
    <w:rsid w:val="00874B77"/>
    <w:rsid w:val="00874E4C"/>
    <w:rsid w:val="00874F88"/>
    <w:rsid w:val="00875CE6"/>
    <w:rsid w:val="00882DDC"/>
    <w:rsid w:val="00883A83"/>
    <w:rsid w:val="00890860"/>
    <w:rsid w:val="008919D8"/>
    <w:rsid w:val="00892E41"/>
    <w:rsid w:val="00895465"/>
    <w:rsid w:val="00895827"/>
    <w:rsid w:val="008959E4"/>
    <w:rsid w:val="00895C2E"/>
    <w:rsid w:val="00897430"/>
    <w:rsid w:val="008975DC"/>
    <w:rsid w:val="008A0DF3"/>
    <w:rsid w:val="008A0E37"/>
    <w:rsid w:val="008A39A8"/>
    <w:rsid w:val="008A3A3F"/>
    <w:rsid w:val="008A3E76"/>
    <w:rsid w:val="008A40F3"/>
    <w:rsid w:val="008A4819"/>
    <w:rsid w:val="008B00ED"/>
    <w:rsid w:val="008B2517"/>
    <w:rsid w:val="008B49DF"/>
    <w:rsid w:val="008B6E4F"/>
    <w:rsid w:val="008C06EF"/>
    <w:rsid w:val="008C24A0"/>
    <w:rsid w:val="008C3489"/>
    <w:rsid w:val="008C4D35"/>
    <w:rsid w:val="008C63DC"/>
    <w:rsid w:val="008C7FBD"/>
    <w:rsid w:val="008D08B9"/>
    <w:rsid w:val="008D0D23"/>
    <w:rsid w:val="008D2486"/>
    <w:rsid w:val="008D326A"/>
    <w:rsid w:val="008D387B"/>
    <w:rsid w:val="008D39B1"/>
    <w:rsid w:val="008D43C6"/>
    <w:rsid w:val="008D567B"/>
    <w:rsid w:val="008E1FEB"/>
    <w:rsid w:val="008E2D1E"/>
    <w:rsid w:val="008E3DD2"/>
    <w:rsid w:val="008E40A4"/>
    <w:rsid w:val="008E46F2"/>
    <w:rsid w:val="008E530D"/>
    <w:rsid w:val="008E5DCB"/>
    <w:rsid w:val="008E616E"/>
    <w:rsid w:val="008E760A"/>
    <w:rsid w:val="008F3A92"/>
    <w:rsid w:val="008F47DA"/>
    <w:rsid w:val="008F7A9C"/>
    <w:rsid w:val="00905C97"/>
    <w:rsid w:val="00906650"/>
    <w:rsid w:val="00906A65"/>
    <w:rsid w:val="0090737A"/>
    <w:rsid w:val="00911260"/>
    <w:rsid w:val="009133F0"/>
    <w:rsid w:val="0091412F"/>
    <w:rsid w:val="00915F97"/>
    <w:rsid w:val="0091605D"/>
    <w:rsid w:val="00920635"/>
    <w:rsid w:val="0092254D"/>
    <w:rsid w:val="00925EFA"/>
    <w:rsid w:val="00926050"/>
    <w:rsid w:val="009265CA"/>
    <w:rsid w:val="00927ECF"/>
    <w:rsid w:val="00933D7B"/>
    <w:rsid w:val="00935AD4"/>
    <w:rsid w:val="00935F76"/>
    <w:rsid w:val="00937B4A"/>
    <w:rsid w:val="00937B59"/>
    <w:rsid w:val="00937FEC"/>
    <w:rsid w:val="009410C3"/>
    <w:rsid w:val="00943705"/>
    <w:rsid w:val="009461CF"/>
    <w:rsid w:val="0095086B"/>
    <w:rsid w:val="009512C1"/>
    <w:rsid w:val="009553DB"/>
    <w:rsid w:val="00956431"/>
    <w:rsid w:val="00957D6F"/>
    <w:rsid w:val="00963059"/>
    <w:rsid w:val="00966149"/>
    <w:rsid w:val="00966A4A"/>
    <w:rsid w:val="00970012"/>
    <w:rsid w:val="00971A38"/>
    <w:rsid w:val="009727AE"/>
    <w:rsid w:val="00972ABB"/>
    <w:rsid w:val="0097377D"/>
    <w:rsid w:val="00974E8D"/>
    <w:rsid w:val="0097533C"/>
    <w:rsid w:val="00975369"/>
    <w:rsid w:val="009762A7"/>
    <w:rsid w:val="0098185D"/>
    <w:rsid w:val="00981A7F"/>
    <w:rsid w:val="00982698"/>
    <w:rsid w:val="00982877"/>
    <w:rsid w:val="00983555"/>
    <w:rsid w:val="009842AE"/>
    <w:rsid w:val="00985524"/>
    <w:rsid w:val="00990470"/>
    <w:rsid w:val="00994421"/>
    <w:rsid w:val="00994DD8"/>
    <w:rsid w:val="009A7EB3"/>
    <w:rsid w:val="009B09A8"/>
    <w:rsid w:val="009B2B88"/>
    <w:rsid w:val="009B2FED"/>
    <w:rsid w:val="009B3BA6"/>
    <w:rsid w:val="009B4465"/>
    <w:rsid w:val="009B5ECD"/>
    <w:rsid w:val="009B61D6"/>
    <w:rsid w:val="009B666E"/>
    <w:rsid w:val="009B79C8"/>
    <w:rsid w:val="009C025C"/>
    <w:rsid w:val="009C2844"/>
    <w:rsid w:val="009C656B"/>
    <w:rsid w:val="009C6CDE"/>
    <w:rsid w:val="009C718E"/>
    <w:rsid w:val="009C7B56"/>
    <w:rsid w:val="009D1285"/>
    <w:rsid w:val="009D1A95"/>
    <w:rsid w:val="009D2EBD"/>
    <w:rsid w:val="009D2F67"/>
    <w:rsid w:val="009D418E"/>
    <w:rsid w:val="009D4DC5"/>
    <w:rsid w:val="009D55F9"/>
    <w:rsid w:val="009D678E"/>
    <w:rsid w:val="009D7F1E"/>
    <w:rsid w:val="009E079F"/>
    <w:rsid w:val="009E0C5E"/>
    <w:rsid w:val="009E1C4B"/>
    <w:rsid w:val="009E464C"/>
    <w:rsid w:val="009E5471"/>
    <w:rsid w:val="009E6415"/>
    <w:rsid w:val="009E794F"/>
    <w:rsid w:val="009F0A65"/>
    <w:rsid w:val="009F107E"/>
    <w:rsid w:val="009F2E59"/>
    <w:rsid w:val="009F3634"/>
    <w:rsid w:val="009F5E3C"/>
    <w:rsid w:val="00A0181F"/>
    <w:rsid w:val="00A01989"/>
    <w:rsid w:val="00A01FD3"/>
    <w:rsid w:val="00A03640"/>
    <w:rsid w:val="00A03996"/>
    <w:rsid w:val="00A059DB"/>
    <w:rsid w:val="00A07811"/>
    <w:rsid w:val="00A119C0"/>
    <w:rsid w:val="00A1343F"/>
    <w:rsid w:val="00A142F9"/>
    <w:rsid w:val="00A1464E"/>
    <w:rsid w:val="00A16637"/>
    <w:rsid w:val="00A20593"/>
    <w:rsid w:val="00A20767"/>
    <w:rsid w:val="00A21277"/>
    <w:rsid w:val="00A22DA0"/>
    <w:rsid w:val="00A22DB6"/>
    <w:rsid w:val="00A23022"/>
    <w:rsid w:val="00A23CAC"/>
    <w:rsid w:val="00A24290"/>
    <w:rsid w:val="00A24776"/>
    <w:rsid w:val="00A2517E"/>
    <w:rsid w:val="00A251B8"/>
    <w:rsid w:val="00A25479"/>
    <w:rsid w:val="00A25F5A"/>
    <w:rsid w:val="00A276FC"/>
    <w:rsid w:val="00A34C69"/>
    <w:rsid w:val="00A35633"/>
    <w:rsid w:val="00A357A1"/>
    <w:rsid w:val="00A36A73"/>
    <w:rsid w:val="00A404FA"/>
    <w:rsid w:val="00A41A35"/>
    <w:rsid w:val="00A41DA7"/>
    <w:rsid w:val="00A42A1A"/>
    <w:rsid w:val="00A438A8"/>
    <w:rsid w:val="00A43FEC"/>
    <w:rsid w:val="00A4488D"/>
    <w:rsid w:val="00A47E57"/>
    <w:rsid w:val="00A510F2"/>
    <w:rsid w:val="00A5332A"/>
    <w:rsid w:val="00A55803"/>
    <w:rsid w:val="00A57B1B"/>
    <w:rsid w:val="00A6256E"/>
    <w:rsid w:val="00A6556E"/>
    <w:rsid w:val="00A71A45"/>
    <w:rsid w:val="00A7576E"/>
    <w:rsid w:val="00A80358"/>
    <w:rsid w:val="00A8216B"/>
    <w:rsid w:val="00A8226F"/>
    <w:rsid w:val="00A82AB2"/>
    <w:rsid w:val="00A83F45"/>
    <w:rsid w:val="00A85FBF"/>
    <w:rsid w:val="00A901A7"/>
    <w:rsid w:val="00A9127B"/>
    <w:rsid w:val="00A9163F"/>
    <w:rsid w:val="00A9172A"/>
    <w:rsid w:val="00A9514E"/>
    <w:rsid w:val="00A9626C"/>
    <w:rsid w:val="00A9709A"/>
    <w:rsid w:val="00A979E6"/>
    <w:rsid w:val="00AA185C"/>
    <w:rsid w:val="00AA2154"/>
    <w:rsid w:val="00AA39B9"/>
    <w:rsid w:val="00AA4AA6"/>
    <w:rsid w:val="00AA5F2B"/>
    <w:rsid w:val="00AA6F3D"/>
    <w:rsid w:val="00AA6FA8"/>
    <w:rsid w:val="00AB02F1"/>
    <w:rsid w:val="00AB200C"/>
    <w:rsid w:val="00AB7AED"/>
    <w:rsid w:val="00AB7B66"/>
    <w:rsid w:val="00AC0260"/>
    <w:rsid w:val="00AC353B"/>
    <w:rsid w:val="00AC4184"/>
    <w:rsid w:val="00AC6484"/>
    <w:rsid w:val="00AC6D3D"/>
    <w:rsid w:val="00AC6D4E"/>
    <w:rsid w:val="00AC7424"/>
    <w:rsid w:val="00AD1409"/>
    <w:rsid w:val="00AD1D4C"/>
    <w:rsid w:val="00AD1EF9"/>
    <w:rsid w:val="00AD6AE0"/>
    <w:rsid w:val="00AE0D1D"/>
    <w:rsid w:val="00AE45ED"/>
    <w:rsid w:val="00AE4E2C"/>
    <w:rsid w:val="00AE4F6F"/>
    <w:rsid w:val="00AF02FF"/>
    <w:rsid w:val="00AF0A83"/>
    <w:rsid w:val="00AF22FB"/>
    <w:rsid w:val="00AF2A04"/>
    <w:rsid w:val="00AF3462"/>
    <w:rsid w:val="00AF4684"/>
    <w:rsid w:val="00AF5177"/>
    <w:rsid w:val="00AF60E4"/>
    <w:rsid w:val="00AF640B"/>
    <w:rsid w:val="00B00D78"/>
    <w:rsid w:val="00B02F3D"/>
    <w:rsid w:val="00B03393"/>
    <w:rsid w:val="00B1065F"/>
    <w:rsid w:val="00B10751"/>
    <w:rsid w:val="00B10AE5"/>
    <w:rsid w:val="00B1157D"/>
    <w:rsid w:val="00B12E1A"/>
    <w:rsid w:val="00B135FE"/>
    <w:rsid w:val="00B167BF"/>
    <w:rsid w:val="00B16D1C"/>
    <w:rsid w:val="00B21BD4"/>
    <w:rsid w:val="00B23A08"/>
    <w:rsid w:val="00B24100"/>
    <w:rsid w:val="00B251F8"/>
    <w:rsid w:val="00B2734F"/>
    <w:rsid w:val="00B277CC"/>
    <w:rsid w:val="00B34934"/>
    <w:rsid w:val="00B406E5"/>
    <w:rsid w:val="00B445D7"/>
    <w:rsid w:val="00B449DB"/>
    <w:rsid w:val="00B502FF"/>
    <w:rsid w:val="00B51E9A"/>
    <w:rsid w:val="00B5250F"/>
    <w:rsid w:val="00B54E89"/>
    <w:rsid w:val="00B60520"/>
    <w:rsid w:val="00B63BBB"/>
    <w:rsid w:val="00B64E3A"/>
    <w:rsid w:val="00B65AA8"/>
    <w:rsid w:val="00B66151"/>
    <w:rsid w:val="00B6616B"/>
    <w:rsid w:val="00B66822"/>
    <w:rsid w:val="00B66B8B"/>
    <w:rsid w:val="00B67977"/>
    <w:rsid w:val="00B708A1"/>
    <w:rsid w:val="00B712FE"/>
    <w:rsid w:val="00B717F7"/>
    <w:rsid w:val="00B720E4"/>
    <w:rsid w:val="00B7416F"/>
    <w:rsid w:val="00B75094"/>
    <w:rsid w:val="00B75739"/>
    <w:rsid w:val="00B80DCA"/>
    <w:rsid w:val="00B8291C"/>
    <w:rsid w:val="00B83F7D"/>
    <w:rsid w:val="00B84FE9"/>
    <w:rsid w:val="00B8794E"/>
    <w:rsid w:val="00B90F43"/>
    <w:rsid w:val="00B917D1"/>
    <w:rsid w:val="00B92ACD"/>
    <w:rsid w:val="00B97A9C"/>
    <w:rsid w:val="00BA0273"/>
    <w:rsid w:val="00BA06DC"/>
    <w:rsid w:val="00BA0785"/>
    <w:rsid w:val="00BA4AB0"/>
    <w:rsid w:val="00BA5F63"/>
    <w:rsid w:val="00BA7C1E"/>
    <w:rsid w:val="00BB349E"/>
    <w:rsid w:val="00BB52AD"/>
    <w:rsid w:val="00BB7E9B"/>
    <w:rsid w:val="00BC2AEA"/>
    <w:rsid w:val="00BC44E2"/>
    <w:rsid w:val="00BC5731"/>
    <w:rsid w:val="00BC696C"/>
    <w:rsid w:val="00BD033C"/>
    <w:rsid w:val="00BD2395"/>
    <w:rsid w:val="00BD37A8"/>
    <w:rsid w:val="00BD6A79"/>
    <w:rsid w:val="00BD6FD7"/>
    <w:rsid w:val="00BD7640"/>
    <w:rsid w:val="00BE1255"/>
    <w:rsid w:val="00BE1801"/>
    <w:rsid w:val="00BE22F9"/>
    <w:rsid w:val="00BE287A"/>
    <w:rsid w:val="00BE63B8"/>
    <w:rsid w:val="00BE667C"/>
    <w:rsid w:val="00BF14B2"/>
    <w:rsid w:val="00BF350D"/>
    <w:rsid w:val="00BF3BC9"/>
    <w:rsid w:val="00BF6889"/>
    <w:rsid w:val="00C001DD"/>
    <w:rsid w:val="00C0149E"/>
    <w:rsid w:val="00C02A02"/>
    <w:rsid w:val="00C03AEE"/>
    <w:rsid w:val="00C108A0"/>
    <w:rsid w:val="00C108B2"/>
    <w:rsid w:val="00C15493"/>
    <w:rsid w:val="00C204CC"/>
    <w:rsid w:val="00C21FE9"/>
    <w:rsid w:val="00C23BE1"/>
    <w:rsid w:val="00C247D5"/>
    <w:rsid w:val="00C251D1"/>
    <w:rsid w:val="00C25995"/>
    <w:rsid w:val="00C2701E"/>
    <w:rsid w:val="00C27294"/>
    <w:rsid w:val="00C312F2"/>
    <w:rsid w:val="00C3370F"/>
    <w:rsid w:val="00C4365B"/>
    <w:rsid w:val="00C45421"/>
    <w:rsid w:val="00C51862"/>
    <w:rsid w:val="00C51954"/>
    <w:rsid w:val="00C51F31"/>
    <w:rsid w:val="00C56E27"/>
    <w:rsid w:val="00C5707C"/>
    <w:rsid w:val="00C6047F"/>
    <w:rsid w:val="00C621CF"/>
    <w:rsid w:val="00C66A19"/>
    <w:rsid w:val="00C714D3"/>
    <w:rsid w:val="00C76D1E"/>
    <w:rsid w:val="00C839F1"/>
    <w:rsid w:val="00C85441"/>
    <w:rsid w:val="00C87339"/>
    <w:rsid w:val="00C907D9"/>
    <w:rsid w:val="00C91E9A"/>
    <w:rsid w:val="00C927E7"/>
    <w:rsid w:val="00C9320B"/>
    <w:rsid w:val="00C9370D"/>
    <w:rsid w:val="00C965D7"/>
    <w:rsid w:val="00CA0859"/>
    <w:rsid w:val="00CA314D"/>
    <w:rsid w:val="00CA38AB"/>
    <w:rsid w:val="00CA3F87"/>
    <w:rsid w:val="00CA4906"/>
    <w:rsid w:val="00CA70F5"/>
    <w:rsid w:val="00CA7CEA"/>
    <w:rsid w:val="00CB0259"/>
    <w:rsid w:val="00CB025C"/>
    <w:rsid w:val="00CB3F39"/>
    <w:rsid w:val="00CB4857"/>
    <w:rsid w:val="00CB51AF"/>
    <w:rsid w:val="00CB5DA6"/>
    <w:rsid w:val="00CB7BEB"/>
    <w:rsid w:val="00CC01C8"/>
    <w:rsid w:val="00CC15DD"/>
    <w:rsid w:val="00CC1C80"/>
    <w:rsid w:val="00CC3A80"/>
    <w:rsid w:val="00CC3BA0"/>
    <w:rsid w:val="00CC3FEF"/>
    <w:rsid w:val="00CC518B"/>
    <w:rsid w:val="00CC5640"/>
    <w:rsid w:val="00CC6781"/>
    <w:rsid w:val="00CC7DF6"/>
    <w:rsid w:val="00CD025E"/>
    <w:rsid w:val="00CD097C"/>
    <w:rsid w:val="00CD147E"/>
    <w:rsid w:val="00CD1CD8"/>
    <w:rsid w:val="00CD35C5"/>
    <w:rsid w:val="00CD5267"/>
    <w:rsid w:val="00CD617B"/>
    <w:rsid w:val="00CD76BF"/>
    <w:rsid w:val="00CD7C04"/>
    <w:rsid w:val="00CE1DFE"/>
    <w:rsid w:val="00CE27D5"/>
    <w:rsid w:val="00CE29DF"/>
    <w:rsid w:val="00CE35FC"/>
    <w:rsid w:val="00CE710B"/>
    <w:rsid w:val="00CE7362"/>
    <w:rsid w:val="00CF0D69"/>
    <w:rsid w:val="00CF2B48"/>
    <w:rsid w:val="00CF36B5"/>
    <w:rsid w:val="00CF493D"/>
    <w:rsid w:val="00CF4F36"/>
    <w:rsid w:val="00CF5050"/>
    <w:rsid w:val="00CF5A8B"/>
    <w:rsid w:val="00D01473"/>
    <w:rsid w:val="00D02C69"/>
    <w:rsid w:val="00D05A37"/>
    <w:rsid w:val="00D05AA7"/>
    <w:rsid w:val="00D06894"/>
    <w:rsid w:val="00D0749B"/>
    <w:rsid w:val="00D12038"/>
    <w:rsid w:val="00D123F2"/>
    <w:rsid w:val="00D12BE4"/>
    <w:rsid w:val="00D14639"/>
    <w:rsid w:val="00D16972"/>
    <w:rsid w:val="00D17D17"/>
    <w:rsid w:val="00D21E6B"/>
    <w:rsid w:val="00D22970"/>
    <w:rsid w:val="00D23FED"/>
    <w:rsid w:val="00D258C4"/>
    <w:rsid w:val="00D25E24"/>
    <w:rsid w:val="00D26F05"/>
    <w:rsid w:val="00D3094A"/>
    <w:rsid w:val="00D31C95"/>
    <w:rsid w:val="00D31EDB"/>
    <w:rsid w:val="00D328BD"/>
    <w:rsid w:val="00D32E00"/>
    <w:rsid w:val="00D33058"/>
    <w:rsid w:val="00D34631"/>
    <w:rsid w:val="00D34A69"/>
    <w:rsid w:val="00D36747"/>
    <w:rsid w:val="00D4493C"/>
    <w:rsid w:val="00D45B38"/>
    <w:rsid w:val="00D45CFD"/>
    <w:rsid w:val="00D45DFB"/>
    <w:rsid w:val="00D464A4"/>
    <w:rsid w:val="00D464FF"/>
    <w:rsid w:val="00D501DF"/>
    <w:rsid w:val="00D50C2B"/>
    <w:rsid w:val="00D5331C"/>
    <w:rsid w:val="00D55BDA"/>
    <w:rsid w:val="00D5770A"/>
    <w:rsid w:val="00D6078C"/>
    <w:rsid w:val="00D6129D"/>
    <w:rsid w:val="00D62473"/>
    <w:rsid w:val="00D636B3"/>
    <w:rsid w:val="00D64FB5"/>
    <w:rsid w:val="00D670F6"/>
    <w:rsid w:val="00D706F8"/>
    <w:rsid w:val="00D71694"/>
    <w:rsid w:val="00D72854"/>
    <w:rsid w:val="00D72D72"/>
    <w:rsid w:val="00D7435D"/>
    <w:rsid w:val="00D75663"/>
    <w:rsid w:val="00D764CD"/>
    <w:rsid w:val="00D778B4"/>
    <w:rsid w:val="00D80523"/>
    <w:rsid w:val="00D80E91"/>
    <w:rsid w:val="00D83BA2"/>
    <w:rsid w:val="00D84660"/>
    <w:rsid w:val="00D85449"/>
    <w:rsid w:val="00D87C83"/>
    <w:rsid w:val="00D9003D"/>
    <w:rsid w:val="00D905A7"/>
    <w:rsid w:val="00D9321D"/>
    <w:rsid w:val="00D937DD"/>
    <w:rsid w:val="00D953E1"/>
    <w:rsid w:val="00D956EF"/>
    <w:rsid w:val="00D95D7C"/>
    <w:rsid w:val="00D97A16"/>
    <w:rsid w:val="00DA13C4"/>
    <w:rsid w:val="00DA2C17"/>
    <w:rsid w:val="00DA6635"/>
    <w:rsid w:val="00DB4223"/>
    <w:rsid w:val="00DB45D9"/>
    <w:rsid w:val="00DB4667"/>
    <w:rsid w:val="00DB4D04"/>
    <w:rsid w:val="00DB600C"/>
    <w:rsid w:val="00DB7403"/>
    <w:rsid w:val="00DB7A1C"/>
    <w:rsid w:val="00DC0877"/>
    <w:rsid w:val="00DC180D"/>
    <w:rsid w:val="00DC52DE"/>
    <w:rsid w:val="00DC57AD"/>
    <w:rsid w:val="00DC60FD"/>
    <w:rsid w:val="00DC7708"/>
    <w:rsid w:val="00DC7B79"/>
    <w:rsid w:val="00DD0085"/>
    <w:rsid w:val="00DD0411"/>
    <w:rsid w:val="00DD3B66"/>
    <w:rsid w:val="00DD6E98"/>
    <w:rsid w:val="00DD6ECB"/>
    <w:rsid w:val="00DE0DFE"/>
    <w:rsid w:val="00DE1363"/>
    <w:rsid w:val="00DE1BFA"/>
    <w:rsid w:val="00DE4637"/>
    <w:rsid w:val="00DE46E5"/>
    <w:rsid w:val="00DE55A3"/>
    <w:rsid w:val="00DE6E27"/>
    <w:rsid w:val="00DE756A"/>
    <w:rsid w:val="00DF177A"/>
    <w:rsid w:val="00DF1B72"/>
    <w:rsid w:val="00DF21AC"/>
    <w:rsid w:val="00DF29E0"/>
    <w:rsid w:val="00DF4D2A"/>
    <w:rsid w:val="00DF7B4E"/>
    <w:rsid w:val="00DF7DD3"/>
    <w:rsid w:val="00E02918"/>
    <w:rsid w:val="00E0483B"/>
    <w:rsid w:val="00E05653"/>
    <w:rsid w:val="00E05829"/>
    <w:rsid w:val="00E06737"/>
    <w:rsid w:val="00E06BBD"/>
    <w:rsid w:val="00E07750"/>
    <w:rsid w:val="00E11D29"/>
    <w:rsid w:val="00E17179"/>
    <w:rsid w:val="00E17EC4"/>
    <w:rsid w:val="00E21755"/>
    <w:rsid w:val="00E21A89"/>
    <w:rsid w:val="00E22623"/>
    <w:rsid w:val="00E22816"/>
    <w:rsid w:val="00E2397C"/>
    <w:rsid w:val="00E24776"/>
    <w:rsid w:val="00E24908"/>
    <w:rsid w:val="00E25C2D"/>
    <w:rsid w:val="00E26AF8"/>
    <w:rsid w:val="00E2764A"/>
    <w:rsid w:val="00E27D3A"/>
    <w:rsid w:val="00E27D85"/>
    <w:rsid w:val="00E35EF9"/>
    <w:rsid w:val="00E430C9"/>
    <w:rsid w:val="00E4401F"/>
    <w:rsid w:val="00E44370"/>
    <w:rsid w:val="00E44DFC"/>
    <w:rsid w:val="00E474B3"/>
    <w:rsid w:val="00E4793E"/>
    <w:rsid w:val="00E50DAA"/>
    <w:rsid w:val="00E50E1C"/>
    <w:rsid w:val="00E52587"/>
    <w:rsid w:val="00E52654"/>
    <w:rsid w:val="00E53143"/>
    <w:rsid w:val="00E53F01"/>
    <w:rsid w:val="00E5663E"/>
    <w:rsid w:val="00E5696F"/>
    <w:rsid w:val="00E600DB"/>
    <w:rsid w:val="00E63500"/>
    <w:rsid w:val="00E64B85"/>
    <w:rsid w:val="00E666E5"/>
    <w:rsid w:val="00E710F3"/>
    <w:rsid w:val="00E710F6"/>
    <w:rsid w:val="00E71E34"/>
    <w:rsid w:val="00E734DC"/>
    <w:rsid w:val="00E73F12"/>
    <w:rsid w:val="00E74E69"/>
    <w:rsid w:val="00E7668F"/>
    <w:rsid w:val="00E77C78"/>
    <w:rsid w:val="00E81779"/>
    <w:rsid w:val="00E828E5"/>
    <w:rsid w:val="00E83417"/>
    <w:rsid w:val="00E83F43"/>
    <w:rsid w:val="00E8686F"/>
    <w:rsid w:val="00E86B58"/>
    <w:rsid w:val="00E928BF"/>
    <w:rsid w:val="00E93B8C"/>
    <w:rsid w:val="00E9441A"/>
    <w:rsid w:val="00E95575"/>
    <w:rsid w:val="00E95C14"/>
    <w:rsid w:val="00E96943"/>
    <w:rsid w:val="00E96A65"/>
    <w:rsid w:val="00EA0E45"/>
    <w:rsid w:val="00EA1EDB"/>
    <w:rsid w:val="00EA2780"/>
    <w:rsid w:val="00EA2B9D"/>
    <w:rsid w:val="00EA7E4A"/>
    <w:rsid w:val="00EB0BE5"/>
    <w:rsid w:val="00EB32B2"/>
    <w:rsid w:val="00EB36B5"/>
    <w:rsid w:val="00EB41A6"/>
    <w:rsid w:val="00EB51C4"/>
    <w:rsid w:val="00EB7E9B"/>
    <w:rsid w:val="00EC0400"/>
    <w:rsid w:val="00EC21AE"/>
    <w:rsid w:val="00EC6381"/>
    <w:rsid w:val="00EC663E"/>
    <w:rsid w:val="00ED0853"/>
    <w:rsid w:val="00ED0DDE"/>
    <w:rsid w:val="00ED1236"/>
    <w:rsid w:val="00ED1E2A"/>
    <w:rsid w:val="00ED4808"/>
    <w:rsid w:val="00ED4B15"/>
    <w:rsid w:val="00ED5ED6"/>
    <w:rsid w:val="00ED741B"/>
    <w:rsid w:val="00EE0FD7"/>
    <w:rsid w:val="00EE2F85"/>
    <w:rsid w:val="00EE4C8D"/>
    <w:rsid w:val="00EE6083"/>
    <w:rsid w:val="00EF5271"/>
    <w:rsid w:val="00EF529D"/>
    <w:rsid w:val="00EF5AE7"/>
    <w:rsid w:val="00EF5E57"/>
    <w:rsid w:val="00EF6E49"/>
    <w:rsid w:val="00EF7532"/>
    <w:rsid w:val="00F00C8C"/>
    <w:rsid w:val="00F013D9"/>
    <w:rsid w:val="00F0227D"/>
    <w:rsid w:val="00F02AA0"/>
    <w:rsid w:val="00F03225"/>
    <w:rsid w:val="00F041D6"/>
    <w:rsid w:val="00F04E74"/>
    <w:rsid w:val="00F04FF1"/>
    <w:rsid w:val="00F06016"/>
    <w:rsid w:val="00F06F59"/>
    <w:rsid w:val="00F0707F"/>
    <w:rsid w:val="00F07135"/>
    <w:rsid w:val="00F077F4"/>
    <w:rsid w:val="00F135E8"/>
    <w:rsid w:val="00F14A8C"/>
    <w:rsid w:val="00F15923"/>
    <w:rsid w:val="00F24C60"/>
    <w:rsid w:val="00F2648F"/>
    <w:rsid w:val="00F26FCF"/>
    <w:rsid w:val="00F30904"/>
    <w:rsid w:val="00F30B43"/>
    <w:rsid w:val="00F32AA7"/>
    <w:rsid w:val="00F34522"/>
    <w:rsid w:val="00F35141"/>
    <w:rsid w:val="00F36A46"/>
    <w:rsid w:val="00F414B4"/>
    <w:rsid w:val="00F43911"/>
    <w:rsid w:val="00F45B8B"/>
    <w:rsid w:val="00F46A9E"/>
    <w:rsid w:val="00F509A9"/>
    <w:rsid w:val="00F547C7"/>
    <w:rsid w:val="00F54A91"/>
    <w:rsid w:val="00F574CD"/>
    <w:rsid w:val="00F621BB"/>
    <w:rsid w:val="00F6373D"/>
    <w:rsid w:val="00F637A5"/>
    <w:rsid w:val="00F64095"/>
    <w:rsid w:val="00F64599"/>
    <w:rsid w:val="00F70AC5"/>
    <w:rsid w:val="00F70B4F"/>
    <w:rsid w:val="00F70C86"/>
    <w:rsid w:val="00F71349"/>
    <w:rsid w:val="00F71B1E"/>
    <w:rsid w:val="00F72D7C"/>
    <w:rsid w:val="00F74471"/>
    <w:rsid w:val="00F75A89"/>
    <w:rsid w:val="00F76870"/>
    <w:rsid w:val="00F76AC2"/>
    <w:rsid w:val="00F80E36"/>
    <w:rsid w:val="00F830F9"/>
    <w:rsid w:val="00F9130A"/>
    <w:rsid w:val="00F9419A"/>
    <w:rsid w:val="00F94756"/>
    <w:rsid w:val="00F94F18"/>
    <w:rsid w:val="00F9630A"/>
    <w:rsid w:val="00F96F17"/>
    <w:rsid w:val="00F97982"/>
    <w:rsid w:val="00FA112A"/>
    <w:rsid w:val="00FA222C"/>
    <w:rsid w:val="00FA5CDC"/>
    <w:rsid w:val="00FA69B0"/>
    <w:rsid w:val="00FB1FEF"/>
    <w:rsid w:val="00FB22BA"/>
    <w:rsid w:val="00FB30C8"/>
    <w:rsid w:val="00FB58FC"/>
    <w:rsid w:val="00FB5F45"/>
    <w:rsid w:val="00FB67ED"/>
    <w:rsid w:val="00FB7095"/>
    <w:rsid w:val="00FB762E"/>
    <w:rsid w:val="00FC136B"/>
    <w:rsid w:val="00FC2D45"/>
    <w:rsid w:val="00FC4050"/>
    <w:rsid w:val="00FC6E55"/>
    <w:rsid w:val="00FC7D30"/>
    <w:rsid w:val="00FD1C30"/>
    <w:rsid w:val="00FD2C03"/>
    <w:rsid w:val="00FD3ABB"/>
    <w:rsid w:val="00FD781A"/>
    <w:rsid w:val="00FE43AE"/>
    <w:rsid w:val="00FE4442"/>
    <w:rsid w:val="00FE4834"/>
    <w:rsid w:val="00FE56B7"/>
    <w:rsid w:val="00FF0CD0"/>
    <w:rsid w:val="00FF269F"/>
    <w:rsid w:val="00FF58D0"/>
    <w:rsid w:val="00FF65DB"/>
    <w:rsid w:val="0193369C"/>
    <w:rsid w:val="01A73B22"/>
    <w:rsid w:val="02783DF7"/>
    <w:rsid w:val="02B1384E"/>
    <w:rsid w:val="04825674"/>
    <w:rsid w:val="04B53504"/>
    <w:rsid w:val="05CA3700"/>
    <w:rsid w:val="06344057"/>
    <w:rsid w:val="07CB2C73"/>
    <w:rsid w:val="07CB4548"/>
    <w:rsid w:val="08407581"/>
    <w:rsid w:val="08425F97"/>
    <w:rsid w:val="0B100BEF"/>
    <w:rsid w:val="0B186678"/>
    <w:rsid w:val="0C981804"/>
    <w:rsid w:val="0CBD6B55"/>
    <w:rsid w:val="0DE20865"/>
    <w:rsid w:val="0DE2190D"/>
    <w:rsid w:val="0E00147B"/>
    <w:rsid w:val="10021B5E"/>
    <w:rsid w:val="12802419"/>
    <w:rsid w:val="14F90ED0"/>
    <w:rsid w:val="15B66837"/>
    <w:rsid w:val="16105407"/>
    <w:rsid w:val="16BB59AF"/>
    <w:rsid w:val="18910B4E"/>
    <w:rsid w:val="18B969A9"/>
    <w:rsid w:val="19C05BA1"/>
    <w:rsid w:val="19F81081"/>
    <w:rsid w:val="1A1B7597"/>
    <w:rsid w:val="1C4E6303"/>
    <w:rsid w:val="1C56750C"/>
    <w:rsid w:val="1C8810F4"/>
    <w:rsid w:val="1D0E1CB9"/>
    <w:rsid w:val="1ECA7681"/>
    <w:rsid w:val="1FF26BAE"/>
    <w:rsid w:val="203C0205"/>
    <w:rsid w:val="205947D7"/>
    <w:rsid w:val="2061627D"/>
    <w:rsid w:val="2162289A"/>
    <w:rsid w:val="249C4EAC"/>
    <w:rsid w:val="25975FC6"/>
    <w:rsid w:val="26622CFD"/>
    <w:rsid w:val="272337D0"/>
    <w:rsid w:val="29224EC3"/>
    <w:rsid w:val="2A0C6F1C"/>
    <w:rsid w:val="2A8311AB"/>
    <w:rsid w:val="2E163EBF"/>
    <w:rsid w:val="2EBE493E"/>
    <w:rsid w:val="2EDD678B"/>
    <w:rsid w:val="2F8416A7"/>
    <w:rsid w:val="2FAC4A09"/>
    <w:rsid w:val="30183946"/>
    <w:rsid w:val="31752CBE"/>
    <w:rsid w:val="318A4DBC"/>
    <w:rsid w:val="31CC0C8A"/>
    <w:rsid w:val="322841C1"/>
    <w:rsid w:val="32950E99"/>
    <w:rsid w:val="339E5EE9"/>
    <w:rsid w:val="36E7289C"/>
    <w:rsid w:val="3701326B"/>
    <w:rsid w:val="3922781B"/>
    <w:rsid w:val="3A510D10"/>
    <w:rsid w:val="3A9C399E"/>
    <w:rsid w:val="3AB5196F"/>
    <w:rsid w:val="3B03505C"/>
    <w:rsid w:val="3BDE270D"/>
    <w:rsid w:val="3C6777EE"/>
    <w:rsid w:val="3D7E363A"/>
    <w:rsid w:val="3DDC1E4F"/>
    <w:rsid w:val="3DE74F30"/>
    <w:rsid w:val="3E547794"/>
    <w:rsid w:val="3F2C27C3"/>
    <w:rsid w:val="3F4723DB"/>
    <w:rsid w:val="40167CB5"/>
    <w:rsid w:val="40AF442B"/>
    <w:rsid w:val="41E51C11"/>
    <w:rsid w:val="436332AB"/>
    <w:rsid w:val="44246EDE"/>
    <w:rsid w:val="44890AEF"/>
    <w:rsid w:val="44CA290D"/>
    <w:rsid w:val="47320140"/>
    <w:rsid w:val="47FE07EC"/>
    <w:rsid w:val="48A27589"/>
    <w:rsid w:val="48A92D6C"/>
    <w:rsid w:val="4A4E7F89"/>
    <w:rsid w:val="4B0B2828"/>
    <w:rsid w:val="4B8875E6"/>
    <w:rsid w:val="4C597EE7"/>
    <w:rsid w:val="4C9E2587"/>
    <w:rsid w:val="4D2432E3"/>
    <w:rsid w:val="4D34396B"/>
    <w:rsid w:val="4D5368C5"/>
    <w:rsid w:val="4DC72C73"/>
    <w:rsid w:val="4E4E19E2"/>
    <w:rsid w:val="4E5F49CE"/>
    <w:rsid w:val="4EA538B7"/>
    <w:rsid w:val="4F4A2B53"/>
    <w:rsid w:val="501A16B7"/>
    <w:rsid w:val="50DB42B0"/>
    <w:rsid w:val="52536456"/>
    <w:rsid w:val="533B370E"/>
    <w:rsid w:val="534D108E"/>
    <w:rsid w:val="53F561A1"/>
    <w:rsid w:val="540A7D09"/>
    <w:rsid w:val="541A79B6"/>
    <w:rsid w:val="551E535F"/>
    <w:rsid w:val="56CD0A43"/>
    <w:rsid w:val="5BA14999"/>
    <w:rsid w:val="5F2560DB"/>
    <w:rsid w:val="5FA6034F"/>
    <w:rsid w:val="6060340A"/>
    <w:rsid w:val="619807BB"/>
    <w:rsid w:val="62BE19A4"/>
    <w:rsid w:val="636C0F83"/>
    <w:rsid w:val="656A6314"/>
    <w:rsid w:val="657873C6"/>
    <w:rsid w:val="657E3510"/>
    <w:rsid w:val="67990800"/>
    <w:rsid w:val="684E2FB6"/>
    <w:rsid w:val="69D34437"/>
    <w:rsid w:val="6B804EC3"/>
    <w:rsid w:val="6BA50055"/>
    <w:rsid w:val="6C053AA1"/>
    <w:rsid w:val="6D2D0571"/>
    <w:rsid w:val="6D52044D"/>
    <w:rsid w:val="6D99255B"/>
    <w:rsid w:val="6DBC0B4D"/>
    <w:rsid w:val="6E324C1E"/>
    <w:rsid w:val="6E71413F"/>
    <w:rsid w:val="6F405E8D"/>
    <w:rsid w:val="6FD674F4"/>
    <w:rsid w:val="71F46A46"/>
    <w:rsid w:val="72137C52"/>
    <w:rsid w:val="73165394"/>
    <w:rsid w:val="733C5A9D"/>
    <w:rsid w:val="745A3820"/>
    <w:rsid w:val="75A07192"/>
    <w:rsid w:val="75E672A0"/>
    <w:rsid w:val="75E81FA2"/>
    <w:rsid w:val="79D7587D"/>
    <w:rsid w:val="79E24E87"/>
    <w:rsid w:val="7A6B06DA"/>
    <w:rsid w:val="7A83147F"/>
    <w:rsid w:val="7AEA63CF"/>
    <w:rsid w:val="7C8F0691"/>
    <w:rsid w:val="7CD376AC"/>
    <w:rsid w:val="7CF8248D"/>
    <w:rsid w:val="7D5752A1"/>
    <w:rsid w:val="7DBE6D77"/>
    <w:rsid w:val="7DC728FC"/>
    <w:rsid w:val="7E193762"/>
    <w:rsid w:val="7E902B5B"/>
    <w:rsid w:val="7F4E338A"/>
    <w:rsid w:val="7F590AE3"/>
    <w:rsid w:val="7F9A2177"/>
    <w:rsid w:val="7FE85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iPriority="99" w:semiHidden="0" w:name="toc 6"/>
    <w:lsdException w:uiPriority="39" w:name="toc 7"/>
    <w:lsdException w:qFormat="1"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0"/>
    <w:pPr>
      <w:keepNext/>
      <w:keepLines/>
      <w:spacing w:before="340" w:after="330" w:line="576" w:lineRule="auto"/>
      <w:outlineLvl w:val="0"/>
    </w:pPr>
    <w:rPr>
      <w:rFonts w:ascii="time new roman" w:hAnsi="time new roman" w:eastAsia="长城粗隶书" w:cs="Times New Roman"/>
      <w:b/>
      <w:bCs/>
      <w:kern w:val="44"/>
      <w:sz w:val="44"/>
      <w:szCs w:val="44"/>
    </w:rPr>
  </w:style>
  <w:style w:type="paragraph" w:styleId="3">
    <w:name w:val="heading 2"/>
    <w:basedOn w:val="1"/>
    <w:next w:val="1"/>
    <w:link w:val="67"/>
    <w:autoRedefine/>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68"/>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6"/>
    <w:link w:val="69"/>
    <w:autoRedefine/>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6"/>
    <w:link w:val="70"/>
    <w:autoRedefine/>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6"/>
    <w:link w:val="71"/>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6"/>
    <w:link w:val="72"/>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6"/>
    <w:link w:val="73"/>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6"/>
    <w:link w:val="74"/>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83"/>
    <w:autoRedefine/>
    <w:qFormat/>
    <w:uiPriority w:val="0"/>
    <w:pPr>
      <w:ind w:firstLine="420"/>
    </w:pPr>
    <w:rPr>
      <w:rFonts w:eastAsia="宋体"/>
    </w:rPr>
  </w:style>
  <w:style w:type="paragraph" w:styleId="12">
    <w:name w:val="Note Heading"/>
    <w:basedOn w:val="1"/>
    <w:next w:val="1"/>
    <w:link w:val="80"/>
    <w:autoRedefine/>
    <w:qFormat/>
    <w:uiPriority w:val="0"/>
    <w:pPr>
      <w:jc w:val="center"/>
    </w:pPr>
    <w:rPr>
      <w:rFonts w:ascii="time new roman" w:hAnsi="time new roman" w:eastAsia="长城粗隶书" w:cs="Courier New"/>
      <w:szCs w:val="24"/>
    </w:rPr>
  </w:style>
  <w:style w:type="paragraph" w:styleId="1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132"/>
    <w:autoRedefine/>
    <w:qFormat/>
    <w:uiPriority w:val="0"/>
    <w:pPr>
      <w:shd w:val="clear" w:color="auto" w:fill="000080"/>
    </w:pPr>
    <w:rPr>
      <w:rFonts w:ascii="Times New Roman" w:hAnsi="Times New Roman" w:eastAsia="宋体" w:cs="Times New Roman"/>
      <w:szCs w:val="24"/>
    </w:rPr>
  </w:style>
  <w:style w:type="paragraph" w:styleId="16">
    <w:name w:val="annotation text"/>
    <w:basedOn w:val="1"/>
    <w:link w:val="82"/>
    <w:autoRedefine/>
    <w:qFormat/>
    <w:uiPriority w:val="0"/>
    <w:pPr>
      <w:jc w:val="left"/>
    </w:pPr>
    <w:rPr>
      <w:szCs w:val="24"/>
    </w:rPr>
  </w:style>
  <w:style w:type="paragraph" w:styleId="17">
    <w:name w:val="Body Text 3"/>
    <w:basedOn w:val="1"/>
    <w:link w:val="116"/>
    <w:autoRedefine/>
    <w:qFormat/>
    <w:uiPriority w:val="0"/>
    <w:pPr>
      <w:snapToGrid w:val="0"/>
      <w:spacing w:before="50" w:after="50"/>
    </w:pPr>
    <w:rPr>
      <w:rFonts w:ascii="Times New Roman" w:hAnsi="宋体" w:eastAsia="仿宋_GB2312" w:cs="Times New Roman"/>
      <w:b/>
      <w:bCs/>
      <w:sz w:val="24"/>
      <w:szCs w:val="20"/>
    </w:rPr>
  </w:style>
  <w:style w:type="paragraph" w:styleId="18">
    <w:name w:val="List Bullet 3"/>
    <w:basedOn w:val="1"/>
    <w:autoRedefine/>
    <w:qFormat/>
    <w:uiPriority w:val="0"/>
    <w:pPr>
      <w:tabs>
        <w:tab w:val="left" w:pos="1200"/>
      </w:tabs>
      <w:ind w:left="1200" w:hanging="360"/>
    </w:pPr>
    <w:rPr>
      <w:rFonts w:ascii="Times New Roman" w:hAnsi="Times New Roman" w:eastAsia="宋体" w:cs="Times New Roman"/>
      <w:szCs w:val="24"/>
    </w:rPr>
  </w:style>
  <w:style w:type="paragraph" w:styleId="19">
    <w:name w:val="Body Text"/>
    <w:basedOn w:val="1"/>
    <w:next w:val="20"/>
    <w:link w:val="75"/>
    <w:autoRedefine/>
    <w:qFormat/>
    <w:uiPriority w:val="0"/>
    <w:pPr>
      <w:spacing w:after="120"/>
    </w:pPr>
    <w:rPr>
      <w:sz w:val="28"/>
      <w:szCs w:val="24"/>
    </w:rPr>
  </w:style>
  <w:style w:type="paragraph" w:customStyle="1" w:styleId="20">
    <w:name w:val="Default"/>
    <w:next w:val="1"/>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styleId="21">
    <w:name w:val="Body Text Indent"/>
    <w:basedOn w:val="1"/>
    <w:link w:val="95"/>
    <w:autoRedefine/>
    <w:qFormat/>
    <w:uiPriority w:val="0"/>
    <w:pPr>
      <w:spacing w:line="200" w:lineRule="exact"/>
      <w:ind w:firstLine="301"/>
    </w:pPr>
    <w:rPr>
      <w:rFonts w:ascii="宋体" w:hAnsi="Courier New"/>
      <w:spacing w:val="-4"/>
      <w:sz w:val="18"/>
    </w:rPr>
  </w:style>
  <w:style w:type="paragraph" w:styleId="22">
    <w:name w:val="List Number 3"/>
    <w:basedOn w:val="1"/>
    <w:autoRedefine/>
    <w:qFormat/>
    <w:uiPriority w:val="0"/>
    <w:pPr>
      <w:tabs>
        <w:tab w:val="left" w:pos="1200"/>
      </w:tabs>
      <w:ind w:left="1200" w:hanging="360"/>
    </w:pPr>
    <w:rPr>
      <w:rFonts w:ascii="Times New Roman" w:hAnsi="Times New Roman" w:eastAsia="宋体" w:cs="Times New Roman"/>
      <w:szCs w:val="24"/>
    </w:rPr>
  </w:style>
  <w:style w:type="paragraph" w:styleId="23">
    <w:name w:val="List 2"/>
    <w:basedOn w:val="1"/>
    <w:autoRedefine/>
    <w:qFormat/>
    <w:uiPriority w:val="0"/>
    <w:pPr>
      <w:ind w:left="100" w:leftChars="200" w:hanging="200" w:hangingChars="200"/>
    </w:pPr>
    <w:rPr>
      <w:rFonts w:ascii="Times New Roman" w:hAnsi="Times New Roman" w:eastAsia="宋体" w:cs="Times New Roman"/>
      <w:sz w:val="28"/>
      <w:szCs w:val="24"/>
    </w:rPr>
  </w:style>
  <w:style w:type="paragraph" w:styleId="24">
    <w:name w:val="Block Text"/>
    <w:basedOn w:val="1"/>
    <w:autoRedefine/>
    <w:qFormat/>
    <w:uiPriority w:val="0"/>
    <w:pPr>
      <w:spacing w:after="120"/>
      <w:ind w:left="1440" w:leftChars="700" w:right="1440" w:rightChars="700"/>
    </w:pPr>
    <w:rPr>
      <w:rFonts w:ascii="time new roman" w:hAnsi="time new roman" w:eastAsia="长城粗隶书" w:cs="Courier New"/>
      <w:szCs w:val="24"/>
    </w:rPr>
  </w:style>
  <w:style w:type="paragraph" w:styleId="25">
    <w:name w:val="toc 3"/>
    <w:basedOn w:val="1"/>
    <w:next w:val="1"/>
    <w:autoRedefine/>
    <w:qFormat/>
    <w:uiPriority w:val="0"/>
    <w:pPr>
      <w:ind w:left="840" w:leftChars="400"/>
    </w:pPr>
    <w:rPr>
      <w:rFonts w:ascii="Times New Roman" w:hAnsi="Times New Roman" w:eastAsia="宋体" w:cs="Times New Roman"/>
      <w:sz w:val="28"/>
      <w:szCs w:val="24"/>
    </w:rPr>
  </w:style>
  <w:style w:type="paragraph" w:styleId="26">
    <w:name w:val="Plain Text"/>
    <w:basedOn w:val="1"/>
    <w:link w:val="89"/>
    <w:autoRedefine/>
    <w:qFormat/>
    <w:uiPriority w:val="0"/>
    <w:pPr>
      <w:spacing w:beforeLines="50" w:afterLines="50" w:line="400" w:lineRule="exact"/>
    </w:pPr>
    <w:rPr>
      <w:rFonts w:ascii="宋体" w:hAnsi="Courier New" w:eastAsia="宋体"/>
      <w:sz w:val="24"/>
      <w:szCs w:val="24"/>
    </w:rPr>
  </w:style>
  <w:style w:type="paragraph" w:styleId="27">
    <w:name w:val="toc 8"/>
    <w:basedOn w:val="1"/>
    <w:next w:val="1"/>
    <w:autoRedefine/>
    <w:semiHidden/>
    <w:unhideWhenUsed/>
    <w:qFormat/>
    <w:uiPriority w:val="39"/>
    <w:pPr>
      <w:ind w:left="2940" w:leftChars="1400"/>
    </w:pPr>
  </w:style>
  <w:style w:type="paragraph" w:styleId="28">
    <w:name w:val="Date"/>
    <w:basedOn w:val="1"/>
    <w:next w:val="1"/>
    <w:link w:val="124"/>
    <w:autoRedefine/>
    <w:qFormat/>
    <w:uiPriority w:val="0"/>
    <w:pPr>
      <w:ind w:left="2500" w:leftChars="2500"/>
    </w:pPr>
    <w:rPr>
      <w:rFonts w:ascii="Times New Roman" w:hAnsi="Times New Roman" w:eastAsia="楷体_GB2312" w:cs="Times New Roman"/>
      <w:sz w:val="32"/>
      <w:szCs w:val="20"/>
    </w:rPr>
  </w:style>
  <w:style w:type="paragraph" w:styleId="29">
    <w:name w:val="Body Text Indent 2"/>
    <w:basedOn w:val="1"/>
    <w:link w:val="84"/>
    <w:autoRedefine/>
    <w:qFormat/>
    <w:uiPriority w:val="0"/>
    <w:pPr>
      <w:snapToGrid w:val="0"/>
      <w:ind w:firstLine="542" w:firstLineChars="225"/>
    </w:pPr>
    <w:rPr>
      <w:rFonts w:ascii="仿宋_GB2312" w:hAnsi="宋体" w:cs="Arial"/>
      <w:b/>
      <w:bCs/>
      <w:color w:val="000000"/>
      <w:sz w:val="24"/>
      <w:szCs w:val="24"/>
    </w:rPr>
  </w:style>
  <w:style w:type="paragraph" w:styleId="30">
    <w:name w:val="Balloon Text"/>
    <w:basedOn w:val="1"/>
    <w:link w:val="88"/>
    <w:autoRedefine/>
    <w:qFormat/>
    <w:uiPriority w:val="0"/>
    <w:rPr>
      <w:rFonts w:ascii="time new roman" w:hAnsi="time new roman" w:eastAsia="长城粗隶书" w:cs="Courier New"/>
      <w:sz w:val="18"/>
      <w:szCs w:val="18"/>
    </w:rPr>
  </w:style>
  <w:style w:type="paragraph" w:styleId="31">
    <w:name w:val="footer"/>
    <w:basedOn w:val="1"/>
    <w:link w:val="65"/>
    <w:autoRedefine/>
    <w:unhideWhenUsed/>
    <w:qFormat/>
    <w:uiPriority w:val="0"/>
    <w:pPr>
      <w:tabs>
        <w:tab w:val="center" w:pos="4153"/>
        <w:tab w:val="right" w:pos="8306"/>
      </w:tabs>
      <w:snapToGrid w:val="0"/>
      <w:jc w:val="left"/>
    </w:pPr>
    <w:rPr>
      <w:sz w:val="18"/>
      <w:szCs w:val="18"/>
    </w:rPr>
  </w:style>
  <w:style w:type="paragraph" w:styleId="32">
    <w:name w:val="header"/>
    <w:basedOn w:val="1"/>
    <w:link w:val="6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rPr>
      <w:rFonts w:ascii="Times New Roman" w:hAnsi="Times New Roman" w:eastAsia="宋体" w:cs="Times New Roman"/>
      <w:szCs w:val="24"/>
    </w:rPr>
  </w:style>
  <w:style w:type="paragraph" w:styleId="34">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35">
    <w:name w:val="toc 6"/>
    <w:basedOn w:val="1"/>
    <w:next w:val="1"/>
    <w:autoRedefine/>
    <w:unhideWhenUsed/>
    <w:qFormat/>
    <w:uiPriority w:val="99"/>
    <w:pPr>
      <w:ind w:left="2100" w:leftChars="1000"/>
    </w:pPr>
  </w:style>
  <w:style w:type="paragraph" w:styleId="36">
    <w:name w:val="Body Text Indent 3"/>
    <w:basedOn w:val="1"/>
    <w:link w:val="123"/>
    <w:qFormat/>
    <w:uiPriority w:val="0"/>
    <w:pPr>
      <w:snapToGrid w:val="0"/>
      <w:ind w:firstLine="480" w:firstLineChars="200"/>
      <w:jc w:val="left"/>
    </w:pPr>
    <w:rPr>
      <w:rFonts w:ascii="仿宋_GB2312" w:hAnsi="宋体" w:eastAsia="仿宋_GB2312" w:cs="Times New Roman"/>
      <w:color w:val="000000"/>
      <w:sz w:val="24"/>
      <w:szCs w:val="24"/>
    </w:rPr>
  </w:style>
  <w:style w:type="paragraph" w:styleId="37">
    <w:name w:val="index 7"/>
    <w:basedOn w:val="1"/>
    <w:next w:val="1"/>
    <w:autoRedefine/>
    <w:semiHidden/>
    <w:qFormat/>
    <w:uiPriority w:val="0"/>
    <w:pPr>
      <w:ind w:left="1200" w:leftChars="1200"/>
    </w:pPr>
    <w:rPr>
      <w:rFonts w:ascii="Times New Roman" w:hAnsi="Times New Roman" w:eastAsia="宋体" w:cs="Times New Roman"/>
      <w:szCs w:val="24"/>
    </w:rPr>
  </w:style>
  <w:style w:type="paragraph" w:styleId="38">
    <w:name w:val="toc 2"/>
    <w:basedOn w:val="1"/>
    <w:next w:val="1"/>
    <w:autoRedefine/>
    <w:qFormat/>
    <w:uiPriority w:val="39"/>
    <w:pPr>
      <w:ind w:left="210"/>
      <w:jc w:val="left"/>
    </w:pPr>
    <w:rPr>
      <w:rFonts w:ascii="Times New Roman" w:hAnsi="Times New Roman" w:eastAsia="宋体" w:cs="Times New Roman"/>
      <w:smallCaps/>
      <w:sz w:val="20"/>
      <w:szCs w:val="20"/>
    </w:rPr>
  </w:style>
  <w:style w:type="paragraph" w:styleId="39">
    <w:name w:val="Body Text 2"/>
    <w:basedOn w:val="1"/>
    <w:link w:val="91"/>
    <w:autoRedefine/>
    <w:qFormat/>
    <w:uiPriority w:val="0"/>
    <w:pPr>
      <w:widowControl/>
      <w:snapToGrid w:val="0"/>
      <w:spacing w:before="50" w:afterLines="50" w:line="400" w:lineRule="exact"/>
      <w:jc w:val="left"/>
    </w:pPr>
    <w:rPr>
      <w:rFonts w:ascii="宋体" w:hAnsi="宋体" w:eastAsia="宋体"/>
      <w:color w:val="000000"/>
      <w:sz w:val="24"/>
      <w:szCs w:val="24"/>
    </w:rPr>
  </w:style>
  <w:style w:type="paragraph" w:styleId="40">
    <w:name w:val="HTML Preformatted"/>
    <w:basedOn w:val="1"/>
    <w:link w:val="15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1">
    <w:name w:val="Normal (Web)"/>
    <w:basedOn w:val="1"/>
    <w:autoRedefine/>
    <w:qFormat/>
    <w:uiPriority w:val="0"/>
    <w:pPr>
      <w:widowControl/>
      <w:spacing w:line="300" w:lineRule="atLeast"/>
      <w:jc w:val="left"/>
    </w:pPr>
    <w:rPr>
      <w:rFonts w:ascii="宋体" w:hAnsi="宋体" w:eastAsia="宋体" w:cs="宋体"/>
      <w:kern w:val="0"/>
      <w:sz w:val="24"/>
      <w:szCs w:val="24"/>
    </w:rPr>
  </w:style>
  <w:style w:type="paragraph" w:styleId="42">
    <w:name w:val="index 1"/>
    <w:basedOn w:val="1"/>
    <w:next w:val="1"/>
    <w:qFormat/>
    <w:uiPriority w:val="0"/>
    <w:pPr>
      <w:widowControl/>
      <w:jc w:val="left"/>
    </w:pPr>
    <w:rPr>
      <w:rFonts w:ascii="Times New Roman" w:hAnsi="Times New Roman" w:eastAsia="宋体" w:cs="Times New Roman"/>
      <w:kern w:val="0"/>
      <w:szCs w:val="20"/>
    </w:rPr>
  </w:style>
  <w:style w:type="paragraph" w:styleId="43">
    <w:name w:val="Title"/>
    <w:basedOn w:val="1"/>
    <w:next w:val="1"/>
    <w:link w:val="100"/>
    <w:autoRedefine/>
    <w:qFormat/>
    <w:uiPriority w:val="0"/>
    <w:pPr>
      <w:spacing w:before="240" w:after="60" w:line="480" w:lineRule="exact"/>
      <w:jc w:val="center"/>
      <w:outlineLvl w:val="0"/>
    </w:pPr>
    <w:rPr>
      <w:rFonts w:ascii="Cambria" w:hAnsi="Cambria" w:eastAsia="宋体"/>
      <w:b/>
      <w:bCs/>
      <w:sz w:val="32"/>
      <w:szCs w:val="32"/>
    </w:rPr>
  </w:style>
  <w:style w:type="paragraph" w:styleId="44">
    <w:name w:val="annotation subject"/>
    <w:basedOn w:val="16"/>
    <w:next w:val="16"/>
    <w:link w:val="79"/>
    <w:autoRedefine/>
    <w:qFormat/>
    <w:uiPriority w:val="0"/>
    <w:rPr>
      <w:b/>
      <w:bCs/>
    </w:rPr>
  </w:style>
  <w:style w:type="paragraph" w:styleId="45">
    <w:name w:val="Body Text First Indent"/>
    <w:basedOn w:val="19"/>
    <w:link w:val="147"/>
    <w:autoRedefine/>
    <w:unhideWhenUsed/>
    <w:qFormat/>
    <w:uiPriority w:val="0"/>
    <w:pPr>
      <w:ind w:firstLine="420" w:firstLineChars="100"/>
    </w:pPr>
    <w:rPr>
      <w:sz w:val="21"/>
      <w:szCs w:val="22"/>
    </w:rPr>
  </w:style>
  <w:style w:type="paragraph" w:styleId="46">
    <w:name w:val="Body Text First Indent 2"/>
    <w:basedOn w:val="21"/>
    <w:link w:val="78"/>
    <w:unhideWhenUsed/>
    <w:qFormat/>
    <w:uiPriority w:val="0"/>
    <w:pPr>
      <w:spacing w:after="120" w:line="240" w:lineRule="auto"/>
      <w:ind w:left="420" w:leftChars="200" w:firstLine="420" w:firstLineChars="200"/>
    </w:pPr>
    <w:rPr>
      <w:rFonts w:ascii="Calibri" w:hAnsi="Calibri"/>
      <w:sz w:val="21"/>
    </w:rPr>
  </w:style>
  <w:style w:type="table" w:styleId="48">
    <w:name w:val="Table Grid"/>
    <w:basedOn w:val="47"/>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99"/>
    <w:rPr>
      <w:color w:val="800080"/>
      <w:u w:val="single"/>
    </w:rPr>
  </w:style>
  <w:style w:type="character" w:styleId="53">
    <w:name w:val="Emphasis"/>
    <w:autoRedefine/>
    <w:qFormat/>
    <w:uiPriority w:val="0"/>
    <w:rPr>
      <w:rFonts w:ascii="Times New Roman" w:hAnsi="Times New Roman" w:eastAsia="宋体" w:cs="Times New Roman"/>
      <w:color w:val="CC0033"/>
    </w:rPr>
  </w:style>
  <w:style w:type="character" w:styleId="54">
    <w:name w:val="HTML Definition"/>
    <w:autoRedefine/>
    <w:qFormat/>
    <w:uiPriority w:val="0"/>
    <w:rPr>
      <w:rFonts w:ascii="Times New Roman" w:hAnsi="Times New Roman" w:eastAsia="宋体" w:cs="Times New Roman"/>
    </w:rPr>
  </w:style>
  <w:style w:type="character" w:styleId="55">
    <w:name w:val="HTML Typewriter"/>
    <w:autoRedefine/>
    <w:qFormat/>
    <w:uiPriority w:val="0"/>
    <w:rPr>
      <w:rFonts w:hint="default" w:ascii="monospace" w:hAnsi="monospace" w:eastAsia="monospace" w:cs="monospace"/>
      <w:sz w:val="20"/>
    </w:rPr>
  </w:style>
  <w:style w:type="character" w:styleId="56">
    <w:name w:val="HTML Acronym"/>
    <w:basedOn w:val="49"/>
    <w:autoRedefine/>
    <w:qFormat/>
    <w:uiPriority w:val="0"/>
    <w:rPr>
      <w:rFonts w:ascii="Times New Roman" w:hAnsi="Times New Roman" w:eastAsia="宋体" w:cs="Times New Roman"/>
    </w:rPr>
  </w:style>
  <w:style w:type="character" w:styleId="57">
    <w:name w:val="HTML Variable"/>
    <w:autoRedefine/>
    <w:qFormat/>
    <w:uiPriority w:val="0"/>
    <w:rPr>
      <w:rFonts w:ascii="Times New Roman" w:hAnsi="Times New Roman" w:eastAsia="宋体" w:cs="Times New Roman"/>
    </w:rPr>
  </w:style>
  <w:style w:type="character" w:styleId="58">
    <w:name w:val="Hyperlink"/>
    <w:autoRedefine/>
    <w:qFormat/>
    <w:uiPriority w:val="99"/>
    <w:rPr>
      <w:color w:val="0000FF"/>
      <w:u w:val="single"/>
    </w:rPr>
  </w:style>
  <w:style w:type="character" w:styleId="59">
    <w:name w:val="HTML Code"/>
    <w:autoRedefine/>
    <w:qFormat/>
    <w:uiPriority w:val="0"/>
    <w:rPr>
      <w:rFonts w:ascii="monospace" w:hAnsi="monospace" w:eastAsia="monospace" w:cs="monospace"/>
      <w:sz w:val="20"/>
    </w:rPr>
  </w:style>
  <w:style w:type="character" w:styleId="60">
    <w:name w:val="annotation reference"/>
    <w:autoRedefine/>
    <w:qFormat/>
    <w:uiPriority w:val="0"/>
    <w:rPr>
      <w:sz w:val="21"/>
      <w:szCs w:val="21"/>
    </w:rPr>
  </w:style>
  <w:style w:type="character" w:styleId="61">
    <w:name w:val="HTML Cite"/>
    <w:autoRedefine/>
    <w:qFormat/>
    <w:uiPriority w:val="0"/>
    <w:rPr>
      <w:rFonts w:ascii="Times New Roman" w:hAnsi="Times New Roman" w:eastAsia="宋体" w:cs="Times New Roman"/>
    </w:rPr>
  </w:style>
  <w:style w:type="character" w:styleId="62">
    <w:name w:val="HTML Keyboard"/>
    <w:autoRedefine/>
    <w:qFormat/>
    <w:uiPriority w:val="0"/>
    <w:rPr>
      <w:rFonts w:hint="default" w:ascii="monospace" w:hAnsi="monospace" w:eastAsia="monospace" w:cs="monospace"/>
      <w:sz w:val="20"/>
    </w:rPr>
  </w:style>
  <w:style w:type="character" w:styleId="63">
    <w:name w:val="HTML Sample"/>
    <w:autoRedefine/>
    <w:qFormat/>
    <w:uiPriority w:val="0"/>
    <w:rPr>
      <w:rFonts w:hint="default" w:ascii="monospace" w:hAnsi="monospace" w:eastAsia="monospace" w:cs="monospace"/>
    </w:rPr>
  </w:style>
  <w:style w:type="character" w:customStyle="1" w:styleId="64">
    <w:name w:val="页眉 Char"/>
    <w:basedOn w:val="49"/>
    <w:link w:val="32"/>
    <w:autoRedefine/>
    <w:qFormat/>
    <w:uiPriority w:val="99"/>
    <w:rPr>
      <w:sz w:val="18"/>
      <w:szCs w:val="18"/>
    </w:rPr>
  </w:style>
  <w:style w:type="character" w:customStyle="1" w:styleId="65">
    <w:name w:val="页脚 Char"/>
    <w:basedOn w:val="49"/>
    <w:link w:val="31"/>
    <w:autoRedefine/>
    <w:qFormat/>
    <w:uiPriority w:val="99"/>
    <w:rPr>
      <w:sz w:val="18"/>
      <w:szCs w:val="18"/>
    </w:rPr>
  </w:style>
  <w:style w:type="character" w:customStyle="1" w:styleId="66">
    <w:name w:val="标题 1 Char"/>
    <w:basedOn w:val="49"/>
    <w:link w:val="2"/>
    <w:autoRedefine/>
    <w:qFormat/>
    <w:uiPriority w:val="0"/>
    <w:rPr>
      <w:rFonts w:ascii="time new roman" w:hAnsi="time new roman" w:eastAsia="长城粗隶书" w:cs="Times New Roman"/>
      <w:b/>
      <w:bCs/>
      <w:kern w:val="44"/>
      <w:sz w:val="44"/>
      <w:szCs w:val="44"/>
    </w:rPr>
  </w:style>
  <w:style w:type="character" w:customStyle="1" w:styleId="67">
    <w:name w:val="标题 2 Char"/>
    <w:basedOn w:val="49"/>
    <w:link w:val="3"/>
    <w:autoRedefine/>
    <w:qFormat/>
    <w:uiPriority w:val="0"/>
    <w:rPr>
      <w:rFonts w:ascii="Arial" w:hAnsi="Arial" w:eastAsia="黑体" w:cs="Times New Roman"/>
      <w:b/>
      <w:bCs/>
      <w:sz w:val="32"/>
      <w:szCs w:val="32"/>
    </w:rPr>
  </w:style>
  <w:style w:type="character" w:customStyle="1" w:styleId="68">
    <w:name w:val="标题 3 Char"/>
    <w:basedOn w:val="49"/>
    <w:link w:val="4"/>
    <w:autoRedefine/>
    <w:qFormat/>
    <w:uiPriority w:val="0"/>
    <w:rPr>
      <w:rFonts w:ascii="Times New Roman" w:hAnsi="Times New Roman" w:eastAsia="宋体" w:cs="Times New Roman"/>
      <w:b/>
      <w:bCs/>
      <w:sz w:val="32"/>
      <w:szCs w:val="32"/>
    </w:rPr>
  </w:style>
  <w:style w:type="character" w:customStyle="1" w:styleId="69">
    <w:name w:val="标题 4 Char"/>
    <w:basedOn w:val="49"/>
    <w:link w:val="5"/>
    <w:autoRedefine/>
    <w:qFormat/>
    <w:uiPriority w:val="0"/>
    <w:rPr>
      <w:rFonts w:ascii="Arial" w:hAnsi="Arial" w:eastAsia="黑体" w:cs="Times New Roman"/>
      <w:b/>
      <w:sz w:val="28"/>
      <w:szCs w:val="20"/>
    </w:rPr>
  </w:style>
  <w:style w:type="character" w:customStyle="1" w:styleId="70">
    <w:name w:val="标题 5 Char"/>
    <w:basedOn w:val="49"/>
    <w:link w:val="7"/>
    <w:autoRedefine/>
    <w:qFormat/>
    <w:uiPriority w:val="0"/>
    <w:rPr>
      <w:rFonts w:ascii="Times New Roman" w:hAnsi="Times New Roman" w:eastAsia="宋体" w:cs="Times New Roman"/>
      <w:b/>
      <w:sz w:val="28"/>
      <w:szCs w:val="20"/>
    </w:rPr>
  </w:style>
  <w:style w:type="character" w:customStyle="1" w:styleId="71">
    <w:name w:val="标题 6 Char"/>
    <w:basedOn w:val="49"/>
    <w:link w:val="8"/>
    <w:autoRedefine/>
    <w:qFormat/>
    <w:uiPriority w:val="0"/>
    <w:rPr>
      <w:rFonts w:ascii="Arial" w:hAnsi="Arial" w:eastAsia="黑体" w:cs="Times New Roman"/>
      <w:b/>
      <w:sz w:val="24"/>
      <w:szCs w:val="20"/>
    </w:rPr>
  </w:style>
  <w:style w:type="character" w:customStyle="1" w:styleId="72">
    <w:name w:val="标题 7 Char"/>
    <w:basedOn w:val="49"/>
    <w:link w:val="9"/>
    <w:autoRedefine/>
    <w:qFormat/>
    <w:uiPriority w:val="0"/>
    <w:rPr>
      <w:rFonts w:ascii="Times New Roman" w:hAnsi="Times New Roman" w:eastAsia="宋体" w:cs="Times New Roman"/>
      <w:b/>
      <w:sz w:val="24"/>
      <w:szCs w:val="20"/>
    </w:rPr>
  </w:style>
  <w:style w:type="character" w:customStyle="1" w:styleId="73">
    <w:name w:val="标题 8 Char"/>
    <w:basedOn w:val="49"/>
    <w:link w:val="10"/>
    <w:autoRedefine/>
    <w:qFormat/>
    <w:uiPriority w:val="0"/>
    <w:rPr>
      <w:rFonts w:ascii="Arial" w:hAnsi="Arial" w:eastAsia="黑体" w:cs="Times New Roman"/>
      <w:sz w:val="24"/>
      <w:szCs w:val="20"/>
    </w:rPr>
  </w:style>
  <w:style w:type="character" w:customStyle="1" w:styleId="74">
    <w:name w:val="标题 9 Char"/>
    <w:basedOn w:val="49"/>
    <w:link w:val="11"/>
    <w:autoRedefine/>
    <w:qFormat/>
    <w:uiPriority w:val="0"/>
    <w:rPr>
      <w:rFonts w:ascii="Arial" w:hAnsi="Arial" w:eastAsia="黑体" w:cs="Times New Roman"/>
      <w:szCs w:val="20"/>
    </w:rPr>
  </w:style>
  <w:style w:type="character" w:customStyle="1" w:styleId="75">
    <w:name w:val="正文文本 Char"/>
    <w:link w:val="19"/>
    <w:autoRedefine/>
    <w:qFormat/>
    <w:uiPriority w:val="99"/>
    <w:rPr>
      <w:sz w:val="28"/>
      <w:szCs w:val="24"/>
    </w:rPr>
  </w:style>
  <w:style w:type="character" w:customStyle="1" w:styleId="76">
    <w:name w:val="unnamed11"/>
    <w:autoRedefine/>
    <w:qFormat/>
    <w:uiPriority w:val="0"/>
    <w:rPr>
      <w:color w:val="000000"/>
      <w:sz w:val="20"/>
      <w:szCs w:val="20"/>
    </w:rPr>
  </w:style>
  <w:style w:type="character" w:customStyle="1" w:styleId="77">
    <w:name w:val="ca-22"/>
    <w:basedOn w:val="49"/>
    <w:autoRedefine/>
    <w:qFormat/>
    <w:uiPriority w:val="0"/>
  </w:style>
  <w:style w:type="character" w:customStyle="1" w:styleId="78">
    <w:name w:val="正文首行缩进 2 Char"/>
    <w:link w:val="46"/>
    <w:autoRedefine/>
    <w:qFormat/>
    <w:uiPriority w:val="0"/>
    <w:rPr>
      <w:rFonts w:ascii="Calibri" w:hAnsi="Calibri"/>
      <w:spacing w:val="-4"/>
    </w:rPr>
  </w:style>
  <w:style w:type="character" w:customStyle="1" w:styleId="79">
    <w:name w:val="批注主题 Char"/>
    <w:link w:val="44"/>
    <w:autoRedefine/>
    <w:qFormat/>
    <w:uiPriority w:val="0"/>
    <w:rPr>
      <w:b/>
      <w:bCs/>
      <w:szCs w:val="24"/>
    </w:rPr>
  </w:style>
  <w:style w:type="character" w:customStyle="1" w:styleId="80">
    <w:name w:val="注释标题 Char"/>
    <w:link w:val="12"/>
    <w:autoRedefine/>
    <w:qFormat/>
    <w:uiPriority w:val="0"/>
    <w:rPr>
      <w:rFonts w:ascii="time new roman" w:hAnsi="time new roman" w:eastAsia="长城粗隶书" w:cs="Courier New"/>
      <w:szCs w:val="24"/>
    </w:rPr>
  </w:style>
  <w:style w:type="character" w:customStyle="1" w:styleId="81">
    <w:name w:val="纯文本 Char"/>
    <w:autoRedefine/>
    <w:qFormat/>
    <w:uiPriority w:val="0"/>
    <w:rPr>
      <w:rFonts w:ascii="宋体" w:hAnsi="Courier New" w:eastAsia="宋体" w:cs="Courier New"/>
      <w:kern w:val="2"/>
      <w:sz w:val="21"/>
      <w:szCs w:val="21"/>
      <w:lang w:val="en-US" w:eastAsia="zh-CN" w:bidi="ar-SA"/>
    </w:rPr>
  </w:style>
  <w:style w:type="character" w:customStyle="1" w:styleId="82">
    <w:name w:val="批注文字 Char"/>
    <w:link w:val="16"/>
    <w:autoRedefine/>
    <w:qFormat/>
    <w:uiPriority w:val="0"/>
    <w:rPr>
      <w:szCs w:val="24"/>
    </w:rPr>
  </w:style>
  <w:style w:type="character" w:customStyle="1" w:styleId="83">
    <w:name w:val="正文缩进 Char"/>
    <w:link w:val="6"/>
    <w:autoRedefine/>
    <w:qFormat/>
    <w:uiPriority w:val="0"/>
    <w:rPr>
      <w:rFonts w:eastAsia="宋体"/>
    </w:rPr>
  </w:style>
  <w:style w:type="character" w:customStyle="1" w:styleId="84">
    <w:name w:val="正文文本缩进 2 Char"/>
    <w:link w:val="29"/>
    <w:autoRedefine/>
    <w:qFormat/>
    <w:uiPriority w:val="0"/>
    <w:rPr>
      <w:rFonts w:ascii="仿宋_GB2312" w:hAnsi="宋体" w:cs="Arial"/>
      <w:b/>
      <w:bCs/>
      <w:color w:val="000000"/>
      <w:sz w:val="24"/>
      <w:szCs w:val="24"/>
    </w:rPr>
  </w:style>
  <w:style w:type="character" w:customStyle="1" w:styleId="85">
    <w:name w:val="apple-style-span"/>
    <w:basedOn w:val="49"/>
    <w:autoRedefine/>
    <w:qFormat/>
    <w:uiPriority w:val="0"/>
  </w:style>
  <w:style w:type="character" w:customStyle="1" w:styleId="86">
    <w:name w:val="列出段落 Char"/>
    <w:link w:val="87"/>
    <w:autoRedefine/>
    <w:qFormat/>
    <w:uiPriority w:val="34"/>
    <w:rPr>
      <w:rFonts w:ascii="Calibri" w:hAnsi="Calibri"/>
    </w:rPr>
  </w:style>
  <w:style w:type="paragraph" w:styleId="87">
    <w:name w:val="List Paragraph"/>
    <w:basedOn w:val="1"/>
    <w:link w:val="86"/>
    <w:autoRedefine/>
    <w:qFormat/>
    <w:uiPriority w:val="34"/>
    <w:pPr>
      <w:ind w:firstLine="420" w:firstLineChars="200"/>
    </w:pPr>
    <w:rPr>
      <w:rFonts w:ascii="Calibri" w:hAnsi="Calibri"/>
    </w:rPr>
  </w:style>
  <w:style w:type="character" w:customStyle="1" w:styleId="88">
    <w:name w:val="批注框文本 Char"/>
    <w:link w:val="30"/>
    <w:autoRedefine/>
    <w:qFormat/>
    <w:uiPriority w:val="0"/>
    <w:rPr>
      <w:rFonts w:ascii="time new roman" w:hAnsi="time new roman" w:eastAsia="长城粗隶书" w:cs="Courier New"/>
      <w:sz w:val="18"/>
      <w:szCs w:val="18"/>
    </w:rPr>
  </w:style>
  <w:style w:type="character" w:customStyle="1" w:styleId="89">
    <w:name w:val="纯文本 Char1"/>
    <w:link w:val="26"/>
    <w:autoRedefine/>
    <w:qFormat/>
    <w:uiPriority w:val="0"/>
    <w:rPr>
      <w:rFonts w:ascii="宋体" w:hAnsi="Courier New" w:eastAsia="宋体"/>
      <w:sz w:val="24"/>
      <w:szCs w:val="24"/>
    </w:rPr>
  </w:style>
  <w:style w:type="character" w:customStyle="1" w:styleId="90">
    <w:name w:val="font51"/>
    <w:autoRedefine/>
    <w:qFormat/>
    <w:uiPriority w:val="0"/>
    <w:rPr>
      <w:rFonts w:hint="eastAsia" w:ascii="宋体" w:hAnsi="宋体" w:eastAsia="宋体" w:cs="宋体"/>
      <w:color w:val="000000"/>
      <w:sz w:val="22"/>
      <w:szCs w:val="22"/>
      <w:u w:val="none"/>
    </w:rPr>
  </w:style>
  <w:style w:type="character" w:customStyle="1" w:styleId="91">
    <w:name w:val="正文文本 2 Char"/>
    <w:link w:val="39"/>
    <w:autoRedefine/>
    <w:qFormat/>
    <w:uiPriority w:val="0"/>
    <w:rPr>
      <w:rFonts w:ascii="宋体" w:hAnsi="宋体" w:eastAsia="宋体"/>
      <w:color w:val="000000"/>
      <w:sz w:val="24"/>
      <w:szCs w:val="24"/>
    </w:rPr>
  </w:style>
  <w:style w:type="character" w:customStyle="1" w:styleId="92">
    <w:name w:val="apple-converted-space"/>
    <w:basedOn w:val="49"/>
    <w:autoRedefine/>
    <w:qFormat/>
    <w:uiPriority w:val="0"/>
  </w:style>
  <w:style w:type="character" w:customStyle="1" w:styleId="93">
    <w:name w:val="style8"/>
    <w:basedOn w:val="49"/>
    <w:autoRedefine/>
    <w:qFormat/>
    <w:uiPriority w:val="0"/>
  </w:style>
  <w:style w:type="character" w:customStyle="1" w:styleId="94">
    <w:name w:val="font21"/>
    <w:autoRedefine/>
    <w:qFormat/>
    <w:uiPriority w:val="0"/>
    <w:rPr>
      <w:rFonts w:hint="eastAsia" w:ascii="宋体" w:hAnsi="宋体" w:eastAsia="宋体" w:cs="宋体"/>
      <w:color w:val="000000"/>
      <w:sz w:val="22"/>
      <w:szCs w:val="22"/>
      <w:u w:val="none"/>
    </w:rPr>
  </w:style>
  <w:style w:type="character" w:customStyle="1" w:styleId="95">
    <w:name w:val="正文文本缩进 Char"/>
    <w:link w:val="21"/>
    <w:autoRedefine/>
    <w:qFormat/>
    <w:uiPriority w:val="0"/>
    <w:rPr>
      <w:rFonts w:ascii="宋体" w:hAnsi="Courier New"/>
      <w:spacing w:val="-4"/>
      <w:sz w:val="18"/>
    </w:rPr>
  </w:style>
  <w:style w:type="character" w:customStyle="1" w:styleId="96">
    <w:name w:val="纯文本 Char3"/>
    <w:autoRedefine/>
    <w:qFormat/>
    <w:uiPriority w:val="0"/>
    <w:rPr>
      <w:rFonts w:ascii="宋体" w:hAnsi="Courier New" w:eastAsia="宋体"/>
      <w:kern w:val="2"/>
      <w:sz w:val="24"/>
      <w:szCs w:val="24"/>
      <w:lang w:val="en-US" w:eastAsia="zh-CN" w:bidi="ar-SA"/>
    </w:rPr>
  </w:style>
  <w:style w:type="character" w:customStyle="1" w:styleId="97">
    <w:name w:val="font11"/>
    <w:autoRedefine/>
    <w:qFormat/>
    <w:uiPriority w:val="0"/>
    <w:rPr>
      <w:rFonts w:hint="default" w:ascii="Times New Roman" w:hAnsi="Times New Roman" w:cs="Times New Roman"/>
      <w:color w:val="000000"/>
      <w:sz w:val="21"/>
      <w:szCs w:val="21"/>
      <w:u w:val="none"/>
    </w:rPr>
  </w:style>
  <w:style w:type="character" w:customStyle="1" w:styleId="98">
    <w:name w:val="普通文字 Char1"/>
    <w:autoRedefine/>
    <w:qFormat/>
    <w:uiPriority w:val="0"/>
    <w:rPr>
      <w:rFonts w:ascii="宋体" w:hAnsi="Courier New" w:eastAsia="宋体"/>
      <w:kern w:val="2"/>
      <w:sz w:val="21"/>
      <w:szCs w:val="24"/>
      <w:lang w:val="en-US" w:eastAsia="zh-CN" w:bidi="ar-SA"/>
    </w:rPr>
  </w:style>
  <w:style w:type="character" w:customStyle="1" w:styleId="99">
    <w:name w:val="font01"/>
    <w:autoRedefine/>
    <w:qFormat/>
    <w:uiPriority w:val="0"/>
    <w:rPr>
      <w:rFonts w:hint="eastAsia" w:ascii="长城粗隶书" w:eastAsia="长城粗隶书"/>
      <w:color w:val="000000"/>
      <w:sz w:val="21"/>
      <w:szCs w:val="21"/>
      <w:u w:val="none"/>
    </w:rPr>
  </w:style>
  <w:style w:type="character" w:customStyle="1" w:styleId="100">
    <w:name w:val="标题 Char"/>
    <w:link w:val="43"/>
    <w:autoRedefine/>
    <w:qFormat/>
    <w:uiPriority w:val="0"/>
    <w:rPr>
      <w:rFonts w:ascii="Cambria" w:hAnsi="Cambria" w:eastAsia="宋体"/>
      <w:b/>
      <w:bCs/>
      <w:sz w:val="32"/>
      <w:szCs w:val="32"/>
    </w:rPr>
  </w:style>
  <w:style w:type="paragraph" w:customStyle="1" w:styleId="101">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102">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103">
    <w:name w:val="Char1 Char Char1 Char"/>
    <w:basedOn w:val="1"/>
    <w:autoRedefine/>
    <w:qFormat/>
    <w:uiPriority w:val="0"/>
    <w:pPr>
      <w:widowControl/>
      <w:spacing w:line="400" w:lineRule="exact"/>
      <w:jc w:val="center"/>
    </w:pPr>
    <w:rPr>
      <w:rFonts w:ascii="Verdana" w:hAnsi="Verdana" w:eastAsia="宋体" w:cs="Times New Roman"/>
      <w:kern w:val="0"/>
      <w:szCs w:val="20"/>
      <w:lang w:eastAsia="en-US"/>
    </w:rPr>
  </w:style>
  <w:style w:type="paragraph" w:customStyle="1" w:styleId="104">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Char1"/>
    <w:basedOn w:val="1"/>
    <w:autoRedefine/>
    <w:qFormat/>
    <w:uiPriority w:val="0"/>
    <w:rPr>
      <w:rFonts w:ascii="Tahoma" w:hAnsi="Tahoma" w:eastAsia="宋体" w:cs="Times New Roman"/>
      <w:sz w:val="24"/>
      <w:szCs w:val="24"/>
    </w:rPr>
  </w:style>
  <w:style w:type="character" w:customStyle="1" w:styleId="106">
    <w:name w:val="批注文字 Char1"/>
    <w:basedOn w:val="49"/>
    <w:autoRedefine/>
    <w:semiHidden/>
    <w:qFormat/>
    <w:uiPriority w:val="99"/>
  </w:style>
  <w:style w:type="character" w:customStyle="1" w:styleId="107">
    <w:name w:val="批注框文本 Char1"/>
    <w:basedOn w:val="49"/>
    <w:autoRedefine/>
    <w:semiHidden/>
    <w:qFormat/>
    <w:uiPriority w:val="99"/>
    <w:rPr>
      <w:sz w:val="18"/>
      <w:szCs w:val="18"/>
    </w:rPr>
  </w:style>
  <w:style w:type="character" w:customStyle="1" w:styleId="108">
    <w:name w:val="正文文本缩进 2 Char1"/>
    <w:basedOn w:val="49"/>
    <w:autoRedefine/>
    <w:semiHidden/>
    <w:qFormat/>
    <w:uiPriority w:val="99"/>
  </w:style>
  <w:style w:type="character" w:customStyle="1" w:styleId="109">
    <w:name w:val="纯文本 Char2"/>
    <w:basedOn w:val="49"/>
    <w:autoRedefine/>
    <w:qFormat/>
    <w:uiPriority w:val="0"/>
    <w:rPr>
      <w:rFonts w:ascii="宋体" w:hAnsi="Courier New" w:eastAsia="宋体" w:cs="Courier New"/>
      <w:szCs w:val="21"/>
    </w:rPr>
  </w:style>
  <w:style w:type="character" w:customStyle="1" w:styleId="110">
    <w:name w:val="正文文本缩进 Char1"/>
    <w:basedOn w:val="49"/>
    <w:autoRedefine/>
    <w:semiHidden/>
    <w:qFormat/>
    <w:uiPriority w:val="99"/>
  </w:style>
  <w:style w:type="paragraph" w:customStyle="1" w:styleId="111">
    <w:name w:val="Table Paragraph"/>
    <w:basedOn w:val="1"/>
    <w:autoRedefine/>
    <w:qFormat/>
    <w:uiPriority w:val="1"/>
    <w:rPr>
      <w:rFonts w:ascii="Times New Roman" w:hAnsi="Times New Roman" w:eastAsia="宋体" w:cs="Times New Roman"/>
      <w:szCs w:val="24"/>
    </w:rPr>
  </w:style>
  <w:style w:type="paragraph" w:customStyle="1" w:styleId="112">
    <w:name w:val="p0"/>
    <w:next w:val="37"/>
    <w:autoRedefine/>
    <w:qFormat/>
    <w:uiPriority w:val="0"/>
    <w:pPr>
      <w:snapToGrid w:val="0"/>
    </w:pPr>
    <w:rPr>
      <w:rFonts w:ascii="Times New Roman" w:hAnsi="Times New Roman" w:eastAsia="宋体" w:cs="Times New Roman"/>
      <w:sz w:val="21"/>
      <w:szCs w:val="21"/>
      <w:lang w:val="en-US" w:eastAsia="zh-CN" w:bidi="ar-SA"/>
    </w:rPr>
  </w:style>
  <w:style w:type="paragraph" w:customStyle="1" w:styleId="113">
    <w:name w:val="Char Char Char"/>
    <w:basedOn w:val="15"/>
    <w:autoRedefine/>
    <w:qFormat/>
    <w:uiPriority w:val="0"/>
    <w:rPr>
      <w:rFonts w:ascii="Tahoma" w:hAnsi="Tahoma"/>
      <w:sz w:val="24"/>
    </w:rPr>
  </w:style>
  <w:style w:type="paragraph" w:styleId="114">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115">
    <w:name w:val="正文文本 2 Char1"/>
    <w:basedOn w:val="49"/>
    <w:autoRedefine/>
    <w:semiHidden/>
    <w:qFormat/>
    <w:uiPriority w:val="99"/>
  </w:style>
  <w:style w:type="character" w:customStyle="1" w:styleId="116">
    <w:name w:val="正文文本 3 Char"/>
    <w:basedOn w:val="49"/>
    <w:link w:val="17"/>
    <w:autoRedefine/>
    <w:qFormat/>
    <w:uiPriority w:val="0"/>
    <w:rPr>
      <w:rFonts w:ascii="Times New Roman" w:hAnsi="宋体" w:eastAsia="仿宋_GB2312" w:cs="Times New Roman"/>
      <w:b/>
      <w:bCs/>
      <w:sz w:val="24"/>
      <w:szCs w:val="20"/>
    </w:rPr>
  </w:style>
  <w:style w:type="paragraph" w:customStyle="1" w:styleId="117">
    <w:name w:val="标题 21"/>
    <w:basedOn w:val="1"/>
    <w:autoRedefine/>
    <w:qFormat/>
    <w:uiPriority w:val="1"/>
    <w:pPr>
      <w:ind w:left="154"/>
      <w:outlineLvl w:val="2"/>
    </w:pPr>
    <w:rPr>
      <w:rFonts w:ascii="宋体" w:hAnsi="宋体" w:eastAsia="宋体" w:cs="Times New Roman"/>
      <w:b/>
      <w:bCs/>
      <w:sz w:val="20"/>
      <w:szCs w:val="20"/>
    </w:rPr>
  </w:style>
  <w:style w:type="paragraph" w:customStyle="1" w:styleId="118">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19">
    <w:name w:val="正文文字"/>
    <w:basedOn w:val="1"/>
    <w:autoRedefine/>
    <w:qFormat/>
    <w:uiPriority w:val="0"/>
    <w:pPr>
      <w:spacing w:line="360" w:lineRule="auto"/>
      <w:ind w:firstLine="420"/>
    </w:pPr>
    <w:rPr>
      <w:rFonts w:ascii="Times New Roman" w:hAnsi="Times New Roman" w:eastAsia="宋体" w:cs="Times New Roman"/>
      <w:sz w:val="24"/>
      <w:szCs w:val="24"/>
    </w:rPr>
  </w:style>
  <w:style w:type="character" w:customStyle="1" w:styleId="120">
    <w:name w:val="标题 Char1"/>
    <w:basedOn w:val="49"/>
    <w:autoRedefine/>
    <w:qFormat/>
    <w:uiPriority w:val="10"/>
    <w:rPr>
      <w:rFonts w:eastAsia="宋体" w:asciiTheme="majorHAnsi" w:hAnsiTheme="majorHAnsi" w:cstheme="majorBidi"/>
      <w:b/>
      <w:bCs/>
      <w:sz w:val="32"/>
      <w:szCs w:val="32"/>
    </w:rPr>
  </w:style>
  <w:style w:type="paragraph" w:customStyle="1" w:styleId="12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2">
    <w:name w:val="批注主题 Char1"/>
    <w:basedOn w:val="106"/>
    <w:autoRedefine/>
    <w:semiHidden/>
    <w:qFormat/>
    <w:uiPriority w:val="99"/>
    <w:rPr>
      <w:b/>
      <w:bCs/>
    </w:rPr>
  </w:style>
  <w:style w:type="character" w:customStyle="1" w:styleId="123">
    <w:name w:val="正文文本缩进 3 Char"/>
    <w:basedOn w:val="49"/>
    <w:link w:val="36"/>
    <w:autoRedefine/>
    <w:qFormat/>
    <w:uiPriority w:val="0"/>
    <w:rPr>
      <w:rFonts w:ascii="仿宋_GB2312" w:hAnsi="宋体" w:eastAsia="仿宋_GB2312" w:cs="Times New Roman"/>
      <w:color w:val="000000"/>
      <w:sz w:val="24"/>
      <w:szCs w:val="24"/>
    </w:rPr>
  </w:style>
  <w:style w:type="character" w:customStyle="1" w:styleId="124">
    <w:name w:val="日期 Char"/>
    <w:basedOn w:val="49"/>
    <w:link w:val="28"/>
    <w:autoRedefine/>
    <w:qFormat/>
    <w:uiPriority w:val="0"/>
    <w:rPr>
      <w:rFonts w:ascii="Times New Roman" w:hAnsi="Times New Roman" w:eastAsia="楷体_GB2312" w:cs="Times New Roman"/>
      <w:sz w:val="32"/>
      <w:szCs w:val="20"/>
    </w:rPr>
  </w:style>
  <w:style w:type="character" w:customStyle="1" w:styleId="125">
    <w:name w:val="注释标题 Char1"/>
    <w:basedOn w:val="49"/>
    <w:autoRedefine/>
    <w:semiHidden/>
    <w:qFormat/>
    <w:uiPriority w:val="99"/>
  </w:style>
  <w:style w:type="paragraph" w:customStyle="1" w:styleId="126">
    <w:name w:val="Char2"/>
    <w:basedOn w:val="15"/>
    <w:next w:val="1"/>
    <w:autoRedefine/>
    <w:qFormat/>
    <w:uiPriority w:val="0"/>
    <w:rPr>
      <w:rFonts w:ascii="宋体" w:hAnsi="宋体"/>
    </w:rPr>
  </w:style>
  <w:style w:type="paragraph" w:customStyle="1" w:styleId="127">
    <w:name w:val="msonormalcxspmidd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_Style 4"/>
    <w:basedOn w:val="1"/>
    <w:autoRedefine/>
    <w:qFormat/>
    <w:uiPriority w:val="34"/>
    <w:pPr>
      <w:spacing w:line="360" w:lineRule="auto"/>
      <w:ind w:left="720"/>
      <w:contextualSpacing/>
    </w:pPr>
    <w:rPr>
      <w:rFonts w:ascii="Times New Roman" w:hAnsi="Times New Roman" w:eastAsia="宋体" w:cs="Times New Roman"/>
      <w:szCs w:val="21"/>
    </w:rPr>
  </w:style>
  <w:style w:type="character" w:customStyle="1" w:styleId="129">
    <w:name w:val="正文首行缩进 2 Char1"/>
    <w:basedOn w:val="110"/>
    <w:autoRedefine/>
    <w:semiHidden/>
    <w:qFormat/>
    <w:uiPriority w:val="99"/>
  </w:style>
  <w:style w:type="character" w:customStyle="1" w:styleId="130">
    <w:name w:val="正文文本 Char1"/>
    <w:basedOn w:val="49"/>
    <w:autoRedefine/>
    <w:semiHidden/>
    <w:qFormat/>
    <w:uiPriority w:val="99"/>
  </w:style>
  <w:style w:type="paragraph" w:customStyle="1" w:styleId="131">
    <w:name w:val="Char"/>
    <w:basedOn w:val="1"/>
    <w:autoRedefine/>
    <w:qFormat/>
    <w:uiPriority w:val="0"/>
    <w:pPr>
      <w:ind w:firstLine="640" w:firstLineChars="200"/>
    </w:pPr>
    <w:rPr>
      <w:rFonts w:ascii="宋体" w:hAnsi="宋体" w:eastAsia="宋体" w:cs="宋体"/>
      <w:color w:val="000000"/>
      <w:kern w:val="0"/>
      <w:szCs w:val="21"/>
    </w:rPr>
  </w:style>
  <w:style w:type="character" w:customStyle="1" w:styleId="132">
    <w:name w:val="文档结构图 Char"/>
    <w:basedOn w:val="49"/>
    <w:link w:val="15"/>
    <w:autoRedefine/>
    <w:qFormat/>
    <w:uiPriority w:val="0"/>
    <w:rPr>
      <w:rFonts w:ascii="Times New Roman" w:hAnsi="Times New Roman" w:eastAsia="宋体" w:cs="Times New Roman"/>
      <w:szCs w:val="24"/>
      <w:shd w:val="clear" w:color="auto" w:fill="000080"/>
    </w:rPr>
  </w:style>
  <w:style w:type="paragraph" w:customStyle="1" w:styleId="133">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34">
    <w:name w:val="正文2"/>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35">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36">
    <w:name w:val="Char Char Char Char Char Char"/>
    <w:basedOn w:val="1"/>
    <w:autoRedefine/>
    <w:qFormat/>
    <w:uiPriority w:val="0"/>
    <w:pPr>
      <w:widowControl/>
      <w:spacing w:after="160" w:line="240" w:lineRule="exact"/>
      <w:jc w:val="left"/>
    </w:pPr>
    <w:rPr>
      <w:rFonts w:ascii="@微软雅黑" w:hAnsi="@微软雅黑" w:eastAsia="宋体" w:cs="Times New Roman"/>
      <w:kern w:val="0"/>
      <w:sz w:val="20"/>
      <w:szCs w:val="20"/>
      <w:lang w:eastAsia="en-US"/>
    </w:rPr>
  </w:style>
  <w:style w:type="paragraph" w:customStyle="1" w:styleId="137">
    <w:name w:val="样式 标题 4Chapter X.X.X. + 段后: 0.5 行1 + 段后: 0.5 行"/>
    <w:basedOn w:val="1"/>
    <w:autoRedefine/>
    <w:qFormat/>
    <w:uiPriority w:val="0"/>
    <w:pPr>
      <w:keepNext/>
      <w:spacing w:before="120" w:afterLines="50"/>
      <w:ind w:left="425" w:hanging="425"/>
      <w:jc w:val="left"/>
      <w:outlineLvl w:val="3"/>
    </w:pPr>
    <w:rPr>
      <w:rFonts w:ascii="宋体" w:hAnsi="Times New Roman" w:eastAsia="宋体" w:cs="宋体"/>
      <w:b/>
      <w:bCs/>
      <w:snapToGrid w:val="0"/>
      <w:kern w:val="0"/>
      <w:szCs w:val="21"/>
    </w:rPr>
  </w:style>
  <w:style w:type="paragraph" w:customStyle="1" w:styleId="138">
    <w:name w:val="表格文字"/>
    <w:basedOn w:val="1"/>
    <w:next w:val="19"/>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139">
    <w:name w:val="正文（首行缩进两字） Char Char Char Char1"/>
    <w:basedOn w:val="49"/>
    <w:autoRedefine/>
    <w:qFormat/>
    <w:uiPriority w:val="0"/>
    <w:rPr>
      <w:rFonts w:eastAsia="宋体"/>
      <w:kern w:val="2"/>
      <w:sz w:val="21"/>
      <w:lang w:val="en-US" w:eastAsia="zh-CN" w:bidi="ar-SA"/>
    </w:rPr>
  </w:style>
  <w:style w:type="paragraph" w:customStyle="1" w:styleId="140">
    <w:name w:val="样式"/>
    <w:basedOn w:val="1"/>
    <w:next w:val="21"/>
    <w:autoRedefine/>
    <w:qFormat/>
    <w:uiPriority w:val="0"/>
    <w:pPr>
      <w:jc w:val="center"/>
    </w:pPr>
    <w:rPr>
      <w:rFonts w:ascii="宋体" w:hAnsi="宋体" w:eastAsia="宋体" w:cs="Times New Roman"/>
      <w:color w:val="FF0000"/>
      <w:sz w:val="24"/>
      <w:szCs w:val="24"/>
    </w:rPr>
  </w:style>
  <w:style w:type="paragraph" w:customStyle="1" w:styleId="141">
    <w:name w:val="xl30"/>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b/>
      <w:kern w:val="0"/>
      <w:sz w:val="32"/>
      <w:szCs w:val="20"/>
    </w:rPr>
  </w:style>
  <w:style w:type="paragraph" w:customStyle="1" w:styleId="142">
    <w:name w:val="书籍标题1"/>
    <w:basedOn w:val="1"/>
    <w:next w:val="1"/>
    <w:autoRedefine/>
    <w:qFormat/>
    <w:uiPriority w:val="0"/>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20"/>
    </w:rPr>
  </w:style>
  <w:style w:type="paragraph" w:customStyle="1" w:styleId="143">
    <w:name w:val="默认段落字体 Para Char Char Char Char Char Char Char"/>
    <w:basedOn w:val="1"/>
    <w:autoRedefine/>
    <w:qFormat/>
    <w:uiPriority w:val="0"/>
    <w:rPr>
      <w:rFonts w:ascii="Tahoma" w:hAnsi="Tahoma" w:eastAsia="宋体" w:cs="Times New Roman"/>
      <w:sz w:val="24"/>
      <w:szCs w:val="20"/>
    </w:rPr>
  </w:style>
  <w:style w:type="paragraph" w:customStyle="1" w:styleId="144">
    <w:name w:val="new"/>
    <w:basedOn w:val="1"/>
    <w:autoRedefine/>
    <w:qFormat/>
    <w:uiPriority w:val="0"/>
    <w:pPr>
      <w:widowControl/>
      <w:tabs>
        <w:tab w:val="left" w:pos="1815"/>
      </w:tabs>
      <w:spacing w:before="100" w:beforeAutospacing="1" w:after="100" w:afterAutospacing="1"/>
      <w:jc w:val="left"/>
    </w:pPr>
    <w:rPr>
      <w:rFonts w:ascii="宋体" w:hAnsi="宋体" w:eastAsia="宋体" w:cs="Times New Roman"/>
      <w:kern w:val="0"/>
      <w:sz w:val="24"/>
      <w:szCs w:val="24"/>
    </w:rPr>
  </w:style>
  <w:style w:type="paragraph" w:customStyle="1" w:styleId="145">
    <w:name w:val="列出段落1"/>
    <w:basedOn w:val="1"/>
    <w:autoRedefine/>
    <w:qFormat/>
    <w:uiPriority w:val="34"/>
    <w:pPr>
      <w:ind w:firstLine="420" w:firstLineChars="200"/>
    </w:pPr>
    <w:rPr>
      <w:rFonts w:ascii="Times New Roman" w:hAnsi="Times New Roman" w:eastAsia="宋体" w:cs="Times New Roman"/>
      <w:sz w:val="28"/>
      <w:szCs w:val="24"/>
    </w:rPr>
  </w:style>
  <w:style w:type="paragraph" w:customStyle="1" w:styleId="146">
    <w:name w:val="Char Char7 Char"/>
    <w:basedOn w:val="1"/>
    <w:autoRedefine/>
    <w:qFormat/>
    <w:uiPriority w:val="0"/>
    <w:pPr>
      <w:tabs>
        <w:tab w:val="left" w:pos="425"/>
      </w:tabs>
      <w:ind w:left="420" w:leftChars="200" w:firstLine="270" w:firstLineChars="150"/>
    </w:pPr>
    <w:rPr>
      <w:rFonts w:ascii="Times New Roman" w:hAnsi="Times New Roman" w:eastAsia="宋体" w:cs="Times New Roman"/>
      <w:szCs w:val="24"/>
    </w:rPr>
  </w:style>
  <w:style w:type="character" w:customStyle="1" w:styleId="147">
    <w:name w:val="正文首行缩进 Char"/>
    <w:basedOn w:val="75"/>
    <w:link w:val="45"/>
    <w:autoRedefine/>
    <w:qFormat/>
    <w:uiPriority w:val="0"/>
    <w:rPr>
      <w:rFonts w:asciiTheme="minorHAnsi" w:hAnsiTheme="minorHAnsi" w:eastAsiaTheme="minorEastAsia" w:cstheme="minorBidi"/>
      <w:kern w:val="2"/>
      <w:sz w:val="21"/>
      <w:szCs w:val="22"/>
    </w:rPr>
  </w:style>
  <w:style w:type="character" w:customStyle="1" w:styleId="148">
    <w:name w:val="ptb181"/>
    <w:autoRedefine/>
    <w:qFormat/>
    <w:uiPriority w:val="0"/>
    <w:rPr>
      <w:rFonts w:hint="default" w:ascii="Verdana" w:hAnsi="Verdana"/>
      <w:b/>
      <w:bCs/>
      <w:color w:val="000000"/>
      <w:sz w:val="26"/>
      <w:szCs w:val="26"/>
    </w:rPr>
  </w:style>
  <w:style w:type="paragraph" w:customStyle="1" w:styleId="149">
    <w:name w:val="Other|1"/>
    <w:basedOn w:val="1"/>
    <w:autoRedefine/>
    <w:qFormat/>
    <w:uiPriority w:val="0"/>
    <w:pPr>
      <w:spacing w:line="345" w:lineRule="exact"/>
      <w:jc w:val="left"/>
    </w:pPr>
    <w:rPr>
      <w:rFonts w:ascii="MingLiU" w:hAnsi="MingLiU" w:eastAsia="MingLiU" w:cs="MingLiU"/>
      <w:kern w:val="0"/>
      <w:sz w:val="20"/>
      <w:szCs w:val="20"/>
      <w:lang w:val="zh-TW" w:eastAsia="zh-TW" w:bidi="zh-TW"/>
    </w:rPr>
  </w:style>
  <w:style w:type="paragraph" w:customStyle="1" w:styleId="150">
    <w:name w:val="_Style 1"/>
    <w:basedOn w:val="1"/>
    <w:autoRedefine/>
    <w:qFormat/>
    <w:uiPriority w:val="34"/>
    <w:pPr>
      <w:ind w:firstLine="420" w:firstLineChars="200"/>
    </w:pPr>
    <w:rPr>
      <w:rFonts w:ascii="Times New Roman" w:hAnsi="Times New Roman" w:eastAsia="宋体" w:cs="Times New Roman"/>
      <w:szCs w:val="24"/>
    </w:rPr>
  </w:style>
  <w:style w:type="paragraph" w:customStyle="1" w:styleId="151">
    <w:name w:val="首行缩进"/>
    <w:basedOn w:val="1"/>
    <w:autoRedefine/>
    <w:qFormat/>
    <w:uiPriority w:val="0"/>
    <w:pPr>
      <w:widowControl/>
      <w:numPr>
        <w:ilvl w:val="6"/>
        <w:numId w:val="1"/>
      </w:numPr>
      <w:tabs>
        <w:tab w:val="left" w:pos="822"/>
        <w:tab w:val="clear" w:pos="3120"/>
      </w:tabs>
      <w:snapToGrid w:val="0"/>
      <w:spacing w:before="40" w:after="40" w:line="300" w:lineRule="atLeast"/>
    </w:pPr>
    <w:rPr>
      <w:rFonts w:ascii="Arial" w:hAnsi="Arial"/>
      <w:kern w:val="0"/>
      <w:szCs w:val="20"/>
    </w:rPr>
  </w:style>
  <w:style w:type="character" w:customStyle="1" w:styleId="152">
    <w:name w:val="标题 3 字符"/>
    <w:autoRedefine/>
    <w:qFormat/>
    <w:uiPriority w:val="0"/>
    <w:rPr>
      <w:rFonts w:ascii="Times New Roman" w:hAnsi="Times New Roman" w:eastAsia="宋体" w:cs="Times New Roman"/>
      <w:b/>
      <w:bCs/>
      <w:kern w:val="2"/>
      <w:sz w:val="32"/>
      <w:szCs w:val="32"/>
      <w:lang w:val="en-US" w:eastAsia="zh-CN" w:bidi="ar-SA"/>
    </w:rPr>
  </w:style>
  <w:style w:type="character" w:customStyle="1" w:styleId="153">
    <w:name w:val="纯文本 字符"/>
    <w:autoRedefine/>
    <w:qFormat/>
    <w:uiPriority w:val="0"/>
    <w:rPr>
      <w:rFonts w:ascii="宋体" w:hAnsi="Courier New" w:eastAsia="宋体" w:cs="Courier New"/>
      <w:kern w:val="2"/>
      <w:sz w:val="21"/>
      <w:szCs w:val="21"/>
      <w:lang w:val="en-US" w:eastAsia="zh-CN" w:bidi="ar-SA"/>
    </w:rPr>
  </w:style>
  <w:style w:type="character" w:customStyle="1" w:styleId="154">
    <w:name w:val="HTML 预设格式 Char"/>
    <w:basedOn w:val="49"/>
    <w:link w:val="40"/>
    <w:autoRedefine/>
    <w:qFormat/>
    <w:uiPriority w:val="0"/>
    <w:rPr>
      <w:rFonts w:ascii="宋体" w:hAnsi="宋体"/>
      <w:sz w:val="24"/>
      <w:szCs w:val="24"/>
    </w:rPr>
  </w:style>
  <w:style w:type="character" w:customStyle="1" w:styleId="155">
    <w:name w:val="style5"/>
    <w:basedOn w:val="49"/>
    <w:autoRedefine/>
    <w:qFormat/>
    <w:uiPriority w:val="0"/>
    <w:rPr>
      <w:rFonts w:ascii="Times New Roman" w:hAnsi="Times New Roman" w:eastAsia="宋体" w:cs="Times New Roman"/>
    </w:rPr>
  </w:style>
  <w:style w:type="character" w:customStyle="1" w:styleId="156">
    <w:name w:val="info-content"/>
    <w:basedOn w:val="49"/>
    <w:autoRedefine/>
    <w:qFormat/>
    <w:uiPriority w:val="0"/>
    <w:rPr>
      <w:rFonts w:ascii="Times New Roman" w:hAnsi="Times New Roman" w:eastAsia="宋体" w:cs="Times New Roman"/>
      <w:color w:val="808080"/>
    </w:rPr>
  </w:style>
  <w:style w:type="character" w:customStyle="1" w:styleId="157">
    <w:name w:val="current"/>
    <w:basedOn w:val="49"/>
    <w:autoRedefine/>
    <w:qFormat/>
    <w:uiPriority w:val="0"/>
    <w:rPr>
      <w:rFonts w:ascii="Times New Roman" w:hAnsi="Times New Roman" w:eastAsia="宋体" w:cs="Times New Roman"/>
      <w:color w:val="00C1DE"/>
    </w:rPr>
  </w:style>
  <w:style w:type="character" w:customStyle="1" w:styleId="158">
    <w:name w:val="ant-select-tree-checkbox"/>
    <w:basedOn w:val="49"/>
    <w:autoRedefine/>
    <w:qFormat/>
    <w:uiPriority w:val="0"/>
    <w:rPr>
      <w:rFonts w:ascii="Times New Roman" w:hAnsi="Times New Roman" w:eastAsia="宋体" w:cs="Times New Roman"/>
    </w:rPr>
  </w:style>
  <w:style w:type="character" w:customStyle="1" w:styleId="159">
    <w:name w:val="current1"/>
    <w:basedOn w:val="49"/>
    <w:autoRedefine/>
    <w:qFormat/>
    <w:uiPriority w:val="0"/>
    <w:rPr>
      <w:rFonts w:ascii="Times New Roman" w:hAnsi="Times New Roman" w:eastAsia="宋体" w:cs="Times New Roman"/>
      <w:color w:val="00C1DE"/>
    </w:rPr>
  </w:style>
  <w:style w:type="character" w:customStyle="1" w:styleId="160">
    <w:name w:val="ant-tree-iconele"/>
    <w:basedOn w:val="49"/>
    <w:autoRedefine/>
    <w:qFormat/>
    <w:uiPriority w:val="0"/>
    <w:rPr>
      <w:rFonts w:ascii="Times New Roman" w:hAnsi="Times New Roman" w:eastAsia="宋体" w:cs="Times New Roman"/>
    </w:rPr>
  </w:style>
  <w:style w:type="character" w:customStyle="1" w:styleId="161">
    <w:name w:val="tag-type"/>
    <w:basedOn w:val="49"/>
    <w:autoRedefine/>
    <w:qFormat/>
    <w:uiPriority w:val="0"/>
    <w:rPr>
      <w:rFonts w:ascii="Times New Roman" w:hAnsi="Times New Roman" w:eastAsia="宋体" w:cs="Times New Roman"/>
      <w:color w:val="FFFFFF"/>
      <w:sz w:val="18"/>
      <w:szCs w:val="18"/>
      <w:shd w:val="clear" w:color="auto" w:fill="317FFD"/>
    </w:rPr>
  </w:style>
  <w:style w:type="character" w:customStyle="1" w:styleId="162">
    <w:name w:val="last-child7"/>
    <w:basedOn w:val="49"/>
    <w:autoRedefine/>
    <w:qFormat/>
    <w:uiPriority w:val="0"/>
    <w:rPr>
      <w:rFonts w:ascii="Times New Roman" w:hAnsi="Times New Roman" w:eastAsia="宋体" w:cs="Times New Roman"/>
    </w:rPr>
  </w:style>
  <w:style w:type="character" w:customStyle="1" w:styleId="163">
    <w:name w:val="maywed421"/>
    <w:autoRedefine/>
    <w:qFormat/>
    <w:uiPriority w:val="0"/>
    <w:rPr>
      <w:rFonts w:ascii="Times New Roman" w:hAnsi="Times New Roman" w:eastAsia="宋体" w:cs="Times New Roman"/>
      <w:color w:val="366FB6"/>
      <w:u w:val="none"/>
    </w:rPr>
  </w:style>
  <w:style w:type="character" w:customStyle="1" w:styleId="164">
    <w:name w:val="label"/>
    <w:basedOn w:val="49"/>
    <w:autoRedefine/>
    <w:qFormat/>
    <w:uiPriority w:val="0"/>
    <w:rPr>
      <w:rFonts w:ascii="Times New Roman" w:hAnsi="Times New Roman" w:eastAsia="宋体" w:cs="Times New Roman"/>
    </w:rPr>
  </w:style>
  <w:style w:type="character" w:customStyle="1" w:styleId="165">
    <w:name w:val="style1"/>
    <w:basedOn w:val="49"/>
    <w:autoRedefine/>
    <w:qFormat/>
    <w:uiPriority w:val="0"/>
    <w:rPr>
      <w:rFonts w:ascii="Times New Roman" w:hAnsi="Times New Roman" w:eastAsia="宋体" w:cs="Times New Roman"/>
    </w:rPr>
  </w:style>
  <w:style w:type="paragraph" w:customStyle="1" w:styleId="166">
    <w:name w:val="a"/>
    <w:basedOn w:val="1"/>
    <w:link w:val="167"/>
    <w:autoRedefine/>
    <w:qFormat/>
    <w:uiPriority w:val="0"/>
    <w:pPr>
      <w:widowControl/>
      <w:spacing w:before="100" w:beforeAutospacing="1" w:after="100" w:afterAutospacing="1"/>
      <w:jc w:val="left"/>
    </w:pPr>
    <w:rPr>
      <w:rFonts w:ascii="宋体" w:hAnsi="宋体" w:eastAsia="仿宋_GB2312" w:cs="Times New Roman"/>
      <w:kern w:val="0"/>
      <w:sz w:val="24"/>
      <w:szCs w:val="20"/>
    </w:rPr>
  </w:style>
  <w:style w:type="character" w:customStyle="1" w:styleId="167">
    <w:name w:val="a Char"/>
    <w:link w:val="166"/>
    <w:autoRedefine/>
    <w:qFormat/>
    <w:uiPriority w:val="0"/>
    <w:rPr>
      <w:rFonts w:ascii="宋体" w:hAnsi="宋体" w:eastAsia="仿宋_GB2312"/>
      <w:sz w:val="24"/>
    </w:rPr>
  </w:style>
  <w:style w:type="character" w:customStyle="1" w:styleId="168">
    <w:name w:val="ant-tree-checkbox2"/>
    <w:basedOn w:val="49"/>
    <w:autoRedefine/>
    <w:qFormat/>
    <w:uiPriority w:val="0"/>
    <w:rPr>
      <w:rFonts w:ascii="Times New Roman" w:hAnsi="Times New Roman" w:eastAsia="宋体" w:cs="Times New Roman"/>
    </w:rPr>
  </w:style>
  <w:style w:type="character" w:customStyle="1" w:styleId="169">
    <w:name w:val="style2"/>
    <w:basedOn w:val="49"/>
    <w:autoRedefine/>
    <w:qFormat/>
    <w:uiPriority w:val="0"/>
    <w:rPr>
      <w:rFonts w:ascii="Times New Roman" w:hAnsi="Times New Roman" w:eastAsia="宋体" w:cs="Times New Roman"/>
    </w:rPr>
  </w:style>
  <w:style w:type="character" w:customStyle="1" w:styleId="170">
    <w:name w:val="last-child2"/>
    <w:basedOn w:val="49"/>
    <w:autoRedefine/>
    <w:qFormat/>
    <w:uiPriority w:val="0"/>
    <w:rPr>
      <w:rFonts w:ascii="Times New Roman" w:hAnsi="Times New Roman" w:eastAsia="宋体" w:cs="Times New Roman"/>
    </w:rPr>
  </w:style>
  <w:style w:type="character" w:customStyle="1" w:styleId="171">
    <w:name w:val="title14"/>
    <w:basedOn w:val="49"/>
    <w:autoRedefine/>
    <w:qFormat/>
    <w:uiPriority w:val="0"/>
    <w:rPr>
      <w:rFonts w:ascii="Times New Roman" w:hAnsi="Times New Roman" w:eastAsia="宋体" w:cs="Times New Roman"/>
    </w:rPr>
  </w:style>
  <w:style w:type="character" w:customStyle="1" w:styleId="172">
    <w:name w:val="all-fit-info1"/>
    <w:basedOn w:val="49"/>
    <w:autoRedefine/>
    <w:qFormat/>
    <w:uiPriority w:val="0"/>
    <w:rPr>
      <w:rFonts w:ascii="Times New Roman" w:hAnsi="Times New Roman" w:eastAsia="宋体" w:cs="Times New Roman"/>
      <w:color w:val="939393"/>
    </w:rPr>
  </w:style>
  <w:style w:type="character" w:customStyle="1" w:styleId="173">
    <w:name w:val="first-child"/>
    <w:basedOn w:val="49"/>
    <w:autoRedefine/>
    <w:qFormat/>
    <w:uiPriority w:val="0"/>
    <w:rPr>
      <w:rFonts w:ascii="Times New Roman" w:hAnsi="Times New Roman" w:eastAsia="宋体" w:cs="Times New Roman"/>
    </w:rPr>
  </w:style>
  <w:style w:type="character" w:customStyle="1" w:styleId="174">
    <w:name w:val="last-child5"/>
    <w:basedOn w:val="49"/>
    <w:autoRedefine/>
    <w:qFormat/>
    <w:uiPriority w:val="0"/>
    <w:rPr>
      <w:rFonts w:ascii="Times New Roman" w:hAnsi="Times New Roman" w:eastAsia="宋体" w:cs="Times New Roman"/>
    </w:rPr>
  </w:style>
  <w:style w:type="character" w:customStyle="1" w:styleId="175">
    <w:name w:val="ant-badge-status-dot"/>
    <w:basedOn w:val="49"/>
    <w:autoRedefine/>
    <w:qFormat/>
    <w:uiPriority w:val="0"/>
    <w:rPr>
      <w:rFonts w:ascii="Times New Roman" w:hAnsi="Times New Roman" w:eastAsia="宋体" w:cs="Times New Roman"/>
      <w:shd w:val="clear" w:color="auto" w:fill="FFFFFF"/>
    </w:rPr>
  </w:style>
  <w:style w:type="character" w:customStyle="1" w:styleId="176">
    <w:name w:val="temp"/>
    <w:basedOn w:val="49"/>
    <w:autoRedefine/>
    <w:qFormat/>
    <w:uiPriority w:val="0"/>
    <w:rPr>
      <w:rFonts w:ascii="Times New Roman" w:hAnsi="Times New Roman" w:eastAsia="宋体" w:cs="Times New Roman"/>
    </w:rPr>
  </w:style>
  <w:style w:type="character" w:customStyle="1" w:styleId="177">
    <w:name w:val="tag-type1"/>
    <w:basedOn w:val="49"/>
    <w:autoRedefine/>
    <w:qFormat/>
    <w:uiPriority w:val="0"/>
    <w:rPr>
      <w:rFonts w:ascii="Times New Roman" w:hAnsi="Times New Roman" w:eastAsia="宋体" w:cs="Times New Roman"/>
      <w:color w:val="FFFFFF"/>
      <w:sz w:val="18"/>
      <w:szCs w:val="18"/>
      <w:shd w:val="clear" w:color="auto" w:fill="317FFD"/>
    </w:rPr>
  </w:style>
  <w:style w:type="character" w:customStyle="1" w:styleId="178">
    <w:name w:val="141"/>
    <w:autoRedefine/>
    <w:qFormat/>
    <w:uiPriority w:val="0"/>
    <w:rPr>
      <w:rFonts w:ascii="Times New Roman" w:hAnsi="Times New Roman" w:eastAsia="宋体" w:cs="Times New Roman"/>
      <w:color w:val="333333"/>
      <w:sz w:val="21"/>
      <w:szCs w:val="21"/>
      <w:u w:val="none"/>
    </w:rPr>
  </w:style>
  <w:style w:type="character" w:customStyle="1" w:styleId="179">
    <w:name w:val="last-child3"/>
    <w:basedOn w:val="49"/>
    <w:autoRedefine/>
    <w:qFormat/>
    <w:uiPriority w:val="0"/>
    <w:rPr>
      <w:rFonts w:ascii="Times New Roman" w:hAnsi="Times New Roman" w:eastAsia="宋体" w:cs="Times New Roman"/>
    </w:rPr>
  </w:style>
  <w:style w:type="character" w:customStyle="1" w:styleId="180">
    <w:name w:val="ant-tree-switcher"/>
    <w:basedOn w:val="49"/>
    <w:autoRedefine/>
    <w:qFormat/>
    <w:uiPriority w:val="0"/>
    <w:rPr>
      <w:rFonts w:ascii="Times New Roman" w:hAnsi="Times New Roman" w:eastAsia="宋体" w:cs="Times New Roman"/>
    </w:rPr>
  </w:style>
  <w:style w:type="character" w:customStyle="1" w:styleId="181">
    <w:name w:val="ant-select-tree-switcher"/>
    <w:basedOn w:val="49"/>
    <w:autoRedefine/>
    <w:qFormat/>
    <w:uiPriority w:val="0"/>
    <w:rPr>
      <w:rFonts w:ascii="Times New Roman" w:hAnsi="Times New Roman" w:eastAsia="宋体" w:cs="Times New Roman"/>
    </w:rPr>
  </w:style>
  <w:style w:type="character" w:customStyle="1" w:styleId="182">
    <w:name w:val="para"/>
    <w:basedOn w:val="49"/>
    <w:autoRedefine/>
    <w:qFormat/>
    <w:uiPriority w:val="0"/>
    <w:rPr>
      <w:rFonts w:ascii="Times New Roman" w:hAnsi="Times New Roman" w:eastAsia="宋体" w:cs="Times New Roman"/>
    </w:rPr>
  </w:style>
  <w:style w:type="character" w:customStyle="1" w:styleId="183">
    <w:name w:val="last-child"/>
    <w:basedOn w:val="49"/>
    <w:autoRedefine/>
    <w:qFormat/>
    <w:uiPriority w:val="0"/>
    <w:rPr>
      <w:rFonts w:ascii="Times New Roman" w:hAnsi="Times New Roman" w:eastAsia="宋体" w:cs="Times New Roman"/>
    </w:rPr>
  </w:style>
  <w:style w:type="character" w:customStyle="1" w:styleId="184">
    <w:name w:val="last-child6"/>
    <w:basedOn w:val="49"/>
    <w:autoRedefine/>
    <w:qFormat/>
    <w:uiPriority w:val="0"/>
    <w:rPr>
      <w:rFonts w:ascii="Times New Roman" w:hAnsi="Times New Roman" w:eastAsia="宋体" w:cs="Times New Roman"/>
    </w:rPr>
  </w:style>
  <w:style w:type="character" w:customStyle="1" w:styleId="185">
    <w:name w:val="ant-tree-icon_loading"/>
    <w:basedOn w:val="49"/>
    <w:autoRedefine/>
    <w:qFormat/>
    <w:uiPriority w:val="0"/>
    <w:rPr>
      <w:rFonts w:ascii="Times New Roman" w:hAnsi="Times New Roman" w:eastAsia="宋体" w:cs="Times New Roman"/>
      <w:shd w:val="clear" w:color="auto" w:fill="FFFFFF"/>
    </w:rPr>
  </w:style>
  <w:style w:type="character" w:customStyle="1" w:styleId="186">
    <w:name w:val="temp8"/>
    <w:basedOn w:val="49"/>
    <w:autoRedefine/>
    <w:qFormat/>
    <w:uiPriority w:val="0"/>
    <w:rPr>
      <w:rFonts w:ascii="Times New Roman" w:hAnsi="Times New Roman" w:eastAsia="宋体" w:cs="Times New Roman"/>
    </w:rPr>
  </w:style>
  <w:style w:type="character" w:customStyle="1" w:styleId="187">
    <w:name w:val="temp6"/>
    <w:basedOn w:val="49"/>
    <w:autoRedefine/>
    <w:qFormat/>
    <w:uiPriority w:val="0"/>
    <w:rPr>
      <w:rFonts w:ascii="Times New Roman" w:hAnsi="Times New Roman" w:eastAsia="宋体" w:cs="Times New Roman"/>
    </w:rPr>
  </w:style>
  <w:style w:type="character" w:customStyle="1" w:styleId="188">
    <w:name w:val="first-child9"/>
    <w:basedOn w:val="49"/>
    <w:autoRedefine/>
    <w:qFormat/>
    <w:uiPriority w:val="0"/>
    <w:rPr>
      <w:rFonts w:ascii="Times New Roman" w:hAnsi="Times New Roman" w:eastAsia="宋体" w:cs="Times New Roman"/>
    </w:rPr>
  </w:style>
  <w:style w:type="character" w:customStyle="1" w:styleId="189">
    <w:name w:val="info-label"/>
    <w:basedOn w:val="49"/>
    <w:autoRedefine/>
    <w:qFormat/>
    <w:uiPriority w:val="0"/>
    <w:rPr>
      <w:rFonts w:ascii="Times New Roman" w:hAnsi="Times New Roman" w:eastAsia="宋体" w:cs="Times New Roman"/>
      <w:b/>
    </w:rPr>
  </w:style>
  <w:style w:type="character" w:customStyle="1" w:styleId="190">
    <w:name w:val="all-fit-info"/>
    <w:basedOn w:val="49"/>
    <w:autoRedefine/>
    <w:qFormat/>
    <w:uiPriority w:val="0"/>
    <w:rPr>
      <w:rFonts w:ascii="Times New Roman" w:hAnsi="Times New Roman" w:eastAsia="宋体" w:cs="Times New Roman"/>
      <w:color w:val="939393"/>
    </w:rPr>
  </w:style>
  <w:style w:type="character" w:customStyle="1" w:styleId="191">
    <w:name w:val="temp1"/>
    <w:basedOn w:val="49"/>
    <w:autoRedefine/>
    <w:qFormat/>
    <w:uiPriority w:val="0"/>
    <w:rPr>
      <w:rFonts w:ascii="Times New Roman" w:hAnsi="Times New Roman" w:eastAsia="宋体" w:cs="Times New Roman"/>
    </w:rPr>
  </w:style>
  <w:style w:type="character" w:customStyle="1" w:styleId="192">
    <w:name w:val="Char Char6"/>
    <w:autoRedefine/>
    <w:qFormat/>
    <w:uiPriority w:val="0"/>
    <w:rPr>
      <w:rFonts w:ascii="Times New Roman" w:hAnsi="Times New Roman" w:eastAsia="宋体" w:cs="Times New Roman"/>
      <w:kern w:val="2"/>
      <w:sz w:val="18"/>
      <w:szCs w:val="18"/>
      <w:lang w:val="en-US" w:eastAsia="zh-CN" w:bidi="ar-SA"/>
    </w:rPr>
  </w:style>
  <w:style w:type="character" w:customStyle="1" w:styleId="193">
    <w:name w:val="last-of-type"/>
    <w:basedOn w:val="49"/>
    <w:autoRedefine/>
    <w:qFormat/>
    <w:uiPriority w:val="0"/>
    <w:rPr>
      <w:rFonts w:ascii="Times New Roman" w:hAnsi="Times New Roman" w:eastAsia="宋体" w:cs="Times New Roman"/>
      <w:color w:val="FF4A44"/>
      <w:sz w:val="27"/>
      <w:szCs w:val="27"/>
    </w:rPr>
  </w:style>
  <w:style w:type="character" w:customStyle="1" w:styleId="194">
    <w:name w:val="节标题 1.1 Char Char"/>
    <w:autoRedefine/>
    <w:qFormat/>
    <w:uiPriority w:val="0"/>
    <w:rPr>
      <w:rFonts w:ascii="Arial" w:hAnsi="Arial" w:eastAsia="黑体" w:cs="Times New Roman"/>
      <w:b/>
      <w:bCs/>
      <w:kern w:val="2"/>
      <w:sz w:val="32"/>
      <w:szCs w:val="32"/>
      <w:lang w:val="en-US" w:eastAsia="zh-CN" w:bidi="ar-SA"/>
    </w:rPr>
  </w:style>
  <w:style w:type="character" w:customStyle="1" w:styleId="195">
    <w:name w:val="Char Char1"/>
    <w:autoRedefine/>
    <w:qFormat/>
    <w:uiPriority w:val="0"/>
    <w:rPr>
      <w:rFonts w:ascii="Times New Roman" w:hAnsi="Times New Roman" w:eastAsia="宋体" w:cs="Times New Roman"/>
      <w:kern w:val="2"/>
      <w:sz w:val="18"/>
      <w:szCs w:val="18"/>
    </w:rPr>
  </w:style>
  <w:style w:type="character" w:customStyle="1" w:styleId="196">
    <w:name w:val="Char Char10"/>
    <w:autoRedefine/>
    <w:qFormat/>
    <w:uiPriority w:val="0"/>
    <w:rPr>
      <w:rFonts w:ascii="宋体" w:hAnsi="Courier New" w:eastAsia="宋体" w:cs="Times New Roman"/>
      <w:kern w:val="2"/>
      <w:sz w:val="24"/>
      <w:szCs w:val="24"/>
      <w:lang w:val="en-US" w:eastAsia="zh-CN" w:bidi="ar-SA"/>
    </w:rPr>
  </w:style>
  <w:style w:type="character" w:customStyle="1" w:styleId="197">
    <w:name w:val="ant-select-tree-iconele"/>
    <w:basedOn w:val="49"/>
    <w:autoRedefine/>
    <w:qFormat/>
    <w:uiPriority w:val="0"/>
    <w:rPr>
      <w:rFonts w:ascii="Times New Roman" w:hAnsi="Times New Roman" w:eastAsia="宋体" w:cs="Times New Roman"/>
    </w:rPr>
  </w:style>
  <w:style w:type="character" w:customStyle="1" w:styleId="198">
    <w:name w:val="last-child1"/>
    <w:basedOn w:val="49"/>
    <w:autoRedefine/>
    <w:qFormat/>
    <w:uiPriority w:val="0"/>
    <w:rPr>
      <w:rFonts w:ascii="Times New Roman" w:hAnsi="Times New Roman" w:eastAsia="宋体" w:cs="Times New Roman"/>
    </w:rPr>
  </w:style>
  <w:style w:type="character" w:customStyle="1" w:styleId="199">
    <w:name w:val="font3"/>
    <w:basedOn w:val="49"/>
    <w:autoRedefine/>
    <w:qFormat/>
    <w:uiPriority w:val="0"/>
    <w:rPr>
      <w:rFonts w:ascii="Times New Roman" w:hAnsi="Times New Roman" w:eastAsia="宋体" w:cs="Times New Roman"/>
    </w:rPr>
  </w:style>
  <w:style w:type="character" w:customStyle="1" w:styleId="200">
    <w:name w:val="flname7"/>
    <w:basedOn w:val="49"/>
    <w:autoRedefine/>
    <w:qFormat/>
    <w:uiPriority w:val="0"/>
    <w:rPr>
      <w:rFonts w:ascii="Times New Roman" w:hAnsi="Times New Roman" w:eastAsia="宋体" w:cs="Times New Roman"/>
    </w:rPr>
  </w:style>
  <w:style w:type="character" w:customStyle="1" w:styleId="201">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202">
    <w:name w:val="sdtype"/>
    <w:autoRedefine/>
    <w:qFormat/>
    <w:uiPriority w:val="0"/>
    <w:rPr>
      <w:rFonts w:ascii="Times New Roman" w:hAnsi="Times New Roman" w:eastAsia="宋体" w:cs="Times New Roman"/>
    </w:rPr>
  </w:style>
  <w:style w:type="character" w:customStyle="1" w:styleId="203">
    <w:name w:val="Char Char2"/>
    <w:autoRedefine/>
    <w:qFormat/>
    <w:uiPriority w:val="0"/>
    <w:rPr>
      <w:rFonts w:ascii="宋体" w:hAnsi="Courier New" w:eastAsia="宋体" w:cs="Times New Roman"/>
      <w:sz w:val="21"/>
      <w:lang w:val="en-US" w:eastAsia="zh-CN" w:bidi="ar-SA"/>
    </w:rPr>
  </w:style>
  <w:style w:type="character" w:customStyle="1" w:styleId="204">
    <w:name w:val="ant-tree-checkbox"/>
    <w:basedOn w:val="49"/>
    <w:autoRedefine/>
    <w:qFormat/>
    <w:uiPriority w:val="0"/>
    <w:rPr>
      <w:rFonts w:ascii="Times New Roman" w:hAnsi="Times New Roman" w:eastAsia="宋体" w:cs="Times New Roman"/>
    </w:rPr>
  </w:style>
  <w:style w:type="character" w:customStyle="1" w:styleId="205">
    <w:name w:val="b titlename wangputoptitle"/>
    <w:basedOn w:val="49"/>
    <w:autoRedefine/>
    <w:qFormat/>
    <w:uiPriority w:val="0"/>
    <w:rPr>
      <w:rFonts w:ascii="Times New Roman" w:hAnsi="Times New Roman" w:eastAsia="宋体" w:cs="Times New Roman"/>
    </w:rPr>
  </w:style>
  <w:style w:type="character" w:customStyle="1" w:styleId="206">
    <w:name w:val="style51"/>
    <w:autoRedefine/>
    <w:qFormat/>
    <w:uiPriority w:val="0"/>
    <w:rPr>
      <w:rFonts w:ascii="Times New Roman" w:hAnsi="Times New Roman" w:eastAsia="宋体" w:cs="Times New Roman"/>
      <w:sz w:val="18"/>
      <w:szCs w:val="18"/>
    </w:rPr>
  </w:style>
  <w:style w:type="character" w:customStyle="1" w:styleId="207">
    <w:name w:val="change-camera-place"/>
    <w:basedOn w:val="49"/>
    <w:autoRedefine/>
    <w:qFormat/>
    <w:uiPriority w:val="0"/>
    <w:rPr>
      <w:rFonts w:ascii="Times New Roman" w:hAnsi="Times New Roman" w:eastAsia="宋体" w:cs="Times New Roman"/>
      <w:color w:val="3177FD"/>
    </w:rPr>
  </w:style>
  <w:style w:type="character" w:customStyle="1" w:styleId="208">
    <w:name w:val="last-child4"/>
    <w:basedOn w:val="49"/>
    <w:autoRedefine/>
    <w:qFormat/>
    <w:uiPriority w:val="0"/>
    <w:rPr>
      <w:rFonts w:ascii="Times New Roman" w:hAnsi="Times New Roman" w:eastAsia="宋体" w:cs="Times New Roman"/>
    </w:rPr>
  </w:style>
  <w:style w:type="character" w:customStyle="1" w:styleId="209">
    <w:name w:val="all-fit-info2"/>
    <w:basedOn w:val="49"/>
    <w:autoRedefine/>
    <w:qFormat/>
    <w:uiPriority w:val="0"/>
    <w:rPr>
      <w:rFonts w:ascii="Times New Roman" w:hAnsi="Times New Roman" w:eastAsia="宋体" w:cs="Times New Roman"/>
      <w:color w:val="939393"/>
    </w:rPr>
  </w:style>
  <w:style w:type="character" w:customStyle="1" w:styleId="210">
    <w:name w:val="content8"/>
    <w:basedOn w:val="49"/>
    <w:autoRedefine/>
    <w:qFormat/>
    <w:uiPriority w:val="0"/>
    <w:rPr>
      <w:rFonts w:ascii="Times New Roman" w:hAnsi="Times New Roman" w:eastAsia="宋体" w:cs="Times New Roman"/>
    </w:rPr>
  </w:style>
  <w:style w:type="character" w:customStyle="1" w:styleId="211">
    <w:name w:val="temp2"/>
    <w:basedOn w:val="49"/>
    <w:autoRedefine/>
    <w:qFormat/>
    <w:uiPriority w:val="0"/>
    <w:rPr>
      <w:rFonts w:ascii="Times New Roman" w:hAnsi="Times New Roman" w:eastAsia="宋体" w:cs="Times New Roman"/>
    </w:rPr>
  </w:style>
  <w:style w:type="character" w:customStyle="1" w:styleId="212">
    <w:name w:val="ant-radio+*"/>
    <w:basedOn w:val="49"/>
    <w:autoRedefine/>
    <w:qFormat/>
    <w:uiPriority w:val="0"/>
    <w:rPr>
      <w:rFonts w:ascii="Times New Roman" w:hAnsi="Times New Roman" w:eastAsia="宋体" w:cs="Times New Roman"/>
    </w:rPr>
  </w:style>
  <w:style w:type="character" w:customStyle="1" w:styleId="213">
    <w:name w:val="temp7"/>
    <w:basedOn w:val="49"/>
    <w:autoRedefine/>
    <w:qFormat/>
    <w:uiPriority w:val="0"/>
    <w:rPr>
      <w:rFonts w:ascii="Times New Roman" w:hAnsi="Times New Roman" w:eastAsia="宋体" w:cs="Times New Roman"/>
    </w:rPr>
  </w:style>
  <w:style w:type="paragraph" w:customStyle="1" w:styleId="214">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215">
    <w:name w:val="Quote"/>
    <w:basedOn w:val="1"/>
    <w:next w:val="1"/>
    <w:link w:val="216"/>
    <w:autoRedefine/>
    <w:qFormat/>
    <w:uiPriority w:val="0"/>
    <w:pPr>
      <w:spacing w:before="200" w:after="160"/>
      <w:ind w:left="864" w:right="864"/>
      <w:jc w:val="center"/>
    </w:pPr>
    <w:rPr>
      <w:rFonts w:ascii="Times New Roman" w:hAnsi="Times New Roman" w:eastAsia="宋体" w:cs="Times New Roman"/>
      <w:i/>
      <w:iCs/>
      <w:color w:val="404040"/>
      <w:sz w:val="28"/>
      <w:szCs w:val="24"/>
    </w:rPr>
  </w:style>
  <w:style w:type="character" w:customStyle="1" w:styleId="216">
    <w:name w:val="引用 Char"/>
    <w:basedOn w:val="49"/>
    <w:link w:val="215"/>
    <w:autoRedefine/>
    <w:qFormat/>
    <w:uiPriority w:val="0"/>
    <w:rPr>
      <w:i/>
      <w:iCs/>
      <w:color w:val="404040"/>
      <w:kern w:val="2"/>
      <w:sz w:val="28"/>
      <w:szCs w:val="24"/>
    </w:rPr>
  </w:style>
  <w:style w:type="paragraph" w:customStyle="1" w:styleId="217">
    <w:name w:val="文档正文"/>
    <w:basedOn w:val="1"/>
    <w:autoRedefine/>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218">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Proposals body"/>
    <w:basedOn w:val="1"/>
    <w:next w:val="1"/>
    <w:autoRedefine/>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220">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1">
    <w:name w:val="_Style 9"/>
    <w:basedOn w:val="1"/>
    <w:autoRedefine/>
    <w:qFormat/>
    <w:uiPriority w:val="0"/>
    <w:rPr>
      <w:rFonts w:ascii="Times New Roman" w:hAnsi="Times New Roman" w:eastAsia="宋体" w:cs="Times New Roman"/>
      <w:sz w:val="28"/>
      <w:szCs w:val="24"/>
    </w:rPr>
  </w:style>
  <w:style w:type="paragraph" w:customStyle="1" w:styleId="2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3">
    <w:name w:val="z-窗体底端1"/>
    <w:basedOn w:val="1"/>
    <w:next w:val="1"/>
    <w:autoRedefine/>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224">
    <w:name w:val="tabletext"/>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5">
    <w:name w:val="+正文"/>
    <w:basedOn w:val="1"/>
    <w:autoRedefine/>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226">
    <w:name w:val="Char Char Char 字元 字元"/>
    <w:basedOn w:val="1"/>
    <w:autoRedefine/>
    <w:qFormat/>
    <w:uiPriority w:val="0"/>
    <w:pPr>
      <w:spacing w:line="360" w:lineRule="auto"/>
      <w:ind w:firstLine="200" w:firstLineChars="200"/>
    </w:pPr>
    <w:rPr>
      <w:rFonts w:ascii="宋体" w:hAnsi="宋体" w:eastAsia="宋体" w:cs="宋体"/>
      <w:sz w:val="24"/>
      <w:szCs w:val="24"/>
    </w:rPr>
  </w:style>
  <w:style w:type="paragraph" w:customStyle="1" w:styleId="227">
    <w:name w:val="Char Char24 Char Char Char Char"/>
    <w:basedOn w:val="1"/>
    <w:autoRedefine/>
    <w:qFormat/>
    <w:uiPriority w:val="0"/>
    <w:pPr>
      <w:widowControl/>
      <w:spacing w:after="160" w:line="240" w:lineRule="exact"/>
      <w:jc w:val="left"/>
    </w:pPr>
    <w:rPr>
      <w:rFonts w:ascii="仿宋_GB2312" w:hAnsi="Times New Roman" w:eastAsia="仿宋_GB2312" w:cs="Times New Roman"/>
      <w:spacing w:val="20"/>
      <w:sz w:val="28"/>
      <w:szCs w:val="24"/>
    </w:rPr>
  </w:style>
  <w:style w:type="paragraph" w:customStyle="1" w:styleId="228">
    <w:name w:val="Blockquote"/>
    <w:basedOn w:val="1"/>
    <w:autoRedefine/>
    <w:qFormat/>
    <w:uiPriority w:val="0"/>
    <w:pPr>
      <w:widowControl/>
      <w:spacing w:before="100" w:afterLines="50"/>
      <w:ind w:left="360" w:right="360"/>
      <w:jc w:val="left"/>
    </w:pPr>
    <w:rPr>
      <w:rFonts w:ascii="宋体" w:hAnsi="Times New Roman" w:eastAsia="宋体" w:cs="Times New Roman"/>
      <w:snapToGrid w:val="0"/>
      <w:kern w:val="0"/>
      <w:sz w:val="24"/>
      <w:szCs w:val="20"/>
      <w:lang w:val="en-CA"/>
    </w:rPr>
  </w:style>
  <w:style w:type="paragraph" w:customStyle="1" w:styleId="229">
    <w:name w:val="table_1stline"/>
    <w:basedOn w:val="1"/>
    <w:autoRedefine/>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230">
    <w:name w:val="table_lines"/>
    <w:basedOn w:val="1"/>
    <w:autoRedefine/>
    <w:qFormat/>
    <w:uiPriority w:val="0"/>
    <w:pPr>
      <w:widowControl/>
      <w:jc w:val="left"/>
    </w:pPr>
    <w:rPr>
      <w:rFonts w:ascii="Times New Roman" w:hAnsi="Times New Roman" w:eastAsia="宋体" w:cs="Times New Roman"/>
      <w:kern w:val="0"/>
      <w:sz w:val="20"/>
      <w:szCs w:val="20"/>
      <w:lang w:val="de-DE" w:eastAsia="de-DE"/>
    </w:rPr>
  </w:style>
  <w:style w:type="paragraph" w:customStyle="1" w:styleId="231">
    <w:name w:val="Char Char Char Char Char Char Char"/>
    <w:basedOn w:val="1"/>
    <w:autoRedefine/>
    <w:qFormat/>
    <w:uiPriority w:val="0"/>
    <w:pPr>
      <w:tabs>
        <w:tab w:val="left" w:pos="432"/>
      </w:tabs>
      <w:ind w:left="432" w:hanging="432"/>
    </w:pPr>
    <w:rPr>
      <w:rFonts w:ascii="Tahoma" w:hAnsi="Tahoma" w:eastAsia="宋体" w:cs="Times New Roman"/>
      <w:sz w:val="24"/>
      <w:szCs w:val="20"/>
    </w:rPr>
  </w:style>
  <w:style w:type="paragraph" w:customStyle="1" w:styleId="232">
    <w:name w:val="unnamed5"/>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33">
    <w:name w:val="Char Char Char Char Char Char Char1"/>
    <w:basedOn w:val="1"/>
    <w:autoRedefine/>
    <w:qFormat/>
    <w:uiPriority w:val="0"/>
    <w:pPr>
      <w:tabs>
        <w:tab w:val="left" w:pos="432"/>
      </w:tabs>
      <w:ind w:left="432" w:hanging="432"/>
    </w:pPr>
    <w:rPr>
      <w:rFonts w:ascii="Tahoma" w:hAnsi="Tahoma" w:eastAsia="宋体" w:cs="Times New Roman"/>
      <w:sz w:val="24"/>
      <w:szCs w:val="20"/>
    </w:rPr>
  </w:style>
  <w:style w:type="paragraph" w:customStyle="1" w:styleId="234">
    <w:name w:val="paragraph1"/>
    <w:basedOn w:val="1"/>
    <w:autoRedefine/>
    <w:qFormat/>
    <w:uiPriority w:val="0"/>
    <w:pPr>
      <w:spacing w:afterLines="30" w:line="360" w:lineRule="auto"/>
      <w:ind w:firstLine="420" w:firstLineChars="200"/>
    </w:pPr>
    <w:rPr>
      <w:rFonts w:ascii="Times New Roman" w:hAnsi="Times New Roman" w:eastAsia="楷体_GB2312" w:cs="Times New Roman"/>
      <w:sz w:val="24"/>
      <w:szCs w:val="20"/>
    </w:rPr>
  </w:style>
  <w:style w:type="paragraph" w:customStyle="1" w:styleId="235">
    <w:name w:val="列表编号 3 New"/>
    <w:basedOn w:val="1"/>
    <w:autoRedefine/>
    <w:qFormat/>
    <w:uiPriority w:val="0"/>
    <w:pPr>
      <w:widowControl/>
      <w:tabs>
        <w:tab w:val="left" w:pos="482"/>
      </w:tabs>
      <w:spacing w:afterLines="50"/>
      <w:ind w:left="432" w:hanging="432"/>
      <w:jc w:val="left"/>
    </w:pPr>
    <w:rPr>
      <w:rFonts w:ascii="Times New Roman" w:hAnsi="Times New Roman" w:eastAsia="宋体" w:cs="Times New Roman"/>
      <w:kern w:val="0"/>
      <w:sz w:val="24"/>
      <w:szCs w:val="20"/>
    </w:rPr>
  </w:style>
  <w:style w:type="paragraph" w:customStyle="1" w:styleId="236">
    <w:name w:val="样式 表格正文 + 两端对齐"/>
    <w:basedOn w:val="1"/>
    <w:autoRedefine/>
    <w:qFormat/>
    <w:uiPriority w:val="0"/>
    <w:pPr>
      <w:spacing w:line="300" w:lineRule="auto"/>
    </w:pPr>
    <w:rPr>
      <w:rFonts w:ascii="Times New Roman" w:hAnsi="Times New Roman" w:eastAsia="宋体" w:cs="Times New Roman"/>
      <w:sz w:val="24"/>
      <w:szCs w:val="20"/>
    </w:rPr>
  </w:style>
  <w:style w:type="paragraph" w:customStyle="1" w:styleId="23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character" w:customStyle="1" w:styleId="238">
    <w:name w:val="纯文本 Char4"/>
    <w:autoRedefine/>
    <w:qFormat/>
    <w:uiPriority w:val="99"/>
    <w:rPr>
      <w:rFonts w:ascii="宋体" w:hAnsi="Courier New" w:cs="宋体"/>
      <w:sz w:val="21"/>
      <w:szCs w:val="21"/>
    </w:rPr>
  </w:style>
  <w:style w:type="paragraph" w:customStyle="1" w:styleId="239">
    <w:name w:val="xl63"/>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4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4">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5">
    <w:name w:val="xl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6">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47">
    <w:name w:val="font5"/>
    <w:basedOn w:val="1"/>
    <w:autoRedefine/>
    <w:qFormat/>
    <w:uiPriority w:val="0"/>
    <w:pPr>
      <w:widowControl/>
      <w:spacing w:before="100" w:beforeAutospacing="1" w:after="100" w:afterAutospacing="1"/>
      <w:jc w:val="left"/>
    </w:pPr>
    <w:rPr>
      <w:rFonts w:ascii="方正小标宋简体" w:hAnsi="宋体" w:eastAsia="方正小标宋简体" w:cs="宋体"/>
      <w:color w:val="000000"/>
      <w:kern w:val="0"/>
      <w:sz w:val="36"/>
      <w:szCs w:val="36"/>
    </w:rPr>
  </w:style>
  <w:style w:type="paragraph" w:customStyle="1" w:styleId="248">
    <w:name w:val="font6"/>
    <w:basedOn w:val="1"/>
    <w:autoRedefine/>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249">
    <w:name w:val="font7"/>
    <w:basedOn w:val="1"/>
    <w:autoRedefine/>
    <w:qFormat/>
    <w:uiPriority w:val="0"/>
    <w:pPr>
      <w:widowControl/>
      <w:spacing w:before="100" w:beforeAutospacing="1" w:after="100" w:afterAutospacing="1"/>
      <w:jc w:val="left"/>
    </w:pPr>
    <w:rPr>
      <w:rFonts w:ascii="楷体" w:hAnsi="楷体" w:eastAsia="楷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B727-D3F8-4D2B-9EB9-0243BF385075}">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81</Pages>
  <Words>8888</Words>
  <Characters>10198</Characters>
  <Lines>381</Lines>
  <Paragraphs>107</Paragraphs>
  <TotalTime>148</TotalTime>
  <ScaleCrop>false</ScaleCrop>
  <LinksUpToDate>false</LinksUpToDate>
  <CharactersWithSpaces>10453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2021-07-19T06:36:00Z</dcterms:created>
  <dc:creator>NTKO</dc:creator>
  <cp:lastModifiedBy>NTKO</cp:lastModifiedBy>
  <cp:lastPrinted>2022-03-21T06:53:00Z</cp:lastPrinted>
  <dcterms:modified xsi:type="dcterms:W3CDTF">2025-07-01T07:14:46Z</dcterms:modified>
  <cp:revision>904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97B09ED01A7E41FEB7B0451D7552E213</vt:lpwstr>
  </property>
  <property fmtid="{D5CDD505-2E9C-101B-9397-08002B2CF9AE}" pid="4" name="KSOTemplateDocerSaveRecord">
    <vt:lpwstr>eyJoZGlkIjoiMGI3YzJlMmZmMDkwMzU3M2RlN2ZjMTllNmYwMDAxODAiLCJ1c2VySWQiOiI5NDU3ODA3MTMifQ==</vt:lpwstr>
  </property>
</Properties>
</file>