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0BC3B">
      <w:pPr>
        <w:pStyle w:val="6"/>
        <w:numPr>
          <w:ilvl w:val="0"/>
          <w:numId w:val="0"/>
        </w:numPr>
        <w:spacing w:line="360" w:lineRule="auto"/>
        <w:ind w:left="640" w:leftChars="0"/>
        <w:jc w:val="center"/>
        <w:rPr>
          <w:rFonts w:hint="default" w:ascii="宋体" w:hAnsi="宋体" w:eastAsia="宋体" w:cs="宋体"/>
          <w:b/>
          <w:bCs/>
          <w:color w:val="auto"/>
          <w:sz w:val="22"/>
          <w:szCs w:val="22"/>
          <w:highlight w:val="none"/>
          <w:lang w:val="en-US" w:eastAsia="zh-CN"/>
        </w:rPr>
      </w:pPr>
      <w:r>
        <w:rPr>
          <w:rFonts w:hint="eastAsia" w:cs="宋体"/>
          <w:b/>
          <w:bCs/>
          <w:color w:val="auto"/>
          <w:sz w:val="22"/>
          <w:szCs w:val="22"/>
          <w:highlight w:val="none"/>
          <w:lang w:val="en-US" w:eastAsia="zh-CN"/>
        </w:rPr>
        <w:t>采购需求</w:t>
      </w:r>
      <w:bookmarkStart w:id="0" w:name="_GoBack"/>
      <w:bookmarkEnd w:id="0"/>
    </w:p>
    <w:p w14:paraId="686306CA">
      <w:pPr>
        <w:pStyle w:val="6"/>
        <w:numPr>
          <w:ilvl w:val="0"/>
          <w:numId w:val="0"/>
        </w:numPr>
        <w:spacing w:line="360" w:lineRule="auto"/>
        <w:ind w:left="640" w:lef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标项一：人类SFRP2和SDC2基因甲基化联合检测试剂盒及配套耗材</w:t>
      </w:r>
    </w:p>
    <w:p w14:paraId="4BC988DE">
      <w:pPr>
        <w:spacing w:line="360" w:lineRule="auto"/>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一、项目技术规格、数量及质量要求；</w:t>
      </w:r>
    </w:p>
    <w:p w14:paraId="101DC5E2">
      <w:pPr>
        <w:spacing w:line="360" w:lineRule="auto"/>
        <w:rPr>
          <w:rFonts w:hint="default"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rPr>
        <w:t>（一）</w:t>
      </w:r>
      <w:r>
        <w:rPr>
          <w:rFonts w:hint="eastAsia" w:ascii="宋体" w:hAnsi="宋体" w:eastAsia="宋体" w:cs="宋体"/>
          <w:b/>
          <w:bCs/>
          <w:color w:val="auto"/>
          <w:sz w:val="20"/>
          <w:szCs w:val="20"/>
          <w:highlight w:val="none"/>
          <w:lang w:val="en-US" w:eastAsia="zh-CN"/>
        </w:rPr>
        <w:t>采购目录</w:t>
      </w:r>
    </w:p>
    <w:tbl>
      <w:tblPr>
        <w:tblStyle w:val="8"/>
        <w:tblW w:w="103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2"/>
        <w:gridCol w:w="3240"/>
        <w:gridCol w:w="3250"/>
        <w:gridCol w:w="1449"/>
        <w:gridCol w:w="1623"/>
      </w:tblGrid>
      <w:tr w14:paraId="6ED4B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832" w:type="dxa"/>
            <w:noWrap w:val="0"/>
            <w:vAlign w:val="center"/>
          </w:tcPr>
          <w:p w14:paraId="5A7AE4E5">
            <w:pPr>
              <w:pStyle w:val="7"/>
              <w:spacing w:before="133" w:line="221" w:lineRule="auto"/>
              <w:ind w:left="104"/>
              <w:jc w:val="center"/>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序号</w:t>
            </w:r>
          </w:p>
        </w:tc>
        <w:tc>
          <w:tcPr>
            <w:tcW w:w="3240" w:type="dxa"/>
            <w:noWrap w:val="0"/>
            <w:vAlign w:val="center"/>
          </w:tcPr>
          <w:p w14:paraId="1725C5E7">
            <w:pPr>
              <w:pStyle w:val="7"/>
              <w:spacing w:before="135" w:line="221" w:lineRule="auto"/>
              <w:jc w:val="center"/>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名称</w:t>
            </w:r>
          </w:p>
        </w:tc>
        <w:tc>
          <w:tcPr>
            <w:tcW w:w="3250" w:type="dxa"/>
            <w:noWrap w:val="0"/>
            <w:vAlign w:val="center"/>
          </w:tcPr>
          <w:p w14:paraId="73D24491">
            <w:pPr>
              <w:pStyle w:val="7"/>
              <w:spacing w:before="133" w:line="221" w:lineRule="auto"/>
              <w:jc w:val="center"/>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适用设备</w:t>
            </w:r>
          </w:p>
        </w:tc>
        <w:tc>
          <w:tcPr>
            <w:tcW w:w="1449" w:type="dxa"/>
            <w:noWrap w:val="0"/>
            <w:vAlign w:val="center"/>
          </w:tcPr>
          <w:p w14:paraId="3BF36B0D">
            <w:pPr>
              <w:pStyle w:val="7"/>
              <w:spacing w:before="132" w:line="219" w:lineRule="auto"/>
              <w:jc w:val="center"/>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单位规格</w:t>
            </w:r>
          </w:p>
        </w:tc>
        <w:tc>
          <w:tcPr>
            <w:tcW w:w="1623" w:type="dxa"/>
            <w:noWrap w:val="0"/>
            <w:vAlign w:val="center"/>
          </w:tcPr>
          <w:p w14:paraId="69F6AF54">
            <w:pPr>
              <w:pStyle w:val="7"/>
              <w:spacing w:before="131" w:line="218" w:lineRule="auto"/>
              <w:jc w:val="center"/>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单价</w:t>
            </w:r>
          </w:p>
        </w:tc>
      </w:tr>
      <w:tr w14:paraId="32DA2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jc w:val="center"/>
        </w:trPr>
        <w:tc>
          <w:tcPr>
            <w:tcW w:w="832" w:type="dxa"/>
            <w:noWrap w:val="0"/>
            <w:vAlign w:val="center"/>
          </w:tcPr>
          <w:p w14:paraId="45D7D2E8">
            <w:pPr>
              <w:pStyle w:val="7"/>
              <w:spacing w:before="62" w:line="184"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3240" w:type="dxa"/>
            <w:noWrap w:val="0"/>
            <w:vAlign w:val="center"/>
          </w:tcPr>
          <w:p w14:paraId="59ADE140">
            <w:pPr>
              <w:keepNext w:val="0"/>
              <w:keepLines w:val="0"/>
              <w:widowControl/>
              <w:suppressLineNumbers w:val="0"/>
              <w:jc w:val="center"/>
              <w:textAlignment w:val="center"/>
              <w:rPr>
                <w:rFonts w:hint="eastAsia" w:ascii="宋体" w:hAnsi="宋体" w:eastAsia="宋体" w:cs="宋体"/>
                <w:snapToGrid w:val="0"/>
                <w:color w:val="auto"/>
                <w:spacing w:val="-3"/>
                <w:kern w:val="0"/>
                <w:sz w:val="20"/>
                <w:szCs w:val="20"/>
                <w:highlight w:val="none"/>
                <w:lang w:val="en-US" w:eastAsia="zh-CN" w:bidi="ar-SA"/>
              </w:rPr>
            </w:pPr>
            <w:r>
              <w:rPr>
                <w:rFonts w:hint="eastAsia" w:ascii="宋体" w:hAnsi="宋体" w:eastAsia="宋体" w:cs="宋体"/>
                <w:snapToGrid w:val="0"/>
                <w:color w:val="auto"/>
                <w:spacing w:val="-3"/>
                <w:kern w:val="0"/>
                <w:sz w:val="20"/>
                <w:szCs w:val="20"/>
                <w:highlight w:val="none"/>
                <w:lang w:val="en-US" w:eastAsia="zh-CN" w:bidi="ar-SA"/>
              </w:rPr>
              <w:t>人类SFRP2和SDC2基因甲基化联合检测试剂盒（荧光PCR法）</w:t>
            </w:r>
          </w:p>
        </w:tc>
        <w:tc>
          <w:tcPr>
            <w:tcW w:w="3250" w:type="dxa"/>
            <w:vMerge w:val="restart"/>
            <w:noWrap w:val="0"/>
            <w:vAlign w:val="center"/>
          </w:tcPr>
          <w:p w14:paraId="113F7EF3">
            <w:pPr>
              <w:keepNext w:val="0"/>
              <w:keepLines w:val="0"/>
              <w:widowControl/>
              <w:suppressLineNumbers w:val="0"/>
              <w:jc w:val="center"/>
              <w:textAlignment w:val="center"/>
              <w:rPr>
                <w:rFonts w:hint="default" w:ascii="宋体" w:hAnsi="宋体" w:eastAsia="宋体" w:cs="宋体"/>
                <w:snapToGrid w:val="0"/>
                <w:color w:val="auto"/>
                <w:spacing w:val="-3"/>
                <w:kern w:val="0"/>
                <w:sz w:val="20"/>
                <w:szCs w:val="20"/>
                <w:highlight w:val="none"/>
                <w:lang w:val="en-US" w:eastAsia="zh-CN" w:bidi="ar-SA"/>
              </w:rPr>
            </w:pPr>
            <w:r>
              <w:rPr>
                <w:rFonts w:hint="eastAsia" w:eastAsia="宋体" w:cs="宋体"/>
                <w:snapToGrid w:val="0"/>
                <w:color w:val="auto"/>
                <w:spacing w:val="-3"/>
                <w:kern w:val="0"/>
                <w:sz w:val="20"/>
                <w:szCs w:val="20"/>
                <w:highlight w:val="none"/>
                <w:lang w:val="en-US" w:eastAsia="zh-CN" w:bidi="ar-SA"/>
              </w:rPr>
              <w:t>/</w:t>
            </w:r>
          </w:p>
        </w:tc>
        <w:tc>
          <w:tcPr>
            <w:tcW w:w="1449" w:type="dxa"/>
            <w:vMerge w:val="restart"/>
            <w:noWrap w:val="0"/>
            <w:vAlign w:val="center"/>
          </w:tcPr>
          <w:p w14:paraId="3B0E2145">
            <w:pPr>
              <w:keepNext w:val="0"/>
              <w:keepLines w:val="0"/>
              <w:widowControl/>
              <w:suppressLineNumbers w:val="0"/>
              <w:jc w:val="center"/>
              <w:textAlignment w:val="center"/>
              <w:rPr>
                <w:rFonts w:hint="eastAsia" w:ascii="宋体" w:hAnsi="宋体" w:eastAsia="宋体" w:cs="宋体"/>
                <w:snapToGrid w:val="0"/>
                <w:color w:val="auto"/>
                <w:spacing w:val="-3"/>
                <w:kern w:val="0"/>
                <w:sz w:val="20"/>
                <w:szCs w:val="20"/>
                <w:highlight w:val="none"/>
                <w:lang w:val="en-US" w:eastAsia="zh-CN" w:bidi="ar-SA"/>
              </w:rPr>
            </w:pPr>
            <w:r>
              <w:rPr>
                <w:rFonts w:hint="eastAsia" w:ascii="宋体" w:hAnsi="宋体" w:eastAsia="宋体" w:cs="宋体"/>
                <w:snapToGrid w:val="0"/>
                <w:color w:val="auto"/>
                <w:spacing w:val="-3"/>
                <w:kern w:val="0"/>
                <w:sz w:val="20"/>
                <w:szCs w:val="20"/>
                <w:highlight w:val="none"/>
                <w:lang w:val="en-US" w:eastAsia="zh-CN" w:bidi="ar-SA"/>
              </w:rPr>
              <w:t>48人份/盒</w:t>
            </w:r>
          </w:p>
        </w:tc>
        <w:tc>
          <w:tcPr>
            <w:tcW w:w="1623" w:type="dxa"/>
            <w:vMerge w:val="restart"/>
            <w:noWrap w:val="0"/>
            <w:vAlign w:val="center"/>
          </w:tcPr>
          <w:p w14:paraId="434897CE">
            <w:pPr>
              <w:keepNext w:val="0"/>
              <w:keepLines w:val="0"/>
              <w:widowControl/>
              <w:suppressLineNumbers w:val="0"/>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snapToGrid w:val="0"/>
                <w:color w:val="auto"/>
                <w:spacing w:val="-3"/>
                <w:kern w:val="0"/>
                <w:sz w:val="20"/>
                <w:szCs w:val="20"/>
                <w:highlight w:val="none"/>
                <w:lang w:val="en-US" w:eastAsia="zh-CN" w:bidi="ar-SA"/>
              </w:rPr>
              <w:t>14880元/盒</w:t>
            </w:r>
          </w:p>
        </w:tc>
      </w:tr>
      <w:tr w14:paraId="40626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832" w:type="dxa"/>
            <w:noWrap w:val="0"/>
            <w:vAlign w:val="center"/>
          </w:tcPr>
          <w:p w14:paraId="4121D1AA">
            <w:pPr>
              <w:pStyle w:val="7"/>
              <w:spacing w:before="62" w:line="184" w:lineRule="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w:t>
            </w:r>
          </w:p>
        </w:tc>
        <w:tc>
          <w:tcPr>
            <w:tcW w:w="3240" w:type="dxa"/>
            <w:noWrap w:val="0"/>
            <w:vAlign w:val="center"/>
          </w:tcPr>
          <w:p w14:paraId="5437A047">
            <w:pPr>
              <w:keepNext w:val="0"/>
              <w:keepLines w:val="0"/>
              <w:widowControl/>
              <w:suppressLineNumbers w:val="0"/>
              <w:jc w:val="center"/>
              <w:textAlignment w:val="center"/>
              <w:rPr>
                <w:rFonts w:hint="eastAsia" w:ascii="宋体" w:hAnsi="宋体" w:eastAsia="宋体" w:cs="宋体"/>
                <w:snapToGrid w:val="0"/>
                <w:color w:val="auto"/>
                <w:spacing w:val="-3"/>
                <w:kern w:val="0"/>
                <w:sz w:val="20"/>
                <w:szCs w:val="20"/>
                <w:highlight w:val="none"/>
                <w:lang w:val="en-US" w:eastAsia="zh-CN" w:bidi="ar-SA"/>
              </w:rPr>
            </w:pPr>
            <w:r>
              <w:rPr>
                <w:rFonts w:hint="eastAsia" w:ascii="宋体" w:hAnsi="宋体" w:eastAsia="宋体" w:cs="宋体"/>
                <w:snapToGrid w:val="0"/>
                <w:color w:val="auto"/>
                <w:spacing w:val="-3"/>
                <w:kern w:val="0"/>
                <w:sz w:val="20"/>
                <w:szCs w:val="20"/>
                <w:highlight w:val="none"/>
                <w:lang w:val="en-US" w:eastAsia="zh-CN" w:bidi="ar-SA"/>
              </w:rPr>
              <w:t>配套耗材（包括各规格枪头、适配八联排、适配EP管、采样器）</w:t>
            </w:r>
          </w:p>
        </w:tc>
        <w:tc>
          <w:tcPr>
            <w:tcW w:w="3250" w:type="dxa"/>
            <w:vMerge w:val="continue"/>
            <w:noWrap w:val="0"/>
            <w:vAlign w:val="center"/>
          </w:tcPr>
          <w:p w14:paraId="2071E4A9">
            <w:pPr>
              <w:keepNext w:val="0"/>
              <w:keepLines w:val="0"/>
              <w:widowControl/>
              <w:suppressLineNumbers w:val="0"/>
              <w:jc w:val="center"/>
              <w:textAlignment w:val="center"/>
              <w:rPr>
                <w:rFonts w:hint="eastAsia" w:ascii="宋体" w:hAnsi="宋体" w:eastAsia="宋体" w:cs="宋体"/>
                <w:snapToGrid w:val="0"/>
                <w:color w:val="auto"/>
                <w:spacing w:val="-3"/>
                <w:kern w:val="0"/>
                <w:sz w:val="20"/>
                <w:szCs w:val="20"/>
                <w:highlight w:val="none"/>
                <w:lang w:val="en-US" w:eastAsia="zh-CN" w:bidi="ar-SA"/>
              </w:rPr>
            </w:pPr>
          </w:p>
        </w:tc>
        <w:tc>
          <w:tcPr>
            <w:tcW w:w="1449" w:type="dxa"/>
            <w:vMerge w:val="continue"/>
            <w:noWrap w:val="0"/>
            <w:vAlign w:val="center"/>
          </w:tcPr>
          <w:p w14:paraId="5985884E">
            <w:pPr>
              <w:keepNext w:val="0"/>
              <w:keepLines w:val="0"/>
              <w:widowControl/>
              <w:suppressLineNumbers w:val="0"/>
              <w:jc w:val="center"/>
              <w:textAlignment w:val="center"/>
              <w:rPr>
                <w:rFonts w:hint="eastAsia" w:ascii="宋体" w:hAnsi="宋体" w:eastAsia="宋体" w:cs="宋体"/>
                <w:snapToGrid w:val="0"/>
                <w:color w:val="auto"/>
                <w:spacing w:val="-3"/>
                <w:kern w:val="0"/>
                <w:sz w:val="20"/>
                <w:szCs w:val="20"/>
                <w:highlight w:val="none"/>
                <w:lang w:val="en-US" w:eastAsia="zh-CN" w:bidi="ar-SA"/>
              </w:rPr>
            </w:pPr>
          </w:p>
        </w:tc>
        <w:tc>
          <w:tcPr>
            <w:tcW w:w="1623" w:type="dxa"/>
            <w:vMerge w:val="continue"/>
            <w:noWrap w:val="0"/>
            <w:vAlign w:val="center"/>
          </w:tcPr>
          <w:p w14:paraId="057A2739">
            <w:pPr>
              <w:keepNext w:val="0"/>
              <w:keepLines w:val="0"/>
              <w:widowControl/>
              <w:suppressLineNumbers w:val="0"/>
              <w:jc w:val="center"/>
              <w:textAlignment w:val="center"/>
              <w:rPr>
                <w:rFonts w:hint="eastAsia" w:ascii="宋体" w:hAnsi="宋体" w:eastAsia="宋体" w:cs="宋体"/>
                <w:snapToGrid w:val="0"/>
                <w:color w:val="auto"/>
                <w:spacing w:val="-3"/>
                <w:kern w:val="0"/>
                <w:sz w:val="20"/>
                <w:szCs w:val="20"/>
                <w:highlight w:val="none"/>
                <w:lang w:val="en-US" w:eastAsia="zh-CN" w:bidi="ar-SA"/>
              </w:rPr>
            </w:pPr>
          </w:p>
        </w:tc>
      </w:tr>
      <w:tr w14:paraId="29C2B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10394" w:type="dxa"/>
            <w:gridSpan w:val="5"/>
            <w:noWrap w:val="0"/>
            <w:vAlign w:val="center"/>
          </w:tcPr>
          <w:p w14:paraId="1B7369F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
              </w:rPr>
            </w:pPr>
            <w:r>
              <w:rPr>
                <w:rFonts w:hint="eastAsia" w:ascii="宋体" w:hAnsi="宋体" w:eastAsia="宋体" w:cs="宋体"/>
                <w:i w:val="0"/>
                <w:iCs w:val="0"/>
                <w:snapToGrid w:val="0"/>
                <w:color w:val="auto"/>
                <w:kern w:val="0"/>
                <w:sz w:val="20"/>
                <w:szCs w:val="20"/>
                <w:highlight w:val="none"/>
                <w:u w:val="none"/>
                <w:lang w:val="en-US" w:eastAsia="zh-CN" w:bidi="ar"/>
              </w:rPr>
              <w:t>采购总预算：190万元整</w:t>
            </w:r>
          </w:p>
        </w:tc>
      </w:tr>
    </w:tbl>
    <w:p w14:paraId="745CB7F3">
      <w:pPr>
        <w:spacing w:line="360" w:lineRule="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(二)是否接受进口产品投标</w:t>
      </w:r>
      <w:r>
        <w:rPr>
          <w:rFonts w:hint="eastAsia" w:ascii="宋体" w:hAnsi="宋体" w:eastAsia="宋体" w:cs="宋体"/>
          <w:color w:val="auto"/>
          <w:sz w:val="20"/>
          <w:szCs w:val="20"/>
          <w:highlight w:val="none"/>
          <w:lang w:eastAsia="zh-CN"/>
        </w:rPr>
        <w:t>：</w:t>
      </w:r>
    </w:p>
    <w:p w14:paraId="51AA84FC">
      <w:pPr>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1.本项目</w:t>
      </w:r>
      <w:r>
        <w:rPr>
          <w:rFonts w:hint="eastAsia" w:ascii="宋体" w:hAnsi="宋体" w:eastAsia="宋体" w:cs="宋体"/>
          <w:color w:val="auto"/>
          <w:sz w:val="20"/>
          <w:szCs w:val="20"/>
          <w:highlight w:val="none"/>
          <w:lang w:val="en-US" w:eastAsia="zh-CN"/>
        </w:rPr>
        <w:t>不</w:t>
      </w:r>
      <w:r>
        <w:rPr>
          <w:rFonts w:hint="eastAsia" w:ascii="宋体" w:hAnsi="宋体" w:eastAsia="宋体" w:cs="宋体"/>
          <w:color w:val="auto"/>
          <w:sz w:val="20"/>
          <w:szCs w:val="20"/>
          <w:highlight w:val="none"/>
        </w:rPr>
        <w:t>接受进口产品投标(进口产品是指通过中国海关报关，验放进入中国境内且产自关境外的产品)。</w:t>
      </w:r>
    </w:p>
    <w:p w14:paraId="7974AB81">
      <w:pPr>
        <w:spacing w:line="360" w:lineRule="auto"/>
        <w:rPr>
          <w:color w:val="auto"/>
          <w:highlight w:val="none"/>
        </w:rPr>
      </w:pPr>
      <w:r>
        <w:rPr>
          <w:rFonts w:hint="eastAsia" w:ascii="宋体" w:hAnsi="宋体" w:eastAsia="宋体" w:cs="宋体"/>
          <w:color w:val="auto"/>
          <w:sz w:val="20"/>
          <w:szCs w:val="20"/>
          <w:highlight w:val="none"/>
        </w:rPr>
        <w:t>(三)项目基本情况和采购标的需实现的功能或目标</w:t>
      </w:r>
    </w:p>
    <w:p w14:paraId="43ECC93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eastAsia="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bidi="ar-SA"/>
        </w:rPr>
        <w:t>1、</w:t>
      </w:r>
      <w:r>
        <w:rPr>
          <w:rFonts w:hint="eastAsia" w:eastAsia="宋体"/>
          <w:b/>
          <w:bCs/>
          <w:color w:val="auto"/>
          <w:sz w:val="22"/>
          <w:szCs w:val="22"/>
          <w:highlight w:val="none"/>
          <w:lang w:val="en-US" w:eastAsia="zh-CN"/>
        </w:rPr>
        <w:t>用途</w:t>
      </w:r>
    </w:p>
    <w:p w14:paraId="5024608F">
      <w:pPr>
        <w:pStyle w:val="2"/>
        <w:jc w:val="both"/>
        <w:rPr>
          <w:rFonts w:hint="default" w:ascii="宋体" w:hAnsi="宋体" w:eastAsia="宋体" w:cs="宋体"/>
          <w:snapToGrid w:val="0"/>
          <w:color w:val="auto"/>
          <w:spacing w:val="-2"/>
          <w:kern w:val="0"/>
          <w:sz w:val="20"/>
          <w:szCs w:val="20"/>
          <w:highlight w:val="none"/>
          <w:lang w:val="en-US" w:eastAsia="zh-CN" w:bidi="ar-SA"/>
        </w:rPr>
      </w:pPr>
      <w:r>
        <w:rPr>
          <w:rFonts w:hint="eastAsia" w:ascii="宋体" w:hAnsi="宋体" w:eastAsia="宋体" w:cs="宋体"/>
          <w:snapToGrid w:val="0"/>
          <w:color w:val="auto"/>
          <w:spacing w:val="-2"/>
          <w:kern w:val="0"/>
          <w:sz w:val="20"/>
          <w:szCs w:val="20"/>
          <w:highlight w:val="none"/>
          <w:lang w:val="en-US" w:eastAsia="zh-CN" w:bidi="ar-SA"/>
        </w:rPr>
        <w:t xml:space="preserve">    结直肠癌辅助诊断</w:t>
      </w:r>
      <w:r>
        <w:rPr>
          <w:rFonts w:hint="eastAsia" w:ascii="宋体" w:cs="宋体"/>
          <w:snapToGrid w:val="0"/>
          <w:color w:val="auto"/>
          <w:spacing w:val="-2"/>
          <w:kern w:val="0"/>
          <w:sz w:val="20"/>
          <w:szCs w:val="20"/>
          <w:highlight w:val="none"/>
          <w:lang w:val="en-US" w:eastAsia="zh-CN" w:bidi="ar-SA"/>
        </w:rPr>
        <w:t>。</w:t>
      </w:r>
    </w:p>
    <w:p w14:paraId="3188A99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eastAsia="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bidi="ar-SA"/>
        </w:rPr>
        <w:t>2、</w:t>
      </w:r>
      <w:r>
        <w:rPr>
          <w:rFonts w:hint="eastAsia" w:eastAsia="宋体"/>
          <w:b/>
          <w:bCs/>
          <w:color w:val="auto"/>
          <w:sz w:val="22"/>
          <w:szCs w:val="22"/>
          <w:highlight w:val="none"/>
          <w:lang w:val="en-US" w:eastAsia="zh-CN"/>
        </w:rPr>
        <w:t>技术参数要求</w:t>
      </w:r>
    </w:p>
    <w:tbl>
      <w:tblPr>
        <w:tblStyle w:val="4"/>
        <w:tblW w:w="6278" w:type="pct"/>
        <w:tblInd w:w="-1017" w:type="dxa"/>
        <w:tblLayout w:type="autofit"/>
        <w:tblCellMar>
          <w:top w:w="0" w:type="dxa"/>
          <w:left w:w="0" w:type="dxa"/>
          <w:bottom w:w="0" w:type="dxa"/>
          <w:right w:w="0" w:type="dxa"/>
        </w:tblCellMar>
      </w:tblPr>
      <w:tblGrid>
        <w:gridCol w:w="1167"/>
        <w:gridCol w:w="1259"/>
        <w:gridCol w:w="1600"/>
        <w:gridCol w:w="3594"/>
        <w:gridCol w:w="896"/>
        <w:gridCol w:w="1951"/>
      </w:tblGrid>
      <w:tr w14:paraId="57D75167">
        <w:tblPrEx>
          <w:tblCellMar>
            <w:top w:w="0" w:type="dxa"/>
            <w:left w:w="0" w:type="dxa"/>
            <w:bottom w:w="0" w:type="dxa"/>
            <w:right w:w="0" w:type="dxa"/>
          </w:tblCellMar>
        </w:tblPrEx>
        <w:trPr>
          <w:trHeight w:val="705" w:hRule="atLeast"/>
        </w:trPr>
        <w:tc>
          <w:tcPr>
            <w:tcW w:w="5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12E08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项目名称</w:t>
            </w:r>
          </w:p>
        </w:tc>
        <w:tc>
          <w:tcPr>
            <w:tcW w:w="136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C8517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人类SFRP2和SDC2基因甲基化联合检测试剂盒（荧光PCR法）</w:t>
            </w:r>
          </w:p>
        </w:tc>
        <w:tc>
          <w:tcPr>
            <w:tcW w:w="1716"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00BDDA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采购计</w:t>
            </w:r>
            <w:r>
              <w:rPr>
                <w:rFonts w:hint="eastAsia" w:eastAsia="宋体" w:cs="宋体"/>
                <w:i w:val="0"/>
                <w:color w:val="auto"/>
                <w:kern w:val="0"/>
                <w:sz w:val="20"/>
                <w:szCs w:val="20"/>
                <w:highlight w:val="none"/>
                <w:u w:val="none"/>
                <w:lang w:val="en-US" w:eastAsia="zh-CN" w:bidi="ar"/>
              </w:rPr>
              <w:t>划</w:t>
            </w:r>
            <w:r>
              <w:rPr>
                <w:rFonts w:hint="eastAsia" w:ascii="宋体" w:hAnsi="宋体" w:eastAsia="宋体" w:cs="宋体"/>
                <w:i w:val="0"/>
                <w:color w:val="auto"/>
                <w:kern w:val="0"/>
                <w:sz w:val="20"/>
                <w:szCs w:val="20"/>
                <w:highlight w:val="none"/>
                <w:u w:val="none"/>
                <w:lang w:val="en-US" w:eastAsia="zh-CN" w:bidi="ar"/>
              </w:rPr>
              <w:t>编号</w:t>
            </w:r>
          </w:p>
        </w:tc>
        <w:tc>
          <w:tcPr>
            <w:tcW w:w="135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32383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29F43E5C">
        <w:tblPrEx>
          <w:tblCellMar>
            <w:top w:w="0" w:type="dxa"/>
            <w:left w:w="0" w:type="dxa"/>
            <w:bottom w:w="0" w:type="dxa"/>
            <w:right w:w="0" w:type="dxa"/>
          </w:tblCellMar>
        </w:tblPrEx>
        <w:trPr>
          <w:trHeight w:val="645" w:hRule="atLeast"/>
        </w:trPr>
        <w:tc>
          <w:tcPr>
            <w:tcW w:w="557"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CAE186D">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需求类别</w:t>
            </w:r>
          </w:p>
        </w:tc>
        <w:tc>
          <w:tcPr>
            <w:tcW w:w="601"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ACBE791">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764"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2E33A30">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需求名称</w:t>
            </w:r>
          </w:p>
        </w:tc>
        <w:tc>
          <w:tcPr>
            <w:tcW w:w="1716"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DDBF33C">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需求具体内容</w:t>
            </w:r>
          </w:p>
        </w:tc>
        <w:tc>
          <w:tcPr>
            <w:tcW w:w="428"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204AFA5">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是否</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量化</w:t>
            </w:r>
          </w:p>
        </w:tc>
        <w:tc>
          <w:tcPr>
            <w:tcW w:w="931"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0DAB349">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备注（证明材料等其他要求）</w:t>
            </w:r>
          </w:p>
        </w:tc>
      </w:tr>
      <w:tr w14:paraId="26A552A9">
        <w:tblPrEx>
          <w:tblCellMar>
            <w:top w:w="0" w:type="dxa"/>
            <w:left w:w="0" w:type="dxa"/>
            <w:bottom w:w="0" w:type="dxa"/>
            <w:right w:w="0" w:type="dxa"/>
          </w:tblCellMar>
        </w:tblPrEx>
        <w:trPr>
          <w:trHeight w:val="720" w:hRule="atLeast"/>
        </w:trPr>
        <w:tc>
          <w:tcPr>
            <w:tcW w:w="557" w:type="pct"/>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5ABCB2A3">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技术要求</w:t>
            </w:r>
          </w:p>
        </w:tc>
        <w:tc>
          <w:tcPr>
            <w:tcW w:w="60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594D8E">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7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637B68">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基本要求</w:t>
            </w:r>
          </w:p>
        </w:tc>
        <w:tc>
          <w:tcPr>
            <w:tcW w:w="17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5B90DC">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用于体外定性检测人粪便样本中肠道脱落细胞的SFRP2和SDC2基因的甲基化</w:t>
            </w:r>
          </w:p>
        </w:tc>
        <w:tc>
          <w:tcPr>
            <w:tcW w:w="42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AA9F8A">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否</w:t>
            </w:r>
          </w:p>
        </w:tc>
        <w:tc>
          <w:tcPr>
            <w:tcW w:w="93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8EEB85">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产品说明书</w:t>
            </w:r>
          </w:p>
        </w:tc>
      </w:tr>
      <w:tr w14:paraId="71366EC2">
        <w:tblPrEx>
          <w:tblCellMar>
            <w:top w:w="0" w:type="dxa"/>
            <w:left w:w="0" w:type="dxa"/>
            <w:bottom w:w="0" w:type="dxa"/>
            <w:right w:w="0" w:type="dxa"/>
          </w:tblCellMar>
        </w:tblPrEx>
        <w:trPr>
          <w:trHeight w:val="720" w:hRule="atLeast"/>
        </w:trPr>
        <w:tc>
          <w:tcPr>
            <w:tcW w:w="557" w:type="pct"/>
            <w:vMerge w:val="continue"/>
            <w:tcBorders>
              <w:left w:val="single" w:color="auto" w:sz="4" w:space="0"/>
              <w:right w:val="single" w:color="auto" w:sz="4" w:space="0"/>
            </w:tcBorders>
            <w:noWrap w:val="0"/>
            <w:tcMar>
              <w:top w:w="15" w:type="dxa"/>
              <w:left w:w="15" w:type="dxa"/>
              <w:right w:w="15" w:type="dxa"/>
            </w:tcMar>
            <w:vAlign w:val="center"/>
          </w:tcPr>
          <w:p w14:paraId="72D7889E">
            <w:pPr>
              <w:jc w:val="center"/>
              <w:rPr>
                <w:rFonts w:hint="eastAsia" w:ascii="宋体" w:hAnsi="宋体" w:eastAsia="宋体" w:cs="宋体"/>
                <w:i w:val="0"/>
                <w:color w:val="auto"/>
                <w:sz w:val="20"/>
                <w:szCs w:val="20"/>
                <w:highlight w:val="none"/>
                <w:u w:val="none"/>
              </w:rPr>
            </w:pPr>
          </w:p>
        </w:tc>
        <w:tc>
          <w:tcPr>
            <w:tcW w:w="60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A5F459">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eastAsia="宋体" w:cs="宋体"/>
                <w:i w:val="0"/>
                <w:color w:val="auto"/>
                <w:kern w:val="0"/>
                <w:sz w:val="20"/>
                <w:szCs w:val="20"/>
                <w:highlight w:val="none"/>
                <w:u w:val="none"/>
                <w:lang w:val="en-US" w:eastAsia="zh-CN" w:bidi="ar"/>
              </w:rPr>
              <w:t>2</w:t>
            </w:r>
          </w:p>
        </w:tc>
        <w:tc>
          <w:tcPr>
            <w:tcW w:w="7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0EC898">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灵敏度</w:t>
            </w:r>
          </w:p>
        </w:tc>
        <w:tc>
          <w:tcPr>
            <w:tcW w:w="17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93CB39">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val="en-US"/>
              </w:rPr>
            </w:pPr>
            <w:r>
              <w:rPr>
                <w:rFonts w:hint="eastAsia" w:ascii="宋体" w:hAnsi="宋体" w:eastAsia="宋体" w:cs="宋体"/>
                <w:i w:val="0"/>
                <w:color w:val="auto"/>
                <w:kern w:val="0"/>
                <w:sz w:val="20"/>
                <w:szCs w:val="20"/>
                <w:highlight w:val="none"/>
                <w:u w:val="none"/>
                <w:lang w:val="en-US" w:eastAsia="zh-CN" w:bidi="ar"/>
              </w:rPr>
              <w:t>≥92%</w:t>
            </w:r>
          </w:p>
        </w:tc>
        <w:tc>
          <w:tcPr>
            <w:tcW w:w="42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628F209">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否</w:t>
            </w:r>
          </w:p>
        </w:tc>
        <w:tc>
          <w:tcPr>
            <w:tcW w:w="93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655F6B">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产品说明书</w:t>
            </w:r>
          </w:p>
        </w:tc>
      </w:tr>
      <w:tr w14:paraId="3A505285">
        <w:tblPrEx>
          <w:tblCellMar>
            <w:top w:w="0" w:type="dxa"/>
            <w:left w:w="0" w:type="dxa"/>
            <w:bottom w:w="0" w:type="dxa"/>
            <w:right w:w="0" w:type="dxa"/>
          </w:tblCellMar>
        </w:tblPrEx>
        <w:trPr>
          <w:trHeight w:val="720" w:hRule="atLeast"/>
        </w:trPr>
        <w:tc>
          <w:tcPr>
            <w:tcW w:w="557" w:type="pct"/>
            <w:vMerge w:val="continue"/>
            <w:tcBorders>
              <w:left w:val="single" w:color="auto" w:sz="4" w:space="0"/>
              <w:right w:val="single" w:color="auto" w:sz="4" w:space="0"/>
            </w:tcBorders>
            <w:noWrap w:val="0"/>
            <w:tcMar>
              <w:top w:w="15" w:type="dxa"/>
              <w:left w:w="15" w:type="dxa"/>
              <w:right w:w="15" w:type="dxa"/>
            </w:tcMar>
            <w:vAlign w:val="center"/>
          </w:tcPr>
          <w:p w14:paraId="375DE2C5">
            <w:pPr>
              <w:jc w:val="center"/>
              <w:rPr>
                <w:rFonts w:hint="eastAsia" w:ascii="宋体" w:hAnsi="宋体" w:eastAsia="宋体" w:cs="宋体"/>
                <w:i w:val="0"/>
                <w:color w:val="auto"/>
                <w:sz w:val="20"/>
                <w:szCs w:val="20"/>
                <w:highlight w:val="none"/>
                <w:u w:val="none"/>
              </w:rPr>
            </w:pPr>
          </w:p>
        </w:tc>
        <w:tc>
          <w:tcPr>
            <w:tcW w:w="60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0D17B7">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eastAsia="宋体" w:cs="宋体"/>
                <w:i w:val="0"/>
                <w:color w:val="auto"/>
                <w:kern w:val="0"/>
                <w:sz w:val="20"/>
                <w:szCs w:val="20"/>
                <w:highlight w:val="none"/>
                <w:u w:val="none"/>
                <w:lang w:val="en-US" w:eastAsia="zh-CN" w:bidi="ar"/>
              </w:rPr>
              <w:t>3</w:t>
            </w:r>
          </w:p>
        </w:tc>
        <w:tc>
          <w:tcPr>
            <w:tcW w:w="7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F6D7E6">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特异性</w:t>
            </w:r>
          </w:p>
        </w:tc>
        <w:tc>
          <w:tcPr>
            <w:tcW w:w="17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3F667A">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val="en-US"/>
              </w:rPr>
            </w:pPr>
            <w:r>
              <w:rPr>
                <w:rFonts w:hint="eastAsia" w:ascii="宋体" w:hAnsi="宋体" w:eastAsia="宋体" w:cs="宋体"/>
                <w:i w:val="0"/>
                <w:color w:val="auto"/>
                <w:kern w:val="0"/>
                <w:sz w:val="20"/>
                <w:szCs w:val="20"/>
                <w:highlight w:val="none"/>
                <w:u w:val="none"/>
                <w:lang w:val="en-US" w:eastAsia="zh-CN" w:bidi="ar"/>
              </w:rPr>
              <w:t>≥91%</w:t>
            </w:r>
          </w:p>
        </w:tc>
        <w:tc>
          <w:tcPr>
            <w:tcW w:w="42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B26106">
            <w:pPr>
              <w:keepNext w:val="0"/>
              <w:keepLines w:val="0"/>
              <w:widowControl/>
              <w:suppressLineNumbers w:val="0"/>
              <w:jc w:val="center"/>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否</w:t>
            </w:r>
          </w:p>
        </w:tc>
        <w:tc>
          <w:tcPr>
            <w:tcW w:w="93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1B3987">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产品说明书</w:t>
            </w:r>
          </w:p>
        </w:tc>
      </w:tr>
      <w:tr w14:paraId="5749508F">
        <w:tblPrEx>
          <w:tblCellMar>
            <w:top w:w="0" w:type="dxa"/>
            <w:left w:w="0" w:type="dxa"/>
            <w:bottom w:w="0" w:type="dxa"/>
            <w:right w:w="0" w:type="dxa"/>
          </w:tblCellMar>
        </w:tblPrEx>
        <w:trPr>
          <w:trHeight w:val="720" w:hRule="atLeast"/>
        </w:trPr>
        <w:tc>
          <w:tcPr>
            <w:tcW w:w="557" w:type="pct"/>
            <w:vMerge w:val="continue"/>
            <w:tcBorders>
              <w:left w:val="single" w:color="auto" w:sz="4" w:space="0"/>
              <w:right w:val="single" w:color="auto" w:sz="4" w:space="0"/>
            </w:tcBorders>
            <w:noWrap w:val="0"/>
            <w:tcMar>
              <w:top w:w="15" w:type="dxa"/>
              <w:left w:w="15" w:type="dxa"/>
              <w:right w:w="15" w:type="dxa"/>
            </w:tcMar>
            <w:vAlign w:val="center"/>
          </w:tcPr>
          <w:p w14:paraId="65F97B9F">
            <w:pPr>
              <w:jc w:val="center"/>
              <w:rPr>
                <w:rFonts w:hint="eastAsia" w:ascii="宋体" w:hAnsi="宋体" w:eastAsia="宋体" w:cs="宋体"/>
                <w:i w:val="0"/>
                <w:color w:val="auto"/>
                <w:sz w:val="20"/>
                <w:szCs w:val="20"/>
                <w:highlight w:val="none"/>
                <w:u w:val="none"/>
              </w:rPr>
            </w:pPr>
          </w:p>
        </w:tc>
        <w:tc>
          <w:tcPr>
            <w:tcW w:w="60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B9CA8A">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eastAsia="宋体" w:cs="宋体"/>
                <w:i w:val="0"/>
                <w:color w:val="auto"/>
                <w:kern w:val="0"/>
                <w:sz w:val="20"/>
                <w:szCs w:val="20"/>
                <w:highlight w:val="none"/>
                <w:u w:val="none"/>
                <w:lang w:val="en-US" w:eastAsia="zh-CN" w:bidi="ar"/>
              </w:rPr>
              <w:t>4</w:t>
            </w:r>
          </w:p>
        </w:tc>
        <w:tc>
          <w:tcPr>
            <w:tcW w:w="7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903CBF">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有效期</w:t>
            </w:r>
          </w:p>
        </w:tc>
        <w:tc>
          <w:tcPr>
            <w:tcW w:w="17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802566">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val="en-US"/>
              </w:rPr>
            </w:pPr>
            <w:r>
              <w:rPr>
                <w:rFonts w:hint="eastAsia" w:ascii="宋体" w:hAnsi="宋体" w:eastAsia="宋体" w:cs="宋体"/>
                <w:i w:val="0"/>
                <w:color w:val="auto"/>
                <w:kern w:val="0"/>
                <w:sz w:val="20"/>
                <w:szCs w:val="20"/>
                <w:highlight w:val="none"/>
                <w:u w:val="none"/>
                <w:lang w:val="en-US" w:eastAsia="zh-CN" w:bidi="ar"/>
              </w:rPr>
              <w:t>≥12个月</w:t>
            </w:r>
          </w:p>
        </w:tc>
        <w:tc>
          <w:tcPr>
            <w:tcW w:w="42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6D3E5C">
            <w:pPr>
              <w:keepNext w:val="0"/>
              <w:keepLines w:val="0"/>
              <w:widowControl/>
              <w:suppressLineNumbers w:val="0"/>
              <w:jc w:val="center"/>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sz w:val="20"/>
                <w:szCs w:val="20"/>
                <w:highlight w:val="none"/>
                <w:u w:val="none"/>
                <w:lang w:eastAsia="zh-CN"/>
              </w:rPr>
              <w:t>否</w:t>
            </w:r>
          </w:p>
        </w:tc>
        <w:tc>
          <w:tcPr>
            <w:tcW w:w="93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D66228">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产品说明书</w:t>
            </w:r>
          </w:p>
        </w:tc>
      </w:tr>
      <w:tr w14:paraId="350E06BA">
        <w:tblPrEx>
          <w:tblCellMar>
            <w:top w:w="0" w:type="dxa"/>
            <w:left w:w="0" w:type="dxa"/>
            <w:bottom w:w="0" w:type="dxa"/>
            <w:right w:w="0" w:type="dxa"/>
          </w:tblCellMar>
        </w:tblPrEx>
        <w:trPr>
          <w:trHeight w:val="720" w:hRule="atLeast"/>
        </w:trPr>
        <w:tc>
          <w:tcPr>
            <w:tcW w:w="557" w:type="pct"/>
            <w:vMerge w:val="continue"/>
            <w:tcBorders>
              <w:left w:val="single" w:color="auto" w:sz="4" w:space="0"/>
              <w:right w:val="single" w:color="auto" w:sz="4" w:space="0"/>
            </w:tcBorders>
            <w:noWrap w:val="0"/>
            <w:tcMar>
              <w:top w:w="15" w:type="dxa"/>
              <w:left w:w="15" w:type="dxa"/>
              <w:right w:w="15" w:type="dxa"/>
            </w:tcMar>
            <w:vAlign w:val="center"/>
          </w:tcPr>
          <w:p w14:paraId="206E5214">
            <w:pPr>
              <w:jc w:val="center"/>
              <w:rPr>
                <w:rFonts w:hint="eastAsia" w:ascii="宋体" w:hAnsi="宋体" w:eastAsia="宋体" w:cs="宋体"/>
                <w:i w:val="0"/>
                <w:color w:val="auto"/>
                <w:sz w:val="20"/>
                <w:szCs w:val="20"/>
                <w:highlight w:val="none"/>
                <w:u w:val="none"/>
              </w:rPr>
            </w:pPr>
          </w:p>
        </w:tc>
        <w:tc>
          <w:tcPr>
            <w:tcW w:w="60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A6EC2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eastAsia="宋体" w:cs="宋体"/>
                <w:i w:val="0"/>
                <w:color w:val="auto"/>
                <w:kern w:val="0"/>
                <w:sz w:val="20"/>
                <w:szCs w:val="20"/>
                <w:highlight w:val="none"/>
                <w:u w:val="none"/>
                <w:lang w:val="en-US" w:eastAsia="zh-CN" w:bidi="ar"/>
              </w:rPr>
              <w:t>5</w:t>
            </w:r>
          </w:p>
        </w:tc>
        <w:tc>
          <w:tcPr>
            <w:tcW w:w="7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C13C1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质量控制</w:t>
            </w:r>
          </w:p>
        </w:tc>
        <w:tc>
          <w:tcPr>
            <w:tcW w:w="17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7822B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试剂盒中需有阳性对照、阴性对照和空白对照品</w:t>
            </w:r>
          </w:p>
        </w:tc>
        <w:tc>
          <w:tcPr>
            <w:tcW w:w="42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24846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否</w:t>
            </w:r>
          </w:p>
        </w:tc>
        <w:tc>
          <w:tcPr>
            <w:tcW w:w="93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16C23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产品说明书</w:t>
            </w:r>
          </w:p>
        </w:tc>
      </w:tr>
      <w:tr w14:paraId="14821299">
        <w:tblPrEx>
          <w:tblCellMar>
            <w:top w:w="0" w:type="dxa"/>
            <w:left w:w="0" w:type="dxa"/>
            <w:bottom w:w="0" w:type="dxa"/>
            <w:right w:w="0" w:type="dxa"/>
          </w:tblCellMar>
        </w:tblPrEx>
        <w:trPr>
          <w:trHeight w:val="720" w:hRule="atLeast"/>
        </w:trPr>
        <w:tc>
          <w:tcPr>
            <w:tcW w:w="557" w:type="pct"/>
            <w:vMerge w:val="continue"/>
            <w:tcBorders>
              <w:left w:val="single" w:color="auto" w:sz="4" w:space="0"/>
              <w:right w:val="single" w:color="auto" w:sz="4" w:space="0"/>
            </w:tcBorders>
            <w:noWrap w:val="0"/>
            <w:tcMar>
              <w:top w:w="15" w:type="dxa"/>
              <w:left w:w="15" w:type="dxa"/>
              <w:right w:w="15" w:type="dxa"/>
            </w:tcMar>
            <w:vAlign w:val="center"/>
          </w:tcPr>
          <w:p w14:paraId="6BA38487">
            <w:pPr>
              <w:jc w:val="center"/>
              <w:rPr>
                <w:rFonts w:hint="eastAsia" w:ascii="宋体" w:hAnsi="宋体" w:eastAsia="宋体" w:cs="宋体"/>
                <w:i w:val="0"/>
                <w:color w:val="auto"/>
                <w:sz w:val="20"/>
                <w:szCs w:val="20"/>
                <w:highlight w:val="none"/>
                <w:u w:val="none"/>
              </w:rPr>
            </w:pPr>
          </w:p>
        </w:tc>
        <w:tc>
          <w:tcPr>
            <w:tcW w:w="60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0471A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eastAsia="宋体" w:cs="宋体"/>
                <w:i w:val="0"/>
                <w:color w:val="auto"/>
                <w:kern w:val="0"/>
                <w:sz w:val="20"/>
                <w:szCs w:val="20"/>
                <w:highlight w:val="none"/>
                <w:u w:val="none"/>
                <w:lang w:val="en-US" w:eastAsia="zh-CN" w:bidi="ar"/>
              </w:rPr>
              <w:t>6</w:t>
            </w:r>
          </w:p>
        </w:tc>
        <w:tc>
          <w:tcPr>
            <w:tcW w:w="7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53F0A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结果判读</w:t>
            </w:r>
          </w:p>
        </w:tc>
        <w:tc>
          <w:tcPr>
            <w:tcW w:w="17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E45CB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采用具备二类医疗器械注册证的阳性判断值分析软件计算结果分值，完成判读</w:t>
            </w:r>
          </w:p>
        </w:tc>
        <w:tc>
          <w:tcPr>
            <w:tcW w:w="42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258EC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否</w:t>
            </w:r>
          </w:p>
        </w:tc>
        <w:tc>
          <w:tcPr>
            <w:tcW w:w="93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5E534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产品说明书</w:t>
            </w:r>
          </w:p>
        </w:tc>
      </w:tr>
      <w:tr w14:paraId="544B814A">
        <w:tblPrEx>
          <w:tblCellMar>
            <w:top w:w="0" w:type="dxa"/>
            <w:left w:w="0" w:type="dxa"/>
            <w:bottom w:w="0" w:type="dxa"/>
            <w:right w:w="0" w:type="dxa"/>
          </w:tblCellMar>
        </w:tblPrEx>
        <w:trPr>
          <w:trHeight w:val="720" w:hRule="atLeast"/>
        </w:trPr>
        <w:tc>
          <w:tcPr>
            <w:tcW w:w="557" w:type="pct"/>
            <w:vMerge w:val="continue"/>
            <w:tcBorders>
              <w:left w:val="single" w:color="auto" w:sz="4" w:space="0"/>
              <w:right w:val="single" w:color="auto" w:sz="4" w:space="0"/>
            </w:tcBorders>
            <w:noWrap w:val="0"/>
            <w:tcMar>
              <w:top w:w="15" w:type="dxa"/>
              <w:left w:w="15" w:type="dxa"/>
              <w:right w:w="15" w:type="dxa"/>
            </w:tcMar>
            <w:vAlign w:val="center"/>
          </w:tcPr>
          <w:p w14:paraId="54BCB1CA">
            <w:pPr>
              <w:jc w:val="center"/>
              <w:rPr>
                <w:rFonts w:hint="eastAsia" w:ascii="宋体" w:hAnsi="宋体" w:eastAsia="宋体" w:cs="宋体"/>
                <w:i w:val="0"/>
                <w:color w:val="auto"/>
                <w:sz w:val="20"/>
                <w:szCs w:val="20"/>
                <w:highlight w:val="none"/>
                <w:u w:val="none"/>
              </w:rPr>
            </w:pPr>
          </w:p>
        </w:tc>
        <w:tc>
          <w:tcPr>
            <w:tcW w:w="60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00B2D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eastAsia="宋体" w:cs="宋体"/>
                <w:i w:val="0"/>
                <w:color w:val="auto"/>
                <w:kern w:val="0"/>
                <w:sz w:val="20"/>
                <w:szCs w:val="20"/>
                <w:highlight w:val="none"/>
                <w:u w:val="none"/>
                <w:lang w:val="en-US" w:eastAsia="zh-CN" w:bidi="ar"/>
              </w:rPr>
              <w:t>7</w:t>
            </w:r>
          </w:p>
        </w:tc>
        <w:tc>
          <w:tcPr>
            <w:tcW w:w="7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C7253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配套</w:t>
            </w:r>
          </w:p>
        </w:tc>
        <w:tc>
          <w:tcPr>
            <w:tcW w:w="171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09603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需配套采样装置、核酸提取试剂、纯化试剂、配套耗材</w:t>
            </w:r>
          </w:p>
        </w:tc>
        <w:tc>
          <w:tcPr>
            <w:tcW w:w="42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B30C9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否</w:t>
            </w:r>
          </w:p>
        </w:tc>
        <w:tc>
          <w:tcPr>
            <w:tcW w:w="93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5FDFB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产品说明书</w:t>
            </w:r>
          </w:p>
        </w:tc>
      </w:tr>
    </w:tbl>
    <w:p w14:paraId="4D45728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3、产品包装和运输要求</w:t>
      </w:r>
    </w:p>
    <w:p w14:paraId="38ACE0EE">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snapToGrid w:val="0"/>
          <w:color w:val="auto"/>
          <w:spacing w:val="-3"/>
          <w:kern w:val="0"/>
          <w:sz w:val="20"/>
          <w:szCs w:val="20"/>
          <w:highlight w:val="none"/>
          <w:lang w:val="en-US" w:eastAsia="en-US" w:bidi="ar-SA"/>
        </w:rPr>
      </w:pPr>
      <w:r>
        <w:rPr>
          <w:rFonts w:hint="eastAsia" w:ascii="宋体" w:hAnsi="宋体" w:eastAsia="宋体" w:cs="宋体"/>
          <w:snapToGrid w:val="0"/>
          <w:color w:val="auto"/>
          <w:spacing w:val="-3"/>
          <w:kern w:val="0"/>
          <w:sz w:val="20"/>
          <w:szCs w:val="20"/>
          <w:highlight w:val="none"/>
          <w:lang w:val="en-US" w:eastAsia="zh-CN" w:bidi="ar-SA"/>
        </w:rPr>
        <w:t>1.产品包装：</w:t>
      </w:r>
      <w:r>
        <w:rPr>
          <w:rFonts w:hint="eastAsia" w:ascii="宋体" w:hAnsi="宋体" w:eastAsia="宋体" w:cs="宋体"/>
          <w:snapToGrid w:val="0"/>
          <w:color w:val="auto"/>
          <w:spacing w:val="-3"/>
          <w:kern w:val="0"/>
          <w:sz w:val="20"/>
          <w:szCs w:val="20"/>
          <w:highlight w:val="none"/>
          <w:lang w:val="en-US" w:eastAsia="en-US" w:bidi="ar-SA"/>
        </w:rPr>
        <w:t>最小包装单位为</w:t>
      </w:r>
      <w:r>
        <w:rPr>
          <w:rFonts w:hint="eastAsia" w:ascii="宋体" w:hAnsi="宋体" w:eastAsia="宋体" w:cs="宋体"/>
          <w:snapToGrid w:val="0"/>
          <w:color w:val="auto"/>
          <w:spacing w:val="-3"/>
          <w:kern w:val="0"/>
          <w:sz w:val="20"/>
          <w:szCs w:val="20"/>
          <w:highlight w:val="none"/>
          <w:lang w:val="en-US" w:eastAsia="zh-CN" w:bidi="ar-SA"/>
        </w:rPr>
        <w:t>盒。</w:t>
      </w:r>
    </w:p>
    <w:p w14:paraId="39BD1859">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snapToGrid w:val="0"/>
          <w:color w:val="auto"/>
          <w:spacing w:val="-3"/>
          <w:kern w:val="0"/>
          <w:sz w:val="20"/>
          <w:szCs w:val="20"/>
          <w:highlight w:val="none"/>
          <w:lang w:val="en-US" w:eastAsia="zh-CN" w:bidi="ar-SA"/>
        </w:rPr>
      </w:pPr>
      <w:r>
        <w:rPr>
          <w:rFonts w:hint="eastAsia" w:ascii="宋体" w:hAnsi="宋体" w:eastAsia="宋体" w:cs="宋体"/>
          <w:snapToGrid w:val="0"/>
          <w:color w:val="auto"/>
          <w:spacing w:val="-3"/>
          <w:kern w:val="0"/>
          <w:sz w:val="20"/>
          <w:szCs w:val="20"/>
          <w:highlight w:val="none"/>
          <w:lang w:val="en-US" w:eastAsia="zh-CN" w:bidi="ar-SA"/>
        </w:rPr>
        <w:t>2.运输要求：冷链运输标准要求，-20</w:t>
      </w:r>
      <w:r>
        <w:rPr>
          <w:rFonts w:hint="default" w:ascii="Calibri" w:hAnsi="Calibri" w:eastAsia="宋体" w:cs="Calibri"/>
          <w:snapToGrid w:val="0"/>
          <w:color w:val="auto"/>
          <w:spacing w:val="-3"/>
          <w:kern w:val="0"/>
          <w:sz w:val="20"/>
          <w:szCs w:val="20"/>
          <w:highlight w:val="none"/>
          <w:lang w:val="en-US" w:eastAsia="zh-CN" w:bidi="ar-SA"/>
        </w:rPr>
        <w:t>±</w:t>
      </w:r>
      <w:r>
        <w:rPr>
          <w:rFonts w:hint="eastAsia" w:ascii="宋体" w:hAnsi="宋体" w:eastAsia="宋体" w:cs="宋体"/>
          <w:snapToGrid w:val="0"/>
          <w:color w:val="auto"/>
          <w:spacing w:val="-3"/>
          <w:kern w:val="0"/>
          <w:sz w:val="20"/>
          <w:szCs w:val="20"/>
          <w:highlight w:val="none"/>
          <w:lang w:val="en-US" w:eastAsia="zh-CN" w:bidi="ar-SA"/>
        </w:rPr>
        <w:t>5℃冷冻运输。</w:t>
      </w:r>
    </w:p>
    <w:p w14:paraId="609B4642">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（四）货物技术及服务标准</w:t>
      </w:r>
    </w:p>
    <w:p w14:paraId="37AFC186">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1、本项目必须遵循国家规范和标准并应按最新版本执行，若标准、规范出现矛盾时，以最新、最高标准规范执行。</w:t>
      </w:r>
    </w:p>
    <w:p w14:paraId="03C9C629">
      <w:pPr>
        <w:pStyle w:val="2"/>
        <w:rPr>
          <w:rFonts w:hint="eastAsia"/>
          <w:color w:val="auto"/>
          <w:highlight w:val="none"/>
        </w:rPr>
      </w:pPr>
    </w:p>
    <w:p w14:paraId="06DC0EE2">
      <w:pPr>
        <w:pStyle w:val="6"/>
        <w:numPr>
          <w:ilvl w:val="0"/>
          <w:numId w:val="1"/>
        </w:numPr>
        <w:spacing w:line="360" w:lineRule="auto"/>
        <w:ind w:firstLineChars="0"/>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lang w:val="en-US" w:eastAsia="zh-CN"/>
        </w:rPr>
        <w:t>服务</w:t>
      </w:r>
      <w:r>
        <w:rPr>
          <w:rFonts w:hint="eastAsia" w:ascii="宋体" w:hAnsi="宋体" w:eastAsia="宋体" w:cs="宋体"/>
          <w:b/>
          <w:color w:val="auto"/>
          <w:sz w:val="20"/>
          <w:szCs w:val="20"/>
          <w:highlight w:val="none"/>
        </w:rPr>
        <w:t>期</w:t>
      </w:r>
      <w:r>
        <w:rPr>
          <w:rFonts w:hint="eastAsia" w:ascii="宋体" w:hAnsi="宋体" w:eastAsia="宋体" w:cs="宋体"/>
          <w:b/>
          <w:color w:val="auto"/>
          <w:sz w:val="20"/>
          <w:szCs w:val="20"/>
          <w:highlight w:val="none"/>
          <w:lang w:eastAsia="zh-CN"/>
        </w:rPr>
        <w:t>限</w:t>
      </w:r>
    </w:p>
    <w:p w14:paraId="2949861A">
      <w:pPr>
        <w:numPr>
          <w:ilvl w:val="0"/>
          <w:numId w:val="0"/>
        </w:numPr>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1、服务期限</w:t>
      </w:r>
      <w:r>
        <w:rPr>
          <w:rFonts w:hint="eastAsia" w:ascii="宋体" w:hAnsi="宋体" w:eastAsia="宋体" w:cs="宋体"/>
          <w:color w:val="auto"/>
          <w:sz w:val="20"/>
          <w:szCs w:val="20"/>
          <w:highlight w:val="none"/>
          <w:lang w:eastAsia="zh-CN"/>
        </w:rPr>
        <w:t>为</w:t>
      </w:r>
      <w:r>
        <w:rPr>
          <w:rFonts w:hint="eastAsia" w:ascii="宋体" w:hAnsi="宋体" w:eastAsia="宋体" w:cs="宋体"/>
          <w:color w:val="auto"/>
          <w:sz w:val="20"/>
          <w:szCs w:val="20"/>
          <w:highlight w:val="none"/>
          <w:lang w:val="en-US" w:eastAsia="zh-CN"/>
        </w:rPr>
        <w:t>一年，</w:t>
      </w:r>
      <w:r>
        <w:rPr>
          <w:rFonts w:hint="eastAsia" w:ascii="宋体" w:hAnsi="宋体" w:eastAsia="宋体" w:cs="宋体"/>
          <w:color w:val="auto"/>
          <w:sz w:val="20"/>
          <w:szCs w:val="20"/>
          <w:highlight w:val="none"/>
          <w:lang w:eastAsia="zh-CN"/>
        </w:rPr>
        <w:t>按采购人实际需要分批供货，接供货通知后</w:t>
      </w:r>
      <w:r>
        <w:rPr>
          <w:rFonts w:hint="eastAsia" w:ascii="宋体" w:hAnsi="宋体" w:eastAsia="宋体" w:cs="宋体"/>
          <w:color w:val="auto"/>
          <w:sz w:val="20"/>
          <w:szCs w:val="20"/>
          <w:highlight w:val="none"/>
          <w:lang w:val="en-US" w:eastAsia="zh-CN"/>
        </w:rPr>
        <w:t>7日内到货.</w:t>
      </w:r>
    </w:p>
    <w:p w14:paraId="3EB95ED6">
      <w:pPr>
        <w:pStyle w:val="6"/>
        <w:numPr>
          <w:ilvl w:val="0"/>
          <w:numId w:val="1"/>
        </w:numPr>
        <w:spacing w:line="360" w:lineRule="auto"/>
        <w:ind w:firstLineChars="0"/>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交货地点</w:t>
      </w:r>
    </w:p>
    <w:p w14:paraId="08A07147">
      <w:pPr>
        <w:spacing w:line="360" w:lineRule="auto"/>
        <w:ind w:firstLine="354" w:firstLineChars="17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克拉玛依市中心医院</w:t>
      </w:r>
    </w:p>
    <w:p w14:paraId="37A9EEF6">
      <w:pPr>
        <w:pStyle w:val="6"/>
        <w:numPr>
          <w:ilvl w:val="0"/>
          <w:numId w:val="1"/>
        </w:numPr>
        <w:spacing w:line="360" w:lineRule="auto"/>
        <w:ind w:firstLineChars="0"/>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验收方式</w:t>
      </w:r>
    </w:p>
    <w:p w14:paraId="41E4718E">
      <w:pPr>
        <w:spacing w:line="360" w:lineRule="auto"/>
        <w:ind w:firstLine="354" w:firstLineChars="17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1、货物到达现场后，中标人应在使用单位人员在场情况下当面开箱，共同清点、检查外观，作出开箱记录，双方签字确认。</w:t>
      </w:r>
    </w:p>
    <w:p w14:paraId="2CA3D9A8">
      <w:pPr>
        <w:spacing w:line="360" w:lineRule="auto"/>
        <w:ind w:firstLine="354" w:firstLineChars="17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2、中标人应保证货物到达采购人所在地完好无损，如有缺漏、损坏，由供应商负责调换、补齐或赔偿。</w:t>
      </w:r>
    </w:p>
    <w:p w14:paraId="731495FD">
      <w:pPr>
        <w:spacing w:line="360" w:lineRule="auto"/>
        <w:ind w:firstLine="354" w:firstLineChars="17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3、中标人应提供完备的技术资料、装箱单和合格证等，并派遣专业技术人员进行现场安装调试。验收合格条件如下：</w:t>
      </w:r>
    </w:p>
    <w:p w14:paraId="0F0D6734">
      <w:pPr>
        <w:spacing w:line="360" w:lineRule="auto"/>
        <w:ind w:firstLine="354" w:firstLineChars="17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3.1设备技术参数与采购合同一致，性能指标达到规定的标准。</w:t>
      </w:r>
    </w:p>
    <w:p w14:paraId="2BEA439B">
      <w:pPr>
        <w:spacing w:line="360" w:lineRule="auto"/>
        <w:ind w:firstLine="354" w:firstLineChars="17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3.2货物技术资料、装箱单、合格证等资料齐全。</w:t>
      </w:r>
    </w:p>
    <w:p w14:paraId="1DC3A02B">
      <w:pPr>
        <w:spacing w:line="360" w:lineRule="auto"/>
        <w:ind w:firstLine="354" w:firstLineChars="17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3.3在系统试运行期间所出现的问题得到解决，并运行正常。</w:t>
      </w:r>
    </w:p>
    <w:p w14:paraId="0CF1D9CA">
      <w:pPr>
        <w:spacing w:line="360" w:lineRule="auto"/>
        <w:ind w:firstLine="354" w:firstLineChars="17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3.4在规定时间内交货和验收，并经采购人确认。</w:t>
      </w:r>
    </w:p>
    <w:p w14:paraId="6E544771">
      <w:pPr>
        <w:spacing w:line="360" w:lineRule="auto"/>
        <w:ind w:firstLine="354" w:firstLineChars="17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4、产品在安装调试并试运行符合要求后，才作为最终验收。</w:t>
      </w:r>
    </w:p>
    <w:p w14:paraId="6279F2EA">
      <w:pPr>
        <w:spacing w:line="360" w:lineRule="auto"/>
        <w:ind w:firstLine="354" w:firstLineChars="17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5、供应商提供的货物未达到招标文件规定要求，且对采购人造成损失的，由供应商承担一切责任，并赔偿所造成的损失。</w:t>
      </w:r>
    </w:p>
    <w:p w14:paraId="7D047A84">
      <w:pPr>
        <w:spacing w:line="360" w:lineRule="auto"/>
        <w:ind w:firstLine="354" w:firstLineChars="17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6、大型或者复杂的政府采购项目，采购人应当邀请国家认可的质量检测机构参加验收工作。</w:t>
      </w:r>
    </w:p>
    <w:p w14:paraId="45E18E70">
      <w:pPr>
        <w:spacing w:line="360" w:lineRule="auto"/>
        <w:ind w:firstLine="354" w:firstLineChars="17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7、采购人需要制造商对中标人交付的产品（包括质量、技术参数等）进行确认的，制造商应予以配合，并出具书面意见。</w:t>
      </w:r>
    </w:p>
    <w:p w14:paraId="27BB3F89">
      <w:pPr>
        <w:spacing w:line="360" w:lineRule="auto"/>
        <w:ind w:firstLine="354" w:firstLineChars="17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8、产品包装材料归采购人所有。</w:t>
      </w:r>
    </w:p>
    <w:p w14:paraId="7C152B96">
      <w:pPr>
        <w:pStyle w:val="6"/>
        <w:numPr>
          <w:ilvl w:val="0"/>
          <w:numId w:val="1"/>
        </w:numPr>
        <w:spacing w:line="360" w:lineRule="auto"/>
        <w:ind w:firstLineChars="0"/>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产品质量保证期</w:t>
      </w:r>
    </w:p>
    <w:p w14:paraId="68589CDA">
      <w:pPr>
        <w:spacing w:line="360" w:lineRule="auto"/>
        <w:ind w:firstLine="354" w:firstLineChars="17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、投标产品属于国家规定“三包”范围的，其产品质量保证期不得低于“三包”规定。</w:t>
      </w:r>
    </w:p>
    <w:p w14:paraId="501EABFB">
      <w:pPr>
        <w:spacing w:line="360" w:lineRule="auto"/>
        <w:ind w:firstLine="354" w:firstLineChars="17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、投标人的质量保证期承诺优于国家“三包”规定的，按投标人实际承诺执行。</w:t>
      </w:r>
    </w:p>
    <w:p w14:paraId="6953265C">
      <w:pPr>
        <w:spacing w:line="360" w:lineRule="auto"/>
        <w:ind w:firstLine="354" w:firstLineChars="17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rPr>
        <w:t>、投标产品由制造商（指产品生产制造商，或其负责销售、售后服务机构，以下同）负责标准售后服务的，应当在投标文件中予以明确说明，并附制造商售后服务承诺。</w:t>
      </w:r>
    </w:p>
    <w:p w14:paraId="60BC629B">
      <w:pPr>
        <w:pStyle w:val="6"/>
        <w:numPr>
          <w:ilvl w:val="0"/>
          <w:numId w:val="1"/>
        </w:numPr>
        <w:spacing w:line="360" w:lineRule="auto"/>
        <w:ind w:firstLineChars="0"/>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售后服务内容</w:t>
      </w:r>
    </w:p>
    <w:p w14:paraId="06DEC8D7">
      <w:pPr>
        <w:spacing w:line="360" w:lineRule="auto"/>
        <w:ind w:firstLine="354" w:firstLineChars="17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1、投标人和制造商在质量保证期内应当为采购人提供以下技术支持和服务：</w:t>
      </w:r>
    </w:p>
    <w:p w14:paraId="15EE38F8">
      <w:pPr>
        <w:spacing w:line="360" w:lineRule="auto"/>
        <w:ind w:firstLine="354" w:firstLineChars="17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1.1电话咨询</w:t>
      </w:r>
    </w:p>
    <w:p w14:paraId="112DF6AE">
      <w:pPr>
        <w:spacing w:line="360" w:lineRule="auto"/>
        <w:ind w:firstLine="354" w:firstLineChars="17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中标人和制造商应当为采购人提供技术援助电话，解答采购人在使用中遇到的问题，及时为采购人提出解决问题的建议。</w:t>
      </w:r>
    </w:p>
    <w:p w14:paraId="24E8D6FD">
      <w:pPr>
        <w:spacing w:line="360" w:lineRule="auto"/>
        <w:ind w:firstLine="354" w:firstLineChars="17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1.2现场响应</w:t>
      </w:r>
    </w:p>
    <w:p w14:paraId="486AFF79">
      <w:pPr>
        <w:spacing w:line="360" w:lineRule="auto"/>
        <w:ind w:firstLine="354" w:firstLineChars="17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采购人遇到使用及技术问题，电话咨询不能解决的，中标人和制造商应在24小时内到达现场进行处理，确保产品正常工作。</w:t>
      </w:r>
    </w:p>
    <w:p w14:paraId="296884E1">
      <w:pPr>
        <w:spacing w:line="360" w:lineRule="auto"/>
        <w:ind w:firstLine="354" w:firstLineChars="17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1.3技术升级</w:t>
      </w:r>
    </w:p>
    <w:p w14:paraId="666C79CE">
      <w:pPr>
        <w:spacing w:line="360" w:lineRule="auto"/>
        <w:ind w:firstLine="354" w:firstLineChars="17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在质保期内，如果中标人和制造商的产品技术升级，供应商应及时通知采购人，如采购人有相应要求，中标人和制造商应对采购人购买的产品进行升级服务。</w:t>
      </w:r>
    </w:p>
    <w:p w14:paraId="4FCD1504">
      <w:pPr>
        <w:spacing w:line="360" w:lineRule="auto"/>
        <w:ind w:firstLine="354" w:firstLineChars="17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2、质保期外服务要求</w:t>
      </w:r>
    </w:p>
    <w:p w14:paraId="261C180D">
      <w:pPr>
        <w:spacing w:line="360" w:lineRule="auto"/>
        <w:ind w:firstLine="354" w:firstLineChars="17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2.1质量保证期过后，供应商和制造商应同样提供免费电话咨询服务，并应承诺提供产品上门维护服务。</w:t>
      </w:r>
    </w:p>
    <w:p w14:paraId="7FDE974B">
      <w:pPr>
        <w:spacing w:line="360" w:lineRule="auto"/>
        <w:ind w:firstLine="354" w:firstLineChars="17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2.2质量保证期过后，采购人需要继续由原供应商和制造商提供售后服务的，该供应商和制造商应以优惠价格提供售后服务。</w:t>
      </w:r>
    </w:p>
    <w:p w14:paraId="1568C476">
      <w:pPr>
        <w:spacing w:line="360" w:lineRule="auto"/>
        <w:ind w:firstLine="354" w:firstLineChars="17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3、备品备件及易损件</w:t>
      </w:r>
    </w:p>
    <w:p w14:paraId="71365139">
      <w:pPr>
        <w:spacing w:line="360" w:lineRule="auto"/>
        <w:ind w:firstLine="354" w:firstLineChars="17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中标人和制造商售后服务中，维修使用的备品备件及易损件应为原厂配件，未经采购人同意不得使用非原厂配件，常用的、容易损坏的备品备件及易损件的价格清单须在投标文件中列出。</w:t>
      </w:r>
    </w:p>
    <w:p w14:paraId="7446E939">
      <w:pPr>
        <w:pStyle w:val="6"/>
        <w:numPr>
          <w:ilvl w:val="0"/>
          <w:numId w:val="1"/>
        </w:numPr>
        <w:spacing w:line="360" w:lineRule="auto"/>
        <w:ind w:firstLineChars="0"/>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付款方式</w:t>
      </w:r>
    </w:p>
    <w:p w14:paraId="0FFE5AE1">
      <w:pPr>
        <w:pStyle w:val="6"/>
        <w:keepNext w:val="0"/>
        <w:keepLines w:val="0"/>
        <w:pageBreakBefore w:val="0"/>
        <w:widowControl w:val="0"/>
        <w:kinsoku/>
        <w:wordWrap/>
        <w:overflowPunct/>
        <w:topLinePunct w:val="0"/>
        <w:autoSpaceDE/>
        <w:autoSpaceDN/>
        <w:bidi w:val="0"/>
        <w:adjustRightInd/>
        <w:snapToGrid/>
        <w:spacing w:line="360" w:lineRule="auto"/>
        <w:ind w:left="0" w:firstLine="400" w:firstLineChars="200"/>
        <w:textAlignment w:val="auto"/>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1、除非另有规定，乙方所供试剂价格与其投标报价必须一致。</w:t>
      </w:r>
    </w:p>
    <w:p w14:paraId="0ACF1EA8">
      <w:pPr>
        <w:pStyle w:val="6"/>
        <w:keepNext w:val="0"/>
        <w:keepLines w:val="0"/>
        <w:pageBreakBefore w:val="0"/>
        <w:widowControl w:val="0"/>
        <w:kinsoku/>
        <w:wordWrap/>
        <w:overflowPunct/>
        <w:topLinePunct w:val="0"/>
        <w:autoSpaceDE/>
        <w:autoSpaceDN/>
        <w:bidi w:val="0"/>
        <w:adjustRightInd/>
        <w:snapToGrid/>
        <w:spacing w:line="360" w:lineRule="auto"/>
        <w:ind w:left="0" w:firstLine="400" w:firstLineChars="200"/>
        <w:textAlignment w:val="auto"/>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2、由于医院试剂使用是动态的，合同中不便标明采购量或标明参考数量时，应以实际采购量为准，乙方应严格按甲方的要求提供试剂。</w:t>
      </w:r>
    </w:p>
    <w:p w14:paraId="119B8818">
      <w:pPr>
        <w:pStyle w:val="6"/>
        <w:keepNext w:val="0"/>
        <w:keepLines w:val="0"/>
        <w:pageBreakBefore w:val="0"/>
        <w:widowControl w:val="0"/>
        <w:kinsoku/>
        <w:wordWrap/>
        <w:overflowPunct/>
        <w:topLinePunct w:val="0"/>
        <w:autoSpaceDE/>
        <w:autoSpaceDN/>
        <w:bidi w:val="0"/>
        <w:adjustRightInd/>
        <w:snapToGrid/>
        <w:spacing w:line="360" w:lineRule="auto"/>
        <w:ind w:left="0" w:firstLine="400" w:firstLineChars="200"/>
        <w:textAlignment w:val="auto"/>
      </w:pPr>
      <w:r>
        <w:rPr>
          <w:rFonts w:hint="eastAsia" w:ascii="宋体" w:hAnsi="宋体" w:eastAsia="宋体" w:cs="宋体"/>
          <w:b w:val="0"/>
          <w:bCs/>
          <w:color w:val="auto"/>
          <w:sz w:val="20"/>
          <w:szCs w:val="20"/>
          <w:highlight w:val="none"/>
        </w:rPr>
        <w:t>3、产品货款的结算：</w:t>
      </w:r>
      <w:r>
        <w:rPr>
          <w:rFonts w:hint="eastAsia" w:ascii="宋体" w:hAnsi="宋体" w:eastAsia="宋体" w:cs="宋体"/>
          <w:b w:val="0"/>
          <w:bCs/>
          <w:color w:val="auto"/>
          <w:sz w:val="20"/>
          <w:szCs w:val="20"/>
          <w:highlight w:val="none"/>
          <w:lang w:eastAsia="zh-CN"/>
        </w:rPr>
        <w:t>按季度进行结算，以当期采购人实际用量予以结算，</w:t>
      </w:r>
      <w:r>
        <w:rPr>
          <w:rFonts w:hint="eastAsia" w:ascii="宋体" w:hAnsi="宋体" w:eastAsia="宋体" w:cs="宋体"/>
          <w:b w:val="0"/>
          <w:bCs/>
          <w:color w:val="auto"/>
          <w:sz w:val="20"/>
          <w:szCs w:val="20"/>
          <w:highlight w:val="none"/>
        </w:rPr>
        <w:t>中标后的供货过程中，甲乙双方必须按中标价格和实际成交金额如实开具发票，如实记账，列明品名、规格、厂家、数量和金额。甲方以网银转账、支票、银行承兑等付款方式向乙方付款。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30056"/>
    <w:multiLevelType w:val="multilevel"/>
    <w:tmpl w:val="08F30056"/>
    <w:lvl w:ilvl="0" w:tentative="0">
      <w:start w:val="1"/>
      <w:numFmt w:val="japaneseCounting"/>
      <w:lvlText w:val="%1、"/>
      <w:lvlJc w:val="left"/>
      <w:pPr>
        <w:ind w:left="1360" w:hanging="720"/>
      </w:pPr>
      <w:rPr>
        <w:rFonts w:hint="default" w:cs="Times New Roman"/>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3B3F68"/>
    <w:rsid w:val="253B3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文本）"/>
    <w:next w:val="3"/>
    <w:qFormat/>
    <w:uiPriority w:val="0"/>
    <w:pPr>
      <w:widowControl w:val="0"/>
      <w:snapToGrid w:val="0"/>
      <w:spacing w:beforeLines="20" w:line="360" w:lineRule="auto"/>
      <w:jc w:val="center"/>
    </w:pPr>
    <w:rPr>
      <w:rFonts w:ascii="Times New Roman" w:hAnsi="宋体" w:eastAsia="宋体" w:cs="Times New Roman"/>
      <w:kern w:val="2"/>
      <w:sz w:val="28"/>
      <w:szCs w:val="28"/>
      <w:lang w:val="en-US" w:eastAsia="zh-CN" w:bidi="ar-SA"/>
    </w:rPr>
  </w:style>
  <w:style w:type="paragraph" w:styleId="3">
    <w:name w:val="toc 6"/>
    <w:basedOn w:val="1"/>
    <w:next w:val="1"/>
    <w:qFormat/>
    <w:uiPriority w:val="39"/>
    <w:pPr>
      <w:ind w:left="2100"/>
    </w:pPr>
    <w:rPr>
      <w:szCs w:val="20"/>
    </w:rPr>
  </w:style>
  <w:style w:type="paragraph" w:styleId="6">
    <w:name w:val="List Paragraph"/>
    <w:basedOn w:val="1"/>
    <w:qFormat/>
    <w:uiPriority w:val="34"/>
    <w:pPr>
      <w:ind w:firstLine="420" w:firstLineChars="200"/>
    </w:pPr>
  </w:style>
  <w:style w:type="paragraph" w:customStyle="1" w:styleId="7">
    <w:name w:val="Table Text"/>
    <w:basedOn w:val="1"/>
    <w:semiHidden/>
    <w:qFormat/>
    <w:uiPriority w:val="0"/>
    <w:rPr>
      <w:rFonts w:ascii="宋体" w:hAnsi="宋体" w:eastAsia="宋体" w:cs="宋体"/>
      <w:sz w:val="19"/>
      <w:szCs w:val="19"/>
      <w:lang w:val="en-US" w:eastAsia="en-US" w:bidi="ar-SA"/>
    </w:rPr>
  </w:style>
  <w:style w:type="table" w:customStyle="1" w:styleId="8">
    <w:name w:val="Table Normal"/>
    <w:unhideWhenUsed/>
    <w:qFormat/>
    <w:uiPriority w:val="0"/>
    <w:tblPr>
      <w:tblCellMar>
        <w:top w:w="0" w:type="dxa"/>
        <w:left w:w="0" w:type="dxa"/>
        <w:bottom w:w="0" w:type="dxa"/>
        <w:right w:w="0" w:type="dxa"/>
      </w:tblCellMar>
    </w:tblPr>
  </w:style>
  <w:style w:type="paragraph" w:customStyle="1" w:styleId="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2025-07-09T07:39:00Z</dcterms:created>
  <dc:creator> 往事随风</dc:creator>
  <cp:lastModifiedBy> 往事随风</cp:lastModifiedBy>
  <dcterms:modified xsi:type="dcterms:W3CDTF">2025-07-09T07:39:46Z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485C25412C04417DAB56019FB315B977_11</vt:lpwstr>
  </property>
  <property fmtid="{D5CDD505-2E9C-101B-9397-08002B2CF9AE}" pid="4" name="KSOTemplateDocerSaveRecord">
    <vt:lpwstr>eyJoZGlkIjoiODVmODZkYjY2MmY1MjM1MjBlMzdmOWQ5YzQ2NjI4N2QiLCJ1c2VySWQiOiIzMzQ1MzM3MTQifQ==</vt:lpwstr>
  </property>
</Properties>
</file>