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82E91">
      <w:pP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</w:rPr>
        <w:t>标项一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</w:rPr>
        <w:t>:荧光原位杂交（FISH）试剂</w:t>
      </w:r>
    </w:p>
    <w:p w14:paraId="262ABDD1">
      <w:pP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</w:pPr>
    </w:p>
    <w:tbl>
      <w:tblPr>
        <w:tblStyle w:val="3"/>
        <w:tblW w:w="1388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656"/>
        <w:gridCol w:w="4385"/>
        <w:gridCol w:w="4523"/>
        <w:gridCol w:w="2616"/>
      </w:tblGrid>
      <w:tr w14:paraId="137D8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主要技术参数及检测方法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适用机型</w:t>
            </w:r>
          </w:p>
        </w:tc>
      </w:tr>
      <w:tr w14:paraId="2AB1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血液病研究室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骨髓增生异常综合征染色体及基因异常探针检测试剂盒</w:t>
            </w:r>
          </w:p>
        </w:tc>
        <w:tc>
          <w:tcPr>
            <w:tcW w:w="4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规格：10人/盒  1、主要技术参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：①部分产品获得NMPA注册和CE双认证的快速FISH探针；其中BCR-ABL、AML1-ETO获得中国三类医疗器械注册证，适用于肿瘤的辅助诊断、指导肿瘤的靶向用药以及判断预后；②探针不含重复序列，BAC克隆探针，非合成探针，使用快速杂交模式（2小时）完成杂交，当天出报告。③检测结果准确，特异性好，信号清晰，细胞背景低操作流程简单，抗淬灭效果好，检测后切片可以在-20℃冰箱保存半年以上④可以提供定制探针服务，配套FISH前处理试剂（样本释放剂），提高FISH一次检出率，节约探针试剂成本；配套样本释放剂、清洗液均获得医疗器械备案凭证。检测方法：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光原位杂交法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4DE93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4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FGFR1/PDGFRA/PDGFRB基因断裂探针试剂盒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B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663AD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2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BCL6/MYC/[CCND1/IGH]/[BCL2/IGH]基因探针试剂盒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6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01E9A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4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[IGH/CCND1]/[IGH/MAF]/[IGH/MAFB]/[IGH/FGFR3]融合基因探针试剂盒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2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56E7A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0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MYC(8q24)/BCL6(3q27)/BCL2(18q21)基因断裂探针试剂盒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5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586B4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6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慢性淋巴细胞白血病染色体及基因异常探针检测试剂盒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E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0C561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4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p53/D13S319/RB1/1q21/IGH基因探针试剂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E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4008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7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[MAFB/IGH]/[CCND3/IGH]/[MYC/IGH]融合基因探针试剂 -MYC/IGH融合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C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2DFD6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0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BCL2(18q21)基因断裂探针试剂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1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456BB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6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BCL6/IGH融合基因t(3;14)探针试剂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F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2B43C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2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IRF4（6p25）基因断裂探针试剂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2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61E66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2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API2/MALT1 t(11;18)基因探针试剂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A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1BEE6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E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5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CHIC2基因缺失(PDGFRA断裂) 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2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5ED6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C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ABL1/ABL2/PDGFRB/CRLF2/JAK2基因断裂探针试剂 -PDGFRB断裂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B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20C11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5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FGFR1/PDGFRA/PDGFRB基因断裂探针试剂 -FGFR1断裂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B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72E81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0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NUP98（11p15）基因断裂探针试剂 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A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4D3AD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F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慢性淋巴细胞白血病染色体及基因异常探针检测试剂盒 -D13S319/CEP12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9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4609A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1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[MAFB/IGH]/[CCND3/IGH]/[MYC/IGH]融合基因探针试剂（荧光原位杂交法）-CCND3/IGH融合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E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48965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1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骨髓增生异常综合征染色体及基因异常探针检测试剂盒 -EGR1/D5S630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6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3E6E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7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骨髓增生异常综合征染色体及基因异常探针检测试剂盒 -CSF1R/D5S630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B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555A9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3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骨髓增生异常综合征染色体及基因异常探针检测试剂盒 -D7S522/CEP7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2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15457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D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骨髓增生异常综合征染色体及基因异常探针检测试剂盒 -D7S486/CEP7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2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5A9FE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3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骨髓增生异常综合征染色体及基因异常探针检测试剂盒 -D20S108/CEP8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A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0BDC3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9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MECOM(EVI1)基因断裂探针试剂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2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694FB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F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慢性淋巴细胞白血病染色体及基因异常探针检测试剂盒 -RB1/ATM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3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174A5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D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ETV6(TEL)基因断裂探针试剂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1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1A985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E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CBFB/MYH11融合基因探针试剂 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1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7BB1D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8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RARA基因断裂探针试剂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1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4FD14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7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KMT2A/MLLT3融合基因探针试剂 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C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4A64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4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ETV6(TEL)/RUNX1(AML1)基因转位探针试剂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5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035E0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D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KMT2A/AFF1融合基因探针试剂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0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38153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7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ABL1/ABL2/PDGFRB/CRLF2/JAK2基因断裂探针试剂 -CRLF2断裂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D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5712C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8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ABL1(9q34)基因断裂探针试剂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B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18C59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5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ABL2(1q25)基因断裂探针试剂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F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0151F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B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ABL1/ABL2/PDGFRB/CRLF2/JAK2基因断裂探针试剂-JAK2断裂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5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03979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B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[IGH/CCND1]/[IGH/MAF]/[IGH/MAFB]/[IGH/FGFR3]融合基因探针试剂 -MAF/IGH融合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F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1D1CB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7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[IGH/CCND1]/[IGH/MAF]/[IGH/MAFB]/[IGH/FGFR3]融合基因探针试剂 -MAFB/IGH融合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D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77CC3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D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IGH/CCND1]/[IGH/MAF]/[IGH/MAFB]/[IGH/FGFR3]融合基因探针试剂 -FGFR3/IGH融合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9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0F7AF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5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TCF3/PBX1融合基因探针试剂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9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0D028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A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1q21及1p32异常探针试剂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D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37C38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1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1q21及1p36异常探针试剂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A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0CA84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1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D13S25(13q14）/13q34基因缺失探针试剂 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E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1E62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D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D13S319/13q34基因缺失探针试剂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C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6B384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6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BCR/ABL融合基因检测试剂盒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C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6AD46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5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CBFB基因断裂探针试剂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1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75315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D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PML/RARA探针试剂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7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74C0F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B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AML1/ETO(RUNX1/RUX1T1)融合基因检测试剂盒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3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0C03C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2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RB1/1q21基因缺失探针试剂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B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2CCC4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1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慢性淋巴细胞白血病染色体及基因异常探针检测试剂盒 -p53/CEP17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8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3F0E1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9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BCL6/MYC/IGH/[BCL2/IGH]基因探针试剂 -IGH断裂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7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6CF9A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9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BCL6/MYC/IGH/[BCL2/IGH]基因探针试剂 -MYC断裂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2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78DC1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0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[IGH/CCND1]/[IGH/MAF]/[IGH/MAFB]/[IGH/FGFR3]融合基因探针试剂 -CCND1/IGH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9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6A4B2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C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BCL6/MYC/IGH/[BCL2/IGH]基因探针试剂 -BCL2/IGH断裂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E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61F49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3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MALT1 基因断裂探针试剂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E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36524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3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KMT2A(MLL)基因断裂探针试剂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B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211B9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4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BCL6(3q27)基因断裂探针试剂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1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1C7DE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3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骨髓增生异常综合征染色体及基因异常探针检测试剂盒 -CEPY/CEPX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D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36971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7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DEK/NUP214融合基因试剂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2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6063F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D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P16基因探针试剂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7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1D74F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6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MALT1/IGH融合基因t（14; 18）探针试剂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6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1B561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D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E2A基因断裂探针试剂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D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6AEDD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6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KMT2A(11q23)/MLLT1基因融合探针试剂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8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71081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F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KMT2A(11q23)/MLLT4基因融合探针试剂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4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1E180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6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ASS基因缺失探针试剂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8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218E0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D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P2RY8基因断裂探针试剂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5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42DD3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B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MYEOV/IGH融合基因探针试剂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D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35AF1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1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p53/[CCND1/IGH]/ATM/CSP12/D13S25基因探针试剂（荧光原位杂交）-ATM/CSP11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E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44DD0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A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BCR/ABL/ASS三色融合探针试剂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D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531C0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8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GATA2,MECOM(RPN1/MECOM)基因异常探针试剂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1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695B5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3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BCL11B基因断裂探针试剂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4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0B1A9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E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CCND2（12p13）基因断裂探针试剂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7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7BAE4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A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MALT1 基因断裂探针试剂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7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103CA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8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TRA/TRD（14q11）基因断裂探针试剂 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4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4EAE0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1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SRD（1p36）基因缺失探针试剂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0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3202F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2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FLT3基因断裂探针试剂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D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177A7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0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EPOR/IGK融合基因探针试剂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5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14A66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C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EPOR/IGH融合基因探针试剂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D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51F9B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1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P53/D13S319基因缺失探针试剂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F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6974B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8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BCL11A基因断裂探针试剂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B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57E8B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D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i(17q)基因探针试剂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C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2CE02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6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CDKN2A基因探针试剂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4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6D87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D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BCL3基因断裂探针试剂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7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54AB5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1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BCL3/IGH融合基因探针试剂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7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28203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D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MYB/CEP6基因探针试剂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8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0A09D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7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DEK/NUP214融合基因探针试剂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B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  <w:tr w14:paraId="2DE38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5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KMT2A/MLLT10融合基因探针试剂  </w:t>
            </w:r>
          </w:p>
        </w:tc>
        <w:tc>
          <w:tcPr>
            <w:tcW w:w="4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E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荧光显微镜</w:t>
            </w:r>
          </w:p>
        </w:tc>
      </w:tr>
    </w:tbl>
    <w:p w14:paraId="1693597A">
      <w:pPr>
        <w:widowControl/>
        <w:spacing w:before="54" w:after="54" w:line="360" w:lineRule="auto"/>
        <w:jc w:val="left"/>
        <w:rPr>
          <w:rFonts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</w:rPr>
      </w:pPr>
    </w:p>
    <w:p w14:paraId="78619A0C">
      <w:pPr>
        <w:widowControl/>
        <w:spacing w:before="54" w:after="54" w:line="360" w:lineRule="auto"/>
        <w:jc w:val="left"/>
        <w:rPr>
          <w:rFonts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</w:rPr>
      </w:pPr>
    </w:p>
    <w:p w14:paraId="4BDDFEC8">
      <w:pPr>
        <w:widowControl/>
        <w:spacing w:before="54" w:after="54" w:line="360" w:lineRule="auto"/>
        <w:jc w:val="left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</w:rPr>
      </w:pPr>
    </w:p>
    <w:p w14:paraId="2E13A9CC">
      <w:pPr>
        <w:rPr>
          <w:rFonts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</w:rPr>
        <w:br w:type="page"/>
      </w:r>
    </w:p>
    <w:p w14:paraId="50BE975F">
      <w:pPr>
        <w:widowControl/>
        <w:spacing w:before="54" w:after="54" w:line="360" w:lineRule="auto"/>
        <w:jc w:val="left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</w:rPr>
        <w:t>标项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二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</w:rPr>
        <w:t>:碱性磷酸酶、过碘酸雪夫染色液试剂</w:t>
      </w:r>
    </w:p>
    <w:p w14:paraId="61F0A2F5">
      <w:pPr>
        <w:widowControl/>
        <w:spacing w:before="54" w:after="54" w:line="360" w:lineRule="auto"/>
        <w:jc w:val="left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</w:rPr>
      </w:pPr>
    </w:p>
    <w:tbl>
      <w:tblPr>
        <w:tblStyle w:val="3"/>
        <w:tblW w:w="137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618"/>
        <w:gridCol w:w="4353"/>
        <w:gridCol w:w="4054"/>
        <w:gridCol w:w="2917"/>
      </w:tblGrid>
      <w:tr w14:paraId="70CD0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主要技术参数及检测方法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适用机型</w:t>
            </w:r>
          </w:p>
        </w:tc>
      </w:tr>
      <w:tr w14:paraId="05288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血液病研究室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碱性磷酸酶试剂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4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特殊染色与酶组织化学，5*30ml/盒。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002DB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2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过碘酸雪夫染色液试剂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8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特殊染色与酶组织化学，5*32ml/盒。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 w14:paraId="47133C3B">
      <w:pPr>
        <w:widowControl/>
        <w:spacing w:before="54" w:after="54" w:line="360" w:lineRule="auto"/>
        <w:jc w:val="left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yellow"/>
        </w:rPr>
      </w:pPr>
    </w:p>
    <w:p w14:paraId="73C61A7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C190F"/>
    <w:rsid w:val="6E9C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spacing w:line="360" w:lineRule="auto"/>
    </w:pPr>
    <w:rPr>
      <w:rFonts w:ascii="Courier New" w:hAnsi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2025-06-11T05:14:00Z</dcterms:created>
  <dc:creator>WPS_1717492066</dc:creator>
  <cp:lastModifiedBy>WPS_1717492066</cp:lastModifiedBy>
  <dcterms:modified xsi:type="dcterms:W3CDTF">2025-06-11T05:17:28Z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C8576A12D75F41E6AE7474DFC1AEE0BD_11</vt:lpwstr>
  </property>
  <property fmtid="{D5CDD505-2E9C-101B-9397-08002B2CF9AE}" pid="4" name="KSOTemplateDocerSaveRecord">
    <vt:lpwstr>eyJoZGlkIjoiZmVlZDk2YjRhMzM2NjM0MmZjMWU5NjAyYTY3MzdmNTkiLCJ1c2VySWQiOiIxNjA1NTE1ODQ0In0=</vt:lpwstr>
  </property>
</Properties>
</file>