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95" w:tblpY="2274"/>
        <w:tblOverlap w:val="never"/>
        <w:tblW w:w="9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44"/>
        <w:gridCol w:w="1200"/>
        <w:gridCol w:w="4671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车辆参数明细表及需求（一标段）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7座客车租赁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租赁和商务服务业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7座客车、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汽油，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1.6L排量，两驱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、中标供应商需允许采购方在中标车辆涂装警用标识、安装喊话器和警灯；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、租赁费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（汽油车）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包含保险费（交强险、第三责任险200万、车损险、座位险5万/座）、车辆年审费用、警用涂装喷绘及租赁到期后拆除费用、喊话器和警灯的安装拆除费用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、车窗防晒膜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自合同签订后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十个工作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日内提车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4.车辆发生严重故障无法维修时，供应商需在24小时内提供备用车辆；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5.中标供应商提供车辆必须为本企业名下固定资产，交付时需随车提供车辆行驶证及机动车登记证书。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07472"/>
    <w:rsid w:val="4309148D"/>
    <w:rsid w:val="50AE7138"/>
    <w:rsid w:val="57D4000D"/>
    <w:rsid w:val="5B5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488</Characters>
  <Lines>0</Lines>
  <Paragraphs>0</Paragraphs>
  <TotalTime>29</TotalTime>
  <ScaleCrop>false</ScaleCrop>
  <LinksUpToDate>false</LinksUpToDate>
  <CharactersWithSpaces>488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DELL</cp:lastModifiedBy>
  <dcterms:modified xsi:type="dcterms:W3CDTF">2025-06-19T10:35:56Z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eyJoZGlkIjoiNzJhNWM0OGFhYTU3YmZiYjYxMTEzMzJkMDY1NjllZTYiLCJ1c2VySWQiOiIzNDk4MjQzODQifQ==</vt:lpwstr>
  </property>
  <property fmtid="{D5CDD505-2E9C-101B-9397-08002B2CF9AE}" pid="4" name="ICV">
    <vt:lpwstr>3335EF491E394CAA8D9FB95E912C1CE3_12</vt:lpwstr>
  </property>
</Properties>
</file>