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0" w:line="360" w:lineRule="auto"/>
        <w:ind w:firstLine="560" w:firstLineChars="200"/>
        <w:jc w:val="center"/>
        <w:rPr>
          <w:rFonts w:ascii="Times New Roman" w:hAnsi="Times New Roman" w:eastAsia="仿宋" w:cs="Times New Roman"/>
          <w:sz w:val="28"/>
          <w:szCs w:val="28"/>
        </w:rPr>
      </w:pPr>
      <w:r>
        <w:rPr>
          <w:rFonts w:ascii="Times New Roman" w:hAnsi="Times New Roman" w:eastAsia="仿宋" w:cs="Times New Roman"/>
          <w:sz w:val="28"/>
          <w:szCs w:val="28"/>
        </w:rPr>
        <w:t>2025年第二批中央</w:t>
      </w:r>
      <w:r>
        <w:rPr>
          <w:rFonts w:hint="eastAsia" w:ascii="Times New Roman" w:hAnsi="Times New Roman" w:eastAsia="仿宋" w:cs="Times New Roman"/>
          <w:sz w:val="28"/>
          <w:szCs w:val="28"/>
          <w:lang w:val="en-US" w:eastAsia="zh-CN"/>
        </w:rPr>
        <w:t>财政</w:t>
      </w:r>
      <w:r>
        <w:rPr>
          <w:rFonts w:ascii="Times New Roman" w:hAnsi="Times New Roman" w:eastAsia="仿宋" w:cs="Times New Roman"/>
          <w:sz w:val="28"/>
          <w:szCs w:val="28"/>
        </w:rPr>
        <w:t>林业草原改革发展资金（林草支撑保障体系支出-森林草原防火项目）预算表</w:t>
      </w:r>
    </w:p>
    <w:tbl>
      <w:tblPr>
        <w:tblStyle w:val="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97"/>
        <w:gridCol w:w="3723"/>
        <w:gridCol w:w="417"/>
        <w:gridCol w:w="441"/>
        <w:gridCol w:w="60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797" w:type="dxa"/>
            <w:shd w:val="clear" w:color="000000" w:fill="FFFFFF"/>
            <w:vAlign w:val="center"/>
          </w:tcPr>
          <w:p>
            <w:pPr>
              <w:widowControl/>
              <w:jc w:val="center"/>
              <w:textAlignment w:val="center"/>
              <w:rPr>
                <w:rFonts w:ascii="Times New Roman" w:hAnsi="Times New Roman" w:eastAsia="仿宋" w:cs="Times New Roman"/>
                <w:b/>
                <w:bCs/>
                <w:color w:val="000000"/>
                <w:kern w:val="0"/>
                <w:sz w:val="20"/>
              </w:rPr>
            </w:pPr>
            <w:r>
              <w:rPr>
                <w:rFonts w:ascii="Times New Roman" w:hAnsi="Times New Roman" w:eastAsia="仿宋" w:cs="Times New Roman"/>
                <w:b/>
                <w:bCs/>
                <w:color w:val="000000"/>
                <w:kern w:val="0"/>
                <w:sz w:val="20"/>
              </w:rPr>
              <w:t>序号</w:t>
            </w:r>
          </w:p>
        </w:tc>
        <w:tc>
          <w:tcPr>
            <w:tcW w:w="1697" w:type="dxa"/>
            <w:shd w:val="clear" w:color="000000" w:fill="FFFFFF"/>
            <w:vAlign w:val="center"/>
          </w:tcPr>
          <w:p>
            <w:pPr>
              <w:widowControl/>
              <w:jc w:val="center"/>
              <w:textAlignment w:val="center"/>
              <w:rPr>
                <w:rFonts w:ascii="Times New Roman" w:hAnsi="Times New Roman" w:eastAsia="仿宋" w:cs="Times New Roman"/>
                <w:b/>
                <w:bCs/>
                <w:color w:val="000000"/>
                <w:kern w:val="0"/>
                <w:sz w:val="20"/>
              </w:rPr>
            </w:pPr>
            <w:r>
              <w:rPr>
                <w:rFonts w:ascii="Times New Roman" w:hAnsi="Times New Roman" w:eastAsia="仿宋" w:cs="Times New Roman"/>
                <w:b/>
                <w:bCs/>
                <w:color w:val="000000"/>
                <w:kern w:val="0"/>
                <w:sz w:val="20"/>
              </w:rPr>
              <w:t>项目名称</w:t>
            </w:r>
          </w:p>
        </w:tc>
        <w:tc>
          <w:tcPr>
            <w:tcW w:w="3723" w:type="dxa"/>
            <w:shd w:val="clear" w:color="000000" w:fill="FFFFFF"/>
            <w:vAlign w:val="center"/>
          </w:tcPr>
          <w:p>
            <w:pPr>
              <w:widowControl/>
              <w:jc w:val="center"/>
              <w:textAlignment w:val="center"/>
              <w:rPr>
                <w:rFonts w:ascii="Times New Roman" w:hAnsi="Times New Roman" w:eastAsia="仿宋" w:cs="Times New Roman"/>
                <w:b/>
                <w:bCs/>
                <w:color w:val="000000"/>
                <w:kern w:val="0"/>
                <w:sz w:val="20"/>
              </w:rPr>
            </w:pPr>
            <w:r>
              <w:rPr>
                <w:rFonts w:ascii="Times New Roman" w:hAnsi="Times New Roman" w:eastAsia="仿宋" w:cs="Times New Roman"/>
                <w:b/>
                <w:bCs/>
                <w:color w:val="000000"/>
                <w:kern w:val="0"/>
                <w:sz w:val="20"/>
              </w:rPr>
              <w:t>规格、型号</w:t>
            </w:r>
          </w:p>
        </w:tc>
        <w:tc>
          <w:tcPr>
            <w:tcW w:w="417" w:type="dxa"/>
            <w:shd w:val="clear" w:color="000000" w:fill="FFFFFF"/>
            <w:vAlign w:val="center"/>
          </w:tcPr>
          <w:p>
            <w:pPr>
              <w:widowControl/>
              <w:jc w:val="center"/>
              <w:textAlignment w:val="center"/>
              <w:rPr>
                <w:rFonts w:ascii="Times New Roman" w:hAnsi="Times New Roman" w:eastAsia="仿宋" w:cs="Times New Roman"/>
                <w:b/>
                <w:bCs/>
                <w:color w:val="000000"/>
                <w:kern w:val="0"/>
                <w:sz w:val="20"/>
              </w:rPr>
            </w:pPr>
            <w:r>
              <w:rPr>
                <w:rFonts w:ascii="Times New Roman" w:hAnsi="Times New Roman" w:eastAsia="仿宋" w:cs="Times New Roman"/>
                <w:b/>
                <w:bCs/>
                <w:color w:val="000000"/>
                <w:kern w:val="0"/>
                <w:sz w:val="20"/>
              </w:rPr>
              <w:t>单位</w:t>
            </w:r>
          </w:p>
        </w:tc>
        <w:tc>
          <w:tcPr>
            <w:tcW w:w="441" w:type="dxa"/>
            <w:shd w:val="clear" w:color="000000" w:fill="FFFFFF"/>
            <w:vAlign w:val="center"/>
          </w:tcPr>
          <w:p>
            <w:pPr>
              <w:widowControl/>
              <w:jc w:val="center"/>
              <w:textAlignment w:val="center"/>
              <w:rPr>
                <w:rFonts w:ascii="Times New Roman" w:hAnsi="Times New Roman" w:eastAsia="仿宋" w:cs="Times New Roman"/>
                <w:b/>
                <w:bCs/>
                <w:color w:val="000000"/>
                <w:kern w:val="0"/>
                <w:sz w:val="20"/>
              </w:rPr>
            </w:pPr>
            <w:r>
              <w:rPr>
                <w:rFonts w:ascii="Times New Roman" w:hAnsi="Times New Roman" w:eastAsia="仿宋" w:cs="Times New Roman"/>
                <w:b/>
                <w:bCs/>
                <w:color w:val="000000"/>
                <w:kern w:val="0"/>
                <w:sz w:val="20"/>
              </w:rPr>
              <w:t>数量</w:t>
            </w:r>
          </w:p>
        </w:tc>
        <w:tc>
          <w:tcPr>
            <w:tcW w:w="605" w:type="dxa"/>
            <w:shd w:val="clear" w:color="000000" w:fill="FFFFFF"/>
            <w:vAlign w:val="center"/>
          </w:tcPr>
          <w:p>
            <w:pPr>
              <w:widowControl/>
              <w:jc w:val="center"/>
              <w:textAlignment w:val="center"/>
              <w:rPr>
                <w:rFonts w:ascii="Times New Roman" w:hAnsi="Times New Roman" w:eastAsia="仿宋" w:cs="Times New Roman"/>
                <w:b/>
                <w:bCs/>
                <w:color w:val="000000"/>
                <w:kern w:val="0"/>
                <w:sz w:val="20"/>
              </w:rPr>
            </w:pPr>
            <w:r>
              <w:rPr>
                <w:rFonts w:ascii="Times New Roman" w:hAnsi="Times New Roman" w:eastAsia="仿宋" w:cs="Times New Roman"/>
                <w:b/>
                <w:bCs/>
                <w:color w:val="000000"/>
                <w:kern w:val="0"/>
                <w:sz w:val="20"/>
              </w:rPr>
              <w:t>单价</w:t>
            </w:r>
          </w:p>
        </w:tc>
        <w:tc>
          <w:tcPr>
            <w:tcW w:w="837" w:type="dxa"/>
            <w:shd w:val="clear" w:color="000000" w:fill="FFFFFF"/>
            <w:vAlign w:val="center"/>
          </w:tcPr>
          <w:p>
            <w:pPr>
              <w:widowControl/>
              <w:jc w:val="center"/>
              <w:textAlignment w:val="center"/>
              <w:rPr>
                <w:rFonts w:ascii="Times New Roman" w:hAnsi="Times New Roman" w:eastAsia="仿宋" w:cs="Times New Roman"/>
                <w:b/>
                <w:bCs/>
                <w:color w:val="000000"/>
                <w:kern w:val="0"/>
                <w:sz w:val="20"/>
              </w:rPr>
            </w:pPr>
            <w:r>
              <w:rPr>
                <w:rFonts w:ascii="Times New Roman" w:hAnsi="Times New Roman" w:eastAsia="仿宋" w:cs="Times New Roman"/>
                <w:b/>
                <w:bCs/>
                <w:color w:val="000000"/>
                <w:kern w:val="0"/>
                <w:sz w:val="2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494" w:type="dxa"/>
            <w:gridSpan w:val="2"/>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合计</w:t>
            </w:r>
          </w:p>
        </w:tc>
        <w:tc>
          <w:tcPr>
            <w:tcW w:w="3723"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　</w:t>
            </w:r>
          </w:p>
        </w:tc>
        <w:tc>
          <w:tcPr>
            <w:tcW w:w="417"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　</w:t>
            </w:r>
          </w:p>
        </w:tc>
        <w:tc>
          <w:tcPr>
            <w:tcW w:w="441"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　</w:t>
            </w:r>
          </w:p>
        </w:tc>
        <w:tc>
          <w:tcPr>
            <w:tcW w:w="605"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　</w:t>
            </w:r>
          </w:p>
        </w:tc>
        <w:tc>
          <w:tcPr>
            <w:tcW w:w="837" w:type="dxa"/>
            <w:shd w:val="clear" w:color="000000" w:fill="FFFFFF"/>
            <w:noWrap/>
            <w:vAlign w:val="center"/>
          </w:tcPr>
          <w:p>
            <w:pPr>
              <w:widowControl/>
              <w:jc w:val="center"/>
              <w:textAlignment w:val="center"/>
              <w:rPr>
                <w:rFonts w:hint="default" w:ascii="Times New Roman" w:hAnsi="Times New Roman" w:eastAsia="仿宋" w:cs="Times New Roman"/>
                <w:color w:val="000000"/>
                <w:kern w:val="0"/>
                <w:sz w:val="20"/>
                <w:lang w:val="en-US" w:eastAsia="zh-CN"/>
              </w:rPr>
            </w:pPr>
            <w:r>
              <w:rPr>
                <w:rFonts w:hint="eastAsia" w:ascii="Times New Roman" w:hAnsi="Times New Roman" w:eastAsia="仿宋" w:cs="Times New Roman"/>
                <w:color w:val="000000"/>
                <w:kern w:val="0"/>
                <w:sz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97" w:type="dxa"/>
            <w:shd w:val="clear" w:color="000000" w:fill="FFFFFF"/>
            <w:noWrap/>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一</w:t>
            </w:r>
          </w:p>
        </w:tc>
        <w:tc>
          <w:tcPr>
            <w:tcW w:w="1697"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直接费用</w:t>
            </w:r>
          </w:p>
        </w:tc>
        <w:tc>
          <w:tcPr>
            <w:tcW w:w="3723" w:type="dxa"/>
            <w:shd w:val="clear" w:color="000000" w:fill="FFFFFF"/>
            <w:noWrap/>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　</w:t>
            </w:r>
          </w:p>
        </w:tc>
        <w:tc>
          <w:tcPr>
            <w:tcW w:w="417" w:type="dxa"/>
            <w:shd w:val="clear" w:color="000000" w:fill="FFFFFF"/>
            <w:noWrap/>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　</w:t>
            </w:r>
          </w:p>
        </w:tc>
        <w:tc>
          <w:tcPr>
            <w:tcW w:w="441" w:type="dxa"/>
            <w:shd w:val="clear" w:color="000000" w:fill="FFFFFF"/>
            <w:noWrap/>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　</w:t>
            </w:r>
          </w:p>
        </w:tc>
        <w:tc>
          <w:tcPr>
            <w:tcW w:w="605" w:type="dxa"/>
            <w:shd w:val="clear" w:color="000000" w:fill="FFFFFF"/>
            <w:noWrap/>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　</w:t>
            </w:r>
          </w:p>
        </w:tc>
        <w:tc>
          <w:tcPr>
            <w:tcW w:w="837" w:type="dxa"/>
            <w:shd w:val="clear" w:color="000000" w:fill="FFFFFF"/>
            <w:noWrap/>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6" w:hRule="atLeast"/>
        </w:trPr>
        <w:tc>
          <w:tcPr>
            <w:tcW w:w="797"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1</w:t>
            </w:r>
          </w:p>
        </w:tc>
        <w:tc>
          <w:tcPr>
            <w:tcW w:w="1697"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火险监测仪</w:t>
            </w:r>
          </w:p>
        </w:tc>
        <w:tc>
          <w:tcPr>
            <w:tcW w:w="3723" w:type="dxa"/>
            <w:shd w:val="clear" w:color="000000" w:fill="FFFFFF"/>
            <w:vAlign w:val="center"/>
          </w:tcPr>
          <w:p>
            <w:pPr>
              <w:widowControl/>
              <w:jc w:val="left"/>
              <w:textAlignment w:val="center"/>
            </w:pPr>
            <w:r>
              <w:t>一、包括:气压、空气温度、空气相对湿度、风速、风向、降雨、总辐射、地表凋落物含水率、地表凋落物温度、浅层地温、土壤含水率、大气电场、标准时滞可燃物含水率、标准时滞可燃物温度、物候指数等，各参数应符合《森林火险监测站技术规范》(LY/T 2579-2016)等标准要求。</w:t>
            </w:r>
          </w:p>
          <w:p>
            <w:pPr>
              <w:widowControl/>
              <w:jc w:val="left"/>
              <w:textAlignment w:val="center"/>
            </w:pPr>
            <w:r>
              <w:t>二、主支架+风横臂+拉纤。</w:t>
            </w:r>
          </w:p>
          <w:p>
            <w:pPr>
              <w:widowControl/>
              <w:jc w:val="left"/>
              <w:textAlignment w:val="center"/>
            </w:pPr>
            <w:r>
              <w:t>三、围栏3*3M高1.8M。</w:t>
            </w:r>
          </w:p>
          <w:p>
            <w:pPr>
              <w:widowControl/>
              <w:jc w:val="left"/>
              <w:textAlignment w:val="center"/>
              <w:rPr>
                <w:rFonts w:hint="eastAsia"/>
                <w:lang w:val="en-US" w:eastAsia="zh-CN"/>
              </w:rPr>
            </w:pPr>
            <w:r>
              <w:rPr>
                <w:rFonts w:hint="eastAsia"/>
                <w:lang w:val="en-US" w:eastAsia="zh-CN"/>
              </w:rPr>
              <w:t>四、含安装运输费用</w:t>
            </w:r>
          </w:p>
          <w:p>
            <w:pPr>
              <w:widowControl/>
              <w:jc w:val="left"/>
              <w:textAlignment w:val="center"/>
              <w:rPr>
                <w:rFonts w:hint="eastAsia"/>
                <w:lang w:val="en-US" w:eastAsia="zh-CN"/>
              </w:rPr>
            </w:pPr>
            <w:r>
              <w:rPr>
                <w:rFonts w:hint="eastAsia"/>
                <w:lang w:val="en-US" w:eastAsia="zh-CN"/>
              </w:rPr>
              <w:t>五、含运行及维护费用，含设备运行所需的电费、数据传输费、设备故障巡检、维护、抢修、清洁、应急保障服务、运维发生的备品备件更换服务等。</w:t>
            </w:r>
          </w:p>
          <w:p>
            <w:pPr>
              <w:widowControl/>
              <w:jc w:val="left"/>
              <w:textAlignment w:val="center"/>
              <w:rPr>
                <w:rFonts w:hint="eastAsia"/>
                <w:lang w:val="en-US" w:eastAsia="zh-CN"/>
              </w:rPr>
            </w:pPr>
            <w:r>
              <w:rPr>
                <w:rFonts w:hint="eastAsia"/>
                <w:lang w:val="en-US" w:eastAsia="zh-CN"/>
              </w:rPr>
              <w:t>六、火险监测仪的监测结果必须通过物联网实时传输至新疆森林雷击火感知系统，与国家林草局的林草防火感知平台，全国森林火险预测预报系统之间进行数据交互，组建综合的火险监测网络。</w:t>
            </w:r>
          </w:p>
          <w:p>
            <w:pPr>
              <w:pStyle w:val="4"/>
              <w:ind w:left="0" w:leftChars="0" w:firstLine="0" w:firstLineChars="0"/>
              <w:rPr>
                <w:rFonts w:hint="default" w:eastAsia="仿宋_GB2312"/>
                <w:lang w:val="en-US" w:eastAsia="zh-CN"/>
              </w:rPr>
            </w:pPr>
          </w:p>
        </w:tc>
        <w:tc>
          <w:tcPr>
            <w:tcW w:w="417" w:type="dxa"/>
            <w:shd w:val="clear" w:color="000000" w:fill="FFFFFF"/>
            <w:vAlign w:val="center"/>
          </w:tcPr>
          <w:p>
            <w:pPr>
              <w:widowControl/>
              <w:jc w:val="center"/>
              <w:textAlignment w:val="center"/>
              <w:rPr>
                <w:rFonts w:hint="eastAsia" w:ascii="Times New Roman" w:hAnsi="Times New Roman" w:eastAsia="仿宋" w:cs="Times New Roman"/>
                <w:color w:val="000000"/>
                <w:kern w:val="0"/>
                <w:sz w:val="20"/>
                <w:lang w:eastAsia="zh-CN"/>
              </w:rPr>
            </w:pPr>
            <w:r>
              <w:rPr>
                <w:rFonts w:hint="eastAsia" w:ascii="Times New Roman" w:hAnsi="Times New Roman" w:eastAsia="仿宋" w:cs="Times New Roman"/>
                <w:color w:val="000000"/>
                <w:kern w:val="0"/>
                <w:sz w:val="20"/>
                <w:lang w:val="en-US" w:eastAsia="zh-CN"/>
              </w:rPr>
              <w:t>台</w:t>
            </w:r>
          </w:p>
        </w:tc>
        <w:tc>
          <w:tcPr>
            <w:tcW w:w="441"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1</w:t>
            </w:r>
          </w:p>
        </w:tc>
        <w:tc>
          <w:tcPr>
            <w:tcW w:w="605"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15</w:t>
            </w:r>
          </w:p>
        </w:tc>
        <w:tc>
          <w:tcPr>
            <w:tcW w:w="837" w:type="dxa"/>
            <w:shd w:val="clear" w:color="000000" w:fill="FFFFFF"/>
            <w:vAlign w:val="center"/>
          </w:tcPr>
          <w:p>
            <w:pPr>
              <w:widowControl/>
              <w:jc w:val="center"/>
              <w:textAlignment w:val="center"/>
              <w:rPr>
                <w:rFonts w:ascii="Times New Roman" w:hAnsi="Times New Roman" w:eastAsia="仿宋" w:cs="Times New Roman"/>
                <w:color w:val="000000"/>
                <w:kern w:val="0"/>
                <w:sz w:val="20"/>
              </w:rPr>
            </w:pPr>
            <w:r>
              <w:rPr>
                <w:rFonts w:ascii="Times New Roman" w:hAnsi="Times New Roman" w:eastAsia="仿宋" w:cs="Times New Roman"/>
                <w:color w:val="000000"/>
                <w:kern w:val="0"/>
                <w:sz w:val="20"/>
              </w:rPr>
              <w:t>15</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5F0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3"/>
    <w:next w:val="4"/>
    <w:qFormat/>
    <w:uiPriority w:val="0"/>
    <w:pPr>
      <w:tabs>
        <w:tab w:val="center" w:pos="4153"/>
        <w:tab w:val="right" w:pos="8306"/>
      </w:tabs>
      <w:jc w:val="left"/>
    </w:pPr>
    <w:rPr>
      <w:rFonts w:ascii="Calibri" w:hAnsi="Calibri" w:eastAsia="仿宋_GB2312" w:cs="Times New Roman"/>
      <w:sz w:val="32"/>
    </w:rPr>
  </w:style>
  <w:style w:type="paragraph" w:styleId="3">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4">
    <w:name w:val="样式2"/>
    <w:basedOn w:val="1"/>
    <w:qFormat/>
    <w:uiPriority w:val="0"/>
    <w:pPr>
      <w:ind w:firstLine="200" w:firstLineChars="200"/>
    </w:pPr>
    <w:rPr>
      <w:rFonts w:ascii="Times New Roman" w:eastAsia="仿宋_GB2312"/>
      <w:sz w:val="32"/>
    </w:rPr>
  </w:style>
  <w:style w:type="paragraph" w:styleId="5">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2025-07-14T12:36:19Z</dcterms:created>
  <dc:creator>gjh</dc:creator>
  <cp:lastModifiedBy>gjh</cp:lastModifiedBy>
  <dcterms:modified xsi:type="dcterms:W3CDTF">2025-07-14T12:47:15Z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