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sz w:val="24"/>
          <w:szCs w:val="28"/>
        </w:rPr>
      </w:pPr>
      <w:r>
        <w:rPr>
          <w:rFonts w:hint="eastAsia"/>
          <w:b/>
          <w:sz w:val="32"/>
          <w:szCs w:val="28"/>
        </w:rPr>
        <w:t>情况说明</w:t>
      </w:r>
      <w:bookmarkStart w:id="0" w:name="_GoBack"/>
      <w:bookmarkEnd w:id="0"/>
    </w:p>
    <w:p>
      <w:pPr>
        <w:pStyle w:val="style0"/>
        <w:spacing w:lineRule="auto" w:line="480"/>
        <w:jc w:val="left"/>
        <w:rPr>
          <w:b/>
          <w:sz w:val="24"/>
          <w:szCs w:val="28"/>
        </w:rPr>
      </w:pPr>
    </w:p>
    <w:p>
      <w:pPr>
        <w:pStyle w:val="style0"/>
        <w:spacing w:lineRule="auto" w:line="480"/>
        <w:jc w:val="left"/>
        <w:rPr>
          <w:rFonts w:hint="eastAsia"/>
          <w:b/>
          <w:color w:val="36363d"/>
          <w:sz w:val="24"/>
          <w:szCs w:val="28"/>
        </w:rPr>
      </w:pPr>
      <w:r>
        <w:rPr>
          <w:rFonts w:hint="eastAsia"/>
          <w:b/>
          <w:color w:val="36363d"/>
          <w:sz w:val="24"/>
          <w:szCs w:val="28"/>
        </w:rPr>
        <w:t>致</w:t>
      </w:r>
      <w:r>
        <w:rPr>
          <w:rFonts w:hint="eastAsia"/>
          <w:b/>
          <w:color w:val="36363d"/>
          <w:sz w:val="24"/>
          <w:szCs w:val="28"/>
          <w:lang w:eastAsia="zh-CN"/>
        </w:rPr>
        <w:t>浙江大学附属邵逸夫医院新疆兵团阿拉尔医院</w:t>
      </w:r>
      <w:r>
        <w:rPr>
          <w:rFonts w:hint="eastAsia"/>
          <w:b/>
          <w:color w:val="36363d"/>
          <w:sz w:val="24"/>
          <w:szCs w:val="28"/>
        </w:rPr>
        <w:t>：</w:t>
      </w:r>
    </w:p>
    <w:p>
      <w:pPr>
        <w:pStyle w:val="style0"/>
        <w:spacing w:lineRule="auto" w:line="480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为更好的提升全自动微生物质谱检测系统的使用体验，减少仪器与试剂不适配等问题的发生，建议贵院在使用过程中，可选择仪器自行配套生产的试剂、校准品、质控品、清洗保养等耗材，按照仪器说明书要求使用仪器。若贵院在使用过程中，因操作不当、未按仪器说明书要求使用配套试剂</w:t>
      </w:r>
      <w:r w:rsidR="C223FB20">
        <w:rPr/>
        <w:drawing>
          <wp:anchor distT="0" distB="0" distL="0" distR="0" simplePos="false" relativeHeight="2" behindDoc="false" locked="false" layoutInCell="true" allowOverlap="true">
            <wp:simplePos x="0" y="0"/>
            <wp:positionH relativeFrom="page">
              <wp:posOffset>4954502</wp:posOffset>
            </wp:positionH>
            <wp:positionV relativeFrom="page">
              <wp:posOffset>3630653</wp:posOffset>
            </wp:positionV>
            <wp:extent cx="1335515" cy="1348113"/>
            <wp:effectExtent l="0" t="0" r="0" b="0"/>
            <wp:wrapNone/>
            <wp:docPr id="1026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335515" cy="1348113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等原因造成仪器缺陷或故障的，均不属于保修范围。</w:t>
      </w:r>
    </w:p>
    <w:p>
      <w:pPr>
        <w:pStyle w:val="style0"/>
        <w:jc w:val="left"/>
        <w:rPr>
          <w:sz w:val="24"/>
        </w:rPr>
      </w:pPr>
    </w:p>
    <w:p>
      <w:pPr>
        <w:pStyle w:val="style0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特此说明。</w:t>
      </w:r>
    </w:p>
    <w:p>
      <w:pPr>
        <w:pStyle w:val="style0"/>
        <w:jc w:val="right"/>
        <w:rPr>
          <w:b/>
          <w:sz w:val="24"/>
        </w:rPr>
      </w:pPr>
      <w:r>
        <w:rPr>
          <w:rFonts w:hint="eastAsia"/>
          <w:b/>
          <w:sz w:val="24"/>
        </w:rPr>
        <w:t>中元汇吉生物技术股份有限公司</w:t>
      </w:r>
    </w:p>
    <w:p>
      <w:pPr>
        <w:pStyle w:val="style0"/>
        <w:jc w:val="right"/>
        <w:rPr>
          <w:b/>
          <w:sz w:val="24"/>
        </w:rPr>
      </w:pPr>
      <w:r>
        <w:rPr>
          <w:rFonts w:hint="eastAsia"/>
          <w:b/>
          <w:sz w:val="24"/>
        </w:rPr>
        <w:t>（加盖公章）</w:t>
      </w:r>
    </w:p>
    <w:p>
      <w:pPr>
        <w:pStyle w:val="style0"/>
        <w:jc w:val="right"/>
        <w:rPr>
          <w:b/>
          <w:sz w:val="24"/>
        </w:rPr>
      </w:pPr>
    </w:p>
    <w:p>
      <w:pPr>
        <w:pStyle w:val="style0"/>
        <w:jc w:val="right"/>
        <w:rPr>
          <w:b/>
          <w:sz w:val="24"/>
        </w:rPr>
      </w:pPr>
      <w:r>
        <w:rPr>
          <w:rFonts w:hint="eastAsia"/>
          <w:b/>
          <w:sz w:val="24"/>
        </w:rPr>
        <w:t xml:space="preserve">                         202</w:t>
      </w:r>
      <w:r w:rsidR="9B2C18F5">
        <w:rPr>
          <w:rFonts w:hint="default"/>
          <w:b/>
          <w:sz w:val="24"/>
          <w:lang w:val="en-US"/>
        </w:rPr>
        <w:t>4</w:t>
      </w:r>
      <w:r>
        <w:rPr>
          <w:rFonts w:hint="eastAsia"/>
          <w:b/>
          <w:sz w:val="24"/>
        </w:rPr>
        <w:t>年1月</w:t>
      </w:r>
      <w:r w:rsidR="E3131485">
        <w:rPr>
          <w:rFonts w:hint="default"/>
          <w:b/>
          <w:sz w:val="24"/>
          <w:lang w:val="en-US"/>
        </w:rPr>
        <w:t>2</w:t>
      </w:r>
      <w:r>
        <w:rPr>
          <w:rFonts w:hint="eastAsia"/>
          <w:b/>
          <w:sz w:val="24"/>
        </w:rPr>
        <w:t>日</w:t>
      </w:r>
    </w:p>
    <w:p>
      <w:pPr>
        <w:pStyle w:val="style0"/>
        <w:ind w:firstLine="480" w:firstLineChars="200"/>
        <w:jc w:val="left"/>
        <w:rPr>
          <w:sz w:val="24"/>
        </w:rPr>
      </w:pPr>
    </w:p>
    <w:p>
      <w:pPr>
        <w:pStyle w:val="style0"/>
        <w:ind w:firstLine="480" w:firstLineChars="200"/>
        <w:jc w:val="left"/>
        <w:rPr>
          <w:rFonts w:hint="eastAsia"/>
          <w:sz w:val="24"/>
        </w:rPr>
      </w:pPr>
    </w:p>
    <w:p>
      <w:pPr>
        <w:pStyle w:val="style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附：</w:t>
      </w:r>
    </w:p>
    <w:p>
      <w:pPr>
        <w:pStyle w:val="style0"/>
        <w:rPr>
          <w:rFonts w:hint="eastAsia"/>
          <w:b/>
          <w:sz w:val="24"/>
          <w:szCs w:val="28"/>
        </w:rPr>
      </w:pPr>
    </w:p>
    <w:tbl>
      <w:tblPr>
        <w:tblStyle w:val="style154"/>
        <w:tblW w:w="9711" w:type="dxa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135"/>
        <w:gridCol w:w="1417"/>
        <w:gridCol w:w="3119"/>
        <w:gridCol w:w="1275"/>
      </w:tblGrid>
      <w:tr>
        <w:trPr/>
        <w:tc>
          <w:tcPr>
            <w:tcW w:w="765" w:type="dxa"/>
            <w:tcBorders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编号</w:t>
            </w:r>
          </w:p>
        </w:tc>
        <w:tc>
          <w:tcPr>
            <w:tcW w:w="3135" w:type="dxa"/>
            <w:tcBorders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配套试剂盒名称</w:t>
            </w:r>
          </w:p>
        </w:tc>
        <w:tc>
          <w:tcPr>
            <w:tcW w:w="1417" w:type="dxa"/>
            <w:tcBorders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厂家品牌</w:t>
            </w:r>
          </w:p>
        </w:tc>
        <w:tc>
          <w:tcPr>
            <w:tcW w:w="3119" w:type="dxa"/>
            <w:tcBorders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仪器名称</w:t>
            </w:r>
          </w:p>
        </w:tc>
        <w:tc>
          <w:tcPr>
            <w:tcW w:w="1275" w:type="dxa"/>
            <w:tcBorders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仪器型号</w:t>
            </w:r>
          </w:p>
        </w:tc>
      </w:tr>
      <w:tr>
        <w:tblPrEx/>
        <w:trPr/>
        <w:tc>
          <w:tcPr>
            <w:tcW w:w="765" w:type="dxa"/>
            <w:tcBorders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13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质谱系统微生物样本预处理试剂盒</w:t>
            </w:r>
          </w:p>
        </w:tc>
        <w:tc>
          <w:tcPr>
            <w:tcW w:w="1417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sz w:val="24"/>
              </w:rPr>
              <w:t>全自动</w:t>
            </w:r>
            <w:r>
              <w:rPr>
                <w:rFonts w:hint="eastAsia"/>
                <w:sz w:val="24"/>
              </w:rPr>
              <w:t>微生物质谱</w:t>
            </w:r>
            <w:r>
              <w:rPr>
                <w:sz w:val="24"/>
              </w:rPr>
              <w:t>检测</w:t>
            </w:r>
            <w:r>
              <w:rPr>
                <w:rFonts w:hint="eastAsia"/>
                <w:sz w:val="24"/>
              </w:rPr>
              <w:t>系统</w:t>
            </w:r>
          </w:p>
        </w:tc>
        <w:tc>
          <w:tcPr>
            <w:tcW w:w="127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EXS系列</w:t>
            </w:r>
          </w:p>
        </w:tc>
      </w:tr>
      <w:tr>
        <w:tblPrEx/>
        <w:trPr/>
        <w:tc>
          <w:tcPr>
            <w:tcW w:w="765" w:type="dxa"/>
            <w:tcBorders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13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质谱系统霉菌样本预处理试剂盒</w:t>
            </w:r>
          </w:p>
        </w:tc>
        <w:tc>
          <w:tcPr>
            <w:tcW w:w="1417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sz w:val="24"/>
              </w:rPr>
              <w:t>全自动</w:t>
            </w:r>
            <w:r>
              <w:rPr>
                <w:rFonts w:hint="eastAsia"/>
                <w:sz w:val="24"/>
              </w:rPr>
              <w:t>微生物质谱</w:t>
            </w:r>
            <w:r>
              <w:rPr>
                <w:sz w:val="24"/>
              </w:rPr>
              <w:t>检测</w:t>
            </w:r>
            <w:r>
              <w:rPr>
                <w:rFonts w:hint="eastAsia"/>
                <w:sz w:val="24"/>
              </w:rPr>
              <w:t>系统</w:t>
            </w:r>
          </w:p>
        </w:tc>
        <w:tc>
          <w:tcPr>
            <w:tcW w:w="127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EXS系列</w:t>
            </w:r>
          </w:p>
        </w:tc>
      </w:tr>
      <w:tr>
        <w:tblPrEx/>
        <w:trPr/>
        <w:tc>
          <w:tcPr>
            <w:tcW w:w="765" w:type="dxa"/>
            <w:tcBorders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13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质谱系统血培养阳性样本预处理试剂盒</w:t>
            </w:r>
          </w:p>
        </w:tc>
        <w:tc>
          <w:tcPr>
            <w:tcW w:w="1417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sz w:val="24"/>
              </w:rPr>
              <w:t>全自动</w:t>
            </w:r>
            <w:r>
              <w:rPr>
                <w:rFonts w:hint="eastAsia"/>
                <w:sz w:val="24"/>
              </w:rPr>
              <w:t>微生物质谱</w:t>
            </w:r>
            <w:r>
              <w:rPr>
                <w:sz w:val="24"/>
              </w:rPr>
              <w:t>检测</w:t>
            </w:r>
            <w:r>
              <w:rPr>
                <w:rFonts w:hint="eastAsia"/>
                <w:sz w:val="24"/>
              </w:rPr>
              <w:t>系统</w:t>
            </w:r>
          </w:p>
        </w:tc>
        <w:tc>
          <w:tcPr>
            <w:tcW w:w="127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EXS系列</w:t>
            </w:r>
          </w:p>
        </w:tc>
      </w:tr>
      <w:tr>
        <w:tblPrEx/>
        <w:trPr/>
        <w:tc>
          <w:tcPr>
            <w:tcW w:w="765" w:type="dxa"/>
            <w:tcBorders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13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质谱系统样本处理基质溶液</w:t>
            </w:r>
          </w:p>
        </w:tc>
        <w:tc>
          <w:tcPr>
            <w:tcW w:w="1417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sz w:val="24"/>
              </w:rPr>
              <w:t>全自动</w:t>
            </w:r>
            <w:r>
              <w:rPr>
                <w:rFonts w:hint="eastAsia"/>
                <w:sz w:val="24"/>
              </w:rPr>
              <w:t>微生物质谱</w:t>
            </w:r>
            <w:r>
              <w:rPr>
                <w:sz w:val="24"/>
              </w:rPr>
              <w:t>检测</w:t>
            </w:r>
            <w:r>
              <w:rPr>
                <w:rFonts w:hint="eastAsia"/>
                <w:sz w:val="24"/>
              </w:rPr>
              <w:t>系统</w:t>
            </w:r>
          </w:p>
        </w:tc>
        <w:tc>
          <w:tcPr>
            <w:tcW w:w="127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EXS系列</w:t>
            </w:r>
          </w:p>
        </w:tc>
      </w:tr>
      <w:tr>
        <w:tblPrEx/>
        <w:trPr/>
        <w:tc>
          <w:tcPr>
            <w:tcW w:w="765" w:type="dxa"/>
            <w:tcBorders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13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质谱系统样本预处理溶液</w:t>
            </w:r>
          </w:p>
        </w:tc>
        <w:tc>
          <w:tcPr>
            <w:tcW w:w="1417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sz w:val="24"/>
              </w:rPr>
              <w:t>全自动</w:t>
            </w:r>
            <w:r>
              <w:rPr>
                <w:rFonts w:hint="eastAsia"/>
                <w:sz w:val="24"/>
              </w:rPr>
              <w:t>微生物质谱</w:t>
            </w:r>
            <w:r>
              <w:rPr>
                <w:sz w:val="24"/>
              </w:rPr>
              <w:t>检测</w:t>
            </w:r>
            <w:r>
              <w:rPr>
                <w:rFonts w:hint="eastAsia"/>
                <w:sz w:val="24"/>
              </w:rPr>
              <w:t>系统</w:t>
            </w:r>
          </w:p>
        </w:tc>
        <w:tc>
          <w:tcPr>
            <w:tcW w:w="127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EXS系列</w:t>
            </w:r>
          </w:p>
        </w:tc>
      </w:tr>
      <w:tr>
        <w:tblPrEx/>
        <w:trPr/>
        <w:tc>
          <w:tcPr>
            <w:tcW w:w="765" w:type="dxa"/>
            <w:tcBorders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13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微生物质谱鉴定仪用校准品</w:t>
            </w:r>
          </w:p>
        </w:tc>
        <w:tc>
          <w:tcPr>
            <w:tcW w:w="1417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sz w:val="24"/>
              </w:rPr>
              <w:t>全自动</w:t>
            </w:r>
            <w:r>
              <w:rPr>
                <w:rFonts w:hint="eastAsia"/>
                <w:sz w:val="24"/>
              </w:rPr>
              <w:t>微生物质谱</w:t>
            </w:r>
            <w:r>
              <w:rPr>
                <w:sz w:val="24"/>
              </w:rPr>
              <w:t>检测</w:t>
            </w:r>
            <w:r>
              <w:rPr>
                <w:rFonts w:hint="eastAsia"/>
                <w:sz w:val="24"/>
              </w:rPr>
              <w:t>系统</w:t>
            </w:r>
          </w:p>
        </w:tc>
        <w:tc>
          <w:tcPr>
            <w:tcW w:w="1275" w:type="dxa"/>
            <w:tcBorders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EXS系列</w:t>
            </w:r>
          </w:p>
        </w:tc>
      </w:tr>
    </w:tbl>
    <w:p>
      <w:pPr>
        <w:pStyle w:val="style0"/>
        <w:jc w:val="left"/>
        <w:rPr>
          <w:sz w:val="24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000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方正书宋_GBK"/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000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000030204"/>
    <w:charset w:val="00"/>
    <w:family w:val="swiss"/>
    <w:pitch w:val="default"/>
    <w:sig w:usb0="00000000" w:usb1="00000000" w:usb2="00000001" w:usb3="00000000" w:csb0="0000019F" w:csb1="00000000"/>
  </w:font>
  <w:font w:name="汉仪书宋二KW">
    <w:altName w:val="汉仪书宋二KW"/>
    <w:panose1 w:val="00020600040000010101"/>
    <w:charset w:val="86"/>
    <w:family w:val="auto"/>
    <w:pitch w:val="default"/>
    <w:sig w:usb0="A00002BF" w:usb1="18EF7CFA" w:usb2="00000016" w:usb3="00000000" w:csb0="00040000" w:csb1="00000000"/>
  </w:font>
  <w:font w:name="苹方-简">
    <w:altName w:val="苹方-简"/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altName w:val="Helvetica Neue"/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000030204"/>
    <w:charset w:val="00"/>
    <w:family w:val="swiss"/>
    <w:pitch w:val="default"/>
    <w:sig w:usb0="00000000" w:usb1="00000000" w:usb2="00000009" w:usb3="00000000" w:csb0="000001FF" w:csb1="00000000"/>
  </w:font>
  <w:font w:name="宋体-简">
    <w:altName w:val="宋体-简"/>
    <w:panose1 w:val="02010800040000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5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revisionView w:markup="f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53">
    <w:name w:val="Balloon Text"/>
    <w:basedOn w:val="style0"/>
    <w:next w:val="style153"/>
    <w:link w:val="style4097"/>
    <w:uiPriority w:val="0"/>
    <w:pPr/>
    <w:rPr>
      <w:sz w:val="18"/>
      <w:szCs w:val="18"/>
    </w:rPr>
  </w:style>
  <w:style w:type="table" w:styleId="style154">
    <w:name w:val="Table Grid"/>
    <w:basedOn w:val="style105"/>
    <w:next w:val="style154"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customStyle="1" w:styleId="style4097">
    <w:name w:val="批注框文本 字符"/>
    <w:basedOn w:val="style65"/>
    <w:next w:val="style4097"/>
    <w:link w:val="style153"/>
    <w:uiPriority w:val="0"/>
    <w:rPr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Words>432</Words>
  <Pages>1</Pages>
  <Characters>447</Characters>
  <Application>WPS Office</Application>
  <DocSecurity>0</DocSecurity>
  <Paragraphs>57</Paragraphs>
  <ScaleCrop>false</ScaleCrop>
  <LinksUpToDate>false</LinksUpToDate>
  <CharactersWithSpaces>472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2022-01-07T13:38:00Z</dcterms:created>
  <dc:creator>Administrator</dc:creator>
  <lastModifiedBy>NOH-AN00</lastModifiedBy>
  <dcterms:modified xsi:type="dcterms:W3CDTF">2024-01-03T04:33:01Z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  <property fmtid="{D5CDD505-2E9C-101B-9397-08002B2CF9AE}" pid="3" name="ICV">
    <vt:lpwstr>1a6bf1b8e4b04b798e05e9399dd78749</vt:lpwstr>
  </property>
</Properties>
</file>