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四平市公安局关于采购DNA实验室、理化实验室试剂耗材项目招标需求的说明</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为保障我局刑侦支队</w:t>
      </w:r>
      <w:r>
        <w:rPr>
          <w:rFonts w:hint="eastAsia" w:ascii="仿宋_GB2312" w:hAnsi="仿宋_GB2312" w:eastAsia="仿宋_GB2312" w:cs="仿宋_GB2312"/>
          <w:sz w:val="32"/>
          <w:szCs w:val="32"/>
          <w:lang w:val="en-US" w:eastAsia="zh-CN"/>
        </w:rPr>
        <w:t>DNA实验室、理化实验室检验鉴定和DNA数据库建设、违法犯罪人员DNA信息采集工作的正常开展，四平市公安局开展DNA实验室、理化实验室试剂耗材采购项目招标工作。项目需求如下。</w:t>
      </w:r>
    </w:p>
    <w:p>
      <w:pPr>
        <w:pStyle w:val="2"/>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一、采购需求：</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具体参数如下：</w:t>
      </w:r>
    </w:p>
    <w:tbl>
      <w:tblPr>
        <w:tblStyle w:val="4"/>
        <w:tblpPr w:leftFromText="180" w:rightFromText="180" w:vertAnchor="text" w:horzAnchor="page" w:tblpX="612" w:tblpY="626"/>
        <w:tblOverlap w:val="never"/>
        <w:tblW w:w="104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67"/>
        <w:gridCol w:w="909"/>
        <w:gridCol w:w="841"/>
        <w:gridCol w:w="4928"/>
        <w:gridCol w:w="1035"/>
        <w:gridCol w:w="846"/>
        <w:gridCol w:w="1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产品名称</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规格</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技术参数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常规检材扩增试剂盒</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200次/盒</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1、试剂盒所需常染色体试剂盒采用五色及以上荧光标记，须包含公安部要求的20个核心基因座：D8S1179、D21S11、D7S820、CSF1PO、D3S1358、TH01、D13S317、D16S539、D2S1338、D19S433、vWA、TPOX、D18S51、D5S818、FGA、D12S391、PentaD 、PentaE、D6S1043和Amelogenin。</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2、为防止因性别位点Y缺失造成的性别误判，试剂盒含有1个Y遗传标记位点。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3、试剂盒包装规格为25ul×200人份，应包含扩增检测所需全部试剂（热启动酶、引物、内标、等位基因Ladder等），可按10微升体系扩增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4、为了保证降解检材的扩增效率，试剂盒扩增最大片段长度不大于420bp，且包含至少10个mini-STR基因座 (扩增子长度在 220bp以下)。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5、为保证检测效率，试剂盒PCR扩增时间不超100分钟。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6、试剂盒灵敏度不低于62.5pg/uL，即对浓度不低于62.5pg/uL的样本能够有效检出全部基因座；</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疑难检材扩增试剂盒</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200人份</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1、检验试剂盒采用六色荧光标记，至少同时扩增检测29个常染色体STR基因座，须包含公安部打拐数据库要求的30个常染色体STR基因座：D3S1358、CSF1PO、D2S441、D21S11、Penta E、D15S659、D8S1179、D5S818、D19S433、D16S539、Penta D、D8S1132、Amel、vWA、D2S1338、D18S51、D22S1045、D6S477、TH01、D12S391、TPOX、FGA、D19S253、D13S317、 D1S1656、D10S1248、D6S1043、D7S820、D10S1435、D3S3045，提供相关技术资料；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2、试剂盒针对案件检材设计，灵敏度高，抗抑制能力强，对案件检材有良好的检出效果。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3、为防止性别位点Y丢失造成的性别误判，试剂盒需具有1个Y indel基因座。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4、为适应降解检材的检测，所提供得常染色体STR检验试剂盒最大片段不超过500bp，20个核心基因座小于450bp。</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5、为便于样本种属检测，试剂盒具备人类种属特异性位点。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6、为保证检测效率，试剂盒扩增时间不超过90分钟。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3130/3130xL POP4胶</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7ml</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可应用于3130xl型DNA测序仪，能够准确分离荧光标记STR试剂盒扩增片段。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Y扩增试剂盒</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100人份</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1、采用六色荧光标记，可同时扩增检测不少于35个Y-STR基因座，须包含公安部20个核心基因座（DYS19、DYS385a/b、DYS389 I、DYS389 II、DYS390、DYS391、DYS392、DYS393、DYS437、DYS438、DYS439、DYS448、DYS456、DYS458、DYS635、Y_GATA_H4、DYS481、DYS533、DYS576）和15个优选基因座（DYS643、DYS460、DYS549、DYF387S1、DYS449、DYS518、DYS627、DYS570、DYS527a/b、DYS447、DYS444、DYS557、DYS596），须提供经由分析软件导出的STR分型彩色图谱。</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2、所用试剂盒型号和其基因座信息已录入全国公安机关DNA数据库，检测结果可以直接导入数据库。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3、包含至少3个Y-indel基因座，可以进行男性家系的快速排查。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4、为满足降解检材的检测，试剂盒最大扩增片段长度不大于550bp，且20个核心基因座的扩增片段长度均小于350bp，利于降解检材的分型，须提供分析软件导出的彩色分型图谱。</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超微量磁珠法DNA提取试剂盒（KingFisher专用）</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48人份</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1.DNA提取试剂盒为一体式封装试剂，用于DNA提取的磁珠和各种试剂通过塑料膜密封在可与DNA纯化仪配套使用的塑料条内，使用时撕开密封用塑料膜置于DNA纯化仪中即可直接用于DNA的自动化提取；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2.封装有试剂的塑料条有8个孔，其中4个孔空白，另4个孔分别封装有磁珠等试剂，8个孔中的7个为方孔，1个为实现最小洗脱体积20微升的洗脱用圆孔；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3.产品规格：48人份/盒；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4.样本适用性：配有可在低通量KingFisher DNA纯化仪上使用的浓缩、纯化及提取程序，专用于接触性检材为主的疑难检材的DNA提取纯化；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5.所投产品须能够与采购单位原有KingFisher磁珠提取纯化系统相匹配。</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超微量磁珠法DNA提取试剂盒（KingFisher Flex专用）</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96人份</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1.DNA提取试剂盒为一体式封装试剂，用于DNA提取的磁珠和各种试剂通过塑料膜密封在可与DNA纯化仪配套使用的96孔板内，使用时撕开密封用塑料膜置于DNA纯化仪中即可直接用于DNA的自动化提取。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2、封装有试剂的塑料反应板有96个孔，每个反应孔分别封装有磁珠等试剂，含有封装试剂的反应板共有5块且均为深孔板，另配有1块96孔磁套及1块96孔空白浅孔板，浅孔板可以实现20ul小体积洗脱。</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3、产品规格：96人份/盒。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4、样本适用性：配有可在高通量KingFisher Flex DNA纯化仪上使用的浓缩、纯化及提取程序，专用于接触性检材为主的疑难检材的DNA提取纯化。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5、所投产品须能够与采购单位原有KingFisher Flex磁珠提取纯化系统相匹配。</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超微量磁珠法DNA提取试剂盒（全自动专用，96次）</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96人份</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超微量磁珠法DNA提取试剂盒（全自动专用）为一体式封装试剂，用于DNA提取的磁珠和各种试剂通过塑料膜密封在可与全自动微量DNA提取工作站配套使用的塑料反应板内，使用时撕开密封膜置于全自动微量DNA提取工作站中即可直接用于全自动DNA的自动化提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一个完整试剂盒包装含有封装试剂的反应板，并配有试剂相应数量的盒装吸头（吸头为封装好的盒装吸头，撕开外包装即可整盒放在工作站上使用），封装好的消化液（一次性使用，无需二次整体转移消化液，撕开封膜即可放在工作站上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3、完整试剂盒外另配和试剂盒规格相应数量的24孔离心套板，该24孔离心套板为嵌套反应板，上下部分可分离，另配相应数量封装好的洗脱液；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4、产品规格：96人份/盒；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5、样本适用性：配有在全自动微量DNA提取工作站上使用的浓缩、纯化及提取程序，可用于血液(斑)、唾液(斑)、毛发、组织等常规检材及陈旧、污染、降解和微量检材等疑难检材的DNA提取纯化；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唾液DNA样本采集盒</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100套/盒</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1、可直接采集唾液（非口腔上皮细胞）DNA，无需其它器具介入口腔内。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2、产品为100套/盒，每套产品包含唾液采集盒1个和采集卡1张，采集盒与采集卡一体式组装。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采集盒采用漏斗式采集设计，PP材质，漏斗内有刻度线标记唾液采集量，上盖的海绵块装置可以有效的吸取多余唾液。采集盒尺寸不小于65*45*12.5mm，上下开盖设计实现上开盖直接采集唾液，采样完成后下开盖直接取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4、采集卡由包装卡和采样纸组成，采样区上采样环直径不小于1.5cm，采样区有效面积不小于30*30mm²。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5、包装卡内含有速干层可以使唾液样本快速干燥；采样纸上采样区为单采样环，采样纸上含指示性试剂具有永久指示功能，当遇到无色的唾液样本时，采样纸由紫红色变为白色，变色后可长期保存不退色。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6、包装卡封皮上可填写待录自然信息，待录信息包括：姓名、性别、证件号码、采样单位、采样人、联系电话、采样时间等。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7、包装卡三折后一端粘附采样纸，包装卡附有防水条码，打孔同时扫描条码。条码号符合省库统一制式，不得有重码。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8、采集的唾液样本无需水洗等前处理步骤可直接用于免提取直接扩增试剂且对扩增无抑制；唾液样本法庭科学DNA数据库检出率应不低于95%。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9、投标商应提供采样规范以及培训视频。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 ml离心管</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1000个/盒</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1、无色透明，PP材质。2、1000个/盒。</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 ml离心管</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500个/盒</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1、无色透明，PP材质。2、500个/盒。</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10ul袋装吸头</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1000个/包</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1、无色透明，PP材质。2、1000个/包。</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200ul袋装吸头</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1000个/包</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1、黄色透明，PP材质。2、1000个/包。</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1000ul袋装吸头</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1000个/包</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1、黄色透明，PP材质。2、1000个/包。</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人血液（斑）确证试纸条</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100份/盒</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有效鉴定人血，100份/盒。</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人精液（斑）确证试纸条</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100份/盒</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有效鉴定人精斑，100份/盒。</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脱落细胞粘取器</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100个/盒</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1、粘取器规格：10x10mm；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★2、为防止提取膜片成团影响后续DNA检验，提取膜片为硬质膜片且单面带胶；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★3、基底采用软性材质，可充分贴合凸凹表面；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4、产品经环氧乙烷消毒灭菌处理，绝无外源DNA污染。</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生物物证提取棉签</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50人份/袋</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1、用于DNA实验室对生物物证的提取；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★2、提取专用棉签的两端都为尖状，便于微量检材的擦拭；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★3、独立包装，配备高纯水，方便润湿棉签；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4、产品经环氧乙烷消毒灭菌处理，绝无外源DNA污染。</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袋</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3500阴极缓冲液</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4个/盒</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1、带有射电标签，配合3500型DNA测序仪使用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3500阳极缓冲液</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4个/盒</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1、带有射电标签，配合3500型DNA测序仪使用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氮气</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40L，高纯，用于气相色谱载气。</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氦气</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40L，高纯，用于质谱仪载气。</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氮气分压表头</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40L钢瓶专用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氦气分压表头</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40L钢瓶专用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pStyle w:val="2"/>
        <w:numPr>
          <w:ilvl w:val="0"/>
          <w:numId w:val="0"/>
        </w:numPr>
        <w:ind w:firstLine="640" w:firstLineChars="200"/>
        <w:rPr>
          <w:rFonts w:hint="eastAsia" w:ascii="仿宋_GB2312" w:hAnsi="仿宋_GB2312" w:eastAsia="仿宋_GB2312" w:cs="仿宋_GB2312"/>
          <w:sz w:val="32"/>
          <w:szCs w:val="32"/>
          <w:lang w:val="en-US" w:eastAsia="zh-CN"/>
        </w:rPr>
      </w:pPr>
    </w:p>
    <w:p>
      <w:pPr>
        <w:pStyle w:val="2"/>
        <w:numPr>
          <w:ilvl w:val="0"/>
          <w:numId w:val="0"/>
        </w:numPr>
        <w:ind w:firstLine="640" w:firstLineChars="200"/>
        <w:rPr>
          <w:rFonts w:hint="eastAsia" w:ascii="仿宋_GB2312" w:hAnsi="仿宋_GB2312" w:eastAsia="仿宋_GB2312" w:cs="仿宋_GB2312"/>
          <w:sz w:val="32"/>
          <w:szCs w:val="32"/>
          <w:lang w:val="en-US" w:eastAsia="zh-CN"/>
        </w:rPr>
      </w:pPr>
    </w:p>
    <w:p>
      <w:pPr>
        <w:pStyle w:val="2"/>
        <w:numPr>
          <w:ilvl w:val="0"/>
          <w:numId w:val="0"/>
        </w:numPr>
        <w:ind w:firstLine="640" w:firstLineChars="200"/>
        <w:rPr>
          <w:rFonts w:hint="eastAsia" w:ascii="仿宋_GB2312" w:hAnsi="仿宋_GB2312" w:eastAsia="仿宋_GB2312" w:cs="仿宋_GB2312"/>
          <w:sz w:val="32"/>
          <w:szCs w:val="32"/>
          <w:lang w:val="en-US" w:eastAsia="zh-CN"/>
        </w:rPr>
      </w:pPr>
      <w:bookmarkStart w:id="0" w:name="_GoBack"/>
      <w:bookmarkEnd w:id="0"/>
    </w:p>
    <w:p>
      <w:pPr>
        <w:rPr>
          <w:rFonts w:hint="default"/>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274765"/>
    <w:rsid w:val="11DF474D"/>
    <w:rsid w:val="230C62E4"/>
    <w:rsid w:val="27F944D5"/>
    <w:rsid w:val="49A54C5E"/>
    <w:rsid w:val="5FE65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2"/>
    <w:basedOn w:val="1"/>
    <w:qFormat/>
    <w:uiPriority w:val="99"/>
    <w:pPr>
      <w:spacing w:after="120" w:line="480" w:lineRule="auto"/>
    </w:pPr>
  </w:style>
  <w:style w:type="character" w:customStyle="1" w:styleId="5">
    <w:name w:val="font41"/>
    <w:basedOn w:val="3"/>
    <w:uiPriority w:val="0"/>
    <w:rPr>
      <w:rFonts w:hint="eastAsia" w:ascii="宋体" w:hAnsi="宋体" w:eastAsia="宋体" w:cs="宋体"/>
      <w:color w:val="000000"/>
      <w:sz w:val="20"/>
      <w:szCs w:val="20"/>
      <w:u w:val="none"/>
    </w:rPr>
  </w:style>
  <w:style w:type="character" w:customStyle="1" w:styleId="6">
    <w:name w:val="font21"/>
    <w:basedOn w:val="3"/>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2025-05-07T01:21:00Z</dcterms:created>
  <dc:creator>HP1543</dc:creator>
  <cp:lastModifiedBy>Administrator</cp:lastModifiedBy>
  <dcterms:modified xsi:type="dcterms:W3CDTF">2025-05-22T07:43:35Z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