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6FB1A">
      <w:pPr>
        <w:pStyle w:val="8"/>
        <w:keepNext w:val="0"/>
        <w:keepLines w:val="0"/>
        <w:widowControl/>
        <w:suppressLineNumbers w:val="0"/>
        <w:spacing w:before="0" w:beforeAutospacing="0" w:after="0" w:afterAutospacing="0" w:line="450" w:lineRule="atLeast"/>
        <w:ind w:left="0" w:right="0" w:firstLine="420"/>
        <w:jc w:val="both"/>
        <w:rPr>
          <w:rStyle w:val="11"/>
          <w:rFonts w:hint="eastAsia" w:ascii="仿宋" w:hAnsi="仿宋" w:eastAsia="仿宋" w:cs="仿宋"/>
          <w:b/>
          <w:bCs/>
          <w:color w:val="333333"/>
          <w:spacing w:val="0"/>
          <w:sz w:val="24"/>
          <w:szCs w:val="24"/>
          <w:shd w:val="clear" w:fill="FFFFFF"/>
          <w:lang w:eastAsia="zh-CN"/>
        </w:rPr>
      </w:pPr>
      <w:bookmarkStart w:id="6" w:name="_GoBack"/>
      <w:bookmarkEnd w:id="6"/>
      <w:r>
        <w:rPr>
          <w:rStyle w:val="11"/>
          <w:rFonts w:hint="eastAsia" w:ascii="仿宋" w:hAnsi="仿宋" w:eastAsia="仿宋" w:cs="仿宋"/>
          <w:b/>
          <w:bCs/>
          <w:color w:val="333333"/>
          <w:spacing w:val="0"/>
          <w:sz w:val="24"/>
          <w:szCs w:val="24"/>
          <w:shd w:val="clear" w:fill="FFFFFF"/>
          <w:lang w:eastAsia="zh-CN"/>
        </w:rPr>
        <w:t>遂昌县九云综合服务中心项目弱电智能化采购及安装更正公告附件：</w:t>
      </w:r>
    </w:p>
    <w:p w14:paraId="75674710">
      <w:pPr>
        <w:pStyle w:val="8"/>
        <w:keepNext w:val="0"/>
        <w:keepLines w:val="0"/>
        <w:widowControl/>
        <w:suppressLineNumbers w:val="0"/>
        <w:spacing w:before="0" w:beforeAutospacing="0" w:after="0" w:afterAutospacing="0" w:line="450" w:lineRule="atLeast"/>
        <w:ind w:left="0" w:right="0" w:firstLine="420"/>
        <w:jc w:val="both"/>
        <w:rPr>
          <w:rStyle w:val="11"/>
          <w:rFonts w:hint="eastAsia" w:ascii="仿宋" w:hAnsi="仿宋" w:eastAsia="仿宋" w:cs="仿宋"/>
          <w:b/>
          <w:bCs/>
          <w:color w:val="333333"/>
          <w:spacing w:val="0"/>
          <w:sz w:val="24"/>
          <w:szCs w:val="24"/>
          <w:shd w:val="clear" w:fill="FFFFFF"/>
          <w:lang w:eastAsia="zh-CN"/>
        </w:rPr>
      </w:pPr>
      <w:r>
        <w:rPr>
          <w:rStyle w:val="11"/>
          <w:rFonts w:hint="eastAsia" w:ascii="仿宋" w:hAnsi="仿宋" w:eastAsia="仿宋" w:cs="仿宋"/>
          <w:b/>
          <w:bCs/>
          <w:color w:val="333333"/>
          <w:spacing w:val="0"/>
          <w:sz w:val="24"/>
          <w:szCs w:val="24"/>
          <w:shd w:val="clear" w:fill="FFFFFF"/>
          <w:lang w:eastAsia="zh-CN"/>
        </w:rPr>
        <w:t>2、计算机网络系统</w:t>
      </w:r>
    </w:p>
    <w:tbl>
      <w:tblPr>
        <w:tblStyle w:val="9"/>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710"/>
        <w:gridCol w:w="5625"/>
        <w:gridCol w:w="1022"/>
        <w:gridCol w:w="668"/>
      </w:tblGrid>
      <w:tr w14:paraId="79E4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noWrap w:val="0"/>
            <w:vAlign w:val="center"/>
          </w:tcPr>
          <w:p w14:paraId="6C115DF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10" w:type="dxa"/>
            <w:noWrap w:val="0"/>
            <w:vAlign w:val="center"/>
          </w:tcPr>
          <w:p w14:paraId="64937E6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5625" w:type="dxa"/>
            <w:noWrap w:val="0"/>
            <w:vAlign w:val="center"/>
          </w:tcPr>
          <w:p w14:paraId="5C7463C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1022" w:type="dxa"/>
            <w:noWrap w:val="0"/>
            <w:vAlign w:val="center"/>
          </w:tcPr>
          <w:p w14:paraId="2C165A3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668" w:type="dxa"/>
            <w:noWrap w:val="0"/>
            <w:vAlign w:val="center"/>
          </w:tcPr>
          <w:p w14:paraId="3D2337E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73A6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651" w:type="dxa"/>
            <w:noWrap/>
            <w:vAlign w:val="center"/>
          </w:tcPr>
          <w:p w14:paraId="565E024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710" w:type="dxa"/>
            <w:noWrap/>
            <w:vAlign w:val="center"/>
          </w:tcPr>
          <w:p w14:paraId="055844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5625" w:type="dxa"/>
            <w:noWrap w:val="0"/>
            <w:vAlign w:val="center"/>
          </w:tcPr>
          <w:p w14:paraId="1E5B504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1、整机独立管理模块插槽≥2个，独立业务模块插槽≥6个，系统电源槽位≥4个。</w:t>
            </w:r>
          </w:p>
          <w:p w14:paraId="7470DCD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2、为提高机房空间利用率，节约空间成本，要求采用紧凑型机框设计。</w:t>
            </w:r>
          </w:p>
          <w:p w14:paraId="1F06A78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6"/>
                <w:rFonts w:hint="eastAsia" w:ascii="宋体" w:hAnsi="宋体" w:eastAsia="宋体" w:cs="宋体"/>
                <w:b/>
                <w:bCs/>
                <w:color w:val="auto"/>
                <w:sz w:val="21"/>
                <w:szCs w:val="21"/>
                <w:highlight w:val="none"/>
                <w:lang w:val="en-US" w:eastAsia="zh-CN" w:bidi="ar"/>
              </w:rPr>
            </w:pPr>
            <w:r>
              <w:rPr>
                <w:rStyle w:val="16"/>
                <w:rFonts w:hint="eastAsia" w:ascii="宋体" w:hAnsi="宋体" w:eastAsia="宋体" w:cs="宋体"/>
                <w:b/>
                <w:bCs/>
                <w:color w:val="auto"/>
                <w:sz w:val="21"/>
                <w:szCs w:val="21"/>
                <w:highlight w:val="none"/>
                <w:lang w:val="en-US" w:eastAsia="zh-CN" w:bidi="ar"/>
              </w:rPr>
              <w:t>3、</w:t>
            </w:r>
            <w:r>
              <w:rPr>
                <w:rStyle w:val="16"/>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b/>
                <w:bCs/>
                <w:color w:val="auto"/>
                <w:sz w:val="21"/>
                <w:szCs w:val="21"/>
                <w:highlight w:val="none"/>
                <w:lang w:val="en-US" w:eastAsia="zh-CN" w:bidi="ar"/>
              </w:rPr>
              <w:t>交换容量≥76.8Tbps，包转发性能≥8640Mpps。</w:t>
            </w:r>
          </w:p>
          <w:p w14:paraId="2E8930A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4、设备防雷不低于6KV。</w:t>
            </w:r>
          </w:p>
          <w:p w14:paraId="6A23DF8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5、为了提高设备可靠性，要求设备主控板支持1+1冗余备份，电源支持N+M冗余备份。</w:t>
            </w:r>
          </w:p>
          <w:p w14:paraId="061F71A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b/>
                <w:bCs/>
                <w:color w:val="auto"/>
                <w:sz w:val="21"/>
                <w:szCs w:val="21"/>
                <w:highlight w:val="none"/>
                <w:lang w:val="en-US" w:eastAsia="zh-CN" w:bidi="ar"/>
              </w:rPr>
            </w:pPr>
            <w:r>
              <w:rPr>
                <w:rStyle w:val="15"/>
                <w:rFonts w:hint="eastAsia" w:ascii="宋体" w:hAnsi="宋体" w:eastAsia="宋体" w:cs="宋体"/>
                <w:b/>
                <w:bCs/>
                <w:color w:val="auto"/>
                <w:sz w:val="21"/>
                <w:szCs w:val="21"/>
                <w:highlight w:val="none"/>
                <w:lang w:val="en-US" w:eastAsia="zh-CN" w:bidi="ar"/>
              </w:rPr>
              <w:t>6、</w:t>
            </w:r>
            <w:r>
              <w:rPr>
                <w:rStyle w:val="16"/>
                <w:rFonts w:hint="eastAsia" w:ascii="宋体" w:hAnsi="宋体" w:eastAsia="宋体" w:cs="宋体"/>
                <w:color w:val="auto"/>
                <w:sz w:val="21"/>
                <w:szCs w:val="21"/>
                <w:highlight w:val="none"/>
                <w:lang w:val="en-US" w:eastAsia="zh-CN" w:bidi="ar"/>
              </w:rPr>
              <w:t>●</w:t>
            </w:r>
            <w:r>
              <w:rPr>
                <w:rStyle w:val="15"/>
                <w:rFonts w:hint="eastAsia" w:ascii="宋体" w:hAnsi="宋体" w:eastAsia="宋体" w:cs="宋体"/>
                <w:b/>
                <w:bCs/>
                <w:color w:val="auto"/>
                <w:sz w:val="21"/>
                <w:szCs w:val="21"/>
                <w:highlight w:val="none"/>
                <w:lang w:val="en-US" w:eastAsia="zh-CN" w:bidi="ar"/>
              </w:rPr>
              <w:t>支持网管平台和手机APP集中管理，实配网管平台，出现交换机端口状态改变、网络出现环路、交换机端口流量过阀值等问题通过微信告警推送；</w:t>
            </w:r>
          </w:p>
          <w:p w14:paraId="1AB5E86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7、设备支持对全网同品牌设备进行统一的发现，并可对网关、交换机、无线AP等设备进行集中化调试，避免各区域分别调试的麻烦。</w:t>
            </w:r>
          </w:p>
          <w:p w14:paraId="0653FC7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8、要求实配管理模块≥2，电源模块≥2个，千兆电口≥48个，千兆光口≥24个，万兆光口数量≥20个。</w:t>
            </w:r>
          </w:p>
          <w:p w14:paraId="0509989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Style w:val="16"/>
                <w:rFonts w:hint="eastAsia" w:ascii="宋体" w:hAnsi="宋体" w:eastAsia="宋体" w:cs="宋体"/>
                <w:b w:val="0"/>
                <w:bCs w:val="0"/>
                <w:color w:val="auto"/>
                <w:sz w:val="21"/>
                <w:szCs w:val="21"/>
                <w:highlight w:val="none"/>
                <w:lang w:val="en-US" w:eastAsia="zh-CN" w:bidi="ar"/>
              </w:rPr>
              <w:t>9、配备</w:t>
            </w:r>
            <w:r>
              <w:rPr>
                <w:rFonts w:hint="eastAsia" w:ascii="宋体" w:hAnsi="宋体" w:eastAsia="宋体" w:cs="宋体"/>
                <w:b w:val="0"/>
                <w:bCs w:val="0"/>
                <w:i w:val="0"/>
                <w:iCs w:val="0"/>
                <w:color w:val="auto"/>
                <w:kern w:val="0"/>
                <w:sz w:val="21"/>
                <w:szCs w:val="21"/>
                <w:highlight w:val="none"/>
                <w:u w:val="none"/>
                <w:lang w:val="en-US" w:eastAsia="zh-CN" w:bidi="ar"/>
              </w:rPr>
              <w:t>机箱1台，电源2个，引擎2个，板卡</w:t>
            </w:r>
            <w:r>
              <w:rPr>
                <w:rStyle w:val="15"/>
                <w:rFonts w:hint="eastAsia" w:ascii="宋体" w:hAnsi="宋体" w:eastAsia="宋体" w:cs="宋体"/>
                <w:color w:val="auto"/>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3块。</w:t>
            </w:r>
          </w:p>
          <w:p w14:paraId="63BAB79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Style w:val="15"/>
                <w:rFonts w:hint="eastAsia" w:ascii="宋体" w:hAnsi="宋体" w:eastAsia="宋体" w:cs="宋体"/>
                <w:b/>
                <w:bCs/>
                <w:i w:val="0"/>
                <w:iCs w:val="0"/>
                <w:color w:val="auto"/>
                <w:sz w:val="21"/>
                <w:szCs w:val="21"/>
                <w:highlight w:val="none"/>
                <w:lang w:val="en-US" w:eastAsia="zh-CN" w:bidi="ar"/>
              </w:rPr>
              <w:t>以上第3、6项参数须提供相关证明材料。</w:t>
            </w:r>
          </w:p>
        </w:tc>
        <w:tc>
          <w:tcPr>
            <w:tcW w:w="1022" w:type="dxa"/>
            <w:noWrap/>
            <w:vAlign w:val="center"/>
          </w:tcPr>
          <w:p w14:paraId="67BA382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68" w:type="dxa"/>
            <w:noWrap/>
            <w:vAlign w:val="center"/>
          </w:tcPr>
          <w:p w14:paraId="07C2287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2E9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51" w:type="dxa"/>
            <w:noWrap/>
            <w:vAlign w:val="center"/>
          </w:tcPr>
          <w:p w14:paraId="22A7356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710" w:type="dxa"/>
            <w:noWrap/>
            <w:vAlign w:val="center"/>
          </w:tcPr>
          <w:p w14:paraId="3E9DEB2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5625" w:type="dxa"/>
            <w:noWrap w:val="0"/>
            <w:vAlign w:val="center"/>
          </w:tcPr>
          <w:p w14:paraId="41E14DF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1、整机独立管理模块插槽≥2个，独立业务模块插槽≥6个，系统电源槽位≥4个。</w:t>
            </w:r>
          </w:p>
          <w:p w14:paraId="34E1A9E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2、为提高机房空间利用率，节约空间成本，要求采用紧凑型机框设计。</w:t>
            </w:r>
          </w:p>
          <w:p w14:paraId="26711C1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6"/>
                <w:rFonts w:hint="eastAsia" w:ascii="宋体" w:hAnsi="宋体" w:eastAsia="宋体" w:cs="宋体"/>
                <w:b/>
                <w:bCs/>
                <w:color w:val="auto"/>
                <w:sz w:val="21"/>
                <w:szCs w:val="21"/>
                <w:highlight w:val="none"/>
                <w:lang w:val="en-US" w:eastAsia="zh-CN" w:bidi="ar"/>
              </w:rPr>
            </w:pPr>
            <w:r>
              <w:rPr>
                <w:rStyle w:val="16"/>
                <w:rFonts w:hint="eastAsia" w:ascii="宋体" w:hAnsi="宋体" w:eastAsia="宋体" w:cs="宋体"/>
                <w:b/>
                <w:bCs/>
                <w:color w:val="auto"/>
                <w:sz w:val="21"/>
                <w:szCs w:val="21"/>
                <w:highlight w:val="none"/>
                <w:lang w:val="en-US" w:eastAsia="zh-CN" w:bidi="ar"/>
              </w:rPr>
              <w:t>3、</w:t>
            </w:r>
            <w:r>
              <w:rPr>
                <w:rStyle w:val="16"/>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b/>
                <w:bCs/>
                <w:color w:val="auto"/>
                <w:sz w:val="21"/>
                <w:szCs w:val="21"/>
                <w:highlight w:val="none"/>
                <w:lang w:val="en-US" w:eastAsia="zh-CN" w:bidi="ar"/>
              </w:rPr>
              <w:t>交换容量≥76.8Tbps，包转发性能≥8640Mpps。</w:t>
            </w:r>
          </w:p>
          <w:p w14:paraId="014FF02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4、设备防雷不低于6KV。</w:t>
            </w:r>
          </w:p>
          <w:p w14:paraId="63B7F29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5、为了提高设备可靠性，要求设备主控板支持1+1冗余备份，电源支持N+M冗余备份。</w:t>
            </w:r>
          </w:p>
          <w:p w14:paraId="46B1851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r>
              <w:rPr>
                <w:rStyle w:val="16"/>
                <w:rFonts w:hint="eastAsia" w:ascii="宋体" w:hAnsi="宋体" w:eastAsia="宋体" w:cs="宋体"/>
                <w:color w:val="auto"/>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支持网管平台和手机APP集中管理，实配网管平台，出现交换机端口状态改变、网络出现环路、交换机端口流量过阀值等问题通过微信告警推送</w:t>
            </w:r>
            <w:r>
              <w:rPr>
                <w:rFonts w:hint="eastAsia" w:ascii="宋体" w:hAnsi="宋体" w:eastAsia="宋体" w:cs="宋体"/>
                <w:i w:val="0"/>
                <w:iCs w:val="0"/>
                <w:color w:val="auto"/>
                <w:kern w:val="0"/>
                <w:sz w:val="21"/>
                <w:szCs w:val="21"/>
                <w:highlight w:val="none"/>
                <w:u w:val="none"/>
                <w:lang w:val="en-US" w:eastAsia="zh-CN" w:bidi="ar"/>
              </w:rPr>
              <w:t>；</w:t>
            </w:r>
          </w:p>
          <w:p w14:paraId="5003899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7、为方便新建项目开局，要求设备支持对全网同品牌设备进行统一的发现，并可对网关、交换机、无线AP等设备进行集中化调试，避免各区域分别调试的麻烦。</w:t>
            </w:r>
          </w:p>
          <w:p w14:paraId="7ADB0A8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8、要求实配管理模块≥2，电源模块≥2个，千兆电口≥24个，千兆光口≥72个，万兆光口数量≥20个。</w:t>
            </w:r>
          </w:p>
          <w:p w14:paraId="00210AD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r>
              <w:rPr>
                <w:rStyle w:val="16"/>
                <w:rFonts w:hint="eastAsia" w:ascii="宋体" w:hAnsi="宋体" w:eastAsia="宋体" w:cs="宋体"/>
                <w:b w:val="0"/>
                <w:bCs w:val="0"/>
                <w:color w:val="auto"/>
                <w:sz w:val="21"/>
                <w:szCs w:val="21"/>
                <w:highlight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机箱1台，电源2个，引擎2个，</w:t>
            </w:r>
            <w:r>
              <w:rPr>
                <w:rFonts w:hint="eastAsia" w:ascii="宋体" w:hAnsi="宋体" w:eastAsia="宋体" w:cs="宋体"/>
                <w:b w:val="0"/>
                <w:bCs w:val="0"/>
                <w:i w:val="0"/>
                <w:iCs w:val="0"/>
                <w:color w:val="auto"/>
                <w:kern w:val="0"/>
                <w:sz w:val="21"/>
                <w:szCs w:val="21"/>
                <w:highlight w:val="none"/>
                <w:u w:val="none"/>
                <w:lang w:val="en-US" w:eastAsia="zh-CN" w:bidi="ar"/>
              </w:rPr>
              <w:t>板卡</w:t>
            </w:r>
            <w:r>
              <w:rPr>
                <w:rStyle w:val="15"/>
                <w:rFonts w:hint="eastAsia" w:ascii="宋体" w:hAnsi="宋体" w:eastAsia="宋体" w:cs="宋体"/>
                <w:color w:val="auto"/>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4块</w:t>
            </w:r>
            <w:r>
              <w:rPr>
                <w:rFonts w:hint="eastAsia" w:ascii="宋体" w:hAnsi="宋体" w:eastAsia="宋体" w:cs="宋体"/>
                <w:i w:val="0"/>
                <w:iCs w:val="0"/>
                <w:color w:val="auto"/>
                <w:kern w:val="0"/>
                <w:sz w:val="21"/>
                <w:szCs w:val="21"/>
                <w:highlight w:val="none"/>
                <w:u w:val="none"/>
                <w:lang w:val="en-US" w:eastAsia="zh-CN" w:bidi="ar"/>
              </w:rPr>
              <w:t>。</w:t>
            </w:r>
          </w:p>
          <w:p w14:paraId="3638D26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b/>
                <w:bCs/>
                <w:i w:val="0"/>
                <w:iCs w:val="0"/>
                <w:color w:val="auto"/>
                <w:sz w:val="21"/>
                <w:szCs w:val="21"/>
                <w:highlight w:val="none"/>
                <w:lang w:val="en-US" w:eastAsia="zh-CN" w:bidi="ar"/>
              </w:rPr>
            </w:pPr>
            <w:r>
              <w:rPr>
                <w:rStyle w:val="15"/>
                <w:rFonts w:hint="eastAsia" w:ascii="宋体" w:hAnsi="宋体" w:eastAsia="宋体" w:cs="宋体"/>
                <w:b/>
                <w:bCs/>
                <w:color w:val="auto"/>
                <w:sz w:val="21"/>
                <w:szCs w:val="21"/>
                <w:highlight w:val="none"/>
                <w:lang w:val="en-US" w:eastAsia="zh-CN" w:bidi="ar"/>
              </w:rPr>
              <w:t>以上第3、6项参数须提供相关证明材料。</w:t>
            </w:r>
          </w:p>
        </w:tc>
        <w:tc>
          <w:tcPr>
            <w:tcW w:w="1022" w:type="dxa"/>
            <w:noWrap/>
            <w:vAlign w:val="center"/>
          </w:tcPr>
          <w:p w14:paraId="729B74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68" w:type="dxa"/>
            <w:noWrap/>
            <w:vAlign w:val="center"/>
          </w:tcPr>
          <w:p w14:paraId="33E0862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C77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51" w:type="dxa"/>
            <w:noWrap/>
            <w:vAlign w:val="center"/>
          </w:tcPr>
          <w:p w14:paraId="7A9138E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710" w:type="dxa"/>
            <w:noWrap/>
            <w:vAlign w:val="center"/>
          </w:tcPr>
          <w:p w14:paraId="5CA20B4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吸顶AP</w:t>
            </w:r>
          </w:p>
        </w:tc>
        <w:tc>
          <w:tcPr>
            <w:tcW w:w="5625" w:type="dxa"/>
            <w:noWrap w:val="0"/>
            <w:vAlign w:val="center"/>
          </w:tcPr>
          <w:p w14:paraId="301BF31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6"/>
                <w:rFonts w:hint="eastAsia" w:ascii="宋体" w:hAnsi="宋体" w:eastAsia="宋体" w:cs="宋体"/>
                <w:color w:val="auto"/>
                <w:sz w:val="21"/>
                <w:szCs w:val="21"/>
                <w:highlight w:val="none"/>
                <w:lang w:val="en-US" w:eastAsia="zh-CN" w:bidi="ar"/>
              </w:rPr>
            </w:pPr>
            <w:r>
              <w:rPr>
                <w:rStyle w:val="16"/>
                <w:rFonts w:hint="eastAsia" w:ascii="宋体" w:hAnsi="宋体" w:eastAsia="宋体" w:cs="宋体"/>
                <w:color w:val="auto"/>
                <w:sz w:val="21"/>
                <w:szCs w:val="21"/>
                <w:highlight w:val="none"/>
                <w:lang w:val="en-US" w:eastAsia="zh-CN" w:bidi="ar"/>
              </w:rPr>
              <w:t>1、支持标准802.11ax 、802.11ac wave2、wave1、802.11a/b/g/n协议；</w:t>
            </w:r>
          </w:p>
          <w:p w14:paraId="71EDF41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6"/>
                <w:rFonts w:hint="eastAsia" w:ascii="宋体" w:hAnsi="宋体" w:eastAsia="宋体" w:cs="宋体"/>
                <w:color w:val="auto"/>
                <w:sz w:val="21"/>
                <w:szCs w:val="21"/>
                <w:highlight w:val="none"/>
                <w:lang w:val="en-US" w:eastAsia="zh-CN" w:bidi="ar"/>
              </w:rPr>
            </w:pPr>
            <w:r>
              <w:rPr>
                <w:rStyle w:val="16"/>
                <w:rFonts w:hint="eastAsia" w:ascii="宋体" w:hAnsi="宋体" w:eastAsia="宋体" w:cs="宋体"/>
                <w:color w:val="auto"/>
                <w:sz w:val="21"/>
                <w:szCs w:val="21"/>
                <w:highlight w:val="none"/>
                <w:lang w:val="en-US" w:eastAsia="zh-CN" w:bidi="ar"/>
              </w:rPr>
              <w:t>2、支持双频双流，2.4GHz提供最高提供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574Mbps的接入速率，5GHz提供最高提供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2400Mbps的接入速率。整机提供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2975Mbps的接入速率；</w:t>
            </w:r>
          </w:p>
          <w:p w14:paraId="0ACA6F2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3、支持蓝牙5.0（Ble）；</w:t>
            </w:r>
          </w:p>
          <w:p w14:paraId="41C963C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4、实配1个10/100/1000/2500M Base-T以太网口和1个10/100/1000M Base-T以太网口；</w:t>
            </w:r>
          </w:p>
          <w:p w14:paraId="7020B1B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5、支持PoE以太网供电（支持802.3at/at兼容供电）和本地供电（DC 12V）；</w:t>
            </w:r>
          </w:p>
          <w:p w14:paraId="0430F63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6、支持云AC管理，支持三层漫游，保留测试权力。</w:t>
            </w:r>
          </w:p>
          <w:p w14:paraId="032CB27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7、支持APP本地或者远程统一运维管理，能够呈现设备的在线状态、相关网络拓扑、无线功能配置等。</w:t>
            </w:r>
          </w:p>
          <w:p w14:paraId="1F4CFE5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8、要求所投产品可以通过同一品牌的网管软件实现：在线状态查询、配置修改，无线用户终端详情：包含用户mac地址、信号强度、频段、总流量、终端os类型、终端厂商等，实配网管平台；</w:t>
            </w:r>
          </w:p>
          <w:p w14:paraId="23680A6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6"/>
                <w:rFonts w:hint="eastAsia" w:ascii="宋体" w:hAnsi="宋体" w:eastAsia="宋体" w:cs="宋体"/>
                <w:color w:val="auto"/>
                <w:sz w:val="21"/>
                <w:szCs w:val="21"/>
                <w:highlight w:val="none"/>
                <w:lang w:val="en-US" w:eastAsia="zh-CN" w:bidi="ar"/>
              </w:rPr>
            </w:pPr>
            <w:r>
              <w:rPr>
                <w:rStyle w:val="16"/>
                <w:rFonts w:hint="eastAsia" w:ascii="宋体" w:hAnsi="宋体" w:eastAsia="宋体" w:cs="宋体"/>
                <w:color w:val="auto"/>
                <w:sz w:val="21"/>
                <w:szCs w:val="21"/>
                <w:highlight w:val="none"/>
                <w:lang w:val="en-US" w:eastAsia="zh-CN" w:bidi="ar"/>
              </w:rPr>
              <w:t>9、要求所投产品支持网管平台集中管理，实配网管平台，出现设备掉线、CPU状态、内存状态等问题通过微信告警推送；</w:t>
            </w:r>
          </w:p>
          <w:p w14:paraId="20F04D3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10、设备支持对全网同品牌设备整网一体化统一组网，并通过网关对交换、AP、AC进行集中化的调试，避免各区域分别调试的麻烦。</w:t>
            </w:r>
          </w:p>
          <w:p w14:paraId="6809BC2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b/>
                <w:bCs/>
                <w:color w:val="auto"/>
                <w:sz w:val="21"/>
                <w:szCs w:val="21"/>
                <w:highlight w:val="none"/>
                <w:lang w:val="en-US" w:eastAsia="zh-CN" w:bidi="ar"/>
              </w:rPr>
            </w:pPr>
            <w:r>
              <w:rPr>
                <w:rStyle w:val="15"/>
                <w:rFonts w:hint="eastAsia" w:ascii="宋体" w:hAnsi="宋体" w:eastAsia="宋体" w:cs="宋体"/>
                <w:b/>
                <w:bCs/>
                <w:color w:val="auto"/>
                <w:sz w:val="21"/>
                <w:szCs w:val="21"/>
                <w:highlight w:val="none"/>
                <w:lang w:val="en-US" w:eastAsia="zh-CN" w:bidi="ar"/>
              </w:rPr>
              <w:t>以上第1、2、9项参数须提供相关证明材料。</w:t>
            </w:r>
          </w:p>
        </w:tc>
        <w:tc>
          <w:tcPr>
            <w:tcW w:w="1022" w:type="dxa"/>
            <w:noWrap/>
            <w:vAlign w:val="center"/>
          </w:tcPr>
          <w:p w14:paraId="7C7BD5D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668" w:type="dxa"/>
            <w:noWrap/>
            <w:vAlign w:val="center"/>
          </w:tcPr>
          <w:p w14:paraId="5F1CB94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F2A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51" w:type="dxa"/>
            <w:noWrap/>
            <w:vAlign w:val="center"/>
          </w:tcPr>
          <w:p w14:paraId="4C4E943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710" w:type="dxa"/>
            <w:noWrap/>
            <w:vAlign w:val="center"/>
          </w:tcPr>
          <w:p w14:paraId="437F26C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面板式AP</w:t>
            </w:r>
          </w:p>
        </w:tc>
        <w:tc>
          <w:tcPr>
            <w:tcW w:w="5625" w:type="dxa"/>
            <w:noWrap w:val="0"/>
            <w:vAlign w:val="center"/>
          </w:tcPr>
          <w:p w14:paraId="480C16A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1、支持802.11ax 、802.11ac wave2、wave1、802.11a/b/g/n协议；</w:t>
            </w:r>
          </w:p>
          <w:p w14:paraId="2EE6D6E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r>
              <w:rPr>
                <w:rStyle w:val="16"/>
                <w:rFonts w:hint="eastAsia" w:ascii="宋体" w:hAnsi="宋体" w:eastAsia="宋体" w:cs="宋体"/>
                <w:color w:val="auto"/>
                <w:sz w:val="21"/>
                <w:szCs w:val="21"/>
                <w:highlight w:val="none"/>
                <w:lang w:val="en-US" w:eastAsia="zh-CN" w:bidi="ar"/>
              </w:rPr>
              <w:t>支持双频双流，2.4GHz提供最高提供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574Mbps的接入速率，5GHz提供最高提供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2400Mbps的接入速率。整机提供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2975Mbps的接入速率；</w:t>
            </w:r>
          </w:p>
          <w:p w14:paraId="5E2111F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3、标准86面板AP，整机自带：1个下行千兆LAN口，1个千兆上行WAN口</w:t>
            </w:r>
          </w:p>
          <w:p w14:paraId="45B940A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4、超薄设计，透出墙面8.5毫米</w:t>
            </w:r>
          </w:p>
          <w:p w14:paraId="7A1A739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5、支持PoE以太网供电（支持802.3at供电），整机功耗小于10.2w</w:t>
            </w:r>
          </w:p>
          <w:p w14:paraId="7376CFC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6、支持云AC管理，支持二层漫游，支持802.11K/V协议</w:t>
            </w:r>
          </w:p>
          <w:p w14:paraId="651F94F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7、支持APP本地或者远程统一运维管理，能够呈现设备的在线状态、相关网络拓扑、无线功能配置等。</w:t>
            </w:r>
          </w:p>
          <w:p w14:paraId="59540CD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8、要求所投产品可以通过同一品牌的网管软件实现：在线状态查询、配置修改，无线用户终端详情：包含用户mac地址、信号强度、频段、总流量、终端os类型、终端厂商等，实配网管平台；</w:t>
            </w:r>
          </w:p>
          <w:p w14:paraId="6BE7C37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9、要求所投产品支持网管平台集中管理，实配网管平台，出现设备掉线、CPU状态、内存状态等问题通过微信告警推送；</w:t>
            </w:r>
          </w:p>
          <w:p w14:paraId="067BB27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10、为方便新建项目开局，要求设备支持对全网同品牌设备整网一体化统一组网，并通过网关对交换、AP、AC进行集中化的调试，避免各区域分别调试的麻烦。</w:t>
            </w:r>
          </w:p>
          <w:p w14:paraId="2DDE1E8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b/>
                <w:bCs/>
                <w:color w:val="auto"/>
                <w:sz w:val="21"/>
                <w:szCs w:val="21"/>
                <w:highlight w:val="none"/>
                <w:lang w:val="en-US" w:eastAsia="zh-CN" w:bidi="ar"/>
              </w:rPr>
            </w:pPr>
            <w:r>
              <w:rPr>
                <w:rStyle w:val="15"/>
                <w:rFonts w:hint="eastAsia" w:ascii="宋体" w:hAnsi="宋体" w:eastAsia="宋体" w:cs="宋体"/>
                <w:b/>
                <w:bCs/>
                <w:i w:val="0"/>
                <w:iCs w:val="0"/>
                <w:color w:val="auto"/>
                <w:sz w:val="21"/>
                <w:szCs w:val="21"/>
                <w:highlight w:val="none"/>
                <w:lang w:val="en-US" w:eastAsia="zh-CN" w:bidi="ar"/>
              </w:rPr>
              <w:t>以上第1、2、9项参数须提供相关证明材料。</w:t>
            </w:r>
          </w:p>
        </w:tc>
        <w:tc>
          <w:tcPr>
            <w:tcW w:w="1022" w:type="dxa"/>
            <w:noWrap/>
            <w:vAlign w:val="center"/>
          </w:tcPr>
          <w:p w14:paraId="1FFA492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1098</w:t>
            </w:r>
          </w:p>
        </w:tc>
        <w:tc>
          <w:tcPr>
            <w:tcW w:w="668" w:type="dxa"/>
            <w:noWrap/>
            <w:vAlign w:val="center"/>
          </w:tcPr>
          <w:p w14:paraId="4ED97C7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bl>
    <w:p w14:paraId="65AE232D">
      <w:pPr>
        <w:rPr>
          <w:rFonts w:hint="eastAsia"/>
          <w:lang w:val="en-US" w:eastAsia="zh-CN"/>
        </w:rPr>
      </w:pPr>
      <w:bookmarkStart w:id="0" w:name="_Toc27954"/>
      <w:bookmarkStart w:id="1" w:name="_Toc5503"/>
      <w:bookmarkStart w:id="2" w:name="_Toc16704"/>
    </w:p>
    <w:p w14:paraId="299B9AB4">
      <w:pPr>
        <w:pStyle w:val="3"/>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9、会议多媒体系统</w:t>
      </w:r>
      <w:bookmarkEnd w:id="0"/>
      <w:bookmarkEnd w:id="1"/>
      <w:bookmarkEnd w:id="2"/>
    </w:p>
    <w:tbl>
      <w:tblPr>
        <w:tblStyle w:val="9"/>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680"/>
        <w:gridCol w:w="5745"/>
        <w:gridCol w:w="960"/>
        <w:gridCol w:w="825"/>
      </w:tblGrid>
      <w:tr w14:paraId="1A40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2" w:type="dxa"/>
            <w:gridSpan w:val="5"/>
            <w:noWrap w:val="0"/>
            <w:vAlign w:val="center"/>
          </w:tcPr>
          <w:p w14:paraId="7770999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小会议室（2间）</w:t>
            </w:r>
          </w:p>
        </w:tc>
      </w:tr>
      <w:tr w14:paraId="4C78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2" w:type="dxa"/>
            <w:noWrap/>
            <w:vAlign w:val="center"/>
          </w:tcPr>
          <w:p w14:paraId="06D8D35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80" w:type="dxa"/>
            <w:noWrap w:val="0"/>
            <w:vAlign w:val="center"/>
          </w:tcPr>
          <w:p w14:paraId="7E7EACC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会议系统主机</w:t>
            </w:r>
          </w:p>
        </w:tc>
        <w:tc>
          <w:tcPr>
            <w:tcW w:w="5745" w:type="dxa"/>
            <w:noWrap w:val="0"/>
            <w:vAlign w:val="center"/>
          </w:tcPr>
          <w:p w14:paraId="2A9F6F2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1.设备具有音频时钟同步传输技术，端到端音频传输＜5ms。</w:t>
            </w:r>
          </w:p>
          <w:p w14:paraId="6F8DD03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2.内置DSP处理器，具有≥16路音频矩阵、啸叫抑制、≥10段EQMC调节、音量dB值调节、延时器调节功能。</w:t>
            </w:r>
          </w:p>
          <w:p w14:paraId="063FE22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●3.设备具有会议发言录音功能；搭配会议话筒可以录制单个话筒发言音频或录制所有话筒混音输出音频；支持通过主机U盘录音或PC软件录音。</w:t>
            </w:r>
          </w:p>
          <w:p w14:paraId="02BAFCA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4.设备接口：通讯接口：≥2路RS232接口、≥1路RS-485接口、≥4路RJ45；音频输出接口≥1路RCA、≥1路卡侬头、≥16路凤凰端子；音频输入接口≥1路RCA、≥1路卡侬头、≥2路凤凰端子。</w:t>
            </w:r>
          </w:p>
          <w:p w14:paraId="5D499AD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5.支持≥16通道音频输出功能，可灵活配置为有线角色分离输出模式、无线角色分离输出模式、同传输出模式、相控输出模式。每个输出通道都可以调节10段EQ、音量dB值调节、延时器参数调节。</w:t>
            </w:r>
          </w:p>
          <w:p w14:paraId="5762402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6.设备具有安卓手机APP软件、平板APP软件控制的功能，通过软件可控制话筒开关、开启签到、投票、表决，接收会议服务信息、一键关闭无线话筒等功能，免PC操作。</w:t>
            </w:r>
          </w:p>
          <w:p w14:paraId="7D64BEE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7.设备具有客户端、WEB端控制方式，通过客户端或WEB端可调节音频矩阵参数（包括EQ、音量、延时器、话筒灵敏度等）、≥16通道输出模式切换、开关话筒同步、中英俄法四种语言切换、控制角色分离主机。</w:t>
            </w:r>
          </w:p>
          <w:p w14:paraId="04508D8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●8.系统可扩展带载≥4096台有线会议话筒和≥300台无线会议话筒。系统支持自定义话筒。同时发言数量≥24只话筒，其中支持≥16个有线话筒和≥8个无线话筒同时发言。</w:t>
            </w:r>
          </w:p>
          <w:p w14:paraId="0378106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9.支持搭配同声传译系统，最大可同时传输≥63+1的有线同声传译。</w:t>
            </w:r>
          </w:p>
          <w:p w14:paraId="2E6C433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10.系统与语音转写系统深度适配，系统之间通过网线交互数据，实现角色分离语音转写功能。</w:t>
            </w:r>
          </w:p>
          <w:p w14:paraId="78DB201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11.会议主机具备注册天数显示功能，可以随时了解注册后使用的剩余天数；支持触摸设备屏幕输入注册码进行主机注册。</w:t>
            </w:r>
          </w:p>
          <w:p w14:paraId="7DDE213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12.全数字会议系统软件可融入音频综合管理平台，实现音频设备统一管理，可扫描数字会议主机、音频处理器、混音器、抑制器、功放等产品在线情况，并显示设备硬件名称、硬件IP地址、在线、离线状态信息，具备一键上传配置谢谢至云端或保存本地进行备份功能和一键还原配置信息功能。</w:t>
            </w:r>
          </w:p>
          <w:p w14:paraId="4E6F739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Style w:val="15"/>
                <w:rFonts w:hint="eastAsia" w:ascii="宋体" w:hAnsi="宋体" w:eastAsia="宋体" w:cs="宋体"/>
                <w:b/>
                <w:bCs/>
                <w:color w:val="auto"/>
                <w:sz w:val="21"/>
                <w:szCs w:val="21"/>
                <w:highlight w:val="none"/>
                <w:lang w:val="en-US" w:eastAsia="zh-CN" w:bidi="ar"/>
              </w:rPr>
              <w:t>以上第</w:t>
            </w:r>
            <w:r>
              <w:rPr>
                <w:rFonts w:hint="eastAsia" w:ascii="宋体" w:hAnsi="宋体" w:eastAsia="宋体" w:cs="宋体"/>
                <w:b/>
                <w:bCs/>
                <w:i w:val="0"/>
                <w:iCs w:val="0"/>
                <w:color w:val="auto"/>
                <w:kern w:val="0"/>
                <w:sz w:val="21"/>
                <w:szCs w:val="21"/>
                <w:highlight w:val="none"/>
                <w:u w:val="none"/>
                <w:lang w:val="en-US" w:eastAsia="zh-CN" w:bidi="ar"/>
              </w:rPr>
              <w:t>3、8、12</w:t>
            </w:r>
            <w:r>
              <w:rPr>
                <w:rStyle w:val="15"/>
                <w:rFonts w:hint="eastAsia" w:ascii="宋体" w:hAnsi="宋体" w:eastAsia="宋体" w:cs="宋体"/>
                <w:b/>
                <w:bCs/>
                <w:color w:val="auto"/>
                <w:sz w:val="21"/>
                <w:szCs w:val="21"/>
                <w:highlight w:val="none"/>
                <w:lang w:val="en-US" w:eastAsia="zh-CN" w:bidi="ar"/>
              </w:rPr>
              <w:t>项参数须提供相关证明材料。</w:t>
            </w:r>
          </w:p>
        </w:tc>
        <w:tc>
          <w:tcPr>
            <w:tcW w:w="960" w:type="dxa"/>
            <w:noWrap w:val="0"/>
            <w:vAlign w:val="center"/>
          </w:tcPr>
          <w:p w14:paraId="0FF221B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825" w:type="dxa"/>
            <w:noWrap/>
            <w:vAlign w:val="center"/>
          </w:tcPr>
          <w:p w14:paraId="71B6B10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bl>
    <w:p w14:paraId="34E5BB16">
      <w:pPr>
        <w:pStyle w:val="8"/>
        <w:keepNext w:val="0"/>
        <w:keepLines w:val="0"/>
        <w:widowControl/>
        <w:suppressLineNumbers w:val="0"/>
        <w:spacing w:before="0" w:beforeAutospacing="0" w:after="0" w:afterAutospacing="0" w:line="450" w:lineRule="atLeast"/>
        <w:ind w:left="0" w:right="0" w:firstLine="420"/>
        <w:jc w:val="both"/>
        <w:rPr>
          <w:rStyle w:val="11"/>
          <w:rFonts w:hint="default" w:ascii="仿宋" w:hAnsi="仿宋" w:eastAsia="仿宋" w:cs="仿宋"/>
          <w:b/>
          <w:bCs/>
          <w:color w:val="333333"/>
          <w:spacing w:val="0"/>
          <w:sz w:val="24"/>
          <w:szCs w:val="24"/>
          <w:shd w:val="clear" w:fill="FFFFFF"/>
          <w:lang w:val="en-US" w:eastAsia="zh-CN"/>
        </w:rPr>
      </w:pPr>
    </w:p>
    <w:p w14:paraId="0F0EBD5B">
      <w:pPr>
        <w:pStyle w:val="3"/>
        <w:bidi w:val="0"/>
        <w:rPr>
          <w:rFonts w:hint="eastAsia" w:ascii="宋体" w:hAnsi="宋体" w:eastAsia="宋体" w:cs="宋体"/>
          <w:b/>
          <w:bCs/>
          <w:color w:val="auto"/>
          <w:highlight w:val="none"/>
          <w:lang w:val="en-US" w:eastAsia="zh-CN"/>
        </w:rPr>
      </w:pPr>
      <w:bookmarkStart w:id="3" w:name="_Toc16839"/>
      <w:bookmarkStart w:id="4" w:name="_Toc1633"/>
      <w:bookmarkStart w:id="5" w:name="_Toc6743"/>
      <w:r>
        <w:rPr>
          <w:rFonts w:hint="eastAsia" w:ascii="宋体" w:hAnsi="宋体" w:eastAsia="宋体" w:cs="宋体"/>
          <w:b/>
          <w:bCs/>
          <w:color w:val="auto"/>
          <w:highlight w:val="none"/>
          <w:lang w:val="en-US" w:eastAsia="zh-CN"/>
        </w:rPr>
        <w:t>18、机房工程</w:t>
      </w:r>
      <w:bookmarkEnd w:id="3"/>
      <w:bookmarkEnd w:id="4"/>
      <w:bookmarkEnd w:id="5"/>
    </w:p>
    <w:tbl>
      <w:tblPr>
        <w:tblStyle w:val="9"/>
        <w:tblW w:w="986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18"/>
        <w:gridCol w:w="5251"/>
        <w:gridCol w:w="1111"/>
        <w:gridCol w:w="809"/>
      </w:tblGrid>
      <w:tr w14:paraId="1DD1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7A253AD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918" w:type="dxa"/>
            <w:noWrap w:val="0"/>
            <w:vAlign w:val="center"/>
          </w:tcPr>
          <w:p w14:paraId="3311FDC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5251" w:type="dxa"/>
            <w:noWrap w:val="0"/>
            <w:vAlign w:val="center"/>
          </w:tcPr>
          <w:p w14:paraId="125BF1B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1111" w:type="dxa"/>
            <w:noWrap w:val="0"/>
            <w:vAlign w:val="center"/>
          </w:tcPr>
          <w:p w14:paraId="77717B5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809" w:type="dxa"/>
            <w:noWrap w:val="0"/>
            <w:vAlign w:val="center"/>
          </w:tcPr>
          <w:p w14:paraId="318E704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3DEE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1" w:type="dxa"/>
            <w:gridSpan w:val="5"/>
            <w:noWrap w:val="0"/>
            <w:vAlign w:val="center"/>
          </w:tcPr>
          <w:p w14:paraId="7B70AB1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消控室机房</w:t>
            </w:r>
          </w:p>
        </w:tc>
      </w:tr>
      <w:tr w14:paraId="7F89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15ECE04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918" w:type="dxa"/>
            <w:noWrap/>
            <w:vAlign w:val="center"/>
          </w:tcPr>
          <w:p w14:paraId="1E482D3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机房UPS</w:t>
            </w:r>
          </w:p>
        </w:tc>
        <w:tc>
          <w:tcPr>
            <w:tcW w:w="5251" w:type="dxa"/>
            <w:noWrap/>
            <w:vAlign w:val="center"/>
          </w:tcPr>
          <w:p w14:paraId="4D9604CC">
            <w:pPr>
              <w:keepNext w:val="0"/>
              <w:keepLines w:val="0"/>
              <w:pageBreakBefore w:val="0"/>
              <w:kinsoku/>
              <w:wordWrap/>
              <w:overflowPunct/>
              <w:topLinePunct w:val="0"/>
              <w:autoSpaceDE/>
              <w:autoSpaceDN/>
              <w:bidi w:val="0"/>
              <w:adjustRightInd/>
              <w:snapToGrid/>
              <w:spacing w:after="0" w:line="288" w:lineRule="auto"/>
              <w:jc w:val="left"/>
              <w:rPr>
                <w:rFonts w:hint="eastAsia" w:ascii="宋体" w:hAnsi="宋体" w:eastAsia="宋体" w:cs="宋体"/>
                <w:b/>
                <w:bCs/>
                <w:i w:val="0"/>
                <w:iCs w:val="0"/>
                <w:color w:val="auto"/>
                <w:sz w:val="21"/>
                <w:szCs w:val="21"/>
                <w:highlight w:val="none"/>
                <w:u w:val="none"/>
              </w:rPr>
            </w:pPr>
          </w:p>
        </w:tc>
        <w:tc>
          <w:tcPr>
            <w:tcW w:w="1111" w:type="dxa"/>
            <w:noWrap w:val="0"/>
            <w:vAlign w:val="center"/>
          </w:tcPr>
          <w:p w14:paraId="0C29426A">
            <w:pPr>
              <w:keepNext w:val="0"/>
              <w:keepLines w:val="0"/>
              <w:pageBreakBefore w:val="0"/>
              <w:kinsoku/>
              <w:wordWrap/>
              <w:overflowPunct/>
              <w:topLinePunct w:val="0"/>
              <w:autoSpaceDE/>
              <w:autoSpaceDN/>
              <w:bidi w:val="0"/>
              <w:adjustRightInd/>
              <w:snapToGrid/>
              <w:spacing w:after="0" w:line="288" w:lineRule="auto"/>
              <w:jc w:val="center"/>
              <w:rPr>
                <w:rFonts w:hint="eastAsia" w:ascii="宋体" w:hAnsi="宋体" w:eastAsia="宋体" w:cs="宋体"/>
                <w:i w:val="0"/>
                <w:iCs w:val="0"/>
                <w:color w:val="auto"/>
                <w:sz w:val="21"/>
                <w:szCs w:val="21"/>
                <w:highlight w:val="none"/>
                <w:u w:val="none"/>
              </w:rPr>
            </w:pPr>
          </w:p>
        </w:tc>
        <w:tc>
          <w:tcPr>
            <w:tcW w:w="809" w:type="dxa"/>
            <w:noWrap/>
            <w:vAlign w:val="center"/>
          </w:tcPr>
          <w:p w14:paraId="226A8C2F">
            <w:pPr>
              <w:keepNext w:val="0"/>
              <w:keepLines w:val="0"/>
              <w:pageBreakBefore w:val="0"/>
              <w:kinsoku/>
              <w:wordWrap/>
              <w:overflowPunct/>
              <w:topLinePunct w:val="0"/>
              <w:autoSpaceDE/>
              <w:autoSpaceDN/>
              <w:bidi w:val="0"/>
              <w:adjustRightInd/>
              <w:snapToGrid/>
              <w:spacing w:after="0" w:line="288" w:lineRule="auto"/>
              <w:jc w:val="center"/>
              <w:rPr>
                <w:rFonts w:hint="eastAsia" w:ascii="宋体" w:hAnsi="宋体" w:eastAsia="宋体" w:cs="宋体"/>
                <w:i w:val="0"/>
                <w:iCs w:val="0"/>
                <w:color w:val="auto"/>
                <w:sz w:val="21"/>
                <w:szCs w:val="21"/>
                <w:highlight w:val="none"/>
                <w:u w:val="none"/>
              </w:rPr>
            </w:pPr>
          </w:p>
        </w:tc>
      </w:tr>
      <w:tr w14:paraId="4502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6DAF519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8" w:type="dxa"/>
            <w:noWrap w:val="0"/>
            <w:vAlign w:val="center"/>
          </w:tcPr>
          <w:p w14:paraId="66FDCE6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UPS主机（40KVA）</w:t>
            </w:r>
          </w:p>
        </w:tc>
        <w:tc>
          <w:tcPr>
            <w:tcW w:w="5251" w:type="dxa"/>
            <w:noWrap w:val="0"/>
            <w:vAlign w:val="center"/>
          </w:tcPr>
          <w:p w14:paraId="5100EBF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1.纯在线式双变换UPS产品；UPS主机容量40kVA，根据用户现场情况，可选择采用立式安装或嵌入19英寸标准机柜的机架式安装，机架式安装时高度≤3U。</w:t>
            </w:r>
          </w:p>
          <w:p w14:paraId="2C9D1F2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2.兼容可立可卧安装，面板LCD重力感应自动切换横屏或竖屏显示 （可手动或自动模式） 。</w:t>
            </w:r>
          </w:p>
          <w:p w14:paraId="3848D9A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为了适应用户现场配电，UPS主机要求支持三进三出、三进单出。</w:t>
            </w:r>
          </w:p>
          <w:p w14:paraId="4863AC7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UPS主机尺寸（机架安装时）应满足：宽度≤440mm，深度≤700mm，高度≤130mm。</w:t>
            </w:r>
          </w:p>
          <w:p w14:paraId="14026DF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具有LCD+LED指示的操作界面，实时记录工作状态和运行信息，管理更加直观；操作界面要求配备手动双键开关机按钮，防止误操作发生。</w:t>
            </w:r>
          </w:p>
          <w:p w14:paraId="237E5D8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为了满足现场配电要求，便于设备实现不断电的前提下进行主机维护更换，主机和配电采取分离设计，UPS主机可采用搭载市电、旁路、输出与维护旁路四个断路器的配电箱，且配电箱应具有示意配电开关电气关系，风格与主机保持一致。</w:t>
            </w:r>
          </w:p>
          <w:p w14:paraId="49FD1C3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7.数字化并机：并机通讯接口板采用SLOT插槽，单机和并机可灵活切换，方便备库存，支持并机单用、扩容、冗余、双母线等多种工作制式；支持用户无须拆机现场单机升级成并机。</w:t>
            </w:r>
          </w:p>
          <w:p w14:paraId="79F8DFE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 电池直流电压输入范围：单体12V电池支持±12～±20节（即±144V～±240V连续可调）（±15~12）节降额到75%）。</w:t>
            </w:r>
          </w:p>
          <w:p w14:paraId="4AEB296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 具备大充电电流，设置值1A~20A，充电电流20A满载不降额，缩短充电时间。</w:t>
            </w:r>
          </w:p>
          <w:p w14:paraId="5357A61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10.安全保护：输入浪涌保护，火线对地具有保护措施，能承受更高的浪涌尖峰电压，同时，电池应具备防反接保护。</w:t>
            </w:r>
          </w:p>
          <w:p w14:paraId="0D87143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 智能化管理：</w:t>
            </w:r>
          </w:p>
          <w:p w14:paraId="2A6AF14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（1）具备开机密码、试用期管理功能；</w:t>
            </w:r>
          </w:p>
          <w:p w14:paraId="7B61A75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（2）用户日志记录：记录用户设置操作记录，数据可通讯导出；</w:t>
            </w:r>
          </w:p>
          <w:p w14:paraId="34411D8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（3）器件使用期限：可记录风机、电解电容使用时间，</w:t>
            </w:r>
          </w:p>
          <w:p w14:paraId="370AFA7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（4）电池管理功能：UPS主机具备直接通过面板功能对电池组进行无风险标准和深度放电检测，不需切断市电开关，避免放电时因电池组故障造成意外掉电；</w:t>
            </w:r>
          </w:p>
          <w:p w14:paraId="2465C84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13.支持选配RS232、干接点、SNMP等多种通讯卡，应用灵活。通讯协议转换卡技术平台具备锂电池监控接入技术可行性。 </w:t>
            </w:r>
          </w:p>
        </w:tc>
        <w:tc>
          <w:tcPr>
            <w:tcW w:w="1111" w:type="dxa"/>
            <w:noWrap w:val="0"/>
            <w:vAlign w:val="center"/>
          </w:tcPr>
          <w:p w14:paraId="48C826C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09" w:type="dxa"/>
            <w:noWrap w:val="0"/>
            <w:vAlign w:val="center"/>
          </w:tcPr>
          <w:p w14:paraId="039A6CD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364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60CE7D0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8" w:type="dxa"/>
            <w:noWrap w:val="0"/>
            <w:vAlign w:val="center"/>
          </w:tcPr>
          <w:p w14:paraId="3BCCDDB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UPS电池（后备2小时）</w:t>
            </w:r>
          </w:p>
        </w:tc>
        <w:tc>
          <w:tcPr>
            <w:tcW w:w="5251" w:type="dxa"/>
            <w:noWrap w:val="0"/>
            <w:vAlign w:val="center"/>
          </w:tcPr>
          <w:p w14:paraId="4FF9EDE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产品规格：12V100AH;</w:t>
            </w:r>
          </w:p>
          <w:p w14:paraId="0F0E820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1.所供蓄电池应采用高性能、高可靠性的全密封阀控式储能胶体蓄电池。</w:t>
            </w:r>
          </w:p>
          <w:p w14:paraId="46DD4B0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2.使用环境温度：最高温度：+40℃；最低温度：-20℃。</w:t>
            </w:r>
          </w:p>
          <w:p w14:paraId="00ADF9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相对湿度：日平均相对湿度≤95%（25℃）；月平均相对湿度≤90%（25℃）。</w:t>
            </w:r>
          </w:p>
          <w:p w14:paraId="7828FBC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海拔高度：≤3000m</w:t>
            </w:r>
          </w:p>
          <w:p w14:paraId="0C74789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地震烈度：可在9烈度以下地区使用。</w:t>
            </w:r>
          </w:p>
          <w:p w14:paraId="68C3A595">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3.所供蓄电池必须采用先进的内化成胶体电池工艺。</w:t>
            </w:r>
          </w:p>
          <w:p w14:paraId="22EC1CD8">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4.所供蓄电池产品极板应有利于发挥储能电池优势的独特的板栅设计结构。</w:t>
            </w:r>
          </w:p>
          <w:p w14:paraId="716CD42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5.所供蓄电池产品须有独特的防正、负极短路技术。</w:t>
            </w:r>
          </w:p>
          <w:p w14:paraId="47476F1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6.完全充电的蓄电池，在25±5℃的环境中，静置28天后，其容量保持率应不低于90％。</w:t>
            </w:r>
          </w:p>
          <w:p w14:paraId="2786F34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7.蓄电池的-10℃低温条件下放电容量不低于额定容量的85%。</w:t>
            </w:r>
          </w:p>
          <w:p w14:paraId="72AD477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8.蓄电池密封反应效率应不低于98％。</w:t>
            </w:r>
          </w:p>
          <w:p w14:paraId="6929937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9.电池应能承受50kPa的正压或负压而不破裂，压力释放后壳体无残余变形。</w:t>
            </w:r>
          </w:p>
          <w:p w14:paraId="39713D7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10.蓄电池的安全阀开阀压力应为10kPa～35kPa，闭阀压力应为5kPa～30kPa。</w:t>
            </w:r>
          </w:p>
          <w:p w14:paraId="0819FC0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11.蓄电池在使用中应无渗液、漏液、爬液和膨胀现象。极性正确，正负极性及端子有明显标志，便于连接。</w:t>
            </w:r>
          </w:p>
          <w:p w14:paraId="07015FA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12.蓄电池的浮充电压值及范围：13.50V-13.80V；蓄电池的充电（恒压）电压值及范围： 14.10~14.50V，充电电流值及范围： 0.1C10~0.2C10A。</w:t>
            </w:r>
          </w:p>
          <w:p w14:paraId="64090A4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13.蓄电池应有制造厂名及商标、型号及规格、极性符号、生产日期等。</w:t>
            </w:r>
          </w:p>
        </w:tc>
        <w:tc>
          <w:tcPr>
            <w:tcW w:w="1111" w:type="dxa"/>
            <w:noWrap w:val="0"/>
            <w:vAlign w:val="center"/>
          </w:tcPr>
          <w:p w14:paraId="20210C3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809" w:type="dxa"/>
            <w:noWrap w:val="0"/>
            <w:vAlign w:val="center"/>
          </w:tcPr>
          <w:p w14:paraId="761D0FA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w:t>
            </w:r>
          </w:p>
        </w:tc>
      </w:tr>
      <w:tr w14:paraId="0757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1" w:type="dxa"/>
            <w:gridSpan w:val="5"/>
            <w:noWrap w:val="0"/>
            <w:vAlign w:val="center"/>
          </w:tcPr>
          <w:p w14:paraId="57F72EB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弱电机房</w:t>
            </w:r>
          </w:p>
        </w:tc>
      </w:tr>
      <w:tr w14:paraId="129F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03C0483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918" w:type="dxa"/>
            <w:noWrap w:val="0"/>
            <w:vAlign w:val="center"/>
          </w:tcPr>
          <w:p w14:paraId="488F50B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机房UPS</w:t>
            </w:r>
          </w:p>
        </w:tc>
        <w:tc>
          <w:tcPr>
            <w:tcW w:w="5251" w:type="dxa"/>
            <w:noWrap w:val="0"/>
            <w:vAlign w:val="center"/>
          </w:tcPr>
          <w:p w14:paraId="17F16BF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p>
        </w:tc>
        <w:tc>
          <w:tcPr>
            <w:tcW w:w="1111" w:type="dxa"/>
            <w:noWrap w:val="0"/>
            <w:vAlign w:val="center"/>
          </w:tcPr>
          <w:p w14:paraId="6D0465D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9" w:type="dxa"/>
            <w:noWrap w:val="0"/>
            <w:vAlign w:val="center"/>
          </w:tcPr>
          <w:p w14:paraId="3B26CC6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4D7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0DE3708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18" w:type="dxa"/>
            <w:noWrap w:val="0"/>
            <w:vAlign w:val="center"/>
          </w:tcPr>
          <w:p w14:paraId="349D25F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UPS主机（20KVA）</w:t>
            </w:r>
          </w:p>
        </w:tc>
        <w:tc>
          <w:tcPr>
            <w:tcW w:w="5251" w:type="dxa"/>
            <w:noWrap w:val="0"/>
            <w:vAlign w:val="center"/>
          </w:tcPr>
          <w:p w14:paraId="21451749">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1.纯在线式双变换UPS产品；UPS主机容量20kVA，根据用户现场情况，可选择采用立式安装或嵌入19英寸标准机柜的机架式安装，机架式安装时高度≤3U。</w:t>
            </w:r>
          </w:p>
          <w:p w14:paraId="75EA5764">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2.兼容可立可卧安装，面板LCD重力感应自动切换横屏或竖屏显示 （可手动或自动模式） 。</w:t>
            </w:r>
          </w:p>
          <w:p w14:paraId="77033A49">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为了适应用户现场配电，UPS主机要求支持三进三出、三进单出。</w:t>
            </w:r>
          </w:p>
          <w:p w14:paraId="4C65F68D">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UPS主机尺寸（机架安装时）应满足：宽度≤440mm，深度≤700mm，高度≤130mm。</w:t>
            </w:r>
          </w:p>
          <w:p w14:paraId="13FE52A3">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具有LCD+LED指示的操作界面，实时记录工作状态和运行信息，管理更加直观；操作界面要求配备手动双键开关机按钮，防止误操作发生。</w:t>
            </w:r>
          </w:p>
          <w:p w14:paraId="7EDEABEA">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为了满足现场配电要求，便于设备实现不断电的前提下进行主机维护更换，主机和配电采取分离设计，UPS主机可采用搭载市电、旁路、输出与维护旁路四个断路器的配电箱，且配电箱应具有示意配电开关电气关系，风格与主机保持一致。</w:t>
            </w:r>
          </w:p>
          <w:p w14:paraId="61DFE99B">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7.数字化并机：并机通讯接口板采用SLOT插槽，单机和并机可灵活切换，方便备库存，支持并机单用、扩容、冗余、双母线等多种工作制式；支持用户无须拆机现场单机升级成并机。</w:t>
            </w:r>
          </w:p>
          <w:p w14:paraId="16066685">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 电池直流电压输入范围：单体12V电池支持±12～±20节（即±144V～±240V连续可调）（±15~12）节降额到75%）。</w:t>
            </w:r>
          </w:p>
          <w:p w14:paraId="68F3140E">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 具备大充电电流，设置值1A~20A，充电电流20A满载不降额，缩短充电时间。</w:t>
            </w:r>
          </w:p>
          <w:p w14:paraId="73861EC7">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10.安全保护：输入浪涌保护，火线对地具有保护措施，能承受更高的浪涌尖峰电压，同时，电池应具备防反接保护。</w:t>
            </w:r>
          </w:p>
          <w:p w14:paraId="52540A7B">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 智能化管理：</w:t>
            </w:r>
          </w:p>
          <w:p w14:paraId="38B370EB">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（1）具备开机密码、试用期管理功能；</w:t>
            </w:r>
          </w:p>
          <w:p w14:paraId="7FA7452D">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（2）用户日志记录：记录用户设置操作记录，数据可通讯导出；</w:t>
            </w:r>
          </w:p>
          <w:p w14:paraId="732E867F">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（3）器件使用期限：可记录风机、电解电容使用时间，</w:t>
            </w:r>
          </w:p>
          <w:p w14:paraId="763FCC0C">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（4）电池管理功能：UPS主机具备直接通过面板功能对电池组进行无风险标准和深度放电检测，不需切断市电开关，避免放电时因电池组故障造成意外掉电；</w:t>
            </w:r>
          </w:p>
          <w:p w14:paraId="2605D38B">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12.支持选配RS232、干接点、SNMP等多种通讯卡，应用灵活。通讯协议转换卡技术平台具备锂电池监控接入技术可行性。 </w:t>
            </w:r>
          </w:p>
        </w:tc>
        <w:tc>
          <w:tcPr>
            <w:tcW w:w="1111" w:type="dxa"/>
            <w:noWrap w:val="0"/>
            <w:vAlign w:val="center"/>
          </w:tcPr>
          <w:p w14:paraId="598FB78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9" w:type="dxa"/>
            <w:noWrap w:val="0"/>
            <w:vAlign w:val="center"/>
          </w:tcPr>
          <w:p w14:paraId="0542E97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410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62FE8E8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918" w:type="dxa"/>
            <w:noWrap w:val="0"/>
            <w:vAlign w:val="center"/>
          </w:tcPr>
          <w:p w14:paraId="62AF2AC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UPS电池（后备2小时）</w:t>
            </w:r>
          </w:p>
        </w:tc>
        <w:tc>
          <w:tcPr>
            <w:tcW w:w="5251" w:type="dxa"/>
            <w:noWrap w:val="0"/>
            <w:vAlign w:val="center"/>
          </w:tcPr>
          <w:p w14:paraId="4E30706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产品规格：12V100AH;</w:t>
            </w:r>
          </w:p>
          <w:p w14:paraId="74B752C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1.所供蓄电池应采用高性能、高可靠性的全密封阀控式储能胶体蓄电池。</w:t>
            </w:r>
          </w:p>
          <w:p w14:paraId="3B875D6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2.使用环境温度：最高温度：+40℃；最低温度：-20℃。</w:t>
            </w:r>
          </w:p>
          <w:p w14:paraId="09102F5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相对湿度：日平均相对湿度≤95%（25℃）；月平均相对湿度≤90%（25℃）。</w:t>
            </w:r>
          </w:p>
          <w:p w14:paraId="3FCA4D0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海拔高度：≤3000m</w:t>
            </w:r>
          </w:p>
          <w:p w14:paraId="0A134D9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地震烈度：可在9烈度以下地区使用。</w:t>
            </w:r>
          </w:p>
          <w:p w14:paraId="52DDE698">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3.所供蓄电池必须采用先进的内化成胶体电池工艺。</w:t>
            </w:r>
          </w:p>
          <w:p w14:paraId="5E9E7D6C">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4.所供蓄电池产品极板应有利于发挥储能电池优势的独特的板栅设计结构。</w:t>
            </w:r>
          </w:p>
          <w:p w14:paraId="3C7832D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5.所供蓄电池产品须有独特的防正、负极短路技术。</w:t>
            </w:r>
          </w:p>
          <w:p w14:paraId="3675B42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6.完全充电的蓄电池，在25±5℃的环境中，静置28天后，其容量保持率应不低于90％。</w:t>
            </w:r>
          </w:p>
          <w:p w14:paraId="4D86EDD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7.蓄电池的-10℃低温条件下放电容量不低于额定容量的85%。</w:t>
            </w:r>
          </w:p>
          <w:p w14:paraId="160D33C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8.蓄电池密封反应效率应不低于98％。</w:t>
            </w:r>
          </w:p>
          <w:p w14:paraId="775FAE1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9.电池应能承受50kPa的正压或负压而不破裂，压力释放后壳体无残余变形。</w:t>
            </w:r>
          </w:p>
          <w:p w14:paraId="222261D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10.蓄电池的安全阀开阀压力应为10kPa～35kPa，闭阀压力应为5kPa～30kPa。</w:t>
            </w:r>
          </w:p>
          <w:p w14:paraId="0DB8967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11.蓄电池在使用中应无渗液、漏液、爬液和膨胀现象。极性正确，正负极性及端子有明显标志，便于连接。</w:t>
            </w:r>
          </w:p>
          <w:p w14:paraId="23C618D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12.蓄电池的浮充电压值及范围：13.50V-13.80V；蓄电池的充电（恒压）电压值及范围： 14.10~14.50V，充电电流值及范围： 0.1C10~0.2C10A。</w:t>
            </w:r>
          </w:p>
          <w:p w14:paraId="76A91EC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13.蓄电池应有制造厂名及商标、型号及规格、极性符号、生产日期等。</w:t>
            </w:r>
          </w:p>
        </w:tc>
        <w:tc>
          <w:tcPr>
            <w:tcW w:w="1111" w:type="dxa"/>
            <w:noWrap w:val="0"/>
            <w:vAlign w:val="center"/>
          </w:tcPr>
          <w:p w14:paraId="56019AD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9" w:type="dxa"/>
            <w:noWrap w:val="0"/>
            <w:vAlign w:val="center"/>
          </w:tcPr>
          <w:p w14:paraId="2197141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39B2A338">
      <w:pPr>
        <w:pStyle w:val="8"/>
        <w:keepNext w:val="0"/>
        <w:keepLines w:val="0"/>
        <w:widowControl/>
        <w:suppressLineNumbers w:val="0"/>
        <w:spacing w:before="0" w:beforeAutospacing="0" w:after="0" w:afterAutospacing="0" w:line="450" w:lineRule="atLeast"/>
        <w:ind w:left="0" w:right="0" w:firstLine="420"/>
        <w:jc w:val="both"/>
        <w:rPr>
          <w:rStyle w:val="11"/>
          <w:rFonts w:hint="default" w:ascii="仿宋" w:hAnsi="仿宋" w:eastAsia="仿宋" w:cs="仿宋"/>
          <w:b/>
          <w:bCs/>
          <w:color w:val="333333"/>
          <w:spacing w:val="0"/>
          <w:sz w:val="24"/>
          <w:szCs w:val="24"/>
          <w:shd w:val="clear" w:fill="FFFFFF"/>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856F2"/>
    <w:rsid w:val="0D4971A5"/>
    <w:rsid w:val="15C856F2"/>
    <w:rsid w:val="2A2A73D6"/>
    <w:rsid w:val="333C390A"/>
    <w:rsid w:val="34C761A2"/>
    <w:rsid w:val="40B63109"/>
    <w:rsid w:val="513E4A02"/>
    <w:rsid w:val="6612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link w:val="20"/>
    <w:qFormat/>
    <w:uiPriority w:val="0"/>
    <w:pPr>
      <w:keepNext/>
      <w:keepLines/>
      <w:spacing w:line="360" w:lineRule="auto"/>
      <w:jc w:val="center"/>
      <w:outlineLvl w:val="0"/>
    </w:pPr>
    <w:rPr>
      <w:rFonts w:ascii="Times New Roman" w:hAnsi="Times New Roman" w:eastAsia="宋体" w:cs="Times New Roman"/>
      <w:b/>
      <w:bCs/>
      <w:color w:val="auto"/>
      <w:kern w:val="44"/>
      <w:sz w:val="36"/>
      <w:szCs w:val="44"/>
    </w:rPr>
  </w:style>
  <w:style w:type="paragraph" w:styleId="3">
    <w:name w:val="heading 3"/>
    <w:basedOn w:val="1"/>
    <w:next w:val="4"/>
    <w:qFormat/>
    <w:uiPriority w:val="0"/>
    <w:pPr>
      <w:keepNext/>
      <w:keepLines/>
      <w:spacing w:line="360" w:lineRule="auto"/>
      <w:outlineLvl w:val="2"/>
    </w:pPr>
    <w:rPr>
      <w:rFonts w:ascii="仿宋_GB2312" w:hAnsi="仿宋_GB2312" w:eastAsia="宋体"/>
      <w:b/>
      <w:bCs/>
      <w:sz w:val="21"/>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olor w:val="auto"/>
      <w:kern w:val="2"/>
      <w:sz w:val="21"/>
      <w:szCs w:val="24"/>
    </w:rPr>
  </w:style>
  <w:style w:type="paragraph" w:styleId="5">
    <w:name w:val="annotation text"/>
    <w:basedOn w:val="1"/>
    <w:semiHidden/>
    <w:unhideWhenUsed/>
    <w:qFormat/>
    <w:uiPriority w:val="0"/>
    <w:pPr>
      <w:jc w:val="left"/>
    </w:pPr>
  </w:style>
  <w:style w:type="paragraph" w:styleId="6">
    <w:name w:val="Body Text"/>
    <w:basedOn w:val="1"/>
    <w:next w:val="7"/>
    <w:qFormat/>
    <w:uiPriority w:val="0"/>
    <w:pPr>
      <w:spacing w:after="120" w:line="360" w:lineRule="auto"/>
    </w:pPr>
    <w:rPr>
      <w:rFonts w:ascii="Calibri" w:hAnsi="Calibri" w:eastAsia="宋体"/>
      <w:color w:val="auto"/>
      <w:sz w:val="24"/>
      <w:szCs w:val="24"/>
    </w:rPr>
  </w:style>
  <w:style w:type="paragraph" w:styleId="7">
    <w:name w:val="Body Text First Indent"/>
    <w:basedOn w:val="6"/>
    <w:next w:val="1"/>
    <w:qFormat/>
    <w:uiPriority w:val="0"/>
    <w:pPr>
      <w:spacing w:line="240" w:lineRule="auto"/>
      <w:ind w:firstLine="100" w:firstLineChars="100"/>
    </w:pPr>
    <w:rPr>
      <w:rFonts w:ascii="仿宋_GB2312" w:eastAsia="仿宋_GB2312"/>
      <w:color w:val="000000"/>
      <w:sz w:val="28"/>
      <w:szCs w:val="20"/>
    </w:rPr>
  </w:style>
  <w:style w:type="paragraph" w:styleId="8">
    <w:name w:val="Normal (Web)"/>
    <w:basedOn w:val="1"/>
    <w:qFormat/>
    <w:uiPriority w:val="0"/>
    <w:pPr>
      <w:spacing w:before="0" w:beforeAutospacing="1" w:after="0" w:afterAutospacing="1"/>
      <w:ind w:left="0" w:right="0"/>
      <w:jc w:val="both"/>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customStyle="1" w:styleId="14">
    <w:name w:val="llcs"/>
    <w:basedOn w:val="10"/>
    <w:qFormat/>
    <w:uiPriority w:val="0"/>
  </w:style>
  <w:style w:type="character" w:customStyle="1" w:styleId="15">
    <w:name w:val="font31"/>
    <w:basedOn w:val="10"/>
    <w:qFormat/>
    <w:uiPriority w:val="0"/>
    <w:rPr>
      <w:rFonts w:hint="eastAsia" w:ascii="宋体" w:hAnsi="宋体" w:eastAsia="宋体" w:cs="宋体"/>
      <w:color w:val="000000"/>
      <w:sz w:val="20"/>
      <w:szCs w:val="20"/>
      <w:u w:val="none"/>
    </w:rPr>
  </w:style>
  <w:style w:type="character" w:customStyle="1" w:styleId="16">
    <w:name w:val="font41"/>
    <w:basedOn w:val="10"/>
    <w:qFormat/>
    <w:uiPriority w:val="0"/>
    <w:rPr>
      <w:rFonts w:hint="eastAsia" w:ascii="宋体" w:hAnsi="宋体" w:eastAsia="宋体" w:cs="宋体"/>
      <w:b/>
      <w:bCs/>
      <w:color w:val="000000"/>
      <w:sz w:val="20"/>
      <w:szCs w:val="20"/>
      <w:u w:val="none"/>
    </w:rPr>
  </w:style>
  <w:style w:type="character" w:customStyle="1" w:styleId="17">
    <w:name w:val="font101"/>
    <w:basedOn w:val="10"/>
    <w:qFormat/>
    <w:uiPriority w:val="0"/>
    <w:rPr>
      <w:rFonts w:hint="eastAsia" w:ascii="宋体" w:hAnsi="宋体" w:eastAsia="宋体" w:cs="宋体"/>
      <w:color w:val="000000"/>
      <w:sz w:val="20"/>
      <w:szCs w:val="20"/>
      <w:u w:val="none"/>
    </w:rPr>
  </w:style>
  <w:style w:type="character" w:customStyle="1" w:styleId="18">
    <w:name w:val="font91"/>
    <w:basedOn w:val="10"/>
    <w:qFormat/>
    <w:uiPriority w:val="0"/>
    <w:rPr>
      <w:rFonts w:hint="eastAsia" w:ascii="宋体" w:hAnsi="宋体" w:eastAsia="宋体" w:cs="宋体"/>
      <w:color w:val="000000"/>
      <w:sz w:val="20"/>
      <w:szCs w:val="20"/>
      <w:u w:val="none"/>
    </w:rPr>
  </w:style>
  <w:style w:type="paragraph" w:customStyle="1" w:styleId="19">
    <w:name w:val="首行缩进"/>
    <w:basedOn w:val="1"/>
    <w:qFormat/>
    <w:uiPriority w:val="0"/>
    <w:pPr>
      <w:spacing w:line="360" w:lineRule="auto"/>
      <w:ind w:firstLine="480" w:firstLineChars="200"/>
    </w:pPr>
    <w:rPr>
      <w:rFonts w:ascii="宋体" w:hAnsi="宋体" w:cs="宋体"/>
      <w:kern w:val="0"/>
      <w:sz w:val="24"/>
    </w:rPr>
  </w:style>
  <w:style w:type="character" w:customStyle="1" w:styleId="20">
    <w:name w:val="标题 1 Char"/>
    <w:link w:val="2"/>
    <w:qFormat/>
    <w:uiPriority w:val="0"/>
    <w:rPr>
      <w:rFonts w:ascii="Times New Roman" w:hAnsi="Times New Roman" w:eastAsia="宋体"/>
      <w:b/>
      <w:bCs/>
      <w:color w:val="auto"/>
      <w:kern w:val="44"/>
      <w:sz w:val="36"/>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5500</Words>
  <Characters>6331</Characters>
  <Lines>0</Lines>
  <Paragraphs>0</Paragraphs>
  <TotalTime>1</TotalTime>
  <ScaleCrop>false</ScaleCrop>
  <LinksUpToDate>false</LinksUpToDate>
  <CharactersWithSpaces>6409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2025-01-23T02:24:00Z</dcterms:created>
  <dc:creator>001</dc:creator>
  <cp:lastModifiedBy>Administrator</cp:lastModifiedBy>
  <cp:lastPrinted>2025-01-23T07:58:00Z</cp:lastPrinted>
  <dcterms:modified xsi:type="dcterms:W3CDTF">2025-01-23T08:30:00Z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C130143572A74513A44A5C3116E932F5_13</vt:lpwstr>
  </property>
  <property fmtid="{D5CDD505-2E9C-101B-9397-08002B2CF9AE}" pid="4" name="KSOTemplateDocerSaveRecord">
    <vt:lpwstr>eyJoZGlkIjoiY2M1ZWNlYzE2NTEzZTZmNDdlNzExZmQyN2I2ZDMwM2QiLCJ1c2VySWQiOiIzOTg1MTA1MTMifQ==</vt:lpwstr>
  </property>
</Properties>
</file>