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3A821">
      <w:pPr>
        <w:kinsoku/>
        <w:wordWrap/>
        <w:overflowPunct/>
        <w:topLinePunct w:val="0"/>
        <w:bidi w:val="0"/>
        <w:spacing w:line="360" w:lineRule="auto"/>
        <w:jc w:val="both"/>
        <w:outlineLvl w:val="9"/>
        <w:rPr>
          <w:rFonts w:ascii="宋体" w:hAnsi="宋体" w:cs="宋体"/>
          <w:b/>
          <w:color w:val="auto"/>
          <w:sz w:val="24"/>
        </w:rPr>
      </w:pPr>
    </w:p>
    <w:p w14:paraId="5CEA3A16">
      <w:pPr>
        <w:kinsoku/>
        <w:wordWrap/>
        <w:overflowPunct/>
        <w:topLinePunct w:val="0"/>
        <w:bidi w:val="0"/>
        <w:adjustRightInd/>
        <w:spacing w:line="360" w:lineRule="auto"/>
        <w:jc w:val="both"/>
        <w:outlineLvl w:val="9"/>
        <w:rPr>
          <w:rFonts w:ascii="宋体" w:hAnsi="宋体" w:cs="宋体"/>
          <w:b/>
          <w:color w:val="auto"/>
          <w:sz w:val="48"/>
          <w:szCs w:val="48"/>
        </w:rPr>
      </w:pPr>
    </w:p>
    <w:p w14:paraId="631EE651">
      <w:pPr>
        <w:kinsoku/>
        <w:wordWrap/>
        <w:overflowPunct/>
        <w:topLinePunct w:val="0"/>
        <w:bidi w:val="0"/>
        <w:outlineLvl w:val="9"/>
        <w:rPr>
          <w:color w:val="auto"/>
        </w:rPr>
      </w:pPr>
    </w:p>
    <w:p w14:paraId="313E3A3A">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default" w:ascii="宋体" w:hAnsi="宋体" w:eastAsia="宋体" w:cs="宋体"/>
          <w:color w:val="auto"/>
          <w:sz w:val="48"/>
          <w:szCs w:val="48"/>
          <w:lang w:val="en-US" w:eastAsia="zh-CN"/>
        </w:rPr>
      </w:pPr>
      <w:r>
        <w:rPr>
          <w:rFonts w:hint="eastAsia" w:ascii="宋体" w:hAnsi="宋体" w:cs="宋体"/>
          <w:color w:val="auto"/>
          <w:sz w:val="48"/>
          <w:szCs w:val="48"/>
        </w:rPr>
        <w:t>招标文件</w:t>
      </w:r>
      <w:r>
        <w:rPr>
          <w:rFonts w:hint="eastAsia" w:ascii="宋体" w:hAnsi="宋体" w:cs="宋体"/>
          <w:color w:val="auto"/>
          <w:sz w:val="48"/>
          <w:szCs w:val="48"/>
          <w:lang w:eastAsia="zh-CN"/>
        </w:rPr>
        <w:t>（</w:t>
      </w:r>
      <w:r>
        <w:rPr>
          <w:rFonts w:hint="eastAsia" w:ascii="宋体" w:hAnsi="宋体" w:cs="宋体"/>
          <w:color w:val="auto"/>
          <w:sz w:val="48"/>
          <w:szCs w:val="48"/>
          <w:lang w:val="en-US" w:eastAsia="zh-CN"/>
        </w:rPr>
        <w:t>货物）</w:t>
      </w:r>
    </w:p>
    <w:p w14:paraId="6C8D3488">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ascii="宋体" w:hAnsi="宋体" w:cs="宋体"/>
          <w:b/>
          <w:color w:val="auto"/>
          <w:sz w:val="44"/>
          <w:szCs w:val="44"/>
        </w:rPr>
      </w:pPr>
      <w:r>
        <w:rPr>
          <w:rFonts w:hint="eastAsia" w:ascii="宋体" w:hAnsi="宋体" w:cs="宋体"/>
          <w:b/>
          <w:color w:val="auto"/>
          <w:sz w:val="44"/>
          <w:szCs w:val="44"/>
        </w:rPr>
        <w:t>（电子招投标）</w:t>
      </w:r>
    </w:p>
    <w:p w14:paraId="1E99DE76">
      <w:pPr>
        <w:keepNext w:val="0"/>
        <w:keepLines w:val="0"/>
        <w:pageBreakBefore w:val="0"/>
        <w:widowControl w:val="0"/>
        <w:kinsoku/>
        <w:wordWrap/>
        <w:overflowPunct/>
        <w:topLinePunct w:val="0"/>
        <w:autoSpaceDE/>
        <w:autoSpaceDN/>
        <w:bidi w:val="0"/>
        <w:snapToGrid w:val="0"/>
        <w:spacing w:line="360" w:lineRule="auto"/>
        <w:jc w:val="left"/>
        <w:textAlignment w:val="auto"/>
        <w:outlineLvl w:val="9"/>
        <w:rPr>
          <w:rFonts w:hint="eastAsia" w:ascii="宋体" w:hAnsi="宋体" w:cs="宋体"/>
          <w:color w:val="auto"/>
          <w:sz w:val="30"/>
          <w:szCs w:val="30"/>
        </w:rPr>
      </w:pPr>
    </w:p>
    <w:p w14:paraId="3F5EF66F">
      <w:pPr>
        <w:keepNext w:val="0"/>
        <w:keepLines w:val="0"/>
        <w:pageBreakBefore w:val="0"/>
        <w:widowControl w:val="0"/>
        <w:kinsoku/>
        <w:wordWrap/>
        <w:overflowPunct/>
        <w:topLinePunct w:val="0"/>
        <w:autoSpaceDE/>
        <w:autoSpaceDN/>
        <w:bidi w:val="0"/>
        <w:snapToGrid w:val="0"/>
        <w:spacing w:line="360" w:lineRule="auto"/>
        <w:jc w:val="left"/>
        <w:textAlignment w:val="auto"/>
        <w:outlineLvl w:val="9"/>
        <w:rPr>
          <w:rFonts w:hint="eastAsia" w:ascii="宋体" w:hAnsi="宋体" w:cs="宋体"/>
          <w:color w:val="auto"/>
          <w:sz w:val="30"/>
          <w:szCs w:val="30"/>
        </w:rPr>
      </w:pPr>
    </w:p>
    <w:p w14:paraId="61D1AC4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color w:val="auto"/>
          <w:sz w:val="30"/>
          <w:szCs w:val="30"/>
        </w:rPr>
      </w:pPr>
    </w:p>
    <w:p w14:paraId="09C65EE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outlineLvl w:val="9"/>
        <w:rPr>
          <w:rFonts w:hint="default" w:ascii="宋体" w:hAnsi="宋体" w:eastAsia="宋体" w:cs="宋体"/>
          <w:color w:val="auto"/>
          <w:sz w:val="30"/>
          <w:szCs w:val="30"/>
          <w:lang w:val="en-US" w:eastAsia="zh-CN"/>
        </w:rPr>
      </w:pPr>
      <w:r>
        <w:rPr>
          <w:rFonts w:hint="eastAsia" w:ascii="宋体" w:hAnsi="宋体" w:cs="宋体"/>
          <w:color w:val="auto"/>
          <w:sz w:val="30"/>
          <w:szCs w:val="30"/>
        </w:rPr>
        <w:t>项目编号：</w:t>
      </w:r>
      <w:r>
        <w:rPr>
          <w:rFonts w:hint="eastAsia" w:ascii="宋体" w:hAnsi="宋体" w:cs="宋体"/>
          <w:color w:val="auto"/>
          <w:sz w:val="30"/>
          <w:szCs w:val="30"/>
          <w:lang w:eastAsia="zh-CN"/>
        </w:rPr>
        <w:t>中纬采招【2025】NH012</w:t>
      </w:r>
    </w:p>
    <w:p w14:paraId="16BF89C0">
      <w:pPr>
        <w:keepNext w:val="0"/>
        <w:keepLines w:val="0"/>
        <w:pageBreakBefore w:val="0"/>
        <w:widowControl w:val="0"/>
        <w:kinsoku/>
        <w:wordWrap/>
        <w:overflowPunct/>
        <w:topLinePunct w:val="0"/>
        <w:autoSpaceDE/>
        <w:autoSpaceDN/>
        <w:bidi w:val="0"/>
        <w:snapToGrid w:val="0"/>
        <w:spacing w:line="360" w:lineRule="auto"/>
        <w:jc w:val="center"/>
        <w:textAlignment w:val="auto"/>
        <w:outlineLvl w:val="9"/>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2025年宁海县城区垃圾中转站设备维修更换项目</w:t>
      </w:r>
    </w:p>
    <w:p w14:paraId="0AA1A218">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宋体"/>
          <w:color w:val="auto"/>
          <w:sz w:val="28"/>
          <w:szCs w:val="20"/>
        </w:rPr>
      </w:pPr>
    </w:p>
    <w:p w14:paraId="4D6A21FB">
      <w:pPr>
        <w:keepNext w:val="0"/>
        <w:keepLines w:val="0"/>
        <w:pageBreakBefore w:val="0"/>
        <w:widowControl w:val="0"/>
        <w:kinsoku/>
        <w:wordWrap/>
        <w:overflowPunct/>
        <w:topLinePunct w:val="0"/>
        <w:autoSpaceDE/>
        <w:autoSpaceDN/>
        <w:bidi w:val="0"/>
        <w:spacing w:line="360" w:lineRule="auto"/>
        <w:jc w:val="both"/>
        <w:textAlignment w:val="auto"/>
        <w:outlineLvl w:val="9"/>
        <w:rPr>
          <w:rFonts w:ascii="宋体" w:hAnsi="宋体" w:cs="宋体"/>
          <w:b/>
          <w:color w:val="auto"/>
          <w:sz w:val="44"/>
          <w:szCs w:val="44"/>
        </w:rPr>
      </w:pPr>
    </w:p>
    <w:p w14:paraId="2C9B9D39">
      <w:pPr>
        <w:keepNext w:val="0"/>
        <w:keepLines w:val="0"/>
        <w:pageBreakBefore w:val="0"/>
        <w:widowControl w:val="0"/>
        <w:kinsoku/>
        <w:wordWrap/>
        <w:overflowPunct/>
        <w:topLinePunct w:val="0"/>
        <w:autoSpaceDE/>
        <w:autoSpaceDN/>
        <w:bidi w:val="0"/>
        <w:spacing w:line="360" w:lineRule="auto"/>
        <w:jc w:val="both"/>
        <w:textAlignment w:val="auto"/>
        <w:outlineLvl w:val="9"/>
        <w:rPr>
          <w:rFonts w:ascii="宋体" w:hAnsi="宋体" w:cs="宋体"/>
          <w:b/>
          <w:color w:val="auto"/>
          <w:sz w:val="44"/>
          <w:szCs w:val="44"/>
        </w:rPr>
      </w:pPr>
    </w:p>
    <w:p w14:paraId="5A625E87">
      <w:pPr>
        <w:keepNext w:val="0"/>
        <w:keepLines w:val="0"/>
        <w:pageBreakBefore w:val="0"/>
        <w:widowControl w:val="0"/>
        <w:kinsoku/>
        <w:wordWrap/>
        <w:overflowPunct/>
        <w:topLinePunct w:val="0"/>
        <w:autoSpaceDE/>
        <w:autoSpaceDN/>
        <w:bidi w:val="0"/>
        <w:spacing w:line="360" w:lineRule="auto"/>
        <w:jc w:val="both"/>
        <w:textAlignment w:val="auto"/>
        <w:outlineLvl w:val="9"/>
        <w:rPr>
          <w:rFonts w:ascii="宋体" w:hAnsi="宋体" w:cs="宋体"/>
          <w:color w:val="auto"/>
          <w:sz w:val="24"/>
        </w:rPr>
      </w:pPr>
    </w:p>
    <w:p w14:paraId="1776C844">
      <w:pPr>
        <w:keepNext w:val="0"/>
        <w:keepLines w:val="0"/>
        <w:pageBreakBefore w:val="0"/>
        <w:widowControl w:val="0"/>
        <w:kinsoku/>
        <w:wordWrap/>
        <w:overflowPunct/>
        <w:topLinePunct w:val="0"/>
        <w:autoSpaceDE/>
        <w:autoSpaceDN/>
        <w:bidi w:val="0"/>
        <w:spacing w:line="360" w:lineRule="auto"/>
        <w:jc w:val="both"/>
        <w:textAlignment w:val="auto"/>
        <w:outlineLvl w:val="9"/>
        <w:rPr>
          <w:rFonts w:ascii="宋体" w:hAnsi="宋体" w:cs="宋体"/>
          <w:color w:val="auto"/>
          <w:sz w:val="32"/>
          <w:szCs w:val="32"/>
        </w:rPr>
      </w:pPr>
    </w:p>
    <w:p w14:paraId="59405101">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采购人：</w:t>
      </w:r>
      <w:r>
        <w:rPr>
          <w:rFonts w:hint="eastAsia" w:ascii="宋体" w:hAnsi="宋体" w:cs="宋体"/>
          <w:bCs/>
          <w:color w:val="auto"/>
          <w:sz w:val="32"/>
          <w:szCs w:val="32"/>
          <w:lang w:eastAsia="zh-CN"/>
        </w:rPr>
        <w:t>宁海县环境卫生指导中心</w:t>
      </w:r>
    </w:p>
    <w:p w14:paraId="12093537">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中纬工程管理咨询有限公司</w:t>
      </w:r>
    </w:p>
    <w:p w14:paraId="5219CFC3">
      <w:pPr>
        <w:keepNext w:val="0"/>
        <w:keepLines w:val="0"/>
        <w:pageBreakBefore w:val="0"/>
        <w:widowControl w:val="0"/>
        <w:kinsoku/>
        <w:wordWrap/>
        <w:overflowPunct/>
        <w:topLinePunct w:val="0"/>
        <w:autoSpaceDE/>
        <w:autoSpaceDN/>
        <w:bidi w:val="0"/>
        <w:snapToGrid w:val="0"/>
        <w:spacing w:line="360" w:lineRule="auto"/>
        <w:jc w:val="center"/>
        <w:textAlignment w:val="auto"/>
        <w:outlineLvl w:val="9"/>
        <w:rPr>
          <w:rFonts w:hint="eastAsia" w:ascii="宋体" w:hAnsi="宋体" w:cs="宋体"/>
          <w:bCs/>
          <w:color w:val="auto"/>
          <w:sz w:val="32"/>
          <w:szCs w:val="32"/>
        </w:rPr>
      </w:pPr>
    </w:p>
    <w:p w14:paraId="71875689">
      <w:pPr>
        <w:keepNext w:val="0"/>
        <w:keepLines w:val="0"/>
        <w:pageBreakBefore w:val="0"/>
        <w:widowControl w:val="0"/>
        <w:kinsoku/>
        <w:wordWrap/>
        <w:overflowPunct/>
        <w:topLinePunct w:val="0"/>
        <w:autoSpaceDE/>
        <w:autoSpaceDN/>
        <w:bidi w:val="0"/>
        <w:snapToGrid w:val="0"/>
        <w:spacing w:line="360" w:lineRule="auto"/>
        <w:jc w:val="center"/>
        <w:textAlignment w:val="auto"/>
        <w:outlineLvl w:val="9"/>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月</w:t>
      </w:r>
    </w:p>
    <w:p w14:paraId="2F2241C2">
      <w:pPr>
        <w:rPr>
          <w:rFonts w:hint="eastAsia" w:ascii="宋体" w:hAnsi="宋体" w:cs="宋体"/>
          <w:color w:val="auto"/>
          <w:sz w:val="24"/>
        </w:rPr>
      </w:pPr>
      <w:r>
        <w:rPr>
          <w:rFonts w:hint="eastAsia" w:ascii="宋体" w:hAnsi="宋体" w:cs="宋体"/>
          <w:color w:val="auto"/>
          <w:sz w:val="24"/>
        </w:rPr>
        <w:br w:type="page"/>
      </w:r>
    </w:p>
    <w:p w14:paraId="24E031DD">
      <w:pPr>
        <w:kinsoku/>
        <w:wordWrap/>
        <w:overflowPunct/>
        <w:topLinePunct w:val="0"/>
        <w:bidi w:val="0"/>
        <w:spacing w:line="360" w:lineRule="auto"/>
        <w:jc w:val="center"/>
        <w:outlineLvl w:val="9"/>
        <w:rPr>
          <w:rFonts w:ascii="宋体" w:hAnsi="宋体" w:cs="宋体"/>
          <w:color w:val="auto"/>
          <w:sz w:val="24"/>
        </w:rPr>
      </w:pPr>
    </w:p>
    <w:p w14:paraId="6A6ACCAC">
      <w:pPr>
        <w:pStyle w:val="4"/>
        <w:rPr>
          <w:color w:val="auto"/>
        </w:rPr>
      </w:pPr>
    </w:p>
    <w:p w14:paraId="19A50507">
      <w:pPr>
        <w:kinsoku/>
        <w:wordWrap/>
        <w:overflowPunct/>
        <w:topLinePunct w:val="0"/>
        <w:bidi w:val="0"/>
        <w:spacing w:line="360" w:lineRule="auto"/>
        <w:jc w:val="center"/>
        <w:outlineLvl w:val="9"/>
        <w:rPr>
          <w:rFonts w:hint="eastAsia" w:ascii="宋体" w:hAnsi="宋体" w:cs="宋体"/>
          <w:b/>
          <w:color w:val="auto"/>
          <w:sz w:val="48"/>
          <w:szCs w:val="48"/>
        </w:rPr>
      </w:pPr>
    </w:p>
    <w:p w14:paraId="6A276BBE">
      <w:pPr>
        <w:pStyle w:val="2"/>
        <w:rPr>
          <w:rFonts w:hint="eastAsia" w:ascii="宋体" w:hAnsi="宋体" w:cs="宋体"/>
          <w:b/>
          <w:color w:val="auto"/>
          <w:sz w:val="48"/>
          <w:szCs w:val="48"/>
        </w:rPr>
      </w:pPr>
    </w:p>
    <w:p w14:paraId="775A22F8">
      <w:pPr>
        <w:rPr>
          <w:rFonts w:hint="eastAsia" w:ascii="宋体" w:hAnsi="宋体" w:cs="宋体"/>
          <w:b/>
          <w:color w:val="auto"/>
          <w:sz w:val="48"/>
          <w:szCs w:val="48"/>
        </w:rPr>
      </w:pPr>
    </w:p>
    <w:p w14:paraId="0837BAF1">
      <w:pPr>
        <w:pStyle w:val="2"/>
        <w:rPr>
          <w:rFonts w:hint="eastAsia" w:ascii="宋体" w:hAnsi="宋体" w:cs="宋体"/>
          <w:b/>
          <w:color w:val="auto"/>
          <w:sz w:val="48"/>
          <w:szCs w:val="48"/>
        </w:rPr>
      </w:pPr>
    </w:p>
    <w:p w14:paraId="1A4D7A86">
      <w:pPr>
        <w:rPr>
          <w:rFonts w:hint="eastAsia" w:ascii="宋体" w:hAnsi="宋体" w:cs="宋体"/>
          <w:b/>
          <w:color w:val="auto"/>
          <w:sz w:val="48"/>
          <w:szCs w:val="48"/>
        </w:rPr>
      </w:pPr>
    </w:p>
    <w:p w14:paraId="6379435D">
      <w:pPr>
        <w:pStyle w:val="2"/>
        <w:rPr>
          <w:rFonts w:hint="eastAsia" w:ascii="宋体" w:hAnsi="宋体" w:cs="宋体"/>
          <w:b/>
          <w:color w:val="auto"/>
          <w:sz w:val="48"/>
          <w:szCs w:val="48"/>
        </w:rPr>
      </w:pPr>
    </w:p>
    <w:p w14:paraId="191AB8FE">
      <w:pPr>
        <w:rPr>
          <w:rFonts w:hint="eastAsia" w:ascii="宋体" w:hAnsi="宋体" w:cs="宋体"/>
          <w:b/>
          <w:color w:val="auto"/>
          <w:sz w:val="48"/>
          <w:szCs w:val="48"/>
        </w:rPr>
      </w:pPr>
    </w:p>
    <w:p w14:paraId="72E2F222">
      <w:pPr>
        <w:pStyle w:val="2"/>
        <w:rPr>
          <w:rFonts w:hint="eastAsia" w:ascii="宋体" w:hAnsi="宋体" w:cs="宋体"/>
          <w:b/>
          <w:color w:val="auto"/>
          <w:sz w:val="48"/>
          <w:szCs w:val="48"/>
        </w:rPr>
      </w:pPr>
    </w:p>
    <w:p w14:paraId="66FB0693">
      <w:pPr>
        <w:rPr>
          <w:rFonts w:hint="eastAsia" w:ascii="宋体" w:hAnsi="宋体" w:cs="宋体"/>
          <w:b/>
          <w:color w:val="auto"/>
          <w:sz w:val="48"/>
          <w:szCs w:val="48"/>
        </w:rPr>
      </w:pPr>
    </w:p>
    <w:p w14:paraId="7D0BF562">
      <w:pPr>
        <w:pStyle w:val="2"/>
        <w:rPr>
          <w:rFonts w:hint="eastAsia" w:ascii="宋体" w:hAnsi="宋体" w:cs="宋体"/>
          <w:b/>
          <w:color w:val="auto"/>
          <w:sz w:val="48"/>
          <w:szCs w:val="48"/>
        </w:rPr>
      </w:pPr>
    </w:p>
    <w:p w14:paraId="5E28E341">
      <w:pPr>
        <w:rPr>
          <w:rFonts w:hint="eastAsia" w:ascii="宋体" w:hAnsi="宋体" w:cs="宋体"/>
          <w:b/>
          <w:color w:val="auto"/>
          <w:sz w:val="48"/>
          <w:szCs w:val="48"/>
        </w:rPr>
      </w:pPr>
    </w:p>
    <w:p w14:paraId="2CC23E12">
      <w:pPr>
        <w:pStyle w:val="2"/>
        <w:rPr>
          <w:rFonts w:hint="eastAsia" w:ascii="宋体" w:hAnsi="宋体" w:cs="宋体"/>
          <w:b/>
          <w:color w:val="auto"/>
          <w:sz w:val="48"/>
          <w:szCs w:val="48"/>
        </w:rPr>
      </w:pPr>
    </w:p>
    <w:p w14:paraId="6A84F835">
      <w:pPr>
        <w:rPr>
          <w:rFonts w:hint="eastAsia" w:ascii="宋体" w:hAnsi="宋体" w:cs="宋体"/>
          <w:b/>
          <w:color w:val="auto"/>
          <w:sz w:val="48"/>
          <w:szCs w:val="48"/>
        </w:rPr>
      </w:pPr>
    </w:p>
    <w:p w14:paraId="45BD4995">
      <w:pPr>
        <w:pStyle w:val="2"/>
        <w:rPr>
          <w:rFonts w:hint="eastAsia" w:ascii="宋体" w:hAnsi="宋体" w:cs="宋体"/>
          <w:b/>
          <w:color w:val="auto"/>
          <w:sz w:val="48"/>
          <w:szCs w:val="48"/>
        </w:rPr>
      </w:pPr>
    </w:p>
    <w:p w14:paraId="6241308F">
      <w:pPr>
        <w:rPr>
          <w:rFonts w:hint="eastAsia" w:ascii="宋体" w:hAnsi="宋体" w:cs="宋体"/>
          <w:b/>
          <w:color w:val="auto"/>
          <w:sz w:val="48"/>
          <w:szCs w:val="48"/>
        </w:rPr>
      </w:pPr>
    </w:p>
    <w:p w14:paraId="796BD8D8">
      <w:pPr>
        <w:pStyle w:val="2"/>
        <w:rPr>
          <w:rFonts w:hint="eastAsia" w:ascii="宋体" w:hAnsi="宋体" w:cs="宋体"/>
          <w:b/>
          <w:color w:val="auto"/>
          <w:sz w:val="48"/>
          <w:szCs w:val="48"/>
        </w:rPr>
      </w:pPr>
    </w:p>
    <w:p w14:paraId="62661E5D">
      <w:pPr>
        <w:rPr>
          <w:rFonts w:hint="eastAsia" w:ascii="宋体" w:hAnsi="宋体" w:cs="宋体"/>
          <w:b/>
          <w:color w:val="auto"/>
          <w:sz w:val="48"/>
          <w:szCs w:val="48"/>
        </w:rPr>
      </w:pPr>
    </w:p>
    <w:p w14:paraId="057F3766">
      <w:pPr>
        <w:pStyle w:val="2"/>
        <w:rPr>
          <w:rFonts w:hint="eastAsia" w:ascii="宋体" w:hAnsi="宋体" w:cs="宋体"/>
          <w:b/>
          <w:color w:val="auto"/>
          <w:sz w:val="48"/>
          <w:szCs w:val="48"/>
        </w:rPr>
      </w:pPr>
    </w:p>
    <w:p w14:paraId="4F6E0799">
      <w:pPr>
        <w:rPr>
          <w:rFonts w:hint="eastAsia" w:ascii="宋体" w:hAnsi="宋体" w:cs="宋体"/>
          <w:b/>
          <w:color w:val="auto"/>
          <w:sz w:val="48"/>
          <w:szCs w:val="48"/>
        </w:rPr>
      </w:pPr>
    </w:p>
    <w:p w14:paraId="0621AAA9">
      <w:pPr>
        <w:pStyle w:val="2"/>
        <w:rPr>
          <w:rFonts w:hint="eastAsia" w:ascii="宋体" w:hAnsi="宋体" w:cs="宋体"/>
          <w:b/>
          <w:color w:val="auto"/>
          <w:sz w:val="48"/>
          <w:szCs w:val="48"/>
        </w:rPr>
      </w:pPr>
    </w:p>
    <w:p w14:paraId="538D394D">
      <w:pPr>
        <w:rPr>
          <w:rFonts w:hint="eastAsia"/>
        </w:rPr>
      </w:pPr>
    </w:p>
    <w:p w14:paraId="6D8DC675">
      <w:pPr>
        <w:kinsoku/>
        <w:wordWrap/>
        <w:overflowPunct/>
        <w:topLinePunct w:val="0"/>
        <w:bidi w:val="0"/>
        <w:spacing w:line="360" w:lineRule="auto"/>
        <w:jc w:val="center"/>
        <w:outlineLvl w:val="9"/>
        <w:rPr>
          <w:rFonts w:ascii="宋体" w:hAnsi="宋体" w:cs="宋体"/>
          <w:b/>
          <w:color w:val="auto"/>
          <w:sz w:val="48"/>
          <w:szCs w:val="48"/>
        </w:rPr>
      </w:pPr>
      <w:r>
        <w:rPr>
          <w:rFonts w:hint="eastAsia" w:ascii="宋体" w:hAnsi="宋体" w:cs="宋体"/>
          <w:b/>
          <w:color w:val="auto"/>
          <w:sz w:val="48"/>
          <w:szCs w:val="48"/>
        </w:rPr>
        <w:t>目  录</w:t>
      </w:r>
    </w:p>
    <w:p w14:paraId="79225FD5">
      <w:pPr>
        <w:spacing w:before="0" w:beforeLines="0" w:after="0" w:afterLines="0" w:line="240" w:lineRule="auto"/>
        <w:ind w:left="0" w:leftChars="0" w:right="0" w:rightChars="0" w:firstLine="0" w:firstLineChars="0"/>
        <w:jc w:val="center"/>
        <w:rPr>
          <w:color w:val="auto"/>
        </w:rPr>
      </w:pPr>
    </w:p>
    <w:p w14:paraId="36A26C19">
      <w:pPr>
        <w:pStyle w:val="46"/>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"1-1" \h \u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_Toc9238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 xml:space="preserve">第一部分 </w:t>
      </w:r>
      <w:r>
        <w:rPr>
          <w:rFonts w:hint="eastAsia" w:ascii="宋体" w:hAnsi="宋体" w:cs="宋体"/>
          <w:color w:val="auto"/>
          <w:sz w:val="32"/>
          <w:szCs w:val="32"/>
          <w:lang w:val="en-US" w:eastAsia="zh-CN"/>
        </w:rPr>
        <w:t xml:space="preserve"> </w:t>
      </w:r>
      <w:r>
        <w:rPr>
          <w:rFonts w:hint="eastAsia" w:ascii="宋体" w:hAnsi="宋体" w:eastAsia="宋体" w:cs="宋体"/>
          <w:color w:val="auto"/>
          <w:sz w:val="32"/>
          <w:szCs w:val="32"/>
        </w:rPr>
        <w:t>招标公告</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_Toc9238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3E22C05E">
      <w:pPr>
        <w:pStyle w:val="46"/>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_Toc29691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 xml:space="preserve">第二部分 </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供应商</w:t>
      </w:r>
      <w:r>
        <w:rPr>
          <w:rFonts w:hint="eastAsia" w:ascii="宋体" w:hAnsi="宋体" w:eastAsia="宋体" w:cs="宋体"/>
          <w:color w:val="auto"/>
          <w:sz w:val="32"/>
          <w:szCs w:val="32"/>
        </w:rPr>
        <w:t>须知</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_Toc29691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6</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42DBFDFB">
      <w:pPr>
        <w:pStyle w:val="46"/>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_Toc26044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第三部分  采购需求</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_Toc26044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22</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77B5CE47">
      <w:pPr>
        <w:pStyle w:val="46"/>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_Toc18651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第四部分  评标办法</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_Toc18651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38</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6A1BFC59">
      <w:pPr>
        <w:pStyle w:val="46"/>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_Toc8264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 xml:space="preserve">第五部分 </w:t>
      </w:r>
      <w:r>
        <w:rPr>
          <w:rFonts w:hint="eastAsia" w:ascii="宋体" w:hAnsi="宋体" w:cs="宋体"/>
          <w:color w:val="auto"/>
          <w:sz w:val="32"/>
          <w:szCs w:val="32"/>
          <w:lang w:val="en-US" w:eastAsia="zh-CN"/>
        </w:rPr>
        <w:t xml:space="preserve"> </w:t>
      </w:r>
      <w:r>
        <w:rPr>
          <w:rFonts w:hint="eastAsia" w:ascii="宋体" w:hAnsi="宋体" w:eastAsia="宋体" w:cs="宋体"/>
          <w:color w:val="auto"/>
          <w:sz w:val="32"/>
          <w:szCs w:val="32"/>
        </w:rPr>
        <w:t>拟签订的合同文本</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_Toc8264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47</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003CF0C4">
      <w:pPr>
        <w:pStyle w:val="46"/>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_Toc22993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第六部分</w:t>
      </w:r>
      <w:r>
        <w:rPr>
          <w:rFonts w:hint="eastAsia" w:ascii="宋体" w:hAnsi="宋体" w:cs="宋体"/>
          <w:color w:val="auto"/>
          <w:sz w:val="32"/>
          <w:szCs w:val="32"/>
          <w:lang w:val="en-US" w:eastAsia="zh-CN"/>
        </w:rPr>
        <w:t xml:space="preserve"> </w:t>
      </w:r>
      <w:r>
        <w:rPr>
          <w:rFonts w:hint="eastAsia" w:ascii="宋体" w:hAnsi="宋体" w:eastAsia="宋体" w:cs="宋体"/>
          <w:color w:val="auto"/>
          <w:sz w:val="32"/>
          <w:szCs w:val="32"/>
        </w:rPr>
        <w:t xml:space="preserve"> 应提交的有关格式范例</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_Toc22993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58</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2A1E2213">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rPr>
      </w:pPr>
      <w:r>
        <w:rPr>
          <w:rFonts w:hint="eastAsia" w:ascii="宋体" w:hAnsi="宋体" w:eastAsia="宋体" w:cs="宋体"/>
          <w:color w:val="auto"/>
          <w:sz w:val="32"/>
          <w:szCs w:val="32"/>
        </w:rPr>
        <w:fldChar w:fldCharType="end"/>
      </w:r>
    </w:p>
    <w:p w14:paraId="054BCD7C">
      <w:pPr>
        <w:kinsoku/>
        <w:wordWrap/>
        <w:overflowPunct/>
        <w:topLinePunct w:val="0"/>
        <w:bidi w:val="0"/>
        <w:spacing w:line="360" w:lineRule="auto"/>
        <w:outlineLvl w:val="9"/>
        <w:rPr>
          <w:rFonts w:ascii="宋体" w:hAnsi="宋体" w:cs="宋体"/>
          <w:color w:val="auto"/>
          <w:sz w:val="32"/>
          <w:szCs w:val="32"/>
        </w:rPr>
      </w:pPr>
    </w:p>
    <w:p w14:paraId="4C201964">
      <w:pPr>
        <w:kinsoku/>
        <w:wordWrap/>
        <w:overflowPunct/>
        <w:topLinePunct w:val="0"/>
        <w:bidi w:val="0"/>
        <w:spacing w:line="360" w:lineRule="auto"/>
        <w:outlineLvl w:val="9"/>
        <w:rPr>
          <w:rFonts w:ascii="宋体" w:hAnsi="宋体" w:cs="宋体"/>
          <w:color w:val="auto"/>
          <w:sz w:val="32"/>
          <w:szCs w:val="32"/>
        </w:rPr>
      </w:pPr>
    </w:p>
    <w:p w14:paraId="4FD724A2">
      <w:pPr>
        <w:kinsoku/>
        <w:wordWrap/>
        <w:overflowPunct/>
        <w:topLinePunct w:val="0"/>
        <w:bidi w:val="0"/>
        <w:spacing w:line="360" w:lineRule="auto"/>
        <w:ind w:firstLine="549" w:firstLineChars="229"/>
        <w:outlineLvl w:val="9"/>
        <w:rPr>
          <w:rFonts w:ascii="宋体" w:hAnsi="宋体" w:cs="宋体"/>
          <w:color w:val="auto"/>
          <w:sz w:val="24"/>
        </w:rPr>
      </w:pPr>
      <w:bookmarkStart w:id="0" w:name="_Hlt91233176"/>
      <w:bookmarkEnd w:id="0"/>
      <w:bookmarkStart w:id="1" w:name="_Toc91899869"/>
    </w:p>
    <w:p w14:paraId="3149D6A9">
      <w:pPr>
        <w:kinsoku/>
        <w:wordWrap/>
        <w:overflowPunct/>
        <w:topLinePunct w:val="0"/>
        <w:bidi w:val="0"/>
        <w:spacing w:line="360" w:lineRule="auto"/>
        <w:ind w:firstLine="549" w:firstLineChars="229"/>
        <w:outlineLvl w:val="9"/>
        <w:rPr>
          <w:rFonts w:ascii="宋体" w:hAnsi="宋体" w:cs="宋体"/>
          <w:color w:val="auto"/>
          <w:sz w:val="24"/>
        </w:rPr>
      </w:pPr>
    </w:p>
    <w:p w14:paraId="6BF91453">
      <w:pPr>
        <w:kinsoku/>
        <w:wordWrap/>
        <w:overflowPunct/>
        <w:topLinePunct w:val="0"/>
        <w:bidi w:val="0"/>
        <w:spacing w:line="360" w:lineRule="auto"/>
        <w:ind w:firstLine="549" w:firstLineChars="229"/>
        <w:outlineLvl w:val="9"/>
        <w:rPr>
          <w:rFonts w:ascii="宋体" w:hAnsi="宋体" w:cs="宋体"/>
          <w:color w:val="auto"/>
          <w:sz w:val="24"/>
        </w:rPr>
      </w:pPr>
    </w:p>
    <w:p w14:paraId="2016DBF1">
      <w:pPr>
        <w:pStyle w:val="4"/>
        <w:rPr>
          <w:color w:val="auto"/>
        </w:rPr>
      </w:pPr>
    </w:p>
    <w:bookmarkEnd w:id="1"/>
    <w:p w14:paraId="24964827">
      <w:pPr>
        <w:rPr>
          <w:rFonts w:hint="eastAsia" w:ascii="宋体" w:hAnsi="宋体" w:cs="宋体"/>
          <w:b/>
          <w:color w:val="auto"/>
          <w:sz w:val="36"/>
          <w:szCs w:val="20"/>
        </w:rPr>
      </w:pPr>
      <w:bookmarkStart w:id="2" w:name="_Hlt74707423"/>
      <w:bookmarkEnd w:id="2"/>
      <w:bookmarkStart w:id="3" w:name="_Hlt74729822"/>
      <w:bookmarkEnd w:id="3"/>
      <w:bookmarkStart w:id="4" w:name="_Hlt74728647"/>
      <w:bookmarkEnd w:id="4"/>
      <w:bookmarkStart w:id="5" w:name="_Hlt74649545"/>
      <w:bookmarkEnd w:id="5"/>
      <w:bookmarkStart w:id="6" w:name="第二部分"/>
      <w:bookmarkStart w:id="7" w:name="_Toc91899870"/>
      <w:bookmarkStart w:id="8" w:name="_Toc91899871"/>
    </w:p>
    <w:p w14:paraId="611DDAD0">
      <w:pPr>
        <w:kinsoku/>
        <w:wordWrap/>
        <w:overflowPunct/>
        <w:topLinePunct w:val="0"/>
        <w:bidi w:val="0"/>
        <w:adjustRightInd/>
        <w:spacing w:line="360" w:lineRule="auto"/>
        <w:jc w:val="center"/>
        <w:outlineLvl w:val="0"/>
        <w:rPr>
          <w:rFonts w:hint="eastAsia" w:ascii="宋体" w:hAnsi="宋体" w:cs="宋体"/>
          <w:b/>
          <w:color w:val="auto"/>
          <w:sz w:val="36"/>
          <w:szCs w:val="20"/>
        </w:rPr>
        <w:sectPr>
          <w:footerReference r:id="rId5" w:type="first"/>
          <w:headerReference r:id="rId3" w:type="default"/>
          <w:footerReference r:id="rId4" w:type="default"/>
          <w:pgSz w:w="11906" w:h="16838"/>
          <w:pgMar w:top="680" w:right="1418" w:bottom="468" w:left="1418" w:header="851" w:footer="992" w:gutter="0"/>
          <w:pgNumType w:fmt="decimal" w:start="1"/>
          <w:cols w:space="720" w:num="1"/>
          <w:docGrid w:linePitch="312" w:charSpace="0"/>
        </w:sectPr>
      </w:pPr>
      <w:bookmarkStart w:id="9" w:name="_Toc9238"/>
    </w:p>
    <w:p w14:paraId="47319960">
      <w:pPr>
        <w:kinsoku/>
        <w:wordWrap/>
        <w:overflowPunct/>
        <w:topLinePunct w:val="0"/>
        <w:bidi w:val="0"/>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bookmarkEnd w:id="9"/>
    </w:p>
    <w:p w14:paraId="66454B2F">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741AEF4">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w:t>
      </w:r>
      <w:r>
        <w:rPr>
          <w:rFonts w:hint="eastAsia" w:cs="仿宋_GB2312" w:asciiTheme="minorEastAsia" w:hAnsiTheme="minorEastAsia" w:eastAsiaTheme="minorEastAsia"/>
          <w:color w:val="auto"/>
          <w:sz w:val="24"/>
          <w:u w:val="single"/>
          <w:lang w:eastAsia="zh-CN"/>
        </w:rPr>
        <w:t>2025年宁海县城区垃圾中转站设备维修更换项目</w:t>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招标项目的潜在</w:t>
      </w: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lang w:eastAsia="zh-CN"/>
        </w:rPr>
        <w:t>2025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 xml:space="preserve"> </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 xml:space="preserve"> </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14点00分00秒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37B770B1">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cs="宋体"/>
          <w:b/>
          <w:color w:val="auto"/>
          <w:sz w:val="24"/>
        </w:rPr>
      </w:pPr>
      <w:r>
        <w:rPr>
          <w:rFonts w:hint="eastAsia" w:ascii="宋体" w:hAnsi="宋体" w:cs="宋体"/>
          <w:b/>
          <w:color w:val="auto"/>
          <w:sz w:val="24"/>
        </w:rPr>
        <w:t>一、项目基本情况</w:t>
      </w:r>
    </w:p>
    <w:p w14:paraId="21473119">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color w:val="auto"/>
          <w:sz w:val="24"/>
          <w:lang w:val="en-US"/>
        </w:rPr>
      </w:pPr>
      <w:r>
        <w:rPr>
          <w:rFonts w:hint="eastAsia" w:ascii="宋体" w:hAnsi="宋体" w:cs="宋体"/>
          <w:b/>
          <w:color w:val="auto"/>
          <w:sz w:val="24"/>
        </w:rPr>
        <w:t>项目编号：</w:t>
      </w:r>
      <w:r>
        <w:rPr>
          <w:rFonts w:hint="eastAsia" w:ascii="宋体" w:hAnsi="宋体" w:cs="宋体"/>
          <w:b w:val="0"/>
          <w:bCs/>
          <w:color w:val="auto"/>
          <w:sz w:val="24"/>
          <w:lang w:eastAsia="zh-CN"/>
        </w:rPr>
        <w:t>中纬采招【2025】NH012</w:t>
      </w:r>
    </w:p>
    <w:p w14:paraId="7C6B6AF3">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b w:val="0"/>
          <w:bCs/>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2025年宁海县城区垃圾中转站设备维修更换项目</w:t>
      </w:r>
    </w:p>
    <w:p w14:paraId="1BAFE446">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val="0"/>
          <w:bCs/>
          <w:color w:val="auto"/>
          <w:sz w:val="24"/>
          <w:highlight w:val="none"/>
          <w:lang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eastAsia="zh-CN"/>
        </w:rPr>
        <w:t>4580700</w:t>
      </w:r>
    </w:p>
    <w:p w14:paraId="631306A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eastAsia="zh-CN"/>
        </w:rPr>
        <w:t>4580700</w:t>
      </w:r>
    </w:p>
    <w:p w14:paraId="4FDC6B63">
      <w:pPr>
        <w:pStyle w:val="130"/>
        <w:keepNext w:val="0"/>
        <w:keepLines w:val="0"/>
        <w:pageBreakBefore w:val="0"/>
        <w:widowControl w:val="0"/>
        <w:kinsoku/>
        <w:wordWrap/>
        <w:overflowPunct/>
        <w:topLinePunct w:val="0"/>
        <w:autoSpaceDE/>
        <w:autoSpaceDN/>
        <w:bidi w:val="0"/>
        <w:adjustRightInd w:val="0"/>
        <w:snapToGrid/>
        <w:spacing w:before="0" w:line="360" w:lineRule="auto"/>
        <w:ind w:firstLine="723" w:firstLineChars="300"/>
        <w:textAlignment w:val="auto"/>
        <w:outlineLvl w:val="9"/>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lang w:val="en-US" w:eastAsia="zh-CN"/>
        </w:rPr>
        <w:t>数量：</w:t>
      </w:r>
      <w:r>
        <w:rPr>
          <w:rFonts w:hint="eastAsia" w:asciiTheme="minorEastAsia" w:hAnsiTheme="minorEastAsia" w:eastAsiaTheme="minorEastAsia"/>
          <w:b w:val="0"/>
          <w:bCs/>
          <w:color w:val="auto"/>
          <w:sz w:val="24"/>
          <w:lang w:val="en-US" w:eastAsia="zh-CN"/>
        </w:rPr>
        <w:t>1批</w:t>
      </w:r>
    </w:p>
    <w:p w14:paraId="26724E96">
      <w:pPr>
        <w:pStyle w:val="130"/>
        <w:keepNext w:val="0"/>
        <w:keepLines w:val="0"/>
        <w:pageBreakBefore w:val="0"/>
        <w:widowControl w:val="0"/>
        <w:kinsoku/>
        <w:wordWrap/>
        <w:overflowPunct/>
        <w:topLinePunct w:val="0"/>
        <w:autoSpaceDE/>
        <w:autoSpaceDN/>
        <w:bidi w:val="0"/>
        <w:adjustRightInd w:val="0"/>
        <w:snapToGrid/>
        <w:spacing w:before="0" w:line="360" w:lineRule="auto"/>
        <w:ind w:firstLine="723" w:firstLineChars="300"/>
        <w:textAlignment w:val="auto"/>
        <w:outlineLvl w:val="9"/>
        <w:rPr>
          <w:rFonts w:hint="eastAsia" w:hAnsi="宋体" w:cs="宋体"/>
          <w:b/>
          <w:color w:val="auto"/>
          <w:sz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 w:val="0"/>
          <w:bCs/>
          <w:color w:val="auto"/>
          <w:sz w:val="24"/>
        </w:rPr>
        <w:t>具体以招标文件第三部分采购需求为准，供应商可点击本公告下方“浏览采购文件”查看采购需求。</w:t>
      </w:r>
    </w:p>
    <w:p w14:paraId="2AFB53E8">
      <w:pPr>
        <w:pStyle w:val="130"/>
        <w:keepNext w:val="0"/>
        <w:keepLines w:val="0"/>
        <w:pageBreakBefore w:val="0"/>
        <w:widowControl w:val="0"/>
        <w:kinsoku/>
        <w:wordWrap/>
        <w:overflowPunct/>
        <w:topLinePunct w:val="0"/>
        <w:autoSpaceDE/>
        <w:autoSpaceDN/>
        <w:bidi w:val="0"/>
        <w:adjustRightInd w:val="0"/>
        <w:snapToGrid/>
        <w:spacing w:before="0" w:line="360" w:lineRule="auto"/>
        <w:ind w:firstLine="723" w:firstLineChars="300"/>
        <w:textAlignment w:val="auto"/>
        <w:outlineLvl w:val="9"/>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备注：/</w:t>
      </w:r>
    </w:p>
    <w:p w14:paraId="3359CC8F">
      <w:pPr>
        <w:pStyle w:val="130"/>
        <w:keepNext w:val="0"/>
        <w:keepLines w:val="0"/>
        <w:pageBreakBefore w:val="0"/>
        <w:kinsoku/>
        <w:wordWrap/>
        <w:overflowPunct/>
        <w:topLinePunct w:val="0"/>
        <w:autoSpaceDE/>
        <w:autoSpaceDN/>
        <w:bidi w:val="0"/>
        <w:adjustRightInd w:val="0"/>
        <w:spacing w:before="0" w:line="360" w:lineRule="auto"/>
        <w:ind w:firstLine="482"/>
        <w:textAlignment w:val="auto"/>
        <w:outlineLvl w:val="9"/>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val="0"/>
          <w:bCs/>
          <w:color w:val="auto"/>
          <w:highlight w:val="none"/>
          <w:lang w:eastAsia="zh-CN"/>
        </w:rPr>
        <w:t>合同签订后5个月内完成工作内容。</w:t>
      </w:r>
    </w:p>
    <w:p w14:paraId="1F0D511F">
      <w:pPr>
        <w:pStyle w:val="6"/>
        <w:keepNext w:val="0"/>
        <w:keepLines w:val="0"/>
        <w:pageBreakBefore w:val="0"/>
        <w:kinsoku/>
        <w:wordWrap/>
        <w:overflowPunct/>
        <w:topLinePunct w:val="0"/>
        <w:autoSpaceDE/>
        <w:autoSpaceDN/>
        <w:bidi w:val="0"/>
        <w:adjustRightInd w:val="0"/>
        <w:spacing w:line="360" w:lineRule="auto"/>
        <w:ind w:firstLine="48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E2F9C8E">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rPr>
      </w:pPr>
      <w:r>
        <w:rPr>
          <w:rFonts w:hint="eastAsia" w:ascii="宋体" w:hAnsi="宋体" w:cs="宋体"/>
          <w:b/>
          <w:color w:val="auto"/>
          <w:sz w:val="24"/>
        </w:rPr>
        <w:t>二、</w:t>
      </w:r>
      <w:bookmarkStart w:id="10" w:name="_Hlk101132948"/>
      <w:r>
        <w:rPr>
          <w:rFonts w:hint="eastAsia" w:ascii="宋体" w:hAnsi="宋体" w:cs="宋体"/>
          <w:b/>
          <w:color w:val="auto"/>
          <w:sz w:val="24"/>
        </w:rPr>
        <w:t>申请人的资格要求</w:t>
      </w:r>
      <w:bookmarkEnd w:id="10"/>
      <w:r>
        <w:rPr>
          <w:rFonts w:hint="eastAsia" w:ascii="宋体" w:hAnsi="宋体" w:cs="宋体"/>
          <w:b/>
          <w:color w:val="auto"/>
          <w:sz w:val="24"/>
        </w:rPr>
        <w:t>：</w:t>
      </w:r>
    </w:p>
    <w:p w14:paraId="5A3C8317">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7D7550E1">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napToGrid w:val="0"/>
          <w:color w:val="auto"/>
          <w:kern w:val="28"/>
          <w:sz w:val="24"/>
          <w:szCs w:val="20"/>
        </w:rPr>
      </w:pP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w:t>
      </w:r>
      <w:r>
        <w:rPr>
          <w:rFonts w:hint="eastAsia" w:ascii="宋体" w:hAnsi="宋体" w:eastAsia="宋体" w:cs="宋体"/>
          <w:snapToGrid w:val="0"/>
          <w:color w:val="auto"/>
          <w:kern w:val="28"/>
          <w:sz w:val="24"/>
          <w:szCs w:val="20"/>
        </w:rPr>
        <w:t>形式</w:t>
      </w:r>
      <w:r>
        <w:rPr>
          <w:rFonts w:hint="eastAsia" w:ascii="宋体" w:hAnsi="宋体" w:cs="宋体"/>
          <w:snapToGrid w:val="0"/>
          <w:color w:val="auto"/>
          <w:kern w:val="28"/>
          <w:sz w:val="24"/>
          <w:szCs w:val="20"/>
        </w:rPr>
        <w:t>投标的，提供联合协议(本项目不接受联合体投标或者</w:t>
      </w:r>
      <w:r>
        <w:rPr>
          <w:rFonts w:hint="eastAsia" w:ascii="宋体" w:hAnsi="宋体" w:cs="宋体"/>
          <w:snapToGrid w:val="0"/>
          <w:color w:val="auto"/>
          <w:kern w:val="28"/>
          <w:sz w:val="24"/>
          <w:szCs w:val="20"/>
          <w:lang w:eastAsia="zh-CN"/>
        </w:rPr>
        <w:t>供应商</w:t>
      </w:r>
      <w:r>
        <w:rPr>
          <w:rFonts w:hint="eastAsia" w:ascii="宋体" w:hAnsi="宋体" w:cs="宋体"/>
          <w:snapToGrid w:val="0"/>
          <w:color w:val="auto"/>
          <w:kern w:val="28"/>
          <w:sz w:val="24"/>
          <w:szCs w:val="20"/>
        </w:rPr>
        <w:t>不以联合体形式投标的，则不需要提供) ；</w:t>
      </w:r>
    </w:p>
    <w:p w14:paraId="030FFD6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 xml:space="preserve"> </w:t>
      </w:r>
      <w:r>
        <w:rPr>
          <w:rFonts w:hint="eastAsia" w:ascii="宋体" w:hAnsi="宋体" w:cs="宋体"/>
          <w:snapToGrid w:val="0"/>
          <w:color w:val="auto"/>
          <w:kern w:val="28"/>
          <w:sz w:val="24"/>
          <w:szCs w:val="20"/>
        </w:rPr>
        <w:t>落实政府采购政策需满足的资格要求：</w:t>
      </w:r>
    </w:p>
    <w:p w14:paraId="49A30F8F">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02E22F18">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259CDCA">
      <w:pPr>
        <w:keepNext w:val="0"/>
        <w:keepLines w:val="0"/>
        <w:pageBreakBefore w:val="0"/>
        <w:kinsoku/>
        <w:wordWrap/>
        <w:overflowPunct/>
        <w:topLinePunct w:val="0"/>
        <w:autoSpaceDE/>
        <w:autoSpaceDN/>
        <w:bidi w:val="0"/>
        <w:adjustRightInd w:val="0"/>
        <w:spacing w:line="360" w:lineRule="auto"/>
        <w:ind w:firstLine="897" w:firstLineChars="374"/>
        <w:textAlignment w:val="auto"/>
        <w:outlineLvl w:val="9"/>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5EF27571">
      <w:pPr>
        <w:keepNext w:val="0"/>
        <w:keepLines w:val="0"/>
        <w:pageBreakBefore w:val="0"/>
        <w:kinsoku/>
        <w:wordWrap/>
        <w:overflowPunct/>
        <w:topLinePunct w:val="0"/>
        <w:autoSpaceDE/>
        <w:autoSpaceDN/>
        <w:bidi w:val="0"/>
        <w:adjustRightInd w:val="0"/>
        <w:spacing w:line="360" w:lineRule="auto"/>
        <w:ind w:firstLine="897" w:firstLineChars="374"/>
        <w:textAlignment w:val="auto"/>
        <w:outlineLvl w:val="9"/>
        <w:rPr>
          <w:rFonts w:ascii="宋体" w:hAnsi="宋体" w:cs="宋体"/>
          <w:color w:val="auto"/>
          <w:sz w:val="24"/>
        </w:rPr>
      </w:pPr>
      <w:sdt>
        <w:sdtPr>
          <w:rPr>
            <w:rFonts w:hint="eastAsia" w:ascii="宋体" w:hAnsi="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货物全部由符合政策要求的小微企业制造，提供中小企业声明函；</w:t>
      </w:r>
    </w:p>
    <w:p w14:paraId="3E16F8C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1"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1"/>
    <w:p w14:paraId="5BD7A350">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8CAED0C">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i w:val="0"/>
          <w:iCs w:val="0"/>
          <w:color w:val="auto"/>
          <w:kern w:val="0"/>
          <w:sz w:val="24"/>
          <w:szCs w:val="24"/>
          <w:highlight w:val="none"/>
          <w:lang w:val="en-US" w:eastAsia="zh-CN"/>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val="en-US" w:eastAsia="zh-CN"/>
        </w:rPr>
        <w:t>无；</w:t>
      </w:r>
    </w:p>
    <w:p w14:paraId="33FFDA0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C3543A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w:t>
      </w:r>
    </w:p>
    <w:p w14:paraId="16F4B385">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rPr>
      </w:pPr>
      <w:r>
        <w:rPr>
          <w:rFonts w:hint="eastAsia" w:ascii="宋体" w:hAnsi="宋体" w:cs="宋体"/>
          <w:b/>
          <w:color w:val="auto"/>
          <w:sz w:val="24"/>
        </w:rPr>
        <w:t xml:space="preserve">三、获取招标文件 </w:t>
      </w:r>
    </w:p>
    <w:p w14:paraId="7D773B25">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时间：</w:t>
      </w:r>
      <w:r>
        <w:rPr>
          <w:rFonts w:hint="eastAsia" w:cs="宋体" w:asciiTheme="minorEastAsia" w:hAnsiTheme="minorEastAsia" w:eastAsiaTheme="minorEastAsia"/>
          <w:b w:val="0"/>
          <w:bCs/>
          <w:color w:val="auto"/>
          <w:sz w:val="24"/>
          <w:lang w:eastAsia="zh-CN"/>
        </w:rPr>
        <w:t>2025</w:t>
      </w:r>
      <w:r>
        <w:rPr>
          <w:rFonts w:hint="eastAsia" w:cs="宋体" w:asciiTheme="minorEastAsia" w:hAnsiTheme="minorEastAsia" w:eastAsiaTheme="minorEastAsia"/>
          <w:b w:val="0"/>
          <w:bCs/>
          <w:color w:val="auto"/>
          <w:sz w:val="24"/>
        </w:rPr>
        <w:t>年</w:t>
      </w:r>
      <w:r>
        <w:rPr>
          <w:rFonts w:hint="eastAsia" w:cs="宋体" w:asciiTheme="minorEastAsia" w:hAnsiTheme="minorEastAsia" w:eastAsiaTheme="minorEastAsia"/>
          <w:b w:val="0"/>
          <w:bCs/>
          <w:color w:val="auto"/>
          <w:sz w:val="24"/>
          <w:lang w:val="en-US" w:eastAsia="zh-CN"/>
        </w:rPr>
        <w:t xml:space="preserve"> </w:t>
      </w:r>
      <w:r>
        <w:rPr>
          <w:rFonts w:hint="eastAsia" w:cs="宋体" w:asciiTheme="minorEastAsia" w:hAnsiTheme="minorEastAsia" w:eastAsiaTheme="minorEastAsia"/>
          <w:b w:val="0"/>
          <w:bCs/>
          <w:color w:val="auto"/>
          <w:sz w:val="24"/>
        </w:rPr>
        <w:t>月</w:t>
      </w:r>
      <w:r>
        <w:rPr>
          <w:rFonts w:hint="eastAsia" w:cs="宋体" w:asciiTheme="minorEastAsia" w:hAnsiTheme="minorEastAsia" w:eastAsiaTheme="minorEastAsia"/>
          <w:b w:val="0"/>
          <w:bCs/>
          <w:color w:val="auto"/>
          <w:sz w:val="24"/>
          <w:lang w:val="en-US" w:eastAsia="zh-CN"/>
        </w:rPr>
        <w:t xml:space="preserve"> </w:t>
      </w:r>
      <w:r>
        <w:rPr>
          <w:rFonts w:hint="eastAsia" w:cs="宋体" w:asciiTheme="minorEastAsia" w:hAnsiTheme="minorEastAsia" w:eastAsiaTheme="minorEastAsia"/>
          <w:b w:val="0"/>
          <w:bCs/>
          <w:color w:val="auto"/>
          <w:sz w:val="24"/>
        </w:rPr>
        <w:t>日至</w:t>
      </w:r>
      <w:r>
        <w:rPr>
          <w:rFonts w:hint="eastAsia" w:cs="宋体" w:asciiTheme="minorEastAsia" w:hAnsiTheme="minorEastAsia" w:eastAsiaTheme="minorEastAsia"/>
          <w:b w:val="0"/>
          <w:bCs/>
          <w:color w:val="auto"/>
          <w:sz w:val="24"/>
          <w:lang w:eastAsia="zh-CN"/>
        </w:rPr>
        <w:t>2025</w:t>
      </w:r>
      <w:r>
        <w:rPr>
          <w:rFonts w:hint="eastAsia" w:cs="宋体" w:asciiTheme="minorEastAsia" w:hAnsiTheme="minorEastAsia" w:eastAsiaTheme="minorEastAsia"/>
          <w:b w:val="0"/>
          <w:bCs/>
          <w:color w:val="auto"/>
          <w:sz w:val="24"/>
        </w:rPr>
        <w:t>年</w:t>
      </w:r>
      <w:r>
        <w:rPr>
          <w:rFonts w:hint="eastAsia" w:cs="宋体" w:asciiTheme="minorEastAsia" w:hAnsiTheme="minorEastAsia" w:eastAsiaTheme="minorEastAsia"/>
          <w:b w:val="0"/>
          <w:bCs/>
          <w:color w:val="auto"/>
          <w:sz w:val="24"/>
          <w:lang w:val="en-US" w:eastAsia="zh-CN"/>
        </w:rPr>
        <w:t xml:space="preserve"> 月 </w:t>
      </w:r>
      <w:r>
        <w:rPr>
          <w:rFonts w:hint="eastAsia" w:cs="宋体" w:asciiTheme="minorEastAsia" w:hAnsiTheme="minorEastAsia" w:eastAsiaTheme="minorEastAsia"/>
          <w:b w:val="0"/>
          <w:bCs/>
          <w:color w:val="auto"/>
          <w:sz w:val="24"/>
        </w:rPr>
        <w:t>日</w:t>
      </w:r>
      <w:r>
        <w:rPr>
          <w:rFonts w:hint="eastAsia" w:cs="宋体" w:asciiTheme="minorEastAsia" w:hAnsiTheme="minorEastAsia" w:eastAsiaTheme="minorEastAsia"/>
          <w:color w:val="auto"/>
          <w:sz w:val="24"/>
        </w:rPr>
        <w:t>，</w:t>
      </w:r>
      <w:r>
        <w:rPr>
          <w:rFonts w:hint="eastAsia" w:ascii="宋体" w:hAnsi="宋体" w:cs="宋体"/>
          <w:color w:val="auto"/>
          <w:sz w:val="24"/>
        </w:rPr>
        <w:t>每天上午00:00至12:00 ，下午12:00至23:59（北京时间，线上获取法定节假日均可，线下获取文件法定节假日除外）</w:t>
      </w:r>
    </w:p>
    <w:p w14:paraId="0E9278D6">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8960706">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B776E39">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p>
    <w:p w14:paraId="4966609A">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rPr>
      </w:pPr>
      <w:r>
        <w:rPr>
          <w:rFonts w:hint="eastAsia" w:ascii="宋体" w:hAnsi="宋体" w:cs="宋体"/>
          <w:b/>
          <w:color w:val="auto"/>
          <w:sz w:val="24"/>
        </w:rPr>
        <w:t>四、提交投标文件截止时间、开标时间和地点</w:t>
      </w:r>
    </w:p>
    <w:p w14:paraId="39E10367">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 xml:space="preserve"> 月 </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14点00分00秒</w:t>
      </w:r>
      <w:r>
        <w:rPr>
          <w:rFonts w:hint="eastAsia" w:ascii="宋体" w:hAnsi="宋体" w:cs="宋体"/>
          <w:color w:val="auto"/>
          <w:sz w:val="24"/>
        </w:rPr>
        <w:t>（北京时间）</w:t>
      </w:r>
    </w:p>
    <w:p w14:paraId="3C63396C">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b/>
          <w:color w:val="auto"/>
          <w:sz w:val="24"/>
        </w:rPr>
      </w:pPr>
      <w:r>
        <w:rPr>
          <w:rFonts w:hint="eastAsia" w:ascii="宋体" w:hAnsi="宋体" w:cs="宋体"/>
          <w:b/>
          <w:color w:val="auto"/>
          <w:sz w:val="24"/>
        </w:rPr>
        <w:t>投标地点（网址）：</w:t>
      </w:r>
      <w:r>
        <w:rPr>
          <w:rFonts w:hint="eastAsia" w:asciiTheme="minorEastAsia" w:hAnsiTheme="minorEastAsia" w:eastAsiaTheme="minorEastAsia"/>
          <w:color w:val="auto"/>
          <w:sz w:val="24"/>
        </w:rPr>
        <w:t>政府采购云平台（http://www.zcygov.cn/）。</w:t>
      </w:r>
    </w:p>
    <w:p w14:paraId="01E007CE">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 xml:space="preserve"> 月 </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14点00分00秒</w:t>
      </w:r>
    </w:p>
    <w:p w14:paraId="5227AC40">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开标地点（网址）：</w:t>
      </w:r>
      <w:r>
        <w:rPr>
          <w:rFonts w:hint="eastAsia" w:asciiTheme="minorEastAsia" w:hAnsiTheme="minorEastAsia" w:eastAsiaTheme="minorEastAsia"/>
          <w:color w:val="auto"/>
          <w:sz w:val="24"/>
        </w:rPr>
        <w:t>政府采购云平台（http://www.zcygov.cn/）。</w:t>
      </w:r>
    </w:p>
    <w:p w14:paraId="1532A94F">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color w:val="auto"/>
          <w:sz w:val="24"/>
        </w:rPr>
      </w:pPr>
      <w:r>
        <w:rPr>
          <w:rFonts w:hint="eastAsia" w:ascii="宋体" w:hAnsi="宋体" w:cs="宋体"/>
          <w:b/>
          <w:color w:val="auto"/>
          <w:sz w:val="24"/>
        </w:rPr>
        <w:t xml:space="preserve">五、公告期限 </w:t>
      </w:r>
    </w:p>
    <w:p w14:paraId="7725C7CA">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自本公告发布之日起5个工作日。</w:t>
      </w:r>
    </w:p>
    <w:p w14:paraId="768CD3F5">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rPr>
      </w:pPr>
      <w:r>
        <w:rPr>
          <w:rFonts w:hint="eastAsia" w:ascii="宋体" w:hAnsi="宋体" w:cs="宋体"/>
          <w:b/>
          <w:color w:val="auto"/>
          <w:sz w:val="24"/>
        </w:rPr>
        <w:t>六、其他补充事宜</w:t>
      </w:r>
    </w:p>
    <w:p w14:paraId="1FEA035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282E62A">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3183BA">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639B25">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4.其他事项：</w:t>
      </w:r>
    </w:p>
    <w:p w14:paraId="2B065B61">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（1）需要落实的政府采购政策：包括节约资源、保护环境、支持创新、促进中小企业发展等。详见招标文件的第二部分总则。</w:t>
      </w:r>
    </w:p>
    <w:p w14:paraId="70066E3B">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w:t>
      </w:r>
      <w:r>
        <w:rPr>
          <w:rFonts w:hint="eastAsia" w:cs="仿宋_GB2312" w:asciiTheme="minorEastAsia" w:hAnsiTheme="minorEastAsia" w:eastAsiaTheme="minorEastAsia"/>
          <w:color w:val="auto"/>
          <w:sz w:val="24"/>
        </w:rPr>
        <w:t>（文件后缀为：jmbs）</w:t>
      </w:r>
      <w:r>
        <w:rPr>
          <w:rFonts w:hint="eastAsia" w:ascii="宋体" w:hAnsi="宋体" w:cs="宋体"/>
          <w:color w:val="auto"/>
          <w:sz w:val="24"/>
        </w:rPr>
        <w:t>：在“政采云电子交易客户端”中完成“填写基本信息”、“导入投标文件”、“标书关联”、“标书检查”、“电子签名”、“生成电子标书”等操作；⑤采购人、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lang w:eastAsia="zh-CN"/>
        </w:rPr>
        <w:t>（文件后缀为：bfbs）</w:t>
      </w:r>
      <w:r>
        <w:rPr>
          <w:rFonts w:hint="eastAsia" w:ascii="宋体" w:hAnsi="宋体" w:cs="宋体"/>
          <w:color w:val="auto"/>
          <w:sz w:val="24"/>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531A646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（3）招标文件公告期限与招标公告的公告期限一致。</w:t>
      </w:r>
    </w:p>
    <w:p w14:paraId="0AADB70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本《第一部分  招标公告》中二、申请人的资格要求：第一条中的“重大税收违法案件当事人名单”即为“重大税收违法失信主体”。</w:t>
      </w:r>
    </w:p>
    <w:p w14:paraId="71B1E76B">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2AD49673">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1.采购人信息</w:t>
      </w:r>
    </w:p>
    <w:p w14:paraId="751B79F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名    称：宁海县环境卫生指导中心</w:t>
      </w:r>
    </w:p>
    <w:p w14:paraId="57909126">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地    址：宁海县桃源中路127号</w:t>
      </w:r>
    </w:p>
    <w:p w14:paraId="59B907C1">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传    真：/</w:t>
      </w:r>
    </w:p>
    <w:p w14:paraId="2E44EC26">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项目联系人（询问）：尤老师</w:t>
      </w:r>
    </w:p>
    <w:p w14:paraId="406E7BF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项目联系方式（询问）：0574-65501192</w:t>
      </w:r>
    </w:p>
    <w:p w14:paraId="50F13493">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质疑联系人：朱老师</w:t>
      </w:r>
    </w:p>
    <w:p w14:paraId="4D546540">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lang w:val="en-US" w:eastAsia="zh-CN"/>
        </w:rPr>
        <w:t>质疑联系方式：0574-65502712</w:t>
      </w:r>
    </w:p>
    <w:p w14:paraId="0E0C438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p>
    <w:p w14:paraId="0B60E5B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2.采购代理机构信息</w:t>
      </w:r>
    </w:p>
    <w:p w14:paraId="14E677D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名    称：中纬工程管理咨询有限公司</w:t>
      </w:r>
    </w:p>
    <w:p w14:paraId="018CD26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地    址：宁海县金山国际广场商务5号楼8楼</w:t>
      </w:r>
    </w:p>
    <w:p w14:paraId="66AE86B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传    真：/</w:t>
      </w:r>
    </w:p>
    <w:p w14:paraId="2A132AE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color w:val="auto"/>
          <w:sz w:val="24"/>
          <w:lang w:val="en-US" w:eastAsia="zh-CN"/>
        </w:rPr>
      </w:pPr>
      <w:r>
        <w:rPr>
          <w:rFonts w:hint="eastAsia" w:ascii="宋体" w:hAnsi="宋体" w:cs="宋体"/>
          <w:color w:val="auto"/>
          <w:sz w:val="24"/>
          <w:lang w:val="en-US" w:eastAsia="zh-CN"/>
        </w:rPr>
        <w:t>项目联系人（询问）：叶工</w:t>
      </w:r>
    </w:p>
    <w:p w14:paraId="2FDE27C3">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color w:val="auto"/>
          <w:sz w:val="24"/>
          <w:lang w:val="en-US" w:eastAsia="zh-CN"/>
        </w:rPr>
      </w:pPr>
      <w:r>
        <w:rPr>
          <w:rFonts w:hint="eastAsia" w:ascii="宋体" w:hAnsi="宋体" w:cs="宋体"/>
          <w:color w:val="auto"/>
          <w:sz w:val="24"/>
          <w:lang w:val="en-US" w:eastAsia="zh-CN"/>
        </w:rPr>
        <w:t>项目联系方式（询问）：0574-56354280</w:t>
      </w:r>
    </w:p>
    <w:p w14:paraId="0AD92B35">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color w:val="auto"/>
          <w:sz w:val="24"/>
          <w:lang w:val="en-US" w:eastAsia="zh-CN"/>
        </w:rPr>
      </w:pPr>
      <w:r>
        <w:rPr>
          <w:rFonts w:hint="eastAsia" w:ascii="宋体" w:hAnsi="宋体" w:cs="宋体"/>
          <w:color w:val="auto"/>
          <w:sz w:val="24"/>
          <w:lang w:val="en-US" w:eastAsia="zh-CN"/>
        </w:rPr>
        <w:t>质疑联系人：郑工</w:t>
      </w:r>
    </w:p>
    <w:p w14:paraId="4D02058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质疑联系方式：0574-56354280</w:t>
      </w:r>
    </w:p>
    <w:p w14:paraId="19B65F1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p>
    <w:p w14:paraId="42AC76E6">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3.同级政府采购监督管理部门：</w:t>
      </w:r>
    </w:p>
    <w:p w14:paraId="723DB60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名    称：宁海县政府采购管理办公室</w:t>
      </w:r>
    </w:p>
    <w:p w14:paraId="7577830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地    址：宁海县跃龙街道桃源中路218号</w:t>
      </w:r>
    </w:p>
    <w:p w14:paraId="2A7639C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传    真：0574-65265612</w:t>
      </w:r>
    </w:p>
    <w:p w14:paraId="14495ED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联 系 人：王老师</w:t>
      </w:r>
    </w:p>
    <w:p w14:paraId="17980BC3">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投诉电话：0574-65265668</w:t>
      </w:r>
    </w:p>
    <w:p w14:paraId="38DBD4E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color w:val="auto"/>
          <w:sz w:val="24"/>
        </w:rPr>
      </w:pPr>
    </w:p>
    <w:p w14:paraId="53777FB5">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lang w:eastAsia="zh-CN"/>
        </w:rPr>
        <w:t>“</w:t>
      </w:r>
      <w:r>
        <w:rPr>
          <w:rFonts w:hint="eastAsia" w:ascii="宋体" w:hAnsi="宋体" w:cs="宋体"/>
          <w:color w:val="auto"/>
          <w:sz w:val="24"/>
          <w:highlight w:val="none"/>
        </w:rPr>
        <w:t>95763</w:t>
      </w:r>
      <w:r>
        <w:rPr>
          <w:rFonts w:hint="eastAsia" w:ascii="宋体" w:hAnsi="宋体" w:cs="宋体"/>
          <w:color w:val="auto"/>
          <w:sz w:val="24"/>
          <w:lang w:eastAsia="zh-CN"/>
        </w:rPr>
        <w:t>”</w:t>
      </w:r>
      <w:r>
        <w:rPr>
          <w:rFonts w:hint="eastAsia" w:ascii="宋体" w:hAnsi="宋体" w:cs="宋体"/>
          <w:color w:val="auto"/>
          <w:sz w:val="24"/>
        </w:rPr>
        <w:t>获取热线服务帮助。</w:t>
      </w:r>
    </w:p>
    <w:p w14:paraId="36114BEA">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CA问题联系电话（人工）：汇信CA 400-888-4636；天谷CA 400-087-8198。</w:t>
      </w:r>
    </w:p>
    <w:p w14:paraId="28E6380B">
      <w:pPr>
        <w:pStyle w:val="36"/>
        <w:keepNext w:val="0"/>
        <w:keepLines w:val="0"/>
        <w:pageBreakBefore w:val="0"/>
        <w:kinsoku/>
        <w:wordWrap/>
        <w:overflowPunct/>
        <w:topLinePunct w:val="0"/>
        <w:autoSpaceDE/>
        <w:autoSpaceDN/>
        <w:bidi w:val="0"/>
        <w:adjustRightInd w:val="0"/>
        <w:spacing w:line="360" w:lineRule="auto"/>
        <w:textAlignment w:val="auto"/>
        <w:outlineLvl w:val="9"/>
        <w:rPr>
          <w:rFonts w:hAnsi="宋体" w:cs="宋体"/>
          <w:b/>
          <w:color w:val="auto"/>
          <w:sz w:val="36"/>
          <w:szCs w:val="20"/>
        </w:rPr>
      </w:pPr>
    </w:p>
    <w:p w14:paraId="7AAC186C">
      <w:pPr>
        <w:tabs>
          <w:tab w:val="left" w:pos="432"/>
        </w:tabs>
        <w:kinsoku/>
        <w:wordWrap/>
        <w:overflowPunct/>
        <w:topLinePunct w:val="0"/>
        <w:bidi w:val="0"/>
        <w:outlineLvl w:val="9"/>
        <w:rPr>
          <w:rFonts w:ascii="宋体"/>
          <w:snapToGrid w:val="0"/>
          <w:color w:val="auto"/>
        </w:rPr>
      </w:pPr>
      <w:r>
        <w:rPr>
          <w:color w:val="auto"/>
        </w:rPr>
        <w:br w:type="page"/>
      </w:r>
    </w:p>
    <w:p w14:paraId="0171DD60">
      <w:pPr>
        <w:kinsoku/>
        <w:wordWrap/>
        <w:overflowPunct/>
        <w:topLinePunct w:val="0"/>
        <w:bidi w:val="0"/>
        <w:adjustRightInd/>
        <w:spacing w:line="360" w:lineRule="auto"/>
        <w:jc w:val="center"/>
        <w:outlineLvl w:val="0"/>
        <w:rPr>
          <w:rFonts w:ascii="宋体" w:hAnsi="宋体" w:cs="宋体"/>
          <w:b/>
          <w:color w:val="auto"/>
          <w:sz w:val="36"/>
          <w:szCs w:val="20"/>
        </w:rPr>
      </w:pPr>
      <w:bookmarkStart w:id="12" w:name="_Toc29691"/>
      <w:r>
        <w:rPr>
          <w:rFonts w:hint="eastAsia" w:ascii="宋体" w:hAnsi="宋体" w:cs="宋体"/>
          <w:b/>
          <w:color w:val="auto"/>
          <w:sz w:val="36"/>
          <w:szCs w:val="20"/>
        </w:rPr>
        <w:t>第二部分</w:t>
      </w:r>
      <w:bookmarkEnd w:id="6"/>
      <w:r>
        <w:rPr>
          <w:rFonts w:hint="eastAsia" w:ascii="宋体" w:hAnsi="宋体" w:cs="宋体"/>
          <w:b/>
          <w:color w:val="auto"/>
          <w:sz w:val="36"/>
          <w:szCs w:val="20"/>
        </w:rPr>
        <w:t xml:space="preserve"> </w:t>
      </w:r>
      <w:r>
        <w:rPr>
          <w:rFonts w:hint="eastAsia" w:ascii="宋体" w:hAnsi="宋体" w:cs="宋体"/>
          <w:b/>
          <w:color w:val="auto"/>
          <w:sz w:val="36"/>
          <w:szCs w:val="20"/>
          <w:lang w:eastAsia="zh-CN"/>
        </w:rPr>
        <w:t>供应商</w:t>
      </w:r>
      <w:r>
        <w:rPr>
          <w:rFonts w:hint="eastAsia" w:ascii="宋体" w:hAnsi="宋体" w:cs="宋体"/>
          <w:b/>
          <w:color w:val="auto"/>
          <w:sz w:val="36"/>
          <w:szCs w:val="20"/>
        </w:rPr>
        <w:t>须知</w:t>
      </w:r>
      <w:bookmarkEnd w:id="7"/>
      <w:bookmarkEnd w:id="12"/>
    </w:p>
    <w:p w14:paraId="687289BC">
      <w:pPr>
        <w:kinsoku/>
        <w:wordWrap/>
        <w:overflowPunct/>
        <w:topLinePunct w:val="0"/>
        <w:bidi w:val="0"/>
        <w:adjustRightInd/>
        <w:spacing w:line="360" w:lineRule="auto"/>
        <w:ind w:firstLine="3845" w:firstLineChars="1197"/>
        <w:outlineLvl w:val="9"/>
        <w:rPr>
          <w:rFonts w:ascii="宋体" w:hAnsi="宋体" w:cs="宋体"/>
          <w:b/>
          <w:color w:val="auto"/>
          <w:sz w:val="32"/>
          <w:szCs w:val="20"/>
        </w:rPr>
      </w:pPr>
      <w:r>
        <w:rPr>
          <w:rFonts w:hint="eastAsia" w:ascii="宋体" w:hAnsi="宋体" w:cs="宋体"/>
          <w:b/>
          <w:color w:val="auto"/>
          <w:sz w:val="32"/>
          <w:szCs w:val="20"/>
        </w:rPr>
        <w:t>前附表</w:t>
      </w:r>
    </w:p>
    <w:tbl>
      <w:tblPr>
        <w:tblStyle w:val="62"/>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72"/>
        <w:gridCol w:w="7101"/>
      </w:tblGrid>
      <w:tr w14:paraId="0A97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tcPr>
          <w:p w14:paraId="799485E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r>
              <w:rPr>
                <w:rFonts w:hint="eastAsia" w:ascii="宋体" w:hAnsi="宋体" w:cs="宋体"/>
                <w:b/>
                <w:color w:val="auto"/>
                <w:sz w:val="24"/>
              </w:rPr>
              <w:t>序号</w:t>
            </w:r>
          </w:p>
        </w:tc>
        <w:tc>
          <w:tcPr>
            <w:tcW w:w="1772" w:type="dxa"/>
            <w:vAlign w:val="center"/>
          </w:tcPr>
          <w:p w14:paraId="4280E6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r>
              <w:rPr>
                <w:rFonts w:hint="eastAsia" w:ascii="宋体" w:hAnsi="宋体" w:cs="宋体"/>
                <w:b/>
                <w:color w:val="auto"/>
                <w:sz w:val="24"/>
              </w:rPr>
              <w:t>事项</w:t>
            </w:r>
          </w:p>
        </w:tc>
        <w:tc>
          <w:tcPr>
            <w:tcW w:w="7101" w:type="dxa"/>
            <w:vAlign w:val="center"/>
          </w:tcPr>
          <w:p w14:paraId="7F80BEE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r>
              <w:rPr>
                <w:rFonts w:hint="eastAsia" w:ascii="宋体" w:hAnsi="宋体" w:cs="宋体"/>
                <w:b/>
                <w:color w:val="auto"/>
                <w:sz w:val="24"/>
              </w:rPr>
              <w:t>本项目的特别规定</w:t>
            </w:r>
          </w:p>
        </w:tc>
      </w:tr>
      <w:tr w14:paraId="409F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AE504D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color w:val="auto"/>
                <w:sz w:val="24"/>
              </w:rPr>
            </w:pPr>
            <w:r>
              <w:rPr>
                <w:rFonts w:hint="eastAsia" w:ascii="宋体" w:hAnsi="宋体" w:eastAsia="宋体" w:cs="宋体"/>
                <w:color w:val="auto"/>
                <w:sz w:val="24"/>
              </w:rPr>
              <w:t>1</w:t>
            </w:r>
          </w:p>
        </w:tc>
        <w:tc>
          <w:tcPr>
            <w:tcW w:w="1772" w:type="dxa"/>
            <w:vAlign w:val="center"/>
          </w:tcPr>
          <w:p w14:paraId="66DD33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r>
              <w:rPr>
                <w:rFonts w:hint="eastAsia" w:ascii="宋体" w:hAnsi="宋体" w:cs="宋体"/>
                <w:b/>
                <w:color w:val="auto"/>
                <w:sz w:val="24"/>
              </w:rPr>
              <w:t>项目属性与核心产品</w:t>
            </w:r>
          </w:p>
        </w:tc>
        <w:tc>
          <w:tcPr>
            <w:tcW w:w="7101" w:type="dxa"/>
            <w:vAlign w:val="center"/>
          </w:tcPr>
          <w:p w14:paraId="02815F55">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 xml:space="preserve"> 水平式箱体、垂直式箱体</w:t>
            </w:r>
            <w:r>
              <w:rPr>
                <w:rFonts w:hint="eastAsia" w:ascii="宋体" w:hAnsi="宋体" w:cs="宋体"/>
                <w:color w:val="auto"/>
                <w:sz w:val="24"/>
                <w:highlight w:val="none"/>
              </w:rPr>
              <w:t>。</w:t>
            </w:r>
          </w:p>
        </w:tc>
      </w:tr>
      <w:tr w14:paraId="4FA9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2B1CC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color w:val="auto"/>
                <w:sz w:val="24"/>
              </w:rPr>
            </w:pPr>
            <w:r>
              <w:rPr>
                <w:rFonts w:hint="eastAsia" w:ascii="宋体" w:hAnsi="宋体" w:eastAsia="宋体" w:cs="宋体"/>
                <w:color w:val="auto"/>
                <w:sz w:val="24"/>
              </w:rPr>
              <w:t>2</w:t>
            </w:r>
          </w:p>
        </w:tc>
        <w:tc>
          <w:tcPr>
            <w:tcW w:w="1772" w:type="dxa"/>
            <w:vAlign w:val="center"/>
          </w:tcPr>
          <w:p w14:paraId="756EEE4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7101" w:type="dxa"/>
            <w:vAlign w:val="center"/>
          </w:tcPr>
          <w:p w14:paraId="2EB891B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1、本项目是否专门面向中小企业：</w:t>
            </w:r>
            <w:r>
              <w:rPr>
                <w:rFonts w:hint="eastAsia" w:ascii="宋体" w:hAnsi="宋体" w:cs="宋体"/>
                <w:b/>
                <w:bCs/>
                <w:color w:val="auto"/>
                <w:kern w:val="0"/>
                <w:sz w:val="24"/>
                <w:highlight w:val="none"/>
                <w:u w:val="single"/>
                <w:lang w:val="en-US" w:eastAsia="zh-CN"/>
              </w:rPr>
              <w:t>是</w:t>
            </w:r>
            <w:r>
              <w:rPr>
                <w:rFonts w:hint="eastAsia" w:ascii="宋体" w:hAnsi="宋体" w:cs="宋体"/>
                <w:color w:val="auto"/>
                <w:kern w:val="0"/>
                <w:sz w:val="24"/>
                <w:highlight w:val="none"/>
                <w:lang w:val="en-US" w:eastAsia="zh-CN"/>
              </w:rPr>
              <w:t>。</w:t>
            </w:r>
            <w:bookmarkStart w:id="562" w:name="_GoBack"/>
            <w:bookmarkEnd w:id="562"/>
          </w:p>
          <w:p w14:paraId="37BCBB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color w:val="auto"/>
                <w:kern w:val="0"/>
                <w:sz w:val="24"/>
                <w:highlight w:val="yellow"/>
                <w:u w:val="single"/>
                <w:lang w:eastAsia="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val="en-US" w:eastAsia="zh-CN"/>
              </w:rPr>
              <w:t>名称</w:t>
            </w:r>
            <w:r>
              <w:rPr>
                <w:rFonts w:hint="eastAsia" w:ascii="宋体" w:hAnsi="宋体" w:eastAsia="宋体" w:cs="宋体"/>
                <w:color w:val="auto"/>
                <w:kern w:val="0"/>
                <w:sz w:val="24"/>
                <w:highlight w:val="none"/>
              </w:rPr>
              <w:t>：</w:t>
            </w:r>
            <w:r>
              <w:rPr>
                <w:rFonts w:hint="eastAsia" w:ascii="宋体" w:hAnsi="宋体" w:eastAsia="宋体" w:cs="宋体"/>
                <w:b/>
                <w:bCs/>
                <w:color w:val="auto"/>
                <w:kern w:val="0"/>
                <w:sz w:val="24"/>
                <w:highlight w:val="none"/>
                <w:u w:val="single"/>
              </w:rPr>
              <w:t>城区垃圾中转站设备维修更换项目</w:t>
            </w:r>
          </w:p>
          <w:p w14:paraId="26BD4671">
            <w:pPr>
              <w:pStyle w:val="2"/>
              <w:jc w:val="both"/>
              <w:rPr>
                <w:rFonts w:hint="default"/>
                <w:lang w:val="en-US" w:eastAsia="zh-CN"/>
              </w:rPr>
            </w:pPr>
            <w:r>
              <w:rPr>
                <w:rFonts w:hint="eastAsia" w:ascii="宋体" w:hAnsi="宋体" w:eastAsia="宋体" w:cs="宋体"/>
                <w:b w:val="0"/>
                <w:color w:val="auto"/>
                <w:kern w:val="0"/>
                <w:sz w:val="24"/>
                <w:szCs w:val="24"/>
                <w:highlight w:val="none"/>
                <w:u w:val="none"/>
                <w:lang w:val="en-US" w:eastAsia="zh-CN" w:bidi="ar-SA"/>
              </w:rPr>
              <w:t>3、属于</w:t>
            </w:r>
            <w:r>
              <w:rPr>
                <w:rFonts w:hint="eastAsia" w:ascii="宋体" w:hAnsi="宋体" w:eastAsia="宋体" w:cs="宋体"/>
                <w:b/>
                <w:bCs/>
                <w:color w:val="auto"/>
                <w:kern w:val="0"/>
                <w:sz w:val="24"/>
                <w:szCs w:val="24"/>
                <w:highlight w:val="none"/>
                <w:u w:val="single"/>
                <w:lang w:val="en-US" w:eastAsia="zh-CN" w:bidi="ar-SA"/>
              </w:rPr>
              <w:t>工业</w:t>
            </w:r>
            <w:r>
              <w:rPr>
                <w:rFonts w:hint="eastAsia" w:ascii="宋体" w:hAnsi="宋体" w:eastAsia="宋体" w:cs="宋体"/>
                <w:b w:val="0"/>
                <w:color w:val="auto"/>
                <w:kern w:val="0"/>
                <w:sz w:val="24"/>
                <w:szCs w:val="24"/>
                <w:highlight w:val="none"/>
                <w:u w:val="none"/>
                <w:lang w:val="en-US" w:eastAsia="zh-CN" w:bidi="ar-SA"/>
              </w:rPr>
              <w:t>行业。</w:t>
            </w:r>
          </w:p>
        </w:tc>
      </w:tr>
      <w:tr w14:paraId="5854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822F4A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color w:val="auto"/>
                <w:sz w:val="24"/>
              </w:rPr>
            </w:pPr>
            <w:r>
              <w:rPr>
                <w:rFonts w:hint="eastAsia" w:ascii="宋体" w:hAnsi="宋体" w:eastAsia="宋体" w:cs="宋体"/>
                <w:color w:val="auto"/>
                <w:sz w:val="24"/>
              </w:rPr>
              <w:t>3</w:t>
            </w:r>
          </w:p>
        </w:tc>
        <w:tc>
          <w:tcPr>
            <w:tcW w:w="1772" w:type="dxa"/>
            <w:vAlign w:val="center"/>
          </w:tcPr>
          <w:p w14:paraId="0A7E92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101" w:type="dxa"/>
            <w:vAlign w:val="center"/>
          </w:tcPr>
          <w:p w14:paraId="1D90FBD7">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5FBAB24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255E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76A0E9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color w:val="auto"/>
                <w:sz w:val="24"/>
              </w:rPr>
            </w:pPr>
            <w:r>
              <w:rPr>
                <w:rFonts w:hint="eastAsia" w:ascii="宋体" w:hAnsi="宋体" w:eastAsia="宋体" w:cs="宋体"/>
                <w:color w:val="auto"/>
                <w:sz w:val="24"/>
              </w:rPr>
              <w:t>4</w:t>
            </w:r>
          </w:p>
        </w:tc>
        <w:tc>
          <w:tcPr>
            <w:tcW w:w="1772" w:type="dxa"/>
            <w:vAlign w:val="center"/>
          </w:tcPr>
          <w:p w14:paraId="72BBCC2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hAnsi="宋体" w:cs="宋体"/>
                <w:b/>
                <w:color w:val="auto"/>
                <w:sz w:val="24"/>
              </w:rPr>
            </w:pPr>
            <w:r>
              <w:rPr>
                <w:rFonts w:hint="eastAsia" w:ascii="宋体" w:hAnsi="宋体" w:cs="宋体"/>
                <w:b/>
                <w:color w:val="auto"/>
                <w:sz w:val="24"/>
              </w:rPr>
              <w:t>分包</w:t>
            </w:r>
          </w:p>
        </w:tc>
        <w:tc>
          <w:tcPr>
            <w:tcW w:w="7101" w:type="dxa"/>
            <w:vAlign w:val="center"/>
          </w:tcPr>
          <w:p w14:paraId="5105F74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p w14:paraId="0976E3C5">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90F8B7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sz w:val="24"/>
              </w:rPr>
            </w:pPr>
            <w:r>
              <w:rPr>
                <w:rFonts w:hint="eastAsia" w:ascii="宋体" w:hAnsi="宋体" w:cs="宋体"/>
                <w:color w:val="auto"/>
                <w:sz w:val="24"/>
              </w:rPr>
              <w:t>注：不得限制大中型企业向小微企业合理分包。</w:t>
            </w:r>
          </w:p>
        </w:tc>
      </w:tr>
      <w:tr w14:paraId="1BFF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80115A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color w:val="auto"/>
                <w:sz w:val="24"/>
              </w:rPr>
            </w:pPr>
            <w:r>
              <w:rPr>
                <w:rFonts w:hint="eastAsia" w:ascii="宋体" w:hAnsi="宋体" w:eastAsia="宋体" w:cs="宋体"/>
                <w:color w:val="auto"/>
                <w:sz w:val="24"/>
              </w:rPr>
              <w:t>5</w:t>
            </w:r>
          </w:p>
        </w:tc>
        <w:tc>
          <w:tcPr>
            <w:tcW w:w="1772" w:type="dxa"/>
            <w:vAlign w:val="center"/>
          </w:tcPr>
          <w:p w14:paraId="10BFEF3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r>
              <w:rPr>
                <w:rFonts w:hint="eastAsia" w:ascii="宋体" w:hAnsi="宋体" w:cs="宋体"/>
                <w:b/>
                <w:color w:val="auto"/>
                <w:sz w:val="24"/>
              </w:rPr>
              <w:t>开标前答疑会或现场考察</w:t>
            </w:r>
          </w:p>
        </w:tc>
        <w:tc>
          <w:tcPr>
            <w:tcW w:w="7101" w:type="dxa"/>
            <w:vAlign w:val="center"/>
          </w:tcPr>
          <w:p w14:paraId="477D6C0B">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5512C7A2">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68BC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4C8DC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color w:val="auto"/>
                <w:sz w:val="24"/>
              </w:rPr>
            </w:pPr>
            <w:r>
              <w:rPr>
                <w:rFonts w:hint="eastAsia" w:ascii="宋体" w:hAnsi="宋体" w:eastAsia="宋体" w:cs="宋体"/>
                <w:color w:val="auto"/>
                <w:sz w:val="24"/>
              </w:rPr>
              <w:t>6</w:t>
            </w:r>
          </w:p>
        </w:tc>
        <w:tc>
          <w:tcPr>
            <w:tcW w:w="1772" w:type="dxa"/>
            <w:vAlign w:val="center"/>
          </w:tcPr>
          <w:p w14:paraId="56734CD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r>
              <w:rPr>
                <w:rFonts w:hint="eastAsia" w:ascii="宋体" w:hAnsi="宋体" w:cs="宋体"/>
                <w:b/>
                <w:color w:val="auto"/>
                <w:sz w:val="24"/>
              </w:rPr>
              <w:t>样品提供</w:t>
            </w:r>
          </w:p>
        </w:tc>
        <w:tc>
          <w:tcPr>
            <w:tcW w:w="7101" w:type="dxa"/>
            <w:vAlign w:val="center"/>
          </w:tcPr>
          <w:p w14:paraId="40E96F19">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48FBCD16">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7CA2E0C3">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3CB91E89">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4C7872D7">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470A5D8F">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AAABC5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w:t>
            </w:r>
            <w:r>
              <w:rPr>
                <w:rFonts w:hint="eastAsia" w:ascii="宋体" w:hAnsi="宋体" w:cs="宋体"/>
                <w:color w:val="auto"/>
                <w:sz w:val="24"/>
                <w:lang w:eastAsia="zh-CN"/>
              </w:rPr>
              <w:t>供应商</w:t>
            </w:r>
            <w:r>
              <w:rPr>
                <w:rFonts w:hint="eastAsia" w:ascii="宋体" w:hAnsi="宋体" w:cs="宋体"/>
                <w:color w:val="auto"/>
                <w:sz w:val="24"/>
              </w:rPr>
              <w:t>在上述时间内提供样品并按规定位置安装完毕。超过截止时间的，采购人或采购代理机构将不予接收，并将清场并封闭样品现场。</w:t>
            </w:r>
          </w:p>
          <w:p w14:paraId="51AF2FA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sz w:val="24"/>
              </w:rPr>
            </w:pPr>
            <w:r>
              <w:rPr>
                <w:rFonts w:hint="eastAsia" w:ascii="宋体" w:hAnsi="宋体" w:cs="宋体"/>
                <w:color w:val="auto"/>
                <w:sz w:val="24"/>
              </w:rPr>
              <w:t>(6)采购活动结束后，对于未中标人提供的样品，采购人、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36149E8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b/>
                <w:color w:val="auto"/>
                <w:sz w:val="24"/>
              </w:rPr>
            </w:pPr>
            <w:r>
              <w:rPr>
                <w:rFonts w:hint="eastAsia" w:ascii="宋体" w:hAnsi="宋体" w:cs="宋体"/>
                <w:color w:val="auto"/>
                <w:sz w:val="24"/>
              </w:rPr>
              <w:t>（7）制作、运输、安装和保管样品所发生的一切费用由</w:t>
            </w:r>
            <w:r>
              <w:rPr>
                <w:rFonts w:hint="eastAsia" w:ascii="宋体" w:hAnsi="宋体" w:cs="宋体"/>
                <w:color w:val="auto"/>
                <w:sz w:val="24"/>
                <w:lang w:eastAsia="zh-CN"/>
              </w:rPr>
              <w:t>供应商</w:t>
            </w:r>
            <w:r>
              <w:rPr>
                <w:rFonts w:hint="eastAsia" w:ascii="宋体" w:hAnsi="宋体" w:cs="宋体"/>
                <w:color w:val="auto"/>
                <w:sz w:val="24"/>
              </w:rPr>
              <w:t>自理。</w:t>
            </w:r>
          </w:p>
        </w:tc>
      </w:tr>
      <w:tr w14:paraId="71C9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E3616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color w:val="auto"/>
                <w:sz w:val="24"/>
              </w:rPr>
            </w:pPr>
            <w:r>
              <w:rPr>
                <w:rFonts w:hint="eastAsia" w:ascii="宋体" w:hAnsi="宋体" w:eastAsia="宋体" w:cs="宋体"/>
                <w:color w:val="auto"/>
                <w:sz w:val="24"/>
              </w:rPr>
              <w:t>7</w:t>
            </w:r>
          </w:p>
        </w:tc>
        <w:tc>
          <w:tcPr>
            <w:tcW w:w="1772" w:type="dxa"/>
            <w:vAlign w:val="center"/>
          </w:tcPr>
          <w:p w14:paraId="026EAB9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101" w:type="dxa"/>
            <w:vAlign w:val="center"/>
          </w:tcPr>
          <w:p w14:paraId="43D569E1">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49DBBC6">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B组织。</w:t>
            </w:r>
          </w:p>
          <w:p w14:paraId="16FD0C06">
            <w:pPr>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进行演示。每个</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时间不超过</w:t>
            </w:r>
            <w:r>
              <w:rPr>
                <w:rFonts w:hint="eastAsia" w:ascii="宋体" w:hAnsi="宋体" w:eastAsia="宋体" w:cs="宋体"/>
                <w:color w:val="auto"/>
                <w:kern w:val="0"/>
                <w:sz w:val="24"/>
                <w:highlight w:val="none"/>
                <w:u w:val="single"/>
              </w:rPr>
              <w:t>15</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2</w:t>
            </w:r>
            <w:r>
              <w:rPr>
                <w:rFonts w:hint="eastAsia" w:ascii="宋体" w:hAnsi="宋体" w:eastAsia="宋体" w:cs="宋体"/>
                <w:color w:val="auto"/>
                <w:kern w:val="0"/>
                <w:sz w:val="24"/>
                <w:highlight w:val="none"/>
              </w:rPr>
              <w:t>人。讲解演示结束后按要求解答评标委员会提问。</w:t>
            </w:r>
          </w:p>
          <w:p w14:paraId="597BA00C">
            <w:pPr>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（2）演示方式：交易中心现场演示。现场</w:t>
            </w:r>
            <w:r>
              <w:rPr>
                <w:rFonts w:hint="eastAsia" w:ascii="宋体" w:hAnsi="宋体" w:eastAsia="宋体" w:cs="宋体"/>
                <w:color w:val="auto"/>
                <w:kern w:val="0"/>
                <w:sz w:val="24"/>
                <w:highlight w:val="none"/>
                <w:lang w:val="en-US" w:eastAsia="zh-CN"/>
              </w:rPr>
              <w:t>演示</w:t>
            </w:r>
            <w:r>
              <w:rPr>
                <w:rFonts w:hint="eastAsia" w:ascii="宋体" w:hAnsi="宋体" w:eastAsia="宋体" w:cs="宋体"/>
                <w:color w:val="auto"/>
                <w:kern w:val="0"/>
                <w:sz w:val="24"/>
                <w:highlight w:val="none"/>
              </w:rPr>
              <w:t>地点为</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28"/>
                <w:sz w:val="24"/>
                <w:highlight w:val="none"/>
                <w:u w:val="single"/>
                <w:lang w:val="en-US" w:eastAsia="zh-CN"/>
              </w:rPr>
              <w:t xml:space="preserve">/ </w:t>
            </w:r>
            <w:r>
              <w:rPr>
                <w:rFonts w:hint="eastAsia" w:ascii="宋体" w:hAnsi="宋体" w:eastAsia="宋体" w:cs="宋体"/>
                <w:color w:val="auto"/>
                <w:kern w:val="0"/>
                <w:sz w:val="24"/>
                <w:highlight w:val="none"/>
              </w:rPr>
              <w:t>，演示所用电脑等设备由</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自备。</w:t>
            </w:r>
          </w:p>
          <w:p w14:paraId="5F71A389">
            <w:pPr>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b/>
                <w:color w:val="auto"/>
                <w:kern w:val="0"/>
                <w:sz w:val="24"/>
                <w:szCs w:val="24"/>
                <w:highlight w:val="none"/>
                <w:lang w:val="zh-CN" w:eastAsia="zh-CN" w:bidi="ar-SA"/>
              </w:rPr>
            </w:pPr>
            <w:r>
              <w:rPr>
                <w:rFonts w:hint="eastAsia" w:ascii="宋体" w:hAnsi="宋体" w:eastAsia="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自身原因导致无法演示或者演示效果不理想的，责任自负。</w:t>
            </w:r>
          </w:p>
        </w:tc>
      </w:tr>
      <w:tr w14:paraId="7265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3B550B2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color w:val="auto"/>
                <w:sz w:val="24"/>
              </w:rPr>
            </w:pPr>
            <w:r>
              <w:rPr>
                <w:rFonts w:hint="eastAsia" w:ascii="宋体" w:hAnsi="宋体" w:eastAsia="宋体" w:cs="宋体"/>
                <w:color w:val="auto"/>
                <w:sz w:val="24"/>
              </w:rPr>
              <w:t>8</w:t>
            </w:r>
          </w:p>
        </w:tc>
        <w:tc>
          <w:tcPr>
            <w:tcW w:w="1772" w:type="dxa"/>
            <w:vMerge w:val="restart"/>
            <w:vAlign w:val="center"/>
          </w:tcPr>
          <w:p w14:paraId="054C208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r>
              <w:rPr>
                <w:rFonts w:hint="eastAsia" w:ascii="宋体" w:hAnsi="宋体" w:cs="宋体"/>
                <w:b/>
                <w:color w:val="auto"/>
                <w:sz w:val="24"/>
                <w:lang w:eastAsia="zh-CN"/>
              </w:rPr>
              <w:t>供应商</w:t>
            </w:r>
            <w:r>
              <w:rPr>
                <w:rFonts w:hint="eastAsia" w:ascii="宋体" w:hAnsi="宋体" w:cs="宋体"/>
                <w:b/>
                <w:color w:val="auto"/>
                <w:sz w:val="24"/>
              </w:rPr>
              <w:t>应当提供的资格、资信证明文件</w:t>
            </w:r>
          </w:p>
        </w:tc>
        <w:tc>
          <w:tcPr>
            <w:tcW w:w="7101" w:type="dxa"/>
            <w:vAlign w:val="center"/>
          </w:tcPr>
          <w:p w14:paraId="3A5F8D0F">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sz w:val="24"/>
              </w:rPr>
            </w:pPr>
            <w:r>
              <w:rPr>
                <w:rFonts w:hint="eastAsia" w:ascii="宋体" w:hAnsi="宋体" w:cs="宋体"/>
                <w:color w:val="auto"/>
                <w:sz w:val="24"/>
              </w:rPr>
              <w:t>（1）资格证明文件：见招标文件第二部分11.1。</w:t>
            </w:r>
          </w:p>
          <w:p w14:paraId="6FD0C2D5">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供应商未提供有效的资格证明文件的，视为供应商不具备招标文件中规定的资格要求，投标无效。</w:t>
            </w:r>
          </w:p>
        </w:tc>
      </w:tr>
      <w:tr w14:paraId="7FA4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4EA5829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color w:val="auto"/>
                <w:sz w:val="24"/>
              </w:rPr>
            </w:pPr>
          </w:p>
        </w:tc>
        <w:tc>
          <w:tcPr>
            <w:tcW w:w="1772" w:type="dxa"/>
            <w:vMerge w:val="continue"/>
            <w:vAlign w:val="center"/>
          </w:tcPr>
          <w:p w14:paraId="1B34EF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p>
        </w:tc>
        <w:tc>
          <w:tcPr>
            <w:tcW w:w="7101" w:type="dxa"/>
            <w:vAlign w:val="center"/>
          </w:tcPr>
          <w:p w14:paraId="64DDC277">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97D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6F6BAE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color w:val="auto"/>
                <w:sz w:val="24"/>
              </w:rPr>
            </w:pPr>
            <w:r>
              <w:rPr>
                <w:rFonts w:hint="eastAsia" w:ascii="宋体" w:hAnsi="宋体" w:eastAsia="宋体" w:cs="宋体"/>
                <w:color w:val="auto"/>
                <w:sz w:val="24"/>
              </w:rPr>
              <w:t>9</w:t>
            </w:r>
          </w:p>
        </w:tc>
        <w:tc>
          <w:tcPr>
            <w:tcW w:w="1772" w:type="dxa"/>
            <w:vAlign w:val="center"/>
          </w:tcPr>
          <w:p w14:paraId="31BEA1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r>
              <w:rPr>
                <w:rFonts w:hint="eastAsia" w:ascii="宋体" w:hAnsi="宋体" w:cs="宋体"/>
                <w:b/>
                <w:color w:val="auto"/>
                <w:sz w:val="24"/>
              </w:rPr>
              <w:t>节能产品、环境标志产品</w:t>
            </w:r>
          </w:p>
        </w:tc>
        <w:tc>
          <w:tcPr>
            <w:tcW w:w="7101" w:type="dxa"/>
            <w:vAlign w:val="center"/>
          </w:tcPr>
          <w:p w14:paraId="0B5CA69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1BE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A3C481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color w:val="auto"/>
                <w:sz w:val="24"/>
              </w:rPr>
            </w:pPr>
            <w:r>
              <w:rPr>
                <w:rFonts w:hint="eastAsia" w:ascii="宋体" w:hAnsi="宋体" w:eastAsia="宋体" w:cs="宋体"/>
                <w:color w:val="auto"/>
                <w:sz w:val="24"/>
              </w:rPr>
              <w:t>10</w:t>
            </w:r>
          </w:p>
        </w:tc>
        <w:tc>
          <w:tcPr>
            <w:tcW w:w="1772" w:type="dxa"/>
            <w:vAlign w:val="center"/>
          </w:tcPr>
          <w:p w14:paraId="3F5294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r>
              <w:rPr>
                <w:rFonts w:hint="eastAsia" w:ascii="宋体" w:hAnsi="宋体" w:cs="宋体"/>
                <w:b/>
                <w:color w:val="auto"/>
                <w:sz w:val="24"/>
              </w:rPr>
              <w:t>报价要求</w:t>
            </w:r>
          </w:p>
        </w:tc>
        <w:tc>
          <w:tcPr>
            <w:tcW w:w="7101" w:type="dxa"/>
            <w:vAlign w:val="center"/>
          </w:tcPr>
          <w:p w14:paraId="17C8C1C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w:t>
            </w:r>
            <w:r>
              <w:rPr>
                <w:rFonts w:hint="eastAsia" w:ascii="宋体" w:hAnsi="宋体" w:cs="宋体"/>
                <w:b/>
                <w:bCs/>
                <w:color w:val="auto"/>
                <w:sz w:val="24"/>
                <w:lang w:eastAsia="zh-CN"/>
              </w:rPr>
              <w:t>供应商</w:t>
            </w:r>
            <w:r>
              <w:rPr>
                <w:rFonts w:hint="eastAsia" w:ascii="宋体" w:hAnsi="宋体" w:cs="宋体"/>
                <w:b/>
                <w:bCs/>
                <w:color w:val="auto"/>
                <w:sz w:val="24"/>
              </w:rPr>
              <w:t>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投标文件中价格全部采用人民币报价。招标文件未列明，而供应商认为必需的费用也需列入报价。中转站基坑等基础设施维修费</w:t>
            </w:r>
            <w:r>
              <w:rPr>
                <w:rFonts w:hint="eastAsia" w:ascii="宋体" w:hAnsi="宋体" w:cs="宋体"/>
                <w:color w:val="auto"/>
                <w:kern w:val="0"/>
                <w:sz w:val="24"/>
                <w:lang w:val="en-US" w:eastAsia="zh-CN"/>
              </w:rPr>
              <w:t>288000</w:t>
            </w:r>
            <w:r>
              <w:rPr>
                <w:rFonts w:hint="eastAsia" w:ascii="宋体" w:hAnsi="宋体" w:cs="宋体"/>
                <w:color w:val="auto"/>
                <w:kern w:val="0"/>
                <w:sz w:val="24"/>
                <w:lang w:val="zh-CN"/>
              </w:rPr>
              <w:t>元总价包干，采用固定价招标，投标时无需下浮</w:t>
            </w:r>
          </w:p>
          <w:p w14:paraId="3C663B6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eastAsia="zh-CN"/>
              </w:rPr>
              <w:t>本项目投标报价</w:t>
            </w:r>
            <w:r>
              <w:rPr>
                <w:rFonts w:hint="eastAsia" w:ascii="宋体" w:hAnsi="宋体" w:cs="宋体"/>
                <w:b w:val="0"/>
                <w:bCs/>
                <w:color w:val="auto"/>
                <w:kern w:val="0"/>
                <w:sz w:val="24"/>
                <w:highlight w:val="none"/>
                <w:lang w:val="zh-CN"/>
              </w:rPr>
              <w:t>应包括但不限于本项目的设备制造、供货、</w:t>
            </w:r>
            <w:r>
              <w:rPr>
                <w:rFonts w:hint="eastAsia" w:ascii="宋体" w:hAnsi="宋体" w:cs="宋体"/>
                <w:b w:val="0"/>
                <w:bCs/>
                <w:color w:val="auto"/>
                <w:kern w:val="0"/>
                <w:sz w:val="24"/>
                <w:highlight w:val="none"/>
                <w:lang w:val="zh-CN" w:eastAsia="zh-CN"/>
              </w:rPr>
              <w:t>运输</w:t>
            </w:r>
            <w:r>
              <w:rPr>
                <w:rFonts w:hint="eastAsia" w:ascii="宋体" w:hAnsi="宋体" w:cs="宋体"/>
                <w:b w:val="0"/>
                <w:bCs/>
                <w:color w:val="auto"/>
                <w:kern w:val="0"/>
                <w:sz w:val="24"/>
                <w:highlight w:val="none"/>
                <w:lang w:val="zh-CN"/>
              </w:rPr>
              <w:t>、装卸</w:t>
            </w:r>
            <w:r>
              <w:rPr>
                <w:rFonts w:hint="eastAsia" w:ascii="宋体" w:hAnsi="宋体" w:cs="宋体"/>
                <w:b w:val="0"/>
                <w:bCs/>
                <w:color w:val="auto"/>
                <w:kern w:val="0"/>
                <w:sz w:val="24"/>
                <w:highlight w:val="none"/>
                <w:lang w:val="zh-CN" w:eastAsia="zh-CN"/>
              </w:rPr>
              <w:t>、</w:t>
            </w:r>
            <w:r>
              <w:rPr>
                <w:rFonts w:hint="eastAsia" w:ascii="宋体" w:hAnsi="宋体" w:cs="宋体"/>
                <w:b w:val="0"/>
                <w:bCs/>
                <w:color w:val="auto"/>
                <w:kern w:val="0"/>
                <w:sz w:val="24"/>
                <w:highlight w:val="none"/>
                <w:lang w:val="zh-CN"/>
              </w:rPr>
              <w:t>安装、调试、检验</w:t>
            </w:r>
            <w:r>
              <w:rPr>
                <w:rFonts w:hint="eastAsia" w:ascii="宋体" w:hAnsi="宋体" w:cs="宋体"/>
                <w:b w:val="0"/>
                <w:bCs/>
                <w:color w:val="auto"/>
                <w:kern w:val="0"/>
                <w:sz w:val="24"/>
                <w:highlight w:val="none"/>
                <w:lang w:val="zh-CN" w:eastAsia="zh-CN"/>
              </w:rPr>
              <w:t>、</w:t>
            </w:r>
            <w:r>
              <w:rPr>
                <w:rFonts w:hint="eastAsia" w:ascii="宋体" w:hAnsi="宋体" w:cs="宋体"/>
                <w:b w:val="0"/>
                <w:bCs/>
                <w:color w:val="auto"/>
                <w:kern w:val="0"/>
                <w:sz w:val="24"/>
                <w:highlight w:val="none"/>
                <w:lang w:val="zh-CN"/>
              </w:rPr>
              <w:t>技术培训及服务</w:t>
            </w:r>
            <w:r>
              <w:rPr>
                <w:rFonts w:hint="eastAsia" w:ascii="宋体" w:hAnsi="宋体" w:cs="宋体"/>
                <w:b w:val="0"/>
                <w:bCs/>
                <w:color w:val="auto"/>
                <w:kern w:val="0"/>
                <w:sz w:val="24"/>
                <w:highlight w:val="none"/>
                <w:lang w:val="zh-CN" w:eastAsia="zh-CN"/>
              </w:rPr>
              <w:t>、</w:t>
            </w:r>
            <w:r>
              <w:rPr>
                <w:rFonts w:hint="eastAsia" w:ascii="宋体" w:hAnsi="宋体" w:cs="宋体"/>
                <w:b w:val="0"/>
                <w:bCs/>
                <w:color w:val="auto"/>
                <w:kern w:val="0"/>
                <w:sz w:val="24"/>
                <w:highlight w:val="none"/>
                <w:lang w:val="zh-CN"/>
              </w:rPr>
              <w:t>税费、利润、质保服务等全部费用。</w:t>
            </w:r>
          </w:p>
          <w:p w14:paraId="62DDBA8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1D080C0A">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outlineLvl w:val="9"/>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082829F4">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outlineLvl w:val="9"/>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255329D6">
            <w:pPr>
              <w:keepNext w:val="0"/>
              <w:keepLines w:val="0"/>
              <w:pageBreakBefore w:val="0"/>
              <w:widowControl w:val="0"/>
              <w:kinsoku/>
              <w:wordWrap/>
              <w:overflowPunct/>
              <w:topLinePunct w:val="0"/>
              <w:autoSpaceDE/>
              <w:autoSpaceDN/>
              <w:bidi w:val="0"/>
              <w:adjustRightInd w:val="0"/>
              <w:spacing w:line="360" w:lineRule="auto"/>
              <w:ind w:firstLine="241" w:firstLineChars="100"/>
              <w:textAlignment w:val="auto"/>
              <w:outlineLvl w:val="9"/>
              <w:rPr>
                <w:rFonts w:hint="eastAsia" w:ascii="宋体" w:hAnsi="宋体" w:eastAsia="宋体" w:cs="宋体"/>
                <w:b/>
                <w:color w:val="auto"/>
                <w:sz w:val="24"/>
                <w:lang w:eastAsia="zh-CN"/>
              </w:rPr>
            </w:pPr>
            <w:r>
              <w:rPr>
                <w:rFonts w:hint="eastAsia" w:ascii="宋体" w:hAnsi="宋体" w:cs="宋体"/>
                <w:b/>
                <w:color w:val="auto"/>
                <w:kern w:val="0"/>
                <w:sz w:val="24"/>
              </w:rPr>
              <w:t>报价明显低于其他通过符合性审查</w:t>
            </w:r>
            <w:r>
              <w:rPr>
                <w:rFonts w:hint="eastAsia" w:ascii="宋体" w:hAnsi="宋体" w:cs="宋体"/>
                <w:b/>
                <w:color w:val="auto"/>
                <w:kern w:val="0"/>
                <w:sz w:val="24"/>
                <w:lang w:eastAsia="zh-CN"/>
              </w:rPr>
              <w:t>供应商</w:t>
            </w:r>
            <w:r>
              <w:rPr>
                <w:rFonts w:hint="eastAsia" w:ascii="宋体" w:hAnsi="宋体" w:cs="宋体"/>
                <w:b/>
                <w:color w:val="auto"/>
                <w:kern w:val="0"/>
                <w:sz w:val="24"/>
              </w:rPr>
              <w:t>的报价，有可能影响产品质量或者不能诚信履约的，未能按要求提供书面说明或者提交相关证明材料证明其报价合理性的</w:t>
            </w:r>
            <w:r>
              <w:rPr>
                <w:rFonts w:hint="eastAsia" w:ascii="宋体" w:hAnsi="宋体" w:cs="宋体"/>
                <w:b/>
                <w:color w:val="auto"/>
                <w:kern w:val="0"/>
                <w:sz w:val="24"/>
                <w:lang w:eastAsia="zh-CN"/>
              </w:rPr>
              <w:t>；</w:t>
            </w:r>
          </w:p>
          <w:p w14:paraId="611B54B6">
            <w:pPr>
              <w:keepNext w:val="0"/>
              <w:keepLines w:val="0"/>
              <w:pageBreakBefore w:val="0"/>
              <w:widowControl w:val="0"/>
              <w:kinsoku/>
              <w:wordWrap/>
              <w:overflowPunct/>
              <w:topLinePunct w:val="0"/>
              <w:autoSpaceDE/>
              <w:autoSpaceDN/>
              <w:bidi w:val="0"/>
              <w:adjustRightInd w:val="0"/>
              <w:spacing w:line="360" w:lineRule="auto"/>
              <w:ind w:firstLine="241" w:firstLineChars="100"/>
              <w:textAlignment w:val="auto"/>
              <w:outlineLvl w:val="9"/>
              <w:rPr>
                <w:rFonts w:ascii="宋体" w:hAnsi="宋体" w:cs="宋体"/>
                <w:color w:val="auto"/>
                <w:sz w:val="24"/>
              </w:rPr>
            </w:pPr>
            <w:r>
              <w:rPr>
                <w:rFonts w:hint="eastAsia" w:ascii="宋体" w:hAnsi="宋体" w:cs="宋体"/>
                <w:b/>
                <w:color w:val="auto"/>
                <w:kern w:val="0"/>
                <w:sz w:val="24"/>
                <w:lang w:eastAsia="zh-CN"/>
              </w:rPr>
              <w:t>供应商</w:t>
            </w:r>
            <w:r>
              <w:rPr>
                <w:rFonts w:hint="eastAsia" w:ascii="宋体" w:hAnsi="宋体" w:cs="宋体"/>
                <w:b/>
                <w:color w:val="auto"/>
                <w:kern w:val="0"/>
                <w:sz w:val="24"/>
              </w:rPr>
              <w:t>对根据修正原则修正后的报价不确认的</w:t>
            </w:r>
            <w:r>
              <w:rPr>
                <w:rFonts w:hint="eastAsia" w:ascii="宋体" w:hAnsi="宋体" w:cs="宋体"/>
                <w:b/>
                <w:color w:val="auto"/>
                <w:sz w:val="24"/>
              </w:rPr>
              <w:t>。</w:t>
            </w:r>
          </w:p>
        </w:tc>
      </w:tr>
      <w:tr w14:paraId="26C0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D600EF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color w:val="auto"/>
                <w:sz w:val="24"/>
              </w:rPr>
            </w:pPr>
            <w:r>
              <w:rPr>
                <w:rFonts w:hint="eastAsia" w:ascii="宋体" w:hAnsi="宋体" w:eastAsia="宋体" w:cs="宋体"/>
                <w:color w:val="auto"/>
                <w:sz w:val="24"/>
              </w:rPr>
              <w:t>11</w:t>
            </w:r>
          </w:p>
        </w:tc>
        <w:tc>
          <w:tcPr>
            <w:tcW w:w="1772" w:type="dxa"/>
            <w:vAlign w:val="center"/>
          </w:tcPr>
          <w:p w14:paraId="768E290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r>
              <w:rPr>
                <w:rFonts w:hint="eastAsia" w:ascii="宋体" w:hAnsi="宋体" w:cs="宋体"/>
                <w:b/>
                <w:color w:val="auto"/>
                <w:sz w:val="24"/>
              </w:rPr>
              <w:t>中小企业信用融资</w:t>
            </w:r>
          </w:p>
        </w:tc>
        <w:tc>
          <w:tcPr>
            <w:tcW w:w="7101" w:type="dxa"/>
            <w:vAlign w:val="center"/>
          </w:tcPr>
          <w:p w14:paraId="700B90F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DAB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3C121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color w:val="auto"/>
                <w:sz w:val="24"/>
              </w:rPr>
            </w:pPr>
            <w:r>
              <w:rPr>
                <w:rFonts w:hint="eastAsia" w:ascii="宋体" w:hAnsi="宋体" w:eastAsia="宋体" w:cs="宋体"/>
                <w:color w:val="auto"/>
                <w:sz w:val="24"/>
              </w:rPr>
              <w:t>12</w:t>
            </w:r>
          </w:p>
        </w:tc>
        <w:tc>
          <w:tcPr>
            <w:tcW w:w="1772" w:type="dxa"/>
            <w:vAlign w:val="center"/>
          </w:tcPr>
          <w:p w14:paraId="222F17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7101" w:type="dxa"/>
            <w:vAlign w:val="center"/>
          </w:tcPr>
          <w:p w14:paraId="1DBEE6A0">
            <w:pPr>
              <w:pStyle w:val="36"/>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供应商可以准备U盘存储的电子备份投标文件1份，按政府采购云平台要求制作的电子备份投标文件，以用于异常情况处理。</w:t>
            </w:r>
          </w:p>
          <w:p w14:paraId="7B55C43C">
            <w:pPr>
              <w:pStyle w:val="36"/>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u w:val="single"/>
                <w:lang w:val="en-US" w:eastAsia="zh-CN"/>
              </w:rPr>
              <w:t>宁海县公共资源交易中心五楼【具体受理场所详见当日电子指示屏】</w:t>
            </w:r>
            <w:r>
              <w:rPr>
                <w:rFonts w:hint="eastAsia" w:cs="宋体" w:asciiTheme="minorEastAsia" w:hAnsiTheme="minorEastAsia" w:eastAsiaTheme="minorEastAsia"/>
                <w:color w:val="auto"/>
                <w:kern w:val="28"/>
                <w:sz w:val="24"/>
                <w:szCs w:val="24"/>
                <w:lang w:val="en-US" w:eastAsia="zh-CN"/>
              </w:rPr>
              <w:t>，逾期送达或未密封将予以拒收。</w:t>
            </w:r>
          </w:p>
          <w:p w14:paraId="08F2E1E5">
            <w:pPr>
              <w:pStyle w:val="36"/>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b/>
                <w:bCs/>
                <w:color w:val="auto"/>
                <w:kern w:val="28"/>
                <w:sz w:val="24"/>
                <w:szCs w:val="24"/>
                <w:lang w:val="en-US" w:eastAsia="zh-CN"/>
              </w:rPr>
            </w:pPr>
            <w:r>
              <w:rPr>
                <w:rFonts w:hint="eastAsia" w:cs="宋体" w:asciiTheme="minorEastAsia" w:hAnsiTheme="minorEastAsia" w:eastAsiaTheme="minorEastAsia"/>
                <w:b/>
                <w:bCs/>
                <w:color w:val="auto"/>
                <w:kern w:val="28"/>
                <w:sz w:val="24"/>
                <w:szCs w:val="24"/>
                <w:lang w:val="en-US" w:eastAsia="zh-CN"/>
              </w:rPr>
              <w:t>供应商可采用邮寄（含快递）方式递交备份投标文件。</w:t>
            </w:r>
          </w:p>
          <w:p w14:paraId="2111D61C">
            <w:pPr>
              <w:pStyle w:val="36"/>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3DCB444E">
            <w:pPr>
              <w:pStyle w:val="36"/>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拟在开标前一工作日16:00前到件的邮寄地址为：</w:t>
            </w:r>
            <w:r>
              <w:rPr>
                <w:rFonts w:hint="eastAsia" w:cs="宋体" w:asciiTheme="minorEastAsia" w:hAnsiTheme="minorEastAsia" w:eastAsiaTheme="minorEastAsia"/>
                <w:color w:val="auto"/>
                <w:kern w:val="28"/>
                <w:sz w:val="24"/>
                <w:szCs w:val="24"/>
                <w:u w:val="single"/>
                <w:lang w:val="en-US" w:eastAsia="zh-CN"/>
              </w:rPr>
              <w:t>宁海县金山国际广场商务5号楼8楼</w:t>
            </w:r>
            <w:r>
              <w:rPr>
                <w:rFonts w:hint="eastAsia" w:cs="宋体" w:asciiTheme="minorEastAsia" w:hAnsiTheme="minorEastAsia" w:eastAsiaTheme="minorEastAsia"/>
                <w:color w:val="auto"/>
                <w:kern w:val="28"/>
                <w:sz w:val="24"/>
                <w:szCs w:val="24"/>
                <w:lang w:val="en-US" w:eastAsia="zh-CN"/>
              </w:rPr>
              <w:t>；</w:t>
            </w:r>
          </w:p>
          <w:p w14:paraId="308EB302">
            <w:pPr>
              <w:pStyle w:val="36"/>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default"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收件人：</w:t>
            </w:r>
            <w:r>
              <w:rPr>
                <w:rFonts w:hint="eastAsia" w:cs="宋体" w:asciiTheme="minorEastAsia" w:hAnsiTheme="minorEastAsia" w:eastAsiaTheme="minorEastAsia"/>
                <w:color w:val="auto"/>
                <w:kern w:val="28"/>
                <w:sz w:val="24"/>
                <w:szCs w:val="24"/>
                <w:u w:val="single"/>
                <w:lang w:val="en-US" w:eastAsia="zh-CN"/>
              </w:rPr>
              <w:t>叶工</w:t>
            </w:r>
            <w:r>
              <w:rPr>
                <w:rFonts w:hint="eastAsia" w:cs="宋体" w:asciiTheme="minorEastAsia" w:hAnsiTheme="minorEastAsia" w:eastAsiaTheme="minorEastAsia"/>
                <w:color w:val="auto"/>
                <w:kern w:val="28"/>
                <w:sz w:val="24"/>
                <w:szCs w:val="24"/>
                <w:lang w:val="en-US" w:eastAsia="zh-CN"/>
              </w:rPr>
              <w:t xml:space="preserve">   联系方式：</w:t>
            </w:r>
            <w:r>
              <w:rPr>
                <w:rFonts w:hint="eastAsia" w:cs="宋体" w:asciiTheme="minorEastAsia" w:hAnsiTheme="minorEastAsia" w:eastAsiaTheme="minorEastAsia"/>
                <w:color w:val="auto"/>
                <w:kern w:val="28"/>
                <w:sz w:val="24"/>
                <w:szCs w:val="24"/>
                <w:u w:val="single"/>
                <w:lang w:val="en-US" w:eastAsia="zh-CN"/>
              </w:rPr>
              <w:t>0574-56354280</w:t>
            </w:r>
          </w:p>
          <w:p w14:paraId="0F555D46">
            <w:pPr>
              <w:pStyle w:val="36"/>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请各供应商确保密封包装在邮寄过程密封包装完好，因邮寄过程的密封破损造成不符合开标要求的，本采购代理及采购人概不负责。</w:t>
            </w:r>
          </w:p>
          <w:p w14:paraId="2420D063">
            <w:pPr>
              <w:pStyle w:val="36"/>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Ansi="宋体" w:cs="宋体"/>
                <w:color w:val="auto"/>
                <w:kern w:val="28"/>
                <w:sz w:val="24"/>
              </w:rPr>
            </w:pP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w:t>
            </w:r>
            <w:r>
              <w:rPr>
                <w:rFonts w:hint="eastAsia" w:cs="宋体" w:asciiTheme="minorEastAsia" w:hAnsiTheme="minorEastAsia" w:eastAsiaTheme="minorEastAsia"/>
                <w:b/>
                <w:color w:val="auto"/>
                <w:sz w:val="24"/>
                <w:szCs w:val="24"/>
                <w:lang w:eastAsia="zh-CN"/>
              </w:rPr>
              <w:t>投标文件</w:t>
            </w:r>
            <w:r>
              <w:rPr>
                <w:rFonts w:hint="eastAsia" w:cs="宋体" w:asciiTheme="minorEastAsia" w:hAnsiTheme="minorEastAsia" w:eastAsiaTheme="minorEastAsia"/>
                <w:b/>
                <w:color w:val="auto"/>
                <w:sz w:val="24"/>
                <w:szCs w:val="24"/>
              </w:rPr>
              <w:t>。</w:t>
            </w:r>
          </w:p>
        </w:tc>
      </w:tr>
      <w:tr w14:paraId="2B7F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0DC190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color w:val="auto"/>
                <w:sz w:val="24"/>
              </w:rPr>
            </w:pPr>
            <w:r>
              <w:rPr>
                <w:rFonts w:hint="eastAsia" w:ascii="宋体" w:hAnsi="宋体" w:eastAsia="宋体" w:cs="宋体"/>
                <w:color w:val="auto"/>
                <w:sz w:val="24"/>
              </w:rPr>
              <w:t>13</w:t>
            </w:r>
          </w:p>
        </w:tc>
        <w:tc>
          <w:tcPr>
            <w:tcW w:w="1772" w:type="dxa"/>
            <w:vMerge w:val="restart"/>
            <w:vAlign w:val="center"/>
          </w:tcPr>
          <w:p w14:paraId="63CDCB8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7101" w:type="dxa"/>
            <w:vAlign w:val="center"/>
          </w:tcPr>
          <w:p w14:paraId="614D958D">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0812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tcPr>
          <w:p w14:paraId="0492F6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color w:val="auto"/>
                <w:sz w:val="24"/>
              </w:rPr>
            </w:pPr>
          </w:p>
        </w:tc>
        <w:tc>
          <w:tcPr>
            <w:tcW w:w="1772" w:type="dxa"/>
            <w:vMerge w:val="continue"/>
            <w:vAlign w:val="center"/>
          </w:tcPr>
          <w:p w14:paraId="1E6A81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24"/>
              </w:rPr>
            </w:pPr>
          </w:p>
        </w:tc>
        <w:tc>
          <w:tcPr>
            <w:tcW w:w="7101" w:type="dxa"/>
            <w:vAlign w:val="center"/>
          </w:tcPr>
          <w:p w14:paraId="1047E7D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6402C7A9">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501D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1FA41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lang w:val="en-US" w:eastAsia="zh-CN"/>
              </w:rPr>
              <w:t>14</w:t>
            </w:r>
          </w:p>
        </w:tc>
        <w:tc>
          <w:tcPr>
            <w:tcW w:w="1772" w:type="dxa"/>
            <w:vAlign w:val="center"/>
          </w:tcPr>
          <w:p w14:paraId="676479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cs="宋体" w:asciiTheme="minorEastAsia" w:hAnsiTheme="minorEastAsia" w:eastAsiaTheme="minorEastAsia"/>
                <w:b/>
                <w:color w:val="auto"/>
                <w:kern w:val="2"/>
                <w:sz w:val="24"/>
                <w:szCs w:val="24"/>
                <w:lang w:val="en-US" w:eastAsia="zh-CN" w:bidi="ar-SA"/>
              </w:rPr>
            </w:pPr>
            <w:r>
              <w:rPr>
                <w:rFonts w:hint="eastAsia" w:cs="宋体" w:asciiTheme="minorEastAsia" w:hAnsiTheme="minorEastAsia" w:eastAsiaTheme="minorEastAsia"/>
                <w:b/>
                <w:color w:val="auto"/>
                <w:sz w:val="24"/>
                <w:lang w:val="en-US" w:eastAsia="zh-CN"/>
              </w:rPr>
              <w:t>其他说明</w:t>
            </w:r>
          </w:p>
        </w:tc>
        <w:tc>
          <w:tcPr>
            <w:tcW w:w="7101" w:type="dxa"/>
            <w:vAlign w:val="center"/>
          </w:tcPr>
          <w:p w14:paraId="24082E21">
            <w:pPr>
              <w:pStyle w:val="20"/>
              <w:adjustRightInd/>
              <w:spacing w:line="30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招标代理服务费的收取标准：代理机构按下表中货物招标的标准（按差额定率累进法计算），根据中标总金额，向中标人收取招标代理服务费。</w:t>
            </w:r>
          </w:p>
          <w:tbl>
            <w:tblPr>
              <w:tblStyle w:val="62"/>
              <w:tblW w:w="0" w:type="auto"/>
              <w:jc w:val="center"/>
              <w:tblLayout w:type="fixed"/>
              <w:tblCellMar>
                <w:top w:w="15" w:type="dxa"/>
                <w:left w:w="15" w:type="dxa"/>
                <w:bottom w:w="15" w:type="dxa"/>
                <w:right w:w="15" w:type="dxa"/>
              </w:tblCellMar>
            </w:tblPr>
            <w:tblGrid>
              <w:gridCol w:w="1669"/>
              <w:gridCol w:w="1443"/>
              <w:gridCol w:w="1368"/>
              <w:gridCol w:w="1337"/>
            </w:tblGrid>
            <w:tr w14:paraId="602B1934">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tcMar>
                    <w:top w:w="30" w:type="dxa"/>
                    <w:left w:w="150" w:type="dxa"/>
                    <w:bottom w:w="30" w:type="dxa"/>
                    <w:right w:w="150" w:type="dxa"/>
                  </w:tcMar>
                  <w:vAlign w:val="center"/>
                </w:tcPr>
                <w:p w14:paraId="33E812F3">
                  <w:pPr>
                    <w:widowControl/>
                    <w:adjustRightInd/>
                    <w:spacing w:line="300" w:lineRule="auto"/>
                    <w:jc w:val="right"/>
                    <w:rPr>
                      <w:rFonts w:ascii="宋体" w:hAnsi="宋体" w:cs="宋体"/>
                    </w:rPr>
                  </w:pPr>
                  <w:r>
                    <w:rPr>
                      <w:rFonts w:hint="eastAsia" w:ascii="宋体" w:hAnsi="宋体" w:cs="宋体"/>
                    </w:rPr>
                    <w:t>服费类型</w:t>
                  </w:r>
                </w:p>
                <w:p w14:paraId="2A0B9654">
                  <w:pPr>
                    <w:widowControl/>
                    <w:adjustRightInd/>
                    <w:spacing w:line="300" w:lineRule="auto"/>
                    <w:jc w:val="left"/>
                    <w:rPr>
                      <w:rFonts w:ascii="宋体" w:hAnsi="宋体" w:cs="宋体"/>
                    </w:rPr>
                  </w:pPr>
                  <w:r>
                    <w:rPr>
                      <w:rFonts w:hint="eastAsia" w:ascii="宋体" w:hAnsi="宋体" w:cs="宋体"/>
                    </w:rPr>
                    <w:t>金额（万元）</w:t>
                  </w:r>
                </w:p>
              </w:tc>
              <w:tc>
                <w:tcPr>
                  <w:tcW w:w="1443"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5AD25F49">
                  <w:pPr>
                    <w:widowControl/>
                    <w:adjustRightInd/>
                    <w:spacing w:line="300" w:lineRule="auto"/>
                    <w:jc w:val="left"/>
                    <w:rPr>
                      <w:rFonts w:ascii="宋体" w:hAnsi="宋体" w:cs="宋体"/>
                    </w:rPr>
                  </w:pPr>
                  <w:r>
                    <w:rPr>
                      <w:rFonts w:hint="eastAsia" w:ascii="宋体" w:hAnsi="宋体" w:cs="宋体"/>
                    </w:rPr>
                    <w:t>货物招标</w:t>
                  </w:r>
                </w:p>
              </w:tc>
              <w:tc>
                <w:tcPr>
                  <w:tcW w:w="1368"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0EEE8B02">
                  <w:pPr>
                    <w:widowControl/>
                    <w:adjustRightInd/>
                    <w:spacing w:line="300" w:lineRule="auto"/>
                    <w:jc w:val="left"/>
                    <w:rPr>
                      <w:rFonts w:ascii="宋体" w:hAnsi="宋体" w:cs="宋体"/>
                    </w:rPr>
                  </w:pPr>
                  <w:r>
                    <w:rPr>
                      <w:rFonts w:hint="eastAsia" w:ascii="宋体" w:hAnsi="宋体" w:cs="宋体"/>
                    </w:rPr>
                    <w:t>服务招标</w:t>
                  </w:r>
                </w:p>
              </w:tc>
              <w:tc>
                <w:tcPr>
                  <w:tcW w:w="1337"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4278DA46">
                  <w:pPr>
                    <w:widowControl/>
                    <w:adjustRightInd/>
                    <w:spacing w:line="300" w:lineRule="auto"/>
                    <w:jc w:val="left"/>
                    <w:rPr>
                      <w:rFonts w:ascii="宋体" w:hAnsi="宋体" w:cs="宋体"/>
                    </w:rPr>
                  </w:pPr>
                  <w:r>
                    <w:rPr>
                      <w:rFonts w:hint="eastAsia" w:ascii="宋体" w:hAnsi="宋体" w:cs="宋体"/>
                    </w:rPr>
                    <w:t>工程招标</w:t>
                  </w:r>
                </w:p>
              </w:tc>
            </w:tr>
            <w:tr w14:paraId="016DFFFB">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055E267A">
                  <w:pPr>
                    <w:widowControl/>
                    <w:adjustRightInd/>
                    <w:spacing w:line="300" w:lineRule="auto"/>
                    <w:jc w:val="center"/>
                    <w:rPr>
                      <w:rFonts w:ascii="宋体" w:hAnsi="宋体" w:cs="宋体"/>
                    </w:rPr>
                  </w:pPr>
                  <w:r>
                    <w:rPr>
                      <w:rFonts w:hint="eastAsia" w:ascii="宋体" w:hAnsi="宋体" w:cs="宋体"/>
                    </w:rPr>
                    <w:t>100以下</w:t>
                  </w:r>
                </w:p>
              </w:tc>
              <w:tc>
                <w:tcPr>
                  <w:tcW w:w="1443"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3B742514">
                  <w:pPr>
                    <w:widowControl/>
                    <w:adjustRightInd/>
                    <w:spacing w:line="300" w:lineRule="auto"/>
                    <w:jc w:val="center"/>
                    <w:rPr>
                      <w:rFonts w:ascii="宋体" w:hAnsi="宋体" w:cs="宋体"/>
                    </w:rPr>
                  </w:pPr>
                  <w:r>
                    <w:rPr>
                      <w:rFonts w:hint="eastAsia" w:ascii="宋体" w:hAnsi="宋体" w:cs="宋体"/>
                    </w:rPr>
                    <w:t>1.5%</w:t>
                  </w:r>
                </w:p>
              </w:tc>
              <w:tc>
                <w:tcPr>
                  <w:tcW w:w="1368"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489303D3">
                  <w:pPr>
                    <w:widowControl/>
                    <w:adjustRightInd/>
                    <w:spacing w:line="300" w:lineRule="auto"/>
                    <w:jc w:val="center"/>
                    <w:rPr>
                      <w:rFonts w:ascii="宋体" w:hAnsi="宋体" w:cs="宋体"/>
                    </w:rPr>
                  </w:pPr>
                  <w:r>
                    <w:rPr>
                      <w:rFonts w:hint="eastAsia" w:ascii="宋体" w:hAnsi="宋体" w:cs="宋体"/>
                    </w:rPr>
                    <w:t>1.5%</w:t>
                  </w:r>
                </w:p>
              </w:tc>
              <w:tc>
                <w:tcPr>
                  <w:tcW w:w="1337"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3929DE8A">
                  <w:pPr>
                    <w:widowControl/>
                    <w:adjustRightInd/>
                    <w:spacing w:line="300" w:lineRule="auto"/>
                    <w:jc w:val="center"/>
                    <w:rPr>
                      <w:rFonts w:ascii="宋体" w:hAnsi="宋体" w:cs="宋体"/>
                    </w:rPr>
                  </w:pPr>
                  <w:r>
                    <w:rPr>
                      <w:rFonts w:hint="eastAsia" w:ascii="宋体" w:hAnsi="宋体" w:cs="宋体"/>
                    </w:rPr>
                    <w:t>1.0%</w:t>
                  </w:r>
                </w:p>
              </w:tc>
            </w:tr>
            <w:tr w14:paraId="05F51A98">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079DA126">
                  <w:pPr>
                    <w:widowControl/>
                    <w:adjustRightInd/>
                    <w:spacing w:line="300" w:lineRule="auto"/>
                    <w:jc w:val="center"/>
                    <w:rPr>
                      <w:rFonts w:ascii="宋体" w:hAnsi="宋体" w:cs="宋体"/>
                    </w:rPr>
                  </w:pPr>
                  <w:r>
                    <w:rPr>
                      <w:rFonts w:hint="eastAsia" w:ascii="宋体" w:hAnsi="宋体" w:cs="宋体"/>
                    </w:rPr>
                    <w:t>100-500</w:t>
                  </w:r>
                </w:p>
              </w:tc>
              <w:tc>
                <w:tcPr>
                  <w:tcW w:w="1443"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6F7F0555">
                  <w:pPr>
                    <w:widowControl/>
                    <w:adjustRightInd/>
                    <w:spacing w:line="300" w:lineRule="auto"/>
                    <w:jc w:val="center"/>
                    <w:rPr>
                      <w:rFonts w:ascii="宋体" w:hAnsi="宋体" w:cs="宋体"/>
                    </w:rPr>
                  </w:pPr>
                  <w:r>
                    <w:rPr>
                      <w:rFonts w:hint="eastAsia" w:ascii="宋体" w:hAnsi="宋体" w:cs="宋体"/>
                    </w:rPr>
                    <w:t>1.1%</w:t>
                  </w:r>
                </w:p>
              </w:tc>
              <w:tc>
                <w:tcPr>
                  <w:tcW w:w="1368"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7CF840BF">
                  <w:pPr>
                    <w:widowControl/>
                    <w:adjustRightInd/>
                    <w:spacing w:line="300" w:lineRule="auto"/>
                    <w:jc w:val="center"/>
                    <w:rPr>
                      <w:rFonts w:ascii="宋体" w:hAnsi="宋体" w:cs="宋体"/>
                    </w:rPr>
                  </w:pPr>
                  <w:r>
                    <w:rPr>
                      <w:rFonts w:hint="eastAsia" w:ascii="宋体" w:hAnsi="宋体" w:cs="宋体"/>
                    </w:rPr>
                    <w:t>0.8%</w:t>
                  </w:r>
                </w:p>
              </w:tc>
              <w:tc>
                <w:tcPr>
                  <w:tcW w:w="1337"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5935B86F">
                  <w:pPr>
                    <w:widowControl/>
                    <w:adjustRightInd/>
                    <w:spacing w:line="300" w:lineRule="auto"/>
                    <w:jc w:val="center"/>
                    <w:rPr>
                      <w:rFonts w:ascii="宋体" w:hAnsi="宋体" w:cs="宋体"/>
                    </w:rPr>
                  </w:pPr>
                  <w:r>
                    <w:rPr>
                      <w:rFonts w:hint="eastAsia" w:ascii="宋体" w:hAnsi="宋体" w:cs="宋体"/>
                    </w:rPr>
                    <w:t>0.7%</w:t>
                  </w:r>
                </w:p>
              </w:tc>
            </w:tr>
            <w:tr w14:paraId="2559D63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2F84D9F9">
                  <w:pPr>
                    <w:widowControl/>
                    <w:adjustRightInd/>
                    <w:spacing w:line="300" w:lineRule="auto"/>
                    <w:jc w:val="center"/>
                    <w:rPr>
                      <w:rFonts w:ascii="宋体" w:hAnsi="宋体" w:cs="宋体"/>
                    </w:rPr>
                  </w:pPr>
                  <w:r>
                    <w:rPr>
                      <w:rFonts w:hint="eastAsia" w:ascii="宋体" w:hAnsi="宋体" w:cs="宋体"/>
                    </w:rPr>
                    <w:t>500-1000</w:t>
                  </w:r>
                </w:p>
              </w:tc>
              <w:tc>
                <w:tcPr>
                  <w:tcW w:w="1443"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594ABAC0">
                  <w:pPr>
                    <w:widowControl/>
                    <w:adjustRightInd/>
                    <w:spacing w:line="300" w:lineRule="auto"/>
                    <w:jc w:val="center"/>
                    <w:rPr>
                      <w:rFonts w:ascii="宋体" w:hAnsi="宋体" w:cs="宋体"/>
                    </w:rPr>
                  </w:pPr>
                  <w:r>
                    <w:rPr>
                      <w:rFonts w:hint="eastAsia" w:ascii="宋体" w:hAnsi="宋体" w:cs="宋体"/>
                    </w:rPr>
                    <w:t>0.8%</w:t>
                  </w:r>
                </w:p>
              </w:tc>
              <w:tc>
                <w:tcPr>
                  <w:tcW w:w="1368"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03C6B7BE">
                  <w:pPr>
                    <w:widowControl/>
                    <w:adjustRightInd/>
                    <w:spacing w:line="300" w:lineRule="auto"/>
                    <w:jc w:val="center"/>
                    <w:rPr>
                      <w:rFonts w:ascii="宋体" w:hAnsi="宋体" w:cs="宋体"/>
                    </w:rPr>
                  </w:pPr>
                  <w:r>
                    <w:rPr>
                      <w:rFonts w:hint="eastAsia" w:ascii="宋体" w:hAnsi="宋体" w:cs="宋体"/>
                    </w:rPr>
                    <w:t>0.45%</w:t>
                  </w:r>
                </w:p>
              </w:tc>
              <w:tc>
                <w:tcPr>
                  <w:tcW w:w="1337"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1B1ABD5B">
                  <w:pPr>
                    <w:widowControl/>
                    <w:adjustRightInd/>
                    <w:spacing w:line="300" w:lineRule="auto"/>
                    <w:jc w:val="center"/>
                    <w:rPr>
                      <w:rFonts w:ascii="宋体" w:hAnsi="宋体" w:cs="宋体"/>
                    </w:rPr>
                  </w:pPr>
                  <w:r>
                    <w:rPr>
                      <w:rFonts w:hint="eastAsia" w:ascii="宋体" w:hAnsi="宋体" w:cs="宋体"/>
                    </w:rPr>
                    <w:t>0.55%</w:t>
                  </w:r>
                </w:p>
              </w:tc>
            </w:tr>
            <w:tr w14:paraId="011F34EB">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161F7806">
                  <w:pPr>
                    <w:widowControl/>
                    <w:adjustRightInd/>
                    <w:spacing w:line="300" w:lineRule="auto"/>
                    <w:jc w:val="center"/>
                    <w:rPr>
                      <w:rFonts w:ascii="宋体" w:hAnsi="宋体" w:cs="宋体"/>
                    </w:rPr>
                  </w:pPr>
                  <w:r>
                    <w:rPr>
                      <w:rFonts w:hint="eastAsia" w:ascii="宋体" w:hAnsi="宋体" w:cs="宋体"/>
                    </w:rPr>
                    <w:t>1000-5000</w:t>
                  </w:r>
                </w:p>
              </w:tc>
              <w:tc>
                <w:tcPr>
                  <w:tcW w:w="1443"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2409E294">
                  <w:pPr>
                    <w:widowControl/>
                    <w:adjustRightInd/>
                    <w:spacing w:line="300" w:lineRule="auto"/>
                    <w:jc w:val="center"/>
                    <w:rPr>
                      <w:rFonts w:ascii="宋体" w:hAnsi="宋体" w:cs="宋体"/>
                    </w:rPr>
                  </w:pPr>
                  <w:r>
                    <w:rPr>
                      <w:rFonts w:hint="eastAsia" w:ascii="宋体" w:hAnsi="宋体" w:cs="宋体"/>
                    </w:rPr>
                    <w:t>0.5%</w:t>
                  </w:r>
                </w:p>
              </w:tc>
              <w:tc>
                <w:tcPr>
                  <w:tcW w:w="1368"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4E603EE4">
                  <w:pPr>
                    <w:widowControl/>
                    <w:adjustRightInd/>
                    <w:spacing w:line="300" w:lineRule="auto"/>
                    <w:jc w:val="center"/>
                    <w:rPr>
                      <w:rFonts w:ascii="宋体" w:hAnsi="宋体" w:cs="宋体"/>
                    </w:rPr>
                  </w:pPr>
                  <w:r>
                    <w:rPr>
                      <w:rFonts w:hint="eastAsia" w:ascii="宋体" w:hAnsi="宋体" w:cs="宋体"/>
                    </w:rPr>
                    <w:t>0.25%</w:t>
                  </w:r>
                </w:p>
              </w:tc>
              <w:tc>
                <w:tcPr>
                  <w:tcW w:w="1337"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7474BBF8">
                  <w:pPr>
                    <w:widowControl/>
                    <w:adjustRightInd/>
                    <w:spacing w:line="300" w:lineRule="auto"/>
                    <w:jc w:val="center"/>
                    <w:rPr>
                      <w:rFonts w:ascii="宋体" w:hAnsi="宋体" w:cs="宋体"/>
                    </w:rPr>
                  </w:pPr>
                  <w:r>
                    <w:rPr>
                      <w:rFonts w:hint="eastAsia" w:ascii="宋体" w:hAnsi="宋体" w:cs="宋体"/>
                    </w:rPr>
                    <w:t>0.35%</w:t>
                  </w:r>
                </w:p>
              </w:tc>
            </w:tr>
            <w:tr w14:paraId="2D226F21">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4E0B8126">
                  <w:pPr>
                    <w:widowControl/>
                    <w:adjustRightInd/>
                    <w:spacing w:line="300" w:lineRule="auto"/>
                    <w:jc w:val="center"/>
                    <w:rPr>
                      <w:rFonts w:ascii="宋体" w:hAnsi="宋体" w:cs="宋体"/>
                    </w:rPr>
                  </w:pPr>
                  <w:r>
                    <w:rPr>
                      <w:rFonts w:hint="eastAsia" w:ascii="宋体" w:hAnsi="宋体" w:cs="宋体"/>
                    </w:rPr>
                    <w:t>5000-10000</w:t>
                  </w:r>
                </w:p>
              </w:tc>
              <w:tc>
                <w:tcPr>
                  <w:tcW w:w="1443"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47711215">
                  <w:pPr>
                    <w:widowControl/>
                    <w:adjustRightInd/>
                    <w:spacing w:line="300" w:lineRule="auto"/>
                    <w:jc w:val="center"/>
                    <w:rPr>
                      <w:rFonts w:ascii="宋体" w:hAnsi="宋体" w:cs="宋体"/>
                    </w:rPr>
                  </w:pPr>
                  <w:r>
                    <w:rPr>
                      <w:rFonts w:hint="eastAsia" w:ascii="宋体" w:hAnsi="宋体" w:cs="宋体"/>
                    </w:rPr>
                    <w:t>0.25%</w:t>
                  </w:r>
                </w:p>
              </w:tc>
              <w:tc>
                <w:tcPr>
                  <w:tcW w:w="1368"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39FE353A">
                  <w:pPr>
                    <w:widowControl/>
                    <w:adjustRightInd/>
                    <w:spacing w:line="300" w:lineRule="auto"/>
                    <w:jc w:val="center"/>
                    <w:rPr>
                      <w:rFonts w:ascii="宋体" w:hAnsi="宋体" w:cs="宋体"/>
                    </w:rPr>
                  </w:pPr>
                  <w:r>
                    <w:rPr>
                      <w:rFonts w:hint="eastAsia" w:ascii="宋体" w:hAnsi="宋体" w:cs="宋体"/>
                    </w:rPr>
                    <w:t>0.1%</w:t>
                  </w:r>
                </w:p>
              </w:tc>
              <w:tc>
                <w:tcPr>
                  <w:tcW w:w="1337"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01F5CB7A">
                  <w:pPr>
                    <w:widowControl/>
                    <w:adjustRightInd/>
                    <w:spacing w:line="300" w:lineRule="auto"/>
                    <w:jc w:val="center"/>
                    <w:rPr>
                      <w:rFonts w:ascii="宋体" w:hAnsi="宋体" w:cs="宋体"/>
                    </w:rPr>
                  </w:pPr>
                  <w:r>
                    <w:rPr>
                      <w:rFonts w:hint="eastAsia" w:ascii="宋体" w:hAnsi="宋体" w:cs="宋体"/>
                    </w:rPr>
                    <w:t>0.2%</w:t>
                  </w:r>
                </w:p>
              </w:tc>
            </w:tr>
            <w:tr w14:paraId="44305C19">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63EC7DDF">
                  <w:pPr>
                    <w:widowControl/>
                    <w:adjustRightInd/>
                    <w:spacing w:line="300" w:lineRule="auto"/>
                    <w:jc w:val="center"/>
                    <w:rPr>
                      <w:rFonts w:ascii="宋体" w:hAnsi="宋体" w:cs="宋体"/>
                    </w:rPr>
                  </w:pPr>
                  <w:r>
                    <w:rPr>
                      <w:rFonts w:hint="eastAsia" w:ascii="宋体" w:hAnsi="宋体" w:cs="宋体"/>
                    </w:rPr>
                    <w:t>1亿～5亿</w:t>
                  </w:r>
                </w:p>
              </w:tc>
              <w:tc>
                <w:tcPr>
                  <w:tcW w:w="1443"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1B822A12">
                  <w:pPr>
                    <w:widowControl/>
                    <w:adjustRightInd/>
                    <w:spacing w:line="300" w:lineRule="auto"/>
                    <w:jc w:val="center"/>
                    <w:rPr>
                      <w:rFonts w:ascii="宋体" w:hAnsi="宋体" w:cs="宋体"/>
                    </w:rPr>
                  </w:pPr>
                  <w:r>
                    <w:rPr>
                      <w:rFonts w:hint="eastAsia" w:ascii="宋体" w:hAnsi="宋体" w:cs="宋体"/>
                    </w:rPr>
                    <w:t>0.05%</w:t>
                  </w:r>
                </w:p>
              </w:tc>
              <w:tc>
                <w:tcPr>
                  <w:tcW w:w="1368"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7E6B4243">
                  <w:pPr>
                    <w:widowControl/>
                    <w:adjustRightInd/>
                    <w:spacing w:line="300" w:lineRule="auto"/>
                    <w:jc w:val="center"/>
                    <w:rPr>
                      <w:rFonts w:ascii="宋体" w:hAnsi="宋体" w:cs="宋体"/>
                    </w:rPr>
                  </w:pPr>
                  <w:r>
                    <w:rPr>
                      <w:rFonts w:hint="eastAsia" w:ascii="宋体" w:hAnsi="宋体" w:cs="宋体"/>
                    </w:rPr>
                    <w:t>0.05%</w:t>
                  </w:r>
                </w:p>
              </w:tc>
              <w:tc>
                <w:tcPr>
                  <w:tcW w:w="1337"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1A0AAC43">
                  <w:pPr>
                    <w:widowControl/>
                    <w:adjustRightInd/>
                    <w:spacing w:line="300" w:lineRule="auto"/>
                    <w:jc w:val="center"/>
                    <w:rPr>
                      <w:rFonts w:ascii="宋体" w:hAnsi="宋体" w:cs="宋体"/>
                    </w:rPr>
                  </w:pPr>
                  <w:r>
                    <w:rPr>
                      <w:rFonts w:hint="eastAsia" w:ascii="宋体" w:hAnsi="宋体" w:cs="宋体"/>
                    </w:rPr>
                    <w:t>0.05%</w:t>
                  </w:r>
                </w:p>
              </w:tc>
            </w:tr>
          </w:tbl>
          <w:p w14:paraId="3E4ED0DD">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关于本次采购的服务费汇入以下账户：</w:t>
            </w:r>
          </w:p>
          <w:p w14:paraId="61C8F0C6">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关于本次采购的中标服务费请汇入以下账户：</w:t>
            </w:r>
          </w:p>
          <w:p w14:paraId="43B8AA3A">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开户银行：宁波银行宁海支行</w:t>
            </w:r>
          </w:p>
          <w:p w14:paraId="4D3C93CB">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账号：86021110000198805</w:t>
            </w:r>
          </w:p>
          <w:p w14:paraId="4284070A">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户名：中纬工程管理咨询有限公司宁波宁海分公司</w:t>
            </w:r>
          </w:p>
          <w:p w14:paraId="4AD36657">
            <w:pPr>
              <w:rPr>
                <w:rFonts w:hint="eastAsia" w:cs="Arial" w:asciiTheme="minorEastAsia" w:hAnsiTheme="minorEastAsia" w:eastAsiaTheme="minorEastAsia"/>
                <w:color w:val="auto"/>
                <w:kern w:val="0"/>
                <w:sz w:val="24"/>
                <w:szCs w:val="24"/>
                <w:lang w:val="en-US" w:eastAsia="zh-CN" w:bidi="ar-SA"/>
              </w:rPr>
            </w:pPr>
            <w:r>
              <w:rPr>
                <w:rFonts w:hint="eastAsia" w:cs="Arial" w:asciiTheme="minorEastAsia" w:hAnsiTheme="minorEastAsia" w:eastAsiaTheme="minorEastAsia"/>
                <w:kern w:val="0"/>
                <w:sz w:val="24"/>
              </w:rPr>
              <w:t>注：中标人接到本公司通知后5个工作日内向本采购代理机构领取中标通知书（根据中标人需求可采用邮寄或到采购代理机构现场领取）。</w:t>
            </w:r>
          </w:p>
        </w:tc>
      </w:tr>
      <w:bookmarkEnd w:id="8"/>
    </w:tbl>
    <w:p w14:paraId="2F688AD2">
      <w:pPr>
        <w:kinsoku/>
        <w:wordWrap/>
        <w:overflowPunct/>
        <w:topLinePunct w:val="0"/>
        <w:bidi w:val="0"/>
        <w:outlineLvl w:val="9"/>
        <w:rPr>
          <w:rFonts w:hint="eastAsia" w:ascii="宋体" w:hAnsi="宋体" w:cs="宋体"/>
          <w:b/>
          <w:color w:val="auto"/>
          <w:sz w:val="32"/>
          <w:szCs w:val="20"/>
        </w:rPr>
      </w:pPr>
      <w:bookmarkStart w:id="13" w:name="_Toc164416483"/>
      <w:bookmarkStart w:id="14" w:name="第三部分"/>
      <w:r>
        <w:rPr>
          <w:rFonts w:hint="eastAsia" w:ascii="宋体" w:hAnsi="宋体" w:cs="宋体"/>
          <w:b/>
          <w:color w:val="auto"/>
          <w:sz w:val="32"/>
          <w:szCs w:val="20"/>
        </w:rPr>
        <w:br w:type="page"/>
      </w:r>
    </w:p>
    <w:p w14:paraId="111BA4BE">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rPr>
      </w:pPr>
      <w:r>
        <w:rPr>
          <w:rFonts w:hint="eastAsia" w:ascii="宋体" w:hAnsi="宋体" w:cs="宋体"/>
          <w:b/>
          <w:color w:val="auto"/>
          <w:sz w:val="32"/>
          <w:szCs w:val="20"/>
        </w:rPr>
        <w:t>一、总则</w:t>
      </w:r>
    </w:p>
    <w:p w14:paraId="36FA8ECA">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rPr>
      </w:pPr>
      <w:r>
        <w:rPr>
          <w:rFonts w:hint="eastAsia" w:ascii="宋体" w:hAnsi="宋体" w:cs="宋体"/>
          <w:b/>
          <w:color w:val="auto"/>
          <w:sz w:val="24"/>
        </w:rPr>
        <w:t>1.适用范围</w:t>
      </w:r>
    </w:p>
    <w:p w14:paraId="61B21D99">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08910F72">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rPr>
      </w:pPr>
      <w:r>
        <w:rPr>
          <w:rFonts w:hint="eastAsia" w:ascii="宋体" w:hAnsi="宋体" w:cs="宋体"/>
          <w:b/>
          <w:color w:val="auto"/>
          <w:sz w:val="24"/>
        </w:rPr>
        <w:t xml:space="preserve">   2.定义</w:t>
      </w:r>
    </w:p>
    <w:p w14:paraId="44C0ADE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2.1 “采购人”系指招标公告中载明的本项目的采购人。</w:t>
      </w:r>
    </w:p>
    <w:p w14:paraId="3BBC316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6FEB346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2.3 “</w:t>
      </w:r>
      <w:r>
        <w:rPr>
          <w:rFonts w:hint="eastAsia" w:ascii="宋体" w:hAnsi="宋体" w:cs="宋体"/>
          <w:color w:val="auto"/>
          <w:sz w:val="24"/>
          <w:lang w:eastAsia="zh-CN"/>
        </w:rPr>
        <w:t>供应商</w:t>
      </w:r>
      <w:r>
        <w:rPr>
          <w:rFonts w:hint="eastAsia" w:ascii="宋体" w:hAnsi="宋体" w:cs="宋体"/>
          <w:color w:val="auto"/>
          <w:sz w:val="24"/>
        </w:rPr>
        <w:t>”系指是指响应招标、参加投标竞争的法人、其他组织或者自然人。</w:t>
      </w:r>
    </w:p>
    <w:p w14:paraId="57B04AE7">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6E3149F7">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663D74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7816F0C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780D3DC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8、若采购货物属于国家实行许可证制度或生产注册证制度的，则应具备相应有效的证书。</w:t>
      </w:r>
    </w:p>
    <w:p w14:paraId="7A26B923">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092D473D">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3622E78E">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rPr>
      </w:pPr>
      <w:r>
        <w:rPr>
          <w:rFonts w:hint="eastAsia" w:ascii="宋体" w:hAnsi="宋体" w:cs="宋体"/>
          <w:color w:val="auto"/>
          <w:sz w:val="24"/>
        </w:rPr>
        <w:t>3.2 支持绿色发展</w:t>
      </w:r>
    </w:p>
    <w:p w14:paraId="52BB448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lang w:eastAsia="zh-CN"/>
        </w:rPr>
        <w:t>供应商</w:t>
      </w:r>
      <w:r>
        <w:rPr>
          <w:rFonts w:hint="eastAsia" w:ascii="宋体" w:hAnsi="宋体" w:cs="宋体"/>
          <w:color w:val="auto"/>
          <w:sz w:val="24"/>
        </w:rPr>
        <w:t>须按招标文件要求提供相关产品认证证书。</w:t>
      </w:r>
      <w:r>
        <w:rPr>
          <w:rFonts w:hint="eastAsia" w:ascii="宋体" w:hAnsi="宋体" w:cs="宋体"/>
          <w:b/>
          <w:color w:val="auto"/>
          <w:sz w:val="24"/>
        </w:rPr>
        <w:t>▲采购人拟采购的产品属于政府强制采购的节能产品品目清单范围的，</w:t>
      </w:r>
      <w:r>
        <w:rPr>
          <w:rFonts w:hint="eastAsia" w:ascii="宋体" w:hAnsi="宋体" w:cs="宋体"/>
          <w:b/>
          <w:color w:val="auto"/>
          <w:sz w:val="24"/>
          <w:lang w:eastAsia="zh-CN"/>
        </w:rPr>
        <w:t>供应商</w:t>
      </w:r>
      <w:r>
        <w:rPr>
          <w:rFonts w:hint="eastAsia" w:ascii="宋体" w:hAnsi="宋体" w:cs="宋体"/>
          <w:b/>
          <w:color w:val="auto"/>
          <w:sz w:val="24"/>
        </w:rPr>
        <w:t>相应的投标产品未获得国家确定的认证机构出具的、处于有效期之内的节能产品认证证书的，投标无效。</w:t>
      </w:r>
    </w:p>
    <w:p w14:paraId="36D6661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3.2.2纳入政府采购管理的修缮、装修类项目采购建材的，鼓励采购单位将绿色建材性能、指标等作为实质性条件纳入采购文件和合同，具体性能指标要求参考相关绿色建材政府采购需求标准。</w:t>
      </w:r>
    </w:p>
    <w:p w14:paraId="06DB921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6B0A744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1380A3C">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rPr>
      </w:pPr>
      <w:r>
        <w:rPr>
          <w:rFonts w:hint="eastAsia" w:ascii="宋体" w:hAnsi="宋体" w:cs="宋体"/>
          <w:color w:val="auto"/>
          <w:sz w:val="24"/>
        </w:rPr>
        <w:t>3.3支持中小企业发展</w:t>
      </w:r>
    </w:p>
    <w:p w14:paraId="4C54A13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3EF997">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0D04773C">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w:t>
      </w:r>
      <w:r>
        <w:rPr>
          <w:rFonts w:hint="eastAsia" w:ascii="宋体" w:hAnsi="宋体" w:cs="宋体"/>
          <w:color w:val="auto"/>
          <w:kern w:val="0"/>
          <w:sz w:val="24"/>
          <w:lang w:eastAsia="zh-CN"/>
        </w:rPr>
        <w:t>供应商</w:t>
      </w:r>
      <w:r>
        <w:rPr>
          <w:rFonts w:hint="eastAsia" w:ascii="宋体" w:hAnsi="宋体" w:cs="宋体"/>
          <w:color w:val="auto"/>
          <w:kern w:val="0"/>
          <w:sz w:val="24"/>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lang w:eastAsia="zh-CN"/>
        </w:rPr>
        <w:t>供应商</w:t>
      </w:r>
      <w:r>
        <w:rPr>
          <w:rFonts w:hint="eastAsia" w:ascii="宋体" w:hAnsi="宋体" w:cs="宋体"/>
          <w:color w:val="auto"/>
          <w:kern w:val="0"/>
          <w:sz w:val="24"/>
        </w:rPr>
        <w:t>提供的货物既有中小企业制造货物，也有大型企业制造货物的，不享受中小企业扶持政策。</w:t>
      </w:r>
    </w:p>
    <w:p w14:paraId="2216146D">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8E4CC8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0A50CF9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6DDBACC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72F30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3.3.6可享受中小企业扶持政策的</w:t>
      </w:r>
      <w:r>
        <w:rPr>
          <w:rFonts w:hint="eastAsia" w:ascii="宋体" w:hAnsi="宋体" w:cs="宋体"/>
          <w:color w:val="auto"/>
          <w:sz w:val="24"/>
          <w:lang w:eastAsia="zh-CN"/>
        </w:rPr>
        <w:t>供应商</w:t>
      </w:r>
      <w:r>
        <w:rPr>
          <w:rFonts w:hint="eastAsia" w:ascii="宋体" w:hAnsi="宋体" w:cs="宋体"/>
          <w:color w:val="auto"/>
          <w:sz w:val="24"/>
        </w:rPr>
        <w:t>应按照招标文件格式要求提供《中小企业声明函》，</w:t>
      </w:r>
      <w:r>
        <w:rPr>
          <w:rFonts w:hint="eastAsia" w:ascii="宋体" w:hAnsi="宋体" w:cs="宋体"/>
          <w:color w:val="auto"/>
          <w:sz w:val="24"/>
          <w:lang w:eastAsia="zh-CN"/>
        </w:rPr>
        <w:t>供应商</w:t>
      </w:r>
      <w:r>
        <w:rPr>
          <w:rFonts w:hint="eastAsia" w:ascii="宋体" w:hAnsi="宋体" w:cs="宋体"/>
          <w:color w:val="auto"/>
          <w:sz w:val="24"/>
        </w:rPr>
        <w:t>提供的《中小企业声明函》与实际情况不符的，不享受中小企业扶持政策。声明内容不实的，属于提供虚假材料谋取中标、成交的，依法承担法律责任。</w:t>
      </w:r>
    </w:p>
    <w:p w14:paraId="02D53C5B">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7DFF6D6E">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B07BCD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3.4.1采购人优先采购被认定为首台套产品和“制造精品”的自主创新产品。</w:t>
      </w:r>
    </w:p>
    <w:p w14:paraId="1D05410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2A29B1C">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rPr>
      </w:pPr>
      <w:r>
        <w:rPr>
          <w:rFonts w:hint="eastAsia" w:ascii="宋体" w:hAnsi="宋体" w:cs="宋体"/>
          <w:color w:val="auto"/>
          <w:sz w:val="24"/>
        </w:rPr>
        <w:t>3.5平等对待内外资企业和符合条件的破产重整企业</w:t>
      </w:r>
    </w:p>
    <w:p w14:paraId="402786F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eastAsia="宋体" w:cs="宋体"/>
          <w:b/>
          <w:color w:val="auto"/>
          <w:sz w:val="24"/>
        </w:rPr>
        <w:t>4. 询问、质疑、投诉</w:t>
      </w:r>
    </w:p>
    <w:p w14:paraId="4FD5E196">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lang w:val="zh-CN"/>
        </w:rPr>
      </w:pPr>
      <w:r>
        <w:rPr>
          <w:rFonts w:hint="eastAsia"/>
          <w:color w:val="auto"/>
          <w:lang w:val="zh-CN"/>
        </w:rPr>
        <w:t>4.1在线询问、质疑、投诉</w:t>
      </w:r>
    </w:p>
    <w:p w14:paraId="4269975B">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E252E2">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4DBC6C2">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AFF846">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4.3供应商质疑</w:t>
      </w:r>
    </w:p>
    <w:p w14:paraId="38AFE723">
      <w:pPr>
        <w:pStyle w:val="36"/>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3C6D789">
      <w:pPr>
        <w:pStyle w:val="36"/>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4C642724">
      <w:pPr>
        <w:pStyle w:val="6"/>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6FB715E">
      <w:pPr>
        <w:pStyle w:val="36"/>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5A2E037E">
      <w:pPr>
        <w:pStyle w:val="36"/>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4B25F066">
      <w:pPr>
        <w:pStyle w:val="36"/>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160BCF2A">
      <w:pPr>
        <w:pStyle w:val="36"/>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lang w:val="zh-CN"/>
        </w:rPr>
      </w:pPr>
      <w:r>
        <w:rPr>
          <w:rFonts w:hint="eastAsia" w:hAnsi="宋体" w:cs="宋体"/>
          <w:color w:val="auto"/>
          <w:kern w:val="0"/>
          <w:sz w:val="24"/>
          <w:lang w:val="zh-CN"/>
        </w:rPr>
        <w:t>　　4.3.3.2质疑项目的名称、编号；</w:t>
      </w:r>
    </w:p>
    <w:p w14:paraId="221DBF0C">
      <w:pPr>
        <w:pStyle w:val="36"/>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312FAA0">
      <w:pPr>
        <w:pStyle w:val="36"/>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lang w:val="zh-CN"/>
        </w:rPr>
      </w:pPr>
      <w:r>
        <w:rPr>
          <w:rFonts w:hint="eastAsia" w:hAnsi="宋体" w:cs="宋体"/>
          <w:color w:val="auto"/>
          <w:kern w:val="0"/>
          <w:sz w:val="24"/>
          <w:lang w:val="zh-CN"/>
        </w:rPr>
        <w:t>　　4.3.3.4事实依据；</w:t>
      </w:r>
    </w:p>
    <w:p w14:paraId="7D802C08">
      <w:pPr>
        <w:pStyle w:val="36"/>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lang w:val="zh-CN"/>
        </w:rPr>
      </w:pPr>
      <w:r>
        <w:rPr>
          <w:rFonts w:hint="eastAsia" w:hAnsi="宋体" w:cs="宋体"/>
          <w:color w:val="auto"/>
          <w:kern w:val="0"/>
          <w:sz w:val="24"/>
          <w:lang w:val="zh-CN"/>
        </w:rPr>
        <w:t>　　4.3.3.5必要的法律依据；</w:t>
      </w:r>
    </w:p>
    <w:p w14:paraId="0B9A8F3F">
      <w:pPr>
        <w:pStyle w:val="36"/>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lang w:val="zh-CN"/>
        </w:rPr>
      </w:pPr>
      <w:r>
        <w:rPr>
          <w:rFonts w:hint="eastAsia" w:hAnsi="宋体" w:cs="宋体"/>
          <w:color w:val="auto"/>
          <w:kern w:val="0"/>
          <w:sz w:val="24"/>
          <w:lang w:val="zh-CN"/>
        </w:rPr>
        <w:t>4.3.3.6提出质疑的日期。</w:t>
      </w:r>
    </w:p>
    <w:p w14:paraId="5EF6481A">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20A72851">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rPr>
      </w:pPr>
      <w:r>
        <w:rPr>
          <w:rFonts w:hint="eastAsia"/>
          <w:color w:val="auto"/>
        </w:rPr>
        <w:t>质疑函范本及制作说明详见附件2。</w:t>
      </w:r>
    </w:p>
    <w:p w14:paraId="421EA4E7">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rPr>
      </w:pPr>
      <w:r>
        <w:rPr>
          <w:rFonts w:hint="eastAsia"/>
          <w:color w:val="auto"/>
        </w:rPr>
        <w:t>4.3.4对同一采购程序环节的质疑，供应商须在法定质疑期内一次性提出。</w:t>
      </w:r>
    </w:p>
    <w:p w14:paraId="10D4BB9F">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rPr>
        <w:t>根据《</w:t>
      </w:r>
      <w:r>
        <w:rPr>
          <w:rFonts w:hint="eastAsia" w:asciiTheme="minorEastAsia" w:hAnsiTheme="minorEastAsia" w:eastAsiaTheme="minorEastAsia"/>
          <w:color w:val="auto"/>
          <w:sz w:val="24"/>
          <w:lang w:val="en-US" w:eastAsia="zh-CN"/>
        </w:rPr>
        <w:t>浙江省财政厅</w:t>
      </w:r>
      <w:r>
        <w:rPr>
          <w:rFonts w:hint="eastAsia" w:asciiTheme="minorEastAsia" w:hAnsiTheme="minorEastAsia" w:eastAsiaTheme="minorEastAsia"/>
          <w:color w:val="auto"/>
          <w:sz w:val="24"/>
        </w:rPr>
        <w:t>关于进一步加强政府采购公</w:t>
      </w:r>
      <w:r>
        <w:rPr>
          <w:rFonts w:hint="eastAsia" w:asciiTheme="minorEastAsia" w:hAnsiTheme="minorEastAsia" w:eastAsiaTheme="minorEastAsia"/>
          <w:color w:val="auto"/>
          <w:sz w:val="24"/>
          <w:lang w:val="en-US" w:eastAsia="zh-CN"/>
        </w:rPr>
        <w:t>平竞争打造最</w:t>
      </w:r>
      <w:r>
        <w:rPr>
          <w:rFonts w:hint="eastAsia" w:asciiTheme="minorEastAsia" w:hAnsiTheme="minorEastAsia" w:eastAsiaTheme="minorEastAsia"/>
          <w:color w:val="auto"/>
          <w:sz w:val="24"/>
        </w:rPr>
        <w:t>优营商环境的通知》（</w:t>
      </w:r>
      <w:r>
        <w:rPr>
          <w:rFonts w:hint="eastAsia" w:asciiTheme="minorEastAsia" w:hAnsiTheme="minorEastAsia" w:eastAsiaTheme="minorEastAsia"/>
          <w:color w:val="auto"/>
          <w:sz w:val="24"/>
          <w:lang w:val="en-US" w:eastAsia="zh-CN"/>
        </w:rPr>
        <w:t>浙</w:t>
      </w:r>
      <w:r>
        <w:rPr>
          <w:rFonts w:hint="eastAsia" w:asciiTheme="minorEastAsia" w:hAnsiTheme="minorEastAsia" w:eastAsiaTheme="minorEastAsia"/>
          <w:color w:val="auto"/>
          <w:sz w:val="24"/>
        </w:rPr>
        <w:t>财采监〔</w:t>
      </w:r>
      <w:r>
        <w:rPr>
          <w:rFonts w:asciiTheme="minorEastAsia" w:hAnsiTheme="minorEastAsia" w:eastAsiaTheme="minorEastAsia"/>
          <w:color w:val="auto"/>
          <w:sz w:val="24"/>
        </w:rPr>
        <w:t>2021〕</w:t>
      </w:r>
      <w:r>
        <w:rPr>
          <w:rFonts w:hint="eastAsia" w:asciiTheme="minorEastAsia" w:hAnsiTheme="minorEastAsia" w:eastAsiaTheme="minorEastAsia"/>
          <w:color w:val="auto"/>
          <w:sz w:val="24"/>
          <w:lang w:val="en-US" w:eastAsia="zh-CN"/>
        </w:rPr>
        <w:t>22</w:t>
      </w:r>
      <w:r>
        <w:rPr>
          <w:rFonts w:asciiTheme="minorEastAsia" w:hAnsiTheme="minorEastAsia" w:eastAsiaTheme="minorEastAsia"/>
          <w:color w:val="auto"/>
          <w:sz w:val="24"/>
        </w:rPr>
        <w:t>号）</w:t>
      </w:r>
      <w:r>
        <w:rPr>
          <w:rFonts w:hint="eastAsia"/>
          <w:color w:val="auto"/>
        </w:rPr>
        <w:t>,采购人或者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08B70DAB">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668FEA2">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lang w:val="zh-CN"/>
        </w:rPr>
      </w:pPr>
      <w:r>
        <w:rPr>
          <w:rFonts w:hint="eastAsia"/>
          <w:color w:val="auto"/>
          <w:lang w:val="zh-CN"/>
        </w:rPr>
        <w:t>4.4供应商投诉</w:t>
      </w:r>
    </w:p>
    <w:p w14:paraId="5D74051D">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07E795AB">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0064B1FC">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rPr>
      </w:pPr>
      <w:r>
        <w:rPr>
          <w:rFonts w:hint="eastAsia"/>
          <w:color w:val="auto"/>
        </w:rPr>
        <w:t>4.4.3供应商投诉应当有明确的请求和必要的证明材料。</w:t>
      </w:r>
    </w:p>
    <w:p w14:paraId="73CE8975">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rPr>
      </w:pPr>
      <w:r>
        <w:rPr>
          <w:rFonts w:hint="eastAsia"/>
          <w:color w:val="auto"/>
        </w:rPr>
        <w:t>4.4.4以联合体形式参加政府采购活动的，其投诉应当由组成联合体的所有供应商共同提出。</w:t>
      </w:r>
    </w:p>
    <w:p w14:paraId="26EDA87D">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rPr>
      </w:pPr>
      <w:r>
        <w:rPr>
          <w:rFonts w:hint="eastAsia"/>
          <w:color w:val="auto"/>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14:paraId="7F1658D5">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rPr>
      </w:pPr>
      <w:r>
        <w:rPr>
          <w:rFonts w:hint="eastAsia"/>
          <w:color w:val="auto"/>
        </w:rPr>
        <w:t>投诉书范本及制作说明详见附件3。</w:t>
      </w:r>
    </w:p>
    <w:p w14:paraId="0CE499E0">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rPr>
      </w:pPr>
      <w:r>
        <w:rPr>
          <w:rFonts w:hint="eastAsia" w:ascii="宋体" w:hAnsi="宋体" w:cs="宋体"/>
          <w:b/>
          <w:color w:val="auto"/>
          <w:sz w:val="32"/>
          <w:szCs w:val="20"/>
        </w:rPr>
        <w:t>二、招标文件的构成、澄清、修改</w:t>
      </w:r>
    </w:p>
    <w:p w14:paraId="75AD8B4A">
      <w:pPr>
        <w:pStyle w:val="36"/>
        <w:pageBreakBefore w:val="0"/>
        <w:shd w:val="clear"/>
        <w:kinsoku/>
        <w:wordWrap/>
        <w:overflowPunct/>
        <w:topLinePunct w:val="0"/>
        <w:bidi w:val="0"/>
        <w:spacing w:beforeAutospacing="0" w:line="348" w:lineRule="auto"/>
        <w:textAlignment w:val="auto"/>
        <w:outlineLvl w:val="9"/>
        <w:rPr>
          <w:rFonts w:hAnsi="宋体" w:cs="宋体"/>
          <w:b/>
          <w:color w:val="auto"/>
          <w:sz w:val="24"/>
          <w:szCs w:val="24"/>
        </w:rPr>
      </w:pPr>
      <w:r>
        <w:rPr>
          <w:rFonts w:hint="eastAsia" w:hAnsi="宋体" w:cs="宋体"/>
          <w:b/>
          <w:color w:val="auto"/>
          <w:sz w:val="24"/>
          <w:szCs w:val="24"/>
        </w:rPr>
        <w:t>5．招标文件的构成</w:t>
      </w:r>
    </w:p>
    <w:p w14:paraId="7029B55A">
      <w:pPr>
        <w:pStyle w:val="36"/>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rPr>
      </w:pPr>
      <w:r>
        <w:rPr>
          <w:rFonts w:hint="eastAsia" w:hAnsi="宋体" w:cs="宋体"/>
          <w:color w:val="auto"/>
          <w:sz w:val="24"/>
          <w:szCs w:val="24"/>
        </w:rPr>
        <w:t>5.1 招标文件包括下列文件及附件：</w:t>
      </w:r>
    </w:p>
    <w:p w14:paraId="7B2441FC">
      <w:pPr>
        <w:pStyle w:val="36"/>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rPr>
      </w:pPr>
      <w:r>
        <w:rPr>
          <w:rFonts w:hint="eastAsia" w:hAnsi="宋体" w:cs="宋体"/>
          <w:color w:val="auto"/>
          <w:sz w:val="24"/>
          <w:szCs w:val="24"/>
        </w:rPr>
        <w:t>5.1.1招标公告；</w:t>
      </w:r>
    </w:p>
    <w:p w14:paraId="64D35E96">
      <w:pPr>
        <w:pStyle w:val="36"/>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rPr>
      </w:pPr>
      <w:r>
        <w:rPr>
          <w:rFonts w:hint="eastAsia" w:hAnsi="宋体" w:cs="宋体"/>
          <w:color w:val="auto"/>
          <w:sz w:val="24"/>
          <w:szCs w:val="24"/>
        </w:rPr>
        <w:t>5.1.2</w:t>
      </w:r>
      <w:r>
        <w:rPr>
          <w:rFonts w:hint="eastAsia" w:hAnsi="宋体" w:cs="宋体"/>
          <w:color w:val="auto"/>
          <w:sz w:val="24"/>
          <w:szCs w:val="24"/>
          <w:lang w:eastAsia="zh-CN"/>
        </w:rPr>
        <w:t>供应商</w:t>
      </w:r>
      <w:r>
        <w:rPr>
          <w:rFonts w:hint="eastAsia" w:hAnsi="宋体" w:cs="宋体"/>
          <w:color w:val="auto"/>
          <w:sz w:val="24"/>
          <w:szCs w:val="24"/>
        </w:rPr>
        <w:t>须知；</w:t>
      </w:r>
    </w:p>
    <w:p w14:paraId="2AC93FAF">
      <w:pPr>
        <w:pStyle w:val="36"/>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rPr>
      </w:pPr>
      <w:r>
        <w:rPr>
          <w:rFonts w:hint="eastAsia" w:hAnsi="宋体" w:cs="宋体"/>
          <w:color w:val="auto"/>
          <w:sz w:val="24"/>
          <w:szCs w:val="24"/>
        </w:rPr>
        <w:t>5.1.3采购需求；</w:t>
      </w:r>
    </w:p>
    <w:p w14:paraId="5B7081B9">
      <w:pPr>
        <w:pStyle w:val="36"/>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rPr>
      </w:pPr>
      <w:r>
        <w:rPr>
          <w:rFonts w:hint="eastAsia" w:hAnsi="宋体" w:cs="宋体"/>
          <w:color w:val="auto"/>
          <w:sz w:val="24"/>
          <w:szCs w:val="24"/>
        </w:rPr>
        <w:t>5.1.4评标办法；</w:t>
      </w:r>
    </w:p>
    <w:p w14:paraId="78C85867">
      <w:pPr>
        <w:pStyle w:val="36"/>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rPr>
      </w:pPr>
      <w:r>
        <w:rPr>
          <w:rFonts w:hint="eastAsia" w:hAnsi="宋体" w:cs="宋体"/>
          <w:color w:val="auto"/>
          <w:sz w:val="24"/>
          <w:szCs w:val="24"/>
        </w:rPr>
        <w:t>5.1.5拟签订的合同文本；</w:t>
      </w:r>
    </w:p>
    <w:p w14:paraId="778AC398">
      <w:pPr>
        <w:pStyle w:val="36"/>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5BDDBF76">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32904B30">
      <w:pPr>
        <w:pStyle w:val="36"/>
        <w:pageBreakBefore w:val="0"/>
        <w:shd w:val="clear"/>
        <w:kinsoku/>
        <w:wordWrap/>
        <w:overflowPunct/>
        <w:topLinePunct w:val="0"/>
        <w:bidi w:val="0"/>
        <w:spacing w:beforeAutospacing="0" w:line="348" w:lineRule="auto"/>
        <w:textAlignment w:val="auto"/>
        <w:outlineLvl w:val="9"/>
        <w:rPr>
          <w:rFonts w:hAnsi="宋体" w:cs="宋体"/>
          <w:b/>
          <w:color w:val="auto"/>
          <w:sz w:val="24"/>
          <w:szCs w:val="24"/>
        </w:rPr>
      </w:pPr>
      <w:r>
        <w:rPr>
          <w:rFonts w:hint="eastAsia" w:hAnsi="宋体" w:cs="宋体"/>
          <w:b/>
          <w:color w:val="auto"/>
          <w:sz w:val="24"/>
          <w:szCs w:val="24"/>
        </w:rPr>
        <w:t>6.招标文件的澄清、修改</w:t>
      </w:r>
    </w:p>
    <w:p w14:paraId="4CFED984">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rPr>
        <w:t>6.1已获取招标文件的潜在</w:t>
      </w:r>
      <w:r>
        <w:rPr>
          <w:rFonts w:hint="eastAsia" w:ascii="宋体" w:hAnsi="宋体" w:cs="宋体"/>
          <w:color w:val="auto"/>
          <w:lang w:eastAsia="zh-CN"/>
        </w:rPr>
        <w:t>供应商</w:t>
      </w:r>
      <w:r>
        <w:rPr>
          <w:rFonts w:hint="eastAsia" w:ascii="宋体" w:hAnsi="宋体" w:cs="宋体"/>
          <w:color w:val="auto"/>
        </w:rPr>
        <w:t>，若有问题需要澄清，应于投标截止时间前，以书面形式向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405FA09">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rPr>
        <w:t>6.2</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w:t>
      </w:r>
      <w:r>
        <w:rPr>
          <w:rFonts w:hint="eastAsia" w:ascii="宋体" w:hAnsi="宋体" w:cs="宋体"/>
          <w:color w:val="auto"/>
          <w:lang w:eastAsia="zh-CN"/>
        </w:rPr>
        <w:t>供应商</w:t>
      </w:r>
      <w:r>
        <w:rPr>
          <w:rFonts w:hint="eastAsia" w:ascii="宋体" w:hAnsi="宋体" w:cs="宋体"/>
          <w:color w:val="auto"/>
        </w:rPr>
        <w:t>。依法应当公告的，将按规定公告，同时视情况延长投标截止时间和开标时间。该澄清或者修改的内容为招标文件的组成部分。</w:t>
      </w:r>
    </w:p>
    <w:p w14:paraId="6555BF2F">
      <w:pPr>
        <w:pageBreakBefore w:val="0"/>
        <w:shd w:val="clear"/>
        <w:kinsoku/>
        <w:wordWrap/>
        <w:overflowPunct/>
        <w:topLinePunct w:val="0"/>
        <w:bidi w:val="0"/>
        <w:adjustRightInd/>
        <w:spacing w:beforeAutospacing="0" w:line="348" w:lineRule="auto"/>
        <w:jc w:val="center"/>
        <w:textAlignment w:val="auto"/>
        <w:outlineLvl w:val="9"/>
        <w:rPr>
          <w:rFonts w:hint="eastAsia" w:ascii="宋体" w:hAnsi="宋体" w:cs="宋体"/>
          <w:b/>
          <w:color w:val="auto"/>
          <w:sz w:val="32"/>
          <w:szCs w:val="20"/>
        </w:rPr>
      </w:pPr>
      <w:r>
        <w:rPr>
          <w:rFonts w:hint="eastAsia" w:ascii="宋体" w:hAnsi="宋体" w:cs="宋体"/>
          <w:b/>
          <w:color w:val="auto"/>
          <w:sz w:val="32"/>
          <w:szCs w:val="20"/>
        </w:rPr>
        <w:t>三、投标</w:t>
      </w:r>
    </w:p>
    <w:p w14:paraId="15371A6C">
      <w:pPr>
        <w:pStyle w:val="36"/>
        <w:pageBreakBefore w:val="0"/>
        <w:shd w:val="clear"/>
        <w:kinsoku/>
        <w:wordWrap/>
        <w:overflowPunct/>
        <w:topLinePunct w:val="0"/>
        <w:bidi w:val="0"/>
        <w:spacing w:beforeAutospacing="0" w:line="348" w:lineRule="auto"/>
        <w:textAlignment w:val="auto"/>
        <w:outlineLvl w:val="9"/>
        <w:rPr>
          <w:rFonts w:hAnsi="宋体" w:cs="宋体"/>
          <w:b/>
          <w:color w:val="auto"/>
          <w:sz w:val="24"/>
          <w:szCs w:val="24"/>
        </w:rPr>
      </w:pPr>
      <w:r>
        <w:rPr>
          <w:rFonts w:hint="eastAsia" w:hAnsi="宋体" w:cs="宋体"/>
          <w:b/>
          <w:color w:val="auto"/>
          <w:sz w:val="24"/>
          <w:szCs w:val="24"/>
        </w:rPr>
        <w:t>7.招标文件的获取</w:t>
      </w:r>
    </w:p>
    <w:p w14:paraId="48DA61ED">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C704FD5">
      <w:pPr>
        <w:pStyle w:val="36"/>
        <w:pageBreakBefore w:val="0"/>
        <w:shd w:val="clear"/>
        <w:kinsoku/>
        <w:wordWrap/>
        <w:overflowPunct/>
        <w:topLinePunct w:val="0"/>
        <w:bidi w:val="0"/>
        <w:spacing w:beforeAutospacing="0" w:line="348" w:lineRule="auto"/>
        <w:textAlignment w:val="auto"/>
        <w:outlineLvl w:val="9"/>
        <w:rPr>
          <w:rFonts w:hAnsi="宋体" w:cs="宋体"/>
          <w:b/>
          <w:color w:val="auto"/>
          <w:sz w:val="24"/>
          <w:szCs w:val="24"/>
        </w:rPr>
      </w:pPr>
      <w:r>
        <w:rPr>
          <w:rFonts w:hint="eastAsia" w:hAnsi="宋体" w:cs="宋体"/>
          <w:b/>
          <w:color w:val="auto"/>
          <w:sz w:val="24"/>
          <w:szCs w:val="24"/>
        </w:rPr>
        <w:t>8.开标前答疑会或现场考察</w:t>
      </w:r>
    </w:p>
    <w:p w14:paraId="0E9E4398">
      <w:pPr>
        <w:pStyle w:val="36"/>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rPr>
      </w:pPr>
      <w:r>
        <w:rPr>
          <w:rFonts w:hint="eastAsia" w:hAnsi="宋体" w:cs="宋体"/>
          <w:color w:val="auto"/>
          <w:sz w:val="24"/>
          <w:szCs w:val="24"/>
        </w:rPr>
        <w:t>采购人组织潜在</w:t>
      </w:r>
      <w:r>
        <w:rPr>
          <w:rFonts w:hint="eastAsia" w:hAnsi="宋体" w:cs="宋体"/>
          <w:color w:val="auto"/>
          <w:sz w:val="24"/>
          <w:szCs w:val="24"/>
          <w:lang w:eastAsia="zh-CN"/>
        </w:rPr>
        <w:t>供应商</w:t>
      </w:r>
      <w:r>
        <w:rPr>
          <w:rFonts w:hint="eastAsia" w:hAnsi="宋体" w:cs="宋体"/>
          <w:color w:val="auto"/>
          <w:sz w:val="24"/>
          <w:szCs w:val="24"/>
        </w:rPr>
        <w:t>现场考察或者召开开标前答疑会的，潜在</w:t>
      </w:r>
      <w:r>
        <w:rPr>
          <w:rFonts w:hint="eastAsia" w:hAnsi="宋体" w:cs="宋体"/>
          <w:color w:val="auto"/>
          <w:sz w:val="24"/>
          <w:szCs w:val="24"/>
          <w:lang w:eastAsia="zh-CN"/>
        </w:rPr>
        <w:t>供应商</w:t>
      </w:r>
      <w:r>
        <w:rPr>
          <w:rFonts w:hint="eastAsia" w:hAnsi="宋体" w:cs="宋体"/>
          <w:color w:val="auto"/>
          <w:sz w:val="24"/>
          <w:szCs w:val="24"/>
        </w:rPr>
        <w:t>按第二部分</w:t>
      </w:r>
      <w:r>
        <w:rPr>
          <w:rFonts w:hint="eastAsia" w:hAnsi="宋体" w:cs="宋体"/>
          <w:color w:val="auto"/>
          <w:sz w:val="24"/>
          <w:szCs w:val="24"/>
          <w:lang w:eastAsia="zh-CN"/>
        </w:rPr>
        <w:t>供应商</w:t>
      </w:r>
      <w:r>
        <w:rPr>
          <w:rFonts w:hint="eastAsia" w:hAnsi="宋体" w:cs="宋体"/>
          <w:color w:val="auto"/>
          <w:sz w:val="24"/>
          <w:szCs w:val="24"/>
        </w:rPr>
        <w:t>须知前附表的规定参加现场考察或者开标前答疑会。</w:t>
      </w:r>
    </w:p>
    <w:p w14:paraId="40371A0A">
      <w:pPr>
        <w:pStyle w:val="36"/>
        <w:pageBreakBefore w:val="0"/>
        <w:shd w:val="clear"/>
        <w:kinsoku/>
        <w:wordWrap/>
        <w:overflowPunct/>
        <w:topLinePunct w:val="0"/>
        <w:bidi w:val="0"/>
        <w:spacing w:beforeAutospacing="0" w:line="348" w:lineRule="auto"/>
        <w:textAlignment w:val="auto"/>
        <w:outlineLvl w:val="9"/>
        <w:rPr>
          <w:rFonts w:hAnsi="宋体" w:cs="宋体"/>
          <w:b/>
          <w:color w:val="auto"/>
          <w:szCs w:val="24"/>
        </w:rPr>
      </w:pPr>
      <w:r>
        <w:rPr>
          <w:rFonts w:hint="eastAsia" w:hAnsi="宋体" w:cs="宋体"/>
          <w:b/>
          <w:color w:val="auto"/>
          <w:kern w:val="28"/>
          <w:sz w:val="24"/>
          <w:szCs w:val="24"/>
        </w:rPr>
        <w:t>9.投标保证金</w:t>
      </w:r>
    </w:p>
    <w:p w14:paraId="6E408970">
      <w:pPr>
        <w:pStyle w:val="6"/>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rPr>
      </w:pPr>
      <w:r>
        <w:rPr>
          <w:rFonts w:hint="eastAsia" w:hAnsi="宋体" w:cs="宋体"/>
          <w:color w:val="auto"/>
          <w:sz w:val="24"/>
        </w:rPr>
        <w:t>本项目不需缴纳投标保证金。</w:t>
      </w:r>
    </w:p>
    <w:p w14:paraId="48FE8088">
      <w:pPr>
        <w:pStyle w:val="36"/>
        <w:pageBreakBefore w:val="0"/>
        <w:shd w:val="clear"/>
        <w:kinsoku/>
        <w:wordWrap/>
        <w:overflowPunct/>
        <w:topLinePunct w:val="0"/>
        <w:bidi w:val="0"/>
        <w:spacing w:beforeAutospacing="0" w:line="348" w:lineRule="auto"/>
        <w:textAlignment w:val="auto"/>
        <w:outlineLvl w:val="9"/>
        <w:rPr>
          <w:rFonts w:hAnsi="宋体" w:cs="宋体"/>
          <w:b/>
          <w:color w:val="auto"/>
          <w:sz w:val="24"/>
          <w:szCs w:val="24"/>
        </w:rPr>
      </w:pPr>
      <w:r>
        <w:rPr>
          <w:rFonts w:hint="eastAsia" w:hAnsi="宋体" w:cs="宋体"/>
          <w:b/>
          <w:color w:val="auto"/>
          <w:sz w:val="24"/>
          <w:szCs w:val="24"/>
        </w:rPr>
        <w:t>10. 投标文件的语言</w:t>
      </w:r>
    </w:p>
    <w:p w14:paraId="011EDD70">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lang w:val="zh-CN"/>
        </w:rPr>
      </w:pPr>
      <w:r>
        <w:rPr>
          <w:rFonts w:hint="eastAsia" w:ascii="宋体" w:hAnsi="宋体" w:cs="宋体"/>
          <w:color w:val="auto"/>
          <w:sz w:val="24"/>
        </w:rPr>
        <w:t>投标文件及</w:t>
      </w:r>
      <w:r>
        <w:rPr>
          <w:rFonts w:hint="eastAsia" w:ascii="宋体" w:hAnsi="宋体" w:cs="宋体"/>
          <w:color w:val="auto"/>
          <w:sz w:val="24"/>
          <w:lang w:eastAsia="zh-CN"/>
        </w:rPr>
        <w:t>供应商</w:t>
      </w:r>
      <w:r>
        <w:rPr>
          <w:rFonts w:hint="eastAsia" w:ascii="宋体" w:hAnsi="宋体" w:cs="宋体"/>
          <w:color w:val="auto"/>
          <w:sz w:val="24"/>
        </w:rPr>
        <w:t>与采购有关的来往通知、函件和文件均应使用中文。</w:t>
      </w:r>
    </w:p>
    <w:p w14:paraId="5016B9BA">
      <w:pPr>
        <w:pStyle w:val="36"/>
        <w:pageBreakBefore w:val="0"/>
        <w:shd w:val="clear"/>
        <w:kinsoku/>
        <w:wordWrap/>
        <w:overflowPunct/>
        <w:topLinePunct w:val="0"/>
        <w:bidi w:val="0"/>
        <w:spacing w:beforeAutospacing="0" w:line="348" w:lineRule="auto"/>
        <w:textAlignment w:val="auto"/>
        <w:outlineLvl w:val="9"/>
        <w:rPr>
          <w:rFonts w:hAnsi="宋体" w:cs="宋体"/>
          <w:b/>
          <w:color w:val="auto"/>
          <w:sz w:val="24"/>
          <w:szCs w:val="24"/>
        </w:rPr>
      </w:pPr>
      <w:r>
        <w:rPr>
          <w:rFonts w:hint="eastAsia" w:hAnsi="宋体" w:cs="宋体"/>
          <w:b/>
          <w:color w:val="auto"/>
          <w:sz w:val="24"/>
          <w:szCs w:val="24"/>
        </w:rPr>
        <w:t>11. 投标文件的组成</w:t>
      </w:r>
    </w:p>
    <w:p w14:paraId="6574D728">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rPr>
      </w:pPr>
      <w:r>
        <w:rPr>
          <w:rFonts w:hint="eastAsia" w:ascii="宋体" w:hAnsi="宋体" w:cs="宋体"/>
          <w:b/>
          <w:bCs/>
          <w:color w:val="auto"/>
          <w:sz w:val="24"/>
        </w:rPr>
        <w:t>11.1资格文件：</w:t>
      </w:r>
    </w:p>
    <w:p w14:paraId="2829715E">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66F3E317">
      <w:pPr>
        <w:pStyle w:val="24"/>
        <w:rPr>
          <w:rFonts w:hint="default" w:eastAsia="宋体"/>
          <w:lang w:val="en-US" w:eastAsia="zh-CN"/>
        </w:rPr>
      </w:pPr>
      <w:r>
        <w:rPr>
          <w:rFonts w:hint="eastAsia" w:hAnsi="宋体" w:cs="宋体"/>
          <w:sz w:val="24"/>
          <w:lang w:val="en-US" w:eastAsia="zh-CN"/>
        </w:rPr>
        <w:t xml:space="preserve">        11.1.2有效的企业法人营业执照（或事业法人登记证）、其他组织（个体工商户）的营业执照或者民办非企业单位登记证书复印件；投标供应商如果有名称变更的，应提供由行政主管部门出具的变更证明文件；</w:t>
      </w:r>
    </w:p>
    <w:p w14:paraId="3AACFCCC">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联合协议（如果有）；</w:t>
      </w:r>
    </w:p>
    <w:p w14:paraId="5FA9EEA5">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ECBF1A5">
      <w:pPr>
        <w:snapToGrid w:val="0"/>
        <w:spacing w:line="360" w:lineRule="auto"/>
        <w:ind w:firstLine="960" w:firstLineChars="400"/>
        <w:rPr>
          <w:rFonts w:hint="eastAsia" w:ascii="宋体" w:hAnsi="宋体" w:eastAsia="宋体" w:cs="宋体"/>
          <w:sz w:val="24"/>
          <w:lang w:eastAsia="zh-CN"/>
        </w:rPr>
      </w:pPr>
      <w:r>
        <w:rPr>
          <w:rFonts w:hint="eastAsia" w:ascii="宋体" w:hAnsi="宋体" w:eastAsia="宋体" w:cs="宋体"/>
          <w:sz w:val="24"/>
        </w:rPr>
        <w:t>11.1.</w:t>
      </w:r>
      <w:r>
        <w:rPr>
          <w:rFonts w:hint="eastAsia" w:ascii="宋体" w:hAnsi="宋体" w:cs="宋体"/>
          <w:sz w:val="24"/>
          <w:lang w:val="en-US" w:eastAsia="zh-CN"/>
        </w:rPr>
        <w:t>5</w:t>
      </w:r>
      <w:r>
        <w:rPr>
          <w:rFonts w:hint="eastAsia" w:ascii="宋体" w:hAnsi="宋体" w:eastAsia="宋体" w:cs="宋体"/>
          <w:sz w:val="24"/>
        </w:rPr>
        <w:t>本项目的特定资格要求（如果有）</w:t>
      </w:r>
      <w:r>
        <w:rPr>
          <w:rFonts w:hint="eastAsia" w:ascii="宋体" w:hAnsi="宋体" w:eastAsia="宋体" w:cs="宋体"/>
          <w:sz w:val="24"/>
          <w:lang w:eastAsia="zh-CN"/>
        </w:rPr>
        <w:t>；</w:t>
      </w:r>
    </w:p>
    <w:p w14:paraId="4D9DE5FE">
      <w:pPr>
        <w:snapToGrid w:val="0"/>
        <w:spacing w:line="360" w:lineRule="auto"/>
        <w:ind w:firstLine="960" w:firstLineChars="400"/>
        <w:rPr>
          <w:rFonts w:hint="default" w:ascii="宋体" w:hAnsi="宋体" w:eastAsia="宋体" w:cs="宋体"/>
          <w:sz w:val="24"/>
          <w:lang w:val="en-US" w:eastAsia="zh-CN"/>
        </w:rPr>
      </w:pPr>
      <w:r>
        <w:rPr>
          <w:rFonts w:hint="eastAsia" w:ascii="宋体" w:hAnsi="宋体" w:cs="宋体"/>
          <w:sz w:val="24"/>
          <w:lang w:val="en-US" w:eastAsia="zh-CN"/>
        </w:rPr>
        <w:t>11.1.6中小企业声明函（格式见附件）</w:t>
      </w:r>
      <w:r>
        <w:rPr>
          <w:rFonts w:hint="eastAsia" w:ascii="宋体" w:hAnsi="宋体" w:eastAsia="宋体" w:cs="宋体"/>
          <w:sz w:val="24"/>
          <w:lang w:eastAsia="zh-CN"/>
        </w:rPr>
        <w:t>；</w:t>
      </w:r>
    </w:p>
    <w:p w14:paraId="636CFD17">
      <w:pPr>
        <w:snapToGrid w:val="0"/>
        <w:spacing w:line="360" w:lineRule="auto"/>
        <w:ind w:firstLine="960" w:firstLineChars="400"/>
        <w:rPr>
          <w:rFonts w:hint="default" w:ascii="宋体" w:hAnsi="宋体" w:eastAsia="宋体" w:cs="宋体"/>
          <w:sz w:val="24"/>
          <w:lang w:val="en-US" w:eastAsia="zh-CN"/>
        </w:rPr>
      </w:pPr>
      <w:r>
        <w:rPr>
          <w:rFonts w:hint="eastAsia" w:ascii="宋体" w:hAnsi="宋体" w:eastAsia="宋体" w:cs="宋体"/>
          <w:sz w:val="24"/>
          <w:lang w:val="en-US" w:eastAsia="zh-CN"/>
        </w:rPr>
        <w:t>11.1.</w:t>
      </w:r>
      <w:r>
        <w:rPr>
          <w:rFonts w:hint="eastAsia" w:ascii="宋体" w:hAnsi="宋体" w:cs="宋体"/>
          <w:sz w:val="24"/>
          <w:lang w:val="en-US" w:eastAsia="zh-CN"/>
        </w:rPr>
        <w:t>7</w:t>
      </w:r>
      <w:r>
        <w:rPr>
          <w:rFonts w:hint="eastAsia" w:ascii="宋体" w:hAnsi="宋体" w:eastAsia="宋体" w:cs="宋体"/>
          <w:sz w:val="24"/>
          <w:lang w:val="zh-CN"/>
        </w:rPr>
        <w:t>认为需要的其他</w:t>
      </w:r>
      <w:r>
        <w:rPr>
          <w:rFonts w:hint="eastAsia" w:ascii="宋体" w:hAnsi="宋体" w:eastAsia="宋体" w:cs="宋体"/>
          <w:sz w:val="24"/>
          <w:lang w:val="en-US" w:eastAsia="zh-CN"/>
        </w:rPr>
        <w:t>资格</w:t>
      </w:r>
      <w:r>
        <w:rPr>
          <w:rFonts w:hint="eastAsia" w:ascii="宋体" w:hAnsi="宋体" w:eastAsia="宋体" w:cs="宋体"/>
          <w:sz w:val="24"/>
          <w:lang w:val="zh-CN"/>
        </w:rPr>
        <w:t>文件或说明 (如果有)。</w:t>
      </w:r>
    </w:p>
    <w:p w14:paraId="2BA6FBF8">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2商务技术</w:t>
      </w:r>
      <w:r>
        <w:rPr>
          <w:rFonts w:hint="eastAsia" w:ascii="宋体" w:hAnsi="宋体" w:cs="宋体"/>
          <w:b/>
          <w:bCs/>
          <w:color w:val="auto"/>
          <w:sz w:val="24"/>
          <w:lang w:val="zh-CN"/>
        </w:rPr>
        <w:t>文件：</w:t>
      </w:r>
    </w:p>
    <w:p w14:paraId="3C2BE5AA">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11.2.1投标函；</w:t>
      </w:r>
    </w:p>
    <w:p w14:paraId="41BB181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42279E0">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BFE366A">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85DA05A">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CA66900">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商务技术偏离表；</w:t>
      </w:r>
    </w:p>
    <w:p w14:paraId="46DE9F34">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p>
    <w:p w14:paraId="23560B53">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p>
    <w:p w14:paraId="0DBE4F61">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11.3.1开标一览表（报价表）</w:t>
      </w:r>
      <w:r>
        <w:rPr>
          <w:rFonts w:hint="eastAsia" w:ascii="宋体" w:hAnsi="宋体" w:cs="宋体"/>
          <w:color w:val="auto"/>
          <w:sz w:val="24"/>
          <w:lang w:val="en-US" w:eastAsia="zh-CN"/>
        </w:rPr>
        <w:t>、投标分项报价表</w:t>
      </w:r>
      <w:r>
        <w:rPr>
          <w:rFonts w:hint="eastAsia" w:ascii="宋体" w:hAnsi="宋体" w:cs="宋体"/>
          <w:color w:val="auto"/>
          <w:sz w:val="24"/>
        </w:rPr>
        <w:t>；</w:t>
      </w:r>
    </w:p>
    <w:p w14:paraId="2FCA0890">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EF7BEE0">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szCs w:val="21"/>
        </w:rPr>
      </w:pPr>
      <w:r>
        <w:rPr>
          <w:rFonts w:hint="eastAsia" w:ascii="宋体" w:hAnsi="宋体" w:cs="宋体"/>
          <w:b/>
          <w:color w:val="auto"/>
          <w:sz w:val="24"/>
          <w:lang w:eastAsia="zh-CN"/>
        </w:rPr>
        <w:t>供应商</w:t>
      </w:r>
      <w:r>
        <w:rPr>
          <w:rFonts w:hint="eastAsia" w:ascii="宋体" w:hAnsi="宋体" w:cs="宋体"/>
          <w:b/>
          <w:color w:val="auto"/>
          <w:sz w:val="24"/>
        </w:rPr>
        <w:t>提供虚假材料投标的，投标无效。</w:t>
      </w:r>
    </w:p>
    <w:p w14:paraId="4C1FD817">
      <w:pPr>
        <w:pStyle w:val="130"/>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8A017DB">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2399FAB4">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083C3676">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E3FC63A">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rPr>
      </w:pPr>
      <w:r>
        <w:rPr>
          <w:rFonts w:hint="eastAsia" w:ascii="宋体" w:hAnsi="宋体" w:cs="宋体"/>
          <w:b/>
          <w:color w:val="auto"/>
          <w:sz w:val="24"/>
        </w:rPr>
        <w:t>13.投标文件的签署、盖章</w:t>
      </w:r>
    </w:p>
    <w:p w14:paraId="08304222">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w:t>
      </w:r>
      <w:r>
        <w:rPr>
          <w:rFonts w:hint="eastAsia" w:ascii="宋体" w:hAnsi="宋体" w:cs="宋体"/>
          <w:b/>
          <w:color w:val="auto"/>
          <w:lang w:eastAsia="zh-CN"/>
        </w:rPr>
        <w:t>供应商</w:t>
      </w:r>
      <w:r>
        <w:rPr>
          <w:rFonts w:hint="eastAsia" w:ascii="宋体" w:hAnsi="宋体" w:cs="宋体"/>
          <w:b/>
          <w:color w:val="auto"/>
        </w:rPr>
        <w:t>的投标文件未按照招标文件要求签署、盖章的，其投标无效</w:t>
      </w:r>
      <w:r>
        <w:rPr>
          <w:rFonts w:hint="eastAsia" w:ascii="宋体" w:hAnsi="宋体" w:cs="宋体"/>
          <w:color w:val="auto"/>
          <w:szCs w:val="24"/>
        </w:rPr>
        <w:t>。</w:t>
      </w:r>
    </w:p>
    <w:p w14:paraId="0970502D">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rPr>
        <w:t>13.2为确保网上操作合法、有效和安全，</w:t>
      </w:r>
      <w:r>
        <w:rPr>
          <w:rFonts w:hint="eastAsia" w:ascii="宋体" w:hAnsi="宋体" w:cs="宋体"/>
          <w:color w:val="auto"/>
          <w:lang w:eastAsia="zh-CN"/>
        </w:rPr>
        <w:t>供应商</w:t>
      </w:r>
      <w:r>
        <w:rPr>
          <w:rFonts w:hint="eastAsia" w:ascii="宋体" w:hAnsi="宋体" w:cs="宋体"/>
          <w:color w:val="auto"/>
        </w:rPr>
        <w:t>应当在投标截止时间前完成在“政府采购云平台”的身份认证，确保在电子投标过程中能够对相关数据电文进行加密和使用电子签名。</w:t>
      </w:r>
    </w:p>
    <w:p w14:paraId="0FDDADB2">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rPr>
      </w:pPr>
      <w:r>
        <w:rPr>
          <w:rFonts w:hint="eastAsia" w:ascii="宋体" w:hAnsi="宋体" w:cs="宋体"/>
          <w:color w:val="auto"/>
        </w:rPr>
        <w:t>13.3招标文件对投标文件签署、盖章的要求适用于电子签名。</w:t>
      </w:r>
    </w:p>
    <w:p w14:paraId="658A7AEF">
      <w:pPr>
        <w:pStyle w:val="130"/>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rPr>
      </w:pPr>
      <w:r>
        <w:rPr>
          <w:rFonts w:hint="eastAsia" w:ascii="宋体" w:hAnsi="宋体" w:cs="宋体"/>
          <w:b/>
          <w:color w:val="auto"/>
          <w:szCs w:val="24"/>
        </w:rPr>
        <w:t>14. 投标文件的提交、补充、修改、撤回</w:t>
      </w:r>
    </w:p>
    <w:p w14:paraId="12DC75B6">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rPr>
      </w:pPr>
      <w:r>
        <w:rPr>
          <w:rFonts w:hint="eastAsia" w:ascii="宋体" w:hAnsi="宋体" w:cs="宋体"/>
          <w:color w:val="auto"/>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6F4A86">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95892D9">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w:t>
      </w:r>
      <w:r>
        <w:rPr>
          <w:rFonts w:hint="eastAsia" w:ascii="宋体" w:hAnsi="宋体" w:cs="宋体"/>
          <w:color w:val="auto"/>
          <w:szCs w:val="24"/>
          <w:lang w:eastAsia="zh-CN"/>
        </w:rPr>
        <w:t>供应商</w:t>
      </w:r>
      <w:r>
        <w:rPr>
          <w:rFonts w:hint="eastAsia" w:ascii="宋体" w:hAnsi="宋体" w:cs="宋体"/>
          <w:color w:val="auto"/>
          <w:szCs w:val="24"/>
        </w:rPr>
        <w:t>以前在投标截止期方面的全部权利、责任和义务，将适用于延长至新的投标截止期。</w:t>
      </w:r>
    </w:p>
    <w:p w14:paraId="2EAF8A4F">
      <w:pPr>
        <w:pStyle w:val="36"/>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lang w:eastAsia="zh-CN"/>
        </w:rPr>
      </w:pPr>
      <w:r>
        <w:rPr>
          <w:rFonts w:hint="eastAsia" w:hAnsi="宋体" w:cs="宋体"/>
          <w:b/>
          <w:color w:val="auto"/>
          <w:sz w:val="24"/>
          <w:szCs w:val="24"/>
        </w:rPr>
        <w:t>15.备份投标文件</w:t>
      </w:r>
      <w:r>
        <w:rPr>
          <w:rFonts w:hint="eastAsia" w:hAnsi="宋体" w:cs="宋体"/>
          <w:b/>
          <w:color w:val="auto"/>
          <w:sz w:val="24"/>
          <w:szCs w:val="24"/>
          <w:lang w:eastAsia="zh-CN"/>
        </w:rPr>
        <w:t>（文件后缀为：bfbs）</w:t>
      </w:r>
    </w:p>
    <w:p w14:paraId="41A4F5AB">
      <w:pPr>
        <w:pStyle w:val="36"/>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rPr>
      </w:pPr>
      <w:r>
        <w:rPr>
          <w:rFonts w:hint="eastAsia" w:hAnsi="宋体" w:cs="宋体"/>
          <w:color w:val="auto"/>
          <w:sz w:val="24"/>
          <w:szCs w:val="24"/>
        </w:rPr>
        <w:t>15.1</w:t>
      </w:r>
      <w:r>
        <w:rPr>
          <w:rFonts w:hint="eastAsia" w:hAnsi="宋体" w:cs="宋体"/>
          <w:color w:val="auto"/>
          <w:sz w:val="24"/>
          <w:szCs w:val="24"/>
          <w:lang w:eastAsia="zh-CN"/>
        </w:rPr>
        <w:t>供应商</w:t>
      </w:r>
      <w:r>
        <w:rPr>
          <w:rFonts w:hint="eastAsia" w:hAnsi="宋体" w:cs="宋体"/>
          <w:color w:val="auto"/>
          <w:sz w:val="24"/>
          <w:szCs w:val="24"/>
        </w:rPr>
        <w:t>在电子交易平台传输递交投标文件后，还可以在投标截止时间前直接提交或者以快递方式递交备份投标文件1份，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w:t>
      </w:r>
      <w:r>
        <w:rPr>
          <w:rFonts w:hint="eastAsia" w:hAnsi="宋体" w:cs="宋体"/>
          <w:b/>
          <w:color w:val="auto"/>
          <w:sz w:val="24"/>
          <w:szCs w:val="24"/>
          <w:lang w:eastAsia="zh-CN"/>
        </w:rPr>
        <w:t>供应商</w:t>
      </w:r>
      <w:r>
        <w:rPr>
          <w:rFonts w:hint="eastAsia" w:hAnsi="宋体" w:cs="宋体"/>
          <w:b/>
          <w:color w:val="auto"/>
          <w:sz w:val="24"/>
          <w:szCs w:val="24"/>
        </w:rPr>
        <w:t>提交备份投标文件。</w:t>
      </w:r>
    </w:p>
    <w:p w14:paraId="17EC0780">
      <w:pPr>
        <w:pStyle w:val="36"/>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lang w:val="en-US" w:eastAsia="zh-CN"/>
        </w:rPr>
        <w:t>U盘</w:t>
      </w:r>
      <w:r>
        <w:rPr>
          <w:rFonts w:hint="eastAsia" w:hAnsi="宋体" w:cs="宋体"/>
          <w:color w:val="auto"/>
          <w:sz w:val="24"/>
          <w:szCs w:val="24"/>
        </w:rPr>
        <w:t>中。备份投标文件应当密封包装并在包装上加盖公章并注明投标项目名称，</w:t>
      </w:r>
      <w:r>
        <w:rPr>
          <w:rFonts w:hint="eastAsia" w:hAnsi="宋体" w:cs="宋体"/>
          <w:color w:val="auto"/>
          <w:sz w:val="24"/>
          <w:szCs w:val="24"/>
          <w:lang w:eastAsia="zh-CN"/>
        </w:rPr>
        <w:t>供应商</w:t>
      </w:r>
      <w:r>
        <w:rPr>
          <w:rFonts w:hint="eastAsia" w:hAnsi="宋体" w:cs="宋体"/>
          <w:color w:val="auto"/>
          <w:sz w:val="24"/>
          <w:szCs w:val="24"/>
        </w:rPr>
        <w:t>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AAAEB26">
      <w:pPr>
        <w:pStyle w:val="36"/>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rPr>
      </w:pPr>
      <w:r>
        <w:rPr>
          <w:rFonts w:hint="eastAsia" w:hAnsi="宋体" w:cs="宋体"/>
          <w:color w:val="auto"/>
          <w:sz w:val="24"/>
          <w:szCs w:val="24"/>
        </w:rPr>
        <w:t>15.3直接提交备份投标文件的，</w:t>
      </w:r>
      <w:r>
        <w:rPr>
          <w:rFonts w:hint="eastAsia" w:hAnsi="宋体" w:cs="宋体"/>
          <w:color w:val="auto"/>
          <w:sz w:val="24"/>
          <w:szCs w:val="24"/>
          <w:lang w:eastAsia="zh-CN"/>
        </w:rPr>
        <w:t>供应商</w:t>
      </w:r>
      <w:r>
        <w:rPr>
          <w:rFonts w:hint="eastAsia" w:hAnsi="宋体" w:cs="宋体"/>
          <w:color w:val="auto"/>
          <w:sz w:val="24"/>
          <w:szCs w:val="24"/>
        </w:rPr>
        <w:t>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03FF0809">
      <w:pPr>
        <w:pStyle w:val="36"/>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rPr>
      </w:pPr>
      <w:r>
        <w:rPr>
          <w:rFonts w:hint="eastAsia" w:hAnsi="宋体" w:cs="宋体"/>
          <w:color w:val="auto"/>
          <w:sz w:val="24"/>
          <w:szCs w:val="24"/>
        </w:rPr>
        <w:t>15.4以邮政快递方式递交备份投标文件的，</w:t>
      </w:r>
      <w:r>
        <w:rPr>
          <w:rFonts w:hint="eastAsia" w:hAnsi="宋体" w:cs="宋体"/>
          <w:color w:val="auto"/>
          <w:sz w:val="24"/>
          <w:szCs w:val="24"/>
          <w:lang w:eastAsia="zh-CN"/>
        </w:rPr>
        <w:t>供应商</w:t>
      </w:r>
      <w:r>
        <w:rPr>
          <w:rFonts w:hint="eastAsia" w:hAnsi="宋体" w:cs="宋体"/>
          <w:color w:val="auto"/>
          <w:sz w:val="24"/>
          <w:szCs w:val="24"/>
        </w:rPr>
        <w:t>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w:t>
      </w:r>
      <w:r>
        <w:rPr>
          <w:rFonts w:hint="eastAsia" w:hAnsi="宋体" w:cs="宋体"/>
          <w:snapToGrid/>
          <w:color w:val="auto"/>
          <w:sz w:val="24"/>
          <w:szCs w:val="24"/>
          <w:lang w:eastAsia="zh-CN"/>
        </w:rPr>
        <w:t>供应商</w:t>
      </w:r>
      <w:r>
        <w:rPr>
          <w:rFonts w:hint="eastAsia" w:hAnsi="宋体" w:cs="宋体"/>
          <w:snapToGrid/>
          <w:color w:val="auto"/>
          <w:sz w:val="24"/>
          <w:szCs w:val="24"/>
        </w:rPr>
        <w:t>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w:t>
      </w:r>
      <w:r>
        <w:rPr>
          <w:rFonts w:hint="eastAsia" w:hAnsi="宋体" w:cs="宋体"/>
          <w:color w:val="auto"/>
          <w:sz w:val="24"/>
          <w:szCs w:val="24"/>
          <w:lang w:eastAsia="zh-CN"/>
        </w:rPr>
        <w:t>供应商</w:t>
      </w:r>
      <w:r>
        <w:rPr>
          <w:rFonts w:hint="eastAsia" w:hAnsi="宋体" w:cs="宋体"/>
          <w:color w:val="auto"/>
          <w:sz w:val="24"/>
          <w:szCs w:val="24"/>
        </w:rPr>
        <w:t>自行负责。</w:t>
      </w:r>
    </w:p>
    <w:p w14:paraId="72D0EAF9">
      <w:pPr>
        <w:pStyle w:val="36"/>
        <w:pageBreakBefore w:val="0"/>
        <w:shd w:val="clear"/>
        <w:kinsoku/>
        <w:wordWrap/>
        <w:overflowPunct/>
        <w:topLinePunct w:val="0"/>
        <w:bidi w:val="0"/>
        <w:spacing w:beforeAutospacing="0" w:line="348" w:lineRule="auto"/>
        <w:ind w:firstLine="479" w:firstLineChars="199"/>
        <w:textAlignment w:val="auto"/>
        <w:outlineLvl w:val="9"/>
        <w:rPr>
          <w:rFonts w:hAnsi="宋体" w:cs="宋体"/>
          <w:b/>
          <w:color w:val="auto"/>
          <w:sz w:val="24"/>
          <w:szCs w:val="24"/>
        </w:rPr>
      </w:pPr>
      <w:r>
        <w:rPr>
          <w:rFonts w:hint="eastAsia" w:hAnsi="宋体" w:cs="宋体"/>
          <w:b/>
          <w:color w:val="auto"/>
          <w:sz w:val="24"/>
          <w:szCs w:val="24"/>
        </w:rPr>
        <w:t>15.5</w:t>
      </w:r>
      <w:r>
        <w:rPr>
          <w:rFonts w:hint="eastAsia" w:hAnsi="宋体" w:cs="宋体"/>
          <w:b/>
          <w:color w:val="auto"/>
          <w:sz w:val="24"/>
          <w:szCs w:val="24"/>
          <w:lang w:eastAsia="zh-CN"/>
        </w:rPr>
        <w:t>供应商</w:t>
      </w:r>
      <w:r>
        <w:rPr>
          <w:rFonts w:hint="eastAsia" w:hAnsi="宋体" w:cs="宋体"/>
          <w:b/>
          <w:color w:val="auto"/>
          <w:sz w:val="24"/>
          <w:szCs w:val="24"/>
        </w:rPr>
        <w:t>仅提交备份投标文件，未在电子交易平台传输递交投标文件的，投标无效。</w:t>
      </w:r>
    </w:p>
    <w:p w14:paraId="0DE6C398">
      <w:pPr>
        <w:pStyle w:val="130"/>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rPr>
      </w:pPr>
      <w:r>
        <w:rPr>
          <w:rFonts w:hint="eastAsia" w:ascii="宋体" w:hAnsi="宋体" w:cs="宋体"/>
          <w:b/>
          <w:color w:val="auto"/>
          <w:szCs w:val="24"/>
        </w:rPr>
        <w:t>16.投标文件的无效处理</w:t>
      </w:r>
    </w:p>
    <w:p w14:paraId="0438EAD7">
      <w:pPr>
        <w:pStyle w:val="26"/>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7C9C2290">
      <w:pPr>
        <w:pStyle w:val="130"/>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rPr>
      </w:pPr>
      <w:r>
        <w:rPr>
          <w:rFonts w:hint="eastAsia" w:ascii="宋体" w:hAnsi="宋体" w:cs="宋体"/>
          <w:b/>
          <w:color w:val="auto"/>
          <w:szCs w:val="24"/>
        </w:rPr>
        <w:t>17.投标有效期</w:t>
      </w:r>
    </w:p>
    <w:p w14:paraId="35167B39">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lang w:eastAsia="zh-CN"/>
        </w:rPr>
        <w:t>供应商</w:t>
      </w:r>
      <w:r>
        <w:rPr>
          <w:rFonts w:hint="eastAsia" w:ascii="宋体" w:hAnsi="宋体" w:cs="宋体"/>
          <w:b/>
          <w:color w:val="auto"/>
          <w:sz w:val="24"/>
          <w:szCs w:val="20"/>
        </w:rPr>
        <w:t>的投标文件中承</w:t>
      </w:r>
      <w:r>
        <w:rPr>
          <w:rFonts w:hint="eastAsia" w:ascii="宋体" w:hAnsi="宋体" w:cs="宋体"/>
          <w:b/>
          <w:color w:val="auto"/>
          <w:sz w:val="24"/>
          <w:szCs w:val="21"/>
        </w:rPr>
        <w:t>诺的投标有效期少于招标文件中载明的投标有效期的，投标无效。</w:t>
      </w:r>
    </w:p>
    <w:p w14:paraId="416CA100">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rPr>
        <w:t>17.2投标文件合格投递后，自投标截止日期起，在投标有效期内有效。</w:t>
      </w:r>
    </w:p>
    <w:p w14:paraId="745328BF">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w:t>
      </w:r>
      <w:r>
        <w:rPr>
          <w:rFonts w:hint="eastAsia" w:ascii="宋体" w:hAnsi="宋体" w:cs="宋体"/>
          <w:color w:val="auto"/>
          <w:lang w:eastAsia="zh-CN"/>
        </w:rPr>
        <w:t>供应商</w:t>
      </w:r>
      <w:r>
        <w:rPr>
          <w:rFonts w:hint="eastAsia" w:ascii="宋体" w:hAnsi="宋体" w:cs="宋体"/>
          <w:color w:val="auto"/>
        </w:rPr>
        <w:t>延长投标有效期。</w:t>
      </w:r>
      <w:r>
        <w:rPr>
          <w:rFonts w:hint="eastAsia" w:ascii="宋体" w:hAnsi="宋体" w:cs="宋体"/>
          <w:color w:val="auto"/>
          <w:lang w:eastAsia="zh-CN"/>
        </w:rPr>
        <w:t>供应商</w:t>
      </w:r>
      <w:r>
        <w:rPr>
          <w:rFonts w:hint="eastAsia" w:ascii="宋体" w:hAnsi="宋体" w:cs="宋体"/>
          <w:color w:val="auto"/>
        </w:rPr>
        <w:t>同意延长的，不得要求或被允许修改其投标文件，</w:t>
      </w:r>
      <w:r>
        <w:rPr>
          <w:rFonts w:hint="eastAsia" w:ascii="宋体" w:hAnsi="宋体" w:cs="宋体"/>
          <w:color w:val="auto"/>
          <w:lang w:eastAsia="zh-CN"/>
        </w:rPr>
        <w:t>供应商</w:t>
      </w:r>
      <w:r>
        <w:rPr>
          <w:rFonts w:hint="eastAsia" w:ascii="宋体" w:hAnsi="宋体" w:cs="宋体"/>
          <w:color w:val="auto"/>
        </w:rPr>
        <w:t>拒绝延长的，其投标无效。</w:t>
      </w:r>
    </w:p>
    <w:p w14:paraId="32CCACCC">
      <w:pPr>
        <w:pStyle w:val="130"/>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rPr>
      </w:pPr>
      <w:r>
        <w:rPr>
          <w:rFonts w:hint="eastAsia" w:ascii="宋体" w:hAnsi="宋体" w:cs="宋体"/>
          <w:b/>
          <w:color w:val="auto"/>
          <w:sz w:val="32"/>
        </w:rPr>
        <w:t>四、开标、资格审查与信用信息查询</w:t>
      </w:r>
    </w:p>
    <w:p w14:paraId="7E308555">
      <w:pPr>
        <w:pStyle w:val="554"/>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rPr>
      </w:pPr>
      <w:r>
        <w:rPr>
          <w:rFonts w:hint="eastAsia" w:ascii="宋体" w:hAnsi="宋体" w:cs="宋体"/>
          <w:b/>
          <w:color w:val="auto"/>
          <w:sz w:val="24"/>
          <w:szCs w:val="24"/>
        </w:rPr>
        <w:t>18.开标</w:t>
      </w:r>
    </w:p>
    <w:p w14:paraId="3A7C714A">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w:t>
      </w:r>
      <w:r>
        <w:rPr>
          <w:rFonts w:hint="eastAsia" w:ascii="宋体" w:hAnsi="宋体" w:cs="宋体"/>
          <w:color w:val="auto"/>
          <w:sz w:val="24"/>
          <w:lang w:eastAsia="zh-CN"/>
        </w:rPr>
        <w:t>供应商</w:t>
      </w:r>
      <w:r>
        <w:rPr>
          <w:rFonts w:hint="eastAsia" w:ascii="宋体" w:hAnsi="宋体" w:cs="宋体"/>
          <w:color w:val="auto"/>
          <w:sz w:val="24"/>
        </w:rPr>
        <w:t>均应当准时在线参加。</w:t>
      </w:r>
      <w:r>
        <w:rPr>
          <w:rFonts w:hint="eastAsia" w:ascii="宋体" w:hAnsi="宋体" w:cs="宋体"/>
          <w:color w:val="auto"/>
          <w:sz w:val="24"/>
          <w:lang w:eastAsia="zh-CN"/>
        </w:rPr>
        <w:t>供应商</w:t>
      </w:r>
      <w:r>
        <w:rPr>
          <w:rFonts w:hint="eastAsia" w:ascii="宋体" w:hAnsi="宋体" w:cs="宋体"/>
          <w:color w:val="auto"/>
          <w:sz w:val="24"/>
        </w:rPr>
        <w:t>不足3家的，不得开标。</w:t>
      </w:r>
    </w:p>
    <w:p w14:paraId="1EC2A480">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w:t>
      </w:r>
      <w:r>
        <w:rPr>
          <w:rFonts w:hint="eastAsia" w:ascii="宋体" w:hAnsi="宋体" w:cs="宋体"/>
          <w:color w:val="auto"/>
          <w:sz w:val="24"/>
          <w:lang w:eastAsia="zh-CN"/>
        </w:rPr>
        <w:t>供应商</w:t>
      </w:r>
      <w:r>
        <w:rPr>
          <w:rFonts w:hint="eastAsia" w:ascii="宋体" w:hAnsi="宋体" w:cs="宋体"/>
          <w:color w:val="auto"/>
          <w:sz w:val="24"/>
        </w:rPr>
        <w:t>按照平台提示和招标文件的规定在半小时内完成在线解密。</w:t>
      </w:r>
    </w:p>
    <w:p w14:paraId="27A0D6E2">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18.2.1具体</w:t>
      </w:r>
      <w:r>
        <w:rPr>
          <w:rFonts w:hint="eastAsia" w:ascii="宋体" w:hAnsi="宋体" w:eastAsia="宋体" w:cs="宋体"/>
          <w:color w:val="auto"/>
          <w:sz w:val="24"/>
          <w:lang w:eastAsia="zh-CN"/>
        </w:rPr>
        <w:t>开标程序：</w:t>
      </w:r>
    </w:p>
    <w:p w14:paraId="4EE64FC0">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第一阶段：</w:t>
      </w:r>
    </w:p>
    <w:p w14:paraId="3283DA83">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（1）投标截止时间后，供应商登录政府采购云平台，用“项目采购-开标评标”功能对电子投标文件进行在线解密，在线解密电子投标文件时间为开标时间后30分钟内</w:t>
      </w:r>
      <w:r>
        <w:rPr>
          <w:rFonts w:hint="eastAsia" w:ascii="宋体" w:hAnsi="宋体" w:cs="宋体"/>
          <w:color w:val="auto"/>
          <w:sz w:val="24"/>
          <w:lang w:val="en-US" w:eastAsia="zh-CN"/>
        </w:rPr>
        <w:t>；</w:t>
      </w:r>
    </w:p>
    <w:p w14:paraId="0C1FC402">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（2）在政府采购云平台开启已解密供应商的“资格文件、商务技术文件”，并做开标记录</w:t>
      </w:r>
      <w:r>
        <w:rPr>
          <w:rFonts w:hint="eastAsia" w:ascii="宋体" w:hAnsi="宋体" w:cs="宋体"/>
          <w:color w:val="auto"/>
          <w:sz w:val="24"/>
          <w:lang w:val="en-US" w:eastAsia="zh-CN"/>
        </w:rPr>
        <w:t>。</w:t>
      </w:r>
    </w:p>
    <w:p w14:paraId="29F80EF0">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第二阶段：</w:t>
      </w:r>
    </w:p>
    <w:p w14:paraId="65E26B21">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（1）在政府采购云平台宣告第一阶段评审无效供应商名单及理由；</w:t>
      </w:r>
    </w:p>
    <w:p w14:paraId="1D3B9898">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（2）公布经第一阶段评审符合招标文件要求的供应商的商务技术得分情况；</w:t>
      </w:r>
    </w:p>
    <w:p w14:paraId="0C51BE25">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（3）在政府采购云平台开启除第一阶段无效标外的供应商的“报价文件”，并做开标记录；</w:t>
      </w:r>
    </w:p>
    <w:p w14:paraId="6B08FF0E">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（4）在政府采购云平台公布评审结果</w:t>
      </w:r>
      <w:r>
        <w:rPr>
          <w:rFonts w:hint="eastAsia" w:ascii="宋体" w:hAnsi="宋体" w:cs="宋体"/>
          <w:color w:val="auto"/>
          <w:sz w:val="24"/>
          <w:lang w:val="en-US" w:eastAsia="zh-CN"/>
        </w:rPr>
        <w:t>；</w:t>
      </w:r>
    </w:p>
    <w:p w14:paraId="7F903CAA">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（5）开标会议结束。</w:t>
      </w:r>
    </w:p>
    <w:p w14:paraId="08690360">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w:t>
      </w:r>
      <w:r>
        <w:rPr>
          <w:rFonts w:hint="eastAsia" w:ascii="宋体" w:hAnsi="宋体" w:cs="宋体"/>
          <w:b/>
          <w:color w:val="auto"/>
          <w:sz w:val="24"/>
          <w:lang w:eastAsia="zh-CN"/>
        </w:rPr>
        <w:t>供应商</w:t>
      </w:r>
      <w:r>
        <w:rPr>
          <w:rFonts w:hint="eastAsia" w:ascii="宋体" w:hAnsi="宋体" w:cs="宋体"/>
          <w:b/>
          <w:color w:val="auto"/>
          <w:sz w:val="24"/>
        </w:rPr>
        <w:t>提供了备份投标文件的，以备份投标文件作为依据，否则视为投标文件撤回。投标文件已按时解密的，备份投标文件自动失效。</w:t>
      </w:r>
    </w:p>
    <w:p w14:paraId="28FACD78">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rPr>
      </w:pPr>
      <w:r>
        <w:rPr>
          <w:rFonts w:hint="eastAsia" w:ascii="宋体" w:hAnsi="宋体" w:cs="宋体"/>
          <w:b/>
          <w:color w:val="auto"/>
          <w:sz w:val="24"/>
          <w:szCs w:val="20"/>
        </w:rPr>
        <w:t>　19、资格审查</w:t>
      </w:r>
    </w:p>
    <w:p w14:paraId="5B276BCB">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w:t>
      </w:r>
      <w:r>
        <w:rPr>
          <w:rFonts w:hint="eastAsia" w:ascii="宋体" w:hAnsi="宋体" w:cs="宋体"/>
          <w:color w:val="auto"/>
          <w:sz w:val="24"/>
          <w:lang w:eastAsia="zh-CN"/>
        </w:rPr>
        <w:t>供应商</w:t>
      </w:r>
      <w:r>
        <w:rPr>
          <w:rFonts w:hint="eastAsia" w:ascii="宋体" w:hAnsi="宋体" w:cs="宋体"/>
          <w:color w:val="auto"/>
          <w:sz w:val="24"/>
        </w:rPr>
        <w:t>的资格进行审查。</w:t>
      </w:r>
    </w:p>
    <w:p w14:paraId="407CA5ED">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lang w:eastAsia="zh-CN"/>
        </w:rPr>
        <w:t>供应商</w:t>
      </w:r>
      <w:r>
        <w:rPr>
          <w:rFonts w:hint="eastAsia" w:ascii="宋体" w:hAnsi="宋体" w:cs="宋体"/>
          <w:color w:val="auto"/>
          <w:kern w:val="0"/>
          <w:szCs w:val="24"/>
        </w:rPr>
        <w:t>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lang w:eastAsia="zh-CN"/>
        </w:rPr>
        <w:t>供应商</w:t>
      </w:r>
      <w:r>
        <w:rPr>
          <w:rFonts w:hint="eastAsia" w:ascii="宋体" w:hAnsi="宋体" w:cs="宋体"/>
          <w:color w:val="auto"/>
        </w:rPr>
        <w:t>不具备招标文件中规定的资格要求，其投标无效。</w:t>
      </w:r>
    </w:p>
    <w:p w14:paraId="6EAD4041">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w:t>
      </w:r>
      <w:r>
        <w:rPr>
          <w:rFonts w:hint="eastAsia" w:ascii="宋体" w:hAnsi="宋体" w:cs="宋体"/>
          <w:color w:val="auto"/>
          <w:lang w:eastAsia="zh-CN"/>
        </w:rPr>
        <w:t>供应商</w:t>
      </w:r>
      <w:r>
        <w:rPr>
          <w:rFonts w:hint="eastAsia" w:ascii="宋体" w:hAnsi="宋体" w:cs="宋体"/>
          <w:color w:val="auto"/>
        </w:rPr>
        <w:t>，采购人或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05F778E1">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w:t>
      </w:r>
      <w:r>
        <w:rPr>
          <w:rFonts w:hint="eastAsia" w:ascii="宋体" w:hAnsi="宋体" w:cs="宋体"/>
          <w:color w:val="auto"/>
          <w:lang w:eastAsia="zh-CN"/>
        </w:rPr>
        <w:t>供应商</w:t>
      </w:r>
      <w:r>
        <w:rPr>
          <w:rFonts w:hint="eastAsia" w:ascii="宋体" w:hAnsi="宋体" w:cs="宋体"/>
          <w:color w:val="auto"/>
        </w:rPr>
        <w:t>不足3家的，不再评标。</w:t>
      </w:r>
    </w:p>
    <w:p w14:paraId="427FE6B3">
      <w:pPr>
        <w:pStyle w:val="130"/>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rPr>
      </w:pPr>
      <w:r>
        <w:rPr>
          <w:rFonts w:hint="eastAsia" w:ascii="宋体" w:hAnsi="宋体" w:cs="宋体"/>
          <w:b/>
          <w:color w:val="auto"/>
          <w:szCs w:val="24"/>
        </w:rPr>
        <w:t>20、信用信息查询</w:t>
      </w:r>
    </w:p>
    <w:p w14:paraId="4887DF72">
      <w:pPr>
        <w:pStyle w:val="130"/>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w:t>
      </w:r>
      <w:r>
        <w:rPr>
          <w:rFonts w:hint="eastAsia" w:ascii="宋体" w:hAnsi="宋体" w:cs="宋体"/>
          <w:color w:val="auto"/>
          <w:kern w:val="0"/>
          <w:szCs w:val="24"/>
          <w:lang w:eastAsia="zh-CN"/>
        </w:rPr>
        <w:t>供应商</w:t>
      </w:r>
      <w:r>
        <w:rPr>
          <w:rFonts w:hint="eastAsia" w:ascii="宋体" w:hAnsi="宋体" w:cs="宋体"/>
          <w:color w:val="auto"/>
          <w:kern w:val="0"/>
          <w:szCs w:val="24"/>
        </w:rPr>
        <w:t>接受资格审查时的信用记录。</w:t>
      </w:r>
    </w:p>
    <w:p w14:paraId="511EC525">
      <w:pPr>
        <w:pStyle w:val="130"/>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w:t>
      </w:r>
      <w:r>
        <w:rPr>
          <w:rFonts w:hint="eastAsia" w:ascii="宋体" w:hAnsi="宋体" w:cs="宋体"/>
          <w:color w:val="auto"/>
          <w:kern w:val="0"/>
          <w:szCs w:val="24"/>
          <w:lang w:eastAsia="zh-CN"/>
        </w:rPr>
        <w:t>供应商</w:t>
      </w:r>
      <w:r>
        <w:rPr>
          <w:rFonts w:hint="eastAsia" w:ascii="宋体" w:hAnsi="宋体" w:cs="宋体"/>
          <w:color w:val="auto"/>
          <w:kern w:val="0"/>
          <w:szCs w:val="24"/>
        </w:rPr>
        <w:t>的信用记录、查询结果经确认后将与采购文件一起存档。</w:t>
      </w:r>
    </w:p>
    <w:p w14:paraId="5E9EC39F">
      <w:pPr>
        <w:pStyle w:val="130"/>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w:t>
      </w:r>
      <w:r>
        <w:rPr>
          <w:rFonts w:hint="eastAsia" w:ascii="宋体" w:hAnsi="宋体" w:cs="宋体"/>
          <w:snapToGrid w:val="0"/>
          <w:color w:val="auto"/>
          <w:kern w:val="28"/>
          <w:sz w:val="24"/>
          <w:szCs w:val="20"/>
        </w:rPr>
        <w:t>（重大税收违法失信主体）</w:t>
      </w:r>
      <w:r>
        <w:rPr>
          <w:rFonts w:hint="eastAsia" w:ascii="宋体" w:hAnsi="宋体" w:cs="宋体"/>
          <w:color w:val="auto"/>
          <w:kern w:val="0"/>
          <w:szCs w:val="24"/>
        </w:rPr>
        <w:t>、政府采购严重违法失信行为记录名单的</w:t>
      </w:r>
      <w:r>
        <w:rPr>
          <w:rFonts w:hint="eastAsia" w:ascii="宋体" w:hAnsi="宋体" w:cs="宋体"/>
          <w:color w:val="auto"/>
          <w:kern w:val="0"/>
          <w:szCs w:val="24"/>
          <w:lang w:eastAsia="zh-CN"/>
        </w:rPr>
        <w:t>供应商</w:t>
      </w:r>
      <w:r>
        <w:rPr>
          <w:rFonts w:hint="eastAsia" w:ascii="宋体" w:hAnsi="宋体" w:cs="宋体"/>
          <w:color w:val="auto"/>
          <w:kern w:val="0"/>
          <w:szCs w:val="24"/>
        </w:rPr>
        <w:t>将被拒绝参与政府采购活动。</w:t>
      </w:r>
    </w:p>
    <w:p w14:paraId="60D6C442">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7A3C46D">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2"/>
          <w:szCs w:val="32"/>
        </w:rPr>
      </w:pPr>
      <w:r>
        <w:rPr>
          <w:rFonts w:hint="eastAsia" w:ascii="宋体" w:hAnsi="宋体" w:cs="宋体"/>
          <w:b/>
          <w:color w:val="auto"/>
          <w:sz w:val="32"/>
          <w:szCs w:val="32"/>
        </w:rPr>
        <w:t>五、评标</w:t>
      </w:r>
    </w:p>
    <w:p w14:paraId="2930275B">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w:t>
      </w:r>
      <w:r>
        <w:rPr>
          <w:rFonts w:hint="eastAsia" w:ascii="宋体" w:hAnsi="宋体" w:cs="宋体"/>
          <w:color w:val="auto"/>
          <w:sz w:val="24"/>
          <w:lang w:eastAsia="zh-CN"/>
        </w:rPr>
        <w:t>供应商</w:t>
      </w:r>
      <w:r>
        <w:rPr>
          <w:rFonts w:hint="eastAsia" w:ascii="宋体" w:hAnsi="宋体" w:cs="宋体"/>
          <w:color w:val="auto"/>
          <w:sz w:val="24"/>
        </w:rPr>
        <w:t>对招标文件的响应情况。对实质上响应招标文件的</w:t>
      </w:r>
      <w:r>
        <w:rPr>
          <w:rFonts w:hint="eastAsia" w:ascii="宋体" w:hAnsi="宋体" w:cs="宋体"/>
          <w:color w:val="auto"/>
          <w:sz w:val="24"/>
          <w:lang w:eastAsia="zh-CN"/>
        </w:rPr>
        <w:t>供应商</w:t>
      </w:r>
      <w:r>
        <w:rPr>
          <w:rFonts w:hint="eastAsia" w:ascii="宋体" w:hAnsi="宋体" w:cs="宋体"/>
          <w:color w:val="auto"/>
          <w:sz w:val="24"/>
        </w:rPr>
        <w:t>，按照评审因素的量化指标排出推荐中标的</w:t>
      </w:r>
      <w:r>
        <w:rPr>
          <w:rFonts w:hint="eastAsia" w:ascii="宋体" w:hAnsi="宋体" w:cs="宋体"/>
          <w:color w:val="auto"/>
          <w:sz w:val="24"/>
          <w:lang w:eastAsia="zh-CN"/>
        </w:rPr>
        <w:t>供应商</w:t>
      </w:r>
      <w:r>
        <w:rPr>
          <w:rFonts w:hint="eastAsia" w:ascii="宋体" w:hAnsi="宋体" w:cs="宋体"/>
          <w:color w:val="auto"/>
          <w:sz w:val="24"/>
        </w:rPr>
        <w:t>的先后顺序，并按顺序提出授标建议。</w:t>
      </w:r>
      <w:r>
        <w:rPr>
          <w:rFonts w:hint="eastAsia" w:ascii="宋体" w:hAnsi="宋体" w:cs="宋体"/>
          <w:b/>
          <w:color w:val="auto"/>
          <w:sz w:val="24"/>
        </w:rPr>
        <w:t>详见招标文件第四部分评标办法。</w:t>
      </w:r>
    </w:p>
    <w:p w14:paraId="2E0DF50A">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2"/>
          <w:szCs w:val="32"/>
        </w:rPr>
      </w:pPr>
      <w:r>
        <w:rPr>
          <w:rFonts w:hint="eastAsia" w:ascii="宋体" w:hAnsi="宋体" w:cs="宋体"/>
          <w:b/>
          <w:color w:val="auto"/>
          <w:sz w:val="32"/>
          <w:szCs w:val="32"/>
        </w:rPr>
        <w:t>六、定标</w:t>
      </w:r>
    </w:p>
    <w:p w14:paraId="67DFB868">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rPr>
      </w:pPr>
      <w:r>
        <w:rPr>
          <w:rFonts w:hint="eastAsia" w:cs="宋体"/>
          <w:b/>
          <w:color w:val="auto"/>
        </w:rPr>
        <w:t>22. 确定中标供应商</w:t>
      </w:r>
    </w:p>
    <w:p w14:paraId="755DA394">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lang w:val="en-US" w:eastAsia="zh-CN"/>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个工作日内在线确定中标或者成交供应商。中标、成交通知书和中标、成交结果公告应当在规定时间内同时发出。</w:t>
      </w:r>
      <w:r>
        <w:rPr>
          <w:rFonts w:hint="eastAsia" w:ascii="宋体" w:hAnsi="宋体" w:cs="宋体"/>
          <w:b/>
          <w:bCs/>
          <w:color w:val="auto"/>
          <w:szCs w:val="24"/>
          <w:lang w:val="en-US" w:eastAsia="zh-CN"/>
        </w:rPr>
        <w:t>注：</w:t>
      </w:r>
      <w:r>
        <w:rPr>
          <w:rFonts w:hint="eastAsia" w:ascii="宋体" w:hAnsi="宋体" w:eastAsia="宋体" w:cs="宋体"/>
          <w:b/>
          <w:bCs/>
          <w:color w:val="auto"/>
          <w:szCs w:val="21"/>
          <w:highlight w:val="none"/>
        </w:rPr>
        <w:t>按评审后得分由高到低顺序确定</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名中标人</w:t>
      </w:r>
      <w:r>
        <w:rPr>
          <w:rFonts w:hint="eastAsia" w:ascii="宋体" w:hAnsi="宋体" w:eastAsia="宋体" w:cs="宋体"/>
          <w:b/>
          <w:bCs/>
          <w:color w:val="auto"/>
          <w:szCs w:val="21"/>
          <w:highlight w:val="none"/>
          <w:lang w:eastAsia="zh-CN"/>
        </w:rPr>
        <w:t>。</w:t>
      </w:r>
    </w:p>
    <w:p w14:paraId="798F9256">
      <w:pPr>
        <w:pStyle w:val="130"/>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rPr>
      </w:pPr>
      <w:r>
        <w:rPr>
          <w:rFonts w:hint="eastAsia" w:ascii="宋体" w:hAnsi="宋体" w:cs="宋体"/>
          <w:b/>
          <w:color w:val="auto"/>
          <w:szCs w:val="24"/>
        </w:rPr>
        <w:t>23. 中标通知与中标结果公告</w:t>
      </w:r>
    </w:p>
    <w:p w14:paraId="76917463">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542DAFC5">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B247F66">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rPr>
      </w:pPr>
      <w:r>
        <w:rPr>
          <w:rFonts w:hint="eastAsia" w:ascii="宋体" w:hAnsi="宋体" w:cs="宋体"/>
          <w:color w:val="auto"/>
          <w:sz w:val="24"/>
        </w:rPr>
        <w:t>23.3公告期限为1个工作日。</w:t>
      </w:r>
    </w:p>
    <w:p w14:paraId="7E5E1AD2">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2"/>
          <w:szCs w:val="32"/>
        </w:rPr>
      </w:pPr>
      <w:r>
        <w:rPr>
          <w:rFonts w:hint="eastAsia" w:ascii="宋体" w:hAnsi="宋体" w:cs="宋体"/>
          <w:b/>
          <w:color w:val="auto"/>
          <w:sz w:val="32"/>
          <w:szCs w:val="32"/>
        </w:rPr>
        <w:t>七、合同授予</w:t>
      </w:r>
    </w:p>
    <w:p w14:paraId="115538E3">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239CB3CB">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rPr>
      </w:pPr>
      <w:r>
        <w:rPr>
          <w:rFonts w:hint="eastAsia" w:cs="宋体"/>
          <w:b/>
          <w:color w:val="auto"/>
        </w:rPr>
        <w:t>25. 合同的签订</w:t>
      </w:r>
    </w:p>
    <w:p w14:paraId="41338683">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三十日内，与中标供应商按照采购文件确定的事项签订政府采购合同。</w:t>
      </w:r>
    </w:p>
    <w:p w14:paraId="3DE00902">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1BA3526">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8F5727E">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44460B2D">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64AFB8C">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rPr>
      </w:pPr>
      <w:r>
        <w:rPr>
          <w:rFonts w:hint="eastAsia" w:cs="宋体"/>
          <w:b/>
          <w:color w:val="auto"/>
        </w:rPr>
        <w:t>26. 履约保证金</w:t>
      </w:r>
    </w:p>
    <w:p w14:paraId="46229C78">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40435CF9">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7246B8">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5A7AA13F">
      <w:pPr>
        <w:pageBreakBefore w:val="0"/>
        <w:shd w:val="clear"/>
        <w:kinsoku/>
        <w:wordWrap/>
        <w:overflowPunct/>
        <w:topLinePunct w:val="0"/>
        <w:bidi w:val="0"/>
        <w:adjustRightInd/>
        <w:spacing w:beforeAutospacing="0" w:line="348"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lang w:val="en-US" w:eastAsia="zh-CN"/>
        </w:rPr>
        <w:t>%</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lang w:val="en-US" w:eastAsia="zh-CN"/>
        </w:rPr>
        <w:t>%</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4"/>
          <w:highlight w:val="none"/>
          <w:lang w:eastAsia="zh-CN"/>
        </w:rPr>
        <w:t>7个工作日内</w:t>
      </w:r>
      <w:r>
        <w:rPr>
          <w:rFonts w:ascii="宋体" w:hAnsi="宋体" w:cs="Times New Roman"/>
          <w:color w:val="auto"/>
          <w:kern w:val="2"/>
          <w:sz w:val="24"/>
          <w:highlight w:val="none"/>
        </w:rPr>
        <w:t>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w:t>
      </w:r>
      <w:r>
        <w:rPr>
          <w:rFonts w:ascii="宋体" w:hAnsi="宋体" w:cs="Times New Roman"/>
          <w:color w:val="auto"/>
          <w:kern w:val="2"/>
          <w:sz w:val="24"/>
          <w:highlight w:val="none"/>
        </w:rPr>
        <w:t>/保函受理</w:t>
      </w:r>
      <w:r>
        <w:rPr>
          <w:rFonts w:hint="eastAsia" w:ascii="宋体" w:hAnsi="宋体" w:cs="Times New Roman"/>
          <w:color w:val="auto"/>
          <w:kern w:val="2"/>
          <w:sz w:val="24"/>
          <w:highlight w:val="none"/>
        </w:rPr>
        <w:t>-</w:t>
      </w:r>
      <w:r>
        <w:rPr>
          <w:rFonts w:ascii="宋体" w:hAnsi="宋体" w:cs="Times New Roman"/>
          <w:color w:val="auto"/>
          <w:kern w:val="2"/>
          <w:sz w:val="24"/>
          <w:highlight w:val="none"/>
        </w:rPr>
        <w:t>确认保单</w:t>
      </w:r>
      <w:r>
        <w:rPr>
          <w:rFonts w:hint="eastAsia" w:ascii="宋体" w:hAnsi="宋体" w:cs="Times New Roman"/>
          <w:color w:val="auto"/>
          <w:kern w:val="2"/>
          <w:sz w:val="24"/>
          <w:highlight w:val="none"/>
        </w:rPr>
        <w:t>-</w:t>
      </w:r>
      <w:r>
        <w:rPr>
          <w:rFonts w:ascii="宋体" w:hAnsi="宋体" w:cs="Times New Roman"/>
          <w:color w:val="auto"/>
          <w:kern w:val="2"/>
          <w:sz w:val="24"/>
          <w:highlight w:val="none"/>
        </w:rPr>
        <w:t>支付保费</w:t>
      </w:r>
      <w:r>
        <w:rPr>
          <w:rFonts w:hint="eastAsia" w:ascii="宋体" w:hAnsi="宋体" w:cs="Times New Roman"/>
          <w:color w:val="auto"/>
          <w:kern w:val="2"/>
          <w:sz w:val="24"/>
          <w:highlight w:val="none"/>
        </w:rPr>
        <w:t>-</w:t>
      </w:r>
      <w:r>
        <w:rPr>
          <w:rFonts w:ascii="宋体" w:hAnsi="宋体" w:cs="Times New Roman"/>
          <w:color w:val="auto"/>
          <w:kern w:val="2"/>
          <w:sz w:val="24"/>
          <w:highlight w:val="none"/>
        </w:rPr>
        <w:t>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1DB42226">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color w:val="auto"/>
          <w:sz w:val="24"/>
        </w:rPr>
      </w:pPr>
      <w:r>
        <w:rPr>
          <w:rFonts w:hint="eastAsia" w:ascii="宋体" w:hAnsi="宋体" w:cs="宋体"/>
          <w:b/>
          <w:color w:val="auto"/>
          <w:sz w:val="32"/>
        </w:rPr>
        <w:t>八、电子交易活动的中止</w:t>
      </w:r>
    </w:p>
    <w:p w14:paraId="7EF8716D">
      <w:pPr>
        <w:pStyle w:val="130"/>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2829FE9E">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rPr>
        <w:t xml:space="preserve">28.1电子交易平台发生故障而无法登录访问的； </w:t>
      </w:r>
    </w:p>
    <w:p w14:paraId="3E49C344">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rPr>
        <w:t>28.2电子交易平台应用或数据库出现错误，不能进行正常操作的；</w:t>
      </w:r>
    </w:p>
    <w:p w14:paraId="1BB0F4AC">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rPr>
        <w:t>28.3电子交易平台发现严重安全漏洞，有潜在泄密危险的；</w:t>
      </w:r>
    </w:p>
    <w:p w14:paraId="743D067A">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rPr>
        <w:t xml:space="preserve">28.4病毒发作导致不能进行正常操作的； </w:t>
      </w:r>
    </w:p>
    <w:p w14:paraId="6DFC4396">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rPr>
      </w:pPr>
      <w:r>
        <w:rPr>
          <w:rFonts w:hint="eastAsia" w:ascii="宋体" w:hAnsi="宋体" w:cs="宋体"/>
          <w:color w:val="auto"/>
        </w:rPr>
        <w:t>28.5其他无法保证电子交易的公平、公正和安全的情况。</w:t>
      </w:r>
    </w:p>
    <w:p w14:paraId="08CC1293">
      <w:pPr>
        <w:pStyle w:val="130"/>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29.出现以上情形，不影响采购公平、公正性的，采购组织机构可以待上述情形消除后继续组织电子交易活动；影响或可能影响采购公平、公正性的，应当重新采购。</w:t>
      </w:r>
    </w:p>
    <w:p w14:paraId="5E0BB780">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rPr>
      </w:pPr>
      <w:r>
        <w:rPr>
          <w:rFonts w:hint="eastAsia" w:ascii="宋体" w:hAnsi="宋体" w:cs="宋体"/>
          <w:b/>
          <w:color w:val="auto"/>
          <w:sz w:val="32"/>
        </w:rPr>
        <w:t>九、验收</w:t>
      </w:r>
    </w:p>
    <w:p w14:paraId="461EF9A5">
      <w:pPr>
        <w:pStyle w:val="26"/>
        <w:pageBreakBefore w:val="0"/>
        <w:shd w:val="clear"/>
        <w:kinsoku/>
        <w:wordWrap/>
        <w:overflowPunct/>
        <w:topLinePunct w:val="0"/>
        <w:bidi w:val="0"/>
        <w:spacing w:beforeAutospacing="0" w:line="348" w:lineRule="auto"/>
        <w:ind w:firstLine="0" w:firstLineChars="0"/>
        <w:textAlignment w:val="auto"/>
        <w:outlineLvl w:val="9"/>
        <w:rPr>
          <w:rFonts w:cs="宋体"/>
          <w:b/>
          <w:color w:val="auto"/>
        </w:rPr>
      </w:pPr>
      <w:r>
        <w:rPr>
          <w:rFonts w:hint="eastAsia" w:cs="宋体"/>
          <w:b/>
          <w:color w:val="auto"/>
        </w:rPr>
        <w:t>30.验收</w:t>
      </w:r>
    </w:p>
    <w:p w14:paraId="78A23558">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8ACC77">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rPr>
      </w:pPr>
      <w:r>
        <w:rPr>
          <w:rFonts w:hint="eastAsia" w:ascii="宋体" w:hAnsi="宋体" w:cs="宋体"/>
          <w:color w:val="auto"/>
          <w:kern w:val="0"/>
          <w:sz w:val="24"/>
        </w:rPr>
        <w:t>30.2采购人可以邀请参加本项目的其他</w:t>
      </w:r>
      <w:r>
        <w:rPr>
          <w:rFonts w:hint="eastAsia" w:ascii="宋体" w:hAnsi="宋体" w:cs="宋体"/>
          <w:color w:val="auto"/>
          <w:kern w:val="0"/>
          <w:sz w:val="24"/>
          <w:lang w:eastAsia="zh-CN"/>
        </w:rPr>
        <w:t>供应商</w:t>
      </w:r>
      <w:r>
        <w:rPr>
          <w:rFonts w:hint="eastAsia" w:ascii="宋体" w:hAnsi="宋体" w:cs="宋体"/>
          <w:color w:val="auto"/>
          <w:kern w:val="0"/>
          <w:sz w:val="24"/>
        </w:rPr>
        <w:t>或者第三方机构参与验收。参与验收的</w:t>
      </w:r>
      <w:r>
        <w:rPr>
          <w:rFonts w:hint="eastAsia" w:ascii="宋体" w:hAnsi="宋体" w:cs="宋体"/>
          <w:color w:val="auto"/>
          <w:kern w:val="0"/>
          <w:sz w:val="24"/>
          <w:lang w:eastAsia="zh-CN"/>
        </w:rPr>
        <w:t>供应商</w:t>
      </w:r>
      <w:r>
        <w:rPr>
          <w:rFonts w:hint="eastAsia" w:ascii="宋体" w:hAnsi="宋体" w:cs="宋体"/>
          <w:color w:val="auto"/>
          <w:kern w:val="0"/>
          <w:sz w:val="24"/>
        </w:rPr>
        <w:t>或者第三方机构的意见作为验收书的参考资料一并存档。</w:t>
      </w:r>
    </w:p>
    <w:p w14:paraId="3F999A11">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B762C3">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1317F75F">
      <w:pPr>
        <w:kinsoku/>
        <w:wordWrap/>
        <w:overflowPunct/>
        <w:topLinePunct w:val="0"/>
        <w:bidi w:val="0"/>
        <w:outlineLvl w:val="9"/>
        <w:rPr>
          <w:rFonts w:ascii="宋体" w:hAnsi="宋体" w:cs="宋体"/>
          <w:color w:val="auto"/>
          <w:kern w:val="0"/>
          <w:sz w:val="24"/>
        </w:rPr>
      </w:pPr>
      <w:bookmarkStart w:id="18" w:name="_Hlt74707468"/>
      <w:bookmarkEnd w:id="18"/>
      <w:bookmarkStart w:id="19" w:name="_Hlt75236101"/>
      <w:bookmarkEnd w:id="19"/>
      <w:bookmarkStart w:id="20" w:name="_Hlt74730295"/>
      <w:bookmarkEnd w:id="20"/>
      <w:bookmarkStart w:id="21" w:name="_Hlt68057669"/>
      <w:bookmarkEnd w:id="21"/>
      <w:bookmarkStart w:id="22" w:name="_Hlt68403820"/>
      <w:bookmarkEnd w:id="22"/>
      <w:bookmarkStart w:id="23" w:name="_Hlt74714665"/>
      <w:bookmarkEnd w:id="23"/>
      <w:bookmarkStart w:id="24" w:name="_Hlt75236290"/>
      <w:bookmarkEnd w:id="24"/>
      <w:bookmarkStart w:id="25" w:name="_Hlt68072990"/>
      <w:bookmarkEnd w:id="25"/>
      <w:bookmarkStart w:id="26" w:name="_Hlt68072998"/>
      <w:bookmarkEnd w:id="26"/>
      <w:bookmarkStart w:id="27" w:name="_Hlt74729768"/>
      <w:bookmarkEnd w:id="27"/>
      <w:bookmarkStart w:id="28" w:name="_Hlt75236011"/>
      <w:bookmarkEnd w:id="28"/>
      <w:bookmarkStart w:id="29" w:name="_Hlt68073093"/>
      <w:bookmarkEnd w:id="29"/>
    </w:p>
    <w:p w14:paraId="34BDA37A">
      <w:pPr>
        <w:kinsoku/>
        <w:wordWrap/>
        <w:overflowPunct/>
        <w:topLinePunct w:val="0"/>
        <w:bidi w:val="0"/>
        <w:outlineLvl w:val="9"/>
        <w:rPr>
          <w:color w:val="auto"/>
        </w:rPr>
      </w:pPr>
    </w:p>
    <w:p w14:paraId="1DBD6520">
      <w:pPr>
        <w:pStyle w:val="4"/>
        <w:rPr>
          <w:color w:val="auto"/>
        </w:rPr>
        <w:sectPr>
          <w:footerReference r:id="rId6" w:type="default"/>
          <w:pgSz w:w="11906" w:h="16838"/>
          <w:pgMar w:top="680" w:right="1418" w:bottom="468" w:left="1418" w:header="851" w:footer="992" w:gutter="0"/>
          <w:pgNumType w:fmt="decimal" w:start="1"/>
          <w:cols w:space="720" w:num="1"/>
          <w:docGrid w:linePitch="312" w:charSpace="0"/>
        </w:sectPr>
      </w:pPr>
    </w:p>
    <w:bookmarkEnd w:id="13"/>
    <w:bookmarkEnd w:id="14"/>
    <w:p w14:paraId="32A51DFA">
      <w:pPr>
        <w:kinsoku/>
        <w:wordWrap/>
        <w:overflowPunct/>
        <w:topLinePunct w:val="0"/>
        <w:bidi w:val="0"/>
        <w:spacing w:line="360" w:lineRule="auto"/>
        <w:jc w:val="center"/>
        <w:outlineLvl w:val="0"/>
        <w:rPr>
          <w:rFonts w:ascii="宋体" w:hAnsi="宋体" w:cs="宋体"/>
          <w:b/>
          <w:color w:val="auto"/>
          <w:sz w:val="36"/>
          <w:szCs w:val="36"/>
        </w:rPr>
      </w:pPr>
      <w:bookmarkStart w:id="30" w:name="_Toc26044"/>
      <w:bookmarkStart w:id="31" w:name="第四部分"/>
      <w:r>
        <w:rPr>
          <w:rFonts w:hint="eastAsia" w:ascii="宋体" w:hAnsi="宋体" w:cs="宋体"/>
          <w:b/>
          <w:color w:val="auto"/>
          <w:sz w:val="36"/>
          <w:szCs w:val="36"/>
        </w:rPr>
        <w:t>第三部分   采购需求</w:t>
      </w:r>
      <w:bookmarkEnd w:id="30"/>
    </w:p>
    <w:p w14:paraId="28632340">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bookmarkStart w:id="32" w:name="_Toc317685548"/>
      <w:bookmarkStart w:id="33" w:name="_Toc329697494"/>
      <w:r>
        <w:rPr>
          <w:rFonts w:hint="eastAsia" w:ascii="宋体" w:hAnsi="宋体" w:eastAsia="宋体" w:cs="宋体"/>
          <w:b/>
          <w:color w:val="auto"/>
          <w:kern w:val="0"/>
          <w:sz w:val="24"/>
          <w:szCs w:val="24"/>
          <w:highlight w:val="none"/>
        </w:rPr>
        <w:t>一、重要商务要求一览表</w:t>
      </w:r>
    </w:p>
    <w:bookmarkEnd w:id="32"/>
    <w:bookmarkEnd w:id="33"/>
    <w:tbl>
      <w:tblPr>
        <w:tblStyle w:val="62"/>
        <w:tblW w:w="88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8"/>
        <w:gridCol w:w="6947"/>
      </w:tblGrid>
      <w:tr w14:paraId="774BA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blHeader/>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1A5C54D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类别</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659F318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具体商务要求</w:t>
            </w:r>
          </w:p>
        </w:tc>
      </w:tr>
      <w:tr w14:paraId="104CF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7"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53D9EBE0">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1、</w:t>
            </w:r>
            <w:r>
              <w:rPr>
                <w:rFonts w:hint="eastAsia" w:ascii="宋体" w:hAnsi="宋体" w:eastAsia="宋体" w:cs="宋体"/>
                <w:b/>
                <w:bCs/>
                <w:color w:val="auto"/>
                <w:kern w:val="2"/>
                <w:sz w:val="24"/>
                <w:szCs w:val="24"/>
                <w:highlight w:val="none"/>
                <w:lang w:val="en-US" w:eastAsia="zh-CN"/>
              </w:rPr>
              <w:t>合同履约期限（工期）</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43592814">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shd w:val="clear"/>
                <w:lang w:eastAsia="zh-CN"/>
              </w:rPr>
              <w:t>合同签订后5个月内完成工作内容。</w:t>
            </w:r>
          </w:p>
        </w:tc>
      </w:tr>
      <w:tr w14:paraId="53ACC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6" w:hRule="atLeast"/>
          <w:jc w:val="center"/>
        </w:trPr>
        <w:tc>
          <w:tcPr>
            <w:tcW w:w="1938" w:type="dxa"/>
            <w:tcBorders>
              <w:top w:val="single" w:color="auto" w:sz="4" w:space="0"/>
              <w:left w:val="single" w:color="auto" w:sz="4" w:space="0"/>
              <w:right w:val="single" w:color="auto" w:sz="4" w:space="0"/>
            </w:tcBorders>
            <w:noWrap w:val="0"/>
            <w:vAlign w:val="center"/>
          </w:tcPr>
          <w:p w14:paraId="26D861E6">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2、交货地点</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41FD9B8E">
            <w:pPr>
              <w:keepNext w:val="0"/>
              <w:keepLines w:val="0"/>
              <w:pageBreakBefore w:val="0"/>
              <w:widowControl w:val="0"/>
              <w:kinsoku/>
              <w:wordWrap/>
              <w:overflowPunct/>
              <w:topLinePunct w:val="0"/>
              <w:autoSpaceDE/>
              <w:autoSpaceDN/>
              <w:bidi w:val="0"/>
              <w:adjustRightInd/>
              <w:snapToGrid/>
              <w:spacing w:line="24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采购人指定地点</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宁波市</w:t>
            </w:r>
            <w:r>
              <w:rPr>
                <w:rFonts w:hint="eastAsia" w:ascii="宋体" w:hAnsi="宋体" w:cs="宋体"/>
                <w:color w:val="auto"/>
                <w:kern w:val="2"/>
                <w:sz w:val="24"/>
                <w:szCs w:val="24"/>
                <w:highlight w:val="none"/>
                <w:lang w:val="en-US" w:eastAsia="zh-CN"/>
              </w:rPr>
              <w:t>宁海县</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w:t>
            </w:r>
          </w:p>
        </w:tc>
      </w:tr>
      <w:tr w14:paraId="1690F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6" w:hRule="atLeast"/>
          <w:jc w:val="center"/>
        </w:trPr>
        <w:tc>
          <w:tcPr>
            <w:tcW w:w="1938" w:type="dxa"/>
            <w:tcBorders>
              <w:top w:val="single" w:color="auto" w:sz="4" w:space="0"/>
              <w:left w:val="single" w:color="auto" w:sz="4" w:space="0"/>
              <w:right w:val="single" w:color="auto" w:sz="4" w:space="0"/>
            </w:tcBorders>
            <w:noWrap w:val="0"/>
            <w:vAlign w:val="center"/>
          </w:tcPr>
          <w:p w14:paraId="07F63E52">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3、履约保证金</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3B3EF159">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本项目不收取履约保证金。</w:t>
            </w:r>
          </w:p>
        </w:tc>
      </w:tr>
      <w:tr w14:paraId="25A85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0B081178">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4、付款方式</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194D7832">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合同签订生效以及具备实施条件后7个工作日内中标人向采购人提交合同金额40%的预付款保函后，采购人支付合同金额的40%作为预付款；货到安装完毕经采购人验收合格后凭中标人提供的</w:t>
            </w:r>
            <w:r>
              <w:rPr>
                <w:rFonts w:hint="eastAsia" w:ascii="宋体" w:hAnsi="宋体" w:eastAsia="宋体" w:cs="宋体"/>
                <w:color w:val="auto"/>
                <w:kern w:val="2"/>
                <w:sz w:val="24"/>
                <w:szCs w:val="24"/>
                <w:highlight w:val="none"/>
                <w:lang w:val="en-US" w:eastAsia="zh-CN"/>
              </w:rPr>
              <w:t>发</w:t>
            </w:r>
            <w:r>
              <w:rPr>
                <w:rFonts w:hint="eastAsia" w:ascii="宋体" w:hAnsi="宋体" w:eastAsia="宋体" w:cs="宋体"/>
                <w:color w:val="auto"/>
                <w:kern w:val="2"/>
                <w:sz w:val="24"/>
                <w:szCs w:val="24"/>
                <w:highlight w:val="none"/>
              </w:rPr>
              <w:t>票支付至合同金额的100%。</w:t>
            </w:r>
          </w:p>
        </w:tc>
      </w:tr>
      <w:tr w14:paraId="44293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24DB2939">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5、质保期</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010AA8CE">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1、质保期不少于</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年，时间从采购人验收（终验）合格之日起计算。</w:t>
            </w:r>
          </w:p>
          <w:p w14:paraId="128DFECB">
            <w:pPr>
              <w:keepNext w:val="0"/>
              <w:keepLines w:val="0"/>
              <w:pageBreakBefore w:val="0"/>
              <w:widowControl w:val="0"/>
              <w:kinsoku/>
              <w:wordWrap/>
              <w:overflowPunct/>
              <w:topLinePunct w:val="0"/>
              <w:autoSpaceDE/>
              <w:autoSpaceDN/>
              <w:bidi w:val="0"/>
              <w:adjustRightInd/>
              <w:snapToGrid/>
              <w:spacing w:line="240" w:lineRule="auto"/>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2、质保期内供应商须免费负责修理和替换任何由于配件自身的质量问题造成的损坏。</w:t>
            </w:r>
          </w:p>
        </w:tc>
      </w:tr>
      <w:tr w14:paraId="26430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3B273A8B">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6、免费维修的响应期限</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611C20DB">
            <w:pPr>
              <w:keepNext w:val="0"/>
              <w:keepLines w:val="0"/>
              <w:pageBreakBefore w:val="0"/>
              <w:widowControl w:val="0"/>
              <w:kinsoku/>
              <w:wordWrap/>
              <w:overflowPunct/>
              <w:topLinePunct w:val="0"/>
              <w:autoSpaceDE/>
              <w:autoSpaceDN/>
              <w:bidi w:val="0"/>
              <w:adjustRightInd/>
              <w:snapToGrid/>
              <w:spacing w:line="240" w:lineRule="auto"/>
              <w:jc w:val="left"/>
              <w:rPr>
                <w:rFonts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1年免费上门服务，接到用户维修电话1个小时内响应，24个小时内修复（不能修复的，用备机替代），并提供售后服务机构或维修点联络信息（地址、联系人、电话等）。</w:t>
            </w:r>
          </w:p>
        </w:tc>
      </w:tr>
      <w:tr w14:paraId="0652C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049971EC">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7、产品及质量保证</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7AB64CBC">
            <w:pPr>
              <w:keepNext w:val="0"/>
              <w:keepLines w:val="0"/>
              <w:pageBreakBefore w:val="0"/>
              <w:widowControl w:val="0"/>
              <w:kinsoku/>
              <w:wordWrap/>
              <w:overflowPunct/>
              <w:topLinePunct w:val="0"/>
              <w:autoSpaceDE/>
              <w:autoSpaceDN/>
              <w:bidi w:val="0"/>
              <w:adjustRightInd/>
              <w:snapToGrid/>
              <w:spacing w:line="24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1、供应商保证所供的商品必须是出厂原装合格产品,如发生所供的商品与合同不符</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采购人有权拒收或退货</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由此产生的一切责任和后果由供应商承担。</w:t>
            </w:r>
          </w:p>
          <w:p w14:paraId="45831D2E">
            <w:pPr>
              <w:keepNext w:val="0"/>
              <w:keepLines w:val="0"/>
              <w:pageBreakBefore w:val="0"/>
              <w:widowControl w:val="0"/>
              <w:kinsoku/>
              <w:wordWrap/>
              <w:overflowPunct/>
              <w:topLinePunct w:val="0"/>
              <w:autoSpaceDE/>
              <w:autoSpaceDN/>
              <w:bidi w:val="0"/>
              <w:adjustRightInd/>
              <w:snapToGrid/>
              <w:spacing w:line="24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2、在所供商品交付时，供应商必须向采购人提供产品说明书、质量保证书、保修卡等必须具备的相关资料和必备附件。</w:t>
            </w:r>
          </w:p>
        </w:tc>
      </w:tr>
      <w:tr w14:paraId="70B88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071CA47C">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8、检验</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78619347">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人应提供产品的有效检验文件，经需方认可后，与合同的性能指标一起作为产品验收标准。需方对产品验收合格后，双方共同签署验收合格证书，验收中发现产品达不到验收标准或合同规定的性能指标，中标人必须更换产品，并负担由此给用户造成的损失，直到验收合格为止；中标人应于文件中提供产品的验收标准，验收标准应符合中国有关的国家、地方、行业的标准，经需方确认后作为验收的依据；验收费用由产品中标人承担。</w:t>
            </w:r>
          </w:p>
        </w:tc>
      </w:tr>
      <w:tr w14:paraId="58A9C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2"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3FC87860">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9、售后技术服务要求</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1C91E084">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供应商应根据采购人的需求，对所提供的设备保证全面、有效、及时的</w:t>
            </w:r>
            <w:r>
              <w:rPr>
                <w:rFonts w:hint="eastAsia" w:ascii="宋体" w:hAnsi="宋体" w:eastAsia="宋体" w:cs="宋体"/>
                <w:color w:val="auto"/>
                <w:kern w:val="2"/>
                <w:sz w:val="24"/>
                <w:szCs w:val="24"/>
                <w:highlight w:val="none"/>
                <w:lang w:val="en-US" w:eastAsia="zh-CN"/>
              </w:rPr>
              <w:t>售后</w:t>
            </w:r>
            <w:r>
              <w:rPr>
                <w:rFonts w:hint="eastAsia" w:ascii="宋体" w:hAnsi="宋体" w:eastAsia="宋体" w:cs="宋体"/>
                <w:color w:val="auto"/>
                <w:kern w:val="2"/>
                <w:sz w:val="24"/>
                <w:szCs w:val="24"/>
                <w:highlight w:val="none"/>
              </w:rPr>
              <w:t>维护服务。</w:t>
            </w:r>
          </w:p>
        </w:tc>
      </w:tr>
    </w:tbl>
    <w:p w14:paraId="4BB1BC8F">
      <w:pP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br w:type="page"/>
      </w:r>
    </w:p>
    <w:p w14:paraId="1D39D88B">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采购清单</w:t>
      </w:r>
    </w:p>
    <w:tbl>
      <w:tblPr>
        <w:tblStyle w:val="62"/>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471"/>
        <w:gridCol w:w="819"/>
        <w:gridCol w:w="766"/>
        <w:gridCol w:w="2250"/>
      </w:tblGrid>
      <w:tr w14:paraId="597B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noWrap w:val="0"/>
            <w:vAlign w:val="center"/>
          </w:tcPr>
          <w:p w14:paraId="12DC6F68">
            <w:pPr>
              <w:pStyle w:val="24"/>
              <w:numPr>
                <w:ilvl w:val="0"/>
                <w:numId w:val="0"/>
              </w:numPr>
              <w:rPr>
                <w:rFonts w:hint="eastAsia"/>
                <w:lang w:val="en-US" w:eastAsia="zh-CN"/>
              </w:rPr>
            </w:pPr>
            <w:r>
              <w:rPr>
                <w:rFonts w:hint="eastAsia"/>
                <w:lang w:val="en-US" w:eastAsia="zh-CN"/>
              </w:rPr>
              <w:t>序号</w:t>
            </w:r>
          </w:p>
        </w:tc>
        <w:tc>
          <w:tcPr>
            <w:tcW w:w="3471" w:type="dxa"/>
            <w:noWrap w:val="0"/>
            <w:vAlign w:val="center"/>
          </w:tcPr>
          <w:p w14:paraId="3C5DAC9B">
            <w:pPr>
              <w:pStyle w:val="24"/>
              <w:numPr>
                <w:ilvl w:val="0"/>
                <w:numId w:val="0"/>
              </w:numPr>
              <w:rPr>
                <w:rFonts w:hint="eastAsia"/>
                <w:lang w:val="en-US" w:eastAsia="zh-CN"/>
              </w:rPr>
            </w:pPr>
            <w:r>
              <w:rPr>
                <w:rFonts w:hint="eastAsia"/>
                <w:lang w:val="en-US" w:eastAsia="zh-CN"/>
              </w:rPr>
              <w:t>货物名称</w:t>
            </w:r>
          </w:p>
        </w:tc>
        <w:tc>
          <w:tcPr>
            <w:tcW w:w="819" w:type="dxa"/>
            <w:noWrap w:val="0"/>
            <w:vAlign w:val="center"/>
          </w:tcPr>
          <w:p w14:paraId="319525D4">
            <w:pPr>
              <w:pStyle w:val="24"/>
              <w:numPr>
                <w:ilvl w:val="0"/>
                <w:numId w:val="0"/>
              </w:numPr>
              <w:rPr>
                <w:rFonts w:hint="eastAsia"/>
                <w:lang w:val="en-US" w:eastAsia="zh-CN"/>
              </w:rPr>
            </w:pPr>
            <w:r>
              <w:rPr>
                <w:rFonts w:hint="eastAsia"/>
                <w:lang w:val="en-US" w:eastAsia="zh-CN"/>
              </w:rPr>
              <w:t>数量</w:t>
            </w:r>
          </w:p>
        </w:tc>
        <w:tc>
          <w:tcPr>
            <w:tcW w:w="766" w:type="dxa"/>
            <w:noWrap w:val="0"/>
            <w:vAlign w:val="center"/>
          </w:tcPr>
          <w:p w14:paraId="0CB06433">
            <w:pPr>
              <w:pStyle w:val="24"/>
              <w:numPr>
                <w:ilvl w:val="0"/>
                <w:numId w:val="0"/>
              </w:numPr>
              <w:rPr>
                <w:rFonts w:hint="eastAsia"/>
                <w:lang w:val="en-US" w:eastAsia="zh-CN"/>
              </w:rPr>
            </w:pPr>
            <w:r>
              <w:rPr>
                <w:rFonts w:hint="eastAsia"/>
                <w:lang w:val="en-US" w:eastAsia="zh-CN"/>
              </w:rPr>
              <w:t>单位</w:t>
            </w:r>
          </w:p>
        </w:tc>
        <w:tc>
          <w:tcPr>
            <w:tcW w:w="2250" w:type="dxa"/>
            <w:noWrap w:val="0"/>
            <w:vAlign w:val="center"/>
          </w:tcPr>
          <w:p w14:paraId="46210F9B">
            <w:pPr>
              <w:pStyle w:val="24"/>
              <w:numPr>
                <w:ilvl w:val="0"/>
                <w:numId w:val="0"/>
              </w:numPr>
              <w:rPr>
                <w:rFonts w:hint="eastAsia"/>
                <w:lang w:val="en-US" w:eastAsia="zh-CN"/>
              </w:rPr>
            </w:pPr>
            <w:r>
              <w:rPr>
                <w:rFonts w:hint="eastAsia"/>
                <w:lang w:val="en-US" w:eastAsia="zh-CN"/>
              </w:rPr>
              <w:t>安装地点/备注</w:t>
            </w:r>
          </w:p>
        </w:tc>
      </w:tr>
      <w:tr w14:paraId="2BD0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restart"/>
            <w:noWrap w:val="0"/>
            <w:vAlign w:val="center"/>
          </w:tcPr>
          <w:p w14:paraId="6900D908">
            <w:pPr>
              <w:pStyle w:val="24"/>
              <w:numPr>
                <w:ilvl w:val="0"/>
                <w:numId w:val="0"/>
              </w:numPr>
              <w:jc w:val="center"/>
              <w:rPr>
                <w:rFonts w:hint="eastAsia"/>
                <w:lang w:val="en-US" w:eastAsia="zh-CN"/>
              </w:rPr>
            </w:pPr>
            <w:r>
              <w:rPr>
                <w:rFonts w:hint="eastAsia"/>
                <w:lang w:val="en-US" w:eastAsia="zh-CN"/>
              </w:rPr>
              <w:t>1</w:t>
            </w:r>
          </w:p>
        </w:tc>
        <w:tc>
          <w:tcPr>
            <w:tcW w:w="3471" w:type="dxa"/>
            <w:noWrap w:val="0"/>
            <w:vAlign w:val="center"/>
          </w:tcPr>
          <w:p w14:paraId="53FE9367">
            <w:pPr>
              <w:pStyle w:val="24"/>
              <w:numPr>
                <w:ilvl w:val="0"/>
                <w:numId w:val="0"/>
              </w:numPr>
              <w:jc w:val="center"/>
              <w:rPr>
                <w:rFonts w:hint="eastAsia"/>
                <w:lang w:val="en-US" w:eastAsia="zh-CN"/>
              </w:rPr>
            </w:pPr>
            <w:r>
              <w:rPr>
                <w:rFonts w:hint="eastAsia"/>
                <w:lang w:val="en-US" w:eastAsia="zh-CN"/>
              </w:rPr>
              <w:t>水平式箱体</w:t>
            </w:r>
          </w:p>
        </w:tc>
        <w:tc>
          <w:tcPr>
            <w:tcW w:w="819" w:type="dxa"/>
            <w:noWrap w:val="0"/>
            <w:vAlign w:val="center"/>
          </w:tcPr>
          <w:p w14:paraId="38176AF1">
            <w:pPr>
              <w:pStyle w:val="24"/>
              <w:numPr>
                <w:ilvl w:val="0"/>
                <w:numId w:val="0"/>
              </w:numPr>
              <w:jc w:val="center"/>
              <w:rPr>
                <w:rFonts w:hint="eastAsia"/>
                <w:lang w:val="en-US" w:eastAsia="zh-CN"/>
              </w:rPr>
            </w:pPr>
            <w:r>
              <w:rPr>
                <w:rFonts w:hint="eastAsia"/>
                <w:lang w:val="en-US" w:eastAsia="zh-CN"/>
              </w:rPr>
              <w:t>2</w:t>
            </w:r>
          </w:p>
        </w:tc>
        <w:tc>
          <w:tcPr>
            <w:tcW w:w="766" w:type="dxa"/>
            <w:noWrap w:val="0"/>
            <w:vAlign w:val="center"/>
          </w:tcPr>
          <w:p w14:paraId="1E4E25A0">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2CC131C4">
            <w:pPr>
              <w:pStyle w:val="24"/>
              <w:numPr>
                <w:ilvl w:val="0"/>
                <w:numId w:val="0"/>
              </w:numPr>
              <w:jc w:val="center"/>
              <w:rPr>
                <w:rFonts w:hint="eastAsia"/>
                <w:lang w:val="en-US" w:eastAsia="zh-CN"/>
              </w:rPr>
            </w:pPr>
            <w:r>
              <w:rPr>
                <w:rFonts w:hint="eastAsia"/>
                <w:lang w:val="en-US" w:eastAsia="zh-CN"/>
              </w:rPr>
              <w:t>桥头胡站</w:t>
            </w:r>
          </w:p>
        </w:tc>
      </w:tr>
      <w:tr w14:paraId="2947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noWrap w:val="0"/>
            <w:vAlign w:val="center"/>
          </w:tcPr>
          <w:p w14:paraId="0880D0D2">
            <w:pPr>
              <w:pStyle w:val="24"/>
              <w:numPr>
                <w:ilvl w:val="0"/>
                <w:numId w:val="0"/>
              </w:numPr>
              <w:jc w:val="center"/>
              <w:rPr>
                <w:rFonts w:hint="eastAsia"/>
                <w:lang w:val="en-US" w:eastAsia="zh-CN"/>
              </w:rPr>
            </w:pPr>
          </w:p>
        </w:tc>
        <w:tc>
          <w:tcPr>
            <w:tcW w:w="3471" w:type="dxa"/>
            <w:noWrap w:val="0"/>
            <w:vAlign w:val="center"/>
          </w:tcPr>
          <w:p w14:paraId="15F70983">
            <w:pPr>
              <w:pStyle w:val="24"/>
              <w:numPr>
                <w:ilvl w:val="0"/>
                <w:numId w:val="0"/>
              </w:numPr>
              <w:jc w:val="center"/>
              <w:rPr>
                <w:rFonts w:hint="eastAsia"/>
                <w:lang w:val="en-US" w:eastAsia="zh-CN"/>
              </w:rPr>
            </w:pPr>
            <w:r>
              <w:rPr>
                <w:rFonts w:hint="eastAsia"/>
                <w:lang w:val="en-US" w:eastAsia="zh-CN"/>
              </w:rPr>
              <w:t>立柱及横梁</w:t>
            </w:r>
          </w:p>
        </w:tc>
        <w:tc>
          <w:tcPr>
            <w:tcW w:w="819" w:type="dxa"/>
            <w:noWrap w:val="0"/>
            <w:vAlign w:val="center"/>
          </w:tcPr>
          <w:p w14:paraId="6E71B1DD">
            <w:pPr>
              <w:pStyle w:val="24"/>
              <w:numPr>
                <w:ilvl w:val="0"/>
                <w:numId w:val="0"/>
              </w:numPr>
              <w:jc w:val="center"/>
              <w:rPr>
                <w:rFonts w:hint="eastAsia"/>
                <w:lang w:val="en-US" w:eastAsia="zh-CN"/>
              </w:rPr>
            </w:pPr>
            <w:r>
              <w:rPr>
                <w:rFonts w:hint="eastAsia"/>
                <w:lang w:val="en-US" w:eastAsia="zh-CN"/>
              </w:rPr>
              <w:t>8</w:t>
            </w:r>
          </w:p>
        </w:tc>
        <w:tc>
          <w:tcPr>
            <w:tcW w:w="766" w:type="dxa"/>
            <w:noWrap w:val="0"/>
            <w:vAlign w:val="center"/>
          </w:tcPr>
          <w:p w14:paraId="23B3E17C">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774E4789">
            <w:pPr>
              <w:pStyle w:val="24"/>
              <w:numPr>
                <w:ilvl w:val="0"/>
                <w:numId w:val="0"/>
              </w:numPr>
              <w:jc w:val="center"/>
              <w:rPr>
                <w:rFonts w:hint="eastAsia"/>
                <w:lang w:val="en-US" w:eastAsia="zh-CN"/>
              </w:rPr>
            </w:pPr>
            <w:r>
              <w:rPr>
                <w:rFonts w:hint="eastAsia"/>
                <w:lang w:val="en-US" w:eastAsia="zh-CN"/>
              </w:rPr>
              <w:t>桥头胡站</w:t>
            </w:r>
          </w:p>
        </w:tc>
      </w:tr>
      <w:tr w14:paraId="499C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noWrap w:val="0"/>
            <w:vAlign w:val="center"/>
          </w:tcPr>
          <w:p w14:paraId="126DCC34">
            <w:pPr>
              <w:pStyle w:val="24"/>
              <w:numPr>
                <w:ilvl w:val="0"/>
                <w:numId w:val="0"/>
              </w:numPr>
              <w:jc w:val="center"/>
              <w:rPr>
                <w:rFonts w:hint="eastAsia"/>
                <w:lang w:val="en-US" w:eastAsia="zh-CN"/>
              </w:rPr>
            </w:pPr>
          </w:p>
        </w:tc>
        <w:tc>
          <w:tcPr>
            <w:tcW w:w="3471" w:type="dxa"/>
            <w:noWrap w:val="0"/>
            <w:vAlign w:val="center"/>
          </w:tcPr>
          <w:p w14:paraId="7E363762">
            <w:pPr>
              <w:pStyle w:val="24"/>
              <w:numPr>
                <w:ilvl w:val="0"/>
                <w:numId w:val="0"/>
              </w:numPr>
              <w:jc w:val="center"/>
              <w:rPr>
                <w:rFonts w:hint="eastAsia"/>
                <w:lang w:val="en-US" w:eastAsia="zh-CN"/>
              </w:rPr>
            </w:pPr>
            <w:r>
              <w:rPr>
                <w:rFonts w:hint="eastAsia"/>
                <w:lang w:val="en-US" w:eastAsia="zh-CN"/>
              </w:rPr>
              <w:t>举升油缸</w:t>
            </w:r>
          </w:p>
        </w:tc>
        <w:tc>
          <w:tcPr>
            <w:tcW w:w="819" w:type="dxa"/>
            <w:noWrap w:val="0"/>
            <w:vAlign w:val="center"/>
          </w:tcPr>
          <w:p w14:paraId="4759E77F">
            <w:pPr>
              <w:pStyle w:val="24"/>
              <w:numPr>
                <w:ilvl w:val="0"/>
                <w:numId w:val="0"/>
              </w:numPr>
              <w:jc w:val="center"/>
              <w:rPr>
                <w:rFonts w:hint="eastAsia"/>
                <w:lang w:val="en-US" w:eastAsia="zh-CN"/>
              </w:rPr>
            </w:pPr>
            <w:r>
              <w:rPr>
                <w:rFonts w:hint="eastAsia"/>
                <w:lang w:val="en-US" w:eastAsia="zh-CN"/>
              </w:rPr>
              <w:t>8</w:t>
            </w:r>
          </w:p>
        </w:tc>
        <w:tc>
          <w:tcPr>
            <w:tcW w:w="766" w:type="dxa"/>
            <w:noWrap w:val="0"/>
            <w:vAlign w:val="center"/>
          </w:tcPr>
          <w:p w14:paraId="09153BA3">
            <w:pPr>
              <w:pStyle w:val="24"/>
              <w:numPr>
                <w:ilvl w:val="0"/>
                <w:numId w:val="0"/>
              </w:numPr>
              <w:jc w:val="center"/>
              <w:rPr>
                <w:rFonts w:hint="eastAsia"/>
                <w:lang w:val="en-US" w:eastAsia="zh-CN"/>
              </w:rPr>
            </w:pPr>
            <w:r>
              <w:rPr>
                <w:rFonts w:hint="eastAsia"/>
                <w:lang w:val="en-US" w:eastAsia="zh-CN"/>
              </w:rPr>
              <w:t>套</w:t>
            </w:r>
          </w:p>
        </w:tc>
        <w:tc>
          <w:tcPr>
            <w:tcW w:w="2250" w:type="dxa"/>
            <w:shd w:val="clear" w:color="auto" w:fill="auto"/>
            <w:noWrap w:val="0"/>
            <w:vAlign w:val="center"/>
          </w:tcPr>
          <w:p w14:paraId="37B7BCE6">
            <w:pPr>
              <w:pStyle w:val="24"/>
              <w:numPr>
                <w:ilvl w:val="0"/>
                <w:numId w:val="0"/>
              </w:numPr>
              <w:jc w:val="center"/>
              <w:rPr>
                <w:rFonts w:hint="eastAsia"/>
                <w:lang w:val="en-US" w:eastAsia="zh-CN"/>
              </w:rPr>
            </w:pPr>
            <w:r>
              <w:rPr>
                <w:rFonts w:hint="eastAsia"/>
                <w:lang w:val="en-US" w:eastAsia="zh-CN"/>
              </w:rPr>
              <w:t>桥头胡站</w:t>
            </w:r>
          </w:p>
        </w:tc>
      </w:tr>
      <w:tr w14:paraId="7659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73" w:type="dxa"/>
            <w:vMerge w:val="continue"/>
            <w:noWrap w:val="0"/>
            <w:vAlign w:val="center"/>
          </w:tcPr>
          <w:p w14:paraId="77DE0F95">
            <w:pPr>
              <w:pStyle w:val="24"/>
              <w:numPr>
                <w:ilvl w:val="0"/>
                <w:numId w:val="0"/>
              </w:numPr>
              <w:jc w:val="center"/>
              <w:rPr>
                <w:rFonts w:hint="eastAsia"/>
                <w:lang w:val="en-US" w:eastAsia="zh-CN"/>
              </w:rPr>
            </w:pPr>
          </w:p>
        </w:tc>
        <w:tc>
          <w:tcPr>
            <w:tcW w:w="3471" w:type="dxa"/>
            <w:shd w:val="clear" w:color="auto" w:fill="auto"/>
            <w:noWrap w:val="0"/>
            <w:vAlign w:val="center"/>
          </w:tcPr>
          <w:p w14:paraId="2A930017">
            <w:pPr>
              <w:pStyle w:val="24"/>
              <w:numPr>
                <w:ilvl w:val="0"/>
                <w:numId w:val="0"/>
              </w:numPr>
              <w:jc w:val="center"/>
              <w:rPr>
                <w:rFonts w:hint="eastAsia"/>
                <w:lang w:val="en-US" w:eastAsia="zh-CN"/>
              </w:rPr>
            </w:pPr>
            <w:r>
              <w:rPr>
                <w:rFonts w:hint="eastAsia"/>
                <w:lang w:val="en-US" w:eastAsia="zh-CN"/>
              </w:rPr>
              <w:t>液压管道总成更换</w:t>
            </w:r>
          </w:p>
        </w:tc>
        <w:tc>
          <w:tcPr>
            <w:tcW w:w="819" w:type="dxa"/>
            <w:shd w:val="clear" w:color="auto" w:fill="auto"/>
            <w:noWrap w:val="0"/>
            <w:vAlign w:val="center"/>
          </w:tcPr>
          <w:p w14:paraId="7729539A">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5BFD7C06">
            <w:pPr>
              <w:pStyle w:val="24"/>
              <w:numPr>
                <w:ilvl w:val="0"/>
                <w:numId w:val="0"/>
              </w:numPr>
              <w:jc w:val="center"/>
              <w:rPr>
                <w:rFonts w:hint="eastAsia"/>
                <w:lang w:val="en-US" w:eastAsia="zh-CN"/>
              </w:rPr>
            </w:pPr>
            <w:r>
              <w:rPr>
                <w:rFonts w:hint="eastAsia"/>
                <w:lang w:val="en-US" w:eastAsia="zh-CN"/>
              </w:rPr>
              <w:t>套</w:t>
            </w:r>
          </w:p>
        </w:tc>
        <w:tc>
          <w:tcPr>
            <w:tcW w:w="2250" w:type="dxa"/>
            <w:shd w:val="clear" w:color="auto" w:fill="auto"/>
            <w:noWrap w:val="0"/>
            <w:vAlign w:val="center"/>
          </w:tcPr>
          <w:p w14:paraId="27C4CD37">
            <w:pPr>
              <w:pStyle w:val="24"/>
              <w:numPr>
                <w:ilvl w:val="0"/>
                <w:numId w:val="0"/>
              </w:numPr>
              <w:jc w:val="center"/>
              <w:rPr>
                <w:rFonts w:hint="eastAsia"/>
                <w:lang w:val="en-US" w:eastAsia="zh-CN"/>
              </w:rPr>
            </w:pPr>
            <w:r>
              <w:rPr>
                <w:rFonts w:hint="eastAsia"/>
                <w:lang w:val="en-US" w:eastAsia="zh-CN"/>
              </w:rPr>
              <w:t>桥头胡站</w:t>
            </w:r>
          </w:p>
        </w:tc>
      </w:tr>
      <w:tr w14:paraId="34E0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noWrap w:val="0"/>
            <w:vAlign w:val="center"/>
          </w:tcPr>
          <w:p w14:paraId="7E3341D3">
            <w:pPr>
              <w:pStyle w:val="24"/>
              <w:numPr>
                <w:ilvl w:val="0"/>
                <w:numId w:val="0"/>
              </w:numPr>
              <w:jc w:val="center"/>
              <w:rPr>
                <w:rFonts w:hint="eastAsia"/>
                <w:lang w:val="en-US" w:eastAsia="zh-CN"/>
              </w:rPr>
            </w:pPr>
          </w:p>
        </w:tc>
        <w:tc>
          <w:tcPr>
            <w:tcW w:w="3471" w:type="dxa"/>
            <w:shd w:val="clear" w:color="auto" w:fill="auto"/>
            <w:noWrap w:val="0"/>
            <w:vAlign w:val="center"/>
          </w:tcPr>
          <w:p w14:paraId="7AF38D7A">
            <w:pPr>
              <w:pStyle w:val="24"/>
              <w:numPr>
                <w:ilvl w:val="0"/>
                <w:numId w:val="0"/>
              </w:numPr>
              <w:jc w:val="center"/>
              <w:rPr>
                <w:rFonts w:hint="eastAsia"/>
                <w:lang w:val="en-US" w:eastAsia="zh-CN"/>
              </w:rPr>
            </w:pPr>
            <w:r>
              <w:rPr>
                <w:rFonts w:hint="eastAsia"/>
                <w:lang w:val="en-US" w:eastAsia="zh-CN"/>
              </w:rPr>
              <w:t>推压副缸（1/2号机）</w:t>
            </w:r>
          </w:p>
        </w:tc>
        <w:tc>
          <w:tcPr>
            <w:tcW w:w="819" w:type="dxa"/>
            <w:shd w:val="clear" w:color="auto" w:fill="auto"/>
            <w:noWrap w:val="0"/>
            <w:vAlign w:val="center"/>
          </w:tcPr>
          <w:p w14:paraId="3EE726C1">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6679A938">
            <w:pPr>
              <w:pStyle w:val="24"/>
              <w:numPr>
                <w:ilvl w:val="0"/>
                <w:numId w:val="0"/>
              </w:numPr>
              <w:jc w:val="center"/>
              <w:rPr>
                <w:rFonts w:hint="eastAsia"/>
                <w:lang w:val="en-US" w:eastAsia="zh-CN"/>
              </w:rPr>
            </w:pPr>
            <w:r>
              <w:rPr>
                <w:rFonts w:hint="eastAsia"/>
                <w:lang w:val="en-US" w:eastAsia="zh-CN"/>
              </w:rPr>
              <w:t>套</w:t>
            </w:r>
          </w:p>
        </w:tc>
        <w:tc>
          <w:tcPr>
            <w:tcW w:w="2250" w:type="dxa"/>
            <w:shd w:val="clear" w:color="auto" w:fill="auto"/>
            <w:noWrap w:val="0"/>
            <w:vAlign w:val="center"/>
          </w:tcPr>
          <w:p w14:paraId="0906A388">
            <w:pPr>
              <w:pStyle w:val="24"/>
              <w:numPr>
                <w:ilvl w:val="0"/>
                <w:numId w:val="0"/>
              </w:numPr>
              <w:jc w:val="center"/>
              <w:rPr>
                <w:rFonts w:hint="eastAsia"/>
                <w:lang w:val="en-US" w:eastAsia="zh-CN"/>
              </w:rPr>
            </w:pPr>
            <w:r>
              <w:rPr>
                <w:rFonts w:hint="eastAsia"/>
                <w:lang w:val="en-US" w:eastAsia="zh-CN"/>
              </w:rPr>
              <w:t>桥头胡站</w:t>
            </w:r>
          </w:p>
        </w:tc>
      </w:tr>
      <w:tr w14:paraId="0C01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restart"/>
            <w:noWrap w:val="0"/>
            <w:vAlign w:val="center"/>
          </w:tcPr>
          <w:p w14:paraId="674AE44D">
            <w:pPr>
              <w:pStyle w:val="24"/>
              <w:numPr>
                <w:ilvl w:val="0"/>
                <w:numId w:val="0"/>
              </w:numPr>
              <w:jc w:val="center"/>
              <w:rPr>
                <w:rFonts w:hint="eastAsia"/>
                <w:lang w:val="en-US" w:eastAsia="zh-CN"/>
              </w:rPr>
            </w:pPr>
            <w:r>
              <w:rPr>
                <w:rFonts w:hint="eastAsia"/>
                <w:lang w:val="en-US" w:eastAsia="zh-CN"/>
              </w:rPr>
              <w:t>2</w:t>
            </w:r>
          </w:p>
        </w:tc>
        <w:tc>
          <w:tcPr>
            <w:tcW w:w="3471" w:type="dxa"/>
            <w:shd w:val="clear" w:color="auto" w:fill="auto"/>
            <w:noWrap w:val="0"/>
            <w:vAlign w:val="center"/>
          </w:tcPr>
          <w:p w14:paraId="2C8D5154">
            <w:pPr>
              <w:pStyle w:val="24"/>
              <w:numPr>
                <w:ilvl w:val="0"/>
                <w:numId w:val="0"/>
              </w:numPr>
              <w:jc w:val="center"/>
              <w:rPr>
                <w:rFonts w:hint="eastAsia"/>
                <w:lang w:val="en-US" w:eastAsia="zh-CN"/>
              </w:rPr>
            </w:pPr>
            <w:r>
              <w:rPr>
                <w:rFonts w:hint="eastAsia"/>
                <w:lang w:val="en-US" w:eastAsia="zh-CN"/>
              </w:rPr>
              <w:t>10T加盖箱体</w:t>
            </w:r>
          </w:p>
        </w:tc>
        <w:tc>
          <w:tcPr>
            <w:tcW w:w="819" w:type="dxa"/>
            <w:shd w:val="clear" w:color="auto" w:fill="auto"/>
            <w:noWrap w:val="0"/>
            <w:vAlign w:val="center"/>
          </w:tcPr>
          <w:p w14:paraId="6330CEC2">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5471562F">
            <w:pPr>
              <w:pStyle w:val="24"/>
              <w:numPr>
                <w:ilvl w:val="0"/>
                <w:numId w:val="0"/>
              </w:numPr>
              <w:jc w:val="center"/>
              <w:rPr>
                <w:rFonts w:hint="eastAsia"/>
                <w:lang w:val="en-US" w:eastAsia="zh-CN"/>
              </w:rPr>
            </w:pPr>
            <w:r>
              <w:rPr>
                <w:rFonts w:hint="eastAsia"/>
                <w:lang w:val="en-US" w:eastAsia="zh-CN"/>
              </w:rPr>
              <w:t>套</w:t>
            </w:r>
          </w:p>
        </w:tc>
        <w:tc>
          <w:tcPr>
            <w:tcW w:w="2250" w:type="dxa"/>
            <w:shd w:val="clear" w:color="auto" w:fill="auto"/>
            <w:noWrap w:val="0"/>
            <w:vAlign w:val="center"/>
          </w:tcPr>
          <w:p w14:paraId="5061ED4C">
            <w:pPr>
              <w:pStyle w:val="24"/>
              <w:numPr>
                <w:ilvl w:val="0"/>
                <w:numId w:val="0"/>
              </w:numPr>
              <w:jc w:val="center"/>
              <w:rPr>
                <w:rFonts w:hint="eastAsia"/>
                <w:lang w:val="en-US" w:eastAsia="zh-CN"/>
              </w:rPr>
            </w:pPr>
            <w:r>
              <w:rPr>
                <w:rFonts w:hint="eastAsia"/>
                <w:lang w:val="en-US" w:eastAsia="zh-CN"/>
              </w:rPr>
              <w:t>桐山路站</w:t>
            </w:r>
          </w:p>
        </w:tc>
      </w:tr>
      <w:tr w14:paraId="1BEF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noWrap w:val="0"/>
            <w:vAlign w:val="center"/>
          </w:tcPr>
          <w:p w14:paraId="1F6155F1">
            <w:pPr>
              <w:pStyle w:val="24"/>
              <w:numPr>
                <w:ilvl w:val="0"/>
                <w:numId w:val="0"/>
              </w:numPr>
              <w:jc w:val="center"/>
              <w:rPr>
                <w:rFonts w:hint="eastAsia"/>
                <w:lang w:val="en-US" w:eastAsia="zh-CN"/>
              </w:rPr>
            </w:pPr>
          </w:p>
        </w:tc>
        <w:tc>
          <w:tcPr>
            <w:tcW w:w="3471" w:type="dxa"/>
            <w:shd w:val="clear" w:color="auto" w:fill="auto"/>
            <w:noWrap w:val="0"/>
            <w:vAlign w:val="center"/>
          </w:tcPr>
          <w:p w14:paraId="479C8745">
            <w:pPr>
              <w:pStyle w:val="24"/>
              <w:numPr>
                <w:ilvl w:val="0"/>
                <w:numId w:val="0"/>
              </w:numPr>
              <w:jc w:val="center"/>
              <w:rPr>
                <w:rFonts w:hint="eastAsia"/>
                <w:lang w:val="en-US" w:eastAsia="zh-CN"/>
              </w:rPr>
            </w:pPr>
            <w:r>
              <w:rPr>
                <w:rFonts w:hint="eastAsia"/>
                <w:lang w:val="en-US" w:eastAsia="zh-CN"/>
              </w:rPr>
              <w:t>整机油管更换</w:t>
            </w:r>
          </w:p>
        </w:tc>
        <w:tc>
          <w:tcPr>
            <w:tcW w:w="819" w:type="dxa"/>
            <w:shd w:val="clear" w:color="auto" w:fill="auto"/>
            <w:noWrap w:val="0"/>
            <w:vAlign w:val="center"/>
          </w:tcPr>
          <w:p w14:paraId="46464E7D">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42EFDE4C">
            <w:pPr>
              <w:pStyle w:val="24"/>
              <w:numPr>
                <w:ilvl w:val="0"/>
                <w:numId w:val="0"/>
              </w:numPr>
              <w:jc w:val="center"/>
              <w:rPr>
                <w:rFonts w:hint="eastAsia"/>
                <w:lang w:val="en-US" w:eastAsia="zh-CN"/>
              </w:rPr>
            </w:pPr>
            <w:r>
              <w:rPr>
                <w:rFonts w:hint="eastAsia"/>
                <w:lang w:val="en-US" w:eastAsia="zh-CN"/>
              </w:rPr>
              <w:t>套</w:t>
            </w:r>
          </w:p>
        </w:tc>
        <w:tc>
          <w:tcPr>
            <w:tcW w:w="2250" w:type="dxa"/>
            <w:shd w:val="clear" w:color="auto" w:fill="auto"/>
            <w:noWrap w:val="0"/>
            <w:vAlign w:val="center"/>
          </w:tcPr>
          <w:p w14:paraId="3CC63507">
            <w:pPr>
              <w:pStyle w:val="24"/>
              <w:numPr>
                <w:ilvl w:val="0"/>
                <w:numId w:val="0"/>
              </w:numPr>
              <w:jc w:val="center"/>
              <w:rPr>
                <w:rFonts w:hint="eastAsia"/>
                <w:lang w:val="en-US" w:eastAsia="zh-CN"/>
              </w:rPr>
            </w:pPr>
            <w:r>
              <w:rPr>
                <w:rFonts w:hint="eastAsia"/>
                <w:lang w:val="en-US" w:eastAsia="zh-CN"/>
              </w:rPr>
              <w:t>桐山路站</w:t>
            </w:r>
          </w:p>
        </w:tc>
      </w:tr>
      <w:tr w14:paraId="6316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noWrap w:val="0"/>
            <w:vAlign w:val="center"/>
          </w:tcPr>
          <w:p w14:paraId="4E3EB360">
            <w:pPr>
              <w:pStyle w:val="24"/>
              <w:numPr>
                <w:ilvl w:val="0"/>
                <w:numId w:val="0"/>
              </w:numPr>
              <w:jc w:val="center"/>
              <w:rPr>
                <w:rFonts w:hint="eastAsia"/>
                <w:lang w:val="en-US" w:eastAsia="zh-CN"/>
              </w:rPr>
            </w:pPr>
          </w:p>
        </w:tc>
        <w:tc>
          <w:tcPr>
            <w:tcW w:w="3471" w:type="dxa"/>
            <w:shd w:val="clear" w:color="auto" w:fill="auto"/>
            <w:noWrap w:val="0"/>
            <w:vAlign w:val="center"/>
          </w:tcPr>
          <w:p w14:paraId="6B55BD81">
            <w:pPr>
              <w:pStyle w:val="24"/>
              <w:numPr>
                <w:ilvl w:val="0"/>
                <w:numId w:val="0"/>
              </w:numPr>
              <w:jc w:val="center"/>
              <w:rPr>
                <w:rFonts w:hint="eastAsia"/>
                <w:lang w:val="en-US" w:eastAsia="zh-CN"/>
              </w:rPr>
            </w:pPr>
            <w:r>
              <w:rPr>
                <w:rFonts w:hint="eastAsia"/>
                <w:lang w:val="en-US" w:eastAsia="zh-CN"/>
              </w:rPr>
              <w:t>举升油缸（1号机）</w:t>
            </w:r>
          </w:p>
        </w:tc>
        <w:tc>
          <w:tcPr>
            <w:tcW w:w="819" w:type="dxa"/>
            <w:shd w:val="clear" w:color="auto" w:fill="auto"/>
            <w:noWrap w:val="0"/>
            <w:vAlign w:val="center"/>
          </w:tcPr>
          <w:p w14:paraId="44A39E38">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1F102114">
            <w:pPr>
              <w:pStyle w:val="24"/>
              <w:numPr>
                <w:ilvl w:val="0"/>
                <w:numId w:val="0"/>
              </w:numPr>
              <w:jc w:val="center"/>
              <w:rPr>
                <w:rFonts w:hint="eastAsia"/>
                <w:lang w:val="en-US" w:eastAsia="zh-CN"/>
              </w:rPr>
            </w:pPr>
            <w:r>
              <w:rPr>
                <w:rFonts w:hint="eastAsia"/>
                <w:lang w:val="en-US" w:eastAsia="zh-CN"/>
              </w:rPr>
              <w:t>套</w:t>
            </w:r>
          </w:p>
        </w:tc>
        <w:tc>
          <w:tcPr>
            <w:tcW w:w="2250" w:type="dxa"/>
            <w:shd w:val="clear" w:color="auto" w:fill="auto"/>
            <w:noWrap w:val="0"/>
            <w:vAlign w:val="center"/>
          </w:tcPr>
          <w:p w14:paraId="43CF4392">
            <w:pPr>
              <w:pStyle w:val="24"/>
              <w:numPr>
                <w:ilvl w:val="0"/>
                <w:numId w:val="0"/>
              </w:numPr>
              <w:jc w:val="center"/>
              <w:rPr>
                <w:rFonts w:hint="eastAsia"/>
                <w:lang w:val="en-US" w:eastAsia="zh-CN"/>
              </w:rPr>
            </w:pPr>
            <w:r>
              <w:rPr>
                <w:rFonts w:hint="eastAsia"/>
                <w:lang w:val="en-US" w:eastAsia="zh-CN"/>
              </w:rPr>
              <w:t>桐山路站</w:t>
            </w:r>
          </w:p>
        </w:tc>
      </w:tr>
      <w:tr w14:paraId="6ED1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73" w:type="dxa"/>
            <w:vMerge w:val="continue"/>
            <w:noWrap w:val="0"/>
            <w:vAlign w:val="center"/>
          </w:tcPr>
          <w:p w14:paraId="70B366DC">
            <w:pPr>
              <w:pStyle w:val="24"/>
              <w:numPr>
                <w:ilvl w:val="0"/>
                <w:numId w:val="0"/>
              </w:numPr>
              <w:jc w:val="center"/>
              <w:rPr>
                <w:rFonts w:hint="eastAsia"/>
                <w:lang w:val="en-US" w:eastAsia="zh-CN"/>
              </w:rPr>
            </w:pPr>
          </w:p>
        </w:tc>
        <w:tc>
          <w:tcPr>
            <w:tcW w:w="3471" w:type="dxa"/>
            <w:shd w:val="clear" w:color="auto" w:fill="auto"/>
            <w:noWrap w:val="0"/>
            <w:vAlign w:val="center"/>
          </w:tcPr>
          <w:p w14:paraId="010C1B3A">
            <w:pPr>
              <w:pStyle w:val="24"/>
              <w:numPr>
                <w:ilvl w:val="0"/>
                <w:numId w:val="0"/>
              </w:numPr>
              <w:jc w:val="center"/>
              <w:rPr>
                <w:rFonts w:hint="eastAsia"/>
                <w:lang w:val="en-US" w:eastAsia="zh-CN"/>
              </w:rPr>
            </w:pPr>
            <w:r>
              <w:rPr>
                <w:rFonts w:hint="eastAsia"/>
                <w:lang w:val="en-US" w:eastAsia="zh-CN"/>
              </w:rPr>
              <w:t>液压泵阀元件</w:t>
            </w:r>
          </w:p>
        </w:tc>
        <w:tc>
          <w:tcPr>
            <w:tcW w:w="819" w:type="dxa"/>
            <w:shd w:val="clear" w:color="auto" w:fill="auto"/>
            <w:noWrap w:val="0"/>
            <w:vAlign w:val="center"/>
          </w:tcPr>
          <w:p w14:paraId="240A391B">
            <w:pPr>
              <w:pStyle w:val="24"/>
              <w:numPr>
                <w:ilvl w:val="0"/>
                <w:numId w:val="0"/>
              </w:numPr>
              <w:jc w:val="center"/>
              <w:rPr>
                <w:rFonts w:hint="eastAsia"/>
                <w:lang w:val="en-US" w:eastAsia="zh-CN"/>
              </w:rPr>
            </w:pPr>
            <w:r>
              <w:rPr>
                <w:rFonts w:hint="eastAsia"/>
                <w:lang w:val="en-US" w:eastAsia="zh-CN"/>
              </w:rPr>
              <w:t>1</w:t>
            </w:r>
          </w:p>
        </w:tc>
        <w:tc>
          <w:tcPr>
            <w:tcW w:w="766" w:type="dxa"/>
            <w:shd w:val="clear" w:color="auto" w:fill="auto"/>
            <w:noWrap w:val="0"/>
            <w:vAlign w:val="center"/>
          </w:tcPr>
          <w:p w14:paraId="05FB7DAE">
            <w:pPr>
              <w:pStyle w:val="24"/>
              <w:numPr>
                <w:ilvl w:val="0"/>
                <w:numId w:val="0"/>
              </w:numPr>
              <w:jc w:val="center"/>
              <w:rPr>
                <w:rFonts w:hint="eastAsia"/>
                <w:lang w:val="en-US" w:eastAsia="zh-CN"/>
              </w:rPr>
            </w:pPr>
            <w:r>
              <w:rPr>
                <w:rFonts w:hint="eastAsia"/>
                <w:lang w:val="en-US" w:eastAsia="zh-CN"/>
              </w:rPr>
              <w:t>套</w:t>
            </w:r>
          </w:p>
        </w:tc>
        <w:tc>
          <w:tcPr>
            <w:tcW w:w="2250" w:type="dxa"/>
            <w:shd w:val="clear" w:color="auto" w:fill="auto"/>
            <w:noWrap w:val="0"/>
            <w:vAlign w:val="center"/>
          </w:tcPr>
          <w:p w14:paraId="0BDD2082">
            <w:pPr>
              <w:pStyle w:val="24"/>
              <w:numPr>
                <w:ilvl w:val="0"/>
                <w:numId w:val="0"/>
              </w:numPr>
              <w:jc w:val="center"/>
              <w:rPr>
                <w:rFonts w:hint="eastAsia"/>
                <w:lang w:val="en-US" w:eastAsia="zh-CN"/>
              </w:rPr>
            </w:pPr>
            <w:r>
              <w:rPr>
                <w:rFonts w:hint="eastAsia"/>
                <w:lang w:val="en-US" w:eastAsia="zh-CN"/>
              </w:rPr>
              <w:t>桐山路站</w:t>
            </w:r>
          </w:p>
        </w:tc>
      </w:tr>
      <w:tr w14:paraId="6CEB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73" w:type="dxa"/>
            <w:vMerge w:val="continue"/>
            <w:noWrap w:val="0"/>
            <w:vAlign w:val="center"/>
          </w:tcPr>
          <w:p w14:paraId="5B472D59">
            <w:pPr>
              <w:pStyle w:val="24"/>
              <w:numPr>
                <w:ilvl w:val="0"/>
                <w:numId w:val="0"/>
              </w:numPr>
              <w:jc w:val="center"/>
              <w:rPr>
                <w:rFonts w:hint="eastAsia"/>
                <w:lang w:val="en-US" w:eastAsia="zh-CN"/>
              </w:rPr>
            </w:pPr>
          </w:p>
        </w:tc>
        <w:tc>
          <w:tcPr>
            <w:tcW w:w="3471" w:type="dxa"/>
            <w:shd w:val="clear" w:color="auto" w:fill="auto"/>
            <w:noWrap w:val="0"/>
            <w:vAlign w:val="center"/>
          </w:tcPr>
          <w:p w14:paraId="3C7F2E2D">
            <w:pPr>
              <w:pStyle w:val="24"/>
              <w:numPr>
                <w:ilvl w:val="0"/>
                <w:numId w:val="0"/>
              </w:numPr>
              <w:jc w:val="center"/>
              <w:rPr>
                <w:rFonts w:hint="eastAsia"/>
                <w:lang w:val="en-US" w:eastAsia="zh-CN"/>
              </w:rPr>
            </w:pPr>
            <w:r>
              <w:rPr>
                <w:rFonts w:hint="eastAsia"/>
                <w:lang w:val="en-US" w:eastAsia="zh-CN"/>
              </w:rPr>
              <w:t>举升油缸（2号机）</w:t>
            </w:r>
          </w:p>
        </w:tc>
        <w:tc>
          <w:tcPr>
            <w:tcW w:w="819" w:type="dxa"/>
            <w:shd w:val="clear" w:color="auto" w:fill="auto"/>
            <w:noWrap w:val="0"/>
            <w:vAlign w:val="center"/>
          </w:tcPr>
          <w:p w14:paraId="60E03E80">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064AF00B">
            <w:pPr>
              <w:pStyle w:val="24"/>
              <w:numPr>
                <w:ilvl w:val="0"/>
                <w:numId w:val="0"/>
              </w:numPr>
              <w:jc w:val="center"/>
              <w:rPr>
                <w:rFonts w:hint="eastAsia"/>
                <w:lang w:val="en-US" w:eastAsia="zh-CN"/>
              </w:rPr>
            </w:pPr>
            <w:r>
              <w:rPr>
                <w:rFonts w:hint="eastAsia"/>
                <w:lang w:val="en-US" w:eastAsia="zh-CN"/>
              </w:rPr>
              <w:t>套</w:t>
            </w:r>
          </w:p>
        </w:tc>
        <w:tc>
          <w:tcPr>
            <w:tcW w:w="2250" w:type="dxa"/>
            <w:shd w:val="clear" w:color="auto" w:fill="auto"/>
            <w:noWrap w:val="0"/>
            <w:vAlign w:val="center"/>
          </w:tcPr>
          <w:p w14:paraId="32ECF986">
            <w:pPr>
              <w:pStyle w:val="24"/>
              <w:numPr>
                <w:ilvl w:val="0"/>
                <w:numId w:val="0"/>
              </w:numPr>
              <w:jc w:val="center"/>
              <w:rPr>
                <w:rFonts w:hint="eastAsia"/>
                <w:lang w:val="en-US" w:eastAsia="zh-CN"/>
              </w:rPr>
            </w:pPr>
            <w:r>
              <w:rPr>
                <w:rFonts w:hint="eastAsia"/>
                <w:lang w:val="en-US" w:eastAsia="zh-CN"/>
              </w:rPr>
              <w:t>桐山路站</w:t>
            </w:r>
          </w:p>
        </w:tc>
      </w:tr>
      <w:tr w14:paraId="0A10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3" w:type="dxa"/>
            <w:vMerge w:val="restart"/>
            <w:noWrap w:val="0"/>
            <w:vAlign w:val="center"/>
          </w:tcPr>
          <w:p w14:paraId="2F3A8200">
            <w:pPr>
              <w:pStyle w:val="24"/>
              <w:numPr>
                <w:ilvl w:val="0"/>
                <w:numId w:val="0"/>
              </w:numPr>
              <w:jc w:val="center"/>
              <w:rPr>
                <w:rFonts w:hint="eastAsia"/>
                <w:lang w:val="en-US" w:eastAsia="zh-CN"/>
              </w:rPr>
            </w:pPr>
            <w:r>
              <w:rPr>
                <w:rFonts w:hint="eastAsia"/>
                <w:lang w:val="en-US" w:eastAsia="zh-CN"/>
              </w:rPr>
              <w:t>3</w:t>
            </w:r>
          </w:p>
        </w:tc>
        <w:tc>
          <w:tcPr>
            <w:tcW w:w="3471" w:type="dxa"/>
            <w:shd w:val="clear" w:color="auto" w:fill="auto"/>
            <w:noWrap w:val="0"/>
            <w:vAlign w:val="center"/>
          </w:tcPr>
          <w:p w14:paraId="3A0351A0">
            <w:pPr>
              <w:pStyle w:val="24"/>
              <w:numPr>
                <w:ilvl w:val="0"/>
                <w:numId w:val="0"/>
              </w:numPr>
              <w:jc w:val="center"/>
              <w:rPr>
                <w:rFonts w:hint="eastAsia"/>
                <w:lang w:val="en-US" w:eastAsia="zh-CN"/>
              </w:rPr>
            </w:pPr>
            <w:r>
              <w:rPr>
                <w:rFonts w:hint="eastAsia"/>
                <w:lang w:val="en-US" w:eastAsia="zh-CN"/>
              </w:rPr>
              <w:t>10T加盖箱体</w:t>
            </w:r>
          </w:p>
        </w:tc>
        <w:tc>
          <w:tcPr>
            <w:tcW w:w="819" w:type="dxa"/>
            <w:shd w:val="clear" w:color="auto" w:fill="auto"/>
            <w:noWrap w:val="0"/>
            <w:vAlign w:val="center"/>
          </w:tcPr>
          <w:p w14:paraId="2DD9C4F5">
            <w:pPr>
              <w:pStyle w:val="24"/>
              <w:numPr>
                <w:ilvl w:val="0"/>
                <w:numId w:val="0"/>
              </w:numPr>
              <w:jc w:val="center"/>
              <w:rPr>
                <w:rFonts w:hint="eastAsia"/>
                <w:lang w:val="en-US" w:eastAsia="zh-CN"/>
              </w:rPr>
            </w:pPr>
            <w:r>
              <w:rPr>
                <w:rFonts w:hint="eastAsia"/>
                <w:lang w:val="en-US" w:eastAsia="zh-CN"/>
              </w:rPr>
              <w:t>1</w:t>
            </w:r>
          </w:p>
        </w:tc>
        <w:tc>
          <w:tcPr>
            <w:tcW w:w="766" w:type="dxa"/>
            <w:shd w:val="clear" w:color="auto" w:fill="auto"/>
            <w:noWrap w:val="0"/>
            <w:vAlign w:val="center"/>
          </w:tcPr>
          <w:p w14:paraId="37746DBE">
            <w:pPr>
              <w:pStyle w:val="24"/>
              <w:numPr>
                <w:ilvl w:val="0"/>
                <w:numId w:val="0"/>
              </w:numPr>
              <w:jc w:val="center"/>
              <w:rPr>
                <w:rFonts w:hint="eastAsia"/>
                <w:lang w:val="en-US" w:eastAsia="zh-CN"/>
              </w:rPr>
            </w:pPr>
            <w:r>
              <w:rPr>
                <w:rFonts w:hint="eastAsia"/>
                <w:lang w:val="en-US" w:eastAsia="zh-CN"/>
              </w:rPr>
              <w:t>套</w:t>
            </w:r>
          </w:p>
        </w:tc>
        <w:tc>
          <w:tcPr>
            <w:tcW w:w="2250" w:type="dxa"/>
            <w:shd w:val="clear" w:color="auto" w:fill="auto"/>
            <w:noWrap w:val="0"/>
            <w:vAlign w:val="center"/>
          </w:tcPr>
          <w:p w14:paraId="4BE2DC19">
            <w:pPr>
              <w:pStyle w:val="24"/>
              <w:numPr>
                <w:ilvl w:val="0"/>
                <w:numId w:val="0"/>
              </w:numPr>
              <w:jc w:val="center"/>
              <w:rPr>
                <w:rFonts w:hint="eastAsia"/>
                <w:lang w:val="en-US" w:eastAsia="zh-CN"/>
              </w:rPr>
            </w:pPr>
            <w:r>
              <w:rPr>
                <w:rFonts w:hint="eastAsia"/>
                <w:lang w:val="en-US" w:eastAsia="zh-CN"/>
              </w:rPr>
              <w:t>湖东站</w:t>
            </w:r>
          </w:p>
        </w:tc>
      </w:tr>
      <w:tr w14:paraId="6B4D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3" w:type="dxa"/>
            <w:vMerge w:val="continue"/>
            <w:noWrap w:val="0"/>
            <w:vAlign w:val="center"/>
          </w:tcPr>
          <w:p w14:paraId="6B583FF9">
            <w:pPr>
              <w:pStyle w:val="24"/>
              <w:numPr>
                <w:ilvl w:val="0"/>
                <w:numId w:val="0"/>
              </w:numPr>
              <w:jc w:val="center"/>
              <w:rPr>
                <w:rFonts w:hint="eastAsia"/>
                <w:lang w:val="en-US" w:eastAsia="zh-CN"/>
              </w:rPr>
            </w:pPr>
          </w:p>
        </w:tc>
        <w:tc>
          <w:tcPr>
            <w:tcW w:w="3471" w:type="dxa"/>
            <w:shd w:val="clear" w:color="auto" w:fill="auto"/>
            <w:noWrap w:val="0"/>
            <w:vAlign w:val="center"/>
          </w:tcPr>
          <w:p w14:paraId="5E5374B3">
            <w:pPr>
              <w:pStyle w:val="24"/>
              <w:numPr>
                <w:ilvl w:val="0"/>
                <w:numId w:val="0"/>
              </w:numPr>
              <w:jc w:val="center"/>
              <w:rPr>
                <w:rFonts w:hint="eastAsia"/>
                <w:lang w:val="en-US" w:eastAsia="zh-CN"/>
              </w:rPr>
            </w:pPr>
            <w:r>
              <w:rPr>
                <w:rFonts w:hint="eastAsia"/>
                <w:lang w:val="en-US" w:eastAsia="zh-CN"/>
              </w:rPr>
              <w:t>推压副缸（2号机）</w:t>
            </w:r>
          </w:p>
        </w:tc>
        <w:tc>
          <w:tcPr>
            <w:tcW w:w="819" w:type="dxa"/>
            <w:shd w:val="clear" w:color="auto" w:fill="auto"/>
            <w:noWrap w:val="0"/>
            <w:vAlign w:val="center"/>
          </w:tcPr>
          <w:p w14:paraId="6381CC45">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29C5947E">
            <w:pPr>
              <w:pStyle w:val="24"/>
              <w:numPr>
                <w:ilvl w:val="0"/>
                <w:numId w:val="0"/>
              </w:numPr>
              <w:jc w:val="center"/>
              <w:rPr>
                <w:rFonts w:hint="eastAsia"/>
                <w:lang w:val="en-US" w:eastAsia="zh-CN"/>
              </w:rPr>
            </w:pPr>
            <w:r>
              <w:rPr>
                <w:rFonts w:hint="eastAsia"/>
                <w:lang w:val="en-US" w:eastAsia="zh-CN"/>
              </w:rPr>
              <w:t>套</w:t>
            </w:r>
          </w:p>
        </w:tc>
        <w:tc>
          <w:tcPr>
            <w:tcW w:w="2250" w:type="dxa"/>
            <w:shd w:val="clear" w:color="auto" w:fill="auto"/>
            <w:noWrap w:val="0"/>
            <w:vAlign w:val="center"/>
          </w:tcPr>
          <w:p w14:paraId="24F8CE2D">
            <w:pPr>
              <w:pStyle w:val="24"/>
              <w:numPr>
                <w:ilvl w:val="0"/>
                <w:numId w:val="0"/>
              </w:numPr>
              <w:jc w:val="center"/>
              <w:rPr>
                <w:rFonts w:hint="eastAsia"/>
                <w:lang w:val="en-US" w:eastAsia="zh-CN"/>
              </w:rPr>
            </w:pPr>
            <w:r>
              <w:rPr>
                <w:rFonts w:hint="eastAsia"/>
                <w:lang w:val="en-US" w:eastAsia="zh-CN"/>
              </w:rPr>
              <w:t>湖东站</w:t>
            </w:r>
          </w:p>
        </w:tc>
      </w:tr>
      <w:tr w14:paraId="3176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3" w:type="dxa"/>
            <w:vMerge w:val="continue"/>
            <w:noWrap w:val="0"/>
            <w:vAlign w:val="center"/>
          </w:tcPr>
          <w:p w14:paraId="4FF9E36A">
            <w:pPr>
              <w:pStyle w:val="24"/>
              <w:numPr>
                <w:ilvl w:val="0"/>
                <w:numId w:val="0"/>
              </w:numPr>
              <w:jc w:val="center"/>
              <w:rPr>
                <w:rFonts w:hint="eastAsia"/>
                <w:lang w:val="en-US" w:eastAsia="zh-CN"/>
              </w:rPr>
            </w:pPr>
          </w:p>
        </w:tc>
        <w:tc>
          <w:tcPr>
            <w:tcW w:w="3471" w:type="dxa"/>
            <w:shd w:val="clear" w:color="auto" w:fill="auto"/>
            <w:noWrap w:val="0"/>
            <w:vAlign w:val="center"/>
          </w:tcPr>
          <w:p w14:paraId="00C30FB7">
            <w:pPr>
              <w:pStyle w:val="24"/>
              <w:numPr>
                <w:ilvl w:val="0"/>
                <w:numId w:val="0"/>
              </w:numPr>
              <w:jc w:val="center"/>
              <w:rPr>
                <w:rFonts w:hint="eastAsia"/>
                <w:lang w:val="en-US" w:eastAsia="zh-CN"/>
              </w:rPr>
            </w:pPr>
            <w:r>
              <w:rPr>
                <w:rFonts w:hint="eastAsia"/>
                <w:lang w:val="en-US" w:eastAsia="zh-CN"/>
              </w:rPr>
              <w:t>举升油缸（1号机）</w:t>
            </w:r>
          </w:p>
        </w:tc>
        <w:tc>
          <w:tcPr>
            <w:tcW w:w="819" w:type="dxa"/>
            <w:shd w:val="clear" w:color="auto" w:fill="auto"/>
            <w:noWrap w:val="0"/>
            <w:vAlign w:val="center"/>
          </w:tcPr>
          <w:p w14:paraId="6F64E9E5">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57ADD162">
            <w:pPr>
              <w:pStyle w:val="24"/>
              <w:numPr>
                <w:ilvl w:val="0"/>
                <w:numId w:val="0"/>
              </w:numPr>
              <w:jc w:val="center"/>
              <w:rPr>
                <w:rFonts w:hint="eastAsia"/>
                <w:lang w:val="en-US" w:eastAsia="zh-CN"/>
              </w:rPr>
            </w:pPr>
            <w:r>
              <w:rPr>
                <w:rFonts w:hint="eastAsia"/>
                <w:lang w:val="en-US" w:eastAsia="zh-CN"/>
              </w:rPr>
              <w:t>根</w:t>
            </w:r>
          </w:p>
        </w:tc>
        <w:tc>
          <w:tcPr>
            <w:tcW w:w="2250" w:type="dxa"/>
            <w:shd w:val="clear" w:color="auto" w:fill="auto"/>
            <w:noWrap w:val="0"/>
            <w:vAlign w:val="center"/>
          </w:tcPr>
          <w:p w14:paraId="19E62490">
            <w:pPr>
              <w:pStyle w:val="24"/>
              <w:numPr>
                <w:ilvl w:val="0"/>
                <w:numId w:val="0"/>
              </w:numPr>
              <w:jc w:val="center"/>
              <w:rPr>
                <w:rFonts w:hint="eastAsia"/>
                <w:lang w:val="en-US" w:eastAsia="zh-CN"/>
              </w:rPr>
            </w:pPr>
            <w:r>
              <w:rPr>
                <w:rFonts w:hint="eastAsia"/>
                <w:lang w:val="en-US" w:eastAsia="zh-CN"/>
              </w:rPr>
              <w:t>湖东站</w:t>
            </w:r>
          </w:p>
        </w:tc>
      </w:tr>
      <w:tr w14:paraId="00DC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3" w:type="dxa"/>
            <w:vMerge w:val="continue"/>
            <w:noWrap w:val="0"/>
            <w:vAlign w:val="center"/>
          </w:tcPr>
          <w:p w14:paraId="72C1C924">
            <w:pPr>
              <w:pStyle w:val="24"/>
              <w:numPr>
                <w:ilvl w:val="0"/>
                <w:numId w:val="0"/>
              </w:numPr>
              <w:jc w:val="center"/>
              <w:rPr>
                <w:rFonts w:hint="eastAsia"/>
                <w:lang w:val="en-US" w:eastAsia="zh-CN"/>
              </w:rPr>
            </w:pPr>
          </w:p>
        </w:tc>
        <w:tc>
          <w:tcPr>
            <w:tcW w:w="3471" w:type="dxa"/>
            <w:shd w:val="clear" w:color="auto" w:fill="auto"/>
            <w:noWrap w:val="0"/>
            <w:vAlign w:val="center"/>
          </w:tcPr>
          <w:p w14:paraId="2377AC93">
            <w:pPr>
              <w:pStyle w:val="24"/>
              <w:numPr>
                <w:ilvl w:val="0"/>
                <w:numId w:val="0"/>
              </w:numPr>
              <w:jc w:val="center"/>
              <w:rPr>
                <w:rFonts w:hint="eastAsia"/>
                <w:lang w:val="en-US" w:eastAsia="zh-CN"/>
              </w:rPr>
            </w:pPr>
            <w:r>
              <w:rPr>
                <w:rFonts w:hint="eastAsia"/>
                <w:lang w:val="en-US" w:eastAsia="zh-CN"/>
              </w:rPr>
              <w:t>举升油缸（2号机）</w:t>
            </w:r>
          </w:p>
        </w:tc>
        <w:tc>
          <w:tcPr>
            <w:tcW w:w="819" w:type="dxa"/>
            <w:shd w:val="clear" w:color="auto" w:fill="auto"/>
            <w:noWrap w:val="0"/>
            <w:vAlign w:val="center"/>
          </w:tcPr>
          <w:p w14:paraId="7833DFA0">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388AA825">
            <w:pPr>
              <w:pStyle w:val="24"/>
              <w:numPr>
                <w:ilvl w:val="0"/>
                <w:numId w:val="0"/>
              </w:numPr>
              <w:jc w:val="center"/>
              <w:rPr>
                <w:rFonts w:hint="eastAsia"/>
                <w:lang w:val="en-US" w:eastAsia="zh-CN"/>
              </w:rPr>
            </w:pPr>
            <w:r>
              <w:rPr>
                <w:rFonts w:hint="eastAsia"/>
                <w:lang w:val="en-US" w:eastAsia="zh-CN"/>
              </w:rPr>
              <w:t>根</w:t>
            </w:r>
          </w:p>
        </w:tc>
        <w:tc>
          <w:tcPr>
            <w:tcW w:w="2250" w:type="dxa"/>
            <w:shd w:val="clear" w:color="auto" w:fill="auto"/>
            <w:noWrap w:val="0"/>
            <w:vAlign w:val="center"/>
          </w:tcPr>
          <w:p w14:paraId="4CA64A68">
            <w:pPr>
              <w:pStyle w:val="24"/>
              <w:numPr>
                <w:ilvl w:val="0"/>
                <w:numId w:val="0"/>
              </w:numPr>
              <w:jc w:val="center"/>
              <w:rPr>
                <w:rFonts w:hint="eastAsia"/>
                <w:lang w:val="en-US" w:eastAsia="zh-CN"/>
              </w:rPr>
            </w:pPr>
            <w:r>
              <w:rPr>
                <w:rFonts w:hint="eastAsia"/>
                <w:lang w:val="en-US" w:eastAsia="zh-CN"/>
              </w:rPr>
              <w:t>湖东站</w:t>
            </w:r>
          </w:p>
        </w:tc>
      </w:tr>
      <w:tr w14:paraId="418F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3" w:type="dxa"/>
            <w:vMerge w:val="continue"/>
            <w:noWrap w:val="0"/>
            <w:vAlign w:val="center"/>
          </w:tcPr>
          <w:p w14:paraId="0E3F65FC">
            <w:pPr>
              <w:pStyle w:val="24"/>
              <w:numPr>
                <w:ilvl w:val="0"/>
                <w:numId w:val="0"/>
              </w:numPr>
              <w:jc w:val="center"/>
              <w:rPr>
                <w:rFonts w:hint="eastAsia"/>
                <w:lang w:val="en-US" w:eastAsia="zh-CN"/>
              </w:rPr>
            </w:pPr>
          </w:p>
        </w:tc>
        <w:tc>
          <w:tcPr>
            <w:tcW w:w="3471" w:type="dxa"/>
            <w:shd w:val="clear" w:color="auto" w:fill="auto"/>
            <w:noWrap w:val="0"/>
            <w:vAlign w:val="center"/>
          </w:tcPr>
          <w:p w14:paraId="086D97CC">
            <w:pPr>
              <w:pStyle w:val="24"/>
              <w:numPr>
                <w:ilvl w:val="0"/>
                <w:numId w:val="0"/>
              </w:numPr>
              <w:jc w:val="center"/>
              <w:rPr>
                <w:rFonts w:hint="eastAsia"/>
                <w:lang w:val="en-US" w:eastAsia="zh-CN"/>
              </w:rPr>
            </w:pPr>
            <w:r>
              <w:rPr>
                <w:rFonts w:hint="eastAsia"/>
                <w:lang w:val="en-US" w:eastAsia="zh-CN"/>
              </w:rPr>
              <w:t>钢铝坦克链总成</w:t>
            </w:r>
          </w:p>
        </w:tc>
        <w:tc>
          <w:tcPr>
            <w:tcW w:w="819" w:type="dxa"/>
            <w:shd w:val="clear" w:color="auto" w:fill="auto"/>
            <w:noWrap w:val="0"/>
            <w:vAlign w:val="center"/>
          </w:tcPr>
          <w:p w14:paraId="0199D2DC">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2200B2F8">
            <w:pPr>
              <w:pStyle w:val="24"/>
              <w:numPr>
                <w:ilvl w:val="0"/>
                <w:numId w:val="0"/>
              </w:numPr>
              <w:jc w:val="center"/>
              <w:rPr>
                <w:rFonts w:hint="eastAsia"/>
                <w:lang w:val="en-US" w:eastAsia="zh-CN"/>
              </w:rPr>
            </w:pPr>
            <w:r>
              <w:rPr>
                <w:rFonts w:hint="eastAsia"/>
                <w:lang w:val="en-US" w:eastAsia="zh-CN"/>
              </w:rPr>
              <w:t>套</w:t>
            </w:r>
          </w:p>
        </w:tc>
        <w:tc>
          <w:tcPr>
            <w:tcW w:w="2250" w:type="dxa"/>
            <w:shd w:val="clear" w:color="auto" w:fill="auto"/>
            <w:noWrap w:val="0"/>
            <w:vAlign w:val="center"/>
          </w:tcPr>
          <w:p w14:paraId="5640A129">
            <w:pPr>
              <w:pStyle w:val="24"/>
              <w:numPr>
                <w:ilvl w:val="0"/>
                <w:numId w:val="0"/>
              </w:numPr>
              <w:jc w:val="center"/>
              <w:rPr>
                <w:rFonts w:hint="eastAsia"/>
                <w:lang w:val="en-US" w:eastAsia="zh-CN"/>
              </w:rPr>
            </w:pPr>
            <w:r>
              <w:rPr>
                <w:rFonts w:hint="eastAsia"/>
                <w:lang w:val="en-US" w:eastAsia="zh-CN"/>
              </w:rPr>
              <w:t>湖东站</w:t>
            </w:r>
          </w:p>
        </w:tc>
      </w:tr>
      <w:tr w14:paraId="1ACD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3" w:type="dxa"/>
            <w:vMerge w:val="continue"/>
            <w:noWrap w:val="0"/>
            <w:vAlign w:val="center"/>
          </w:tcPr>
          <w:p w14:paraId="49474A95">
            <w:pPr>
              <w:pStyle w:val="24"/>
              <w:numPr>
                <w:ilvl w:val="0"/>
                <w:numId w:val="0"/>
              </w:numPr>
              <w:jc w:val="center"/>
              <w:rPr>
                <w:rFonts w:hint="eastAsia"/>
                <w:lang w:val="en-US" w:eastAsia="zh-CN"/>
              </w:rPr>
            </w:pPr>
          </w:p>
        </w:tc>
        <w:tc>
          <w:tcPr>
            <w:tcW w:w="3471" w:type="dxa"/>
            <w:shd w:val="clear" w:color="auto" w:fill="auto"/>
            <w:noWrap w:val="0"/>
            <w:vAlign w:val="center"/>
          </w:tcPr>
          <w:p w14:paraId="2D0F18E7">
            <w:pPr>
              <w:pStyle w:val="24"/>
              <w:numPr>
                <w:ilvl w:val="0"/>
                <w:numId w:val="0"/>
              </w:numPr>
              <w:jc w:val="center"/>
              <w:rPr>
                <w:rFonts w:hint="eastAsia"/>
                <w:lang w:val="en-US" w:eastAsia="zh-CN"/>
              </w:rPr>
            </w:pPr>
            <w:r>
              <w:rPr>
                <w:rFonts w:hint="eastAsia"/>
                <w:lang w:val="en-US" w:eastAsia="zh-CN"/>
              </w:rPr>
              <w:t>整机油管更换</w:t>
            </w:r>
          </w:p>
        </w:tc>
        <w:tc>
          <w:tcPr>
            <w:tcW w:w="819" w:type="dxa"/>
            <w:shd w:val="clear" w:color="auto" w:fill="auto"/>
            <w:noWrap w:val="0"/>
            <w:vAlign w:val="center"/>
          </w:tcPr>
          <w:p w14:paraId="7A35B381">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5788630A">
            <w:pPr>
              <w:pStyle w:val="24"/>
              <w:numPr>
                <w:ilvl w:val="0"/>
                <w:numId w:val="0"/>
              </w:numPr>
              <w:jc w:val="center"/>
              <w:rPr>
                <w:rFonts w:hint="eastAsia"/>
                <w:lang w:val="en-US" w:eastAsia="zh-CN"/>
              </w:rPr>
            </w:pPr>
            <w:r>
              <w:rPr>
                <w:rFonts w:hint="eastAsia"/>
                <w:lang w:val="en-US" w:eastAsia="zh-CN"/>
              </w:rPr>
              <w:t>套</w:t>
            </w:r>
          </w:p>
        </w:tc>
        <w:tc>
          <w:tcPr>
            <w:tcW w:w="2250" w:type="dxa"/>
            <w:shd w:val="clear" w:color="auto" w:fill="auto"/>
            <w:noWrap w:val="0"/>
            <w:vAlign w:val="center"/>
          </w:tcPr>
          <w:p w14:paraId="30AD105E">
            <w:pPr>
              <w:pStyle w:val="24"/>
              <w:numPr>
                <w:ilvl w:val="0"/>
                <w:numId w:val="0"/>
              </w:numPr>
              <w:jc w:val="center"/>
              <w:rPr>
                <w:rFonts w:hint="eastAsia"/>
                <w:lang w:val="en-US" w:eastAsia="zh-CN"/>
              </w:rPr>
            </w:pPr>
            <w:r>
              <w:rPr>
                <w:rFonts w:hint="eastAsia"/>
                <w:lang w:val="en-US" w:eastAsia="zh-CN"/>
              </w:rPr>
              <w:t>湖东站</w:t>
            </w:r>
          </w:p>
        </w:tc>
      </w:tr>
      <w:tr w14:paraId="7D66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3" w:type="dxa"/>
            <w:vMerge w:val="continue"/>
            <w:noWrap w:val="0"/>
            <w:vAlign w:val="center"/>
          </w:tcPr>
          <w:p w14:paraId="7A6D32D7">
            <w:pPr>
              <w:pStyle w:val="24"/>
              <w:numPr>
                <w:ilvl w:val="0"/>
                <w:numId w:val="0"/>
              </w:numPr>
              <w:jc w:val="center"/>
              <w:rPr>
                <w:rFonts w:hint="eastAsia"/>
                <w:lang w:val="en-US" w:eastAsia="zh-CN"/>
              </w:rPr>
            </w:pPr>
          </w:p>
        </w:tc>
        <w:tc>
          <w:tcPr>
            <w:tcW w:w="3471" w:type="dxa"/>
            <w:shd w:val="clear" w:color="auto" w:fill="auto"/>
            <w:noWrap w:val="0"/>
            <w:vAlign w:val="center"/>
          </w:tcPr>
          <w:p w14:paraId="214853EA">
            <w:pPr>
              <w:pStyle w:val="24"/>
              <w:numPr>
                <w:ilvl w:val="0"/>
                <w:numId w:val="0"/>
              </w:numPr>
              <w:jc w:val="center"/>
              <w:rPr>
                <w:rFonts w:hint="eastAsia"/>
                <w:lang w:val="en-US" w:eastAsia="zh-CN"/>
              </w:rPr>
            </w:pPr>
            <w:r>
              <w:rPr>
                <w:rFonts w:hint="eastAsia"/>
                <w:lang w:val="en-US" w:eastAsia="zh-CN"/>
              </w:rPr>
              <w:t>设备电控系统线路</w:t>
            </w:r>
          </w:p>
        </w:tc>
        <w:tc>
          <w:tcPr>
            <w:tcW w:w="819" w:type="dxa"/>
            <w:shd w:val="clear" w:color="auto" w:fill="auto"/>
            <w:noWrap w:val="0"/>
            <w:vAlign w:val="center"/>
          </w:tcPr>
          <w:p w14:paraId="44EAFC0F">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7ED0452B">
            <w:pPr>
              <w:pStyle w:val="24"/>
              <w:numPr>
                <w:ilvl w:val="0"/>
                <w:numId w:val="0"/>
              </w:numPr>
              <w:jc w:val="center"/>
              <w:rPr>
                <w:rFonts w:hint="eastAsia"/>
                <w:lang w:val="en-US" w:eastAsia="zh-CN"/>
              </w:rPr>
            </w:pPr>
            <w:r>
              <w:rPr>
                <w:rFonts w:hint="eastAsia"/>
                <w:lang w:val="en-US" w:eastAsia="zh-CN"/>
              </w:rPr>
              <w:t>台</w:t>
            </w:r>
          </w:p>
        </w:tc>
        <w:tc>
          <w:tcPr>
            <w:tcW w:w="2250" w:type="dxa"/>
            <w:shd w:val="clear" w:color="auto" w:fill="auto"/>
            <w:noWrap w:val="0"/>
            <w:vAlign w:val="center"/>
          </w:tcPr>
          <w:p w14:paraId="74E35996">
            <w:pPr>
              <w:pStyle w:val="24"/>
              <w:numPr>
                <w:ilvl w:val="0"/>
                <w:numId w:val="0"/>
              </w:numPr>
              <w:jc w:val="center"/>
              <w:rPr>
                <w:rFonts w:hint="eastAsia"/>
                <w:lang w:val="en-US" w:eastAsia="zh-CN"/>
              </w:rPr>
            </w:pPr>
            <w:r>
              <w:rPr>
                <w:rFonts w:hint="eastAsia"/>
                <w:lang w:val="en-US" w:eastAsia="zh-CN"/>
              </w:rPr>
              <w:t>湖东站</w:t>
            </w:r>
          </w:p>
        </w:tc>
      </w:tr>
      <w:tr w14:paraId="5F62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3" w:type="dxa"/>
            <w:vMerge w:val="continue"/>
            <w:noWrap w:val="0"/>
            <w:vAlign w:val="center"/>
          </w:tcPr>
          <w:p w14:paraId="1F312818">
            <w:pPr>
              <w:pStyle w:val="24"/>
              <w:numPr>
                <w:ilvl w:val="0"/>
                <w:numId w:val="0"/>
              </w:numPr>
              <w:jc w:val="center"/>
              <w:rPr>
                <w:rFonts w:hint="eastAsia"/>
                <w:lang w:val="en-US" w:eastAsia="zh-CN"/>
              </w:rPr>
            </w:pPr>
          </w:p>
        </w:tc>
        <w:tc>
          <w:tcPr>
            <w:tcW w:w="3471" w:type="dxa"/>
            <w:shd w:val="clear" w:color="auto" w:fill="auto"/>
            <w:noWrap w:val="0"/>
            <w:vAlign w:val="center"/>
          </w:tcPr>
          <w:p w14:paraId="177FD393">
            <w:pPr>
              <w:pStyle w:val="24"/>
              <w:numPr>
                <w:ilvl w:val="0"/>
                <w:numId w:val="0"/>
              </w:numPr>
              <w:jc w:val="center"/>
              <w:rPr>
                <w:rFonts w:hint="eastAsia"/>
                <w:lang w:val="en-US" w:eastAsia="zh-CN"/>
              </w:rPr>
            </w:pPr>
            <w:r>
              <w:rPr>
                <w:rFonts w:hint="eastAsia"/>
                <w:lang w:val="en-US" w:eastAsia="zh-CN"/>
              </w:rPr>
              <w:t>主压油缸</w:t>
            </w:r>
          </w:p>
        </w:tc>
        <w:tc>
          <w:tcPr>
            <w:tcW w:w="819" w:type="dxa"/>
            <w:shd w:val="clear" w:color="auto" w:fill="auto"/>
            <w:noWrap w:val="0"/>
            <w:vAlign w:val="center"/>
          </w:tcPr>
          <w:p w14:paraId="3E2EAB73">
            <w:pPr>
              <w:pStyle w:val="24"/>
              <w:numPr>
                <w:ilvl w:val="0"/>
                <w:numId w:val="0"/>
              </w:numPr>
              <w:jc w:val="center"/>
              <w:rPr>
                <w:rFonts w:hint="eastAsia"/>
                <w:lang w:val="en-US" w:eastAsia="zh-CN"/>
              </w:rPr>
            </w:pPr>
            <w:r>
              <w:rPr>
                <w:rFonts w:hint="eastAsia"/>
                <w:lang w:val="en-US" w:eastAsia="zh-CN"/>
              </w:rPr>
              <w:t>1</w:t>
            </w:r>
          </w:p>
        </w:tc>
        <w:tc>
          <w:tcPr>
            <w:tcW w:w="766" w:type="dxa"/>
            <w:shd w:val="clear" w:color="auto" w:fill="auto"/>
            <w:noWrap w:val="0"/>
            <w:vAlign w:val="center"/>
          </w:tcPr>
          <w:p w14:paraId="1F306780">
            <w:pPr>
              <w:pStyle w:val="24"/>
              <w:numPr>
                <w:ilvl w:val="0"/>
                <w:numId w:val="0"/>
              </w:numPr>
              <w:jc w:val="center"/>
              <w:rPr>
                <w:rFonts w:hint="eastAsia"/>
                <w:lang w:val="en-US" w:eastAsia="zh-CN"/>
              </w:rPr>
            </w:pPr>
            <w:r>
              <w:rPr>
                <w:rFonts w:hint="eastAsia"/>
                <w:lang w:val="en-US" w:eastAsia="zh-CN"/>
              </w:rPr>
              <w:t>根</w:t>
            </w:r>
          </w:p>
        </w:tc>
        <w:tc>
          <w:tcPr>
            <w:tcW w:w="2250" w:type="dxa"/>
            <w:shd w:val="clear" w:color="auto" w:fill="auto"/>
            <w:noWrap w:val="0"/>
            <w:vAlign w:val="center"/>
          </w:tcPr>
          <w:p w14:paraId="74C5D7A1">
            <w:pPr>
              <w:pStyle w:val="24"/>
              <w:numPr>
                <w:ilvl w:val="0"/>
                <w:numId w:val="0"/>
              </w:numPr>
              <w:jc w:val="center"/>
              <w:rPr>
                <w:rFonts w:hint="eastAsia"/>
                <w:lang w:val="en-US" w:eastAsia="zh-CN"/>
              </w:rPr>
            </w:pPr>
            <w:r>
              <w:rPr>
                <w:rFonts w:hint="eastAsia"/>
                <w:lang w:val="en-US" w:eastAsia="zh-CN"/>
              </w:rPr>
              <w:t>湖东站</w:t>
            </w:r>
          </w:p>
        </w:tc>
      </w:tr>
      <w:tr w14:paraId="7711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noWrap w:val="0"/>
            <w:vAlign w:val="center"/>
          </w:tcPr>
          <w:p w14:paraId="72F75D5F">
            <w:pPr>
              <w:pStyle w:val="24"/>
              <w:numPr>
                <w:ilvl w:val="0"/>
                <w:numId w:val="0"/>
              </w:numPr>
              <w:jc w:val="center"/>
              <w:rPr>
                <w:rFonts w:hint="eastAsia"/>
                <w:lang w:val="en-US" w:eastAsia="zh-CN"/>
              </w:rPr>
            </w:pPr>
          </w:p>
        </w:tc>
        <w:tc>
          <w:tcPr>
            <w:tcW w:w="3471" w:type="dxa"/>
            <w:shd w:val="clear" w:color="auto" w:fill="auto"/>
            <w:noWrap w:val="0"/>
            <w:vAlign w:val="center"/>
          </w:tcPr>
          <w:p w14:paraId="33F29579">
            <w:pPr>
              <w:pStyle w:val="24"/>
              <w:numPr>
                <w:ilvl w:val="0"/>
                <w:numId w:val="0"/>
              </w:numPr>
              <w:jc w:val="center"/>
              <w:rPr>
                <w:rFonts w:hint="eastAsia"/>
                <w:lang w:val="en-US" w:eastAsia="zh-CN"/>
              </w:rPr>
            </w:pPr>
            <w:r>
              <w:rPr>
                <w:rFonts w:hint="eastAsia"/>
                <w:lang w:val="en-US" w:eastAsia="zh-CN"/>
              </w:rPr>
              <w:t>主压油缸维修</w:t>
            </w:r>
          </w:p>
        </w:tc>
        <w:tc>
          <w:tcPr>
            <w:tcW w:w="819" w:type="dxa"/>
            <w:shd w:val="clear" w:color="auto" w:fill="auto"/>
            <w:noWrap w:val="0"/>
            <w:vAlign w:val="center"/>
          </w:tcPr>
          <w:p w14:paraId="361B6964">
            <w:pPr>
              <w:pStyle w:val="24"/>
              <w:numPr>
                <w:ilvl w:val="0"/>
                <w:numId w:val="0"/>
              </w:numPr>
              <w:jc w:val="center"/>
              <w:rPr>
                <w:rFonts w:hint="eastAsia"/>
                <w:lang w:val="en-US" w:eastAsia="zh-CN"/>
              </w:rPr>
            </w:pPr>
            <w:r>
              <w:rPr>
                <w:rFonts w:hint="eastAsia"/>
                <w:lang w:val="en-US" w:eastAsia="zh-CN"/>
              </w:rPr>
              <w:t>1</w:t>
            </w:r>
          </w:p>
        </w:tc>
        <w:tc>
          <w:tcPr>
            <w:tcW w:w="766" w:type="dxa"/>
            <w:shd w:val="clear" w:color="auto" w:fill="auto"/>
            <w:noWrap w:val="0"/>
            <w:vAlign w:val="center"/>
          </w:tcPr>
          <w:p w14:paraId="48D4ABBF">
            <w:pPr>
              <w:pStyle w:val="24"/>
              <w:numPr>
                <w:ilvl w:val="0"/>
                <w:numId w:val="0"/>
              </w:numPr>
              <w:jc w:val="center"/>
              <w:rPr>
                <w:rFonts w:hint="eastAsia"/>
                <w:lang w:val="en-US" w:eastAsia="zh-CN"/>
              </w:rPr>
            </w:pPr>
            <w:r>
              <w:rPr>
                <w:rFonts w:hint="eastAsia"/>
                <w:lang w:val="en-US" w:eastAsia="zh-CN"/>
              </w:rPr>
              <w:t>根</w:t>
            </w:r>
          </w:p>
        </w:tc>
        <w:tc>
          <w:tcPr>
            <w:tcW w:w="2250" w:type="dxa"/>
            <w:shd w:val="clear" w:color="auto" w:fill="auto"/>
            <w:noWrap w:val="0"/>
            <w:vAlign w:val="center"/>
          </w:tcPr>
          <w:p w14:paraId="35CE9D86">
            <w:pPr>
              <w:pStyle w:val="24"/>
              <w:numPr>
                <w:ilvl w:val="0"/>
                <w:numId w:val="0"/>
              </w:numPr>
              <w:jc w:val="center"/>
              <w:rPr>
                <w:rFonts w:hint="eastAsia"/>
                <w:lang w:val="en-US" w:eastAsia="zh-CN"/>
              </w:rPr>
            </w:pPr>
            <w:r>
              <w:rPr>
                <w:rFonts w:hint="eastAsia"/>
                <w:lang w:val="en-US" w:eastAsia="zh-CN"/>
              </w:rPr>
              <w:t>湖东站</w:t>
            </w:r>
          </w:p>
        </w:tc>
      </w:tr>
      <w:tr w14:paraId="2DFF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restart"/>
            <w:noWrap w:val="0"/>
            <w:vAlign w:val="center"/>
          </w:tcPr>
          <w:p w14:paraId="1CCA28A9">
            <w:pPr>
              <w:pStyle w:val="24"/>
              <w:numPr>
                <w:ilvl w:val="0"/>
                <w:numId w:val="0"/>
              </w:numPr>
              <w:jc w:val="center"/>
              <w:rPr>
                <w:rFonts w:hint="eastAsia"/>
                <w:lang w:val="en-US" w:eastAsia="zh-CN"/>
              </w:rPr>
            </w:pPr>
            <w:r>
              <w:rPr>
                <w:rFonts w:hint="eastAsia"/>
                <w:lang w:val="en-US" w:eastAsia="zh-CN"/>
              </w:rPr>
              <w:t>4</w:t>
            </w:r>
          </w:p>
        </w:tc>
        <w:tc>
          <w:tcPr>
            <w:tcW w:w="3471" w:type="dxa"/>
            <w:noWrap w:val="0"/>
            <w:vAlign w:val="center"/>
          </w:tcPr>
          <w:p w14:paraId="5FBEFBD6">
            <w:pPr>
              <w:pStyle w:val="24"/>
              <w:numPr>
                <w:ilvl w:val="0"/>
                <w:numId w:val="0"/>
              </w:numPr>
              <w:jc w:val="center"/>
              <w:rPr>
                <w:rFonts w:hint="eastAsia"/>
                <w:lang w:val="en-US" w:eastAsia="zh-CN"/>
              </w:rPr>
            </w:pPr>
            <w:r>
              <w:rPr>
                <w:rFonts w:hint="eastAsia"/>
                <w:lang w:val="en-US" w:eastAsia="zh-CN"/>
              </w:rPr>
              <w:t>垂直式箱体</w:t>
            </w:r>
          </w:p>
        </w:tc>
        <w:tc>
          <w:tcPr>
            <w:tcW w:w="819" w:type="dxa"/>
            <w:noWrap w:val="0"/>
            <w:vAlign w:val="center"/>
          </w:tcPr>
          <w:p w14:paraId="6DD06659">
            <w:pPr>
              <w:pStyle w:val="24"/>
              <w:numPr>
                <w:ilvl w:val="0"/>
                <w:numId w:val="0"/>
              </w:numPr>
              <w:jc w:val="center"/>
              <w:rPr>
                <w:rFonts w:hint="eastAsia"/>
                <w:lang w:val="en-US" w:eastAsia="zh-CN"/>
              </w:rPr>
            </w:pPr>
            <w:r>
              <w:rPr>
                <w:rFonts w:hint="eastAsia"/>
                <w:lang w:val="en-US" w:eastAsia="zh-CN"/>
              </w:rPr>
              <w:t>2</w:t>
            </w:r>
          </w:p>
        </w:tc>
        <w:tc>
          <w:tcPr>
            <w:tcW w:w="766" w:type="dxa"/>
            <w:noWrap w:val="0"/>
            <w:vAlign w:val="center"/>
          </w:tcPr>
          <w:p w14:paraId="05662B22">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4F610C57">
            <w:pPr>
              <w:pStyle w:val="24"/>
              <w:numPr>
                <w:ilvl w:val="0"/>
                <w:numId w:val="0"/>
              </w:numPr>
              <w:jc w:val="center"/>
              <w:rPr>
                <w:rFonts w:hint="eastAsia"/>
                <w:lang w:val="en-US" w:eastAsia="zh-CN"/>
              </w:rPr>
            </w:pPr>
            <w:r>
              <w:rPr>
                <w:rFonts w:hint="eastAsia"/>
                <w:lang w:val="en-US" w:eastAsia="zh-CN"/>
              </w:rPr>
              <w:t>怡惠站</w:t>
            </w:r>
          </w:p>
        </w:tc>
      </w:tr>
      <w:tr w14:paraId="34F1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noWrap w:val="0"/>
            <w:vAlign w:val="center"/>
          </w:tcPr>
          <w:p w14:paraId="51EAE272">
            <w:pPr>
              <w:pStyle w:val="24"/>
              <w:numPr>
                <w:ilvl w:val="0"/>
                <w:numId w:val="0"/>
              </w:numPr>
              <w:jc w:val="center"/>
              <w:rPr>
                <w:rFonts w:hint="eastAsia"/>
                <w:lang w:val="en-US" w:eastAsia="zh-CN"/>
              </w:rPr>
            </w:pPr>
          </w:p>
        </w:tc>
        <w:tc>
          <w:tcPr>
            <w:tcW w:w="3471" w:type="dxa"/>
            <w:noWrap w:val="0"/>
            <w:vAlign w:val="center"/>
          </w:tcPr>
          <w:p w14:paraId="48D8FD5F">
            <w:pPr>
              <w:pStyle w:val="24"/>
              <w:numPr>
                <w:ilvl w:val="0"/>
                <w:numId w:val="0"/>
              </w:numPr>
              <w:jc w:val="center"/>
              <w:rPr>
                <w:rFonts w:hint="eastAsia"/>
                <w:lang w:val="en-US" w:eastAsia="zh-CN"/>
              </w:rPr>
            </w:pPr>
            <w:r>
              <w:rPr>
                <w:rFonts w:hint="eastAsia"/>
                <w:lang w:val="en-US" w:eastAsia="zh-CN"/>
              </w:rPr>
              <w:t>整机高压管道改造</w:t>
            </w:r>
          </w:p>
        </w:tc>
        <w:tc>
          <w:tcPr>
            <w:tcW w:w="819" w:type="dxa"/>
            <w:noWrap w:val="0"/>
            <w:vAlign w:val="center"/>
          </w:tcPr>
          <w:p w14:paraId="24168CC8">
            <w:pPr>
              <w:pStyle w:val="24"/>
              <w:numPr>
                <w:ilvl w:val="0"/>
                <w:numId w:val="0"/>
              </w:numPr>
              <w:jc w:val="center"/>
              <w:rPr>
                <w:rFonts w:hint="eastAsia"/>
                <w:lang w:val="en-US" w:eastAsia="zh-CN"/>
              </w:rPr>
            </w:pPr>
            <w:r>
              <w:rPr>
                <w:rFonts w:hint="eastAsia"/>
                <w:lang w:val="en-US" w:eastAsia="zh-CN"/>
              </w:rPr>
              <w:t>2</w:t>
            </w:r>
          </w:p>
        </w:tc>
        <w:tc>
          <w:tcPr>
            <w:tcW w:w="766" w:type="dxa"/>
            <w:noWrap w:val="0"/>
            <w:vAlign w:val="center"/>
          </w:tcPr>
          <w:p w14:paraId="189AE62A">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2B6264D7">
            <w:pPr>
              <w:pStyle w:val="24"/>
              <w:numPr>
                <w:ilvl w:val="0"/>
                <w:numId w:val="0"/>
              </w:numPr>
              <w:jc w:val="center"/>
              <w:rPr>
                <w:rFonts w:hint="eastAsia"/>
                <w:lang w:val="en-US" w:eastAsia="zh-CN"/>
              </w:rPr>
            </w:pPr>
            <w:r>
              <w:rPr>
                <w:rFonts w:hint="eastAsia"/>
                <w:lang w:val="en-US" w:eastAsia="zh-CN"/>
              </w:rPr>
              <w:t>怡惠站</w:t>
            </w:r>
          </w:p>
        </w:tc>
      </w:tr>
      <w:tr w14:paraId="0897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noWrap w:val="0"/>
            <w:vAlign w:val="center"/>
          </w:tcPr>
          <w:p w14:paraId="3D6F77E2">
            <w:pPr>
              <w:pStyle w:val="24"/>
              <w:numPr>
                <w:ilvl w:val="0"/>
                <w:numId w:val="0"/>
              </w:numPr>
              <w:jc w:val="center"/>
              <w:rPr>
                <w:rFonts w:hint="eastAsia"/>
                <w:lang w:val="en-US" w:eastAsia="zh-CN"/>
              </w:rPr>
            </w:pPr>
          </w:p>
        </w:tc>
        <w:tc>
          <w:tcPr>
            <w:tcW w:w="3471" w:type="dxa"/>
            <w:noWrap w:val="0"/>
            <w:vAlign w:val="center"/>
          </w:tcPr>
          <w:p w14:paraId="43966697">
            <w:pPr>
              <w:pStyle w:val="24"/>
              <w:numPr>
                <w:ilvl w:val="0"/>
                <w:numId w:val="0"/>
              </w:numPr>
              <w:jc w:val="center"/>
              <w:rPr>
                <w:rFonts w:hint="eastAsia"/>
                <w:lang w:val="en-US" w:eastAsia="zh-CN"/>
              </w:rPr>
            </w:pPr>
            <w:r>
              <w:rPr>
                <w:rFonts w:hint="eastAsia"/>
                <w:lang w:val="en-US" w:eastAsia="zh-CN"/>
              </w:rPr>
              <w:t>立柱更换修复</w:t>
            </w:r>
          </w:p>
        </w:tc>
        <w:tc>
          <w:tcPr>
            <w:tcW w:w="819" w:type="dxa"/>
            <w:noWrap w:val="0"/>
            <w:vAlign w:val="center"/>
          </w:tcPr>
          <w:p w14:paraId="0157AF47">
            <w:pPr>
              <w:pStyle w:val="24"/>
              <w:numPr>
                <w:ilvl w:val="0"/>
                <w:numId w:val="0"/>
              </w:numPr>
              <w:jc w:val="center"/>
              <w:rPr>
                <w:rFonts w:hint="eastAsia"/>
                <w:lang w:val="en-US" w:eastAsia="zh-CN"/>
              </w:rPr>
            </w:pPr>
            <w:r>
              <w:rPr>
                <w:rFonts w:hint="eastAsia"/>
                <w:lang w:val="en-US" w:eastAsia="zh-CN"/>
              </w:rPr>
              <w:t>16</w:t>
            </w:r>
          </w:p>
        </w:tc>
        <w:tc>
          <w:tcPr>
            <w:tcW w:w="766" w:type="dxa"/>
            <w:noWrap w:val="0"/>
            <w:vAlign w:val="center"/>
          </w:tcPr>
          <w:p w14:paraId="6A604DAB">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681E32D8">
            <w:pPr>
              <w:pStyle w:val="24"/>
              <w:numPr>
                <w:ilvl w:val="0"/>
                <w:numId w:val="0"/>
              </w:numPr>
              <w:jc w:val="center"/>
              <w:rPr>
                <w:rFonts w:hint="eastAsia"/>
                <w:lang w:val="en-US" w:eastAsia="zh-CN"/>
              </w:rPr>
            </w:pPr>
            <w:r>
              <w:rPr>
                <w:rFonts w:hint="eastAsia"/>
                <w:lang w:val="en-US" w:eastAsia="zh-CN"/>
              </w:rPr>
              <w:t>怡惠站</w:t>
            </w:r>
          </w:p>
        </w:tc>
      </w:tr>
      <w:tr w14:paraId="52DD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noWrap w:val="0"/>
            <w:vAlign w:val="center"/>
          </w:tcPr>
          <w:p w14:paraId="78678C02">
            <w:pPr>
              <w:pStyle w:val="24"/>
              <w:numPr>
                <w:ilvl w:val="0"/>
                <w:numId w:val="0"/>
              </w:numPr>
              <w:jc w:val="center"/>
              <w:rPr>
                <w:rFonts w:hint="eastAsia"/>
                <w:lang w:val="en-US" w:eastAsia="zh-CN"/>
              </w:rPr>
            </w:pPr>
          </w:p>
        </w:tc>
        <w:tc>
          <w:tcPr>
            <w:tcW w:w="3471" w:type="dxa"/>
            <w:noWrap w:val="0"/>
            <w:vAlign w:val="center"/>
          </w:tcPr>
          <w:p w14:paraId="0242623A">
            <w:pPr>
              <w:pStyle w:val="24"/>
              <w:numPr>
                <w:ilvl w:val="0"/>
                <w:numId w:val="0"/>
              </w:numPr>
              <w:jc w:val="center"/>
              <w:rPr>
                <w:rFonts w:hint="eastAsia"/>
                <w:lang w:val="en-US" w:eastAsia="zh-CN"/>
              </w:rPr>
            </w:pPr>
            <w:r>
              <w:rPr>
                <w:rFonts w:hint="eastAsia"/>
                <w:lang w:val="en-US" w:eastAsia="zh-CN"/>
              </w:rPr>
              <w:t>导轮组件更换</w:t>
            </w:r>
          </w:p>
        </w:tc>
        <w:tc>
          <w:tcPr>
            <w:tcW w:w="819" w:type="dxa"/>
            <w:noWrap w:val="0"/>
            <w:vAlign w:val="center"/>
          </w:tcPr>
          <w:p w14:paraId="6DB88226">
            <w:pPr>
              <w:pStyle w:val="24"/>
              <w:numPr>
                <w:ilvl w:val="0"/>
                <w:numId w:val="0"/>
              </w:numPr>
              <w:jc w:val="center"/>
              <w:rPr>
                <w:rFonts w:hint="eastAsia"/>
                <w:lang w:val="en-US" w:eastAsia="zh-CN"/>
              </w:rPr>
            </w:pPr>
            <w:r>
              <w:rPr>
                <w:rFonts w:hint="eastAsia"/>
                <w:lang w:val="en-US" w:eastAsia="zh-CN"/>
              </w:rPr>
              <w:t>16</w:t>
            </w:r>
          </w:p>
        </w:tc>
        <w:tc>
          <w:tcPr>
            <w:tcW w:w="766" w:type="dxa"/>
            <w:noWrap w:val="0"/>
            <w:vAlign w:val="center"/>
          </w:tcPr>
          <w:p w14:paraId="0B8EAAEF">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6F801FD4">
            <w:pPr>
              <w:pStyle w:val="24"/>
              <w:numPr>
                <w:ilvl w:val="0"/>
                <w:numId w:val="0"/>
              </w:numPr>
              <w:jc w:val="center"/>
              <w:rPr>
                <w:rFonts w:hint="eastAsia"/>
                <w:lang w:val="en-US" w:eastAsia="zh-CN"/>
              </w:rPr>
            </w:pPr>
            <w:r>
              <w:rPr>
                <w:rFonts w:hint="eastAsia"/>
                <w:lang w:val="en-US" w:eastAsia="zh-CN"/>
              </w:rPr>
              <w:t>怡惠站</w:t>
            </w:r>
          </w:p>
        </w:tc>
      </w:tr>
      <w:tr w14:paraId="612D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noWrap w:val="0"/>
            <w:vAlign w:val="center"/>
          </w:tcPr>
          <w:p w14:paraId="4FEF75B3">
            <w:pPr>
              <w:pStyle w:val="24"/>
              <w:numPr>
                <w:ilvl w:val="0"/>
                <w:numId w:val="0"/>
              </w:numPr>
              <w:jc w:val="center"/>
              <w:rPr>
                <w:rFonts w:hint="eastAsia"/>
                <w:lang w:val="en-US" w:eastAsia="zh-CN"/>
              </w:rPr>
            </w:pPr>
          </w:p>
        </w:tc>
        <w:tc>
          <w:tcPr>
            <w:tcW w:w="3471" w:type="dxa"/>
            <w:noWrap w:val="0"/>
            <w:vAlign w:val="center"/>
          </w:tcPr>
          <w:p w14:paraId="5F8073A3">
            <w:pPr>
              <w:pStyle w:val="24"/>
              <w:numPr>
                <w:ilvl w:val="0"/>
                <w:numId w:val="0"/>
              </w:numPr>
              <w:jc w:val="center"/>
              <w:rPr>
                <w:rFonts w:hint="eastAsia"/>
                <w:lang w:val="en-US" w:eastAsia="zh-CN"/>
              </w:rPr>
            </w:pPr>
            <w:r>
              <w:rPr>
                <w:rFonts w:hint="eastAsia"/>
                <w:lang w:val="en-US" w:eastAsia="zh-CN"/>
              </w:rPr>
              <w:t>钢铝坦克链总成</w:t>
            </w:r>
          </w:p>
        </w:tc>
        <w:tc>
          <w:tcPr>
            <w:tcW w:w="819" w:type="dxa"/>
            <w:noWrap w:val="0"/>
            <w:vAlign w:val="center"/>
          </w:tcPr>
          <w:p w14:paraId="5F0DBBD8">
            <w:pPr>
              <w:pStyle w:val="24"/>
              <w:numPr>
                <w:ilvl w:val="0"/>
                <w:numId w:val="0"/>
              </w:numPr>
              <w:jc w:val="center"/>
              <w:rPr>
                <w:rFonts w:hint="eastAsia"/>
                <w:lang w:val="en-US" w:eastAsia="zh-CN"/>
              </w:rPr>
            </w:pPr>
            <w:r>
              <w:rPr>
                <w:rFonts w:hint="eastAsia"/>
                <w:lang w:val="en-US" w:eastAsia="zh-CN"/>
              </w:rPr>
              <w:t>2</w:t>
            </w:r>
          </w:p>
        </w:tc>
        <w:tc>
          <w:tcPr>
            <w:tcW w:w="766" w:type="dxa"/>
            <w:noWrap w:val="0"/>
            <w:vAlign w:val="center"/>
          </w:tcPr>
          <w:p w14:paraId="44CAEF86">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65658207">
            <w:pPr>
              <w:pStyle w:val="24"/>
              <w:numPr>
                <w:ilvl w:val="0"/>
                <w:numId w:val="0"/>
              </w:numPr>
              <w:jc w:val="center"/>
              <w:rPr>
                <w:rFonts w:hint="eastAsia"/>
                <w:lang w:val="en-US" w:eastAsia="zh-CN"/>
              </w:rPr>
            </w:pPr>
            <w:r>
              <w:rPr>
                <w:rFonts w:hint="eastAsia"/>
                <w:lang w:val="en-US" w:eastAsia="zh-CN"/>
              </w:rPr>
              <w:t>怡惠站</w:t>
            </w:r>
          </w:p>
        </w:tc>
      </w:tr>
      <w:tr w14:paraId="20D5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restart"/>
            <w:shd w:val="clear" w:color="auto" w:fill="auto"/>
            <w:noWrap w:val="0"/>
            <w:vAlign w:val="center"/>
          </w:tcPr>
          <w:p w14:paraId="6F69FC6E">
            <w:pPr>
              <w:pStyle w:val="24"/>
              <w:numPr>
                <w:ilvl w:val="0"/>
                <w:numId w:val="0"/>
              </w:numPr>
              <w:jc w:val="center"/>
              <w:rPr>
                <w:rFonts w:hint="eastAsia"/>
                <w:lang w:val="en-US" w:eastAsia="zh-CN"/>
              </w:rPr>
            </w:pPr>
            <w:r>
              <w:rPr>
                <w:rFonts w:hint="eastAsia"/>
                <w:lang w:val="en-US" w:eastAsia="zh-CN"/>
              </w:rPr>
              <w:t>5</w:t>
            </w:r>
          </w:p>
        </w:tc>
        <w:tc>
          <w:tcPr>
            <w:tcW w:w="3471" w:type="dxa"/>
            <w:noWrap w:val="0"/>
            <w:vAlign w:val="center"/>
          </w:tcPr>
          <w:p w14:paraId="7E4CE4B4">
            <w:pPr>
              <w:pStyle w:val="24"/>
              <w:numPr>
                <w:ilvl w:val="0"/>
                <w:numId w:val="0"/>
              </w:numPr>
              <w:jc w:val="center"/>
              <w:rPr>
                <w:rFonts w:hint="eastAsia"/>
                <w:lang w:val="en-US" w:eastAsia="zh-CN"/>
              </w:rPr>
            </w:pPr>
            <w:r>
              <w:rPr>
                <w:rFonts w:hint="eastAsia"/>
                <w:lang w:val="en-US" w:eastAsia="zh-CN"/>
              </w:rPr>
              <w:t>垂直式箱体</w:t>
            </w:r>
          </w:p>
        </w:tc>
        <w:tc>
          <w:tcPr>
            <w:tcW w:w="819" w:type="dxa"/>
            <w:shd w:val="clear" w:color="auto" w:fill="auto"/>
            <w:noWrap w:val="0"/>
            <w:vAlign w:val="center"/>
          </w:tcPr>
          <w:p w14:paraId="7331B607">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67AE2EE8">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2C5B9448">
            <w:pPr>
              <w:pStyle w:val="24"/>
              <w:numPr>
                <w:ilvl w:val="0"/>
                <w:numId w:val="0"/>
              </w:numPr>
              <w:jc w:val="center"/>
              <w:rPr>
                <w:rFonts w:hint="eastAsia"/>
                <w:lang w:val="en-US" w:eastAsia="zh-CN"/>
              </w:rPr>
            </w:pPr>
            <w:r>
              <w:rPr>
                <w:rFonts w:hint="eastAsia"/>
                <w:lang w:val="en-US" w:eastAsia="zh-CN"/>
              </w:rPr>
              <w:t>城南站</w:t>
            </w:r>
          </w:p>
        </w:tc>
      </w:tr>
      <w:tr w14:paraId="4586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shd w:val="clear" w:color="auto" w:fill="auto"/>
            <w:noWrap w:val="0"/>
            <w:vAlign w:val="center"/>
          </w:tcPr>
          <w:p w14:paraId="61E01983">
            <w:pPr>
              <w:pStyle w:val="24"/>
              <w:numPr>
                <w:ilvl w:val="0"/>
                <w:numId w:val="0"/>
              </w:numPr>
              <w:jc w:val="center"/>
              <w:rPr>
                <w:rFonts w:hint="eastAsia"/>
                <w:lang w:val="en-US" w:eastAsia="zh-CN"/>
              </w:rPr>
            </w:pPr>
          </w:p>
        </w:tc>
        <w:tc>
          <w:tcPr>
            <w:tcW w:w="3471" w:type="dxa"/>
            <w:noWrap w:val="0"/>
            <w:vAlign w:val="center"/>
          </w:tcPr>
          <w:p w14:paraId="78C24BE5">
            <w:pPr>
              <w:pStyle w:val="24"/>
              <w:numPr>
                <w:ilvl w:val="0"/>
                <w:numId w:val="0"/>
              </w:numPr>
              <w:jc w:val="center"/>
              <w:rPr>
                <w:rFonts w:hint="eastAsia"/>
                <w:lang w:val="en-US" w:eastAsia="zh-CN"/>
              </w:rPr>
            </w:pPr>
            <w:r>
              <w:rPr>
                <w:rFonts w:hint="eastAsia"/>
                <w:lang w:val="en-US" w:eastAsia="zh-CN"/>
              </w:rPr>
              <w:t>整机高压管道改造</w:t>
            </w:r>
          </w:p>
        </w:tc>
        <w:tc>
          <w:tcPr>
            <w:tcW w:w="819" w:type="dxa"/>
            <w:shd w:val="clear" w:color="auto" w:fill="auto"/>
            <w:noWrap w:val="0"/>
            <w:vAlign w:val="center"/>
          </w:tcPr>
          <w:p w14:paraId="00406B7F">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4EF01B2B">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4AC9C58F">
            <w:pPr>
              <w:pStyle w:val="24"/>
              <w:numPr>
                <w:ilvl w:val="0"/>
                <w:numId w:val="0"/>
              </w:numPr>
              <w:jc w:val="center"/>
              <w:rPr>
                <w:rFonts w:hint="eastAsia"/>
                <w:lang w:val="en-US" w:eastAsia="zh-CN"/>
              </w:rPr>
            </w:pPr>
            <w:r>
              <w:rPr>
                <w:rFonts w:hint="eastAsia"/>
                <w:lang w:val="en-US" w:eastAsia="zh-CN"/>
              </w:rPr>
              <w:t>城南站</w:t>
            </w:r>
          </w:p>
        </w:tc>
      </w:tr>
      <w:tr w14:paraId="033D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shd w:val="clear" w:color="auto" w:fill="auto"/>
            <w:noWrap w:val="0"/>
            <w:vAlign w:val="center"/>
          </w:tcPr>
          <w:p w14:paraId="026FA949">
            <w:pPr>
              <w:pStyle w:val="24"/>
              <w:numPr>
                <w:ilvl w:val="0"/>
                <w:numId w:val="0"/>
              </w:numPr>
              <w:jc w:val="center"/>
              <w:rPr>
                <w:rFonts w:hint="eastAsia"/>
                <w:lang w:val="en-US" w:eastAsia="zh-CN"/>
              </w:rPr>
            </w:pPr>
          </w:p>
        </w:tc>
        <w:tc>
          <w:tcPr>
            <w:tcW w:w="3471" w:type="dxa"/>
            <w:noWrap w:val="0"/>
            <w:vAlign w:val="center"/>
          </w:tcPr>
          <w:p w14:paraId="5A647DE5">
            <w:pPr>
              <w:pStyle w:val="24"/>
              <w:numPr>
                <w:ilvl w:val="0"/>
                <w:numId w:val="0"/>
              </w:numPr>
              <w:jc w:val="center"/>
              <w:rPr>
                <w:rFonts w:hint="eastAsia"/>
                <w:lang w:val="en-US" w:eastAsia="zh-CN"/>
              </w:rPr>
            </w:pPr>
            <w:r>
              <w:rPr>
                <w:rFonts w:hint="eastAsia"/>
                <w:lang w:val="en-US" w:eastAsia="zh-CN"/>
              </w:rPr>
              <w:t>立柱更换修复</w:t>
            </w:r>
          </w:p>
        </w:tc>
        <w:tc>
          <w:tcPr>
            <w:tcW w:w="819" w:type="dxa"/>
            <w:shd w:val="clear" w:color="auto" w:fill="auto"/>
            <w:noWrap w:val="0"/>
            <w:vAlign w:val="center"/>
          </w:tcPr>
          <w:p w14:paraId="6C0C988F">
            <w:pPr>
              <w:pStyle w:val="24"/>
              <w:numPr>
                <w:ilvl w:val="0"/>
                <w:numId w:val="0"/>
              </w:numPr>
              <w:jc w:val="center"/>
              <w:rPr>
                <w:rFonts w:hint="eastAsia"/>
                <w:lang w:val="en-US" w:eastAsia="zh-CN"/>
              </w:rPr>
            </w:pPr>
            <w:r>
              <w:rPr>
                <w:rFonts w:hint="eastAsia"/>
                <w:lang w:val="en-US" w:eastAsia="zh-CN"/>
              </w:rPr>
              <w:t>16</w:t>
            </w:r>
          </w:p>
        </w:tc>
        <w:tc>
          <w:tcPr>
            <w:tcW w:w="766" w:type="dxa"/>
            <w:shd w:val="clear" w:color="auto" w:fill="auto"/>
            <w:noWrap w:val="0"/>
            <w:vAlign w:val="center"/>
          </w:tcPr>
          <w:p w14:paraId="6D4E9D8C">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3F015CAE">
            <w:pPr>
              <w:pStyle w:val="24"/>
              <w:numPr>
                <w:ilvl w:val="0"/>
                <w:numId w:val="0"/>
              </w:numPr>
              <w:jc w:val="center"/>
              <w:rPr>
                <w:rFonts w:hint="eastAsia"/>
                <w:lang w:val="en-US" w:eastAsia="zh-CN"/>
              </w:rPr>
            </w:pPr>
            <w:r>
              <w:rPr>
                <w:rFonts w:hint="eastAsia"/>
                <w:lang w:val="en-US" w:eastAsia="zh-CN"/>
              </w:rPr>
              <w:t>城南站</w:t>
            </w:r>
          </w:p>
        </w:tc>
      </w:tr>
      <w:tr w14:paraId="1F36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shd w:val="clear" w:color="auto" w:fill="auto"/>
            <w:noWrap w:val="0"/>
            <w:vAlign w:val="center"/>
          </w:tcPr>
          <w:p w14:paraId="7802E692">
            <w:pPr>
              <w:pStyle w:val="24"/>
              <w:numPr>
                <w:ilvl w:val="0"/>
                <w:numId w:val="0"/>
              </w:numPr>
              <w:jc w:val="center"/>
              <w:rPr>
                <w:rFonts w:hint="eastAsia"/>
                <w:lang w:val="en-US" w:eastAsia="zh-CN"/>
              </w:rPr>
            </w:pPr>
          </w:p>
        </w:tc>
        <w:tc>
          <w:tcPr>
            <w:tcW w:w="3471" w:type="dxa"/>
            <w:noWrap w:val="0"/>
            <w:vAlign w:val="center"/>
          </w:tcPr>
          <w:p w14:paraId="42D27DCD">
            <w:pPr>
              <w:pStyle w:val="24"/>
              <w:numPr>
                <w:ilvl w:val="0"/>
                <w:numId w:val="0"/>
              </w:numPr>
              <w:jc w:val="center"/>
              <w:rPr>
                <w:rFonts w:hint="eastAsia"/>
                <w:lang w:val="en-US" w:eastAsia="zh-CN"/>
              </w:rPr>
            </w:pPr>
            <w:r>
              <w:rPr>
                <w:rFonts w:hint="eastAsia"/>
                <w:lang w:val="en-US" w:eastAsia="zh-CN"/>
              </w:rPr>
              <w:t>导轮组件更换</w:t>
            </w:r>
          </w:p>
        </w:tc>
        <w:tc>
          <w:tcPr>
            <w:tcW w:w="819" w:type="dxa"/>
            <w:shd w:val="clear" w:color="auto" w:fill="auto"/>
            <w:noWrap w:val="0"/>
            <w:vAlign w:val="center"/>
          </w:tcPr>
          <w:p w14:paraId="4E992711">
            <w:pPr>
              <w:pStyle w:val="24"/>
              <w:numPr>
                <w:ilvl w:val="0"/>
                <w:numId w:val="0"/>
              </w:numPr>
              <w:jc w:val="center"/>
              <w:rPr>
                <w:rFonts w:hint="eastAsia"/>
                <w:lang w:val="en-US" w:eastAsia="zh-CN"/>
              </w:rPr>
            </w:pPr>
            <w:r>
              <w:rPr>
                <w:rFonts w:hint="eastAsia"/>
                <w:lang w:val="en-US" w:eastAsia="zh-CN"/>
              </w:rPr>
              <w:t>16</w:t>
            </w:r>
          </w:p>
        </w:tc>
        <w:tc>
          <w:tcPr>
            <w:tcW w:w="766" w:type="dxa"/>
            <w:shd w:val="clear" w:color="auto" w:fill="auto"/>
            <w:noWrap w:val="0"/>
            <w:vAlign w:val="center"/>
          </w:tcPr>
          <w:p w14:paraId="17488AAE">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120037B8">
            <w:pPr>
              <w:pStyle w:val="24"/>
              <w:numPr>
                <w:ilvl w:val="0"/>
                <w:numId w:val="0"/>
              </w:numPr>
              <w:jc w:val="center"/>
              <w:rPr>
                <w:rFonts w:hint="eastAsia"/>
                <w:lang w:val="en-US" w:eastAsia="zh-CN"/>
              </w:rPr>
            </w:pPr>
            <w:r>
              <w:rPr>
                <w:rFonts w:hint="eastAsia"/>
                <w:lang w:val="en-US" w:eastAsia="zh-CN"/>
              </w:rPr>
              <w:t>城南站</w:t>
            </w:r>
          </w:p>
        </w:tc>
      </w:tr>
      <w:tr w14:paraId="5436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shd w:val="clear" w:color="auto" w:fill="auto"/>
            <w:noWrap w:val="0"/>
            <w:vAlign w:val="center"/>
          </w:tcPr>
          <w:p w14:paraId="475182E1">
            <w:pPr>
              <w:pStyle w:val="24"/>
              <w:numPr>
                <w:ilvl w:val="0"/>
                <w:numId w:val="0"/>
              </w:numPr>
              <w:jc w:val="center"/>
              <w:rPr>
                <w:rFonts w:hint="eastAsia"/>
                <w:lang w:val="en-US" w:eastAsia="zh-CN"/>
              </w:rPr>
            </w:pPr>
          </w:p>
        </w:tc>
        <w:tc>
          <w:tcPr>
            <w:tcW w:w="3471" w:type="dxa"/>
            <w:noWrap w:val="0"/>
            <w:vAlign w:val="center"/>
          </w:tcPr>
          <w:p w14:paraId="74EBBCA6">
            <w:pPr>
              <w:pStyle w:val="24"/>
              <w:numPr>
                <w:ilvl w:val="0"/>
                <w:numId w:val="0"/>
              </w:numPr>
              <w:jc w:val="center"/>
              <w:rPr>
                <w:rFonts w:hint="eastAsia"/>
                <w:lang w:val="en-US" w:eastAsia="zh-CN"/>
              </w:rPr>
            </w:pPr>
            <w:r>
              <w:rPr>
                <w:rFonts w:hint="eastAsia"/>
                <w:lang w:val="en-US" w:eastAsia="zh-CN"/>
              </w:rPr>
              <w:t>钢铝坦克链总成</w:t>
            </w:r>
          </w:p>
        </w:tc>
        <w:tc>
          <w:tcPr>
            <w:tcW w:w="819" w:type="dxa"/>
            <w:shd w:val="clear" w:color="auto" w:fill="auto"/>
            <w:noWrap w:val="0"/>
            <w:vAlign w:val="center"/>
          </w:tcPr>
          <w:p w14:paraId="586E0247">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19700BB2">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1B3D4ACA">
            <w:pPr>
              <w:pStyle w:val="24"/>
              <w:numPr>
                <w:ilvl w:val="0"/>
                <w:numId w:val="0"/>
              </w:numPr>
              <w:jc w:val="center"/>
              <w:rPr>
                <w:rFonts w:hint="eastAsia"/>
                <w:lang w:val="en-US" w:eastAsia="zh-CN"/>
              </w:rPr>
            </w:pPr>
            <w:r>
              <w:rPr>
                <w:rFonts w:hint="eastAsia"/>
                <w:lang w:val="en-US" w:eastAsia="zh-CN"/>
              </w:rPr>
              <w:t>城南站</w:t>
            </w:r>
          </w:p>
        </w:tc>
      </w:tr>
      <w:tr w14:paraId="63EA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restart"/>
            <w:shd w:val="clear" w:color="auto" w:fill="auto"/>
            <w:noWrap w:val="0"/>
            <w:vAlign w:val="center"/>
          </w:tcPr>
          <w:p w14:paraId="5B772A93">
            <w:pPr>
              <w:pStyle w:val="24"/>
              <w:numPr>
                <w:ilvl w:val="0"/>
                <w:numId w:val="0"/>
              </w:numPr>
              <w:jc w:val="center"/>
              <w:rPr>
                <w:rFonts w:hint="eastAsia"/>
                <w:lang w:val="en-US" w:eastAsia="zh-CN"/>
              </w:rPr>
            </w:pPr>
            <w:r>
              <w:rPr>
                <w:rFonts w:hint="eastAsia"/>
                <w:lang w:val="en-US" w:eastAsia="zh-CN"/>
              </w:rPr>
              <w:t>6</w:t>
            </w:r>
          </w:p>
        </w:tc>
        <w:tc>
          <w:tcPr>
            <w:tcW w:w="3471" w:type="dxa"/>
            <w:noWrap w:val="0"/>
            <w:vAlign w:val="center"/>
          </w:tcPr>
          <w:p w14:paraId="345E629F">
            <w:pPr>
              <w:pStyle w:val="24"/>
              <w:numPr>
                <w:ilvl w:val="0"/>
                <w:numId w:val="0"/>
              </w:numPr>
              <w:jc w:val="center"/>
              <w:rPr>
                <w:rFonts w:hint="eastAsia"/>
                <w:lang w:val="en-US" w:eastAsia="zh-CN"/>
              </w:rPr>
            </w:pPr>
            <w:r>
              <w:rPr>
                <w:rFonts w:hint="eastAsia"/>
                <w:lang w:val="en-US" w:eastAsia="zh-CN"/>
              </w:rPr>
              <w:t>垂直式箱体</w:t>
            </w:r>
          </w:p>
        </w:tc>
        <w:tc>
          <w:tcPr>
            <w:tcW w:w="819" w:type="dxa"/>
            <w:shd w:val="clear" w:color="auto" w:fill="auto"/>
            <w:noWrap w:val="0"/>
            <w:vAlign w:val="center"/>
          </w:tcPr>
          <w:p w14:paraId="4C50A92B">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0B455ABC">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46DF3C83">
            <w:pPr>
              <w:pStyle w:val="24"/>
              <w:numPr>
                <w:ilvl w:val="0"/>
                <w:numId w:val="0"/>
              </w:numPr>
              <w:jc w:val="center"/>
              <w:rPr>
                <w:rFonts w:hint="eastAsia"/>
                <w:lang w:val="en-US" w:eastAsia="zh-CN"/>
              </w:rPr>
            </w:pPr>
            <w:r>
              <w:rPr>
                <w:rFonts w:hint="eastAsia"/>
                <w:lang w:val="en-US" w:eastAsia="zh-CN"/>
              </w:rPr>
              <w:t>宁昌站</w:t>
            </w:r>
          </w:p>
        </w:tc>
      </w:tr>
      <w:tr w14:paraId="67A8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shd w:val="clear" w:color="auto" w:fill="auto"/>
            <w:noWrap w:val="0"/>
            <w:vAlign w:val="center"/>
          </w:tcPr>
          <w:p w14:paraId="5DCC325A">
            <w:pPr>
              <w:pStyle w:val="24"/>
              <w:numPr>
                <w:ilvl w:val="0"/>
                <w:numId w:val="0"/>
              </w:numPr>
              <w:jc w:val="center"/>
              <w:rPr>
                <w:rFonts w:hint="eastAsia"/>
                <w:lang w:val="en-US" w:eastAsia="zh-CN"/>
              </w:rPr>
            </w:pPr>
          </w:p>
        </w:tc>
        <w:tc>
          <w:tcPr>
            <w:tcW w:w="3471" w:type="dxa"/>
            <w:noWrap w:val="0"/>
            <w:vAlign w:val="center"/>
          </w:tcPr>
          <w:p w14:paraId="227472D0">
            <w:pPr>
              <w:pStyle w:val="24"/>
              <w:numPr>
                <w:ilvl w:val="0"/>
                <w:numId w:val="0"/>
              </w:numPr>
              <w:jc w:val="center"/>
              <w:rPr>
                <w:rFonts w:hint="eastAsia"/>
                <w:lang w:val="en-US" w:eastAsia="zh-CN"/>
              </w:rPr>
            </w:pPr>
            <w:r>
              <w:rPr>
                <w:rFonts w:hint="eastAsia"/>
                <w:lang w:val="en-US" w:eastAsia="zh-CN"/>
              </w:rPr>
              <w:t>整机高压管道改造</w:t>
            </w:r>
          </w:p>
        </w:tc>
        <w:tc>
          <w:tcPr>
            <w:tcW w:w="819" w:type="dxa"/>
            <w:shd w:val="clear" w:color="auto" w:fill="auto"/>
            <w:noWrap w:val="0"/>
            <w:vAlign w:val="center"/>
          </w:tcPr>
          <w:p w14:paraId="36B396C2">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3D994705">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2CA32876">
            <w:pPr>
              <w:pStyle w:val="24"/>
              <w:numPr>
                <w:ilvl w:val="0"/>
                <w:numId w:val="0"/>
              </w:numPr>
              <w:jc w:val="center"/>
              <w:rPr>
                <w:rFonts w:hint="eastAsia"/>
                <w:lang w:val="en-US" w:eastAsia="zh-CN"/>
              </w:rPr>
            </w:pPr>
            <w:r>
              <w:rPr>
                <w:rFonts w:hint="eastAsia"/>
                <w:lang w:val="en-US" w:eastAsia="zh-CN"/>
              </w:rPr>
              <w:t>宁昌站</w:t>
            </w:r>
          </w:p>
        </w:tc>
      </w:tr>
      <w:tr w14:paraId="7A1A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shd w:val="clear" w:color="auto" w:fill="auto"/>
            <w:noWrap w:val="0"/>
            <w:vAlign w:val="center"/>
          </w:tcPr>
          <w:p w14:paraId="0C64BE50">
            <w:pPr>
              <w:pStyle w:val="24"/>
              <w:numPr>
                <w:ilvl w:val="0"/>
                <w:numId w:val="0"/>
              </w:numPr>
              <w:jc w:val="center"/>
              <w:rPr>
                <w:rFonts w:hint="eastAsia"/>
                <w:lang w:val="en-US" w:eastAsia="zh-CN"/>
              </w:rPr>
            </w:pPr>
          </w:p>
        </w:tc>
        <w:tc>
          <w:tcPr>
            <w:tcW w:w="3471" w:type="dxa"/>
            <w:noWrap w:val="0"/>
            <w:vAlign w:val="center"/>
          </w:tcPr>
          <w:p w14:paraId="4B8EEDE4">
            <w:pPr>
              <w:pStyle w:val="24"/>
              <w:numPr>
                <w:ilvl w:val="0"/>
                <w:numId w:val="0"/>
              </w:numPr>
              <w:jc w:val="center"/>
              <w:rPr>
                <w:rFonts w:hint="eastAsia"/>
                <w:lang w:val="en-US" w:eastAsia="zh-CN"/>
              </w:rPr>
            </w:pPr>
            <w:r>
              <w:rPr>
                <w:rFonts w:hint="eastAsia"/>
                <w:lang w:val="en-US" w:eastAsia="zh-CN"/>
              </w:rPr>
              <w:t>立柱更换修复</w:t>
            </w:r>
          </w:p>
        </w:tc>
        <w:tc>
          <w:tcPr>
            <w:tcW w:w="819" w:type="dxa"/>
            <w:shd w:val="clear" w:color="auto" w:fill="auto"/>
            <w:noWrap w:val="0"/>
            <w:vAlign w:val="center"/>
          </w:tcPr>
          <w:p w14:paraId="7C26F06D">
            <w:pPr>
              <w:pStyle w:val="24"/>
              <w:numPr>
                <w:ilvl w:val="0"/>
                <w:numId w:val="0"/>
              </w:numPr>
              <w:jc w:val="center"/>
              <w:rPr>
                <w:rFonts w:hint="eastAsia"/>
                <w:lang w:val="en-US" w:eastAsia="zh-CN"/>
              </w:rPr>
            </w:pPr>
            <w:r>
              <w:rPr>
                <w:rFonts w:hint="eastAsia"/>
                <w:lang w:val="en-US" w:eastAsia="zh-CN"/>
              </w:rPr>
              <w:t>16</w:t>
            </w:r>
          </w:p>
        </w:tc>
        <w:tc>
          <w:tcPr>
            <w:tcW w:w="766" w:type="dxa"/>
            <w:shd w:val="clear" w:color="auto" w:fill="auto"/>
            <w:noWrap w:val="0"/>
            <w:vAlign w:val="center"/>
          </w:tcPr>
          <w:p w14:paraId="06391158">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306B9580">
            <w:pPr>
              <w:pStyle w:val="24"/>
              <w:numPr>
                <w:ilvl w:val="0"/>
                <w:numId w:val="0"/>
              </w:numPr>
              <w:jc w:val="center"/>
              <w:rPr>
                <w:rFonts w:hint="eastAsia"/>
                <w:lang w:val="en-US" w:eastAsia="zh-CN"/>
              </w:rPr>
            </w:pPr>
            <w:r>
              <w:rPr>
                <w:rFonts w:hint="eastAsia"/>
                <w:lang w:val="en-US" w:eastAsia="zh-CN"/>
              </w:rPr>
              <w:t>宁昌站</w:t>
            </w:r>
          </w:p>
        </w:tc>
      </w:tr>
      <w:tr w14:paraId="57AD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shd w:val="clear" w:color="auto" w:fill="auto"/>
            <w:noWrap w:val="0"/>
            <w:vAlign w:val="center"/>
          </w:tcPr>
          <w:p w14:paraId="3283DF55">
            <w:pPr>
              <w:pStyle w:val="24"/>
              <w:numPr>
                <w:ilvl w:val="0"/>
                <w:numId w:val="0"/>
              </w:numPr>
              <w:jc w:val="center"/>
              <w:rPr>
                <w:rFonts w:hint="eastAsia"/>
                <w:lang w:val="en-US" w:eastAsia="zh-CN"/>
              </w:rPr>
            </w:pPr>
          </w:p>
        </w:tc>
        <w:tc>
          <w:tcPr>
            <w:tcW w:w="3471" w:type="dxa"/>
            <w:noWrap w:val="0"/>
            <w:vAlign w:val="center"/>
          </w:tcPr>
          <w:p w14:paraId="2D46E7BB">
            <w:pPr>
              <w:pStyle w:val="24"/>
              <w:numPr>
                <w:ilvl w:val="0"/>
                <w:numId w:val="0"/>
              </w:numPr>
              <w:jc w:val="center"/>
              <w:rPr>
                <w:rFonts w:hint="eastAsia"/>
                <w:lang w:val="en-US" w:eastAsia="zh-CN"/>
              </w:rPr>
            </w:pPr>
            <w:r>
              <w:rPr>
                <w:rFonts w:hint="eastAsia"/>
                <w:lang w:val="en-US" w:eastAsia="zh-CN"/>
              </w:rPr>
              <w:t>导轮组件更换</w:t>
            </w:r>
          </w:p>
        </w:tc>
        <w:tc>
          <w:tcPr>
            <w:tcW w:w="819" w:type="dxa"/>
            <w:shd w:val="clear" w:color="auto" w:fill="auto"/>
            <w:noWrap w:val="0"/>
            <w:vAlign w:val="center"/>
          </w:tcPr>
          <w:p w14:paraId="723B03F7">
            <w:pPr>
              <w:pStyle w:val="24"/>
              <w:numPr>
                <w:ilvl w:val="0"/>
                <w:numId w:val="0"/>
              </w:numPr>
              <w:jc w:val="center"/>
              <w:rPr>
                <w:rFonts w:hint="eastAsia"/>
                <w:lang w:val="en-US" w:eastAsia="zh-CN"/>
              </w:rPr>
            </w:pPr>
            <w:r>
              <w:rPr>
                <w:rFonts w:hint="eastAsia"/>
                <w:lang w:val="en-US" w:eastAsia="zh-CN"/>
              </w:rPr>
              <w:t>10</w:t>
            </w:r>
          </w:p>
        </w:tc>
        <w:tc>
          <w:tcPr>
            <w:tcW w:w="766" w:type="dxa"/>
            <w:shd w:val="clear" w:color="auto" w:fill="auto"/>
            <w:noWrap w:val="0"/>
            <w:vAlign w:val="center"/>
          </w:tcPr>
          <w:p w14:paraId="7631CC2B">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76C52E39">
            <w:pPr>
              <w:pStyle w:val="24"/>
              <w:numPr>
                <w:ilvl w:val="0"/>
                <w:numId w:val="0"/>
              </w:numPr>
              <w:jc w:val="center"/>
              <w:rPr>
                <w:rFonts w:hint="eastAsia"/>
                <w:lang w:val="en-US" w:eastAsia="zh-CN"/>
              </w:rPr>
            </w:pPr>
            <w:r>
              <w:rPr>
                <w:rFonts w:hint="eastAsia"/>
                <w:lang w:val="en-US" w:eastAsia="zh-CN"/>
              </w:rPr>
              <w:t>宁昌站</w:t>
            </w:r>
          </w:p>
        </w:tc>
      </w:tr>
      <w:tr w14:paraId="20E8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shd w:val="clear" w:color="auto" w:fill="auto"/>
            <w:noWrap w:val="0"/>
            <w:vAlign w:val="center"/>
          </w:tcPr>
          <w:p w14:paraId="07D0C12E">
            <w:pPr>
              <w:pStyle w:val="24"/>
              <w:numPr>
                <w:ilvl w:val="0"/>
                <w:numId w:val="0"/>
              </w:numPr>
              <w:jc w:val="center"/>
              <w:rPr>
                <w:rFonts w:hint="eastAsia"/>
                <w:lang w:val="en-US" w:eastAsia="zh-CN"/>
              </w:rPr>
            </w:pPr>
          </w:p>
        </w:tc>
        <w:tc>
          <w:tcPr>
            <w:tcW w:w="3471" w:type="dxa"/>
            <w:noWrap w:val="0"/>
            <w:vAlign w:val="center"/>
          </w:tcPr>
          <w:p w14:paraId="14A5752F">
            <w:pPr>
              <w:pStyle w:val="24"/>
              <w:numPr>
                <w:ilvl w:val="0"/>
                <w:numId w:val="0"/>
              </w:numPr>
              <w:jc w:val="center"/>
              <w:rPr>
                <w:rFonts w:hint="eastAsia"/>
                <w:lang w:val="en-US" w:eastAsia="zh-CN"/>
              </w:rPr>
            </w:pPr>
            <w:r>
              <w:rPr>
                <w:rFonts w:hint="eastAsia"/>
                <w:lang w:val="en-US" w:eastAsia="zh-CN"/>
              </w:rPr>
              <w:t>液压泵阀元件</w:t>
            </w:r>
          </w:p>
        </w:tc>
        <w:tc>
          <w:tcPr>
            <w:tcW w:w="819" w:type="dxa"/>
            <w:shd w:val="clear" w:color="auto" w:fill="auto"/>
            <w:noWrap w:val="0"/>
            <w:vAlign w:val="center"/>
          </w:tcPr>
          <w:p w14:paraId="354FF006">
            <w:pPr>
              <w:pStyle w:val="24"/>
              <w:numPr>
                <w:ilvl w:val="0"/>
                <w:numId w:val="0"/>
              </w:numPr>
              <w:jc w:val="center"/>
              <w:rPr>
                <w:rFonts w:hint="eastAsia"/>
                <w:lang w:val="en-US" w:eastAsia="zh-CN"/>
              </w:rPr>
            </w:pPr>
            <w:r>
              <w:rPr>
                <w:rFonts w:hint="eastAsia"/>
                <w:lang w:val="en-US" w:eastAsia="zh-CN"/>
              </w:rPr>
              <w:t>1</w:t>
            </w:r>
          </w:p>
        </w:tc>
        <w:tc>
          <w:tcPr>
            <w:tcW w:w="766" w:type="dxa"/>
            <w:shd w:val="clear" w:color="auto" w:fill="auto"/>
            <w:noWrap w:val="0"/>
            <w:vAlign w:val="center"/>
          </w:tcPr>
          <w:p w14:paraId="73337622">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0B1CEB70">
            <w:pPr>
              <w:pStyle w:val="24"/>
              <w:numPr>
                <w:ilvl w:val="0"/>
                <w:numId w:val="0"/>
              </w:numPr>
              <w:jc w:val="center"/>
              <w:rPr>
                <w:rFonts w:hint="eastAsia"/>
                <w:lang w:val="en-US" w:eastAsia="zh-CN"/>
              </w:rPr>
            </w:pPr>
            <w:r>
              <w:rPr>
                <w:rFonts w:hint="eastAsia"/>
                <w:lang w:val="en-US" w:eastAsia="zh-CN"/>
              </w:rPr>
              <w:t>宁昌站</w:t>
            </w:r>
          </w:p>
        </w:tc>
      </w:tr>
      <w:tr w14:paraId="435A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restart"/>
            <w:noWrap w:val="0"/>
            <w:vAlign w:val="center"/>
          </w:tcPr>
          <w:p w14:paraId="162F67A1">
            <w:pPr>
              <w:pStyle w:val="24"/>
              <w:numPr>
                <w:ilvl w:val="0"/>
                <w:numId w:val="0"/>
              </w:numPr>
              <w:jc w:val="center"/>
              <w:rPr>
                <w:rFonts w:hint="eastAsia"/>
                <w:lang w:val="en-US" w:eastAsia="zh-CN"/>
              </w:rPr>
            </w:pPr>
            <w:r>
              <w:rPr>
                <w:rFonts w:hint="eastAsia"/>
                <w:lang w:val="en-US" w:eastAsia="zh-CN"/>
              </w:rPr>
              <w:t>7</w:t>
            </w:r>
          </w:p>
        </w:tc>
        <w:tc>
          <w:tcPr>
            <w:tcW w:w="3471" w:type="dxa"/>
            <w:noWrap w:val="0"/>
            <w:vAlign w:val="center"/>
          </w:tcPr>
          <w:p w14:paraId="47301E14">
            <w:pPr>
              <w:pStyle w:val="24"/>
              <w:numPr>
                <w:ilvl w:val="0"/>
                <w:numId w:val="0"/>
              </w:numPr>
              <w:jc w:val="center"/>
              <w:rPr>
                <w:rFonts w:hint="eastAsia"/>
                <w:lang w:val="en-US" w:eastAsia="zh-CN"/>
              </w:rPr>
            </w:pPr>
            <w:r>
              <w:rPr>
                <w:rFonts w:hint="eastAsia"/>
                <w:lang w:val="en-US" w:eastAsia="zh-CN"/>
              </w:rPr>
              <w:t>前门油缸</w:t>
            </w:r>
          </w:p>
        </w:tc>
        <w:tc>
          <w:tcPr>
            <w:tcW w:w="819" w:type="dxa"/>
            <w:shd w:val="clear" w:color="auto" w:fill="auto"/>
            <w:noWrap w:val="0"/>
            <w:vAlign w:val="center"/>
          </w:tcPr>
          <w:p w14:paraId="4A1DE7B3">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2FA21AB1">
            <w:pPr>
              <w:pStyle w:val="24"/>
              <w:numPr>
                <w:ilvl w:val="0"/>
                <w:numId w:val="0"/>
              </w:numPr>
              <w:jc w:val="center"/>
              <w:rPr>
                <w:rFonts w:hint="eastAsia"/>
                <w:lang w:val="en-US" w:eastAsia="zh-CN"/>
              </w:rPr>
            </w:pPr>
            <w:r>
              <w:rPr>
                <w:rFonts w:hint="eastAsia"/>
                <w:lang w:val="en-US" w:eastAsia="zh-CN"/>
              </w:rPr>
              <w:t>根</w:t>
            </w:r>
          </w:p>
        </w:tc>
        <w:tc>
          <w:tcPr>
            <w:tcW w:w="2250" w:type="dxa"/>
            <w:noWrap w:val="0"/>
            <w:vAlign w:val="center"/>
          </w:tcPr>
          <w:p w14:paraId="320AD7A3">
            <w:pPr>
              <w:pStyle w:val="24"/>
              <w:numPr>
                <w:ilvl w:val="0"/>
                <w:numId w:val="0"/>
              </w:numPr>
              <w:jc w:val="center"/>
              <w:rPr>
                <w:rFonts w:hint="eastAsia"/>
                <w:lang w:val="en-US" w:eastAsia="zh-CN"/>
              </w:rPr>
            </w:pPr>
            <w:r>
              <w:rPr>
                <w:rFonts w:hint="eastAsia"/>
                <w:lang w:val="en-US" w:eastAsia="zh-CN"/>
              </w:rPr>
              <w:t>物流园区站</w:t>
            </w:r>
          </w:p>
        </w:tc>
      </w:tr>
      <w:tr w14:paraId="4BBC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noWrap w:val="0"/>
            <w:vAlign w:val="center"/>
          </w:tcPr>
          <w:p w14:paraId="706EE2EF">
            <w:pPr>
              <w:pStyle w:val="24"/>
              <w:numPr>
                <w:ilvl w:val="0"/>
                <w:numId w:val="0"/>
              </w:numPr>
              <w:jc w:val="center"/>
              <w:rPr>
                <w:rFonts w:hint="eastAsia"/>
                <w:lang w:val="en-US" w:eastAsia="zh-CN"/>
              </w:rPr>
            </w:pPr>
          </w:p>
        </w:tc>
        <w:tc>
          <w:tcPr>
            <w:tcW w:w="3471" w:type="dxa"/>
            <w:noWrap w:val="0"/>
            <w:vAlign w:val="center"/>
          </w:tcPr>
          <w:p w14:paraId="017065AE">
            <w:pPr>
              <w:pStyle w:val="24"/>
              <w:numPr>
                <w:ilvl w:val="0"/>
                <w:numId w:val="0"/>
              </w:numPr>
              <w:jc w:val="center"/>
              <w:rPr>
                <w:rFonts w:hint="eastAsia"/>
                <w:lang w:val="en-US" w:eastAsia="zh-CN"/>
              </w:rPr>
            </w:pPr>
            <w:r>
              <w:rPr>
                <w:rFonts w:hint="eastAsia"/>
                <w:lang w:val="en-US" w:eastAsia="zh-CN"/>
              </w:rPr>
              <w:t>举升油缸</w:t>
            </w:r>
          </w:p>
        </w:tc>
        <w:tc>
          <w:tcPr>
            <w:tcW w:w="819" w:type="dxa"/>
            <w:shd w:val="clear" w:color="auto" w:fill="auto"/>
            <w:noWrap w:val="0"/>
            <w:vAlign w:val="center"/>
          </w:tcPr>
          <w:p w14:paraId="62378734">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52B46C44">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28400C33">
            <w:pPr>
              <w:pStyle w:val="24"/>
              <w:numPr>
                <w:ilvl w:val="0"/>
                <w:numId w:val="0"/>
              </w:numPr>
              <w:jc w:val="center"/>
              <w:rPr>
                <w:rFonts w:hint="eastAsia"/>
                <w:lang w:val="en-US" w:eastAsia="zh-CN"/>
              </w:rPr>
            </w:pPr>
            <w:r>
              <w:rPr>
                <w:rFonts w:hint="eastAsia"/>
                <w:lang w:val="en-US" w:eastAsia="zh-CN"/>
              </w:rPr>
              <w:t>物流园区站</w:t>
            </w:r>
          </w:p>
        </w:tc>
      </w:tr>
      <w:tr w14:paraId="452A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3" w:type="dxa"/>
            <w:vMerge w:val="continue"/>
            <w:noWrap w:val="0"/>
            <w:vAlign w:val="center"/>
          </w:tcPr>
          <w:p w14:paraId="6102F8A1">
            <w:pPr>
              <w:pStyle w:val="24"/>
              <w:numPr>
                <w:ilvl w:val="0"/>
                <w:numId w:val="0"/>
              </w:numPr>
              <w:jc w:val="center"/>
              <w:rPr>
                <w:rFonts w:hint="eastAsia"/>
                <w:lang w:val="en-US" w:eastAsia="zh-CN"/>
              </w:rPr>
            </w:pPr>
          </w:p>
        </w:tc>
        <w:tc>
          <w:tcPr>
            <w:tcW w:w="3471" w:type="dxa"/>
            <w:noWrap w:val="0"/>
            <w:vAlign w:val="center"/>
          </w:tcPr>
          <w:p w14:paraId="39755FA1">
            <w:pPr>
              <w:pStyle w:val="24"/>
              <w:numPr>
                <w:ilvl w:val="0"/>
                <w:numId w:val="0"/>
              </w:numPr>
              <w:jc w:val="center"/>
              <w:rPr>
                <w:rFonts w:hint="eastAsia"/>
                <w:lang w:val="en-US" w:eastAsia="zh-CN"/>
              </w:rPr>
            </w:pPr>
            <w:r>
              <w:rPr>
                <w:rFonts w:hint="eastAsia"/>
                <w:lang w:val="en-US" w:eastAsia="zh-CN"/>
              </w:rPr>
              <w:t>整机高压管道改造</w:t>
            </w:r>
          </w:p>
        </w:tc>
        <w:tc>
          <w:tcPr>
            <w:tcW w:w="819" w:type="dxa"/>
            <w:shd w:val="clear" w:color="auto" w:fill="auto"/>
            <w:noWrap w:val="0"/>
            <w:vAlign w:val="center"/>
          </w:tcPr>
          <w:p w14:paraId="5496B515">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63DA637C">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2231E97B">
            <w:pPr>
              <w:pStyle w:val="24"/>
              <w:numPr>
                <w:ilvl w:val="0"/>
                <w:numId w:val="0"/>
              </w:numPr>
              <w:jc w:val="center"/>
              <w:rPr>
                <w:rFonts w:hint="eastAsia"/>
                <w:lang w:val="en-US" w:eastAsia="zh-CN"/>
              </w:rPr>
            </w:pPr>
            <w:r>
              <w:rPr>
                <w:rFonts w:hint="eastAsia"/>
                <w:lang w:val="en-US" w:eastAsia="zh-CN"/>
              </w:rPr>
              <w:t>物流园区站</w:t>
            </w:r>
          </w:p>
        </w:tc>
      </w:tr>
      <w:tr w14:paraId="5932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restart"/>
            <w:noWrap w:val="0"/>
            <w:vAlign w:val="center"/>
          </w:tcPr>
          <w:p w14:paraId="122D348E">
            <w:pPr>
              <w:pStyle w:val="24"/>
              <w:numPr>
                <w:ilvl w:val="0"/>
                <w:numId w:val="0"/>
              </w:numPr>
              <w:jc w:val="center"/>
              <w:rPr>
                <w:rFonts w:hint="eastAsia"/>
                <w:lang w:val="en-US" w:eastAsia="zh-CN"/>
              </w:rPr>
            </w:pPr>
            <w:r>
              <w:rPr>
                <w:rFonts w:hint="eastAsia"/>
                <w:lang w:val="en-US" w:eastAsia="zh-CN"/>
              </w:rPr>
              <w:t>8</w:t>
            </w:r>
          </w:p>
        </w:tc>
        <w:tc>
          <w:tcPr>
            <w:tcW w:w="3471" w:type="dxa"/>
            <w:noWrap w:val="0"/>
            <w:vAlign w:val="center"/>
          </w:tcPr>
          <w:p w14:paraId="36EB1365">
            <w:pPr>
              <w:pStyle w:val="24"/>
              <w:numPr>
                <w:ilvl w:val="0"/>
                <w:numId w:val="0"/>
              </w:numPr>
              <w:jc w:val="center"/>
              <w:rPr>
                <w:rFonts w:hint="eastAsia"/>
                <w:lang w:val="en-US" w:eastAsia="zh-CN"/>
              </w:rPr>
            </w:pPr>
            <w:r>
              <w:rPr>
                <w:rFonts w:hint="eastAsia"/>
                <w:lang w:val="en-US" w:eastAsia="zh-CN"/>
              </w:rPr>
              <w:t>举升油缸</w:t>
            </w:r>
          </w:p>
        </w:tc>
        <w:tc>
          <w:tcPr>
            <w:tcW w:w="819" w:type="dxa"/>
            <w:shd w:val="clear" w:color="auto" w:fill="auto"/>
            <w:noWrap w:val="0"/>
            <w:vAlign w:val="center"/>
          </w:tcPr>
          <w:p w14:paraId="1B471FAA">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774EB99A">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10020467">
            <w:pPr>
              <w:pStyle w:val="24"/>
              <w:numPr>
                <w:ilvl w:val="0"/>
                <w:numId w:val="0"/>
              </w:numPr>
              <w:jc w:val="center"/>
              <w:rPr>
                <w:rFonts w:hint="eastAsia"/>
                <w:lang w:val="en-US" w:eastAsia="zh-CN"/>
              </w:rPr>
            </w:pPr>
            <w:r>
              <w:rPr>
                <w:rFonts w:hint="eastAsia"/>
                <w:lang w:val="en-US" w:eastAsia="zh-CN"/>
              </w:rPr>
              <w:t>金山六路站</w:t>
            </w:r>
          </w:p>
        </w:tc>
      </w:tr>
      <w:tr w14:paraId="0ABE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continue"/>
            <w:noWrap w:val="0"/>
            <w:vAlign w:val="center"/>
          </w:tcPr>
          <w:p w14:paraId="22A1CB7F">
            <w:pPr>
              <w:pStyle w:val="24"/>
              <w:numPr>
                <w:ilvl w:val="0"/>
                <w:numId w:val="0"/>
              </w:numPr>
              <w:jc w:val="center"/>
              <w:rPr>
                <w:rFonts w:hint="eastAsia"/>
                <w:lang w:val="en-US" w:eastAsia="zh-CN"/>
              </w:rPr>
            </w:pPr>
          </w:p>
        </w:tc>
        <w:tc>
          <w:tcPr>
            <w:tcW w:w="3471" w:type="dxa"/>
            <w:noWrap w:val="0"/>
            <w:vAlign w:val="center"/>
          </w:tcPr>
          <w:p w14:paraId="06944CED">
            <w:pPr>
              <w:pStyle w:val="24"/>
              <w:numPr>
                <w:ilvl w:val="0"/>
                <w:numId w:val="0"/>
              </w:numPr>
              <w:jc w:val="center"/>
              <w:rPr>
                <w:rFonts w:hint="eastAsia"/>
                <w:lang w:val="en-US" w:eastAsia="zh-CN"/>
              </w:rPr>
            </w:pPr>
            <w:r>
              <w:rPr>
                <w:rFonts w:hint="eastAsia"/>
                <w:lang w:val="en-US" w:eastAsia="zh-CN"/>
              </w:rPr>
              <w:t>钢铝坦克链总成</w:t>
            </w:r>
          </w:p>
        </w:tc>
        <w:tc>
          <w:tcPr>
            <w:tcW w:w="819" w:type="dxa"/>
            <w:shd w:val="clear" w:color="auto" w:fill="auto"/>
            <w:noWrap w:val="0"/>
            <w:vAlign w:val="center"/>
          </w:tcPr>
          <w:p w14:paraId="6AF7EEE1">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5AC8538E">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7BE1E7E2">
            <w:pPr>
              <w:pStyle w:val="24"/>
              <w:numPr>
                <w:ilvl w:val="0"/>
                <w:numId w:val="0"/>
              </w:numPr>
              <w:jc w:val="center"/>
              <w:rPr>
                <w:rFonts w:hint="eastAsia"/>
                <w:lang w:val="en-US" w:eastAsia="zh-CN"/>
              </w:rPr>
            </w:pPr>
            <w:r>
              <w:rPr>
                <w:rFonts w:hint="eastAsia"/>
                <w:lang w:val="en-US" w:eastAsia="zh-CN"/>
              </w:rPr>
              <w:t>金山六路站</w:t>
            </w:r>
          </w:p>
        </w:tc>
      </w:tr>
      <w:tr w14:paraId="6B5F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continue"/>
            <w:noWrap w:val="0"/>
            <w:vAlign w:val="center"/>
          </w:tcPr>
          <w:p w14:paraId="42149A8B">
            <w:pPr>
              <w:pStyle w:val="24"/>
              <w:numPr>
                <w:ilvl w:val="0"/>
                <w:numId w:val="0"/>
              </w:numPr>
              <w:jc w:val="center"/>
              <w:rPr>
                <w:rFonts w:hint="eastAsia"/>
                <w:lang w:val="en-US" w:eastAsia="zh-CN"/>
              </w:rPr>
            </w:pPr>
          </w:p>
        </w:tc>
        <w:tc>
          <w:tcPr>
            <w:tcW w:w="3471" w:type="dxa"/>
            <w:noWrap w:val="0"/>
            <w:vAlign w:val="center"/>
          </w:tcPr>
          <w:p w14:paraId="6FEE2B28">
            <w:pPr>
              <w:pStyle w:val="24"/>
              <w:numPr>
                <w:ilvl w:val="0"/>
                <w:numId w:val="0"/>
              </w:numPr>
              <w:jc w:val="center"/>
              <w:rPr>
                <w:rFonts w:hint="eastAsia"/>
                <w:lang w:val="en-US" w:eastAsia="zh-CN"/>
              </w:rPr>
            </w:pPr>
            <w:r>
              <w:rPr>
                <w:rFonts w:hint="eastAsia"/>
                <w:lang w:val="en-US" w:eastAsia="zh-CN"/>
              </w:rPr>
              <w:t>同步马达总成</w:t>
            </w:r>
          </w:p>
        </w:tc>
        <w:tc>
          <w:tcPr>
            <w:tcW w:w="819" w:type="dxa"/>
            <w:shd w:val="clear" w:color="auto" w:fill="auto"/>
            <w:noWrap w:val="0"/>
            <w:vAlign w:val="center"/>
          </w:tcPr>
          <w:p w14:paraId="670AD46D">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51C37F54">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42F29527">
            <w:pPr>
              <w:pStyle w:val="24"/>
              <w:numPr>
                <w:ilvl w:val="0"/>
                <w:numId w:val="0"/>
              </w:numPr>
              <w:jc w:val="center"/>
              <w:rPr>
                <w:rFonts w:hint="eastAsia"/>
                <w:lang w:val="en-US" w:eastAsia="zh-CN"/>
              </w:rPr>
            </w:pPr>
            <w:r>
              <w:rPr>
                <w:rFonts w:hint="eastAsia"/>
                <w:lang w:val="en-US" w:eastAsia="zh-CN"/>
              </w:rPr>
              <w:t>金山六路站</w:t>
            </w:r>
          </w:p>
        </w:tc>
      </w:tr>
      <w:tr w14:paraId="5EF2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restart"/>
            <w:noWrap w:val="0"/>
            <w:vAlign w:val="center"/>
          </w:tcPr>
          <w:p w14:paraId="360909C4">
            <w:pPr>
              <w:pStyle w:val="24"/>
              <w:numPr>
                <w:ilvl w:val="0"/>
                <w:numId w:val="0"/>
              </w:numPr>
              <w:jc w:val="center"/>
              <w:rPr>
                <w:rFonts w:hint="eastAsia"/>
                <w:lang w:val="en-US" w:eastAsia="zh-CN"/>
              </w:rPr>
            </w:pPr>
            <w:r>
              <w:rPr>
                <w:rFonts w:hint="eastAsia"/>
                <w:lang w:val="en-US" w:eastAsia="zh-CN"/>
              </w:rPr>
              <w:t>9</w:t>
            </w:r>
          </w:p>
        </w:tc>
        <w:tc>
          <w:tcPr>
            <w:tcW w:w="3471" w:type="dxa"/>
            <w:noWrap w:val="0"/>
            <w:vAlign w:val="center"/>
          </w:tcPr>
          <w:p w14:paraId="1E5FDF16">
            <w:pPr>
              <w:pStyle w:val="24"/>
              <w:numPr>
                <w:ilvl w:val="0"/>
                <w:numId w:val="0"/>
              </w:numPr>
              <w:jc w:val="center"/>
              <w:rPr>
                <w:rFonts w:hint="eastAsia"/>
                <w:lang w:val="en-US" w:eastAsia="zh-CN"/>
              </w:rPr>
            </w:pPr>
            <w:r>
              <w:rPr>
                <w:rFonts w:hint="eastAsia"/>
                <w:lang w:val="en-US" w:eastAsia="zh-CN"/>
              </w:rPr>
              <w:t>整机高压管道改造</w:t>
            </w:r>
          </w:p>
        </w:tc>
        <w:tc>
          <w:tcPr>
            <w:tcW w:w="819" w:type="dxa"/>
            <w:shd w:val="clear" w:color="auto" w:fill="auto"/>
            <w:noWrap w:val="0"/>
            <w:vAlign w:val="center"/>
          </w:tcPr>
          <w:p w14:paraId="0B7330D7">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655AB654">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236A2D5C">
            <w:pPr>
              <w:pStyle w:val="24"/>
              <w:numPr>
                <w:ilvl w:val="0"/>
                <w:numId w:val="0"/>
              </w:numPr>
              <w:jc w:val="center"/>
              <w:rPr>
                <w:rFonts w:hint="eastAsia"/>
                <w:lang w:val="en-US" w:eastAsia="zh-CN"/>
              </w:rPr>
            </w:pPr>
            <w:r>
              <w:rPr>
                <w:rFonts w:hint="eastAsia"/>
                <w:lang w:val="en-US" w:eastAsia="zh-CN"/>
              </w:rPr>
              <w:t>靖海路站</w:t>
            </w:r>
          </w:p>
        </w:tc>
      </w:tr>
      <w:tr w14:paraId="534A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continue"/>
            <w:noWrap w:val="0"/>
            <w:vAlign w:val="center"/>
          </w:tcPr>
          <w:p w14:paraId="26BCBAB4">
            <w:pPr>
              <w:pStyle w:val="24"/>
              <w:numPr>
                <w:ilvl w:val="0"/>
                <w:numId w:val="0"/>
              </w:numPr>
              <w:jc w:val="center"/>
              <w:rPr>
                <w:rFonts w:hint="eastAsia"/>
                <w:lang w:val="en-US" w:eastAsia="zh-CN"/>
              </w:rPr>
            </w:pPr>
          </w:p>
        </w:tc>
        <w:tc>
          <w:tcPr>
            <w:tcW w:w="3471" w:type="dxa"/>
            <w:noWrap w:val="0"/>
            <w:vAlign w:val="center"/>
          </w:tcPr>
          <w:p w14:paraId="0FEE00DA">
            <w:pPr>
              <w:pStyle w:val="24"/>
              <w:numPr>
                <w:ilvl w:val="0"/>
                <w:numId w:val="0"/>
              </w:numPr>
              <w:jc w:val="center"/>
              <w:rPr>
                <w:rFonts w:hint="eastAsia"/>
                <w:lang w:val="en-US" w:eastAsia="zh-CN"/>
              </w:rPr>
            </w:pPr>
            <w:r>
              <w:rPr>
                <w:rFonts w:hint="eastAsia"/>
                <w:lang w:val="en-US" w:eastAsia="zh-CN"/>
              </w:rPr>
              <w:t>压台挂箱总成</w:t>
            </w:r>
          </w:p>
        </w:tc>
        <w:tc>
          <w:tcPr>
            <w:tcW w:w="819" w:type="dxa"/>
            <w:shd w:val="clear" w:color="auto" w:fill="auto"/>
            <w:noWrap w:val="0"/>
            <w:vAlign w:val="center"/>
          </w:tcPr>
          <w:p w14:paraId="6064BBB3">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203E2228">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07B9D234">
            <w:pPr>
              <w:pStyle w:val="24"/>
              <w:numPr>
                <w:ilvl w:val="0"/>
                <w:numId w:val="0"/>
              </w:numPr>
              <w:jc w:val="center"/>
              <w:rPr>
                <w:rFonts w:hint="eastAsia"/>
                <w:lang w:val="en-US" w:eastAsia="zh-CN"/>
              </w:rPr>
            </w:pPr>
            <w:r>
              <w:rPr>
                <w:rFonts w:hint="eastAsia"/>
                <w:lang w:val="en-US" w:eastAsia="zh-CN"/>
              </w:rPr>
              <w:t>靖海路站</w:t>
            </w:r>
          </w:p>
        </w:tc>
      </w:tr>
      <w:tr w14:paraId="69F7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continue"/>
            <w:noWrap w:val="0"/>
            <w:vAlign w:val="center"/>
          </w:tcPr>
          <w:p w14:paraId="339C8589">
            <w:pPr>
              <w:pStyle w:val="24"/>
              <w:numPr>
                <w:ilvl w:val="0"/>
                <w:numId w:val="0"/>
              </w:numPr>
              <w:jc w:val="center"/>
              <w:rPr>
                <w:rFonts w:hint="eastAsia"/>
                <w:lang w:val="en-US" w:eastAsia="zh-CN"/>
              </w:rPr>
            </w:pPr>
          </w:p>
        </w:tc>
        <w:tc>
          <w:tcPr>
            <w:tcW w:w="3471" w:type="dxa"/>
            <w:noWrap w:val="0"/>
            <w:vAlign w:val="center"/>
          </w:tcPr>
          <w:p w14:paraId="703890B3">
            <w:pPr>
              <w:pStyle w:val="24"/>
              <w:numPr>
                <w:ilvl w:val="0"/>
                <w:numId w:val="0"/>
              </w:numPr>
              <w:jc w:val="center"/>
              <w:rPr>
                <w:rFonts w:hint="eastAsia"/>
                <w:lang w:val="en-US" w:eastAsia="zh-CN"/>
              </w:rPr>
            </w:pPr>
            <w:r>
              <w:rPr>
                <w:rFonts w:hint="eastAsia"/>
                <w:lang w:val="en-US" w:eastAsia="zh-CN"/>
              </w:rPr>
              <w:t>液压升降油缸</w:t>
            </w:r>
          </w:p>
        </w:tc>
        <w:tc>
          <w:tcPr>
            <w:tcW w:w="819" w:type="dxa"/>
            <w:shd w:val="clear" w:color="auto" w:fill="auto"/>
            <w:noWrap w:val="0"/>
            <w:vAlign w:val="center"/>
          </w:tcPr>
          <w:p w14:paraId="76F2688B">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5201BBDE">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5438F2D0">
            <w:pPr>
              <w:pStyle w:val="24"/>
              <w:numPr>
                <w:ilvl w:val="0"/>
                <w:numId w:val="0"/>
              </w:numPr>
              <w:jc w:val="center"/>
              <w:rPr>
                <w:rFonts w:hint="eastAsia"/>
                <w:lang w:val="en-US" w:eastAsia="zh-CN"/>
              </w:rPr>
            </w:pPr>
            <w:r>
              <w:rPr>
                <w:rFonts w:hint="eastAsia"/>
                <w:lang w:val="en-US" w:eastAsia="zh-CN"/>
              </w:rPr>
              <w:t>靖海路站</w:t>
            </w:r>
          </w:p>
        </w:tc>
      </w:tr>
      <w:tr w14:paraId="1FE8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continue"/>
            <w:noWrap w:val="0"/>
            <w:vAlign w:val="center"/>
          </w:tcPr>
          <w:p w14:paraId="7C2FE017">
            <w:pPr>
              <w:pStyle w:val="24"/>
              <w:numPr>
                <w:ilvl w:val="0"/>
                <w:numId w:val="0"/>
              </w:numPr>
              <w:jc w:val="center"/>
              <w:rPr>
                <w:rFonts w:hint="eastAsia"/>
                <w:lang w:val="en-US" w:eastAsia="zh-CN"/>
              </w:rPr>
            </w:pPr>
          </w:p>
        </w:tc>
        <w:tc>
          <w:tcPr>
            <w:tcW w:w="3471" w:type="dxa"/>
            <w:noWrap w:val="0"/>
            <w:vAlign w:val="center"/>
          </w:tcPr>
          <w:p w14:paraId="2763FE56">
            <w:pPr>
              <w:pStyle w:val="24"/>
              <w:numPr>
                <w:ilvl w:val="0"/>
                <w:numId w:val="0"/>
              </w:numPr>
              <w:jc w:val="center"/>
              <w:rPr>
                <w:rFonts w:hint="eastAsia"/>
                <w:lang w:val="en-US" w:eastAsia="zh-CN"/>
              </w:rPr>
            </w:pPr>
            <w:r>
              <w:rPr>
                <w:rFonts w:hint="eastAsia"/>
                <w:lang w:val="en-US" w:eastAsia="zh-CN"/>
              </w:rPr>
              <w:t>保险油缸总成</w:t>
            </w:r>
          </w:p>
        </w:tc>
        <w:tc>
          <w:tcPr>
            <w:tcW w:w="819" w:type="dxa"/>
            <w:shd w:val="clear" w:color="auto" w:fill="auto"/>
            <w:noWrap w:val="0"/>
            <w:vAlign w:val="center"/>
          </w:tcPr>
          <w:p w14:paraId="3AD78F7B">
            <w:pPr>
              <w:pStyle w:val="24"/>
              <w:numPr>
                <w:ilvl w:val="0"/>
                <w:numId w:val="0"/>
              </w:numPr>
              <w:jc w:val="center"/>
              <w:rPr>
                <w:rFonts w:hint="eastAsia"/>
                <w:lang w:val="en-US" w:eastAsia="zh-CN"/>
              </w:rPr>
            </w:pPr>
            <w:r>
              <w:rPr>
                <w:rFonts w:hint="eastAsia"/>
                <w:lang w:val="en-US" w:eastAsia="zh-CN"/>
              </w:rPr>
              <w:t>4</w:t>
            </w:r>
          </w:p>
        </w:tc>
        <w:tc>
          <w:tcPr>
            <w:tcW w:w="766" w:type="dxa"/>
            <w:shd w:val="clear" w:color="auto" w:fill="auto"/>
            <w:noWrap w:val="0"/>
            <w:vAlign w:val="center"/>
          </w:tcPr>
          <w:p w14:paraId="7BAA9E29">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65B8FABF">
            <w:pPr>
              <w:pStyle w:val="24"/>
              <w:numPr>
                <w:ilvl w:val="0"/>
                <w:numId w:val="0"/>
              </w:numPr>
              <w:jc w:val="center"/>
              <w:rPr>
                <w:rFonts w:hint="eastAsia"/>
                <w:lang w:val="en-US" w:eastAsia="zh-CN"/>
              </w:rPr>
            </w:pPr>
            <w:r>
              <w:rPr>
                <w:rFonts w:hint="eastAsia"/>
                <w:lang w:val="en-US" w:eastAsia="zh-CN"/>
              </w:rPr>
              <w:t>靖海路站</w:t>
            </w:r>
          </w:p>
        </w:tc>
      </w:tr>
      <w:tr w14:paraId="638F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restart"/>
            <w:noWrap w:val="0"/>
            <w:vAlign w:val="center"/>
          </w:tcPr>
          <w:p w14:paraId="461F52B7">
            <w:pPr>
              <w:pStyle w:val="24"/>
              <w:numPr>
                <w:ilvl w:val="0"/>
                <w:numId w:val="0"/>
              </w:numPr>
              <w:jc w:val="center"/>
              <w:rPr>
                <w:rFonts w:hint="eastAsia"/>
                <w:lang w:val="en-US" w:eastAsia="zh-CN"/>
              </w:rPr>
            </w:pPr>
            <w:r>
              <w:rPr>
                <w:rFonts w:hint="eastAsia"/>
                <w:lang w:val="en-US" w:eastAsia="zh-CN"/>
              </w:rPr>
              <w:t>10</w:t>
            </w:r>
          </w:p>
        </w:tc>
        <w:tc>
          <w:tcPr>
            <w:tcW w:w="3471" w:type="dxa"/>
            <w:noWrap w:val="0"/>
            <w:vAlign w:val="center"/>
          </w:tcPr>
          <w:p w14:paraId="5D262068">
            <w:pPr>
              <w:pStyle w:val="24"/>
              <w:numPr>
                <w:ilvl w:val="0"/>
                <w:numId w:val="0"/>
              </w:numPr>
              <w:jc w:val="center"/>
              <w:rPr>
                <w:rFonts w:hint="eastAsia"/>
                <w:lang w:val="en-US" w:eastAsia="zh-CN"/>
              </w:rPr>
            </w:pPr>
            <w:r>
              <w:rPr>
                <w:rFonts w:hint="eastAsia"/>
                <w:lang w:val="en-US" w:eastAsia="zh-CN"/>
              </w:rPr>
              <w:t>主压缩油缸</w:t>
            </w:r>
          </w:p>
        </w:tc>
        <w:tc>
          <w:tcPr>
            <w:tcW w:w="819" w:type="dxa"/>
            <w:shd w:val="clear" w:color="auto" w:fill="auto"/>
            <w:noWrap w:val="0"/>
            <w:vAlign w:val="center"/>
          </w:tcPr>
          <w:p w14:paraId="1773441A">
            <w:pPr>
              <w:pStyle w:val="24"/>
              <w:numPr>
                <w:ilvl w:val="0"/>
                <w:numId w:val="0"/>
              </w:numPr>
              <w:jc w:val="center"/>
              <w:rPr>
                <w:rFonts w:hint="eastAsia"/>
                <w:lang w:val="en-US" w:eastAsia="zh-CN"/>
              </w:rPr>
            </w:pPr>
            <w:r>
              <w:rPr>
                <w:rFonts w:hint="eastAsia"/>
                <w:lang w:val="en-US" w:eastAsia="zh-CN"/>
              </w:rPr>
              <w:t>1</w:t>
            </w:r>
          </w:p>
        </w:tc>
        <w:tc>
          <w:tcPr>
            <w:tcW w:w="766" w:type="dxa"/>
            <w:shd w:val="clear" w:color="auto" w:fill="auto"/>
            <w:noWrap w:val="0"/>
            <w:vAlign w:val="center"/>
          </w:tcPr>
          <w:p w14:paraId="7DC87659">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38C84450">
            <w:pPr>
              <w:pStyle w:val="24"/>
              <w:numPr>
                <w:ilvl w:val="0"/>
                <w:numId w:val="0"/>
              </w:numPr>
              <w:jc w:val="center"/>
              <w:rPr>
                <w:rFonts w:hint="eastAsia"/>
                <w:lang w:val="en-US" w:eastAsia="zh-CN"/>
              </w:rPr>
            </w:pPr>
            <w:r>
              <w:rPr>
                <w:rFonts w:hint="eastAsia"/>
                <w:lang w:val="en-US" w:eastAsia="zh-CN"/>
              </w:rPr>
              <w:t>城西站</w:t>
            </w:r>
          </w:p>
        </w:tc>
      </w:tr>
      <w:tr w14:paraId="4A70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continue"/>
            <w:noWrap w:val="0"/>
            <w:vAlign w:val="center"/>
          </w:tcPr>
          <w:p w14:paraId="70E0CD32">
            <w:pPr>
              <w:pStyle w:val="24"/>
              <w:numPr>
                <w:ilvl w:val="0"/>
                <w:numId w:val="0"/>
              </w:numPr>
              <w:jc w:val="center"/>
              <w:rPr>
                <w:rFonts w:hint="eastAsia"/>
                <w:lang w:val="en-US" w:eastAsia="zh-CN"/>
              </w:rPr>
            </w:pPr>
          </w:p>
        </w:tc>
        <w:tc>
          <w:tcPr>
            <w:tcW w:w="3471" w:type="dxa"/>
            <w:noWrap w:val="0"/>
            <w:vAlign w:val="center"/>
          </w:tcPr>
          <w:p w14:paraId="334A8B9E">
            <w:pPr>
              <w:pStyle w:val="24"/>
              <w:numPr>
                <w:ilvl w:val="0"/>
                <w:numId w:val="0"/>
              </w:numPr>
              <w:jc w:val="center"/>
              <w:rPr>
                <w:rFonts w:hint="eastAsia"/>
                <w:lang w:val="en-US" w:eastAsia="zh-CN"/>
              </w:rPr>
            </w:pPr>
            <w:r>
              <w:rPr>
                <w:rFonts w:hint="eastAsia"/>
                <w:lang w:val="en-US" w:eastAsia="zh-CN"/>
              </w:rPr>
              <w:t>液压升降油缸</w:t>
            </w:r>
          </w:p>
        </w:tc>
        <w:tc>
          <w:tcPr>
            <w:tcW w:w="819" w:type="dxa"/>
            <w:shd w:val="clear" w:color="auto" w:fill="auto"/>
            <w:noWrap w:val="0"/>
            <w:vAlign w:val="center"/>
          </w:tcPr>
          <w:p w14:paraId="3ADCE2D5">
            <w:pPr>
              <w:pStyle w:val="24"/>
              <w:numPr>
                <w:ilvl w:val="0"/>
                <w:numId w:val="0"/>
              </w:numPr>
              <w:jc w:val="center"/>
              <w:rPr>
                <w:rFonts w:hint="eastAsia"/>
                <w:lang w:val="en-US" w:eastAsia="zh-CN"/>
              </w:rPr>
            </w:pPr>
            <w:r>
              <w:rPr>
                <w:rFonts w:hint="eastAsia"/>
                <w:lang w:val="en-US" w:eastAsia="zh-CN"/>
              </w:rPr>
              <w:t>4</w:t>
            </w:r>
          </w:p>
        </w:tc>
        <w:tc>
          <w:tcPr>
            <w:tcW w:w="766" w:type="dxa"/>
            <w:shd w:val="clear" w:color="auto" w:fill="auto"/>
            <w:noWrap w:val="0"/>
            <w:vAlign w:val="center"/>
          </w:tcPr>
          <w:p w14:paraId="189B6C3B">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76D629A1">
            <w:pPr>
              <w:pStyle w:val="24"/>
              <w:numPr>
                <w:ilvl w:val="0"/>
                <w:numId w:val="0"/>
              </w:numPr>
              <w:jc w:val="center"/>
              <w:rPr>
                <w:rFonts w:hint="eastAsia"/>
                <w:lang w:val="en-US" w:eastAsia="zh-CN"/>
              </w:rPr>
            </w:pPr>
            <w:r>
              <w:rPr>
                <w:rFonts w:hint="eastAsia"/>
                <w:lang w:val="en-US" w:eastAsia="zh-CN"/>
              </w:rPr>
              <w:t>城西站</w:t>
            </w:r>
          </w:p>
        </w:tc>
      </w:tr>
      <w:tr w14:paraId="3343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continue"/>
            <w:noWrap w:val="0"/>
            <w:vAlign w:val="center"/>
          </w:tcPr>
          <w:p w14:paraId="1FC4F92C">
            <w:pPr>
              <w:pStyle w:val="24"/>
              <w:numPr>
                <w:ilvl w:val="0"/>
                <w:numId w:val="0"/>
              </w:numPr>
              <w:jc w:val="center"/>
              <w:rPr>
                <w:rFonts w:hint="eastAsia"/>
                <w:lang w:val="en-US" w:eastAsia="zh-CN"/>
              </w:rPr>
            </w:pPr>
          </w:p>
        </w:tc>
        <w:tc>
          <w:tcPr>
            <w:tcW w:w="3471" w:type="dxa"/>
            <w:noWrap w:val="0"/>
            <w:vAlign w:val="center"/>
          </w:tcPr>
          <w:p w14:paraId="1902FAEF">
            <w:pPr>
              <w:pStyle w:val="24"/>
              <w:numPr>
                <w:ilvl w:val="0"/>
                <w:numId w:val="0"/>
              </w:numPr>
              <w:jc w:val="center"/>
              <w:rPr>
                <w:rFonts w:hint="eastAsia"/>
                <w:lang w:val="en-US" w:eastAsia="zh-CN"/>
              </w:rPr>
            </w:pPr>
            <w:r>
              <w:rPr>
                <w:rFonts w:hint="eastAsia"/>
                <w:lang w:val="en-US" w:eastAsia="zh-CN"/>
              </w:rPr>
              <w:t>钢铝坦克链总成</w:t>
            </w:r>
          </w:p>
        </w:tc>
        <w:tc>
          <w:tcPr>
            <w:tcW w:w="819" w:type="dxa"/>
            <w:shd w:val="clear" w:color="auto" w:fill="auto"/>
            <w:noWrap w:val="0"/>
            <w:vAlign w:val="center"/>
          </w:tcPr>
          <w:p w14:paraId="3D4ACD57">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61DD150A">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26881E31">
            <w:pPr>
              <w:pStyle w:val="24"/>
              <w:numPr>
                <w:ilvl w:val="0"/>
                <w:numId w:val="0"/>
              </w:numPr>
              <w:jc w:val="center"/>
              <w:rPr>
                <w:rFonts w:hint="eastAsia"/>
                <w:lang w:val="en-US" w:eastAsia="zh-CN"/>
              </w:rPr>
            </w:pPr>
            <w:r>
              <w:rPr>
                <w:rFonts w:hint="eastAsia"/>
                <w:lang w:val="en-US" w:eastAsia="zh-CN"/>
              </w:rPr>
              <w:t>城西站</w:t>
            </w:r>
          </w:p>
        </w:tc>
      </w:tr>
      <w:tr w14:paraId="58F3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continue"/>
            <w:noWrap w:val="0"/>
            <w:vAlign w:val="center"/>
          </w:tcPr>
          <w:p w14:paraId="5E9E26FF">
            <w:pPr>
              <w:pStyle w:val="24"/>
              <w:numPr>
                <w:ilvl w:val="0"/>
                <w:numId w:val="0"/>
              </w:numPr>
              <w:jc w:val="center"/>
              <w:rPr>
                <w:rFonts w:hint="eastAsia"/>
                <w:lang w:val="en-US" w:eastAsia="zh-CN"/>
              </w:rPr>
            </w:pPr>
          </w:p>
        </w:tc>
        <w:tc>
          <w:tcPr>
            <w:tcW w:w="3471" w:type="dxa"/>
            <w:noWrap w:val="0"/>
            <w:vAlign w:val="center"/>
          </w:tcPr>
          <w:p w14:paraId="5181C115">
            <w:pPr>
              <w:pStyle w:val="24"/>
              <w:numPr>
                <w:ilvl w:val="0"/>
                <w:numId w:val="0"/>
              </w:numPr>
              <w:jc w:val="center"/>
              <w:rPr>
                <w:rFonts w:hint="eastAsia"/>
                <w:lang w:val="en-US" w:eastAsia="zh-CN"/>
              </w:rPr>
            </w:pPr>
            <w:r>
              <w:rPr>
                <w:rFonts w:hint="eastAsia"/>
                <w:lang w:val="en-US" w:eastAsia="zh-CN"/>
              </w:rPr>
              <w:t>整机高压管道改造</w:t>
            </w:r>
          </w:p>
        </w:tc>
        <w:tc>
          <w:tcPr>
            <w:tcW w:w="819" w:type="dxa"/>
            <w:shd w:val="clear" w:color="auto" w:fill="auto"/>
            <w:noWrap w:val="0"/>
            <w:vAlign w:val="center"/>
          </w:tcPr>
          <w:p w14:paraId="272B9E53">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244A67F1">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67730576">
            <w:pPr>
              <w:pStyle w:val="24"/>
              <w:numPr>
                <w:ilvl w:val="0"/>
                <w:numId w:val="0"/>
              </w:numPr>
              <w:jc w:val="center"/>
              <w:rPr>
                <w:rFonts w:hint="eastAsia"/>
                <w:lang w:val="en-US" w:eastAsia="zh-CN"/>
              </w:rPr>
            </w:pPr>
            <w:r>
              <w:rPr>
                <w:rFonts w:hint="eastAsia"/>
                <w:lang w:val="en-US" w:eastAsia="zh-CN"/>
              </w:rPr>
              <w:t>城西站</w:t>
            </w:r>
          </w:p>
        </w:tc>
      </w:tr>
      <w:tr w14:paraId="7D91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restart"/>
            <w:noWrap w:val="0"/>
            <w:vAlign w:val="center"/>
          </w:tcPr>
          <w:p w14:paraId="20C51861">
            <w:pPr>
              <w:pStyle w:val="24"/>
              <w:numPr>
                <w:ilvl w:val="0"/>
                <w:numId w:val="0"/>
              </w:numPr>
              <w:jc w:val="center"/>
              <w:rPr>
                <w:rFonts w:hint="eastAsia"/>
                <w:lang w:val="en-US" w:eastAsia="zh-CN"/>
              </w:rPr>
            </w:pPr>
            <w:r>
              <w:rPr>
                <w:rFonts w:hint="eastAsia"/>
                <w:lang w:val="en-US" w:eastAsia="zh-CN"/>
              </w:rPr>
              <w:t>11</w:t>
            </w:r>
          </w:p>
        </w:tc>
        <w:tc>
          <w:tcPr>
            <w:tcW w:w="3471" w:type="dxa"/>
            <w:noWrap w:val="0"/>
            <w:vAlign w:val="center"/>
          </w:tcPr>
          <w:p w14:paraId="6E5C3D32">
            <w:pPr>
              <w:pStyle w:val="24"/>
              <w:numPr>
                <w:ilvl w:val="0"/>
                <w:numId w:val="0"/>
              </w:numPr>
              <w:jc w:val="center"/>
              <w:rPr>
                <w:rFonts w:hint="eastAsia"/>
                <w:lang w:val="en-US" w:eastAsia="zh-CN"/>
              </w:rPr>
            </w:pPr>
            <w:r>
              <w:rPr>
                <w:rFonts w:hint="eastAsia"/>
                <w:lang w:val="en-US" w:eastAsia="zh-CN"/>
              </w:rPr>
              <w:t>同步马达总成</w:t>
            </w:r>
          </w:p>
        </w:tc>
        <w:tc>
          <w:tcPr>
            <w:tcW w:w="819" w:type="dxa"/>
            <w:shd w:val="clear" w:color="auto" w:fill="auto"/>
            <w:noWrap w:val="0"/>
            <w:vAlign w:val="center"/>
          </w:tcPr>
          <w:p w14:paraId="674ED1AF">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3BA56DAB">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638C386E">
            <w:pPr>
              <w:pStyle w:val="24"/>
              <w:numPr>
                <w:ilvl w:val="0"/>
                <w:numId w:val="0"/>
              </w:numPr>
              <w:jc w:val="center"/>
              <w:rPr>
                <w:rFonts w:hint="eastAsia"/>
                <w:lang w:val="en-US" w:eastAsia="zh-CN"/>
              </w:rPr>
            </w:pPr>
            <w:r>
              <w:rPr>
                <w:rFonts w:hint="eastAsia"/>
                <w:lang w:val="en-US" w:eastAsia="zh-CN"/>
              </w:rPr>
              <w:t>湖西站</w:t>
            </w:r>
          </w:p>
        </w:tc>
      </w:tr>
      <w:tr w14:paraId="1677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continue"/>
            <w:noWrap w:val="0"/>
            <w:vAlign w:val="center"/>
          </w:tcPr>
          <w:p w14:paraId="517721B8">
            <w:pPr>
              <w:pStyle w:val="24"/>
              <w:numPr>
                <w:ilvl w:val="0"/>
                <w:numId w:val="0"/>
              </w:numPr>
              <w:jc w:val="center"/>
              <w:rPr>
                <w:rFonts w:hint="eastAsia"/>
                <w:lang w:val="en-US" w:eastAsia="zh-CN"/>
              </w:rPr>
            </w:pPr>
          </w:p>
        </w:tc>
        <w:tc>
          <w:tcPr>
            <w:tcW w:w="3471" w:type="dxa"/>
            <w:noWrap w:val="0"/>
            <w:vAlign w:val="center"/>
          </w:tcPr>
          <w:p w14:paraId="2CCE5567">
            <w:pPr>
              <w:pStyle w:val="24"/>
              <w:numPr>
                <w:ilvl w:val="0"/>
                <w:numId w:val="0"/>
              </w:numPr>
              <w:jc w:val="center"/>
              <w:rPr>
                <w:rFonts w:hint="eastAsia"/>
                <w:lang w:val="en-US" w:eastAsia="zh-CN"/>
              </w:rPr>
            </w:pPr>
            <w:r>
              <w:rPr>
                <w:rFonts w:hint="eastAsia"/>
                <w:lang w:val="en-US" w:eastAsia="zh-CN"/>
              </w:rPr>
              <w:t>整机高压管道改造</w:t>
            </w:r>
          </w:p>
        </w:tc>
        <w:tc>
          <w:tcPr>
            <w:tcW w:w="819" w:type="dxa"/>
            <w:shd w:val="clear" w:color="auto" w:fill="auto"/>
            <w:noWrap w:val="0"/>
            <w:vAlign w:val="center"/>
          </w:tcPr>
          <w:p w14:paraId="0EA92227">
            <w:pPr>
              <w:pStyle w:val="24"/>
              <w:numPr>
                <w:ilvl w:val="0"/>
                <w:numId w:val="0"/>
              </w:numPr>
              <w:jc w:val="center"/>
              <w:rPr>
                <w:rFonts w:hint="eastAsia"/>
                <w:lang w:val="en-US" w:eastAsia="zh-CN"/>
              </w:rPr>
            </w:pPr>
            <w:r>
              <w:rPr>
                <w:rFonts w:hint="eastAsia"/>
                <w:lang w:val="en-US" w:eastAsia="zh-CN"/>
              </w:rPr>
              <w:t>2</w:t>
            </w:r>
          </w:p>
        </w:tc>
        <w:tc>
          <w:tcPr>
            <w:tcW w:w="766" w:type="dxa"/>
            <w:shd w:val="clear" w:color="auto" w:fill="auto"/>
            <w:noWrap w:val="0"/>
            <w:vAlign w:val="center"/>
          </w:tcPr>
          <w:p w14:paraId="61ED1485">
            <w:pPr>
              <w:pStyle w:val="24"/>
              <w:numPr>
                <w:ilvl w:val="0"/>
                <w:numId w:val="0"/>
              </w:numPr>
              <w:jc w:val="center"/>
              <w:rPr>
                <w:rFonts w:hint="eastAsia"/>
                <w:lang w:val="en-US" w:eastAsia="zh-CN"/>
              </w:rPr>
            </w:pPr>
            <w:r>
              <w:rPr>
                <w:rFonts w:hint="eastAsia"/>
                <w:lang w:val="en-US" w:eastAsia="zh-CN"/>
              </w:rPr>
              <w:t>套</w:t>
            </w:r>
          </w:p>
        </w:tc>
        <w:tc>
          <w:tcPr>
            <w:tcW w:w="2250" w:type="dxa"/>
            <w:noWrap w:val="0"/>
            <w:vAlign w:val="center"/>
          </w:tcPr>
          <w:p w14:paraId="42FAF61E">
            <w:pPr>
              <w:pStyle w:val="24"/>
              <w:numPr>
                <w:ilvl w:val="0"/>
                <w:numId w:val="0"/>
              </w:numPr>
              <w:jc w:val="center"/>
              <w:rPr>
                <w:rFonts w:hint="eastAsia"/>
                <w:lang w:val="en-US" w:eastAsia="zh-CN"/>
              </w:rPr>
            </w:pPr>
            <w:r>
              <w:rPr>
                <w:rFonts w:hint="eastAsia"/>
                <w:lang w:val="en-US" w:eastAsia="zh-CN"/>
              </w:rPr>
              <w:t>湖西站</w:t>
            </w:r>
          </w:p>
        </w:tc>
      </w:tr>
      <w:tr w14:paraId="1F27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noWrap w:val="0"/>
            <w:vAlign w:val="center"/>
          </w:tcPr>
          <w:p w14:paraId="007E5FD6">
            <w:pPr>
              <w:pStyle w:val="24"/>
              <w:numPr>
                <w:ilvl w:val="0"/>
                <w:numId w:val="0"/>
              </w:numPr>
              <w:jc w:val="center"/>
              <w:rPr>
                <w:rFonts w:hint="default"/>
                <w:lang w:val="en-US" w:eastAsia="zh-CN"/>
              </w:rPr>
            </w:pPr>
            <w:r>
              <w:rPr>
                <w:rFonts w:hint="eastAsia"/>
                <w:lang w:val="en-US" w:eastAsia="zh-CN"/>
              </w:rPr>
              <w:t>12</w:t>
            </w:r>
          </w:p>
        </w:tc>
        <w:tc>
          <w:tcPr>
            <w:tcW w:w="3471" w:type="dxa"/>
            <w:noWrap w:val="0"/>
            <w:vAlign w:val="center"/>
          </w:tcPr>
          <w:p w14:paraId="2A703DB3">
            <w:pPr>
              <w:pStyle w:val="24"/>
              <w:numPr>
                <w:ilvl w:val="0"/>
                <w:numId w:val="0"/>
              </w:numPr>
              <w:jc w:val="center"/>
              <w:rPr>
                <w:rFonts w:hint="eastAsia"/>
                <w:lang w:val="en-US" w:eastAsia="zh-CN"/>
              </w:rPr>
            </w:pPr>
            <w:r>
              <w:rPr>
                <w:rFonts w:hint="eastAsia" w:ascii="宋体" w:hAnsi="宋体" w:eastAsia="宋体" w:cs="宋体"/>
                <w:color w:val="auto"/>
                <w:sz w:val="24"/>
                <w:szCs w:val="24"/>
                <w:lang w:val="en-US" w:eastAsia="zh-CN"/>
              </w:rPr>
              <w:t>中转站基坑等基础设施维修</w:t>
            </w:r>
          </w:p>
        </w:tc>
        <w:tc>
          <w:tcPr>
            <w:tcW w:w="819" w:type="dxa"/>
            <w:shd w:val="clear" w:color="auto" w:fill="auto"/>
            <w:noWrap w:val="0"/>
            <w:vAlign w:val="center"/>
          </w:tcPr>
          <w:p w14:paraId="17445259">
            <w:pPr>
              <w:widowControl/>
              <w:jc w:val="center"/>
              <w:textAlignment w:val="center"/>
              <w:rPr>
                <w:rFonts w:hint="eastAsia" w:ascii="宋体" w:hAnsi="宋体" w:eastAsia="宋体" w:cs="宋体"/>
                <w:color w:val="auto"/>
                <w:kern w:val="2"/>
                <w:sz w:val="24"/>
                <w:szCs w:val="24"/>
                <w:lang w:val="en-US" w:eastAsia="zh-CN" w:bidi="ar"/>
              </w:rPr>
            </w:pPr>
            <w:r>
              <w:rPr>
                <w:rFonts w:hint="eastAsia" w:ascii="宋体" w:hAnsi="宋体" w:cs="宋体"/>
                <w:color w:val="auto"/>
                <w:sz w:val="24"/>
                <w:szCs w:val="24"/>
                <w:lang w:val="en-US" w:eastAsia="zh-CN" w:bidi="ar"/>
              </w:rPr>
              <w:t>1</w:t>
            </w:r>
          </w:p>
        </w:tc>
        <w:tc>
          <w:tcPr>
            <w:tcW w:w="766" w:type="dxa"/>
            <w:shd w:val="clear" w:color="auto" w:fill="auto"/>
            <w:noWrap w:val="0"/>
            <w:vAlign w:val="center"/>
          </w:tcPr>
          <w:p w14:paraId="54FFBB6F">
            <w:pPr>
              <w:widowControl/>
              <w:jc w:val="center"/>
              <w:textAlignment w:val="center"/>
              <w:rPr>
                <w:rFonts w:hint="eastAsia" w:ascii="宋体" w:hAnsi="宋体" w:eastAsia="宋体" w:cs="宋体"/>
                <w:color w:val="auto"/>
                <w:kern w:val="2"/>
                <w:sz w:val="24"/>
                <w:szCs w:val="24"/>
                <w:lang w:val="en-US" w:eastAsia="zh-CN" w:bidi="ar"/>
              </w:rPr>
            </w:pPr>
            <w:r>
              <w:rPr>
                <w:rFonts w:hint="eastAsia" w:ascii="宋体" w:hAnsi="宋体" w:cs="宋体"/>
                <w:color w:val="auto"/>
                <w:sz w:val="24"/>
                <w:szCs w:val="24"/>
                <w:lang w:val="en-US" w:eastAsia="zh-CN" w:bidi="ar"/>
              </w:rPr>
              <w:t>项</w:t>
            </w:r>
          </w:p>
        </w:tc>
        <w:tc>
          <w:tcPr>
            <w:tcW w:w="2250" w:type="dxa"/>
            <w:noWrap w:val="0"/>
            <w:vAlign w:val="center"/>
          </w:tcPr>
          <w:p w14:paraId="15F173F9">
            <w:pPr>
              <w:pStyle w:val="24"/>
              <w:numPr>
                <w:ilvl w:val="0"/>
                <w:numId w:val="0"/>
              </w:numPr>
              <w:jc w:val="center"/>
              <w:rPr>
                <w:rFonts w:hint="eastAsia"/>
                <w:lang w:val="en-US" w:eastAsia="zh-CN"/>
              </w:rPr>
            </w:pPr>
            <w:r>
              <w:rPr>
                <w:rFonts w:hint="eastAsia" w:ascii="宋体" w:hAnsi="宋体" w:cs="宋体"/>
                <w:color w:val="auto"/>
                <w:sz w:val="24"/>
                <w:szCs w:val="24"/>
                <w:lang w:val="en-US" w:eastAsia="zh-CN"/>
              </w:rPr>
              <w:t>指定中转站，中转站基坑等基础设施维修费</w:t>
            </w:r>
            <w:r>
              <w:rPr>
                <w:rFonts w:hint="eastAsia" w:hAnsi="宋体" w:cs="宋体"/>
                <w:color w:val="auto"/>
                <w:sz w:val="24"/>
                <w:szCs w:val="24"/>
                <w:lang w:val="en-US" w:eastAsia="zh-CN"/>
              </w:rPr>
              <w:t>288000</w:t>
            </w:r>
            <w:r>
              <w:rPr>
                <w:rFonts w:hint="eastAsia" w:ascii="宋体" w:hAnsi="宋体" w:cs="宋体"/>
                <w:color w:val="auto"/>
                <w:sz w:val="24"/>
                <w:szCs w:val="24"/>
                <w:lang w:val="en-US" w:eastAsia="zh-CN"/>
              </w:rPr>
              <w:t>元总价包干，采用固定价招标，投标时无需下浮</w:t>
            </w:r>
          </w:p>
        </w:tc>
      </w:tr>
    </w:tbl>
    <w:p w14:paraId="5CEDAED4">
      <w:pPr>
        <w:pStyle w:val="24"/>
        <w:numPr>
          <w:ilvl w:val="0"/>
          <w:numId w:val="0"/>
        </w:numPr>
        <w:rPr>
          <w:rFonts w:hint="eastAsia"/>
          <w:lang w:val="en-US" w:eastAsia="zh-CN"/>
        </w:rPr>
      </w:pPr>
    </w:p>
    <w:p w14:paraId="143FAF60">
      <w:pPr>
        <w:rPr>
          <w:rFonts w:hint="eastAsia" w:ascii="宋体" w:hAnsi="宋体" w:cs="宋体"/>
          <w:b/>
          <w:color w:val="auto"/>
          <w:kern w:val="0"/>
          <w:sz w:val="24"/>
          <w:szCs w:val="24"/>
          <w:highlight w:val="none"/>
          <w:lang w:val="en-US" w:eastAsia="zh-CN"/>
        </w:rPr>
      </w:pPr>
    </w:p>
    <w:p w14:paraId="0E63E308">
      <w:pPr>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br w:type="page"/>
      </w:r>
    </w:p>
    <w:p w14:paraId="5F0B617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三、技术参数要求</w:t>
      </w:r>
    </w:p>
    <w:p w14:paraId="2B975E8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（一）</w:t>
      </w:r>
      <w:r>
        <w:rPr>
          <w:rFonts w:hint="eastAsia" w:ascii="宋体" w:hAnsi="宋体" w:cs="宋体"/>
          <w:b/>
          <w:color w:val="auto"/>
          <w:kern w:val="2"/>
          <w:sz w:val="24"/>
          <w:szCs w:val="24"/>
          <w:lang w:val="en-US" w:eastAsia="zh-CN" w:bidi="ar-SA"/>
        </w:rPr>
        <w:t>桥头胡站</w:t>
      </w:r>
    </w:p>
    <w:p w14:paraId="42A95BD7">
      <w:pPr>
        <w:widowControl w:val="0"/>
        <w:ind w:firstLine="562"/>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1、大箱部分技术参数：</w:t>
      </w:r>
    </w:p>
    <w:tbl>
      <w:tblPr>
        <w:tblStyle w:val="62"/>
        <w:tblW w:w="8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900"/>
        <w:gridCol w:w="5799"/>
        <w:gridCol w:w="720"/>
        <w:gridCol w:w="847"/>
      </w:tblGrid>
      <w:tr w14:paraId="25342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681" w:type="dxa"/>
            <w:tcBorders>
              <w:right w:val="single" w:color="auto" w:sz="4" w:space="0"/>
            </w:tcBorders>
            <w:noWrap w:val="0"/>
            <w:vAlign w:val="center"/>
          </w:tcPr>
          <w:p w14:paraId="143F236F">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900" w:type="dxa"/>
            <w:tcBorders>
              <w:left w:val="single" w:color="auto" w:sz="4" w:space="0"/>
            </w:tcBorders>
            <w:noWrap w:val="0"/>
            <w:vAlign w:val="center"/>
          </w:tcPr>
          <w:p w14:paraId="515F8583">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品名</w:t>
            </w:r>
          </w:p>
        </w:tc>
        <w:tc>
          <w:tcPr>
            <w:tcW w:w="5799" w:type="dxa"/>
            <w:tcBorders>
              <w:right w:val="single" w:color="auto" w:sz="4" w:space="0"/>
            </w:tcBorders>
            <w:noWrap w:val="0"/>
            <w:vAlign w:val="center"/>
          </w:tcPr>
          <w:p w14:paraId="259DC9EA">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参  数</w:t>
            </w:r>
          </w:p>
        </w:tc>
        <w:tc>
          <w:tcPr>
            <w:tcW w:w="720" w:type="dxa"/>
            <w:tcBorders>
              <w:left w:val="single" w:color="auto" w:sz="4" w:space="0"/>
              <w:right w:val="single" w:color="auto" w:sz="4" w:space="0"/>
            </w:tcBorders>
            <w:noWrap w:val="0"/>
            <w:vAlign w:val="center"/>
          </w:tcPr>
          <w:p w14:paraId="3D885079">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847" w:type="dxa"/>
            <w:tcBorders>
              <w:left w:val="single" w:color="auto" w:sz="4" w:space="0"/>
              <w:right w:val="single" w:color="auto" w:sz="4" w:space="0"/>
            </w:tcBorders>
            <w:noWrap w:val="0"/>
            <w:vAlign w:val="center"/>
          </w:tcPr>
          <w:p w14:paraId="110510BF">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r>
      <w:tr w14:paraId="7C33D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201DFF01">
            <w:pPr>
              <w:widowControl/>
              <w:adjustRightInd/>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00" w:type="dxa"/>
            <w:tcBorders>
              <w:left w:val="single" w:color="auto" w:sz="4" w:space="0"/>
            </w:tcBorders>
            <w:noWrap w:val="0"/>
            <w:vAlign w:val="center"/>
          </w:tcPr>
          <w:p w14:paraId="183803BE">
            <w:pPr>
              <w:widowControl/>
              <w:adjustRightInd/>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水平式箱体</w:t>
            </w:r>
          </w:p>
        </w:tc>
        <w:tc>
          <w:tcPr>
            <w:tcW w:w="5799" w:type="dxa"/>
            <w:tcBorders>
              <w:right w:val="single" w:color="auto" w:sz="4" w:space="0"/>
            </w:tcBorders>
            <w:noWrap w:val="0"/>
            <w:vAlign w:val="center"/>
          </w:tcPr>
          <w:p w14:paraId="35E0F288">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1、箱体尺寸（长×宽×高）：8</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0mm×2200mm×1</w:t>
            </w: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0mm</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mm）</w:t>
            </w:r>
          </w:p>
          <w:p w14:paraId="4E87DB89">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2、主体采用120方管、16#槽钢、18#槽钢、20#工字钢，底板厚度≥12㎜板制作，侧板厚度≥10㎜板制作其中钢板采用Q345B钢板，型材采用Q235A碳钢</w:t>
            </w:r>
          </w:p>
          <w:p w14:paraId="4E8E2A0A">
            <w:pPr>
              <w:adjustRightInd/>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3、推台推压总行程5</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0mm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采用一主二副液压缸连接形式</w:t>
            </w:r>
          </w:p>
          <w:p w14:paraId="4FFE6CCF">
            <w:pPr>
              <w:adjustRightIn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4、前闸门油缸规格φ80/φ56/13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0（mm）</w:t>
            </w:r>
            <w:r>
              <w:rPr>
                <w:rFonts w:hint="eastAsia" w:ascii="宋体" w:hAnsi="宋体" w:eastAsia="宋体" w:cs="宋体"/>
                <w:color w:val="auto"/>
                <w:sz w:val="24"/>
                <w:szCs w:val="24"/>
                <w:highlight w:val="none"/>
                <w:lang w:val="en-US" w:eastAsia="zh-CN"/>
              </w:rPr>
              <w:t>（±2mm）</w:t>
            </w:r>
          </w:p>
          <w:p w14:paraId="18429AF6">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5、箱体组成构件：进料斗、储存仓、进推料仓、前闸门组件、提升座、连接座、推压装置组件</w:t>
            </w:r>
          </w:p>
          <w:p w14:paraId="4F0FC7D4">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6、前闸门采用22#槽钢、≥25㎜撑板、≥12mm整板面板制作</w:t>
            </w:r>
          </w:p>
          <w:p w14:paraId="1465DAC2">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7、箱体压缩仓四周上方布置4组导向装置和压缩机立柱连接，导向采用滑块形式，导向支架≥25㎜板制作</w:t>
            </w:r>
          </w:p>
          <w:p w14:paraId="7E4D54A0">
            <w:pPr>
              <w:adjustRightInd/>
              <w:spacing w:line="440" w:lineRule="exact"/>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rPr>
              <w:t>8、进料斗采用不锈钢304板及不锈钢方管</w:t>
            </w:r>
            <w:r>
              <w:rPr>
                <w:rFonts w:hint="eastAsia" w:ascii="宋体" w:hAnsi="宋体" w:eastAsia="宋体" w:cs="宋体"/>
                <w:b w:val="0"/>
                <w:bCs w:val="0"/>
                <w:color w:val="auto"/>
                <w:sz w:val="24"/>
                <w:szCs w:val="24"/>
              </w:rPr>
              <w:t>制作</w:t>
            </w:r>
            <w:r>
              <w:rPr>
                <w:rFonts w:hint="eastAsia" w:ascii="宋体" w:hAnsi="宋体" w:eastAsia="宋体" w:cs="宋体"/>
                <w:b w:val="0"/>
                <w:bCs w:val="0"/>
                <w:color w:val="auto"/>
                <w:sz w:val="24"/>
                <w:szCs w:val="24"/>
                <w:lang w:eastAsia="zh-CN"/>
              </w:rPr>
              <w:t>。</w:t>
            </w:r>
          </w:p>
          <w:p w14:paraId="7D48DD82">
            <w:pPr>
              <w:adjustRightInd/>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9、表面须采用严格的防腐工艺进行防腐处理,使外表美观,耐腐蚀</w:t>
            </w:r>
          </w:p>
          <w:p w14:paraId="4A00544F">
            <w:pPr>
              <w:adjustRightInd/>
              <w:spacing w:line="440" w:lineRule="exact"/>
              <w:rPr>
                <w:rFonts w:hint="eastAsia" w:ascii="宋体" w:hAnsi="宋体" w:eastAsia="宋体" w:cs="宋体"/>
                <w:b w:val="0"/>
                <w:bCs w:val="0"/>
                <w:color w:val="auto"/>
                <w:sz w:val="24"/>
                <w:szCs w:val="24"/>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.1箱体底板要求中性盐实验48h后表面无腐蚀现象（提供第三方检测报告加盖</w:t>
            </w:r>
            <w:r>
              <w:rPr>
                <w:rFonts w:hint="eastAsia" w:ascii="宋体" w:hAnsi="宋体" w:eastAsia="宋体" w:cs="宋体"/>
                <w:b w:val="0"/>
                <w:bCs w:val="0"/>
                <w:color w:val="auto"/>
                <w:sz w:val="24"/>
                <w:szCs w:val="24"/>
                <w:lang w:eastAsia="zh-CN"/>
              </w:rPr>
              <w:t>投标人</w:t>
            </w:r>
            <w:r>
              <w:rPr>
                <w:rFonts w:hint="eastAsia" w:ascii="宋体" w:hAnsi="宋体" w:eastAsia="宋体" w:cs="宋体"/>
                <w:b w:val="0"/>
                <w:bCs w:val="0"/>
                <w:color w:val="auto"/>
                <w:sz w:val="24"/>
                <w:szCs w:val="24"/>
              </w:rPr>
              <w:t>公章）</w:t>
            </w:r>
          </w:p>
          <w:p w14:paraId="598167CD">
            <w:pPr>
              <w:adjustRightInd/>
              <w:spacing w:line="440" w:lineRule="exact"/>
              <w:rPr>
                <w:rFonts w:hint="eastAsia" w:ascii="宋体" w:hAnsi="宋体" w:eastAsia="宋体" w:cs="宋体"/>
                <w:color w:val="auto"/>
                <w:sz w:val="24"/>
                <w:szCs w:val="24"/>
              </w:rPr>
            </w:pPr>
            <w:r>
              <w:rPr>
                <w:rFonts w:hint="eastAsia" w:ascii="宋体" w:hAnsi="宋体" w:eastAsia="宋体" w:cs="宋体"/>
                <w:b w:val="0"/>
                <w:bCs w:val="0"/>
                <w:color w:val="auto"/>
                <w:sz w:val="24"/>
                <w:szCs w:val="24"/>
              </w:rPr>
              <w:t>10、箱体压缩仓底板及两侧设置大量污水孔,在压缩过程中</w:t>
            </w:r>
            <w:r>
              <w:rPr>
                <w:rFonts w:hint="eastAsia" w:ascii="宋体" w:hAnsi="宋体" w:eastAsia="宋体" w:cs="宋体"/>
                <w:color w:val="auto"/>
                <w:sz w:val="24"/>
                <w:szCs w:val="24"/>
              </w:rPr>
              <w:t>污水能通过污水孔自动排出，并通过地坑内铺设导流通道,实现污水的有序排放，进入污水收集井</w:t>
            </w:r>
          </w:p>
          <w:p w14:paraId="58F7F262">
            <w:pPr>
              <w:adjustRightInd/>
              <w:spacing w:line="440" w:lineRule="exact"/>
              <w:rPr>
                <w:rFonts w:hint="eastAsia" w:ascii="宋体" w:hAnsi="宋体" w:eastAsia="宋体" w:cs="宋体"/>
                <w:b/>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缸体连接方式采用浮动横压结构；导向形式采用滑板双侧体八导向形式。</w:t>
            </w:r>
            <w:r>
              <w:rPr>
                <w:rFonts w:hint="eastAsia" w:ascii="宋体" w:hAnsi="宋体" w:eastAsia="宋体" w:cs="宋体"/>
                <w:color w:val="auto"/>
                <w:sz w:val="24"/>
                <w:szCs w:val="24"/>
              </w:rPr>
              <w:t>推压头</w:t>
            </w:r>
            <w:r>
              <w:rPr>
                <w:rFonts w:hint="eastAsia" w:ascii="宋体" w:hAnsi="宋体" w:eastAsia="宋体" w:cs="宋体"/>
                <w:color w:val="auto"/>
                <w:sz w:val="24"/>
                <w:szCs w:val="24"/>
                <w:lang w:val="en-US" w:eastAsia="zh-CN"/>
              </w:rPr>
              <w:t>装置</w:t>
            </w:r>
            <w:r>
              <w:rPr>
                <w:rFonts w:hint="eastAsia" w:ascii="宋体" w:hAnsi="宋体" w:eastAsia="宋体" w:cs="宋体"/>
                <w:color w:val="auto"/>
                <w:sz w:val="24"/>
                <w:szCs w:val="24"/>
              </w:rPr>
              <w:t>直线运动采用无滚轮设计，四角均包设有防腐、耐磨型的L形导向条。闸门采用整板式导向</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包边式导向</w:t>
            </w:r>
            <w:r>
              <w:rPr>
                <w:rFonts w:hint="eastAsia" w:ascii="宋体" w:hAnsi="宋体" w:eastAsia="宋体" w:cs="宋体"/>
                <w:color w:val="auto"/>
                <w:sz w:val="24"/>
                <w:szCs w:val="24"/>
                <w:lang w:eastAsia="zh-CN"/>
              </w:rPr>
              <w:t>。</w:t>
            </w:r>
          </w:p>
          <w:p w14:paraId="340F3D54">
            <w:pPr>
              <w:adjustRightInd/>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12、拖链</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val="en-US" w:eastAsia="zh-CN"/>
              </w:rPr>
              <w:t>液压管道更换，</w:t>
            </w:r>
            <w:r>
              <w:rPr>
                <w:rFonts w:hint="eastAsia" w:ascii="宋体" w:hAnsi="宋体" w:eastAsia="宋体" w:cs="宋体"/>
                <w:color w:val="auto"/>
                <w:sz w:val="24"/>
                <w:szCs w:val="24"/>
              </w:rPr>
              <w:t>采用高压软管及无缝管衔接方式</w:t>
            </w:r>
          </w:p>
          <w:p w14:paraId="588A9954">
            <w:pPr>
              <w:adjustRightInd/>
              <w:spacing w:line="440" w:lineRule="exact"/>
              <w:rPr>
                <w:rFonts w:hint="default" w:eastAsia="宋体"/>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、液压系统及管道在额定油压下液压系统无外渗漏油现象。</w:t>
            </w:r>
          </w:p>
        </w:tc>
        <w:tc>
          <w:tcPr>
            <w:tcW w:w="720" w:type="dxa"/>
            <w:tcBorders>
              <w:left w:val="single" w:color="auto" w:sz="4" w:space="0"/>
              <w:right w:val="single" w:color="auto" w:sz="4" w:space="0"/>
            </w:tcBorders>
            <w:noWrap w:val="0"/>
            <w:vAlign w:val="center"/>
          </w:tcPr>
          <w:p w14:paraId="7D51AC75">
            <w:pPr>
              <w:widowControl/>
              <w:adjustRightInd/>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套</w:t>
            </w:r>
          </w:p>
        </w:tc>
        <w:tc>
          <w:tcPr>
            <w:tcW w:w="847" w:type="dxa"/>
            <w:tcBorders>
              <w:left w:val="single" w:color="auto" w:sz="4" w:space="0"/>
              <w:right w:val="single" w:color="auto" w:sz="4" w:space="0"/>
            </w:tcBorders>
            <w:noWrap w:val="0"/>
            <w:vAlign w:val="center"/>
          </w:tcPr>
          <w:p w14:paraId="5412604D">
            <w:pPr>
              <w:widowControl/>
              <w:adjustRightInd/>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r>
      <w:tr w14:paraId="355AD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4" w:hRule="atLeast"/>
          <w:jc w:val="center"/>
        </w:trPr>
        <w:tc>
          <w:tcPr>
            <w:tcW w:w="681" w:type="dxa"/>
            <w:tcBorders>
              <w:right w:val="single" w:color="auto" w:sz="4" w:space="0"/>
            </w:tcBorders>
            <w:noWrap w:val="0"/>
            <w:vAlign w:val="center"/>
          </w:tcPr>
          <w:p w14:paraId="03E409DB">
            <w:pPr>
              <w:widowControl/>
              <w:adjustRightInd/>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00" w:type="dxa"/>
            <w:tcBorders>
              <w:left w:val="single" w:color="auto" w:sz="4" w:space="0"/>
            </w:tcBorders>
            <w:noWrap w:val="0"/>
            <w:vAlign w:val="center"/>
          </w:tcPr>
          <w:p w14:paraId="5FCDA304">
            <w:pPr>
              <w:widowControl/>
              <w:adjustRightInd/>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其他配套部件</w:t>
            </w:r>
          </w:p>
        </w:tc>
        <w:tc>
          <w:tcPr>
            <w:tcW w:w="5799" w:type="dxa"/>
            <w:tcBorders>
              <w:right w:val="single" w:color="auto" w:sz="4" w:space="0"/>
            </w:tcBorders>
            <w:noWrap w:val="0"/>
            <w:vAlign w:val="center"/>
          </w:tcPr>
          <w:p w14:paraId="42A98505">
            <w:pPr>
              <w:numPr>
                <w:ilvl w:val="0"/>
                <w:numId w:val="2"/>
              </w:num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推压副缸</w:t>
            </w:r>
            <w:r>
              <w:rPr>
                <w:rFonts w:hint="eastAsia" w:ascii="宋体" w:hAnsi="宋体" w:cs="宋体"/>
                <w:color w:val="auto"/>
                <w:sz w:val="24"/>
                <w:szCs w:val="24"/>
                <w:lang w:val="en-US" w:eastAsia="zh-CN"/>
              </w:rPr>
              <w:t>（1号机/2号机）2</w:t>
            </w:r>
            <w:r>
              <w:rPr>
                <w:rFonts w:hint="eastAsia" w:ascii="宋体" w:hAnsi="宋体" w:eastAsia="宋体" w:cs="宋体"/>
                <w:color w:val="auto"/>
                <w:sz w:val="24"/>
                <w:szCs w:val="24"/>
                <w:lang w:val="en-US" w:eastAsia="zh-CN"/>
              </w:rPr>
              <w:t>套及销轴组件等整体更换</w:t>
            </w:r>
            <w:r>
              <w:rPr>
                <w:rFonts w:hint="eastAsia" w:ascii="宋体" w:hAnsi="宋体" w:eastAsia="宋体" w:cs="宋体"/>
                <w:color w:val="auto"/>
                <w:sz w:val="24"/>
                <w:szCs w:val="24"/>
              </w:rPr>
              <w:t>。</w:t>
            </w:r>
            <w:r>
              <w:rPr>
                <w:rFonts w:hint="eastAsia" w:ascii="宋体" w:hAnsi="宋体" w:eastAsia="宋体" w:cs="宋体"/>
                <w:b w:val="0"/>
                <w:bCs/>
                <w:color w:val="auto"/>
                <w:sz w:val="24"/>
                <w:szCs w:val="24"/>
              </w:rPr>
              <w:t>规格</w:t>
            </w:r>
            <w:r>
              <w:rPr>
                <w:rFonts w:hint="eastAsia" w:ascii="宋体" w:hAnsi="宋体" w:cs="宋体"/>
                <w:b w:val="0"/>
                <w:bCs/>
                <w:color w:val="auto"/>
                <w:sz w:val="24"/>
                <w:szCs w:val="24"/>
                <w:lang w:val="en-US" w:eastAsia="zh-CN"/>
              </w:rPr>
              <w:t>参数</w:t>
            </w:r>
            <w:r>
              <w:rPr>
                <w:rFonts w:hint="eastAsia" w:ascii="宋体" w:hAnsi="宋体" w:eastAsia="宋体" w:cs="宋体"/>
                <w:color w:val="auto"/>
                <w:sz w:val="24"/>
                <w:szCs w:val="24"/>
              </w:rPr>
              <w:t>φ252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140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610</w:t>
            </w:r>
            <w:r>
              <w:rPr>
                <w:rFonts w:hint="eastAsia" w:ascii="宋体" w:hAnsi="宋体" w:eastAsia="宋体" w:cs="宋体"/>
                <w:color w:val="auto"/>
                <w:sz w:val="24"/>
                <w:szCs w:val="24"/>
                <w:lang w:val="en-US" w:eastAsia="zh-CN"/>
              </w:rPr>
              <w:t>mm（±2mm）；</w:t>
            </w:r>
          </w:p>
          <w:p w14:paraId="6BD72C42">
            <w:pPr>
              <w:numPr>
                <w:ilvl w:val="0"/>
                <w:numId w:val="2"/>
              </w:num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举升油缸</w:t>
            </w:r>
            <w:r>
              <w:rPr>
                <w:rFonts w:hint="eastAsia" w:ascii="宋体" w:hAnsi="宋体" w:cs="宋体"/>
                <w:color w:val="auto"/>
                <w:sz w:val="24"/>
                <w:szCs w:val="24"/>
                <w:lang w:val="en-US" w:eastAsia="zh-CN"/>
              </w:rPr>
              <w:t>8套</w:t>
            </w:r>
            <w:r>
              <w:rPr>
                <w:rFonts w:hint="eastAsia" w:ascii="宋体" w:hAnsi="宋体" w:eastAsia="宋体" w:cs="宋体"/>
                <w:color w:val="auto"/>
                <w:sz w:val="24"/>
                <w:szCs w:val="24"/>
                <w:lang w:val="en-US" w:eastAsia="zh-CN"/>
              </w:rPr>
              <w:t>及销轴组件等整体更换</w:t>
            </w:r>
            <w:r>
              <w:rPr>
                <w:rFonts w:hint="eastAsia" w:ascii="宋体" w:hAnsi="宋体" w:eastAsia="宋体" w:cs="宋体"/>
                <w:color w:val="auto"/>
                <w:sz w:val="24"/>
                <w:szCs w:val="24"/>
              </w:rPr>
              <w:t>。</w:t>
            </w:r>
            <w:r>
              <w:rPr>
                <w:rFonts w:hint="eastAsia" w:ascii="宋体" w:hAnsi="宋体" w:eastAsia="宋体" w:cs="宋体"/>
                <w:b w:val="0"/>
                <w:bCs/>
                <w:color w:val="auto"/>
                <w:sz w:val="24"/>
                <w:szCs w:val="24"/>
              </w:rPr>
              <w:t>规格</w:t>
            </w:r>
            <w:r>
              <w:rPr>
                <w:rFonts w:hint="eastAsia" w:ascii="宋体" w:hAnsi="宋体" w:cs="宋体"/>
                <w:b w:val="0"/>
                <w:bCs/>
                <w:color w:val="auto"/>
                <w:sz w:val="24"/>
                <w:szCs w:val="24"/>
                <w:lang w:val="en-US" w:eastAsia="zh-CN"/>
              </w:rPr>
              <w:t>参数</w:t>
            </w:r>
            <w:r>
              <w:rPr>
                <w:rFonts w:hint="eastAsia" w:ascii="宋体" w:hAnsi="宋体" w:eastAsia="宋体" w:cs="宋体"/>
                <w:color w:val="auto"/>
                <w:sz w:val="24"/>
                <w:szCs w:val="24"/>
              </w:rPr>
              <w:t>φ</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65\90\29</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mm（±2mm）</w:t>
            </w:r>
            <w:r>
              <w:rPr>
                <w:rFonts w:hint="eastAsia" w:ascii="宋体" w:hAnsi="宋体" w:cs="宋体"/>
                <w:color w:val="auto"/>
                <w:sz w:val="24"/>
                <w:szCs w:val="24"/>
                <w:lang w:eastAsia="zh-CN"/>
              </w:rPr>
              <w:t>；</w:t>
            </w:r>
          </w:p>
          <w:p w14:paraId="3BEF76F8">
            <w:pPr>
              <w:adjustRightIn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3、立柱及横梁8套，规格参数600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4000mm（±5mm）；</w:t>
            </w:r>
          </w:p>
          <w:p w14:paraId="10B9494A">
            <w:pPr>
              <w:adjustRightInd/>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两台整机所有液压管道改造重新铺设，取消地下及明沟布管，采用空中支架管道行走方式，采用高压软管及无缝管衔接方式，要求布局合理美观。</w:t>
            </w:r>
            <w:r>
              <w:rPr>
                <w:rFonts w:hint="eastAsia" w:ascii="宋体" w:hAnsi="宋体" w:eastAsia="宋体" w:cs="宋体"/>
                <w:b w:val="0"/>
                <w:bCs/>
                <w:color w:val="auto"/>
                <w:sz w:val="24"/>
                <w:szCs w:val="24"/>
                <w:highlight w:val="none"/>
              </w:rPr>
              <w:t>规格</w:t>
            </w:r>
            <w:r>
              <w:rPr>
                <w:rFonts w:hint="eastAsia" w:ascii="宋体" w:hAnsi="宋体" w:cs="宋体"/>
                <w:b w:val="0"/>
                <w:bCs/>
                <w:color w:val="auto"/>
                <w:sz w:val="24"/>
                <w:szCs w:val="24"/>
                <w:highlight w:val="none"/>
                <w:lang w:val="en-US" w:eastAsia="zh-CN"/>
              </w:rPr>
              <w:t>参数</w:t>
            </w:r>
            <w:r>
              <w:rPr>
                <w:rFonts w:hint="eastAsia" w:ascii="宋体" w:hAnsi="宋体" w:eastAsia="宋体" w:cs="宋体"/>
                <w:color w:val="auto"/>
                <w:sz w:val="24"/>
                <w:szCs w:val="24"/>
                <w:highlight w:val="none"/>
              </w:rPr>
              <w:t>φ</w:t>
            </w: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mm（±2mm）</w:t>
            </w:r>
            <w:r>
              <w:rPr>
                <w:rFonts w:hint="eastAsia" w:ascii="宋体" w:hAnsi="宋体" w:cs="宋体"/>
                <w:color w:val="auto"/>
                <w:sz w:val="24"/>
                <w:szCs w:val="24"/>
                <w:highlight w:val="none"/>
                <w:lang w:val="en-US" w:eastAsia="zh-CN"/>
              </w:rPr>
              <w:t>；</w:t>
            </w:r>
          </w:p>
          <w:p w14:paraId="37EDC991">
            <w:pPr>
              <w:adjustRightIn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、活塞杆要求中性盐实验48h后表面无腐蚀现象（提供第三方检测报告加盖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29321273">
            <w:pPr>
              <w:adjustRightIn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销轴要求中性盐实验48h后表面无腐蚀现象（提供第三方检测报告加盖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73C1E7B2">
            <w:pPr>
              <w:widowControl w:val="0"/>
              <w:ind w:left="0" w:leftChars="0" w:firstLine="0" w:firstLineChars="0"/>
              <w:jc w:val="both"/>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设备基础基坑施工，配套附属设施施工</w:t>
            </w:r>
          </w:p>
        </w:tc>
        <w:tc>
          <w:tcPr>
            <w:tcW w:w="720" w:type="dxa"/>
            <w:tcBorders>
              <w:left w:val="single" w:color="auto" w:sz="4" w:space="0"/>
              <w:right w:val="single" w:color="auto" w:sz="4" w:space="0"/>
            </w:tcBorders>
            <w:noWrap w:val="0"/>
            <w:vAlign w:val="center"/>
          </w:tcPr>
          <w:p w14:paraId="506CE7D8">
            <w:pPr>
              <w:widowControl/>
              <w:adjustRightInd/>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w:t>
            </w:r>
          </w:p>
        </w:tc>
        <w:tc>
          <w:tcPr>
            <w:tcW w:w="847" w:type="dxa"/>
            <w:tcBorders>
              <w:left w:val="single" w:color="auto" w:sz="4" w:space="0"/>
              <w:right w:val="single" w:color="auto" w:sz="4" w:space="0"/>
            </w:tcBorders>
            <w:noWrap w:val="0"/>
            <w:vAlign w:val="center"/>
          </w:tcPr>
          <w:p w14:paraId="7757B2F9">
            <w:pPr>
              <w:widowControl/>
              <w:adjustRightInd/>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r>
    </w:tbl>
    <w:p w14:paraId="1D07167B">
      <w:pPr>
        <w:widowControl w:val="0"/>
        <w:ind w:firstLine="562"/>
        <w:jc w:val="both"/>
        <w:rPr>
          <w:rFonts w:hint="eastAsia" w:ascii="宋体" w:hAnsi="宋体" w:eastAsia="宋体" w:cs="宋体"/>
          <w:b/>
          <w:color w:val="auto"/>
          <w:kern w:val="2"/>
          <w:sz w:val="24"/>
          <w:szCs w:val="24"/>
          <w:lang w:val="en-US" w:eastAsia="zh-CN" w:bidi="ar-SA"/>
        </w:rPr>
      </w:pPr>
    </w:p>
    <w:p w14:paraId="4B874B58">
      <w:pPr>
        <w:widowControl w:val="0"/>
        <w:numPr>
          <w:ilvl w:val="0"/>
          <w:numId w:val="0"/>
        </w:numPr>
        <w:jc w:val="both"/>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（二）</w:t>
      </w:r>
      <w:r>
        <w:rPr>
          <w:rFonts w:hint="eastAsia" w:ascii="宋体" w:hAnsi="宋体" w:eastAsia="宋体" w:cs="宋体"/>
          <w:b/>
          <w:color w:val="auto"/>
          <w:kern w:val="2"/>
          <w:sz w:val="24"/>
          <w:szCs w:val="24"/>
          <w:highlight w:val="none"/>
          <w:lang w:val="en-US" w:eastAsia="zh-CN" w:bidi="ar-SA"/>
        </w:rPr>
        <w:t>桐山中转站</w:t>
      </w:r>
    </w:p>
    <w:p w14:paraId="60177C42">
      <w:pPr>
        <w:widowControl w:val="0"/>
        <w:ind w:firstLine="562"/>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1、大箱部分技术参数：</w:t>
      </w:r>
    </w:p>
    <w:tbl>
      <w:tblPr>
        <w:tblStyle w:val="62"/>
        <w:tblW w:w="8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900"/>
        <w:gridCol w:w="5799"/>
        <w:gridCol w:w="720"/>
        <w:gridCol w:w="847"/>
      </w:tblGrid>
      <w:tr w14:paraId="35988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681" w:type="dxa"/>
            <w:tcBorders>
              <w:right w:val="single" w:color="auto" w:sz="4" w:space="0"/>
            </w:tcBorders>
            <w:noWrap w:val="0"/>
            <w:vAlign w:val="center"/>
          </w:tcPr>
          <w:p w14:paraId="767FB91E">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900" w:type="dxa"/>
            <w:tcBorders>
              <w:left w:val="single" w:color="auto" w:sz="4" w:space="0"/>
            </w:tcBorders>
            <w:noWrap w:val="0"/>
            <w:vAlign w:val="center"/>
          </w:tcPr>
          <w:p w14:paraId="38D53052">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品名</w:t>
            </w:r>
          </w:p>
        </w:tc>
        <w:tc>
          <w:tcPr>
            <w:tcW w:w="5799" w:type="dxa"/>
            <w:tcBorders>
              <w:right w:val="single" w:color="auto" w:sz="4" w:space="0"/>
            </w:tcBorders>
            <w:noWrap w:val="0"/>
            <w:vAlign w:val="center"/>
          </w:tcPr>
          <w:p w14:paraId="6DCC6D72">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参  数</w:t>
            </w:r>
          </w:p>
        </w:tc>
        <w:tc>
          <w:tcPr>
            <w:tcW w:w="720" w:type="dxa"/>
            <w:tcBorders>
              <w:left w:val="single" w:color="auto" w:sz="4" w:space="0"/>
              <w:right w:val="single" w:color="auto" w:sz="4" w:space="0"/>
            </w:tcBorders>
            <w:noWrap w:val="0"/>
            <w:vAlign w:val="center"/>
          </w:tcPr>
          <w:p w14:paraId="00C8324D">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847" w:type="dxa"/>
            <w:tcBorders>
              <w:left w:val="single" w:color="auto" w:sz="4" w:space="0"/>
              <w:right w:val="single" w:color="auto" w:sz="4" w:space="0"/>
            </w:tcBorders>
            <w:noWrap w:val="0"/>
            <w:vAlign w:val="center"/>
          </w:tcPr>
          <w:p w14:paraId="669C6A79">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r>
      <w:tr w14:paraId="0C710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07281EB7">
            <w:pPr>
              <w:widowControl/>
              <w:adjustRightInd/>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00" w:type="dxa"/>
            <w:tcBorders>
              <w:left w:val="single" w:color="auto" w:sz="4" w:space="0"/>
            </w:tcBorders>
            <w:noWrap w:val="0"/>
            <w:vAlign w:val="center"/>
          </w:tcPr>
          <w:p w14:paraId="4C40A28B">
            <w:pPr>
              <w:widowControl/>
              <w:adjustRightInd/>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10T加盖</w:t>
            </w:r>
            <w:r>
              <w:rPr>
                <w:rFonts w:hint="eastAsia" w:ascii="宋体" w:hAnsi="宋体" w:eastAsia="宋体" w:cs="宋体"/>
                <w:color w:val="auto"/>
                <w:sz w:val="24"/>
                <w:szCs w:val="24"/>
                <w:lang w:val="en-US" w:eastAsia="zh-CN"/>
              </w:rPr>
              <w:t>机</w:t>
            </w:r>
            <w:r>
              <w:rPr>
                <w:rFonts w:hint="eastAsia" w:ascii="宋体" w:hAnsi="宋体" w:eastAsia="宋体" w:cs="宋体"/>
                <w:color w:val="auto"/>
                <w:sz w:val="24"/>
                <w:szCs w:val="24"/>
              </w:rPr>
              <w:t>箱体</w:t>
            </w:r>
          </w:p>
        </w:tc>
        <w:tc>
          <w:tcPr>
            <w:tcW w:w="5799" w:type="dxa"/>
            <w:tcBorders>
              <w:right w:val="single" w:color="auto" w:sz="4" w:space="0"/>
            </w:tcBorders>
            <w:noWrap w:val="0"/>
            <w:vAlign w:val="center"/>
          </w:tcPr>
          <w:p w14:paraId="464100D3">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1、箱体尺寸（长×宽×高）：</w:t>
            </w:r>
            <w:r>
              <w:rPr>
                <w:rFonts w:hint="eastAsia" w:ascii="宋体" w:hAnsi="宋体" w:eastAsia="宋体" w:cs="宋体"/>
                <w:color w:val="auto"/>
                <w:sz w:val="24"/>
                <w:szCs w:val="24"/>
                <w:lang w:val="en-US" w:eastAsia="zh-CN"/>
              </w:rPr>
              <w:t>1165</w:t>
            </w:r>
            <w:r>
              <w:rPr>
                <w:rFonts w:hint="eastAsia" w:ascii="宋体" w:hAnsi="宋体" w:eastAsia="宋体" w:cs="宋体"/>
                <w:color w:val="auto"/>
                <w:sz w:val="24"/>
                <w:szCs w:val="24"/>
              </w:rPr>
              <w:t>0mm×2</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0mm×16</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0mm</w:t>
            </w:r>
            <w:r>
              <w:rPr>
                <w:rFonts w:hint="eastAsia" w:ascii="宋体" w:hAnsi="宋体" w:eastAsia="宋体" w:cs="宋体"/>
                <w:color w:val="auto"/>
                <w:sz w:val="24"/>
                <w:szCs w:val="24"/>
                <w:lang w:val="en-US" w:eastAsia="zh-CN"/>
              </w:rPr>
              <w:t>（±5mm）</w:t>
            </w:r>
          </w:p>
          <w:p w14:paraId="03E4E8F2">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2、主体采用1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0方管、1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#槽钢、</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#槽钢、20#工字钢，底板厚度≥12㎜板制作，侧板厚度≥10㎜板制作其中钢板采用Q345B钢板，型材采用Q235A碳钢</w:t>
            </w:r>
          </w:p>
          <w:p w14:paraId="5CCB9B58">
            <w:pPr>
              <w:adjustRightInd/>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3、推台推压总行程</w:t>
            </w:r>
            <w:r>
              <w:rPr>
                <w:rFonts w:hint="eastAsia" w:ascii="宋体" w:hAnsi="宋体" w:eastAsia="宋体" w:cs="宋体"/>
                <w:color w:val="auto"/>
                <w:sz w:val="24"/>
                <w:szCs w:val="24"/>
                <w:lang w:val="en-US" w:eastAsia="zh-CN"/>
              </w:rPr>
              <w:t>690</w:t>
            </w:r>
            <w:r>
              <w:rPr>
                <w:rFonts w:hint="eastAsia" w:ascii="宋体" w:hAnsi="宋体" w:eastAsia="宋体" w:cs="宋体"/>
                <w:color w:val="auto"/>
                <w:sz w:val="24"/>
                <w:szCs w:val="24"/>
              </w:rPr>
              <w:t>0mm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采用一主二副形式</w:t>
            </w:r>
          </w:p>
          <w:p w14:paraId="3E1DFC11">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highlight w:val="none"/>
              </w:rPr>
              <w:t>前闸门油缸规格φ80/φ56/13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0（mm）</w:t>
            </w:r>
            <w:r>
              <w:rPr>
                <w:rFonts w:hint="eastAsia" w:ascii="宋体" w:hAnsi="宋体" w:eastAsia="宋体" w:cs="宋体"/>
                <w:color w:val="auto"/>
                <w:sz w:val="24"/>
                <w:szCs w:val="24"/>
                <w:highlight w:val="none"/>
                <w:lang w:val="en-US" w:eastAsia="zh-CN"/>
              </w:rPr>
              <w:t>（±2mm）</w:t>
            </w:r>
          </w:p>
          <w:p w14:paraId="2AC7875A">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5、箱体组成构件：进料斗、储存仓、进推料仓、前闸门组件、提升座、连接座、推压装置组件</w:t>
            </w:r>
          </w:p>
          <w:p w14:paraId="4FFA3B04">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6、前闸门采用22#槽钢、≥25㎜撑板、≥12mm整板面板制作</w:t>
            </w:r>
          </w:p>
          <w:p w14:paraId="56D7F585">
            <w:pPr>
              <w:adjustRightInd/>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7、箱体压缩仓四周上方布置4组导向装置和压缩机立柱连接，导向采用滑块形式，导向支架≥25㎜板制作</w:t>
            </w:r>
            <w:r>
              <w:rPr>
                <w:rFonts w:hint="eastAsia" w:ascii="宋体" w:hAnsi="宋体" w:cs="宋体"/>
                <w:color w:val="auto"/>
                <w:sz w:val="24"/>
                <w:szCs w:val="24"/>
                <w:lang w:eastAsia="zh-CN"/>
              </w:rPr>
              <w:t>；</w:t>
            </w:r>
            <w:r>
              <w:rPr>
                <w:rFonts w:hint="eastAsia" w:ascii="宋体" w:hAnsi="宋体" w:cs="宋体"/>
                <w:color w:val="auto"/>
                <w:sz w:val="24"/>
                <w:szCs w:val="24"/>
                <w:highlight w:val="none"/>
                <w:lang w:val="en-US" w:eastAsia="zh-CN"/>
              </w:rPr>
              <w:t>加盖装置组件结构性能及强度可靠，运行稳定可靠，保证设备使用性能。</w:t>
            </w:r>
          </w:p>
          <w:p w14:paraId="16B0675A">
            <w:pPr>
              <w:spacing w:line="440" w:lineRule="exact"/>
              <w:rPr>
                <w:rFonts w:hint="eastAsia" w:ascii="宋体" w:hAnsi="宋体" w:eastAsia="宋体" w:cs="宋体"/>
                <w:color w:val="auto"/>
                <w:sz w:val="24"/>
                <w:szCs w:val="24"/>
                <w:highlight w:val="none"/>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sz w:val="24"/>
                <w:szCs w:val="24"/>
                <w:highlight w:val="none"/>
              </w:rPr>
              <w:t>8、进料斗采用不锈钢304板及不锈钢方管</w:t>
            </w:r>
            <w:r>
              <w:rPr>
                <w:rFonts w:hint="eastAsia" w:ascii="宋体" w:hAnsi="宋体" w:eastAsia="宋体" w:cs="宋体"/>
                <w:b w:val="0"/>
                <w:bCs w:val="0"/>
                <w:color w:val="auto"/>
                <w:sz w:val="24"/>
                <w:szCs w:val="24"/>
                <w:highlight w:val="none"/>
              </w:rPr>
              <w:t>制作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提供安装</w:t>
            </w:r>
            <w:r>
              <w:rPr>
                <w:rFonts w:hint="eastAsia" w:ascii="宋体" w:hAnsi="宋体" w:eastAsia="宋体" w:cs="宋体"/>
                <w:color w:val="auto"/>
                <w:sz w:val="24"/>
                <w:szCs w:val="24"/>
                <w:highlight w:val="none"/>
                <w:lang w:val="en-US" w:eastAsia="zh-CN"/>
              </w:rPr>
              <w:t>实物</w:t>
            </w:r>
            <w:r>
              <w:rPr>
                <w:rFonts w:hint="eastAsia" w:ascii="宋体" w:hAnsi="宋体" w:eastAsia="宋体" w:cs="宋体"/>
                <w:color w:val="auto"/>
                <w:sz w:val="24"/>
                <w:szCs w:val="24"/>
                <w:highlight w:val="none"/>
              </w:rPr>
              <w:t>图片证明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6D4035A">
            <w:pPr>
              <w:adjustRightInd/>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9、表面须采用严格的防腐工艺进行防腐处理,使外表美观,耐腐蚀</w:t>
            </w:r>
          </w:p>
          <w:p w14:paraId="027C1B5F">
            <w:pPr>
              <w:adjustRightInd/>
              <w:spacing w:line="440" w:lineRule="exact"/>
              <w:rPr>
                <w:rFonts w:hint="eastAsia" w:ascii="宋体" w:hAnsi="宋体" w:eastAsia="宋体" w:cs="宋体"/>
                <w:b w:val="0"/>
                <w:bCs w:val="0"/>
                <w:color w:val="auto"/>
                <w:sz w:val="24"/>
                <w:szCs w:val="24"/>
                <w:highlight w:val="none"/>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 w:val="0"/>
                <w:bCs w:val="0"/>
                <w:color w:val="auto"/>
                <w:sz w:val="24"/>
                <w:szCs w:val="24"/>
                <w:highlight w:val="none"/>
              </w:rPr>
              <w:t>9.1箱体底板要求中性盐实验48h后表面无腐蚀现象（提供第三方检测报告加盖</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公章）</w:t>
            </w:r>
          </w:p>
          <w:p w14:paraId="78D68CA9">
            <w:pPr>
              <w:adjustRightInd/>
              <w:spacing w:line="440" w:lineRule="exact"/>
              <w:rPr>
                <w:rFonts w:hint="eastAsia" w:ascii="宋体" w:hAnsi="宋体" w:eastAsia="宋体" w:cs="宋体"/>
                <w:color w:val="auto"/>
                <w:sz w:val="24"/>
                <w:szCs w:val="24"/>
              </w:rPr>
            </w:pPr>
            <w:r>
              <w:rPr>
                <w:rFonts w:hint="eastAsia" w:ascii="宋体" w:hAnsi="宋体" w:eastAsia="宋体" w:cs="宋体"/>
                <w:b w:val="0"/>
                <w:bCs w:val="0"/>
                <w:color w:val="auto"/>
                <w:sz w:val="24"/>
                <w:szCs w:val="24"/>
              </w:rPr>
              <w:t>10、箱体压缩仓底板及两侧设置大量污水孔,在压缩过程中</w:t>
            </w:r>
            <w:r>
              <w:rPr>
                <w:rFonts w:hint="eastAsia" w:ascii="宋体" w:hAnsi="宋体" w:eastAsia="宋体" w:cs="宋体"/>
                <w:color w:val="auto"/>
                <w:sz w:val="24"/>
                <w:szCs w:val="24"/>
              </w:rPr>
              <w:t>污水能通过污水孔自动排出，并通过地坑内铺设导流通道,实现污水的有序排放，进入污水收集井</w:t>
            </w:r>
          </w:p>
          <w:p w14:paraId="773BA408">
            <w:pPr>
              <w:adjustRightInd/>
              <w:spacing w:line="440" w:lineRule="exact"/>
              <w:rPr>
                <w:rFonts w:hint="eastAsia" w:ascii="宋体" w:hAnsi="宋体" w:eastAsia="宋体" w:cs="宋体"/>
                <w:b/>
                <w:color w:val="auto"/>
                <w:sz w:val="24"/>
                <w:szCs w:val="24"/>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缸体连接方式采用浮动横压结构；导向形式采用滑板双侧体八导向形式。</w:t>
            </w:r>
            <w:r>
              <w:rPr>
                <w:rFonts w:hint="eastAsia" w:ascii="宋体" w:hAnsi="宋体" w:eastAsia="宋体" w:cs="宋体"/>
                <w:color w:val="auto"/>
                <w:sz w:val="24"/>
                <w:szCs w:val="24"/>
              </w:rPr>
              <w:t>推压头</w:t>
            </w:r>
            <w:r>
              <w:rPr>
                <w:rFonts w:hint="eastAsia" w:ascii="宋体" w:hAnsi="宋体" w:eastAsia="宋体" w:cs="宋体"/>
                <w:color w:val="auto"/>
                <w:sz w:val="24"/>
                <w:szCs w:val="24"/>
                <w:lang w:val="en-US" w:eastAsia="zh-CN"/>
              </w:rPr>
              <w:t>装置</w:t>
            </w:r>
            <w:r>
              <w:rPr>
                <w:rFonts w:hint="eastAsia" w:ascii="宋体" w:hAnsi="宋体" w:eastAsia="宋体" w:cs="宋体"/>
                <w:color w:val="auto"/>
                <w:sz w:val="24"/>
                <w:szCs w:val="24"/>
              </w:rPr>
              <w:t>直线运动采用无滚轮设计，四角均包设有防腐、耐磨型的L形导向条。闸门采用整板式导向</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包边式导向</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rPr>
              <w:t>（提供第三方检测报告加盖</w:t>
            </w:r>
            <w:r>
              <w:rPr>
                <w:rFonts w:hint="eastAsia" w:ascii="宋体" w:hAnsi="宋体" w:eastAsia="宋体" w:cs="宋体"/>
                <w:b w:val="0"/>
                <w:bCs/>
                <w:color w:val="auto"/>
                <w:sz w:val="24"/>
                <w:szCs w:val="24"/>
                <w:lang w:eastAsia="zh-CN"/>
              </w:rPr>
              <w:t>投标人</w:t>
            </w:r>
            <w:r>
              <w:rPr>
                <w:rFonts w:hint="eastAsia" w:ascii="宋体" w:hAnsi="宋体" w:eastAsia="宋体" w:cs="宋体"/>
                <w:b w:val="0"/>
                <w:bCs/>
                <w:color w:val="auto"/>
                <w:sz w:val="24"/>
                <w:szCs w:val="24"/>
              </w:rPr>
              <w:t>公章）</w:t>
            </w:r>
          </w:p>
          <w:p w14:paraId="4EABB747">
            <w:pPr>
              <w:numPr>
                <w:ilvl w:val="0"/>
                <w:numId w:val="0"/>
              </w:num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12、液压管道更换，</w:t>
            </w:r>
            <w:r>
              <w:rPr>
                <w:rFonts w:hint="eastAsia" w:ascii="宋体" w:hAnsi="宋体" w:eastAsia="宋体" w:cs="宋体"/>
                <w:color w:val="auto"/>
                <w:sz w:val="24"/>
                <w:szCs w:val="24"/>
              </w:rPr>
              <w:t>采用高压软管及无缝管衔接方式</w:t>
            </w:r>
          </w:p>
          <w:p w14:paraId="4DE8BE24">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、液压系统及管道在额定油压下液压系统无外渗漏油现象。</w:t>
            </w:r>
          </w:p>
        </w:tc>
        <w:tc>
          <w:tcPr>
            <w:tcW w:w="720" w:type="dxa"/>
            <w:tcBorders>
              <w:left w:val="single" w:color="auto" w:sz="4" w:space="0"/>
              <w:right w:val="single" w:color="auto" w:sz="4" w:space="0"/>
            </w:tcBorders>
            <w:noWrap w:val="0"/>
            <w:vAlign w:val="center"/>
          </w:tcPr>
          <w:p w14:paraId="15990F1E">
            <w:pPr>
              <w:widowControl/>
              <w:adjustRightInd/>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套</w:t>
            </w:r>
          </w:p>
        </w:tc>
        <w:tc>
          <w:tcPr>
            <w:tcW w:w="847" w:type="dxa"/>
            <w:tcBorders>
              <w:left w:val="single" w:color="auto" w:sz="4" w:space="0"/>
              <w:right w:val="single" w:color="auto" w:sz="4" w:space="0"/>
            </w:tcBorders>
            <w:noWrap w:val="0"/>
            <w:vAlign w:val="center"/>
          </w:tcPr>
          <w:p w14:paraId="04F4E96C">
            <w:pPr>
              <w:widowControl/>
              <w:adjustRightInd/>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r>
      <w:tr w14:paraId="6C22B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3F778870">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900" w:type="dxa"/>
            <w:tcBorders>
              <w:left w:val="single" w:color="auto" w:sz="4" w:space="0"/>
            </w:tcBorders>
            <w:noWrap w:val="0"/>
            <w:vAlign w:val="center"/>
          </w:tcPr>
          <w:p w14:paraId="696CDCE4">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其他配套部件</w:t>
            </w:r>
          </w:p>
        </w:tc>
        <w:tc>
          <w:tcPr>
            <w:tcW w:w="5799" w:type="dxa"/>
            <w:tcBorders>
              <w:right w:val="single" w:color="auto" w:sz="4" w:space="0"/>
            </w:tcBorders>
            <w:noWrap w:val="0"/>
            <w:vAlign w:val="center"/>
          </w:tcPr>
          <w:p w14:paraId="3694B628">
            <w:pPr>
              <w:pStyle w:val="2"/>
              <w:keepNext w:val="0"/>
              <w:keepLines w:val="0"/>
              <w:pageBreakBefore w:val="0"/>
              <w:numPr>
                <w:ilvl w:val="0"/>
                <w:numId w:val="0"/>
              </w:numPr>
              <w:kinsoku/>
              <w:wordWrap/>
              <w:topLinePunct w:val="0"/>
              <w:bidi w:val="0"/>
              <w:snapToGrid/>
              <w:spacing w:line="360"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default" w:ascii="宋体" w:hAnsi="宋体" w:eastAsia="宋体" w:cs="宋体"/>
                <w:b w:val="0"/>
                <w:bCs w:val="0"/>
                <w:color w:val="auto"/>
                <w:sz w:val="24"/>
                <w:szCs w:val="24"/>
                <w:highlight w:val="none"/>
                <w:lang w:val="en-US" w:eastAsia="zh-CN"/>
              </w:rPr>
              <w:t>举升油缸</w:t>
            </w:r>
            <w:r>
              <w:rPr>
                <w:rFonts w:hint="eastAsia" w:ascii="宋体" w:hAnsi="宋体" w:cs="宋体"/>
                <w:b w:val="0"/>
                <w:bCs w:val="0"/>
                <w:color w:val="auto"/>
                <w:sz w:val="24"/>
                <w:szCs w:val="24"/>
                <w:highlight w:val="none"/>
                <w:lang w:val="en-US" w:eastAsia="zh-CN"/>
              </w:rPr>
              <w:t>4</w:t>
            </w:r>
            <w:r>
              <w:rPr>
                <w:rFonts w:hint="default" w:ascii="宋体" w:hAnsi="宋体" w:eastAsia="宋体" w:cs="宋体"/>
                <w:b w:val="0"/>
                <w:bCs w:val="0"/>
                <w:color w:val="auto"/>
                <w:sz w:val="24"/>
                <w:szCs w:val="24"/>
                <w:highlight w:val="none"/>
                <w:lang w:val="en-US" w:eastAsia="zh-CN"/>
              </w:rPr>
              <w:t>套及销轴组件等整体更换。规格参数φ</w:t>
            </w:r>
            <w:r>
              <w:rPr>
                <w:rFonts w:hint="eastAsia" w:ascii="宋体" w:hAnsi="宋体" w:cs="宋体"/>
                <w:b w:val="0"/>
                <w:bCs w:val="0"/>
                <w:color w:val="auto"/>
                <w:sz w:val="24"/>
                <w:szCs w:val="24"/>
                <w:highlight w:val="none"/>
                <w:lang w:val="en-US" w:eastAsia="zh-CN"/>
              </w:rPr>
              <w:t>185/100/3200</w:t>
            </w:r>
            <w:r>
              <w:rPr>
                <w:rFonts w:hint="default" w:ascii="宋体" w:hAnsi="宋体" w:eastAsia="宋体" w:cs="宋体"/>
                <w:b w:val="0"/>
                <w:bCs w:val="0"/>
                <w:color w:val="auto"/>
                <w:sz w:val="24"/>
                <w:szCs w:val="24"/>
                <w:highlight w:val="none"/>
                <w:lang w:val="en-US" w:eastAsia="zh-CN"/>
              </w:rPr>
              <w:t>mm（±2mm）；</w:t>
            </w:r>
          </w:p>
          <w:p w14:paraId="72FDF19E">
            <w:pPr>
              <w:pStyle w:val="2"/>
              <w:keepNext w:val="0"/>
              <w:keepLines w:val="0"/>
              <w:pageBreakBefore w:val="0"/>
              <w:numPr>
                <w:ilvl w:val="0"/>
                <w:numId w:val="0"/>
              </w:numPr>
              <w:kinsoku/>
              <w:wordWrap/>
              <w:topLinePunct w:val="0"/>
              <w:bidi w:val="0"/>
              <w:snapToGrid/>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2、液压泵组阀组元件1套整体更换。</w:t>
            </w:r>
          </w:p>
          <w:p w14:paraId="76235A5D">
            <w:pPr>
              <w:adjustRightIn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两台整机所有液压管道改造重新铺设，取消地下及明沟布管，采用空中支架管道行走方式，采用高压软管及无缝管衔接方式，要求布局合理美观。</w:t>
            </w:r>
            <w:r>
              <w:rPr>
                <w:rFonts w:hint="eastAsia" w:ascii="宋体" w:hAnsi="宋体" w:eastAsia="宋体" w:cs="宋体"/>
                <w:b w:val="0"/>
                <w:bCs/>
                <w:color w:val="auto"/>
                <w:sz w:val="24"/>
                <w:szCs w:val="24"/>
                <w:highlight w:val="none"/>
              </w:rPr>
              <w:t>规格</w:t>
            </w:r>
            <w:r>
              <w:rPr>
                <w:rFonts w:hint="eastAsia" w:ascii="宋体" w:hAnsi="宋体" w:cs="宋体"/>
                <w:b w:val="0"/>
                <w:bCs/>
                <w:color w:val="auto"/>
                <w:sz w:val="24"/>
                <w:szCs w:val="24"/>
                <w:highlight w:val="none"/>
                <w:lang w:val="en-US" w:eastAsia="zh-CN"/>
              </w:rPr>
              <w:t>参数</w:t>
            </w:r>
            <w:r>
              <w:rPr>
                <w:rFonts w:hint="eastAsia" w:ascii="宋体" w:hAnsi="宋体" w:eastAsia="宋体" w:cs="宋体"/>
                <w:color w:val="auto"/>
                <w:sz w:val="24"/>
                <w:szCs w:val="24"/>
                <w:highlight w:val="none"/>
              </w:rPr>
              <w:t>φ</w:t>
            </w:r>
            <w:r>
              <w:rPr>
                <w:rFonts w:hint="eastAsia" w:ascii="宋体" w:hAnsi="宋体" w:eastAsia="宋体" w:cs="宋体"/>
                <w:color w:val="auto"/>
                <w:sz w:val="24"/>
                <w:szCs w:val="24"/>
                <w:highlight w:val="none"/>
                <w:lang w:val="en-US" w:eastAsia="zh-CN"/>
              </w:rPr>
              <w:t>56\</w:t>
            </w: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lang w:val="en-US" w:eastAsia="zh-CN"/>
              </w:rPr>
              <w:t>mm（±2mm）</w:t>
            </w:r>
            <w:r>
              <w:rPr>
                <w:rFonts w:hint="eastAsia" w:ascii="宋体" w:hAnsi="宋体" w:cs="宋体"/>
                <w:color w:val="auto"/>
                <w:sz w:val="24"/>
                <w:szCs w:val="24"/>
                <w:highlight w:val="none"/>
                <w:lang w:val="en-US" w:eastAsia="zh-CN"/>
              </w:rPr>
              <w:t>；</w:t>
            </w:r>
          </w:p>
          <w:p w14:paraId="2735DE04">
            <w:pPr>
              <w:adjustRightIn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、活塞杆要求中性盐实验48h后表面无腐蚀现象（提供第三方检测报告加盖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公章）</w:t>
            </w:r>
          </w:p>
          <w:p w14:paraId="6B1C5E02">
            <w:pPr>
              <w:adjustRightIn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销轴要求中性盐实验48h后表面无腐蚀现象（提供第三方检测报告加盖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公章）</w:t>
            </w:r>
          </w:p>
          <w:p w14:paraId="08840368">
            <w:pPr>
              <w:adjustRightInd/>
              <w:spacing w:line="360" w:lineRule="auto"/>
              <w:rPr>
                <w:rFonts w:hint="default"/>
                <w:lang w:val="en-US" w:eastAsia="zh-CN"/>
              </w:rPr>
            </w:pPr>
            <w:r>
              <w:rPr>
                <w:rFonts w:hint="eastAsia" w:ascii="宋体" w:hAnsi="宋体" w:eastAsia="宋体" w:cs="宋体"/>
                <w:color w:val="auto"/>
                <w:sz w:val="24"/>
                <w:szCs w:val="24"/>
                <w:lang w:val="en-US" w:eastAsia="zh-CN"/>
              </w:rPr>
              <w:t>6、设备基础基坑施工，配套附属设施施工</w:t>
            </w:r>
          </w:p>
        </w:tc>
        <w:tc>
          <w:tcPr>
            <w:tcW w:w="720" w:type="dxa"/>
            <w:tcBorders>
              <w:left w:val="single" w:color="auto" w:sz="4" w:space="0"/>
              <w:right w:val="single" w:color="auto" w:sz="4" w:space="0"/>
            </w:tcBorders>
            <w:noWrap w:val="0"/>
            <w:vAlign w:val="center"/>
          </w:tcPr>
          <w:p w14:paraId="40D1536C">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项</w:t>
            </w:r>
          </w:p>
        </w:tc>
        <w:tc>
          <w:tcPr>
            <w:tcW w:w="847" w:type="dxa"/>
            <w:tcBorders>
              <w:left w:val="single" w:color="auto" w:sz="4" w:space="0"/>
              <w:right w:val="single" w:color="auto" w:sz="4" w:space="0"/>
            </w:tcBorders>
            <w:noWrap w:val="0"/>
            <w:vAlign w:val="center"/>
          </w:tcPr>
          <w:p w14:paraId="5246C6EC">
            <w:pPr>
              <w:keepNext w:val="0"/>
              <w:keepLines w:val="0"/>
              <w:pageBreakBefore w:val="0"/>
              <w:widowControl/>
              <w:kinsoku/>
              <w:wordWrap/>
              <w:topLinePunct w:val="0"/>
              <w:bidi w:val="0"/>
              <w:adjustRightInd/>
              <w:snapToGrid/>
              <w:spacing w:line="312" w:lineRule="auto"/>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p>
        </w:tc>
      </w:tr>
    </w:tbl>
    <w:p w14:paraId="2BC7A7A0">
      <w:pPr>
        <w:widowControl w:val="0"/>
        <w:numPr>
          <w:ilvl w:val="0"/>
          <w:numId w:val="3"/>
        </w:numPr>
        <w:jc w:val="both"/>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湖东中转站</w:t>
      </w:r>
    </w:p>
    <w:p w14:paraId="13B39E8E">
      <w:pPr>
        <w:widowControl w:val="0"/>
        <w:ind w:firstLine="562"/>
        <w:jc w:val="both"/>
        <w:rPr>
          <w:rFonts w:hint="eastAsia"/>
          <w:lang w:val="en-US" w:eastAsia="zh-CN"/>
        </w:rPr>
      </w:pPr>
      <w:r>
        <w:rPr>
          <w:rFonts w:hint="eastAsia" w:ascii="宋体" w:hAnsi="宋体" w:eastAsia="宋体" w:cs="宋体"/>
          <w:b/>
          <w:color w:val="auto"/>
          <w:kern w:val="2"/>
          <w:sz w:val="24"/>
          <w:szCs w:val="24"/>
          <w:lang w:val="en-US" w:eastAsia="zh-CN" w:bidi="ar-SA"/>
        </w:rPr>
        <w:t>1、大箱部分技术参数：</w:t>
      </w:r>
    </w:p>
    <w:tbl>
      <w:tblPr>
        <w:tblStyle w:val="62"/>
        <w:tblW w:w="8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900"/>
        <w:gridCol w:w="5799"/>
        <w:gridCol w:w="720"/>
        <w:gridCol w:w="847"/>
      </w:tblGrid>
      <w:tr w14:paraId="2E9A0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681" w:type="dxa"/>
            <w:tcBorders>
              <w:right w:val="single" w:color="auto" w:sz="4" w:space="0"/>
            </w:tcBorders>
            <w:noWrap w:val="0"/>
            <w:vAlign w:val="center"/>
          </w:tcPr>
          <w:p w14:paraId="16D73B26">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900" w:type="dxa"/>
            <w:tcBorders>
              <w:left w:val="single" w:color="auto" w:sz="4" w:space="0"/>
            </w:tcBorders>
            <w:noWrap w:val="0"/>
            <w:vAlign w:val="center"/>
          </w:tcPr>
          <w:p w14:paraId="3A31C3DB">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品名</w:t>
            </w:r>
          </w:p>
        </w:tc>
        <w:tc>
          <w:tcPr>
            <w:tcW w:w="5799" w:type="dxa"/>
            <w:tcBorders>
              <w:right w:val="single" w:color="auto" w:sz="4" w:space="0"/>
            </w:tcBorders>
            <w:noWrap w:val="0"/>
            <w:vAlign w:val="center"/>
          </w:tcPr>
          <w:p w14:paraId="613ED69D">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参  数</w:t>
            </w:r>
          </w:p>
        </w:tc>
        <w:tc>
          <w:tcPr>
            <w:tcW w:w="720" w:type="dxa"/>
            <w:tcBorders>
              <w:left w:val="single" w:color="auto" w:sz="4" w:space="0"/>
              <w:right w:val="single" w:color="auto" w:sz="4" w:space="0"/>
            </w:tcBorders>
            <w:noWrap w:val="0"/>
            <w:vAlign w:val="center"/>
          </w:tcPr>
          <w:p w14:paraId="6F3D1FBA">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847" w:type="dxa"/>
            <w:tcBorders>
              <w:left w:val="single" w:color="auto" w:sz="4" w:space="0"/>
              <w:right w:val="single" w:color="auto" w:sz="4" w:space="0"/>
            </w:tcBorders>
            <w:noWrap w:val="0"/>
            <w:vAlign w:val="center"/>
          </w:tcPr>
          <w:p w14:paraId="378AC06D">
            <w:pPr>
              <w:widowControl/>
              <w:adjustRightInd/>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r>
      <w:tr w14:paraId="41AF9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35F63B2C">
            <w:pPr>
              <w:widowControl/>
              <w:adjustRightInd/>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00" w:type="dxa"/>
            <w:tcBorders>
              <w:left w:val="single" w:color="auto" w:sz="4" w:space="0"/>
            </w:tcBorders>
            <w:noWrap w:val="0"/>
            <w:vAlign w:val="center"/>
          </w:tcPr>
          <w:p w14:paraId="5F935B9E">
            <w:pPr>
              <w:widowControl/>
              <w:adjustRightInd/>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10T加盖</w:t>
            </w:r>
            <w:r>
              <w:rPr>
                <w:rFonts w:hint="eastAsia" w:ascii="宋体" w:hAnsi="宋体" w:eastAsia="宋体" w:cs="宋体"/>
                <w:color w:val="auto"/>
                <w:sz w:val="24"/>
                <w:szCs w:val="24"/>
                <w:lang w:val="en-US" w:eastAsia="zh-CN"/>
              </w:rPr>
              <w:t>机</w:t>
            </w:r>
            <w:r>
              <w:rPr>
                <w:rFonts w:hint="eastAsia" w:ascii="宋体" w:hAnsi="宋体" w:eastAsia="宋体" w:cs="宋体"/>
                <w:color w:val="auto"/>
                <w:sz w:val="24"/>
                <w:szCs w:val="24"/>
              </w:rPr>
              <w:t>箱体</w:t>
            </w:r>
          </w:p>
        </w:tc>
        <w:tc>
          <w:tcPr>
            <w:tcW w:w="5799" w:type="dxa"/>
            <w:tcBorders>
              <w:right w:val="single" w:color="auto" w:sz="4" w:space="0"/>
            </w:tcBorders>
            <w:noWrap w:val="0"/>
            <w:vAlign w:val="center"/>
          </w:tcPr>
          <w:p w14:paraId="557C481C">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1、箱体尺寸（长×宽×高）：</w:t>
            </w:r>
            <w:r>
              <w:rPr>
                <w:rFonts w:hint="eastAsia" w:ascii="宋体" w:hAnsi="宋体" w:eastAsia="宋体" w:cs="宋体"/>
                <w:color w:val="auto"/>
                <w:sz w:val="24"/>
                <w:szCs w:val="24"/>
                <w:lang w:val="en-US" w:eastAsia="zh-CN"/>
              </w:rPr>
              <w:t>1165</w:t>
            </w:r>
            <w:r>
              <w:rPr>
                <w:rFonts w:hint="eastAsia" w:ascii="宋体" w:hAnsi="宋体" w:eastAsia="宋体" w:cs="宋体"/>
                <w:color w:val="auto"/>
                <w:sz w:val="24"/>
                <w:szCs w:val="24"/>
              </w:rPr>
              <w:t>0mm×2</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0mm×16</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0mm</w:t>
            </w:r>
            <w:r>
              <w:rPr>
                <w:rFonts w:hint="eastAsia" w:ascii="宋体" w:hAnsi="宋体" w:eastAsia="宋体" w:cs="宋体"/>
                <w:color w:val="auto"/>
                <w:sz w:val="24"/>
                <w:szCs w:val="24"/>
                <w:lang w:val="en-US" w:eastAsia="zh-CN"/>
              </w:rPr>
              <w:t>（±5mm）</w:t>
            </w:r>
          </w:p>
          <w:p w14:paraId="2BC689E5">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2、主体采用1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0方管、1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#槽钢、</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#槽钢、20#工字钢，底板厚度≥12㎜板制作，侧板厚度≥10㎜板制作其中钢板采用Q345B钢板，型材采用Q235A碳钢</w:t>
            </w:r>
          </w:p>
          <w:p w14:paraId="319A6E11">
            <w:pPr>
              <w:adjustRightInd/>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3、推台推压总行程</w:t>
            </w:r>
            <w:r>
              <w:rPr>
                <w:rFonts w:hint="eastAsia" w:ascii="宋体" w:hAnsi="宋体" w:eastAsia="宋体" w:cs="宋体"/>
                <w:color w:val="auto"/>
                <w:sz w:val="24"/>
                <w:szCs w:val="24"/>
                <w:lang w:val="en-US" w:eastAsia="zh-CN"/>
              </w:rPr>
              <w:t>690</w:t>
            </w:r>
            <w:r>
              <w:rPr>
                <w:rFonts w:hint="eastAsia" w:ascii="宋体" w:hAnsi="宋体" w:eastAsia="宋体" w:cs="宋体"/>
                <w:color w:val="auto"/>
                <w:sz w:val="24"/>
                <w:szCs w:val="24"/>
              </w:rPr>
              <w:t>0mm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采用一主二副形式</w:t>
            </w:r>
          </w:p>
          <w:p w14:paraId="5D3A9A88">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4、前闸门油缸规格φ80/φ56/13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0（mm）</w:t>
            </w:r>
            <w:r>
              <w:rPr>
                <w:rFonts w:hint="eastAsia" w:ascii="宋体" w:hAnsi="宋体" w:eastAsia="宋体" w:cs="宋体"/>
                <w:color w:val="auto"/>
                <w:sz w:val="24"/>
                <w:szCs w:val="24"/>
                <w:lang w:val="en-US" w:eastAsia="zh-CN"/>
              </w:rPr>
              <w:t>（±2mm）</w:t>
            </w:r>
          </w:p>
          <w:p w14:paraId="2955C861">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5、箱体组成构件：进料斗、储存仓、进推料仓、前闸门组件、提升座、连接座、推压装置组件</w:t>
            </w:r>
          </w:p>
          <w:p w14:paraId="04C3831E">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6、前闸门采用22#槽钢、≥25㎜撑板、≥12mm整板面板制作</w:t>
            </w:r>
          </w:p>
          <w:p w14:paraId="3ACDDF52">
            <w:pPr>
              <w:adjustRightInd/>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7、箱体压缩仓四周上方布置4组导向装置和压缩机立柱连接，导向采用滑块形式，导向支架≥25㎜板制作</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加盖装置组件结构性能及强度可靠，运行稳定可靠，保证设备使用性能。</w:t>
            </w:r>
          </w:p>
          <w:p w14:paraId="36958594">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8、进料斗采用不锈钢304板及不锈钢方管制作。</w:t>
            </w:r>
          </w:p>
          <w:p w14:paraId="13645D48">
            <w:pPr>
              <w:adjustRightInd/>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9、表面须采用严格的防腐工艺进行防腐处理,使外表美观,耐腐蚀</w:t>
            </w:r>
          </w:p>
          <w:p w14:paraId="5806D9B2">
            <w:pPr>
              <w:adjustRightInd/>
              <w:spacing w:line="440" w:lineRule="exact"/>
              <w:rPr>
                <w:rFonts w:hint="eastAsia" w:ascii="宋体" w:hAnsi="宋体" w:eastAsia="宋体" w:cs="宋体"/>
                <w:b w:val="0"/>
                <w:bCs w:val="0"/>
                <w:color w:val="auto"/>
                <w:sz w:val="24"/>
                <w:szCs w:val="24"/>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 w:val="0"/>
                <w:bCs w:val="0"/>
                <w:color w:val="auto"/>
                <w:sz w:val="24"/>
                <w:szCs w:val="24"/>
              </w:rPr>
              <w:t>9.1箱体底板要求中性盐实验48h后表面无腐蚀现象（提供第三方检测报告加盖</w:t>
            </w:r>
            <w:r>
              <w:rPr>
                <w:rFonts w:hint="eastAsia" w:ascii="宋体" w:hAnsi="宋体" w:eastAsia="宋体" w:cs="宋体"/>
                <w:b w:val="0"/>
                <w:bCs w:val="0"/>
                <w:color w:val="auto"/>
                <w:sz w:val="24"/>
                <w:szCs w:val="24"/>
                <w:lang w:eastAsia="zh-CN"/>
              </w:rPr>
              <w:t>投标人</w:t>
            </w:r>
            <w:r>
              <w:rPr>
                <w:rFonts w:hint="eastAsia" w:ascii="宋体" w:hAnsi="宋体" w:eastAsia="宋体" w:cs="宋体"/>
                <w:b w:val="0"/>
                <w:bCs w:val="0"/>
                <w:color w:val="auto"/>
                <w:sz w:val="24"/>
                <w:szCs w:val="24"/>
              </w:rPr>
              <w:t>公章）</w:t>
            </w:r>
          </w:p>
          <w:p w14:paraId="1EED27CD">
            <w:pPr>
              <w:adjustRightInd/>
              <w:spacing w:line="440" w:lineRule="exact"/>
              <w:rPr>
                <w:rFonts w:hint="eastAsia" w:ascii="宋体" w:hAnsi="宋体" w:eastAsia="宋体" w:cs="宋体"/>
                <w:color w:val="auto"/>
                <w:sz w:val="24"/>
                <w:szCs w:val="24"/>
              </w:rPr>
            </w:pPr>
            <w:r>
              <w:rPr>
                <w:rFonts w:hint="eastAsia" w:ascii="宋体" w:hAnsi="宋体" w:eastAsia="宋体" w:cs="宋体"/>
                <w:b w:val="0"/>
                <w:bCs w:val="0"/>
                <w:color w:val="auto"/>
                <w:sz w:val="24"/>
                <w:szCs w:val="24"/>
              </w:rPr>
              <w:t>10、箱体压缩仓底板及两侧设置大量污水孔,在压缩过程中</w:t>
            </w:r>
            <w:r>
              <w:rPr>
                <w:rFonts w:hint="eastAsia" w:ascii="宋体" w:hAnsi="宋体" w:eastAsia="宋体" w:cs="宋体"/>
                <w:color w:val="auto"/>
                <w:sz w:val="24"/>
                <w:szCs w:val="24"/>
              </w:rPr>
              <w:t>污水能通过污水孔自动排出，并通过地坑内铺设导流通道,实现污水的有序排放，进入污水收集井</w:t>
            </w:r>
          </w:p>
          <w:p w14:paraId="1643AEA5">
            <w:pPr>
              <w:adjustRightInd/>
              <w:spacing w:line="440" w:lineRule="exact"/>
              <w:rPr>
                <w:rFonts w:hint="eastAsia" w:ascii="宋体" w:hAnsi="宋体" w:eastAsia="宋体" w:cs="宋体"/>
                <w:b/>
                <w:color w:val="auto"/>
                <w:sz w:val="24"/>
                <w:szCs w:val="24"/>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缸体连接方式采用浮动横压结构；导向形式采用滑板双侧体八导向形式。</w:t>
            </w:r>
            <w:r>
              <w:rPr>
                <w:rFonts w:hint="eastAsia" w:ascii="宋体" w:hAnsi="宋体" w:eastAsia="宋体" w:cs="宋体"/>
                <w:color w:val="auto"/>
                <w:sz w:val="24"/>
                <w:szCs w:val="24"/>
              </w:rPr>
              <w:t>推压头</w:t>
            </w:r>
            <w:r>
              <w:rPr>
                <w:rFonts w:hint="eastAsia" w:ascii="宋体" w:hAnsi="宋体" w:eastAsia="宋体" w:cs="宋体"/>
                <w:color w:val="auto"/>
                <w:sz w:val="24"/>
                <w:szCs w:val="24"/>
                <w:lang w:val="en-US" w:eastAsia="zh-CN"/>
              </w:rPr>
              <w:t>装置</w:t>
            </w:r>
            <w:r>
              <w:rPr>
                <w:rFonts w:hint="eastAsia" w:ascii="宋体" w:hAnsi="宋体" w:eastAsia="宋体" w:cs="宋体"/>
                <w:color w:val="auto"/>
                <w:sz w:val="24"/>
                <w:szCs w:val="24"/>
              </w:rPr>
              <w:t>直线运动采用无滚轮设计，四角均包设有防腐、耐磨型的L形导向条。闸门采用整板式导向</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包边式导向</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rPr>
              <w:t>（提供第三方检测报告加盖</w:t>
            </w:r>
            <w:r>
              <w:rPr>
                <w:rFonts w:hint="eastAsia" w:ascii="宋体" w:hAnsi="宋体" w:eastAsia="宋体" w:cs="宋体"/>
                <w:b w:val="0"/>
                <w:bCs/>
                <w:color w:val="auto"/>
                <w:sz w:val="24"/>
                <w:szCs w:val="24"/>
                <w:lang w:eastAsia="zh-CN"/>
              </w:rPr>
              <w:t>投标人</w:t>
            </w:r>
            <w:r>
              <w:rPr>
                <w:rFonts w:hint="eastAsia" w:ascii="宋体" w:hAnsi="宋体" w:eastAsia="宋体" w:cs="宋体"/>
                <w:b w:val="0"/>
                <w:bCs/>
                <w:color w:val="auto"/>
                <w:sz w:val="24"/>
                <w:szCs w:val="24"/>
              </w:rPr>
              <w:t>公章）</w:t>
            </w:r>
          </w:p>
          <w:p w14:paraId="61275299">
            <w:pPr>
              <w:numPr>
                <w:ilvl w:val="0"/>
                <w:numId w:val="0"/>
              </w:num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12、拖链液压管道更换，</w:t>
            </w:r>
            <w:r>
              <w:rPr>
                <w:rFonts w:hint="eastAsia" w:ascii="宋体" w:hAnsi="宋体" w:eastAsia="宋体" w:cs="宋体"/>
                <w:color w:val="auto"/>
                <w:sz w:val="24"/>
                <w:szCs w:val="24"/>
              </w:rPr>
              <w:t>采用高压软管及无缝管衔接方式</w:t>
            </w:r>
          </w:p>
          <w:p w14:paraId="15562DBF">
            <w:pPr>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、液压系统及管道在额定油压下液压系统无外渗漏油现象。</w:t>
            </w:r>
          </w:p>
        </w:tc>
        <w:tc>
          <w:tcPr>
            <w:tcW w:w="720" w:type="dxa"/>
            <w:tcBorders>
              <w:left w:val="single" w:color="auto" w:sz="4" w:space="0"/>
              <w:right w:val="single" w:color="auto" w:sz="4" w:space="0"/>
            </w:tcBorders>
            <w:noWrap w:val="0"/>
            <w:vAlign w:val="center"/>
          </w:tcPr>
          <w:p w14:paraId="78142344">
            <w:pPr>
              <w:widowControl/>
              <w:adjustRightInd/>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套</w:t>
            </w:r>
          </w:p>
        </w:tc>
        <w:tc>
          <w:tcPr>
            <w:tcW w:w="847" w:type="dxa"/>
            <w:tcBorders>
              <w:left w:val="single" w:color="auto" w:sz="4" w:space="0"/>
              <w:right w:val="single" w:color="auto" w:sz="4" w:space="0"/>
            </w:tcBorders>
            <w:noWrap w:val="0"/>
            <w:vAlign w:val="center"/>
          </w:tcPr>
          <w:p w14:paraId="3B3B2DFF">
            <w:pPr>
              <w:widowControl/>
              <w:adjustRightInd/>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r>
      <w:tr w14:paraId="0A934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2E8E8F7C">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900" w:type="dxa"/>
            <w:tcBorders>
              <w:left w:val="single" w:color="auto" w:sz="4" w:space="0"/>
            </w:tcBorders>
            <w:noWrap w:val="0"/>
            <w:vAlign w:val="center"/>
          </w:tcPr>
          <w:p w14:paraId="75E4B320">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其他配套部件</w:t>
            </w:r>
          </w:p>
        </w:tc>
        <w:tc>
          <w:tcPr>
            <w:tcW w:w="5799" w:type="dxa"/>
            <w:tcBorders>
              <w:right w:val="single" w:color="auto" w:sz="4" w:space="0"/>
            </w:tcBorders>
            <w:noWrap w:val="0"/>
            <w:vAlign w:val="center"/>
          </w:tcPr>
          <w:p w14:paraId="12E82533">
            <w:pPr>
              <w:numPr>
                <w:ilvl w:val="0"/>
                <w:numId w:val="0"/>
              </w:numPr>
              <w:adjustRightInd/>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推压副缸</w:t>
            </w:r>
            <w:r>
              <w:rPr>
                <w:rFonts w:hint="eastAsia" w:ascii="宋体" w:hAnsi="宋体" w:cs="宋体"/>
                <w:color w:val="auto"/>
                <w:sz w:val="24"/>
                <w:szCs w:val="24"/>
                <w:lang w:val="en-US" w:eastAsia="zh-CN"/>
              </w:rPr>
              <w:t>（2号机）2</w:t>
            </w:r>
            <w:r>
              <w:rPr>
                <w:rFonts w:hint="eastAsia" w:ascii="宋体" w:hAnsi="宋体" w:eastAsia="宋体" w:cs="宋体"/>
                <w:color w:val="auto"/>
                <w:sz w:val="24"/>
                <w:szCs w:val="24"/>
                <w:lang w:val="en-US" w:eastAsia="zh-CN"/>
              </w:rPr>
              <w:t>套及销轴组件等整体更换</w:t>
            </w:r>
            <w:r>
              <w:rPr>
                <w:rFonts w:hint="eastAsia" w:ascii="宋体" w:hAnsi="宋体" w:eastAsia="宋体" w:cs="宋体"/>
                <w:color w:val="auto"/>
                <w:sz w:val="24"/>
                <w:szCs w:val="24"/>
              </w:rPr>
              <w:t>。</w:t>
            </w:r>
            <w:r>
              <w:rPr>
                <w:rFonts w:hint="eastAsia" w:ascii="宋体" w:hAnsi="宋体" w:eastAsia="宋体" w:cs="宋体"/>
                <w:b w:val="0"/>
                <w:bCs/>
                <w:color w:val="auto"/>
                <w:sz w:val="24"/>
                <w:szCs w:val="24"/>
              </w:rPr>
              <w:t>规格</w:t>
            </w:r>
            <w:r>
              <w:rPr>
                <w:rFonts w:hint="eastAsia" w:ascii="宋体" w:hAnsi="宋体" w:cs="宋体"/>
                <w:b w:val="0"/>
                <w:bCs/>
                <w:color w:val="auto"/>
                <w:sz w:val="24"/>
                <w:szCs w:val="24"/>
                <w:lang w:val="en-US" w:eastAsia="zh-CN"/>
              </w:rPr>
              <w:t>参数</w:t>
            </w:r>
            <w:r>
              <w:rPr>
                <w:rFonts w:hint="eastAsia" w:ascii="宋体" w:hAnsi="宋体" w:eastAsia="宋体" w:cs="宋体"/>
                <w:color w:val="auto"/>
                <w:sz w:val="24"/>
                <w:szCs w:val="24"/>
              </w:rPr>
              <w:t>φ2</w:t>
            </w:r>
            <w:r>
              <w:rPr>
                <w:rFonts w:hint="eastAsia" w:ascii="宋体" w:hAnsi="宋体" w:cs="宋体"/>
                <w:color w:val="auto"/>
                <w:sz w:val="24"/>
                <w:szCs w:val="24"/>
                <w:lang w:val="en-US" w:eastAsia="zh-CN"/>
              </w:rPr>
              <w:t>60</w:t>
            </w:r>
            <w:r>
              <w:rPr>
                <w:rFonts w:hint="default" w:ascii="宋体" w:hAnsi="宋体" w:eastAsia="宋体" w:cs="宋体"/>
                <w:b w:val="0"/>
                <w:bCs w:val="0"/>
                <w:color w:val="auto"/>
                <w:sz w:val="24"/>
                <w:szCs w:val="24"/>
                <w:lang w:val="en-US" w:eastAsia="zh-CN"/>
              </w:rPr>
              <w:t>/</w:t>
            </w:r>
            <w:r>
              <w:rPr>
                <w:rFonts w:hint="eastAsia" w:ascii="宋体" w:hAnsi="宋体" w:cs="宋体"/>
                <w:color w:val="auto"/>
                <w:sz w:val="24"/>
                <w:szCs w:val="24"/>
                <w:lang w:val="en-US" w:eastAsia="zh-CN"/>
              </w:rPr>
              <w:t>160</w:t>
            </w:r>
            <w:r>
              <w:rPr>
                <w:rFonts w:hint="default" w:ascii="宋体" w:hAnsi="宋体" w:eastAsia="宋体" w:cs="宋体"/>
                <w:b w:val="0"/>
                <w:bCs w:val="0"/>
                <w:color w:val="auto"/>
                <w:sz w:val="24"/>
                <w:szCs w:val="24"/>
                <w:lang w:val="en-US" w:eastAsia="zh-CN"/>
              </w:rPr>
              <w:t>/</w:t>
            </w:r>
            <w:r>
              <w:rPr>
                <w:rFonts w:hint="eastAsia" w:ascii="宋体" w:hAnsi="宋体" w:cs="宋体"/>
                <w:color w:val="auto"/>
                <w:sz w:val="24"/>
                <w:szCs w:val="24"/>
                <w:lang w:val="en-US" w:eastAsia="zh-CN"/>
              </w:rPr>
              <w:t>3450</w:t>
            </w:r>
            <w:r>
              <w:rPr>
                <w:rFonts w:hint="eastAsia" w:ascii="宋体" w:hAnsi="宋体" w:eastAsia="宋体" w:cs="宋体"/>
                <w:color w:val="auto"/>
                <w:sz w:val="24"/>
                <w:szCs w:val="24"/>
                <w:lang w:val="en-US" w:eastAsia="zh-CN"/>
              </w:rPr>
              <w:t>mm（±2mm）；</w:t>
            </w:r>
          </w:p>
          <w:p w14:paraId="5E3BE81C">
            <w:pPr>
              <w:numPr>
                <w:ilvl w:val="0"/>
                <w:numId w:val="0"/>
              </w:numPr>
              <w:adjustRightInd/>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举升油缸</w:t>
            </w:r>
            <w:r>
              <w:rPr>
                <w:rFonts w:hint="eastAsia" w:ascii="宋体" w:hAnsi="宋体" w:cs="宋体"/>
                <w:color w:val="auto"/>
                <w:sz w:val="24"/>
                <w:szCs w:val="24"/>
                <w:lang w:val="en-US" w:eastAsia="zh-CN"/>
              </w:rPr>
              <w:t>4套（1号机、2号机）</w:t>
            </w:r>
            <w:r>
              <w:rPr>
                <w:rFonts w:hint="eastAsia" w:ascii="宋体" w:hAnsi="宋体" w:eastAsia="宋体" w:cs="宋体"/>
                <w:color w:val="auto"/>
                <w:sz w:val="24"/>
                <w:szCs w:val="24"/>
                <w:lang w:val="en-US" w:eastAsia="zh-CN"/>
              </w:rPr>
              <w:t>及销轴组件等整体更换</w:t>
            </w:r>
            <w:r>
              <w:rPr>
                <w:rFonts w:hint="eastAsia" w:ascii="宋体" w:hAnsi="宋体" w:eastAsia="宋体" w:cs="宋体"/>
                <w:color w:val="auto"/>
                <w:sz w:val="24"/>
                <w:szCs w:val="24"/>
              </w:rPr>
              <w:t>。</w:t>
            </w:r>
            <w:r>
              <w:rPr>
                <w:rFonts w:hint="eastAsia" w:ascii="宋体" w:hAnsi="宋体" w:eastAsia="宋体" w:cs="宋体"/>
                <w:b w:val="0"/>
                <w:bCs/>
                <w:color w:val="auto"/>
                <w:sz w:val="24"/>
                <w:szCs w:val="24"/>
              </w:rPr>
              <w:t>规格</w:t>
            </w:r>
            <w:r>
              <w:rPr>
                <w:rFonts w:hint="eastAsia" w:ascii="宋体" w:hAnsi="宋体" w:cs="宋体"/>
                <w:b w:val="0"/>
                <w:bCs/>
                <w:color w:val="auto"/>
                <w:sz w:val="24"/>
                <w:szCs w:val="24"/>
                <w:lang w:val="en-US" w:eastAsia="zh-CN"/>
              </w:rPr>
              <w:t>参数</w:t>
            </w:r>
            <w:r>
              <w:rPr>
                <w:rFonts w:hint="eastAsia" w:ascii="宋体" w:hAnsi="宋体" w:eastAsia="宋体" w:cs="宋体"/>
                <w:color w:val="auto"/>
                <w:sz w:val="24"/>
                <w:szCs w:val="24"/>
              </w:rPr>
              <w:t>φ</w:t>
            </w:r>
            <w:r>
              <w:rPr>
                <w:rFonts w:hint="eastAsia" w:ascii="宋体" w:hAnsi="宋体" w:cs="宋体"/>
                <w:color w:val="auto"/>
                <w:sz w:val="24"/>
                <w:szCs w:val="24"/>
                <w:lang w:val="en-US" w:eastAsia="zh-CN"/>
              </w:rPr>
              <w:t>185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3200</w:t>
            </w:r>
            <w:r>
              <w:rPr>
                <w:rFonts w:hint="eastAsia" w:ascii="宋体" w:hAnsi="宋体" w:eastAsia="宋体" w:cs="宋体"/>
                <w:color w:val="auto"/>
                <w:sz w:val="24"/>
                <w:szCs w:val="24"/>
                <w:lang w:val="en-US" w:eastAsia="zh-CN"/>
              </w:rPr>
              <w:t>mm（±2mm）</w:t>
            </w:r>
            <w:r>
              <w:rPr>
                <w:rFonts w:hint="eastAsia" w:ascii="宋体" w:hAnsi="宋体" w:cs="宋体"/>
                <w:color w:val="auto"/>
                <w:sz w:val="24"/>
                <w:szCs w:val="24"/>
                <w:lang w:eastAsia="zh-CN"/>
              </w:rPr>
              <w:t>；</w:t>
            </w:r>
          </w:p>
          <w:p w14:paraId="43CDF154">
            <w:pPr>
              <w:adjustRightInd/>
              <w:spacing w:line="360" w:lineRule="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3、钢铝坦克链总成2套，</w:t>
            </w:r>
            <w:r>
              <w:rPr>
                <w:rFonts w:hint="eastAsia" w:ascii="宋体" w:hAnsi="宋体" w:eastAsia="宋体" w:cs="宋体"/>
                <w:b w:val="0"/>
                <w:bCs/>
                <w:color w:val="auto"/>
                <w:sz w:val="24"/>
                <w:szCs w:val="24"/>
                <w:highlight w:val="none"/>
              </w:rPr>
              <w:t>规格</w:t>
            </w:r>
            <w:r>
              <w:rPr>
                <w:rFonts w:hint="eastAsia" w:ascii="宋体" w:hAnsi="宋体" w:cs="宋体"/>
                <w:b w:val="0"/>
                <w:bCs/>
                <w:color w:val="auto"/>
                <w:sz w:val="24"/>
                <w:szCs w:val="24"/>
                <w:highlight w:val="none"/>
                <w:lang w:val="en-US" w:eastAsia="zh-CN"/>
              </w:rPr>
              <w:t>参数</w:t>
            </w:r>
            <w:r>
              <w:rPr>
                <w:rFonts w:hint="eastAsia" w:ascii="宋体" w:hAnsi="宋体" w:cs="宋体"/>
                <w:color w:val="auto"/>
                <w:sz w:val="24"/>
                <w:szCs w:val="24"/>
                <w:highlight w:val="none"/>
                <w:lang w:val="en-US" w:eastAsia="zh-CN"/>
              </w:rPr>
              <w:t>350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120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4000</w:t>
            </w:r>
            <w:r>
              <w:rPr>
                <w:rFonts w:hint="eastAsia" w:ascii="宋体" w:hAnsi="宋体" w:eastAsia="宋体" w:cs="宋体"/>
                <w:color w:val="auto"/>
                <w:sz w:val="24"/>
                <w:szCs w:val="24"/>
                <w:highlight w:val="none"/>
                <w:lang w:val="en-US" w:eastAsia="zh-CN"/>
              </w:rPr>
              <w:t>mm</w:t>
            </w:r>
            <w:r>
              <w:rPr>
                <w:rFonts w:hint="eastAsia" w:ascii="宋体" w:hAnsi="宋体" w:cs="宋体"/>
                <w:color w:val="auto"/>
                <w:sz w:val="24"/>
                <w:szCs w:val="24"/>
                <w:highlight w:val="none"/>
                <w:lang w:val="en-US" w:eastAsia="zh-CN"/>
              </w:rPr>
              <w:t>；</w:t>
            </w:r>
          </w:p>
          <w:p w14:paraId="00CF8633">
            <w:pPr>
              <w:adjustRightInd/>
              <w:spacing w:line="360" w:lineRule="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两台整机所有液压管道改造重新铺设，取消地下及明沟布管，采用空中支架管道行走方式，采用高压软管及无缝管衔接方式，要求布局合理美观。</w:t>
            </w:r>
            <w:r>
              <w:rPr>
                <w:rFonts w:hint="eastAsia" w:ascii="宋体" w:hAnsi="宋体" w:eastAsia="宋体" w:cs="宋体"/>
                <w:b w:val="0"/>
                <w:bCs/>
                <w:color w:val="auto"/>
                <w:sz w:val="24"/>
                <w:szCs w:val="24"/>
                <w:highlight w:val="none"/>
              </w:rPr>
              <w:t>规格</w:t>
            </w:r>
            <w:r>
              <w:rPr>
                <w:rFonts w:hint="eastAsia" w:ascii="宋体" w:hAnsi="宋体" w:cs="宋体"/>
                <w:b w:val="0"/>
                <w:bCs/>
                <w:color w:val="auto"/>
                <w:sz w:val="24"/>
                <w:szCs w:val="24"/>
                <w:highlight w:val="none"/>
                <w:lang w:val="en-US" w:eastAsia="zh-CN"/>
              </w:rPr>
              <w:t>参数</w:t>
            </w:r>
            <w:r>
              <w:rPr>
                <w:rFonts w:hint="eastAsia" w:ascii="宋体" w:hAnsi="宋体" w:eastAsia="宋体" w:cs="宋体"/>
                <w:color w:val="auto"/>
                <w:sz w:val="24"/>
                <w:szCs w:val="24"/>
                <w:highlight w:val="none"/>
              </w:rPr>
              <w:t>φ</w:t>
            </w:r>
            <w:r>
              <w:rPr>
                <w:rFonts w:hint="eastAsia" w:ascii="宋体" w:hAnsi="宋体" w:eastAsia="宋体" w:cs="宋体"/>
                <w:color w:val="auto"/>
                <w:sz w:val="24"/>
                <w:szCs w:val="24"/>
                <w:highlight w:val="none"/>
                <w:lang w:val="en-US" w:eastAsia="zh-CN"/>
              </w:rPr>
              <w:t>56/</w:t>
            </w:r>
            <w:r>
              <w:rPr>
                <w:rFonts w:hint="eastAsia" w:ascii="宋体" w:hAnsi="宋体" w:cs="宋体"/>
                <w:color w:val="auto"/>
                <w:sz w:val="24"/>
                <w:szCs w:val="24"/>
                <w:highlight w:val="none"/>
                <w:lang w:val="en-US" w:eastAsia="zh-CN"/>
              </w:rPr>
              <w:t>48/34/27</w:t>
            </w:r>
            <w:r>
              <w:rPr>
                <w:rFonts w:hint="eastAsia" w:ascii="宋体" w:hAnsi="宋体" w:eastAsia="宋体" w:cs="宋体"/>
                <w:color w:val="auto"/>
                <w:sz w:val="24"/>
                <w:szCs w:val="24"/>
                <w:highlight w:val="none"/>
                <w:lang w:val="en-US" w:eastAsia="zh-CN"/>
              </w:rPr>
              <w:t>mm（±2mm）</w:t>
            </w:r>
            <w:r>
              <w:rPr>
                <w:rFonts w:hint="eastAsia" w:ascii="宋体" w:hAnsi="宋体" w:cs="宋体"/>
                <w:color w:val="auto"/>
                <w:sz w:val="24"/>
                <w:szCs w:val="24"/>
                <w:highlight w:val="none"/>
                <w:lang w:val="en-US" w:eastAsia="zh-CN"/>
              </w:rPr>
              <w:t>；</w:t>
            </w:r>
          </w:p>
          <w:p w14:paraId="765724EF">
            <w:pPr>
              <w:adjustRightInd/>
              <w:spacing w:line="360" w:lineRule="auto"/>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5、设备电控系统线路2台，满足现有设备整体控制运行性能，设备操控运行安全可靠。</w:t>
            </w:r>
          </w:p>
          <w:p w14:paraId="791247CB">
            <w:pPr>
              <w:pStyle w:val="25"/>
              <w:spacing w:line="360" w:lineRule="auto"/>
              <w:ind w:left="0" w:leftChars="0" w:firstLine="0" w:firstLineChars="0"/>
              <w:rPr>
                <w:rFonts w:hint="default" w:ascii="宋体" w:hAnsi="宋体" w:eastAsia="宋体" w:cs="宋体"/>
                <w:b w:val="0"/>
                <w:bCs w:val="0"/>
                <w:color w:val="auto"/>
                <w:sz w:val="24"/>
                <w:szCs w:val="24"/>
                <w:highlight w:val="none"/>
                <w:lang w:val="en-US" w:eastAsia="zh-CN"/>
              </w:rPr>
            </w:pPr>
            <w:r>
              <w:rPr>
                <w:rFonts w:hint="eastAsia"/>
                <w:color w:val="auto"/>
                <w:highlight w:val="none"/>
                <w:lang w:val="en-US" w:eastAsia="zh-CN"/>
              </w:rPr>
              <w:t>6、</w:t>
            </w:r>
            <w:r>
              <w:rPr>
                <w:rFonts w:hint="eastAsia" w:hAnsi="宋体" w:cs="宋体"/>
                <w:b w:val="0"/>
                <w:bCs w:val="0"/>
                <w:color w:val="auto"/>
                <w:sz w:val="24"/>
                <w:szCs w:val="24"/>
                <w:highlight w:val="none"/>
                <w:lang w:val="en-US" w:eastAsia="zh-CN"/>
              </w:rPr>
              <w:t>主压</w:t>
            </w:r>
            <w:r>
              <w:rPr>
                <w:rFonts w:hint="default" w:ascii="宋体" w:hAnsi="宋体" w:eastAsia="宋体" w:cs="宋体"/>
                <w:b w:val="0"/>
                <w:bCs w:val="0"/>
                <w:color w:val="auto"/>
                <w:sz w:val="24"/>
                <w:szCs w:val="24"/>
                <w:highlight w:val="none"/>
                <w:lang w:val="en-US" w:eastAsia="zh-CN"/>
              </w:rPr>
              <w:t>油缸</w:t>
            </w:r>
            <w:r>
              <w:rPr>
                <w:rFonts w:hint="eastAsia" w:hAnsi="宋体" w:cs="宋体"/>
                <w:b w:val="0"/>
                <w:bCs w:val="0"/>
                <w:color w:val="auto"/>
                <w:sz w:val="24"/>
                <w:szCs w:val="24"/>
                <w:highlight w:val="none"/>
                <w:lang w:val="en-US" w:eastAsia="zh-CN"/>
              </w:rPr>
              <w:t>1根</w:t>
            </w:r>
            <w:r>
              <w:rPr>
                <w:rFonts w:hint="default" w:ascii="宋体" w:hAnsi="宋体" w:eastAsia="宋体" w:cs="宋体"/>
                <w:b w:val="0"/>
                <w:bCs w:val="0"/>
                <w:color w:val="auto"/>
                <w:sz w:val="24"/>
                <w:szCs w:val="24"/>
                <w:highlight w:val="none"/>
                <w:lang w:val="en-US" w:eastAsia="zh-CN"/>
              </w:rPr>
              <w:t>及</w:t>
            </w:r>
            <w:r>
              <w:rPr>
                <w:rFonts w:hint="eastAsia" w:hAnsi="宋体" w:cs="宋体"/>
                <w:b w:val="0"/>
                <w:bCs w:val="0"/>
                <w:color w:val="auto"/>
                <w:sz w:val="24"/>
                <w:szCs w:val="24"/>
                <w:highlight w:val="none"/>
                <w:lang w:val="en-US" w:eastAsia="zh-CN"/>
              </w:rPr>
              <w:t>主压</w:t>
            </w:r>
            <w:r>
              <w:rPr>
                <w:rFonts w:hint="default" w:ascii="宋体" w:hAnsi="宋体" w:eastAsia="宋体" w:cs="宋体"/>
                <w:b w:val="0"/>
                <w:bCs w:val="0"/>
                <w:color w:val="auto"/>
                <w:sz w:val="24"/>
                <w:szCs w:val="24"/>
                <w:highlight w:val="none"/>
                <w:lang w:val="en-US" w:eastAsia="zh-CN"/>
              </w:rPr>
              <w:t>油缸</w:t>
            </w:r>
            <w:r>
              <w:rPr>
                <w:rFonts w:hint="eastAsia" w:hAnsi="宋体" w:cs="宋体"/>
                <w:b w:val="0"/>
                <w:bCs w:val="0"/>
                <w:color w:val="auto"/>
                <w:sz w:val="24"/>
                <w:szCs w:val="24"/>
                <w:highlight w:val="none"/>
                <w:lang w:val="en-US" w:eastAsia="zh-CN"/>
              </w:rPr>
              <w:t>维修1根更换</w:t>
            </w:r>
            <w:r>
              <w:rPr>
                <w:rFonts w:hint="default" w:ascii="宋体" w:hAnsi="宋体" w:eastAsia="宋体" w:cs="宋体"/>
                <w:b w:val="0"/>
                <w:bCs w:val="0"/>
                <w:color w:val="auto"/>
                <w:sz w:val="24"/>
                <w:szCs w:val="24"/>
                <w:highlight w:val="none"/>
                <w:lang w:val="en-US" w:eastAsia="zh-CN"/>
              </w:rPr>
              <w:t>。规格参数φ</w:t>
            </w:r>
            <w:r>
              <w:rPr>
                <w:rFonts w:hint="eastAsia" w:hAnsi="宋体" w:cs="宋体"/>
                <w:b w:val="0"/>
                <w:bCs w:val="0"/>
                <w:color w:val="auto"/>
                <w:sz w:val="24"/>
                <w:szCs w:val="24"/>
                <w:highlight w:val="none"/>
                <w:lang w:val="en-US" w:eastAsia="zh-CN"/>
              </w:rPr>
              <w:t>320/200/</w:t>
            </w:r>
            <w:r>
              <w:rPr>
                <w:rFonts w:hint="eastAsia" w:ascii="宋体" w:hAnsi="宋体" w:cs="宋体"/>
                <w:b w:val="0"/>
                <w:bCs w:val="0"/>
                <w:color w:val="auto"/>
                <w:sz w:val="24"/>
                <w:szCs w:val="24"/>
                <w:highlight w:val="none"/>
                <w:lang w:val="en-US" w:eastAsia="zh-CN"/>
              </w:rPr>
              <w:t>3</w:t>
            </w:r>
            <w:r>
              <w:rPr>
                <w:rFonts w:hint="eastAsia" w:hAnsi="宋体" w:cs="宋体"/>
                <w:b w:val="0"/>
                <w:bCs w:val="0"/>
                <w:color w:val="auto"/>
                <w:sz w:val="24"/>
                <w:szCs w:val="24"/>
                <w:highlight w:val="none"/>
                <w:lang w:val="en-US" w:eastAsia="zh-CN"/>
              </w:rPr>
              <w:t>850</w:t>
            </w:r>
            <w:r>
              <w:rPr>
                <w:rFonts w:hint="default" w:ascii="宋体" w:hAnsi="宋体" w:eastAsia="宋体" w:cs="宋体"/>
                <w:b w:val="0"/>
                <w:bCs w:val="0"/>
                <w:color w:val="auto"/>
                <w:sz w:val="24"/>
                <w:szCs w:val="24"/>
                <w:highlight w:val="none"/>
                <w:lang w:val="en-US" w:eastAsia="zh-CN"/>
              </w:rPr>
              <w:t>mm（±2mm）；</w:t>
            </w:r>
          </w:p>
          <w:p w14:paraId="0911C18D">
            <w:pPr>
              <w:adjustRightInd/>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Cs/>
                <w:color w:val="auto"/>
                <w:kern w:val="0"/>
                <w:sz w:val="21"/>
                <w:szCs w:val="21"/>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、活塞杆要求中性盐实验48</w:t>
            </w:r>
            <w:r>
              <w:rPr>
                <w:rFonts w:hint="eastAsia" w:ascii="宋体" w:hAnsi="宋体" w:eastAsia="宋体" w:cs="宋体"/>
                <w:b w:val="0"/>
                <w:bCs w:val="0"/>
                <w:color w:val="auto"/>
                <w:sz w:val="24"/>
                <w:szCs w:val="24"/>
                <w:highlight w:val="none"/>
              </w:rPr>
              <w:t>h后表面无腐蚀现象（提供第三方检测报告加盖</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公章）</w:t>
            </w:r>
          </w:p>
          <w:p w14:paraId="0F9F3972">
            <w:pPr>
              <w:adjustRightInd/>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Cs/>
                <w:color w:val="auto"/>
                <w:kern w:val="0"/>
                <w:sz w:val="21"/>
                <w:szCs w:val="21"/>
                <w:highlight w:val="none"/>
                <w:lang w:eastAsia="zh-CN"/>
              </w:rPr>
              <w:t>★</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销轴要求中性盐实验48h后表面无腐蚀现象（提供第三方检测报告加盖</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公章）</w:t>
            </w:r>
          </w:p>
          <w:p w14:paraId="5E9D8D70">
            <w:pPr>
              <w:pStyle w:val="79"/>
              <w:spacing w:line="360" w:lineRule="auto"/>
              <w:ind w:left="0" w:leftChars="0" w:firstLine="0" w:firstLineChars="0"/>
              <w:rPr>
                <w:rFonts w:hint="default"/>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kern w:val="2"/>
                <w:sz w:val="24"/>
                <w:szCs w:val="24"/>
                <w:highlight w:val="none"/>
                <w:lang w:val="en-US" w:eastAsia="zh-CN" w:bidi="ar-SA"/>
              </w:rPr>
              <w:t>设备基础基坑施工，配套附属设施施工</w:t>
            </w:r>
          </w:p>
        </w:tc>
        <w:tc>
          <w:tcPr>
            <w:tcW w:w="720" w:type="dxa"/>
            <w:tcBorders>
              <w:left w:val="single" w:color="auto" w:sz="4" w:space="0"/>
              <w:right w:val="single" w:color="auto" w:sz="4" w:space="0"/>
            </w:tcBorders>
            <w:noWrap w:val="0"/>
            <w:vAlign w:val="center"/>
          </w:tcPr>
          <w:p w14:paraId="6474AE28">
            <w:pPr>
              <w:keepNext w:val="0"/>
              <w:keepLines w:val="0"/>
              <w:pageBreakBefore w:val="0"/>
              <w:widowControl/>
              <w:kinsoku/>
              <w:wordWrap/>
              <w:topLinePunct w:val="0"/>
              <w:bidi w:val="0"/>
              <w:adjustRightInd/>
              <w:snapToGrid/>
              <w:spacing w:line="360" w:lineRule="auto"/>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项</w:t>
            </w:r>
          </w:p>
        </w:tc>
        <w:tc>
          <w:tcPr>
            <w:tcW w:w="847" w:type="dxa"/>
            <w:tcBorders>
              <w:left w:val="single" w:color="auto" w:sz="4" w:space="0"/>
              <w:right w:val="single" w:color="auto" w:sz="4" w:space="0"/>
            </w:tcBorders>
            <w:noWrap w:val="0"/>
            <w:vAlign w:val="center"/>
          </w:tcPr>
          <w:p w14:paraId="43BA59B8">
            <w:pPr>
              <w:keepNext w:val="0"/>
              <w:keepLines w:val="0"/>
              <w:pageBreakBefore w:val="0"/>
              <w:widowControl/>
              <w:kinsoku/>
              <w:wordWrap/>
              <w:topLinePunct w:val="0"/>
              <w:bidi w:val="0"/>
              <w:adjustRightInd/>
              <w:snapToGrid/>
              <w:spacing w:line="312" w:lineRule="auto"/>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p>
        </w:tc>
      </w:tr>
    </w:tbl>
    <w:p w14:paraId="0BB8950E">
      <w:pPr>
        <w:keepNext w:val="0"/>
        <w:keepLines w:val="0"/>
        <w:pageBreakBefore w:val="0"/>
        <w:widowControl w:val="0"/>
        <w:numPr>
          <w:ilvl w:val="0"/>
          <w:numId w:val="3"/>
        </w:numPr>
        <w:kinsoku/>
        <w:wordWrap/>
        <w:topLinePunct w:val="0"/>
        <w:bidi w:val="0"/>
        <w:snapToGrid/>
        <w:spacing w:before="60" w:beforeLines="25" w:after="60" w:afterLines="25" w:line="312" w:lineRule="auto"/>
        <w:ind w:left="0" w:leftChars="0" w:firstLine="0" w:firstLineChars="0"/>
        <w:jc w:val="left"/>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怡惠站</w:t>
      </w:r>
    </w:p>
    <w:p w14:paraId="64B7F97C">
      <w:pPr>
        <w:widowControl w:val="0"/>
        <w:ind w:firstLine="562"/>
        <w:jc w:val="both"/>
        <w:rPr>
          <w:rFonts w:hint="eastAsia"/>
          <w:lang w:val="en-US" w:eastAsia="zh-CN"/>
        </w:rPr>
      </w:pPr>
      <w:r>
        <w:rPr>
          <w:rFonts w:hint="eastAsia" w:ascii="宋体" w:hAnsi="宋体" w:eastAsia="宋体" w:cs="宋体"/>
          <w:b/>
          <w:color w:val="auto"/>
          <w:kern w:val="2"/>
          <w:sz w:val="24"/>
          <w:szCs w:val="24"/>
          <w:lang w:val="en-US" w:eastAsia="zh-CN" w:bidi="ar-SA"/>
        </w:rPr>
        <w:t>1、大箱部分技术参数：</w:t>
      </w:r>
    </w:p>
    <w:tbl>
      <w:tblPr>
        <w:tblStyle w:val="62"/>
        <w:tblW w:w="8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900"/>
        <w:gridCol w:w="5799"/>
        <w:gridCol w:w="720"/>
        <w:gridCol w:w="847"/>
      </w:tblGrid>
      <w:tr w14:paraId="16F40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681" w:type="dxa"/>
            <w:tcBorders>
              <w:right w:val="single" w:color="auto" w:sz="4" w:space="0"/>
            </w:tcBorders>
            <w:noWrap w:val="0"/>
            <w:vAlign w:val="center"/>
          </w:tcPr>
          <w:p w14:paraId="4ABFE6DF">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900" w:type="dxa"/>
            <w:tcBorders>
              <w:left w:val="single" w:color="auto" w:sz="4" w:space="0"/>
            </w:tcBorders>
            <w:noWrap w:val="0"/>
            <w:vAlign w:val="center"/>
          </w:tcPr>
          <w:p w14:paraId="3F4D1F12">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品名</w:t>
            </w:r>
          </w:p>
        </w:tc>
        <w:tc>
          <w:tcPr>
            <w:tcW w:w="5799" w:type="dxa"/>
            <w:tcBorders>
              <w:right w:val="single" w:color="auto" w:sz="4" w:space="0"/>
            </w:tcBorders>
            <w:noWrap w:val="0"/>
            <w:vAlign w:val="center"/>
          </w:tcPr>
          <w:p w14:paraId="6C147376">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参  数</w:t>
            </w:r>
          </w:p>
        </w:tc>
        <w:tc>
          <w:tcPr>
            <w:tcW w:w="720" w:type="dxa"/>
            <w:tcBorders>
              <w:left w:val="single" w:color="auto" w:sz="4" w:space="0"/>
              <w:right w:val="single" w:color="auto" w:sz="4" w:space="0"/>
            </w:tcBorders>
            <w:noWrap w:val="0"/>
            <w:vAlign w:val="center"/>
          </w:tcPr>
          <w:p w14:paraId="3C51A355">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47" w:type="dxa"/>
            <w:tcBorders>
              <w:left w:val="single" w:color="auto" w:sz="4" w:space="0"/>
              <w:right w:val="single" w:color="auto" w:sz="4" w:space="0"/>
            </w:tcBorders>
            <w:noWrap w:val="0"/>
            <w:vAlign w:val="center"/>
          </w:tcPr>
          <w:p w14:paraId="6457C791">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w:t>
            </w:r>
          </w:p>
        </w:tc>
      </w:tr>
      <w:tr w14:paraId="25E79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14A89DE8">
            <w:pPr>
              <w:widowControl/>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900" w:type="dxa"/>
            <w:tcBorders>
              <w:left w:val="single" w:color="auto" w:sz="4" w:space="0"/>
            </w:tcBorders>
            <w:noWrap w:val="0"/>
            <w:vAlign w:val="center"/>
          </w:tcPr>
          <w:p w14:paraId="183C8CFD">
            <w:pPr>
              <w:widowControl/>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垂直式箱体</w:t>
            </w:r>
          </w:p>
        </w:tc>
        <w:tc>
          <w:tcPr>
            <w:tcW w:w="5799" w:type="dxa"/>
            <w:tcBorders>
              <w:right w:val="single" w:color="auto" w:sz="4" w:space="0"/>
            </w:tcBorders>
            <w:noWrap w:val="0"/>
            <w:vAlign w:val="center"/>
          </w:tcPr>
          <w:p w14:paraId="65EBB019">
            <w:pPr>
              <w:spacing w:line="440" w:lineRule="exact"/>
              <w:rPr>
                <w:rFonts w:hint="eastAsia" w:ascii="宋体" w:hAnsi="宋体" w:eastAsia="宋体" w:cs="宋体"/>
                <w:sz w:val="24"/>
                <w:szCs w:val="24"/>
              </w:rPr>
            </w:pPr>
            <w:r>
              <w:rPr>
                <w:rFonts w:hint="eastAsia" w:ascii="宋体" w:hAnsi="宋体" w:eastAsia="宋体" w:cs="宋体"/>
                <w:sz w:val="24"/>
                <w:szCs w:val="24"/>
              </w:rPr>
              <w:t>1、箱体尺寸（长×宽×高）：5800mm×2</w:t>
            </w:r>
            <w:r>
              <w:rPr>
                <w:rFonts w:hint="eastAsia" w:ascii="宋体" w:hAnsi="宋体" w:eastAsia="宋体" w:cs="宋体"/>
                <w:sz w:val="24"/>
                <w:szCs w:val="24"/>
                <w:lang w:val="en-US" w:eastAsia="zh-CN"/>
              </w:rPr>
              <w:t>200</w:t>
            </w:r>
            <w:r>
              <w:rPr>
                <w:rFonts w:hint="eastAsia" w:ascii="宋体" w:hAnsi="宋体" w:eastAsia="宋体" w:cs="宋体"/>
                <w:sz w:val="24"/>
                <w:szCs w:val="24"/>
              </w:rPr>
              <w:t>mm×1</w:t>
            </w:r>
            <w:r>
              <w:rPr>
                <w:rFonts w:hint="eastAsia" w:ascii="宋体" w:hAnsi="宋体" w:eastAsia="宋体" w:cs="宋体"/>
                <w:sz w:val="24"/>
                <w:szCs w:val="24"/>
                <w:lang w:val="en-US" w:eastAsia="zh-CN"/>
              </w:rPr>
              <w:t>560</w:t>
            </w:r>
            <w:r>
              <w:rPr>
                <w:rFonts w:hint="eastAsia" w:ascii="宋体" w:hAnsi="宋体" w:eastAsia="宋体" w:cs="宋体"/>
                <w:sz w:val="24"/>
                <w:szCs w:val="24"/>
              </w:rPr>
              <w:t>mm</w:t>
            </w:r>
          </w:p>
          <w:p w14:paraId="33441470">
            <w:pPr>
              <w:spacing w:line="440" w:lineRule="exact"/>
              <w:rPr>
                <w:rFonts w:hint="eastAsia" w:ascii="宋体" w:hAnsi="宋体" w:eastAsia="宋体" w:cs="宋体"/>
                <w:sz w:val="24"/>
                <w:szCs w:val="24"/>
              </w:rPr>
            </w:pPr>
            <w:r>
              <w:rPr>
                <w:rFonts w:hint="eastAsia" w:ascii="宋体" w:hAnsi="宋体" w:eastAsia="宋体" w:cs="宋体"/>
                <w:sz w:val="24"/>
                <w:szCs w:val="24"/>
              </w:rPr>
              <w:t>2、主体采用100方管、12#槽钢、≥10㎜板制作，其中钢板采用Q345B钢板，型材采用Q235A碳钢</w:t>
            </w:r>
          </w:p>
          <w:p w14:paraId="7D934D3B">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、箱体组成构件：压缩仓、储存仓、推料仓、前门、中门</w:t>
            </w:r>
          </w:p>
          <w:p w14:paraId="15BEF44F">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、中门采用8#槽钢立式、≥12㎜整板制作，前门采用6．3#槽钢、≥8㎜板制作</w:t>
            </w:r>
          </w:p>
          <w:p w14:paraId="4F34DB87">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、箱体压缩仓四周上方布置4对、每对2组导向装置和压缩机立柱连接，导向采用滚轮，导向支架采用16#槽钢、≥20㎜板制作</w:t>
            </w:r>
          </w:p>
          <w:p w14:paraId="7E0035AE">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、表面须采用严格的防腐工艺进行防腐处理,使外表美观,耐腐蚀</w:t>
            </w:r>
          </w:p>
          <w:p w14:paraId="1F43235A">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箱体底板要求中性盐实验48h后表面无腐蚀现象</w:t>
            </w:r>
          </w:p>
          <w:p w14:paraId="1C093FF0">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、箱体压缩仓两侧设置大量污水孔,在压缩过程中污水能通过污水孔自动排出，并通过地坑内铺设导流通道,实现污水的有序排放，进入污水收集井</w:t>
            </w:r>
          </w:p>
          <w:p w14:paraId="051CC02D">
            <w:pPr>
              <w:widowControl/>
              <w:spacing w:line="4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、箱体设有四支吊耳，左右对称布置于受圾口两侧，吊耳位置需与设备压台挂箱机构位置对应，前后中心距离约为1430mm</w:t>
            </w:r>
          </w:p>
        </w:tc>
        <w:tc>
          <w:tcPr>
            <w:tcW w:w="720" w:type="dxa"/>
            <w:tcBorders>
              <w:left w:val="single" w:color="auto" w:sz="4" w:space="0"/>
              <w:right w:val="single" w:color="auto" w:sz="4" w:space="0"/>
            </w:tcBorders>
            <w:noWrap w:val="0"/>
            <w:vAlign w:val="center"/>
          </w:tcPr>
          <w:p w14:paraId="3E9CF419">
            <w:pPr>
              <w:widowControl/>
              <w:spacing w:line="4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套</w:t>
            </w:r>
          </w:p>
        </w:tc>
        <w:tc>
          <w:tcPr>
            <w:tcW w:w="847" w:type="dxa"/>
            <w:tcBorders>
              <w:left w:val="single" w:color="auto" w:sz="4" w:space="0"/>
              <w:right w:val="single" w:color="auto" w:sz="4" w:space="0"/>
            </w:tcBorders>
            <w:noWrap w:val="0"/>
            <w:vAlign w:val="center"/>
          </w:tcPr>
          <w:p w14:paraId="1C4C5BBB">
            <w:pPr>
              <w:widowControl/>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r>
      <w:tr w14:paraId="331B2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4504DB6B">
            <w:pPr>
              <w:widowControl/>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900" w:type="dxa"/>
            <w:tcBorders>
              <w:left w:val="single" w:color="auto" w:sz="4" w:space="0"/>
            </w:tcBorders>
            <w:noWrap w:val="0"/>
            <w:vAlign w:val="center"/>
          </w:tcPr>
          <w:p w14:paraId="3CB6640A">
            <w:pPr>
              <w:widowControl/>
              <w:spacing w:line="440" w:lineRule="exact"/>
              <w:jc w:val="center"/>
              <w:rPr>
                <w:rFonts w:hint="eastAsia" w:ascii="宋体" w:hAnsi="宋体" w:eastAsia="宋体" w:cs="宋体"/>
                <w:sz w:val="24"/>
                <w:szCs w:val="24"/>
              </w:rPr>
            </w:pPr>
            <w:r>
              <w:rPr>
                <w:rFonts w:hint="eastAsia" w:ascii="宋体" w:hAnsi="宋体" w:eastAsia="宋体" w:cs="宋体"/>
                <w:sz w:val="24"/>
                <w:szCs w:val="24"/>
              </w:rPr>
              <w:t>垃圾压缩机的其他配套部件</w:t>
            </w:r>
          </w:p>
        </w:tc>
        <w:tc>
          <w:tcPr>
            <w:tcW w:w="5799" w:type="dxa"/>
            <w:tcBorders>
              <w:right w:val="single" w:color="auto" w:sz="4" w:space="0"/>
            </w:tcBorders>
            <w:noWrap w:val="0"/>
            <w:vAlign w:val="center"/>
          </w:tcPr>
          <w:p w14:paraId="6653174B">
            <w:pPr>
              <w:adjustRightInd/>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1、两台整机所有液压管道改造重新铺设，取消地下及明沟布管，采用空中支架管道行走方式，采用高压软管及无缝管衔接方式，要求布局合理美观。</w:t>
            </w:r>
            <w:r>
              <w:rPr>
                <w:rFonts w:hint="eastAsia" w:ascii="宋体" w:hAnsi="宋体" w:eastAsia="宋体" w:cs="宋体"/>
                <w:b w:val="0"/>
                <w:bCs/>
                <w:color w:val="auto"/>
                <w:sz w:val="24"/>
                <w:szCs w:val="24"/>
                <w:highlight w:val="none"/>
              </w:rPr>
              <w:t>规格</w:t>
            </w:r>
            <w:r>
              <w:rPr>
                <w:rFonts w:hint="eastAsia" w:ascii="宋体" w:hAnsi="宋体" w:cs="宋体"/>
                <w:b w:val="0"/>
                <w:bCs/>
                <w:color w:val="auto"/>
                <w:sz w:val="24"/>
                <w:szCs w:val="24"/>
                <w:highlight w:val="none"/>
                <w:lang w:val="en-US" w:eastAsia="zh-CN"/>
              </w:rPr>
              <w:t>参数</w:t>
            </w:r>
            <w:r>
              <w:rPr>
                <w:rFonts w:hint="eastAsia" w:ascii="宋体" w:hAnsi="宋体" w:eastAsia="宋体" w:cs="宋体"/>
                <w:color w:val="auto"/>
                <w:sz w:val="24"/>
                <w:szCs w:val="24"/>
                <w:highlight w:val="none"/>
              </w:rPr>
              <w:t>φ</w:t>
            </w:r>
            <w:r>
              <w:rPr>
                <w:rFonts w:hint="eastAsia" w:ascii="宋体" w:hAnsi="宋体" w:cs="宋体"/>
                <w:color w:val="auto"/>
                <w:sz w:val="24"/>
                <w:szCs w:val="24"/>
                <w:highlight w:val="none"/>
                <w:lang w:val="en-US" w:eastAsia="zh-CN"/>
              </w:rPr>
              <w:t>48/34/22/16</w:t>
            </w:r>
            <w:r>
              <w:rPr>
                <w:rFonts w:hint="eastAsia" w:ascii="宋体" w:hAnsi="宋体" w:eastAsia="宋体" w:cs="宋体"/>
                <w:color w:val="auto"/>
                <w:sz w:val="24"/>
                <w:szCs w:val="24"/>
                <w:highlight w:val="none"/>
                <w:lang w:val="en-US" w:eastAsia="zh-CN"/>
              </w:rPr>
              <w:t>mm（±2mm）</w:t>
            </w:r>
            <w:r>
              <w:rPr>
                <w:rFonts w:hint="eastAsia" w:ascii="宋体" w:hAnsi="宋体" w:cs="宋体"/>
                <w:color w:val="auto"/>
                <w:sz w:val="24"/>
                <w:szCs w:val="24"/>
                <w:highlight w:val="none"/>
                <w:lang w:val="en-US" w:eastAsia="zh-CN"/>
              </w:rPr>
              <w:t>；</w:t>
            </w:r>
          </w:p>
          <w:p w14:paraId="4573CD3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2、两台整机主立柱导轨凹陷不平，16根扁条全部磨削去除后给予更换，采用8#厚壁角钢铺设方式。部分方管凹陷重载区域局部更换立柱方管，铺设后要求滑轨平整顺滑。</w:t>
            </w:r>
          </w:p>
          <w:p w14:paraId="3C52826E">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16套导轮组件更换，</w:t>
            </w:r>
            <w:r>
              <w:rPr>
                <w:rFonts w:hint="eastAsia" w:ascii="宋体" w:hAnsi="宋体" w:cs="宋体"/>
                <w:color w:val="auto"/>
                <w:sz w:val="24"/>
                <w:szCs w:val="24"/>
                <w:highlight w:val="none"/>
                <w:lang w:val="en-US" w:eastAsia="zh-CN"/>
              </w:rPr>
              <w:t>含导向支座及固定装置。</w:t>
            </w:r>
          </w:p>
          <w:p w14:paraId="306B698C">
            <w:pPr>
              <w:spacing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钢铝坦克链总成2套，</w:t>
            </w:r>
            <w:r>
              <w:rPr>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lang w:val="en-US" w:eastAsia="zh-CN"/>
              </w:rPr>
              <w:t>参数300-100-3500mm（±2mm）；</w:t>
            </w:r>
          </w:p>
          <w:p w14:paraId="5927C2BD">
            <w:pPr>
              <w:pStyle w:val="79"/>
              <w:ind w:left="0" w:leftChars="0" w:firstLine="0" w:firstLineChars="0"/>
              <w:rPr>
                <w:rFonts w:hint="eastAsi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kern w:val="2"/>
                <w:sz w:val="24"/>
                <w:szCs w:val="24"/>
                <w:highlight w:val="none"/>
                <w:lang w:val="en-US" w:eastAsia="zh-CN" w:bidi="ar-SA"/>
              </w:rPr>
              <w:t>配套附属设施施工</w:t>
            </w:r>
          </w:p>
        </w:tc>
        <w:tc>
          <w:tcPr>
            <w:tcW w:w="720" w:type="dxa"/>
            <w:tcBorders>
              <w:left w:val="single" w:color="auto" w:sz="4" w:space="0"/>
              <w:right w:val="single" w:color="auto" w:sz="4" w:space="0"/>
            </w:tcBorders>
            <w:noWrap w:val="0"/>
            <w:vAlign w:val="center"/>
          </w:tcPr>
          <w:p w14:paraId="01E53B54">
            <w:pPr>
              <w:widowControl/>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47" w:type="dxa"/>
            <w:tcBorders>
              <w:left w:val="single" w:color="auto" w:sz="4" w:space="0"/>
              <w:right w:val="single" w:color="auto" w:sz="4" w:space="0"/>
            </w:tcBorders>
            <w:noWrap w:val="0"/>
            <w:vAlign w:val="center"/>
          </w:tcPr>
          <w:p w14:paraId="60A292CB">
            <w:pPr>
              <w:widowControl/>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r>
    </w:tbl>
    <w:p w14:paraId="7660A81C">
      <w:pPr>
        <w:keepNext w:val="0"/>
        <w:keepLines w:val="0"/>
        <w:pageBreakBefore w:val="0"/>
        <w:widowControl w:val="0"/>
        <w:numPr>
          <w:ilvl w:val="0"/>
          <w:numId w:val="4"/>
        </w:numPr>
        <w:kinsoku/>
        <w:wordWrap/>
        <w:topLinePunct w:val="0"/>
        <w:bidi w:val="0"/>
        <w:snapToGrid/>
        <w:spacing w:before="60" w:beforeLines="25" w:after="60" w:afterLines="25" w:line="312" w:lineRule="auto"/>
        <w:ind w:leftChars="0"/>
        <w:jc w:val="left"/>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城南站</w:t>
      </w:r>
    </w:p>
    <w:p w14:paraId="6F41508D">
      <w:pPr>
        <w:widowControl w:val="0"/>
        <w:ind w:firstLine="562"/>
        <w:jc w:val="both"/>
        <w:rPr>
          <w:rFonts w:hint="eastAsia"/>
          <w:lang w:val="en-US" w:eastAsia="zh-CN"/>
        </w:rPr>
      </w:pPr>
      <w:r>
        <w:rPr>
          <w:rFonts w:hint="eastAsia" w:ascii="宋体" w:hAnsi="宋体" w:eastAsia="宋体" w:cs="宋体"/>
          <w:b/>
          <w:color w:val="auto"/>
          <w:kern w:val="2"/>
          <w:sz w:val="24"/>
          <w:szCs w:val="24"/>
          <w:lang w:val="en-US" w:eastAsia="zh-CN" w:bidi="ar-SA"/>
        </w:rPr>
        <w:t>1、大箱部分技术参数：</w:t>
      </w:r>
    </w:p>
    <w:tbl>
      <w:tblPr>
        <w:tblStyle w:val="62"/>
        <w:tblW w:w="8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900"/>
        <w:gridCol w:w="5799"/>
        <w:gridCol w:w="720"/>
        <w:gridCol w:w="847"/>
      </w:tblGrid>
      <w:tr w14:paraId="18AE5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681" w:type="dxa"/>
            <w:tcBorders>
              <w:right w:val="single" w:color="auto" w:sz="4" w:space="0"/>
            </w:tcBorders>
            <w:noWrap w:val="0"/>
            <w:vAlign w:val="center"/>
          </w:tcPr>
          <w:p w14:paraId="6E1EA86C">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900" w:type="dxa"/>
            <w:tcBorders>
              <w:left w:val="single" w:color="auto" w:sz="4" w:space="0"/>
            </w:tcBorders>
            <w:noWrap w:val="0"/>
            <w:vAlign w:val="center"/>
          </w:tcPr>
          <w:p w14:paraId="5360AB41">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品名</w:t>
            </w:r>
          </w:p>
        </w:tc>
        <w:tc>
          <w:tcPr>
            <w:tcW w:w="5799" w:type="dxa"/>
            <w:tcBorders>
              <w:right w:val="single" w:color="auto" w:sz="4" w:space="0"/>
            </w:tcBorders>
            <w:noWrap w:val="0"/>
            <w:vAlign w:val="center"/>
          </w:tcPr>
          <w:p w14:paraId="49BFA6B8">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参  数</w:t>
            </w:r>
          </w:p>
        </w:tc>
        <w:tc>
          <w:tcPr>
            <w:tcW w:w="720" w:type="dxa"/>
            <w:tcBorders>
              <w:left w:val="single" w:color="auto" w:sz="4" w:space="0"/>
              <w:right w:val="single" w:color="auto" w:sz="4" w:space="0"/>
            </w:tcBorders>
            <w:noWrap w:val="0"/>
            <w:vAlign w:val="center"/>
          </w:tcPr>
          <w:p w14:paraId="3605C672">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47" w:type="dxa"/>
            <w:tcBorders>
              <w:left w:val="single" w:color="auto" w:sz="4" w:space="0"/>
              <w:right w:val="single" w:color="auto" w:sz="4" w:space="0"/>
            </w:tcBorders>
            <w:noWrap w:val="0"/>
            <w:vAlign w:val="center"/>
          </w:tcPr>
          <w:p w14:paraId="1DB1023D">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w:t>
            </w:r>
          </w:p>
        </w:tc>
      </w:tr>
      <w:tr w14:paraId="61D7E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4F502ACD">
            <w:pPr>
              <w:widowControl/>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900" w:type="dxa"/>
            <w:tcBorders>
              <w:left w:val="single" w:color="auto" w:sz="4" w:space="0"/>
            </w:tcBorders>
            <w:noWrap w:val="0"/>
            <w:vAlign w:val="center"/>
          </w:tcPr>
          <w:p w14:paraId="42CF0501">
            <w:pPr>
              <w:widowControl/>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垂直式箱体</w:t>
            </w:r>
          </w:p>
        </w:tc>
        <w:tc>
          <w:tcPr>
            <w:tcW w:w="5799" w:type="dxa"/>
            <w:tcBorders>
              <w:right w:val="single" w:color="auto" w:sz="4" w:space="0"/>
            </w:tcBorders>
            <w:noWrap w:val="0"/>
            <w:vAlign w:val="center"/>
          </w:tcPr>
          <w:p w14:paraId="022B8700">
            <w:pPr>
              <w:spacing w:line="440" w:lineRule="exact"/>
              <w:rPr>
                <w:rFonts w:hint="eastAsia" w:ascii="宋体" w:hAnsi="宋体" w:eastAsia="宋体" w:cs="宋体"/>
                <w:sz w:val="24"/>
                <w:szCs w:val="24"/>
              </w:rPr>
            </w:pPr>
            <w:r>
              <w:rPr>
                <w:rFonts w:hint="eastAsia" w:ascii="宋体" w:hAnsi="宋体" w:eastAsia="宋体" w:cs="宋体"/>
                <w:sz w:val="24"/>
                <w:szCs w:val="24"/>
              </w:rPr>
              <w:t>1、箱体尺寸（长×宽×高）：5800mm×2</w:t>
            </w:r>
            <w:r>
              <w:rPr>
                <w:rFonts w:hint="eastAsia" w:ascii="宋体" w:hAnsi="宋体" w:eastAsia="宋体" w:cs="宋体"/>
                <w:sz w:val="24"/>
                <w:szCs w:val="24"/>
                <w:lang w:val="en-US" w:eastAsia="zh-CN"/>
              </w:rPr>
              <w:t>200</w:t>
            </w:r>
            <w:r>
              <w:rPr>
                <w:rFonts w:hint="eastAsia" w:ascii="宋体" w:hAnsi="宋体" w:eastAsia="宋体" w:cs="宋体"/>
                <w:sz w:val="24"/>
                <w:szCs w:val="24"/>
              </w:rPr>
              <w:t>mm×1</w:t>
            </w:r>
            <w:r>
              <w:rPr>
                <w:rFonts w:hint="eastAsia" w:ascii="宋体" w:hAnsi="宋体" w:eastAsia="宋体" w:cs="宋体"/>
                <w:sz w:val="24"/>
                <w:szCs w:val="24"/>
                <w:lang w:val="en-US" w:eastAsia="zh-CN"/>
              </w:rPr>
              <w:t>560</w:t>
            </w:r>
            <w:r>
              <w:rPr>
                <w:rFonts w:hint="eastAsia" w:ascii="宋体" w:hAnsi="宋体" w:eastAsia="宋体" w:cs="宋体"/>
                <w:sz w:val="24"/>
                <w:szCs w:val="24"/>
              </w:rPr>
              <w:t>mm</w:t>
            </w:r>
          </w:p>
          <w:p w14:paraId="57501E20">
            <w:pPr>
              <w:spacing w:line="440" w:lineRule="exact"/>
              <w:rPr>
                <w:rFonts w:hint="eastAsia" w:ascii="宋体" w:hAnsi="宋体" w:eastAsia="宋体" w:cs="宋体"/>
                <w:sz w:val="24"/>
                <w:szCs w:val="24"/>
              </w:rPr>
            </w:pPr>
            <w:r>
              <w:rPr>
                <w:rFonts w:hint="eastAsia" w:ascii="宋体" w:hAnsi="宋体" w:eastAsia="宋体" w:cs="宋体"/>
                <w:sz w:val="24"/>
                <w:szCs w:val="24"/>
              </w:rPr>
              <w:t>2、主体采用100方管、12#槽钢、≥10㎜板制作，其中钢板采用Q345B钢板，型材采用Q235A碳钢</w:t>
            </w:r>
          </w:p>
          <w:p w14:paraId="0DDA2CE0">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、箱体组成构件：压缩仓、储存仓、推料仓、前门、中门</w:t>
            </w:r>
          </w:p>
          <w:p w14:paraId="7D21EDD2">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、中门采用8#槽钢立式、≥12㎜整板制作，前门采用6．3#槽钢、≥8㎜板制作</w:t>
            </w:r>
          </w:p>
          <w:p w14:paraId="0A9238C0">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、箱体压缩仓四周上方布置4对、每对2组导向装置和压缩机立柱连接，导向采用滚轮，导向支架采用16#槽钢、≥20㎜板制作</w:t>
            </w:r>
          </w:p>
          <w:p w14:paraId="3A711844">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、表面须采用严格的防腐工艺进行防腐处理,使外表美观,耐腐蚀</w:t>
            </w:r>
          </w:p>
          <w:p w14:paraId="4E012691">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箱体底板要求中性盐实验48h后表面无腐蚀现象</w:t>
            </w:r>
          </w:p>
          <w:p w14:paraId="225680DD">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、箱体压缩仓两侧设置大量污水孔,在压缩过程中污水能通过污水孔自动排出，并通过地坑内铺设导流通道,实现污水的有序排放，进入污水收集井</w:t>
            </w:r>
          </w:p>
          <w:p w14:paraId="3A4D407A">
            <w:pPr>
              <w:widowControl/>
              <w:spacing w:line="4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、箱体设有四支吊耳，左右对称布置于受圾口两侧，吊耳位置需与设备压台挂箱机构位置对应，前后中心距离约为1430mm</w:t>
            </w:r>
          </w:p>
        </w:tc>
        <w:tc>
          <w:tcPr>
            <w:tcW w:w="720" w:type="dxa"/>
            <w:tcBorders>
              <w:left w:val="single" w:color="auto" w:sz="4" w:space="0"/>
              <w:right w:val="single" w:color="auto" w:sz="4" w:space="0"/>
            </w:tcBorders>
            <w:noWrap w:val="0"/>
            <w:vAlign w:val="center"/>
          </w:tcPr>
          <w:p w14:paraId="1AD42F70">
            <w:pPr>
              <w:widowControl/>
              <w:spacing w:line="4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套</w:t>
            </w:r>
          </w:p>
        </w:tc>
        <w:tc>
          <w:tcPr>
            <w:tcW w:w="847" w:type="dxa"/>
            <w:tcBorders>
              <w:left w:val="single" w:color="auto" w:sz="4" w:space="0"/>
              <w:right w:val="single" w:color="auto" w:sz="4" w:space="0"/>
            </w:tcBorders>
            <w:noWrap w:val="0"/>
            <w:vAlign w:val="center"/>
          </w:tcPr>
          <w:p w14:paraId="6CF748DE">
            <w:pPr>
              <w:widowControl/>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r>
      <w:tr w14:paraId="5B77B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55B52FBB">
            <w:pPr>
              <w:widowControl/>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900" w:type="dxa"/>
            <w:tcBorders>
              <w:left w:val="single" w:color="auto" w:sz="4" w:space="0"/>
            </w:tcBorders>
            <w:noWrap w:val="0"/>
            <w:vAlign w:val="center"/>
          </w:tcPr>
          <w:p w14:paraId="16193349">
            <w:pPr>
              <w:widowControl/>
              <w:spacing w:line="440" w:lineRule="exact"/>
              <w:jc w:val="center"/>
              <w:rPr>
                <w:rFonts w:hint="eastAsia" w:ascii="宋体" w:hAnsi="宋体" w:eastAsia="宋体" w:cs="宋体"/>
                <w:sz w:val="24"/>
                <w:szCs w:val="24"/>
              </w:rPr>
            </w:pPr>
            <w:r>
              <w:rPr>
                <w:rFonts w:hint="eastAsia" w:ascii="宋体" w:hAnsi="宋体" w:eastAsia="宋体" w:cs="宋体"/>
                <w:sz w:val="24"/>
                <w:szCs w:val="24"/>
              </w:rPr>
              <w:t>垃圾压缩机的其他配套部件</w:t>
            </w:r>
          </w:p>
        </w:tc>
        <w:tc>
          <w:tcPr>
            <w:tcW w:w="5799" w:type="dxa"/>
            <w:tcBorders>
              <w:right w:val="single" w:color="auto" w:sz="4" w:space="0"/>
            </w:tcBorders>
            <w:noWrap w:val="0"/>
            <w:vAlign w:val="center"/>
          </w:tcPr>
          <w:p w14:paraId="5FC81393">
            <w:pPr>
              <w:adjustRightInd/>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1、两台整机所有液压管道改造重新铺设，取消地下及明沟布管，采用空中支架管道行走方式，采用高压软管及无缝管衔接方式，要求布局合理美观。</w:t>
            </w:r>
            <w:r>
              <w:rPr>
                <w:rFonts w:hint="eastAsia" w:ascii="宋体" w:hAnsi="宋体" w:eastAsia="宋体" w:cs="宋体"/>
                <w:b w:val="0"/>
                <w:bCs/>
                <w:color w:val="auto"/>
                <w:sz w:val="24"/>
                <w:szCs w:val="24"/>
                <w:highlight w:val="none"/>
              </w:rPr>
              <w:t>规格</w:t>
            </w:r>
            <w:r>
              <w:rPr>
                <w:rFonts w:hint="eastAsia" w:ascii="宋体" w:hAnsi="宋体" w:cs="宋体"/>
                <w:b w:val="0"/>
                <w:bCs/>
                <w:color w:val="auto"/>
                <w:sz w:val="24"/>
                <w:szCs w:val="24"/>
                <w:highlight w:val="none"/>
                <w:lang w:val="en-US" w:eastAsia="zh-CN"/>
              </w:rPr>
              <w:t>参数</w:t>
            </w:r>
            <w:r>
              <w:rPr>
                <w:rFonts w:hint="eastAsia" w:ascii="宋体" w:hAnsi="宋体" w:eastAsia="宋体" w:cs="宋体"/>
                <w:color w:val="auto"/>
                <w:sz w:val="24"/>
                <w:szCs w:val="24"/>
                <w:highlight w:val="none"/>
              </w:rPr>
              <w:t>φ</w:t>
            </w:r>
            <w:r>
              <w:rPr>
                <w:rFonts w:hint="eastAsia" w:ascii="宋体" w:hAnsi="宋体" w:cs="宋体"/>
                <w:color w:val="auto"/>
                <w:sz w:val="24"/>
                <w:szCs w:val="24"/>
                <w:highlight w:val="none"/>
                <w:lang w:val="en-US" w:eastAsia="zh-CN"/>
              </w:rPr>
              <w:t>48/34/22/16</w:t>
            </w:r>
            <w:r>
              <w:rPr>
                <w:rFonts w:hint="eastAsia" w:ascii="宋体" w:hAnsi="宋体" w:eastAsia="宋体" w:cs="宋体"/>
                <w:color w:val="auto"/>
                <w:sz w:val="24"/>
                <w:szCs w:val="24"/>
                <w:highlight w:val="none"/>
                <w:lang w:val="en-US" w:eastAsia="zh-CN"/>
              </w:rPr>
              <w:t>mm（±2mm）</w:t>
            </w:r>
            <w:r>
              <w:rPr>
                <w:rFonts w:hint="eastAsia" w:ascii="宋体" w:hAnsi="宋体" w:cs="宋体"/>
                <w:color w:val="auto"/>
                <w:sz w:val="24"/>
                <w:szCs w:val="24"/>
                <w:highlight w:val="none"/>
                <w:lang w:val="en-US" w:eastAsia="zh-CN"/>
              </w:rPr>
              <w:t>；</w:t>
            </w:r>
          </w:p>
          <w:p w14:paraId="1BFFE7C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2、两台整机主立柱导轨凹陷不平，16根扁条全部磨削去除后给予更换，采用8#厚壁角钢铺设方式。部分方管凹陷重载区域局部更换立柱方管，铺设后要求滑轨平整顺滑。</w:t>
            </w:r>
          </w:p>
          <w:p w14:paraId="3F85ACE2">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16套导轮组件更换，</w:t>
            </w:r>
            <w:r>
              <w:rPr>
                <w:rFonts w:hint="eastAsia" w:ascii="宋体" w:hAnsi="宋体" w:cs="宋体"/>
                <w:color w:val="auto"/>
                <w:sz w:val="24"/>
                <w:szCs w:val="24"/>
                <w:highlight w:val="none"/>
                <w:lang w:val="en-US" w:eastAsia="zh-CN"/>
              </w:rPr>
              <w:t>含导向支座及固定装置。</w:t>
            </w:r>
          </w:p>
          <w:p w14:paraId="59F28AF5">
            <w:pPr>
              <w:spacing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钢铝坦克链总成2套，</w:t>
            </w:r>
            <w:r>
              <w:rPr>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lang w:val="en-US" w:eastAsia="zh-CN"/>
              </w:rPr>
              <w:t>参数300-100-3500mm（±2mm）；</w:t>
            </w:r>
          </w:p>
          <w:p w14:paraId="66B7556A">
            <w:pPr>
              <w:pStyle w:val="79"/>
              <w:ind w:left="0" w:leftChars="0" w:firstLine="0" w:firstLineChars="0"/>
              <w:rPr>
                <w:rFonts w:hint="eastAsia"/>
              </w:rPr>
            </w:pPr>
            <w:r>
              <w:rPr>
                <w:rFonts w:hint="eastAsia" w:ascii="宋体" w:hAnsi="宋体" w:eastAsia="宋体" w:cs="宋体"/>
                <w:color w:val="auto"/>
                <w:sz w:val="24"/>
                <w:szCs w:val="24"/>
                <w:lang w:val="en-US" w:eastAsia="zh-CN"/>
              </w:rPr>
              <w:t>5、</w:t>
            </w:r>
            <w:r>
              <w:rPr>
                <w:rFonts w:hint="eastAsia" w:ascii="宋体" w:hAnsi="宋体" w:eastAsia="宋体" w:cs="宋体"/>
                <w:color w:val="auto"/>
                <w:kern w:val="2"/>
                <w:sz w:val="24"/>
                <w:szCs w:val="24"/>
                <w:lang w:val="en-US" w:eastAsia="zh-CN" w:bidi="ar-SA"/>
              </w:rPr>
              <w:t>配套附属设施施工</w:t>
            </w:r>
          </w:p>
        </w:tc>
        <w:tc>
          <w:tcPr>
            <w:tcW w:w="720" w:type="dxa"/>
            <w:tcBorders>
              <w:left w:val="single" w:color="auto" w:sz="4" w:space="0"/>
              <w:right w:val="single" w:color="auto" w:sz="4" w:space="0"/>
            </w:tcBorders>
            <w:noWrap w:val="0"/>
            <w:vAlign w:val="center"/>
          </w:tcPr>
          <w:p w14:paraId="729F754F">
            <w:pPr>
              <w:widowControl/>
              <w:spacing w:line="4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项</w:t>
            </w:r>
          </w:p>
        </w:tc>
        <w:tc>
          <w:tcPr>
            <w:tcW w:w="847" w:type="dxa"/>
            <w:tcBorders>
              <w:left w:val="single" w:color="auto" w:sz="4" w:space="0"/>
              <w:right w:val="single" w:color="auto" w:sz="4" w:space="0"/>
            </w:tcBorders>
            <w:noWrap w:val="0"/>
            <w:vAlign w:val="center"/>
          </w:tcPr>
          <w:p w14:paraId="3B872CE4">
            <w:pPr>
              <w:widowControl/>
              <w:spacing w:line="4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r>
    </w:tbl>
    <w:p w14:paraId="3FEB3686">
      <w:pPr>
        <w:pStyle w:val="79"/>
        <w:numPr>
          <w:ilvl w:val="0"/>
          <w:numId w:val="4"/>
        </w:numPr>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宁昌站</w:t>
      </w:r>
    </w:p>
    <w:p w14:paraId="4FB4740D">
      <w:pPr>
        <w:widowControl w:val="0"/>
        <w:ind w:firstLine="562"/>
        <w:jc w:val="both"/>
        <w:rPr>
          <w:rFonts w:hint="eastAsia" w:ascii="宋体" w:hAnsi="宋体" w:eastAsia="宋体" w:cs="宋体"/>
          <w:b/>
          <w:bCs/>
          <w:sz w:val="24"/>
          <w:szCs w:val="24"/>
          <w:lang w:val="en-US" w:eastAsia="zh-CN"/>
        </w:rPr>
      </w:pPr>
      <w:r>
        <w:rPr>
          <w:rFonts w:hint="eastAsia" w:ascii="宋体" w:hAnsi="宋体" w:eastAsia="宋体" w:cs="宋体"/>
          <w:b/>
          <w:color w:val="auto"/>
          <w:kern w:val="2"/>
          <w:sz w:val="24"/>
          <w:szCs w:val="24"/>
          <w:lang w:val="en-US" w:eastAsia="zh-CN" w:bidi="ar-SA"/>
        </w:rPr>
        <w:t>1、大箱部分技术参数：</w:t>
      </w:r>
    </w:p>
    <w:tbl>
      <w:tblPr>
        <w:tblStyle w:val="62"/>
        <w:tblW w:w="8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900"/>
        <w:gridCol w:w="5799"/>
        <w:gridCol w:w="720"/>
        <w:gridCol w:w="847"/>
      </w:tblGrid>
      <w:tr w14:paraId="4BB81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681" w:type="dxa"/>
            <w:tcBorders>
              <w:right w:val="single" w:color="auto" w:sz="4" w:space="0"/>
            </w:tcBorders>
            <w:noWrap w:val="0"/>
            <w:vAlign w:val="center"/>
          </w:tcPr>
          <w:p w14:paraId="48046791">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900" w:type="dxa"/>
            <w:tcBorders>
              <w:left w:val="single" w:color="auto" w:sz="4" w:space="0"/>
            </w:tcBorders>
            <w:noWrap w:val="0"/>
            <w:vAlign w:val="center"/>
          </w:tcPr>
          <w:p w14:paraId="6C0BA18E">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品名</w:t>
            </w:r>
          </w:p>
        </w:tc>
        <w:tc>
          <w:tcPr>
            <w:tcW w:w="5799" w:type="dxa"/>
            <w:tcBorders>
              <w:right w:val="single" w:color="auto" w:sz="4" w:space="0"/>
            </w:tcBorders>
            <w:noWrap w:val="0"/>
            <w:vAlign w:val="center"/>
          </w:tcPr>
          <w:p w14:paraId="1146453C">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参  数</w:t>
            </w:r>
          </w:p>
        </w:tc>
        <w:tc>
          <w:tcPr>
            <w:tcW w:w="720" w:type="dxa"/>
            <w:tcBorders>
              <w:left w:val="single" w:color="auto" w:sz="4" w:space="0"/>
              <w:right w:val="single" w:color="auto" w:sz="4" w:space="0"/>
            </w:tcBorders>
            <w:noWrap w:val="0"/>
            <w:vAlign w:val="center"/>
          </w:tcPr>
          <w:p w14:paraId="6DB7E463">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47" w:type="dxa"/>
            <w:tcBorders>
              <w:left w:val="single" w:color="auto" w:sz="4" w:space="0"/>
              <w:right w:val="single" w:color="auto" w:sz="4" w:space="0"/>
            </w:tcBorders>
            <w:noWrap w:val="0"/>
            <w:vAlign w:val="center"/>
          </w:tcPr>
          <w:p w14:paraId="017E855D">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w:t>
            </w:r>
          </w:p>
        </w:tc>
      </w:tr>
      <w:tr w14:paraId="6BB92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7EB7D296">
            <w:pPr>
              <w:widowControl/>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900" w:type="dxa"/>
            <w:tcBorders>
              <w:left w:val="single" w:color="auto" w:sz="4" w:space="0"/>
            </w:tcBorders>
            <w:noWrap w:val="0"/>
            <w:vAlign w:val="center"/>
          </w:tcPr>
          <w:p w14:paraId="6C648097">
            <w:pPr>
              <w:widowControl/>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垂直式箱体</w:t>
            </w:r>
          </w:p>
        </w:tc>
        <w:tc>
          <w:tcPr>
            <w:tcW w:w="5799" w:type="dxa"/>
            <w:tcBorders>
              <w:right w:val="single" w:color="auto" w:sz="4" w:space="0"/>
            </w:tcBorders>
            <w:noWrap w:val="0"/>
            <w:vAlign w:val="center"/>
          </w:tcPr>
          <w:p w14:paraId="12FEAA19">
            <w:pPr>
              <w:spacing w:line="440" w:lineRule="exact"/>
              <w:rPr>
                <w:rFonts w:hint="eastAsia" w:ascii="宋体" w:hAnsi="宋体" w:eastAsia="宋体" w:cs="宋体"/>
                <w:sz w:val="24"/>
                <w:szCs w:val="24"/>
              </w:rPr>
            </w:pPr>
            <w:r>
              <w:rPr>
                <w:rFonts w:hint="eastAsia" w:ascii="宋体" w:hAnsi="宋体" w:eastAsia="宋体" w:cs="宋体"/>
                <w:sz w:val="24"/>
                <w:szCs w:val="24"/>
              </w:rPr>
              <w:t>1、箱体尺寸（长×宽×高）：5800mm×2</w:t>
            </w:r>
            <w:r>
              <w:rPr>
                <w:rFonts w:hint="eastAsia" w:ascii="宋体" w:hAnsi="宋体" w:eastAsia="宋体" w:cs="宋体"/>
                <w:sz w:val="24"/>
                <w:szCs w:val="24"/>
                <w:lang w:val="en-US" w:eastAsia="zh-CN"/>
              </w:rPr>
              <w:t>200</w:t>
            </w:r>
            <w:r>
              <w:rPr>
                <w:rFonts w:hint="eastAsia" w:ascii="宋体" w:hAnsi="宋体" w:eastAsia="宋体" w:cs="宋体"/>
                <w:sz w:val="24"/>
                <w:szCs w:val="24"/>
              </w:rPr>
              <w:t>mm×1</w:t>
            </w:r>
            <w:r>
              <w:rPr>
                <w:rFonts w:hint="eastAsia" w:ascii="宋体" w:hAnsi="宋体" w:eastAsia="宋体" w:cs="宋体"/>
                <w:sz w:val="24"/>
                <w:szCs w:val="24"/>
                <w:lang w:val="en-US" w:eastAsia="zh-CN"/>
              </w:rPr>
              <w:t>560</w:t>
            </w:r>
            <w:r>
              <w:rPr>
                <w:rFonts w:hint="eastAsia" w:ascii="宋体" w:hAnsi="宋体" w:eastAsia="宋体" w:cs="宋体"/>
                <w:sz w:val="24"/>
                <w:szCs w:val="24"/>
              </w:rPr>
              <w:t>mm</w:t>
            </w:r>
          </w:p>
          <w:p w14:paraId="67BE20D1">
            <w:pPr>
              <w:spacing w:line="440" w:lineRule="exact"/>
              <w:rPr>
                <w:rFonts w:hint="eastAsia" w:ascii="宋体" w:hAnsi="宋体" w:eastAsia="宋体" w:cs="宋体"/>
                <w:sz w:val="24"/>
                <w:szCs w:val="24"/>
              </w:rPr>
            </w:pPr>
            <w:r>
              <w:rPr>
                <w:rFonts w:hint="eastAsia" w:ascii="宋体" w:hAnsi="宋体" w:eastAsia="宋体" w:cs="宋体"/>
                <w:sz w:val="24"/>
                <w:szCs w:val="24"/>
              </w:rPr>
              <w:t>2、主体采用100方管、12#槽钢、≥10㎜板制作，其中钢板采用Q345B钢板，型材采用Q235A碳钢</w:t>
            </w:r>
          </w:p>
          <w:p w14:paraId="237DCBBC">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、箱体组成构件：压缩仓、储存仓、推料仓、前门、中门</w:t>
            </w:r>
          </w:p>
          <w:p w14:paraId="64E65D16">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、中门采用8#槽钢立式、≥12㎜整板制作，前门采用6．3#槽钢、≥8㎜板制作</w:t>
            </w:r>
          </w:p>
          <w:p w14:paraId="58F4C718">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、箱体压缩仓四周上方布置4对、每对2组导向装置和压缩机立柱连接，导向采用滚轮，导向支架采用16#槽钢、≥20㎜板制作</w:t>
            </w:r>
          </w:p>
          <w:p w14:paraId="21183D1D">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、表面须采用严格的防腐工艺进行防腐处理,使外表美观,耐腐蚀</w:t>
            </w:r>
          </w:p>
          <w:p w14:paraId="4F710B36">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箱体底板要求中性盐实验48h后表面无腐蚀现象</w:t>
            </w:r>
          </w:p>
          <w:p w14:paraId="31CE6129">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、箱体压缩仓两侧设置大量污水孔,在压缩过程中污水能通过污水孔自动排出，并通过地坑内铺设导流通道,实现污水的有序排放，进入污水收集井</w:t>
            </w:r>
          </w:p>
          <w:p w14:paraId="62010E51">
            <w:pPr>
              <w:widowControl/>
              <w:spacing w:line="4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、箱体设有四支吊耳，左右对称布置于受圾口两侧，吊耳位置需与设备压台挂箱机构位置对应，前后中心距离约为1430mm</w:t>
            </w:r>
          </w:p>
        </w:tc>
        <w:tc>
          <w:tcPr>
            <w:tcW w:w="720" w:type="dxa"/>
            <w:tcBorders>
              <w:left w:val="single" w:color="auto" w:sz="4" w:space="0"/>
              <w:right w:val="single" w:color="auto" w:sz="4" w:space="0"/>
            </w:tcBorders>
            <w:noWrap w:val="0"/>
            <w:vAlign w:val="center"/>
          </w:tcPr>
          <w:p w14:paraId="78816773">
            <w:pPr>
              <w:widowControl/>
              <w:spacing w:line="4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套</w:t>
            </w:r>
          </w:p>
        </w:tc>
        <w:tc>
          <w:tcPr>
            <w:tcW w:w="847" w:type="dxa"/>
            <w:tcBorders>
              <w:left w:val="single" w:color="auto" w:sz="4" w:space="0"/>
              <w:right w:val="single" w:color="auto" w:sz="4" w:space="0"/>
            </w:tcBorders>
            <w:noWrap w:val="0"/>
            <w:vAlign w:val="center"/>
          </w:tcPr>
          <w:p w14:paraId="4F9AAA15">
            <w:pPr>
              <w:widowControl/>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r>
      <w:tr w14:paraId="6BF1A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28EF1F17">
            <w:pPr>
              <w:widowControl/>
              <w:spacing w:line="44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900" w:type="dxa"/>
            <w:tcBorders>
              <w:left w:val="single" w:color="auto" w:sz="4" w:space="0"/>
            </w:tcBorders>
            <w:noWrap w:val="0"/>
            <w:vAlign w:val="center"/>
          </w:tcPr>
          <w:p w14:paraId="15FE9E3E">
            <w:pPr>
              <w:widowControl/>
              <w:spacing w:line="44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其他配套部件</w:t>
            </w:r>
          </w:p>
        </w:tc>
        <w:tc>
          <w:tcPr>
            <w:tcW w:w="5799" w:type="dxa"/>
            <w:tcBorders>
              <w:right w:val="single" w:color="auto" w:sz="4" w:space="0"/>
            </w:tcBorders>
            <w:noWrap w:val="0"/>
            <w:vAlign w:val="center"/>
          </w:tcPr>
          <w:p w14:paraId="384A6E6A">
            <w:pPr>
              <w:adjustRightInd/>
              <w:spacing w:line="44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1、两台整机所有液压管道改造重新铺设，取消地下及明沟布管，采用空中支架管道行走方式，采用高压软管及无缝管衔接方式，要求布局合理美观。规格</w:t>
            </w:r>
            <w:r>
              <w:rPr>
                <w:rFonts w:hint="eastAsia" w:ascii="宋体" w:hAnsi="宋体" w:cs="宋体"/>
                <w:b w:val="0"/>
                <w:bCs w:val="0"/>
                <w:color w:val="auto"/>
                <w:sz w:val="24"/>
                <w:szCs w:val="24"/>
                <w:highlight w:val="none"/>
                <w:lang w:val="en-US" w:eastAsia="zh-CN"/>
              </w:rPr>
              <w:t>参数</w:t>
            </w:r>
            <w:r>
              <w:rPr>
                <w:rFonts w:hint="eastAsia" w:ascii="宋体" w:hAnsi="宋体" w:eastAsia="宋体" w:cs="宋体"/>
                <w:b w:val="0"/>
                <w:bCs w:val="0"/>
                <w:color w:val="auto"/>
                <w:sz w:val="24"/>
                <w:szCs w:val="24"/>
                <w:highlight w:val="none"/>
              </w:rPr>
              <w:t>φ</w:t>
            </w:r>
            <w:r>
              <w:rPr>
                <w:rFonts w:hint="eastAsia" w:ascii="宋体" w:hAnsi="宋体" w:cs="宋体"/>
                <w:b w:val="0"/>
                <w:bCs w:val="0"/>
                <w:color w:val="auto"/>
                <w:sz w:val="24"/>
                <w:szCs w:val="24"/>
                <w:highlight w:val="none"/>
                <w:lang w:val="en-US" w:eastAsia="zh-CN"/>
              </w:rPr>
              <w:t>48/34/22/16</w:t>
            </w:r>
            <w:r>
              <w:rPr>
                <w:rFonts w:hint="eastAsia" w:ascii="宋体" w:hAnsi="宋体" w:eastAsia="宋体" w:cs="宋体"/>
                <w:b w:val="0"/>
                <w:bCs w:val="0"/>
                <w:color w:val="auto"/>
                <w:sz w:val="24"/>
                <w:szCs w:val="24"/>
                <w:highlight w:val="none"/>
                <w:lang w:val="en-US" w:eastAsia="zh-CN"/>
              </w:rPr>
              <w:t>mm（±2mm）</w:t>
            </w:r>
            <w:r>
              <w:rPr>
                <w:rFonts w:hint="eastAsia" w:ascii="宋体" w:hAnsi="宋体" w:cs="宋体"/>
                <w:b w:val="0"/>
                <w:bCs w:val="0"/>
                <w:color w:val="auto"/>
                <w:sz w:val="24"/>
                <w:szCs w:val="24"/>
                <w:highlight w:val="none"/>
                <w:lang w:val="en-US" w:eastAsia="zh-CN"/>
              </w:rPr>
              <w:t>；</w:t>
            </w:r>
          </w:p>
          <w:p w14:paraId="7098B8C2">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2、两台整机主立柱导轨凹陷不平，16根扁条全部磨削去除后给予更换，采用8#厚壁角钢铺设方式。部分方管凹陷重载区域局部更换立柱方管，铺设后要求滑轨平整顺滑。</w:t>
            </w:r>
          </w:p>
          <w:p w14:paraId="0CC35958">
            <w:pPr>
              <w:spacing w:line="360" w:lineRule="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10套导轮组件更换，</w:t>
            </w:r>
            <w:r>
              <w:rPr>
                <w:rFonts w:hint="eastAsia" w:ascii="宋体" w:hAnsi="宋体" w:cs="宋体"/>
                <w:b w:val="0"/>
                <w:bCs w:val="0"/>
                <w:color w:val="auto"/>
                <w:sz w:val="24"/>
                <w:szCs w:val="24"/>
                <w:highlight w:val="none"/>
                <w:lang w:val="en-US" w:eastAsia="zh-CN"/>
              </w:rPr>
              <w:t>含导向支座及固定装置。</w:t>
            </w:r>
          </w:p>
          <w:p w14:paraId="39F7DFED">
            <w:pPr>
              <w:pStyle w:val="2"/>
              <w:keepNext w:val="0"/>
              <w:keepLines w:val="0"/>
              <w:pageBreakBefore w:val="0"/>
              <w:numPr>
                <w:ilvl w:val="0"/>
                <w:numId w:val="0"/>
              </w:numPr>
              <w:kinsoku/>
              <w:wordWrap/>
              <w:topLinePunct w:val="0"/>
              <w:bidi w:val="0"/>
              <w:snapToGrid/>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液压泵组阀组元件1套整体更换。</w:t>
            </w:r>
          </w:p>
          <w:p w14:paraId="604832A7">
            <w:pPr>
              <w:pStyle w:val="79"/>
              <w:spacing w:line="360" w:lineRule="auto"/>
              <w:ind w:left="0" w:leftChars="0" w:firstLine="0" w:firstLineChars="0"/>
              <w:rPr>
                <w:rFonts w:hint="eastAsia"/>
                <w:b w:val="0"/>
                <w:bCs w:val="0"/>
                <w:color w:val="auto"/>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kern w:val="2"/>
                <w:sz w:val="24"/>
                <w:szCs w:val="24"/>
                <w:highlight w:val="none"/>
                <w:lang w:val="en-US" w:eastAsia="zh-CN" w:bidi="ar-SA"/>
              </w:rPr>
              <w:t>配套附属设施施工</w:t>
            </w:r>
          </w:p>
        </w:tc>
        <w:tc>
          <w:tcPr>
            <w:tcW w:w="720" w:type="dxa"/>
            <w:tcBorders>
              <w:left w:val="single" w:color="auto" w:sz="4" w:space="0"/>
              <w:right w:val="single" w:color="auto" w:sz="4" w:space="0"/>
            </w:tcBorders>
            <w:noWrap w:val="0"/>
            <w:vAlign w:val="center"/>
          </w:tcPr>
          <w:p w14:paraId="645785CE">
            <w:pPr>
              <w:widowControl/>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w:t>
            </w:r>
          </w:p>
        </w:tc>
        <w:tc>
          <w:tcPr>
            <w:tcW w:w="847" w:type="dxa"/>
            <w:tcBorders>
              <w:left w:val="single" w:color="auto" w:sz="4" w:space="0"/>
              <w:right w:val="single" w:color="auto" w:sz="4" w:space="0"/>
            </w:tcBorders>
            <w:noWrap w:val="0"/>
            <w:vAlign w:val="center"/>
          </w:tcPr>
          <w:p w14:paraId="44015EB7">
            <w:pPr>
              <w:widowControl/>
              <w:spacing w:line="440" w:lineRule="exact"/>
              <w:jc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w:t>
            </w:r>
          </w:p>
        </w:tc>
      </w:tr>
    </w:tbl>
    <w:p w14:paraId="19156DC4">
      <w:pPr>
        <w:pStyle w:val="24"/>
        <w:numPr>
          <w:ilvl w:val="0"/>
          <w:numId w:val="0"/>
        </w:numPr>
        <w:ind w:leftChars="0"/>
        <w:rPr>
          <w:rFonts w:hint="eastAsia"/>
          <w:b w:val="0"/>
          <w:bCs w:val="0"/>
          <w:color w:val="auto"/>
          <w:highlight w:val="none"/>
          <w:lang w:val="en-US" w:eastAsia="zh-CN"/>
        </w:rPr>
      </w:pPr>
      <w:r>
        <w:rPr>
          <w:rFonts w:hint="eastAsia"/>
          <w:b w:val="0"/>
          <w:bCs w:val="0"/>
          <w:color w:val="auto"/>
          <w:highlight w:val="none"/>
          <w:lang w:val="en-US" w:eastAsia="zh-CN"/>
        </w:rPr>
        <w:t>（七）物流园区站</w:t>
      </w:r>
    </w:p>
    <w:tbl>
      <w:tblPr>
        <w:tblStyle w:val="62"/>
        <w:tblW w:w="8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1331"/>
        <w:gridCol w:w="5368"/>
        <w:gridCol w:w="720"/>
        <w:gridCol w:w="847"/>
      </w:tblGrid>
      <w:tr w14:paraId="7B0D2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681" w:type="dxa"/>
            <w:tcBorders>
              <w:right w:val="single" w:color="auto" w:sz="4" w:space="0"/>
            </w:tcBorders>
            <w:noWrap w:val="0"/>
            <w:vAlign w:val="center"/>
          </w:tcPr>
          <w:p w14:paraId="6B60EACB">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331" w:type="dxa"/>
            <w:tcBorders>
              <w:left w:val="single" w:color="auto" w:sz="4" w:space="0"/>
            </w:tcBorders>
            <w:noWrap w:val="0"/>
            <w:vAlign w:val="center"/>
          </w:tcPr>
          <w:p w14:paraId="73FD74F8">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品名</w:t>
            </w:r>
          </w:p>
        </w:tc>
        <w:tc>
          <w:tcPr>
            <w:tcW w:w="5368" w:type="dxa"/>
            <w:tcBorders>
              <w:right w:val="single" w:color="auto" w:sz="4" w:space="0"/>
            </w:tcBorders>
            <w:noWrap w:val="0"/>
            <w:vAlign w:val="center"/>
          </w:tcPr>
          <w:p w14:paraId="517B763F">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参  数</w:t>
            </w:r>
          </w:p>
        </w:tc>
        <w:tc>
          <w:tcPr>
            <w:tcW w:w="720" w:type="dxa"/>
            <w:tcBorders>
              <w:left w:val="single" w:color="auto" w:sz="4" w:space="0"/>
              <w:right w:val="single" w:color="auto" w:sz="4" w:space="0"/>
            </w:tcBorders>
            <w:noWrap w:val="0"/>
            <w:vAlign w:val="center"/>
          </w:tcPr>
          <w:p w14:paraId="04A6CA61">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w:t>
            </w:r>
          </w:p>
        </w:tc>
        <w:tc>
          <w:tcPr>
            <w:tcW w:w="847" w:type="dxa"/>
            <w:tcBorders>
              <w:left w:val="single" w:color="auto" w:sz="4" w:space="0"/>
              <w:right w:val="single" w:color="auto" w:sz="4" w:space="0"/>
            </w:tcBorders>
            <w:noWrap w:val="0"/>
            <w:vAlign w:val="center"/>
          </w:tcPr>
          <w:p w14:paraId="4DBF3B45">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tc>
      </w:tr>
      <w:tr w14:paraId="662E7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3FDE46C4">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1331" w:type="dxa"/>
            <w:tcBorders>
              <w:left w:val="single" w:color="auto" w:sz="4" w:space="0"/>
            </w:tcBorders>
            <w:noWrap w:val="0"/>
            <w:vAlign w:val="center"/>
          </w:tcPr>
          <w:p w14:paraId="46E010F4">
            <w:pPr>
              <w:keepNext w:val="0"/>
              <w:keepLines w:val="0"/>
              <w:pageBreakBefore w:val="0"/>
              <w:widowControl/>
              <w:kinsoku/>
              <w:wordWrap/>
              <w:topLinePunct w:val="0"/>
              <w:bidi w:val="0"/>
              <w:adjustRightInd/>
              <w:snapToGrid/>
              <w:spacing w:line="312"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前门油缸</w:t>
            </w:r>
          </w:p>
        </w:tc>
        <w:tc>
          <w:tcPr>
            <w:tcW w:w="5368" w:type="dxa"/>
            <w:tcBorders>
              <w:right w:val="single" w:color="auto" w:sz="4" w:space="0"/>
            </w:tcBorders>
            <w:noWrap w:val="0"/>
            <w:vAlign w:val="center"/>
          </w:tcPr>
          <w:p w14:paraId="6DDE4F20">
            <w:pPr>
              <w:pStyle w:val="2"/>
              <w:keepNext w:val="0"/>
              <w:keepLines w:val="0"/>
              <w:pageBreakBefore w:val="0"/>
              <w:numPr>
                <w:ilvl w:val="0"/>
                <w:numId w:val="0"/>
              </w:numPr>
              <w:kinsoku/>
              <w:wordWrap/>
              <w:topLinePunct w:val="0"/>
              <w:bidi w:val="0"/>
              <w:snapToGrid/>
              <w:spacing w:line="312" w:lineRule="auto"/>
              <w:jc w:val="both"/>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前门油缸规格φ</w:t>
            </w:r>
            <w:r>
              <w:rPr>
                <w:rFonts w:hint="eastAsia" w:ascii="宋体" w:hAnsi="宋体" w:cs="宋体"/>
                <w:b w:val="0"/>
                <w:bCs w:val="0"/>
                <w:color w:val="auto"/>
                <w:sz w:val="24"/>
                <w:szCs w:val="24"/>
                <w:highlight w:val="none"/>
                <w:lang w:val="en-US" w:eastAsia="zh-CN"/>
              </w:rPr>
              <w:t>80</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56</w:t>
            </w:r>
            <w:r>
              <w:rPr>
                <w:rFonts w:hint="default" w:ascii="宋体" w:hAnsi="宋体" w:eastAsia="宋体" w:cs="宋体"/>
                <w:b w:val="0"/>
                <w:bCs w:val="0"/>
                <w:color w:val="auto"/>
                <w:sz w:val="24"/>
                <w:szCs w:val="24"/>
                <w:highlight w:val="none"/>
                <w:lang w:val="en-US" w:eastAsia="zh-CN"/>
              </w:rPr>
              <w:t>/13</w:t>
            </w:r>
            <w:r>
              <w:rPr>
                <w:rFonts w:hint="eastAsia" w:ascii="宋体" w:hAnsi="宋体" w:cs="宋体"/>
                <w:b w:val="0"/>
                <w:bCs w:val="0"/>
                <w:color w:val="auto"/>
                <w:sz w:val="24"/>
                <w:szCs w:val="24"/>
                <w:highlight w:val="none"/>
                <w:lang w:val="en-US" w:eastAsia="zh-CN"/>
              </w:rPr>
              <w:t>2</w:t>
            </w:r>
            <w:r>
              <w:rPr>
                <w:rFonts w:hint="default" w:ascii="宋体" w:hAnsi="宋体" w:eastAsia="宋体" w:cs="宋体"/>
                <w:b w:val="0"/>
                <w:bCs w:val="0"/>
                <w:color w:val="auto"/>
                <w:sz w:val="24"/>
                <w:szCs w:val="24"/>
                <w:highlight w:val="none"/>
                <w:lang w:val="en-US" w:eastAsia="zh-CN"/>
              </w:rPr>
              <w:t>0（mm）</w:t>
            </w:r>
            <w:r>
              <w:rPr>
                <w:rFonts w:hint="eastAsia" w:ascii="宋体" w:hAnsi="宋体" w:cs="宋体"/>
                <w:b w:val="0"/>
                <w:bCs w:val="0"/>
                <w:color w:val="auto"/>
                <w:sz w:val="24"/>
                <w:szCs w:val="24"/>
                <w:highlight w:val="none"/>
                <w:lang w:val="en-US" w:eastAsia="zh-CN"/>
              </w:rPr>
              <w:t>；</w:t>
            </w:r>
          </w:p>
        </w:tc>
        <w:tc>
          <w:tcPr>
            <w:tcW w:w="720" w:type="dxa"/>
            <w:tcBorders>
              <w:left w:val="single" w:color="auto" w:sz="4" w:space="0"/>
              <w:right w:val="single" w:color="auto" w:sz="4" w:space="0"/>
            </w:tcBorders>
            <w:noWrap w:val="0"/>
            <w:vAlign w:val="center"/>
          </w:tcPr>
          <w:p w14:paraId="7B5BA3F2">
            <w:pPr>
              <w:keepNext w:val="0"/>
              <w:keepLines w:val="0"/>
              <w:pageBreakBefore w:val="0"/>
              <w:widowControl/>
              <w:kinsoku/>
              <w:wordWrap/>
              <w:topLinePunct w:val="0"/>
              <w:bidi w:val="0"/>
              <w:adjustRightInd/>
              <w:snapToGrid/>
              <w:spacing w:line="312"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根</w:t>
            </w:r>
          </w:p>
        </w:tc>
        <w:tc>
          <w:tcPr>
            <w:tcW w:w="847" w:type="dxa"/>
            <w:tcBorders>
              <w:left w:val="single" w:color="auto" w:sz="4" w:space="0"/>
              <w:right w:val="single" w:color="auto" w:sz="4" w:space="0"/>
            </w:tcBorders>
            <w:noWrap w:val="0"/>
            <w:vAlign w:val="center"/>
          </w:tcPr>
          <w:p w14:paraId="5E25909F">
            <w:pPr>
              <w:keepNext w:val="0"/>
              <w:keepLines w:val="0"/>
              <w:pageBreakBefore w:val="0"/>
              <w:widowControl/>
              <w:kinsoku/>
              <w:wordWrap/>
              <w:topLinePunct w:val="0"/>
              <w:bidi w:val="0"/>
              <w:adjustRightInd/>
              <w:snapToGrid/>
              <w:spacing w:line="312"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r>
      <w:tr w14:paraId="1DF8D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207726E9">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1331" w:type="dxa"/>
            <w:tcBorders>
              <w:left w:val="single" w:color="auto" w:sz="4" w:space="0"/>
            </w:tcBorders>
            <w:noWrap w:val="0"/>
            <w:vAlign w:val="center"/>
          </w:tcPr>
          <w:p w14:paraId="6E2BDF82">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举升油缸</w:t>
            </w:r>
          </w:p>
        </w:tc>
        <w:tc>
          <w:tcPr>
            <w:tcW w:w="5368" w:type="dxa"/>
            <w:tcBorders>
              <w:right w:val="single" w:color="auto" w:sz="4" w:space="0"/>
            </w:tcBorders>
            <w:noWrap w:val="0"/>
            <w:vAlign w:val="center"/>
          </w:tcPr>
          <w:p w14:paraId="0DE87D82">
            <w:pPr>
              <w:pStyle w:val="2"/>
              <w:keepNext w:val="0"/>
              <w:keepLines w:val="0"/>
              <w:pageBreakBefore w:val="0"/>
              <w:numPr>
                <w:ilvl w:val="0"/>
                <w:numId w:val="0"/>
              </w:numPr>
              <w:kinsoku/>
              <w:wordWrap/>
              <w:topLinePunct w:val="0"/>
              <w:bidi w:val="0"/>
              <w:snapToGrid/>
              <w:spacing w:line="312"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规格参数φ185</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100</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3200mm（±2mm）；</w:t>
            </w:r>
          </w:p>
        </w:tc>
        <w:tc>
          <w:tcPr>
            <w:tcW w:w="720" w:type="dxa"/>
            <w:tcBorders>
              <w:left w:val="single" w:color="auto" w:sz="4" w:space="0"/>
              <w:right w:val="single" w:color="auto" w:sz="4" w:space="0"/>
            </w:tcBorders>
            <w:noWrap w:val="0"/>
            <w:vAlign w:val="center"/>
          </w:tcPr>
          <w:p w14:paraId="5E4E8408">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套</w:t>
            </w:r>
          </w:p>
        </w:tc>
        <w:tc>
          <w:tcPr>
            <w:tcW w:w="847" w:type="dxa"/>
            <w:tcBorders>
              <w:left w:val="single" w:color="auto" w:sz="4" w:space="0"/>
              <w:right w:val="single" w:color="auto" w:sz="4" w:space="0"/>
            </w:tcBorders>
            <w:noWrap w:val="0"/>
            <w:vAlign w:val="center"/>
          </w:tcPr>
          <w:p w14:paraId="3A3DCB21">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r>
      <w:tr w14:paraId="5C267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68996D2A">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331" w:type="dxa"/>
            <w:tcBorders>
              <w:left w:val="single" w:color="auto" w:sz="4" w:space="0"/>
            </w:tcBorders>
            <w:noWrap w:val="0"/>
            <w:vAlign w:val="center"/>
          </w:tcPr>
          <w:p w14:paraId="2072C6E0">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整机高压管道改造</w:t>
            </w:r>
          </w:p>
        </w:tc>
        <w:tc>
          <w:tcPr>
            <w:tcW w:w="5368" w:type="dxa"/>
            <w:tcBorders>
              <w:right w:val="single" w:color="auto" w:sz="4" w:space="0"/>
            </w:tcBorders>
            <w:noWrap w:val="0"/>
            <w:vAlign w:val="center"/>
          </w:tcPr>
          <w:p w14:paraId="5F98DA45">
            <w:pPr>
              <w:adjustRightInd/>
              <w:spacing w:line="360" w:lineRule="auto"/>
              <w:rPr>
                <w:rFonts w:hint="default"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两台整机所有液压管道改造重新铺设，取消地下及明沟布管，采用空中支架管道行走方式，采用高压软管及无缝管衔接方式，要求布局合理美观。规格</w:t>
            </w:r>
            <w:r>
              <w:rPr>
                <w:rFonts w:hint="eastAsia" w:ascii="宋体" w:hAnsi="宋体" w:cs="宋体"/>
                <w:b w:val="0"/>
                <w:bCs w:val="0"/>
                <w:color w:val="auto"/>
                <w:sz w:val="24"/>
                <w:szCs w:val="24"/>
                <w:highlight w:val="none"/>
                <w:lang w:val="en-US" w:eastAsia="zh-CN"/>
              </w:rPr>
              <w:t>参数</w:t>
            </w:r>
            <w:r>
              <w:rPr>
                <w:rFonts w:hint="eastAsia" w:ascii="宋体" w:hAnsi="宋体" w:eastAsia="宋体" w:cs="宋体"/>
                <w:b w:val="0"/>
                <w:bCs w:val="0"/>
                <w:color w:val="auto"/>
                <w:sz w:val="24"/>
                <w:szCs w:val="24"/>
                <w:highlight w:val="none"/>
              </w:rPr>
              <w:t>φ</w:t>
            </w:r>
            <w:r>
              <w:rPr>
                <w:rFonts w:hint="eastAsia" w:ascii="宋体" w:hAnsi="宋体" w:eastAsia="宋体" w:cs="宋体"/>
                <w:b w:val="0"/>
                <w:bCs w:val="0"/>
                <w:color w:val="auto"/>
                <w:sz w:val="24"/>
                <w:szCs w:val="24"/>
                <w:highlight w:val="none"/>
                <w:lang w:val="en-US" w:eastAsia="zh-CN"/>
              </w:rPr>
              <w:t>56/</w:t>
            </w:r>
            <w:r>
              <w:rPr>
                <w:rFonts w:hint="eastAsia" w:ascii="宋体" w:hAnsi="宋体" w:cs="宋体"/>
                <w:b w:val="0"/>
                <w:bCs w:val="0"/>
                <w:color w:val="auto"/>
                <w:sz w:val="24"/>
                <w:szCs w:val="24"/>
                <w:highlight w:val="none"/>
                <w:lang w:val="en-US" w:eastAsia="zh-CN"/>
              </w:rPr>
              <w:t>48/34/27</w:t>
            </w:r>
            <w:r>
              <w:rPr>
                <w:rFonts w:hint="eastAsia" w:ascii="宋体" w:hAnsi="宋体" w:eastAsia="宋体" w:cs="宋体"/>
                <w:b w:val="0"/>
                <w:bCs w:val="0"/>
                <w:color w:val="auto"/>
                <w:sz w:val="24"/>
                <w:szCs w:val="24"/>
                <w:highlight w:val="none"/>
                <w:lang w:val="en-US" w:eastAsia="zh-CN"/>
              </w:rPr>
              <w:t>mm（±2mm）</w:t>
            </w:r>
            <w:r>
              <w:rPr>
                <w:rFonts w:hint="eastAsia" w:ascii="宋体" w:hAnsi="宋体" w:cs="宋体"/>
                <w:b w:val="0"/>
                <w:bCs w:val="0"/>
                <w:color w:val="auto"/>
                <w:sz w:val="24"/>
                <w:szCs w:val="24"/>
                <w:highlight w:val="none"/>
                <w:lang w:val="en-US" w:eastAsia="zh-CN"/>
              </w:rPr>
              <w:t>；</w:t>
            </w:r>
          </w:p>
        </w:tc>
        <w:tc>
          <w:tcPr>
            <w:tcW w:w="720" w:type="dxa"/>
            <w:tcBorders>
              <w:left w:val="single" w:color="auto" w:sz="4" w:space="0"/>
              <w:right w:val="single" w:color="auto" w:sz="4" w:space="0"/>
            </w:tcBorders>
            <w:shd w:val="clear" w:color="auto" w:fill="auto"/>
            <w:noWrap w:val="0"/>
            <w:vAlign w:val="center"/>
          </w:tcPr>
          <w:p w14:paraId="1EF1D8B5">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套</w:t>
            </w:r>
          </w:p>
        </w:tc>
        <w:tc>
          <w:tcPr>
            <w:tcW w:w="847" w:type="dxa"/>
            <w:tcBorders>
              <w:left w:val="single" w:color="auto" w:sz="4" w:space="0"/>
              <w:right w:val="single" w:color="auto" w:sz="4" w:space="0"/>
            </w:tcBorders>
            <w:shd w:val="clear" w:color="auto" w:fill="auto"/>
            <w:noWrap w:val="0"/>
            <w:vAlign w:val="center"/>
          </w:tcPr>
          <w:p w14:paraId="661E71A0">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w:t>
            </w:r>
          </w:p>
        </w:tc>
      </w:tr>
    </w:tbl>
    <w:p w14:paraId="4404E7BA">
      <w:pPr>
        <w:keepNext w:val="0"/>
        <w:keepLines w:val="0"/>
        <w:pageBreakBefore w:val="0"/>
        <w:widowControl w:val="0"/>
        <w:numPr>
          <w:ilvl w:val="0"/>
          <w:numId w:val="0"/>
        </w:numPr>
        <w:kinsoku/>
        <w:wordWrap/>
        <w:topLinePunct w:val="0"/>
        <w:bidi w:val="0"/>
        <w:snapToGrid/>
        <w:spacing w:before="60" w:beforeLines="25" w:after="60" w:afterLines="25" w:line="312" w:lineRule="auto"/>
        <w:jc w:val="left"/>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（八）金山六路站</w:t>
      </w:r>
    </w:p>
    <w:tbl>
      <w:tblPr>
        <w:tblStyle w:val="62"/>
        <w:tblW w:w="8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1359"/>
        <w:gridCol w:w="5340"/>
        <w:gridCol w:w="720"/>
        <w:gridCol w:w="847"/>
      </w:tblGrid>
      <w:tr w14:paraId="3F116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681" w:type="dxa"/>
            <w:tcBorders>
              <w:right w:val="single" w:color="auto" w:sz="4" w:space="0"/>
            </w:tcBorders>
            <w:noWrap w:val="0"/>
            <w:vAlign w:val="center"/>
          </w:tcPr>
          <w:p w14:paraId="0C85D5F1">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359" w:type="dxa"/>
            <w:tcBorders>
              <w:left w:val="single" w:color="auto" w:sz="4" w:space="0"/>
            </w:tcBorders>
            <w:noWrap w:val="0"/>
            <w:vAlign w:val="center"/>
          </w:tcPr>
          <w:p w14:paraId="62653412">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品名</w:t>
            </w:r>
          </w:p>
        </w:tc>
        <w:tc>
          <w:tcPr>
            <w:tcW w:w="5340" w:type="dxa"/>
            <w:tcBorders>
              <w:right w:val="single" w:color="auto" w:sz="4" w:space="0"/>
            </w:tcBorders>
            <w:noWrap w:val="0"/>
            <w:vAlign w:val="center"/>
          </w:tcPr>
          <w:p w14:paraId="66050537">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参  数</w:t>
            </w:r>
          </w:p>
        </w:tc>
        <w:tc>
          <w:tcPr>
            <w:tcW w:w="720" w:type="dxa"/>
            <w:tcBorders>
              <w:left w:val="single" w:color="auto" w:sz="4" w:space="0"/>
              <w:right w:val="single" w:color="auto" w:sz="4" w:space="0"/>
            </w:tcBorders>
            <w:noWrap w:val="0"/>
            <w:vAlign w:val="center"/>
          </w:tcPr>
          <w:p w14:paraId="4535AFE4">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p>
        </w:tc>
        <w:tc>
          <w:tcPr>
            <w:tcW w:w="847" w:type="dxa"/>
            <w:tcBorders>
              <w:left w:val="single" w:color="auto" w:sz="4" w:space="0"/>
              <w:right w:val="single" w:color="auto" w:sz="4" w:space="0"/>
            </w:tcBorders>
            <w:noWrap w:val="0"/>
            <w:vAlign w:val="center"/>
          </w:tcPr>
          <w:p w14:paraId="1C76DC86">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数量</w:t>
            </w:r>
          </w:p>
        </w:tc>
      </w:tr>
      <w:tr w14:paraId="51C23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268FEE09">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p>
        </w:tc>
        <w:tc>
          <w:tcPr>
            <w:tcW w:w="1359" w:type="dxa"/>
            <w:tcBorders>
              <w:left w:val="single" w:color="auto" w:sz="4" w:space="0"/>
            </w:tcBorders>
            <w:noWrap w:val="0"/>
            <w:vAlign w:val="center"/>
          </w:tcPr>
          <w:p w14:paraId="0C125D2B">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举升油缸</w:t>
            </w:r>
          </w:p>
        </w:tc>
        <w:tc>
          <w:tcPr>
            <w:tcW w:w="5340" w:type="dxa"/>
            <w:tcBorders>
              <w:right w:val="single" w:color="auto" w:sz="4" w:space="0"/>
            </w:tcBorders>
            <w:noWrap w:val="0"/>
            <w:vAlign w:val="center"/>
          </w:tcPr>
          <w:p w14:paraId="77CBBA65">
            <w:pPr>
              <w:pStyle w:val="2"/>
              <w:keepNext w:val="0"/>
              <w:keepLines w:val="0"/>
              <w:pageBreakBefore w:val="0"/>
              <w:numPr>
                <w:ilvl w:val="0"/>
                <w:numId w:val="0"/>
              </w:numPr>
              <w:kinsoku/>
              <w:wordWrap/>
              <w:topLinePunct w:val="0"/>
              <w:bidi w:val="0"/>
              <w:snapToGrid/>
              <w:spacing w:line="312" w:lineRule="auto"/>
              <w:jc w:val="both"/>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规格参数φ185</w:t>
            </w:r>
            <w:r>
              <w:rPr>
                <w:rFonts w:hint="default"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100</w:t>
            </w:r>
            <w:r>
              <w:rPr>
                <w:rFonts w:hint="default"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3200mm（±2mm）；</w:t>
            </w:r>
          </w:p>
        </w:tc>
        <w:tc>
          <w:tcPr>
            <w:tcW w:w="720" w:type="dxa"/>
            <w:tcBorders>
              <w:left w:val="single" w:color="auto" w:sz="4" w:space="0"/>
              <w:right w:val="single" w:color="auto" w:sz="4" w:space="0"/>
            </w:tcBorders>
            <w:noWrap w:val="0"/>
            <w:vAlign w:val="center"/>
          </w:tcPr>
          <w:p w14:paraId="5243CAA9">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套</w:t>
            </w:r>
          </w:p>
        </w:tc>
        <w:tc>
          <w:tcPr>
            <w:tcW w:w="847" w:type="dxa"/>
            <w:tcBorders>
              <w:left w:val="single" w:color="auto" w:sz="4" w:space="0"/>
              <w:right w:val="single" w:color="auto" w:sz="4" w:space="0"/>
            </w:tcBorders>
            <w:noWrap w:val="0"/>
            <w:vAlign w:val="center"/>
          </w:tcPr>
          <w:p w14:paraId="2B641145">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r>
      <w:tr w14:paraId="16E25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3E5F27ED">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c>
          <w:tcPr>
            <w:tcW w:w="1359" w:type="dxa"/>
            <w:tcBorders>
              <w:left w:val="single" w:color="auto" w:sz="4" w:space="0"/>
            </w:tcBorders>
            <w:noWrap w:val="0"/>
            <w:vAlign w:val="center"/>
          </w:tcPr>
          <w:p w14:paraId="6ADE8703">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钢</w:t>
            </w:r>
            <w:r>
              <w:rPr>
                <w:rFonts w:hint="eastAsia" w:ascii="宋体" w:hAnsi="宋体" w:eastAsia="宋体" w:cs="宋体"/>
                <w:color w:val="auto"/>
                <w:sz w:val="24"/>
                <w:szCs w:val="24"/>
                <w:highlight w:val="none"/>
                <w:lang w:val="en-US" w:eastAsia="zh-CN"/>
              </w:rPr>
              <w:t>铝坦克链总成</w:t>
            </w:r>
          </w:p>
        </w:tc>
        <w:tc>
          <w:tcPr>
            <w:tcW w:w="5340" w:type="dxa"/>
            <w:tcBorders>
              <w:right w:val="single" w:color="auto" w:sz="4" w:space="0"/>
            </w:tcBorders>
            <w:noWrap w:val="0"/>
            <w:vAlign w:val="center"/>
          </w:tcPr>
          <w:p w14:paraId="43282152">
            <w:pPr>
              <w:pStyle w:val="2"/>
              <w:keepNext w:val="0"/>
              <w:keepLines w:val="0"/>
              <w:pageBreakBefore w:val="0"/>
              <w:numPr>
                <w:ilvl w:val="0"/>
                <w:numId w:val="0"/>
              </w:numPr>
              <w:kinsoku/>
              <w:wordWrap/>
              <w:topLinePunct w:val="0"/>
              <w:bidi w:val="0"/>
              <w:snapToGrid/>
              <w:spacing w:line="312" w:lineRule="auto"/>
              <w:jc w:val="both"/>
              <w:rPr>
                <w:rFonts w:hint="eastAsia" w:ascii="宋体" w:hAnsi="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钢</w:t>
            </w:r>
            <w:r>
              <w:rPr>
                <w:rFonts w:hint="eastAsia" w:ascii="宋体" w:hAnsi="宋体" w:eastAsia="宋体" w:cs="宋体"/>
                <w:b w:val="0"/>
                <w:bCs/>
                <w:color w:val="auto"/>
                <w:sz w:val="24"/>
                <w:szCs w:val="24"/>
                <w:highlight w:val="none"/>
                <w:lang w:val="en-US" w:eastAsia="zh-CN"/>
              </w:rPr>
              <w:t>铝坦克链总成</w:t>
            </w:r>
            <w:r>
              <w:rPr>
                <w:rFonts w:hint="eastAsia" w:ascii="宋体" w:hAnsi="宋体" w:cs="宋体"/>
                <w:b w:val="0"/>
                <w:bCs/>
                <w:color w:val="auto"/>
                <w:sz w:val="24"/>
                <w:szCs w:val="24"/>
                <w:highlight w:val="none"/>
                <w:lang w:val="en-US" w:eastAsia="zh-CN"/>
              </w:rPr>
              <w:t>整体更换</w:t>
            </w:r>
            <w:r>
              <w:rPr>
                <w:rFonts w:hint="eastAsia" w:ascii="宋体" w:hAnsi="宋体" w:cs="宋体"/>
                <w:color w:val="auto"/>
                <w:sz w:val="24"/>
                <w:szCs w:val="24"/>
                <w:highlight w:val="none"/>
                <w:lang w:val="en-US" w:eastAsia="zh-CN"/>
              </w:rPr>
              <w:t>。</w:t>
            </w:r>
          </w:p>
          <w:p w14:paraId="53E0C3E8">
            <w:pPr>
              <w:pStyle w:val="2"/>
              <w:keepNext w:val="0"/>
              <w:keepLines w:val="0"/>
              <w:pageBreakBefore w:val="0"/>
              <w:numPr>
                <w:ilvl w:val="0"/>
                <w:numId w:val="0"/>
              </w:numPr>
              <w:kinsoku/>
              <w:wordWrap/>
              <w:topLinePunct w:val="0"/>
              <w:bidi w:val="0"/>
              <w:snapToGrid/>
              <w:spacing w:line="312" w:lineRule="auto"/>
              <w:jc w:val="both"/>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规格参数3</w:t>
            </w:r>
            <w:r>
              <w:rPr>
                <w:rFonts w:hint="eastAsia" w:ascii="宋体" w:hAnsi="宋体" w:cs="宋体"/>
                <w:b w:val="0"/>
                <w:bCs w:val="0"/>
                <w:color w:val="auto"/>
                <w:sz w:val="24"/>
                <w:szCs w:val="24"/>
                <w:highlight w:val="none"/>
                <w:lang w:val="en-US" w:eastAsia="zh-CN"/>
              </w:rPr>
              <w:t>5</w:t>
            </w:r>
            <w:r>
              <w:rPr>
                <w:rFonts w:hint="default" w:ascii="宋体" w:hAnsi="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2</w:t>
            </w:r>
            <w:r>
              <w:rPr>
                <w:rFonts w:hint="default" w:ascii="宋体" w:hAnsi="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3500mm（±2mm）</w:t>
            </w:r>
          </w:p>
        </w:tc>
        <w:tc>
          <w:tcPr>
            <w:tcW w:w="720" w:type="dxa"/>
            <w:tcBorders>
              <w:left w:val="single" w:color="auto" w:sz="4" w:space="0"/>
              <w:right w:val="single" w:color="auto" w:sz="4" w:space="0"/>
            </w:tcBorders>
            <w:shd w:val="clear" w:color="auto" w:fill="auto"/>
            <w:noWrap w:val="0"/>
            <w:vAlign w:val="center"/>
          </w:tcPr>
          <w:p w14:paraId="3E26E071">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套</w:t>
            </w:r>
          </w:p>
        </w:tc>
        <w:tc>
          <w:tcPr>
            <w:tcW w:w="847" w:type="dxa"/>
            <w:tcBorders>
              <w:left w:val="single" w:color="auto" w:sz="4" w:space="0"/>
              <w:right w:val="single" w:color="auto" w:sz="4" w:space="0"/>
            </w:tcBorders>
            <w:shd w:val="clear" w:color="auto" w:fill="auto"/>
            <w:noWrap w:val="0"/>
            <w:vAlign w:val="center"/>
          </w:tcPr>
          <w:p w14:paraId="1BF9869E">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w:t>
            </w:r>
          </w:p>
        </w:tc>
      </w:tr>
      <w:tr w14:paraId="59454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168635BF">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p>
        </w:tc>
        <w:tc>
          <w:tcPr>
            <w:tcW w:w="1359" w:type="dxa"/>
            <w:tcBorders>
              <w:left w:val="single" w:color="auto" w:sz="4" w:space="0"/>
            </w:tcBorders>
            <w:noWrap w:val="0"/>
            <w:vAlign w:val="center"/>
          </w:tcPr>
          <w:p w14:paraId="0CC8828C">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同步马达总成</w:t>
            </w:r>
          </w:p>
        </w:tc>
        <w:tc>
          <w:tcPr>
            <w:tcW w:w="5340" w:type="dxa"/>
            <w:tcBorders>
              <w:right w:val="single" w:color="auto" w:sz="4" w:space="0"/>
            </w:tcBorders>
            <w:noWrap w:val="0"/>
            <w:vAlign w:val="center"/>
          </w:tcPr>
          <w:p w14:paraId="7B17AE3B">
            <w:pPr>
              <w:pStyle w:val="2"/>
              <w:keepNext w:val="0"/>
              <w:keepLines w:val="0"/>
              <w:pageBreakBefore w:val="0"/>
              <w:numPr>
                <w:ilvl w:val="0"/>
                <w:numId w:val="0"/>
              </w:numPr>
              <w:kinsoku/>
              <w:wordWrap/>
              <w:topLinePunct w:val="0"/>
              <w:bidi w:val="0"/>
              <w:snapToGrid/>
              <w:spacing w:line="312" w:lineRule="auto"/>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同步马达总成整体更换。</w:t>
            </w:r>
          </w:p>
          <w:p w14:paraId="08E12FDD">
            <w:pPr>
              <w:pStyle w:val="2"/>
              <w:keepNext w:val="0"/>
              <w:keepLines w:val="0"/>
              <w:pageBreakBefore w:val="0"/>
              <w:numPr>
                <w:ilvl w:val="0"/>
                <w:numId w:val="0"/>
              </w:numPr>
              <w:kinsoku/>
              <w:wordWrap/>
              <w:topLinePunct w:val="0"/>
              <w:bidi w:val="0"/>
              <w:snapToGrid/>
              <w:spacing w:line="312" w:lineRule="auto"/>
              <w:jc w:val="both"/>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主要</w:t>
            </w:r>
            <w:r>
              <w:rPr>
                <w:rFonts w:hint="default" w:ascii="宋体" w:hAnsi="宋体" w:cs="宋体"/>
                <w:b w:val="0"/>
                <w:bCs w:val="0"/>
                <w:color w:val="auto"/>
                <w:sz w:val="24"/>
                <w:szCs w:val="24"/>
                <w:highlight w:val="none"/>
                <w:lang w:val="en-US" w:eastAsia="zh-CN"/>
              </w:rPr>
              <w:t>规格参数</w:t>
            </w:r>
            <w:r>
              <w:rPr>
                <w:rFonts w:hint="eastAsia" w:ascii="宋体" w:hAnsi="宋体" w:cs="宋体"/>
                <w:b w:val="0"/>
                <w:bCs w:val="0"/>
                <w:color w:val="auto"/>
                <w:sz w:val="24"/>
                <w:szCs w:val="24"/>
                <w:highlight w:val="none"/>
                <w:lang w:val="en-US" w:eastAsia="zh-CN"/>
              </w:rPr>
              <w:t>：350-65</w:t>
            </w:r>
          </w:p>
        </w:tc>
        <w:tc>
          <w:tcPr>
            <w:tcW w:w="720" w:type="dxa"/>
            <w:tcBorders>
              <w:left w:val="single" w:color="auto" w:sz="4" w:space="0"/>
              <w:right w:val="single" w:color="auto" w:sz="4" w:space="0"/>
            </w:tcBorders>
            <w:shd w:val="clear" w:color="auto" w:fill="auto"/>
            <w:noWrap w:val="0"/>
            <w:vAlign w:val="center"/>
          </w:tcPr>
          <w:p w14:paraId="4A56E1E3">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套</w:t>
            </w:r>
          </w:p>
        </w:tc>
        <w:tc>
          <w:tcPr>
            <w:tcW w:w="847" w:type="dxa"/>
            <w:tcBorders>
              <w:left w:val="single" w:color="auto" w:sz="4" w:space="0"/>
              <w:right w:val="single" w:color="auto" w:sz="4" w:space="0"/>
            </w:tcBorders>
            <w:shd w:val="clear" w:color="auto" w:fill="auto"/>
            <w:noWrap w:val="0"/>
            <w:vAlign w:val="center"/>
          </w:tcPr>
          <w:p w14:paraId="3A26C0DC">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w:t>
            </w:r>
          </w:p>
        </w:tc>
      </w:tr>
    </w:tbl>
    <w:p w14:paraId="0245F31C">
      <w:pPr>
        <w:keepNext w:val="0"/>
        <w:keepLines w:val="0"/>
        <w:pageBreakBefore w:val="0"/>
        <w:widowControl w:val="0"/>
        <w:numPr>
          <w:ilvl w:val="0"/>
          <w:numId w:val="0"/>
        </w:numPr>
        <w:kinsoku/>
        <w:wordWrap/>
        <w:topLinePunct w:val="0"/>
        <w:bidi w:val="0"/>
        <w:snapToGrid/>
        <w:spacing w:before="60" w:beforeLines="25" w:after="60" w:afterLines="25" w:line="312" w:lineRule="auto"/>
        <w:jc w:val="left"/>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（九）靖海路站</w:t>
      </w:r>
    </w:p>
    <w:tbl>
      <w:tblPr>
        <w:tblStyle w:val="62"/>
        <w:tblW w:w="8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1345"/>
        <w:gridCol w:w="5354"/>
        <w:gridCol w:w="720"/>
        <w:gridCol w:w="847"/>
      </w:tblGrid>
      <w:tr w14:paraId="6F014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681" w:type="dxa"/>
            <w:tcBorders>
              <w:right w:val="single" w:color="auto" w:sz="4" w:space="0"/>
            </w:tcBorders>
            <w:noWrap w:val="0"/>
            <w:vAlign w:val="center"/>
          </w:tcPr>
          <w:p w14:paraId="5827ED1E">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345" w:type="dxa"/>
            <w:tcBorders>
              <w:left w:val="single" w:color="auto" w:sz="4" w:space="0"/>
            </w:tcBorders>
            <w:noWrap w:val="0"/>
            <w:vAlign w:val="center"/>
          </w:tcPr>
          <w:p w14:paraId="5973AFEE">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品名</w:t>
            </w:r>
          </w:p>
        </w:tc>
        <w:tc>
          <w:tcPr>
            <w:tcW w:w="5354" w:type="dxa"/>
            <w:tcBorders>
              <w:right w:val="single" w:color="auto" w:sz="4" w:space="0"/>
            </w:tcBorders>
            <w:noWrap w:val="0"/>
            <w:vAlign w:val="center"/>
          </w:tcPr>
          <w:p w14:paraId="7A01AFF7">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参  数</w:t>
            </w:r>
          </w:p>
        </w:tc>
        <w:tc>
          <w:tcPr>
            <w:tcW w:w="720" w:type="dxa"/>
            <w:tcBorders>
              <w:left w:val="single" w:color="auto" w:sz="4" w:space="0"/>
              <w:right w:val="single" w:color="auto" w:sz="4" w:space="0"/>
            </w:tcBorders>
            <w:noWrap w:val="0"/>
            <w:vAlign w:val="center"/>
          </w:tcPr>
          <w:p w14:paraId="5C1E5A16">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p>
        </w:tc>
        <w:tc>
          <w:tcPr>
            <w:tcW w:w="847" w:type="dxa"/>
            <w:tcBorders>
              <w:left w:val="single" w:color="auto" w:sz="4" w:space="0"/>
              <w:right w:val="single" w:color="auto" w:sz="4" w:space="0"/>
            </w:tcBorders>
            <w:noWrap w:val="0"/>
            <w:vAlign w:val="center"/>
          </w:tcPr>
          <w:p w14:paraId="746B0C7B">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数量</w:t>
            </w:r>
          </w:p>
        </w:tc>
      </w:tr>
      <w:tr w14:paraId="0B1EE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5B6E843C">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p>
        </w:tc>
        <w:tc>
          <w:tcPr>
            <w:tcW w:w="1345" w:type="dxa"/>
            <w:tcBorders>
              <w:left w:val="single" w:color="auto" w:sz="4" w:space="0"/>
            </w:tcBorders>
            <w:noWrap w:val="0"/>
            <w:vAlign w:val="center"/>
          </w:tcPr>
          <w:p w14:paraId="4F235D01">
            <w:pPr>
              <w:keepNext w:val="0"/>
              <w:keepLines w:val="0"/>
              <w:pageBreakBefore w:val="0"/>
              <w:widowControl/>
              <w:kinsoku/>
              <w:wordWrap/>
              <w:topLinePunct w:val="0"/>
              <w:bidi w:val="0"/>
              <w:adjustRightInd/>
              <w:snapToGrid/>
              <w:spacing w:line="312" w:lineRule="auto"/>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整机高压管道改造</w:t>
            </w:r>
          </w:p>
        </w:tc>
        <w:tc>
          <w:tcPr>
            <w:tcW w:w="5354" w:type="dxa"/>
            <w:tcBorders>
              <w:right w:val="single" w:color="auto" w:sz="4" w:space="0"/>
            </w:tcBorders>
            <w:noWrap w:val="0"/>
            <w:vAlign w:val="center"/>
          </w:tcPr>
          <w:p w14:paraId="664AC219">
            <w:pPr>
              <w:adjustRightInd/>
              <w:spacing w:line="44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两台整机所有液压管道改造重新铺设，取消地下及明沟布管，采用空中支架管道行走方式，采用高压软管及无缝管衔接方式，要求布局合理美观。</w:t>
            </w:r>
            <w:r>
              <w:rPr>
                <w:rFonts w:hint="eastAsia" w:ascii="宋体" w:hAnsi="宋体" w:eastAsia="宋体" w:cs="宋体"/>
                <w:b w:val="0"/>
                <w:bCs/>
                <w:color w:val="auto"/>
                <w:sz w:val="24"/>
                <w:szCs w:val="24"/>
                <w:highlight w:val="none"/>
              </w:rPr>
              <w:t>规格</w:t>
            </w:r>
            <w:r>
              <w:rPr>
                <w:rFonts w:hint="eastAsia" w:ascii="宋体" w:hAnsi="宋体" w:cs="宋体"/>
                <w:b w:val="0"/>
                <w:bCs/>
                <w:color w:val="auto"/>
                <w:sz w:val="24"/>
                <w:szCs w:val="24"/>
                <w:highlight w:val="none"/>
                <w:lang w:val="en-US" w:eastAsia="zh-CN"/>
              </w:rPr>
              <w:t>参数</w:t>
            </w:r>
            <w:r>
              <w:rPr>
                <w:rFonts w:hint="eastAsia" w:ascii="宋体" w:hAnsi="宋体" w:eastAsia="宋体" w:cs="宋体"/>
                <w:color w:val="auto"/>
                <w:sz w:val="24"/>
                <w:szCs w:val="24"/>
                <w:highlight w:val="none"/>
              </w:rPr>
              <w:t>φ</w:t>
            </w: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22\16</w:t>
            </w:r>
            <w:r>
              <w:rPr>
                <w:rFonts w:hint="eastAsia" w:ascii="宋体" w:hAnsi="宋体" w:eastAsia="宋体" w:cs="宋体"/>
                <w:color w:val="auto"/>
                <w:sz w:val="24"/>
                <w:szCs w:val="24"/>
                <w:highlight w:val="none"/>
                <w:lang w:val="en-US" w:eastAsia="zh-CN"/>
              </w:rPr>
              <w:t>mm（±2mm）</w:t>
            </w:r>
            <w:r>
              <w:rPr>
                <w:rFonts w:hint="eastAsia" w:ascii="宋体" w:hAnsi="宋体" w:cs="宋体"/>
                <w:color w:val="auto"/>
                <w:sz w:val="24"/>
                <w:szCs w:val="24"/>
                <w:highlight w:val="none"/>
                <w:lang w:val="en-US" w:eastAsia="zh-CN"/>
              </w:rPr>
              <w:t>；</w:t>
            </w:r>
          </w:p>
        </w:tc>
        <w:tc>
          <w:tcPr>
            <w:tcW w:w="720" w:type="dxa"/>
            <w:tcBorders>
              <w:left w:val="single" w:color="auto" w:sz="4" w:space="0"/>
              <w:right w:val="single" w:color="auto" w:sz="4" w:space="0"/>
            </w:tcBorders>
            <w:noWrap w:val="0"/>
            <w:vAlign w:val="center"/>
          </w:tcPr>
          <w:p w14:paraId="3079EEFF">
            <w:pPr>
              <w:keepNext w:val="0"/>
              <w:keepLines w:val="0"/>
              <w:pageBreakBefore w:val="0"/>
              <w:widowControl/>
              <w:kinsoku/>
              <w:wordWrap/>
              <w:topLinePunct w:val="0"/>
              <w:bidi w:val="0"/>
              <w:adjustRightInd/>
              <w:snapToGrid/>
              <w:spacing w:line="312" w:lineRule="auto"/>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根</w:t>
            </w:r>
          </w:p>
        </w:tc>
        <w:tc>
          <w:tcPr>
            <w:tcW w:w="847" w:type="dxa"/>
            <w:tcBorders>
              <w:left w:val="single" w:color="auto" w:sz="4" w:space="0"/>
              <w:right w:val="single" w:color="auto" w:sz="4" w:space="0"/>
            </w:tcBorders>
            <w:noWrap w:val="0"/>
            <w:vAlign w:val="center"/>
          </w:tcPr>
          <w:p w14:paraId="09CD689D">
            <w:pPr>
              <w:keepNext w:val="0"/>
              <w:keepLines w:val="0"/>
              <w:pageBreakBefore w:val="0"/>
              <w:widowControl/>
              <w:kinsoku/>
              <w:wordWrap/>
              <w:topLinePunct w:val="0"/>
              <w:bidi w:val="0"/>
              <w:adjustRightInd/>
              <w:snapToGrid/>
              <w:spacing w:line="312" w:lineRule="auto"/>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r>
      <w:tr w14:paraId="0706B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77C7778D">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c>
          <w:tcPr>
            <w:tcW w:w="1345" w:type="dxa"/>
            <w:tcBorders>
              <w:left w:val="single" w:color="auto" w:sz="4" w:space="0"/>
            </w:tcBorders>
            <w:noWrap w:val="0"/>
            <w:vAlign w:val="center"/>
          </w:tcPr>
          <w:p w14:paraId="41AA1FDA">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压台挂箱总成</w:t>
            </w:r>
          </w:p>
        </w:tc>
        <w:tc>
          <w:tcPr>
            <w:tcW w:w="5354" w:type="dxa"/>
            <w:tcBorders>
              <w:right w:val="single" w:color="auto" w:sz="4" w:space="0"/>
            </w:tcBorders>
            <w:noWrap w:val="0"/>
            <w:vAlign w:val="center"/>
          </w:tcPr>
          <w:p w14:paraId="73C24892">
            <w:pPr>
              <w:pStyle w:val="2"/>
              <w:keepNext w:val="0"/>
              <w:keepLines w:val="0"/>
              <w:pageBreakBefore w:val="0"/>
              <w:numPr>
                <w:ilvl w:val="0"/>
                <w:numId w:val="0"/>
              </w:numPr>
              <w:kinsoku/>
              <w:wordWrap/>
              <w:topLinePunct w:val="0"/>
              <w:bidi w:val="0"/>
              <w:snapToGrid/>
              <w:spacing w:line="312" w:lineRule="auto"/>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压台挂箱组件总成整体更换。</w:t>
            </w:r>
          </w:p>
          <w:p w14:paraId="26457AD3">
            <w:pPr>
              <w:pStyle w:val="2"/>
              <w:keepNext w:val="0"/>
              <w:keepLines w:val="0"/>
              <w:pageBreakBefore w:val="0"/>
              <w:numPr>
                <w:ilvl w:val="0"/>
                <w:numId w:val="0"/>
              </w:numPr>
              <w:kinsoku/>
              <w:wordWrap/>
              <w:topLinePunct w:val="0"/>
              <w:bidi w:val="0"/>
              <w:snapToGrid/>
              <w:spacing w:line="312"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主要</w:t>
            </w:r>
            <w:r>
              <w:rPr>
                <w:rFonts w:hint="default" w:ascii="宋体" w:hAnsi="宋体" w:cs="宋体"/>
                <w:b w:val="0"/>
                <w:bCs w:val="0"/>
                <w:color w:val="auto"/>
                <w:sz w:val="24"/>
                <w:szCs w:val="24"/>
                <w:highlight w:val="none"/>
                <w:lang w:val="en-US" w:eastAsia="zh-CN"/>
              </w:rPr>
              <w:t>规格参数</w:t>
            </w:r>
            <w:r>
              <w:rPr>
                <w:rFonts w:hint="eastAsia" w:ascii="宋体" w:hAnsi="宋体" w:cs="宋体"/>
                <w:b w:val="0"/>
                <w:bCs w:val="0"/>
                <w:color w:val="auto"/>
                <w:sz w:val="24"/>
                <w:szCs w:val="24"/>
                <w:highlight w:val="none"/>
                <w:lang w:val="en-US" w:eastAsia="zh-CN"/>
              </w:rPr>
              <w:t>：65-32</w:t>
            </w:r>
          </w:p>
        </w:tc>
        <w:tc>
          <w:tcPr>
            <w:tcW w:w="720" w:type="dxa"/>
            <w:tcBorders>
              <w:left w:val="single" w:color="auto" w:sz="4" w:space="0"/>
              <w:right w:val="single" w:color="auto" w:sz="4" w:space="0"/>
            </w:tcBorders>
            <w:noWrap w:val="0"/>
            <w:vAlign w:val="center"/>
          </w:tcPr>
          <w:p w14:paraId="3B2F8F67">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套</w:t>
            </w:r>
          </w:p>
        </w:tc>
        <w:tc>
          <w:tcPr>
            <w:tcW w:w="847" w:type="dxa"/>
            <w:tcBorders>
              <w:left w:val="single" w:color="auto" w:sz="4" w:space="0"/>
              <w:right w:val="single" w:color="auto" w:sz="4" w:space="0"/>
            </w:tcBorders>
            <w:noWrap w:val="0"/>
            <w:vAlign w:val="center"/>
          </w:tcPr>
          <w:p w14:paraId="6A1BBF41">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r>
      <w:tr w14:paraId="33435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289F9CFF">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p>
        </w:tc>
        <w:tc>
          <w:tcPr>
            <w:tcW w:w="1345" w:type="dxa"/>
            <w:tcBorders>
              <w:left w:val="single" w:color="auto" w:sz="4" w:space="0"/>
            </w:tcBorders>
            <w:noWrap w:val="0"/>
            <w:vAlign w:val="center"/>
          </w:tcPr>
          <w:p w14:paraId="79F4D66F">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液压升降油缸</w:t>
            </w:r>
          </w:p>
        </w:tc>
        <w:tc>
          <w:tcPr>
            <w:tcW w:w="5354" w:type="dxa"/>
            <w:tcBorders>
              <w:right w:val="single" w:color="auto" w:sz="4" w:space="0"/>
            </w:tcBorders>
            <w:noWrap w:val="0"/>
            <w:vAlign w:val="center"/>
          </w:tcPr>
          <w:p w14:paraId="62D14C31">
            <w:pPr>
              <w:pStyle w:val="2"/>
              <w:keepNext w:val="0"/>
              <w:keepLines w:val="0"/>
              <w:pageBreakBefore w:val="0"/>
              <w:numPr>
                <w:ilvl w:val="0"/>
                <w:numId w:val="0"/>
              </w:numPr>
              <w:kinsoku/>
              <w:wordWrap/>
              <w:topLinePunct w:val="0"/>
              <w:bidi w:val="0"/>
              <w:snapToGrid/>
              <w:spacing w:line="312"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液压升降油缸、支座及管道整体更换。</w:t>
            </w:r>
          </w:p>
          <w:p w14:paraId="75DC115C">
            <w:pPr>
              <w:jc w:val="both"/>
              <w:rPr>
                <w:rFonts w:hint="default"/>
                <w:color w:val="auto"/>
                <w:highlight w:val="none"/>
                <w:lang w:val="en-US" w:eastAsia="zh-CN"/>
              </w:rPr>
            </w:pPr>
            <w:r>
              <w:rPr>
                <w:rFonts w:hint="default" w:ascii="宋体" w:hAnsi="宋体" w:cs="宋体"/>
                <w:b w:val="0"/>
                <w:bCs w:val="0"/>
                <w:color w:val="auto"/>
                <w:sz w:val="24"/>
                <w:szCs w:val="24"/>
                <w:highlight w:val="none"/>
                <w:lang w:val="en-US" w:eastAsia="zh-CN"/>
              </w:rPr>
              <w:t>规格参数</w:t>
            </w:r>
            <w:r>
              <w:rPr>
                <w:rFonts w:hint="eastAsia" w:ascii="宋体" w:hAnsi="宋体" w:cs="宋体"/>
                <w:b w:val="0"/>
                <w:bCs w:val="0"/>
                <w:color w:val="auto"/>
                <w:sz w:val="24"/>
                <w:szCs w:val="24"/>
                <w:highlight w:val="none"/>
                <w:lang w:val="en-US" w:eastAsia="zh-CN"/>
              </w:rPr>
              <w:t>：φ92</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45</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1300mm（±2mm）；</w:t>
            </w:r>
          </w:p>
        </w:tc>
        <w:tc>
          <w:tcPr>
            <w:tcW w:w="720" w:type="dxa"/>
            <w:tcBorders>
              <w:left w:val="single" w:color="auto" w:sz="4" w:space="0"/>
              <w:right w:val="single" w:color="auto" w:sz="4" w:space="0"/>
            </w:tcBorders>
            <w:shd w:val="clear" w:color="auto" w:fill="auto"/>
            <w:noWrap w:val="0"/>
            <w:vAlign w:val="center"/>
          </w:tcPr>
          <w:p w14:paraId="74F85D7B">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套</w:t>
            </w:r>
          </w:p>
        </w:tc>
        <w:tc>
          <w:tcPr>
            <w:tcW w:w="847" w:type="dxa"/>
            <w:tcBorders>
              <w:left w:val="single" w:color="auto" w:sz="4" w:space="0"/>
              <w:right w:val="single" w:color="auto" w:sz="4" w:space="0"/>
            </w:tcBorders>
            <w:shd w:val="clear" w:color="auto" w:fill="auto"/>
            <w:noWrap w:val="0"/>
            <w:vAlign w:val="center"/>
          </w:tcPr>
          <w:p w14:paraId="7ECB3069">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w:t>
            </w:r>
          </w:p>
        </w:tc>
      </w:tr>
      <w:tr w14:paraId="71BF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54911135">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w:t>
            </w:r>
          </w:p>
        </w:tc>
        <w:tc>
          <w:tcPr>
            <w:tcW w:w="1345" w:type="dxa"/>
            <w:tcBorders>
              <w:left w:val="single" w:color="auto" w:sz="4" w:space="0"/>
            </w:tcBorders>
            <w:noWrap w:val="0"/>
            <w:vAlign w:val="center"/>
          </w:tcPr>
          <w:p w14:paraId="03377294">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保险油缸总成</w:t>
            </w:r>
          </w:p>
        </w:tc>
        <w:tc>
          <w:tcPr>
            <w:tcW w:w="5354" w:type="dxa"/>
            <w:tcBorders>
              <w:right w:val="single" w:color="auto" w:sz="4" w:space="0"/>
            </w:tcBorders>
            <w:noWrap w:val="0"/>
            <w:vAlign w:val="center"/>
          </w:tcPr>
          <w:p w14:paraId="13E2E409">
            <w:pPr>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保险油缸总成整体更换。</w:t>
            </w:r>
          </w:p>
          <w:p w14:paraId="764ABAB6">
            <w:pPr>
              <w:pStyle w:val="79"/>
              <w:ind w:left="0" w:leftChars="0" w:firstLine="0" w:firstLineChars="0"/>
              <w:jc w:val="both"/>
              <w:rPr>
                <w:rFonts w:hint="default"/>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主要</w:t>
            </w:r>
            <w:r>
              <w:rPr>
                <w:rFonts w:hint="default" w:ascii="宋体" w:hAnsi="宋体" w:eastAsia="宋体" w:cs="宋体"/>
                <w:b w:val="0"/>
                <w:bCs w:val="0"/>
                <w:color w:val="auto"/>
                <w:kern w:val="2"/>
                <w:sz w:val="24"/>
                <w:szCs w:val="24"/>
                <w:highlight w:val="none"/>
                <w:lang w:val="en-US" w:eastAsia="zh-CN" w:bidi="ar-SA"/>
              </w:rPr>
              <w:t>规格参数</w:t>
            </w:r>
            <w:r>
              <w:rPr>
                <w:rFonts w:hint="eastAsia" w:ascii="宋体" w:hAnsi="宋体" w:eastAsia="宋体" w:cs="宋体"/>
                <w:b w:val="0"/>
                <w:bCs w:val="0"/>
                <w:color w:val="auto"/>
                <w:kern w:val="2"/>
                <w:sz w:val="24"/>
                <w:szCs w:val="24"/>
                <w:highlight w:val="none"/>
                <w:lang w:val="en-US" w:eastAsia="zh-CN" w:bidi="ar-SA"/>
              </w:rPr>
              <w:t>：65-32</w:t>
            </w:r>
          </w:p>
        </w:tc>
        <w:tc>
          <w:tcPr>
            <w:tcW w:w="720" w:type="dxa"/>
            <w:tcBorders>
              <w:left w:val="single" w:color="auto" w:sz="4" w:space="0"/>
              <w:right w:val="single" w:color="auto" w:sz="4" w:space="0"/>
            </w:tcBorders>
            <w:shd w:val="clear" w:color="auto" w:fill="auto"/>
            <w:noWrap w:val="0"/>
            <w:vAlign w:val="center"/>
          </w:tcPr>
          <w:p w14:paraId="2605A60F">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套</w:t>
            </w:r>
          </w:p>
        </w:tc>
        <w:tc>
          <w:tcPr>
            <w:tcW w:w="847" w:type="dxa"/>
            <w:tcBorders>
              <w:left w:val="single" w:color="auto" w:sz="4" w:space="0"/>
              <w:right w:val="single" w:color="auto" w:sz="4" w:space="0"/>
            </w:tcBorders>
            <w:shd w:val="clear" w:color="auto" w:fill="auto"/>
            <w:noWrap w:val="0"/>
            <w:vAlign w:val="center"/>
          </w:tcPr>
          <w:p w14:paraId="3B841EB5">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w:t>
            </w:r>
          </w:p>
        </w:tc>
      </w:tr>
    </w:tbl>
    <w:p w14:paraId="6B1239F2">
      <w:pPr>
        <w:keepNext w:val="0"/>
        <w:keepLines w:val="0"/>
        <w:pageBreakBefore w:val="0"/>
        <w:widowControl w:val="0"/>
        <w:numPr>
          <w:ilvl w:val="0"/>
          <w:numId w:val="0"/>
        </w:numPr>
        <w:kinsoku/>
        <w:wordWrap/>
        <w:topLinePunct w:val="0"/>
        <w:bidi w:val="0"/>
        <w:snapToGrid/>
        <w:spacing w:before="60" w:beforeLines="25" w:after="60" w:afterLines="25" w:line="312" w:lineRule="auto"/>
        <w:jc w:val="left"/>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（十）城西站</w:t>
      </w:r>
    </w:p>
    <w:tbl>
      <w:tblPr>
        <w:tblStyle w:val="62"/>
        <w:tblW w:w="8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1291"/>
        <w:gridCol w:w="5408"/>
        <w:gridCol w:w="720"/>
        <w:gridCol w:w="847"/>
      </w:tblGrid>
      <w:tr w14:paraId="1FF9E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681" w:type="dxa"/>
            <w:tcBorders>
              <w:right w:val="single" w:color="auto" w:sz="4" w:space="0"/>
            </w:tcBorders>
            <w:noWrap w:val="0"/>
            <w:vAlign w:val="center"/>
          </w:tcPr>
          <w:p w14:paraId="4D796E21">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291" w:type="dxa"/>
            <w:tcBorders>
              <w:left w:val="single" w:color="auto" w:sz="4" w:space="0"/>
            </w:tcBorders>
            <w:noWrap w:val="0"/>
            <w:vAlign w:val="center"/>
          </w:tcPr>
          <w:p w14:paraId="502672A4">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品名</w:t>
            </w:r>
          </w:p>
        </w:tc>
        <w:tc>
          <w:tcPr>
            <w:tcW w:w="5408" w:type="dxa"/>
            <w:tcBorders>
              <w:right w:val="single" w:color="auto" w:sz="4" w:space="0"/>
            </w:tcBorders>
            <w:noWrap w:val="0"/>
            <w:vAlign w:val="center"/>
          </w:tcPr>
          <w:p w14:paraId="1818CACC">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参  数</w:t>
            </w:r>
          </w:p>
        </w:tc>
        <w:tc>
          <w:tcPr>
            <w:tcW w:w="720" w:type="dxa"/>
            <w:tcBorders>
              <w:left w:val="single" w:color="auto" w:sz="4" w:space="0"/>
              <w:right w:val="single" w:color="auto" w:sz="4" w:space="0"/>
            </w:tcBorders>
            <w:noWrap w:val="0"/>
            <w:vAlign w:val="center"/>
          </w:tcPr>
          <w:p w14:paraId="654929A6">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p>
        </w:tc>
        <w:tc>
          <w:tcPr>
            <w:tcW w:w="847" w:type="dxa"/>
            <w:tcBorders>
              <w:left w:val="single" w:color="auto" w:sz="4" w:space="0"/>
              <w:right w:val="single" w:color="auto" w:sz="4" w:space="0"/>
            </w:tcBorders>
            <w:noWrap w:val="0"/>
            <w:vAlign w:val="center"/>
          </w:tcPr>
          <w:p w14:paraId="2AC51DB0">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数量</w:t>
            </w:r>
          </w:p>
        </w:tc>
      </w:tr>
      <w:tr w14:paraId="66E56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79712FB7">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p>
        </w:tc>
        <w:tc>
          <w:tcPr>
            <w:tcW w:w="1291" w:type="dxa"/>
            <w:tcBorders>
              <w:left w:val="single" w:color="auto" w:sz="4" w:space="0"/>
            </w:tcBorders>
            <w:noWrap w:val="0"/>
            <w:vAlign w:val="center"/>
          </w:tcPr>
          <w:p w14:paraId="5E18E96D">
            <w:pPr>
              <w:keepNext w:val="0"/>
              <w:keepLines w:val="0"/>
              <w:pageBreakBefore w:val="0"/>
              <w:widowControl/>
              <w:kinsoku/>
              <w:wordWrap/>
              <w:topLinePunct w:val="0"/>
              <w:bidi w:val="0"/>
              <w:adjustRightInd/>
              <w:snapToGrid/>
              <w:spacing w:line="312" w:lineRule="auto"/>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主压缩油缸</w:t>
            </w:r>
          </w:p>
        </w:tc>
        <w:tc>
          <w:tcPr>
            <w:tcW w:w="5408" w:type="dxa"/>
            <w:tcBorders>
              <w:right w:val="single" w:color="auto" w:sz="4" w:space="0"/>
            </w:tcBorders>
            <w:noWrap w:val="0"/>
            <w:vAlign w:val="center"/>
          </w:tcPr>
          <w:p w14:paraId="7E3DDA25">
            <w:pPr>
              <w:keepNext w:val="0"/>
              <w:keepLines w:val="0"/>
              <w:pageBreakBefore w:val="0"/>
              <w:widowControl w:val="0"/>
              <w:numPr>
                <w:ilvl w:val="0"/>
                <w:numId w:val="0"/>
              </w:numPr>
              <w:kinsoku/>
              <w:wordWrap/>
              <w:topLinePunct w:val="0"/>
              <w:bidi w:val="0"/>
              <w:snapToGrid/>
              <w:spacing w:before="60" w:beforeLines="25" w:after="60" w:afterLines="25" w:line="312"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主压缩油缸1套</w:t>
            </w:r>
            <w:r>
              <w:rPr>
                <w:rFonts w:hint="eastAsia" w:ascii="宋体" w:hAnsi="宋体" w:cs="宋体"/>
                <w:b w:val="0"/>
                <w:bCs w:val="0"/>
                <w:color w:val="auto"/>
                <w:sz w:val="24"/>
                <w:szCs w:val="24"/>
                <w:lang w:val="en-US" w:eastAsia="zh-CN"/>
              </w:rPr>
              <w:t>、</w:t>
            </w:r>
            <w:r>
              <w:rPr>
                <w:rFonts w:hint="eastAsia" w:ascii="宋体" w:hAnsi="宋体" w:cs="宋体"/>
                <w:b w:val="0"/>
                <w:bCs w:val="0"/>
                <w:color w:val="auto"/>
                <w:kern w:val="2"/>
                <w:sz w:val="24"/>
                <w:szCs w:val="24"/>
                <w:lang w:val="en-US" w:eastAsia="zh-CN" w:bidi="ar-SA"/>
              </w:rPr>
              <w:t>高压</w:t>
            </w:r>
            <w:r>
              <w:rPr>
                <w:rFonts w:hint="eastAsia" w:ascii="宋体" w:hAnsi="宋体" w:cs="宋体"/>
                <w:b w:val="0"/>
                <w:bCs w:val="0"/>
                <w:color w:val="auto"/>
                <w:sz w:val="24"/>
                <w:szCs w:val="24"/>
                <w:lang w:val="en-US" w:eastAsia="zh-CN"/>
              </w:rPr>
              <w:t>管道</w:t>
            </w:r>
            <w:r>
              <w:rPr>
                <w:rFonts w:hint="eastAsia" w:ascii="宋体" w:hAnsi="宋体" w:eastAsia="宋体" w:cs="宋体"/>
                <w:b w:val="0"/>
                <w:bCs w:val="0"/>
                <w:color w:val="auto"/>
                <w:kern w:val="2"/>
                <w:sz w:val="24"/>
                <w:szCs w:val="24"/>
                <w:lang w:val="en-US" w:eastAsia="zh-CN" w:bidi="ar-SA"/>
              </w:rPr>
              <w:t>整体更换。</w:t>
            </w:r>
          </w:p>
          <w:p w14:paraId="4034CF3C">
            <w:pPr>
              <w:keepNext w:val="0"/>
              <w:keepLines w:val="0"/>
              <w:pageBreakBefore w:val="0"/>
              <w:widowControl w:val="0"/>
              <w:numPr>
                <w:ilvl w:val="0"/>
                <w:numId w:val="0"/>
              </w:numPr>
              <w:kinsoku/>
              <w:wordWrap/>
              <w:topLinePunct w:val="0"/>
              <w:bidi w:val="0"/>
              <w:snapToGrid/>
              <w:spacing w:before="60" w:beforeLines="25" w:after="60" w:afterLines="25" w:line="312" w:lineRule="auto"/>
              <w:jc w:val="lef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规格</w:t>
            </w:r>
            <w:r>
              <w:rPr>
                <w:rFonts w:hint="eastAsia" w:ascii="宋体" w:hAnsi="宋体" w:cs="宋体"/>
                <w:b w:val="0"/>
                <w:bCs w:val="0"/>
                <w:color w:val="auto"/>
                <w:sz w:val="24"/>
                <w:szCs w:val="24"/>
                <w:lang w:val="en-US" w:eastAsia="zh-CN"/>
              </w:rPr>
              <w:t>参数：</w:t>
            </w:r>
            <w:r>
              <w:rPr>
                <w:rFonts w:hint="eastAsia" w:ascii="宋体" w:hAnsi="宋体" w:eastAsia="宋体" w:cs="宋体"/>
                <w:b w:val="0"/>
                <w:bCs w:val="0"/>
                <w:color w:val="auto"/>
                <w:sz w:val="24"/>
                <w:szCs w:val="24"/>
                <w:lang w:val="en-US" w:eastAsia="zh-CN"/>
              </w:rPr>
              <w:t>φ</w:t>
            </w:r>
            <w:r>
              <w:rPr>
                <w:rFonts w:hint="eastAsia" w:ascii="宋体" w:hAnsi="宋体" w:cs="宋体"/>
                <w:b w:val="0"/>
                <w:bCs w:val="0"/>
                <w:color w:val="auto"/>
                <w:sz w:val="24"/>
                <w:szCs w:val="24"/>
                <w:lang w:val="en-US" w:eastAsia="zh-CN"/>
              </w:rPr>
              <w:t>300</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180</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3920</w:t>
            </w:r>
            <w:r>
              <w:rPr>
                <w:rFonts w:hint="eastAsia" w:ascii="宋体" w:hAnsi="宋体" w:eastAsia="宋体" w:cs="宋体"/>
                <w:b w:val="0"/>
                <w:bCs w:val="0"/>
                <w:color w:val="auto"/>
                <w:sz w:val="24"/>
                <w:szCs w:val="24"/>
                <w:lang w:val="en-US" w:eastAsia="zh-CN"/>
              </w:rPr>
              <w:t>（mm）</w:t>
            </w:r>
            <w:r>
              <w:rPr>
                <w:rFonts w:hint="eastAsia" w:ascii="宋体" w:hAnsi="宋体" w:cs="宋体"/>
                <w:b w:val="0"/>
                <w:bCs w:val="0"/>
                <w:color w:val="auto"/>
                <w:sz w:val="24"/>
                <w:szCs w:val="24"/>
                <w:lang w:val="en-US" w:eastAsia="zh-CN"/>
              </w:rPr>
              <w:t>（±2mm）</w:t>
            </w:r>
          </w:p>
        </w:tc>
        <w:tc>
          <w:tcPr>
            <w:tcW w:w="720" w:type="dxa"/>
            <w:tcBorders>
              <w:left w:val="single" w:color="auto" w:sz="4" w:space="0"/>
              <w:right w:val="single" w:color="auto" w:sz="4" w:space="0"/>
            </w:tcBorders>
            <w:noWrap w:val="0"/>
            <w:vAlign w:val="center"/>
          </w:tcPr>
          <w:p w14:paraId="1EC41550">
            <w:pPr>
              <w:keepNext w:val="0"/>
              <w:keepLines w:val="0"/>
              <w:pageBreakBefore w:val="0"/>
              <w:widowControl/>
              <w:kinsoku/>
              <w:wordWrap/>
              <w:topLinePunct w:val="0"/>
              <w:bidi w:val="0"/>
              <w:adjustRightInd/>
              <w:snapToGrid/>
              <w:spacing w:line="312" w:lineRule="auto"/>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套</w:t>
            </w:r>
          </w:p>
        </w:tc>
        <w:tc>
          <w:tcPr>
            <w:tcW w:w="847" w:type="dxa"/>
            <w:tcBorders>
              <w:left w:val="single" w:color="auto" w:sz="4" w:space="0"/>
              <w:right w:val="single" w:color="auto" w:sz="4" w:space="0"/>
            </w:tcBorders>
            <w:noWrap w:val="0"/>
            <w:vAlign w:val="center"/>
          </w:tcPr>
          <w:p w14:paraId="0DAF4A7D">
            <w:pPr>
              <w:keepNext w:val="0"/>
              <w:keepLines w:val="0"/>
              <w:pageBreakBefore w:val="0"/>
              <w:widowControl/>
              <w:kinsoku/>
              <w:wordWrap/>
              <w:topLinePunct w:val="0"/>
              <w:bidi w:val="0"/>
              <w:adjustRightInd/>
              <w:snapToGrid/>
              <w:spacing w:line="312" w:lineRule="auto"/>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p>
        </w:tc>
      </w:tr>
      <w:tr w14:paraId="12AA3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4E00D484">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c>
          <w:tcPr>
            <w:tcW w:w="1291" w:type="dxa"/>
            <w:tcBorders>
              <w:left w:val="single" w:color="auto" w:sz="4" w:space="0"/>
            </w:tcBorders>
            <w:noWrap w:val="0"/>
            <w:vAlign w:val="center"/>
          </w:tcPr>
          <w:p w14:paraId="720F25FB">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液压升降油缸</w:t>
            </w:r>
          </w:p>
        </w:tc>
        <w:tc>
          <w:tcPr>
            <w:tcW w:w="5408" w:type="dxa"/>
            <w:tcBorders>
              <w:right w:val="single" w:color="auto" w:sz="4" w:space="0"/>
            </w:tcBorders>
            <w:noWrap w:val="0"/>
            <w:vAlign w:val="center"/>
          </w:tcPr>
          <w:p w14:paraId="77304A76">
            <w:pPr>
              <w:pStyle w:val="2"/>
              <w:keepNext w:val="0"/>
              <w:keepLines w:val="0"/>
              <w:pageBreakBefore w:val="0"/>
              <w:numPr>
                <w:ilvl w:val="0"/>
                <w:numId w:val="0"/>
              </w:numPr>
              <w:kinsoku/>
              <w:wordWrap/>
              <w:topLinePunct w:val="0"/>
              <w:bidi w:val="0"/>
              <w:snapToGrid/>
              <w:spacing w:line="312"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液压升降油缸整体更换。</w:t>
            </w:r>
          </w:p>
          <w:p w14:paraId="35E85FA0">
            <w:pPr>
              <w:rPr>
                <w:rFonts w:hint="default" w:ascii="宋体" w:hAnsi="宋体" w:eastAsia="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规格参数</w:t>
            </w:r>
            <w:r>
              <w:rPr>
                <w:rFonts w:hint="eastAsia" w:ascii="宋体" w:hAnsi="宋体" w:cs="宋体"/>
                <w:b w:val="0"/>
                <w:bCs w:val="0"/>
                <w:color w:val="auto"/>
                <w:sz w:val="24"/>
                <w:szCs w:val="24"/>
                <w:highlight w:val="none"/>
                <w:lang w:val="en-US" w:eastAsia="zh-CN"/>
              </w:rPr>
              <w:t>：φ92</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45</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1300mm（±2mm）；</w:t>
            </w:r>
          </w:p>
        </w:tc>
        <w:tc>
          <w:tcPr>
            <w:tcW w:w="720" w:type="dxa"/>
            <w:tcBorders>
              <w:left w:val="single" w:color="auto" w:sz="4" w:space="0"/>
              <w:right w:val="single" w:color="auto" w:sz="4" w:space="0"/>
            </w:tcBorders>
            <w:noWrap w:val="0"/>
            <w:vAlign w:val="center"/>
          </w:tcPr>
          <w:p w14:paraId="491C8FB1">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套</w:t>
            </w:r>
          </w:p>
        </w:tc>
        <w:tc>
          <w:tcPr>
            <w:tcW w:w="847" w:type="dxa"/>
            <w:tcBorders>
              <w:left w:val="single" w:color="auto" w:sz="4" w:space="0"/>
              <w:right w:val="single" w:color="auto" w:sz="4" w:space="0"/>
            </w:tcBorders>
            <w:noWrap w:val="0"/>
            <w:vAlign w:val="center"/>
          </w:tcPr>
          <w:p w14:paraId="312BDCA2">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w:t>
            </w:r>
          </w:p>
        </w:tc>
      </w:tr>
      <w:tr w14:paraId="537EC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40DFC32D">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p>
        </w:tc>
        <w:tc>
          <w:tcPr>
            <w:tcW w:w="1291" w:type="dxa"/>
            <w:tcBorders>
              <w:left w:val="single" w:color="auto" w:sz="4" w:space="0"/>
            </w:tcBorders>
            <w:noWrap w:val="0"/>
            <w:vAlign w:val="center"/>
          </w:tcPr>
          <w:p w14:paraId="2F30AEB1">
            <w:pPr>
              <w:pStyle w:val="2"/>
              <w:keepNext w:val="0"/>
              <w:keepLines w:val="0"/>
              <w:pageBreakBefore w:val="0"/>
              <w:widowControl/>
              <w:numPr>
                <w:ilvl w:val="0"/>
                <w:numId w:val="0"/>
              </w:numPr>
              <w:kinsoku/>
              <w:wordWrap/>
              <w:topLinePunct w:val="0"/>
              <w:bidi w:val="0"/>
              <w:adjustRightInd/>
              <w:snapToGrid/>
              <w:spacing w:line="312" w:lineRule="auto"/>
              <w:jc w:val="both"/>
              <w:rPr>
                <w:rFonts w:hint="default" w:ascii="宋体" w:hAnsi="宋体" w:cs="宋体"/>
                <w:b w:val="0"/>
                <w:bCs w:val="0"/>
                <w:color w:val="auto"/>
                <w:sz w:val="24"/>
                <w:szCs w:val="24"/>
                <w:highlight w:val="none"/>
                <w:lang w:val="en-US" w:eastAsia="zh-CN"/>
              </w:rPr>
            </w:pPr>
            <w:r>
              <w:rPr>
                <w:rFonts w:hint="eastAsia" w:ascii="宋体" w:hAnsi="宋体" w:cs="宋体"/>
                <w:b w:val="0"/>
                <w:bCs/>
                <w:color w:val="auto"/>
                <w:sz w:val="24"/>
                <w:szCs w:val="24"/>
                <w:highlight w:val="none"/>
                <w:lang w:val="en-US" w:eastAsia="zh-CN"/>
              </w:rPr>
              <w:t>钢</w:t>
            </w:r>
            <w:r>
              <w:rPr>
                <w:rFonts w:hint="eastAsia" w:ascii="宋体" w:hAnsi="宋体" w:eastAsia="宋体" w:cs="宋体"/>
                <w:b w:val="0"/>
                <w:bCs/>
                <w:color w:val="auto"/>
                <w:sz w:val="24"/>
                <w:szCs w:val="24"/>
                <w:highlight w:val="none"/>
                <w:lang w:val="en-US" w:eastAsia="zh-CN"/>
              </w:rPr>
              <w:t>铝坦克链总成</w:t>
            </w:r>
          </w:p>
        </w:tc>
        <w:tc>
          <w:tcPr>
            <w:tcW w:w="5408" w:type="dxa"/>
            <w:tcBorders>
              <w:right w:val="single" w:color="auto" w:sz="4" w:space="0"/>
            </w:tcBorders>
            <w:noWrap w:val="0"/>
            <w:vAlign w:val="center"/>
          </w:tcPr>
          <w:p w14:paraId="60C53023">
            <w:pPr>
              <w:pStyle w:val="2"/>
              <w:keepNext w:val="0"/>
              <w:keepLines w:val="0"/>
              <w:pageBreakBefore w:val="0"/>
              <w:numPr>
                <w:ilvl w:val="0"/>
                <w:numId w:val="0"/>
              </w:numPr>
              <w:kinsoku/>
              <w:wordWrap/>
              <w:topLinePunct w:val="0"/>
              <w:bidi w:val="0"/>
              <w:snapToGrid/>
              <w:spacing w:line="312" w:lineRule="auto"/>
              <w:jc w:val="both"/>
              <w:rPr>
                <w:rFonts w:hint="eastAsia" w:ascii="宋体" w:hAnsi="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钢</w:t>
            </w:r>
            <w:r>
              <w:rPr>
                <w:rFonts w:hint="eastAsia" w:ascii="宋体" w:hAnsi="宋体" w:eastAsia="宋体" w:cs="宋体"/>
                <w:b w:val="0"/>
                <w:bCs/>
                <w:color w:val="auto"/>
                <w:sz w:val="24"/>
                <w:szCs w:val="24"/>
                <w:highlight w:val="none"/>
                <w:lang w:val="en-US" w:eastAsia="zh-CN"/>
              </w:rPr>
              <w:t>铝坦克链总成</w:t>
            </w:r>
            <w:r>
              <w:rPr>
                <w:rFonts w:hint="eastAsia" w:ascii="宋体" w:hAnsi="宋体" w:cs="宋体"/>
                <w:b w:val="0"/>
                <w:bCs/>
                <w:color w:val="auto"/>
                <w:sz w:val="24"/>
                <w:szCs w:val="24"/>
                <w:highlight w:val="none"/>
                <w:lang w:val="en-US" w:eastAsia="zh-CN"/>
              </w:rPr>
              <w:t>整体更换</w:t>
            </w:r>
            <w:r>
              <w:rPr>
                <w:rFonts w:hint="eastAsia" w:ascii="宋体" w:hAnsi="宋体" w:cs="宋体"/>
                <w:color w:val="auto"/>
                <w:sz w:val="24"/>
                <w:szCs w:val="24"/>
                <w:highlight w:val="none"/>
                <w:lang w:val="en-US" w:eastAsia="zh-CN"/>
              </w:rPr>
              <w:t>。</w:t>
            </w:r>
          </w:p>
          <w:p w14:paraId="207776A0">
            <w:pPr>
              <w:rPr>
                <w:rFonts w:hint="default"/>
                <w:color w:val="auto"/>
                <w:highlight w:val="none"/>
                <w:lang w:val="en-US" w:eastAsia="zh-CN"/>
              </w:rPr>
            </w:pPr>
            <w:r>
              <w:rPr>
                <w:rFonts w:hint="default" w:ascii="宋体" w:hAnsi="宋体" w:cs="宋体"/>
                <w:b w:val="0"/>
                <w:bCs w:val="0"/>
                <w:color w:val="auto"/>
                <w:sz w:val="24"/>
                <w:szCs w:val="24"/>
                <w:highlight w:val="none"/>
                <w:lang w:val="en-US" w:eastAsia="zh-CN"/>
              </w:rPr>
              <w:t>规格参数</w:t>
            </w: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300</w:t>
            </w: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100</w:t>
            </w: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3500mm（±2mm）</w:t>
            </w:r>
          </w:p>
        </w:tc>
        <w:tc>
          <w:tcPr>
            <w:tcW w:w="720" w:type="dxa"/>
            <w:tcBorders>
              <w:left w:val="single" w:color="auto" w:sz="4" w:space="0"/>
              <w:right w:val="single" w:color="auto" w:sz="4" w:space="0"/>
            </w:tcBorders>
            <w:shd w:val="clear" w:color="auto" w:fill="auto"/>
            <w:noWrap w:val="0"/>
            <w:vAlign w:val="center"/>
          </w:tcPr>
          <w:p w14:paraId="33D46C1A">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套</w:t>
            </w:r>
          </w:p>
        </w:tc>
        <w:tc>
          <w:tcPr>
            <w:tcW w:w="847" w:type="dxa"/>
            <w:tcBorders>
              <w:left w:val="single" w:color="auto" w:sz="4" w:space="0"/>
              <w:right w:val="single" w:color="auto" w:sz="4" w:space="0"/>
            </w:tcBorders>
            <w:shd w:val="clear" w:color="auto" w:fill="auto"/>
            <w:noWrap w:val="0"/>
            <w:vAlign w:val="center"/>
          </w:tcPr>
          <w:p w14:paraId="6798AA0D">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w:t>
            </w:r>
          </w:p>
        </w:tc>
      </w:tr>
      <w:tr w14:paraId="2C209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0AD83D93">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w:t>
            </w:r>
          </w:p>
        </w:tc>
        <w:tc>
          <w:tcPr>
            <w:tcW w:w="1291" w:type="dxa"/>
            <w:tcBorders>
              <w:left w:val="single" w:color="auto" w:sz="4" w:space="0"/>
            </w:tcBorders>
            <w:noWrap w:val="0"/>
            <w:vAlign w:val="center"/>
          </w:tcPr>
          <w:p w14:paraId="309B2FA9">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整机高压管道改造</w:t>
            </w:r>
          </w:p>
        </w:tc>
        <w:tc>
          <w:tcPr>
            <w:tcW w:w="5408" w:type="dxa"/>
            <w:tcBorders>
              <w:right w:val="single" w:color="auto" w:sz="4" w:space="0"/>
            </w:tcBorders>
            <w:noWrap w:val="0"/>
            <w:vAlign w:val="center"/>
          </w:tcPr>
          <w:p w14:paraId="4229DECA">
            <w:pPr>
              <w:pStyle w:val="2"/>
              <w:keepNext w:val="0"/>
              <w:keepLines w:val="0"/>
              <w:pageBreakBefore w:val="0"/>
              <w:numPr>
                <w:ilvl w:val="0"/>
                <w:numId w:val="0"/>
              </w:numPr>
              <w:kinsoku/>
              <w:wordWrap/>
              <w:topLinePunct w:val="0"/>
              <w:bidi w:val="0"/>
              <w:snapToGrid/>
              <w:spacing w:line="312" w:lineRule="auto"/>
              <w:jc w:val="both"/>
              <w:rPr>
                <w:rFonts w:hint="default"/>
                <w:color w:val="auto"/>
                <w:highlight w:val="none"/>
                <w:lang w:val="en-US" w:eastAsia="zh-CN"/>
              </w:rPr>
            </w:pPr>
            <w:r>
              <w:rPr>
                <w:rFonts w:hint="eastAsia" w:ascii="宋体" w:hAnsi="宋体" w:eastAsia="宋体" w:cs="宋体"/>
                <w:b w:val="0"/>
                <w:bCs/>
                <w:color w:val="auto"/>
                <w:sz w:val="24"/>
                <w:szCs w:val="24"/>
                <w:highlight w:val="none"/>
              </w:rPr>
              <w:t>两台整机所有液压管道改造重新铺设，取消地下及明沟布管，采用空中支架管道行走方式，采用高压软管及无缝管衔接方式，要求布局合理美观。规格</w:t>
            </w:r>
            <w:r>
              <w:rPr>
                <w:rFonts w:hint="eastAsia" w:ascii="宋体" w:hAnsi="宋体" w:cs="宋体"/>
                <w:b w:val="0"/>
                <w:bCs/>
                <w:color w:val="auto"/>
                <w:sz w:val="24"/>
                <w:szCs w:val="24"/>
                <w:highlight w:val="none"/>
                <w:lang w:val="en-US" w:eastAsia="zh-CN"/>
              </w:rPr>
              <w:t>参数</w:t>
            </w:r>
            <w:r>
              <w:rPr>
                <w:rFonts w:hint="eastAsia" w:ascii="宋体" w:hAnsi="宋体" w:eastAsia="宋体" w:cs="宋体"/>
                <w:b w:val="0"/>
                <w:bCs/>
                <w:color w:val="auto"/>
                <w:sz w:val="24"/>
                <w:szCs w:val="24"/>
                <w:highlight w:val="none"/>
              </w:rPr>
              <w:t>φ</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8</w:t>
            </w:r>
            <w:r>
              <w:rPr>
                <w:rFonts w:hint="default"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34</w:t>
            </w:r>
            <w:r>
              <w:rPr>
                <w:rFonts w:hint="default"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22/</w:t>
            </w:r>
            <w:r>
              <w:rPr>
                <w:rFonts w:hint="eastAsia" w:ascii="宋体" w:hAnsi="宋体" w:cs="宋体"/>
                <w:b w:val="0"/>
                <w:bCs/>
                <w:color w:val="auto"/>
                <w:sz w:val="24"/>
                <w:szCs w:val="24"/>
                <w:highlight w:val="none"/>
                <w:lang w:val="en-US" w:eastAsia="zh-CN"/>
              </w:rPr>
              <w:t>16</w:t>
            </w:r>
            <w:r>
              <w:rPr>
                <w:rFonts w:hint="eastAsia" w:ascii="宋体" w:hAnsi="宋体" w:eastAsia="宋体" w:cs="宋体"/>
                <w:b w:val="0"/>
                <w:bCs/>
                <w:color w:val="auto"/>
                <w:sz w:val="24"/>
                <w:szCs w:val="24"/>
                <w:highlight w:val="none"/>
                <w:lang w:val="en-US" w:eastAsia="zh-CN"/>
              </w:rPr>
              <w:t>mm（±2mm）</w:t>
            </w:r>
            <w:r>
              <w:rPr>
                <w:rFonts w:hint="eastAsia" w:ascii="宋体" w:hAnsi="宋体" w:cs="宋体"/>
                <w:b w:val="0"/>
                <w:bCs/>
                <w:color w:val="auto"/>
                <w:sz w:val="24"/>
                <w:szCs w:val="24"/>
                <w:highlight w:val="none"/>
                <w:lang w:val="en-US" w:eastAsia="zh-CN"/>
              </w:rPr>
              <w:t>；</w:t>
            </w:r>
          </w:p>
        </w:tc>
        <w:tc>
          <w:tcPr>
            <w:tcW w:w="720" w:type="dxa"/>
            <w:tcBorders>
              <w:left w:val="single" w:color="auto" w:sz="4" w:space="0"/>
              <w:right w:val="single" w:color="auto" w:sz="4" w:space="0"/>
            </w:tcBorders>
            <w:shd w:val="clear" w:color="auto" w:fill="auto"/>
            <w:noWrap w:val="0"/>
            <w:vAlign w:val="center"/>
          </w:tcPr>
          <w:p w14:paraId="4D5EF626">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套</w:t>
            </w:r>
          </w:p>
        </w:tc>
        <w:tc>
          <w:tcPr>
            <w:tcW w:w="847" w:type="dxa"/>
            <w:tcBorders>
              <w:left w:val="single" w:color="auto" w:sz="4" w:space="0"/>
              <w:right w:val="single" w:color="auto" w:sz="4" w:space="0"/>
            </w:tcBorders>
            <w:shd w:val="clear" w:color="auto" w:fill="auto"/>
            <w:noWrap w:val="0"/>
            <w:vAlign w:val="center"/>
          </w:tcPr>
          <w:p w14:paraId="34C65096">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r>
    </w:tbl>
    <w:p w14:paraId="4B3CEA7C">
      <w:pPr>
        <w:pStyle w:val="79"/>
        <w:numPr>
          <w:ilvl w:val="0"/>
          <w:numId w:val="5"/>
        </w:numP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湖西站</w:t>
      </w:r>
    </w:p>
    <w:tbl>
      <w:tblPr>
        <w:tblStyle w:val="62"/>
        <w:tblW w:w="8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1331"/>
        <w:gridCol w:w="5368"/>
        <w:gridCol w:w="720"/>
        <w:gridCol w:w="847"/>
      </w:tblGrid>
      <w:tr w14:paraId="5594F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681" w:type="dxa"/>
            <w:tcBorders>
              <w:right w:val="single" w:color="auto" w:sz="4" w:space="0"/>
            </w:tcBorders>
            <w:noWrap w:val="0"/>
            <w:vAlign w:val="center"/>
          </w:tcPr>
          <w:p w14:paraId="53FA4A57">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331" w:type="dxa"/>
            <w:tcBorders>
              <w:left w:val="single" w:color="auto" w:sz="4" w:space="0"/>
            </w:tcBorders>
            <w:noWrap w:val="0"/>
            <w:vAlign w:val="center"/>
          </w:tcPr>
          <w:p w14:paraId="2AE7B308">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品名</w:t>
            </w:r>
          </w:p>
        </w:tc>
        <w:tc>
          <w:tcPr>
            <w:tcW w:w="5368" w:type="dxa"/>
            <w:tcBorders>
              <w:right w:val="single" w:color="auto" w:sz="4" w:space="0"/>
            </w:tcBorders>
            <w:noWrap w:val="0"/>
            <w:vAlign w:val="center"/>
          </w:tcPr>
          <w:p w14:paraId="3479A004">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参  数</w:t>
            </w:r>
          </w:p>
        </w:tc>
        <w:tc>
          <w:tcPr>
            <w:tcW w:w="720" w:type="dxa"/>
            <w:tcBorders>
              <w:left w:val="single" w:color="auto" w:sz="4" w:space="0"/>
              <w:right w:val="single" w:color="auto" w:sz="4" w:space="0"/>
            </w:tcBorders>
            <w:noWrap w:val="0"/>
            <w:vAlign w:val="center"/>
          </w:tcPr>
          <w:p w14:paraId="524DF848">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p>
        </w:tc>
        <w:tc>
          <w:tcPr>
            <w:tcW w:w="847" w:type="dxa"/>
            <w:tcBorders>
              <w:left w:val="single" w:color="auto" w:sz="4" w:space="0"/>
              <w:right w:val="single" w:color="auto" w:sz="4" w:space="0"/>
            </w:tcBorders>
            <w:noWrap w:val="0"/>
            <w:vAlign w:val="center"/>
          </w:tcPr>
          <w:p w14:paraId="09C6379F">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数量</w:t>
            </w:r>
          </w:p>
        </w:tc>
      </w:tr>
      <w:tr w14:paraId="3C012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4829ABCD">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p>
        </w:tc>
        <w:tc>
          <w:tcPr>
            <w:tcW w:w="1331" w:type="dxa"/>
            <w:tcBorders>
              <w:left w:val="single" w:color="auto" w:sz="4" w:space="0"/>
            </w:tcBorders>
            <w:noWrap w:val="0"/>
            <w:vAlign w:val="center"/>
          </w:tcPr>
          <w:p w14:paraId="34ADB4DA">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同步马达总成</w:t>
            </w:r>
          </w:p>
        </w:tc>
        <w:tc>
          <w:tcPr>
            <w:tcW w:w="5368" w:type="dxa"/>
            <w:tcBorders>
              <w:right w:val="single" w:color="auto" w:sz="4" w:space="0"/>
            </w:tcBorders>
            <w:noWrap w:val="0"/>
            <w:vAlign w:val="center"/>
          </w:tcPr>
          <w:p w14:paraId="3AF37705">
            <w:pPr>
              <w:pStyle w:val="2"/>
              <w:keepNext w:val="0"/>
              <w:keepLines w:val="0"/>
              <w:pageBreakBefore w:val="0"/>
              <w:numPr>
                <w:ilvl w:val="0"/>
                <w:numId w:val="0"/>
              </w:numPr>
              <w:kinsoku/>
              <w:wordWrap/>
              <w:topLinePunct w:val="0"/>
              <w:bidi w:val="0"/>
              <w:snapToGrid/>
              <w:spacing w:line="312" w:lineRule="auto"/>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同步马达总成整体更换。</w:t>
            </w:r>
          </w:p>
          <w:p w14:paraId="694DF626">
            <w:pPr>
              <w:pStyle w:val="2"/>
              <w:keepNext w:val="0"/>
              <w:keepLines w:val="0"/>
              <w:pageBreakBefore w:val="0"/>
              <w:numPr>
                <w:ilvl w:val="0"/>
                <w:numId w:val="0"/>
              </w:numPr>
              <w:kinsoku/>
              <w:wordWrap/>
              <w:topLinePunct w:val="0"/>
              <w:bidi w:val="0"/>
              <w:snapToGrid/>
              <w:spacing w:line="312"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主要</w:t>
            </w:r>
            <w:r>
              <w:rPr>
                <w:rFonts w:hint="default" w:ascii="宋体" w:hAnsi="宋体" w:cs="宋体"/>
                <w:b w:val="0"/>
                <w:bCs w:val="0"/>
                <w:color w:val="auto"/>
                <w:sz w:val="24"/>
                <w:szCs w:val="24"/>
                <w:highlight w:val="none"/>
                <w:lang w:val="en-US" w:eastAsia="zh-CN"/>
              </w:rPr>
              <w:t>规格参数</w:t>
            </w:r>
            <w:r>
              <w:rPr>
                <w:rFonts w:hint="eastAsia" w:ascii="宋体" w:hAnsi="宋体" w:cs="宋体"/>
                <w:b w:val="0"/>
                <w:bCs w:val="0"/>
                <w:color w:val="auto"/>
                <w:sz w:val="24"/>
                <w:szCs w:val="24"/>
                <w:highlight w:val="none"/>
                <w:lang w:val="en-US" w:eastAsia="zh-CN"/>
              </w:rPr>
              <w:t>：350-65</w:t>
            </w:r>
          </w:p>
        </w:tc>
        <w:tc>
          <w:tcPr>
            <w:tcW w:w="720" w:type="dxa"/>
            <w:tcBorders>
              <w:left w:val="single" w:color="auto" w:sz="4" w:space="0"/>
              <w:right w:val="single" w:color="auto" w:sz="4" w:space="0"/>
            </w:tcBorders>
            <w:noWrap w:val="0"/>
            <w:vAlign w:val="center"/>
          </w:tcPr>
          <w:p w14:paraId="0CB6144E">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套</w:t>
            </w:r>
          </w:p>
        </w:tc>
        <w:tc>
          <w:tcPr>
            <w:tcW w:w="847" w:type="dxa"/>
            <w:tcBorders>
              <w:left w:val="single" w:color="auto" w:sz="4" w:space="0"/>
              <w:right w:val="single" w:color="auto" w:sz="4" w:space="0"/>
            </w:tcBorders>
            <w:noWrap w:val="0"/>
            <w:vAlign w:val="center"/>
          </w:tcPr>
          <w:p w14:paraId="7434DE5B">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r>
      <w:tr w14:paraId="42BAC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1" w:type="dxa"/>
            <w:tcBorders>
              <w:right w:val="single" w:color="auto" w:sz="4" w:space="0"/>
            </w:tcBorders>
            <w:noWrap w:val="0"/>
            <w:vAlign w:val="center"/>
          </w:tcPr>
          <w:p w14:paraId="1C223076">
            <w:pPr>
              <w:keepNext w:val="0"/>
              <w:keepLines w:val="0"/>
              <w:pageBreakBefore w:val="0"/>
              <w:widowControl/>
              <w:kinsoku/>
              <w:wordWrap/>
              <w:topLinePunct w:val="0"/>
              <w:bidi w:val="0"/>
              <w:adjustRightInd/>
              <w:snapToGrid/>
              <w:spacing w:line="312"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c>
          <w:tcPr>
            <w:tcW w:w="1331" w:type="dxa"/>
            <w:tcBorders>
              <w:left w:val="single" w:color="auto" w:sz="4" w:space="0"/>
            </w:tcBorders>
            <w:shd w:val="clear" w:color="auto" w:fill="auto"/>
            <w:noWrap w:val="0"/>
            <w:vAlign w:val="center"/>
          </w:tcPr>
          <w:p w14:paraId="22B0323D">
            <w:pPr>
              <w:keepNext w:val="0"/>
              <w:keepLines w:val="0"/>
              <w:pageBreakBefore w:val="0"/>
              <w:widowControl/>
              <w:kinsoku/>
              <w:wordWrap/>
              <w:topLinePunct w:val="0"/>
              <w:bidi w:val="0"/>
              <w:adjustRightInd/>
              <w:snapToGrid/>
              <w:spacing w:line="312" w:lineRule="auto"/>
              <w:jc w:val="center"/>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整机高压管道改造</w:t>
            </w:r>
          </w:p>
        </w:tc>
        <w:tc>
          <w:tcPr>
            <w:tcW w:w="5368" w:type="dxa"/>
            <w:tcBorders>
              <w:right w:val="single" w:color="auto" w:sz="4" w:space="0"/>
            </w:tcBorders>
            <w:shd w:val="clear" w:color="auto" w:fill="auto"/>
            <w:noWrap w:val="0"/>
            <w:vAlign w:val="center"/>
          </w:tcPr>
          <w:p w14:paraId="30F427CB">
            <w:pPr>
              <w:pStyle w:val="2"/>
              <w:keepNext w:val="0"/>
              <w:keepLines w:val="0"/>
              <w:pageBreakBefore w:val="0"/>
              <w:numPr>
                <w:ilvl w:val="0"/>
                <w:numId w:val="0"/>
              </w:numPr>
              <w:kinsoku/>
              <w:wordWrap/>
              <w:topLinePunct w:val="0"/>
              <w:bidi w:val="0"/>
              <w:snapToGrid/>
              <w:spacing w:line="312" w:lineRule="auto"/>
              <w:jc w:val="both"/>
              <w:rPr>
                <w:rFonts w:hint="default" w:ascii="Times New Roman" w:hAnsi="Times New Roman" w:eastAsia="宋体" w:cs="Times New Roman"/>
                <w:b/>
                <w:color w:val="auto"/>
                <w:kern w:val="0"/>
                <w:sz w:val="24"/>
                <w:szCs w:val="20"/>
                <w:highlight w:val="none"/>
                <w:lang w:val="en-US" w:eastAsia="zh-CN" w:bidi="ar-SA"/>
              </w:rPr>
            </w:pPr>
            <w:r>
              <w:rPr>
                <w:rFonts w:hint="eastAsia" w:ascii="宋体" w:hAnsi="宋体" w:eastAsia="宋体" w:cs="宋体"/>
                <w:b w:val="0"/>
                <w:bCs/>
                <w:color w:val="auto"/>
                <w:sz w:val="24"/>
                <w:szCs w:val="24"/>
                <w:highlight w:val="none"/>
              </w:rPr>
              <w:t>两台整机所有液压管道改造重新铺设，取消地下及明沟布管，采用空中支架管道行走方式，采用高压软管及无缝管衔接方式，要求布局合理美观。规格</w:t>
            </w:r>
            <w:r>
              <w:rPr>
                <w:rFonts w:hint="eastAsia" w:ascii="宋体" w:hAnsi="宋体" w:cs="宋体"/>
                <w:b w:val="0"/>
                <w:bCs/>
                <w:color w:val="auto"/>
                <w:sz w:val="24"/>
                <w:szCs w:val="24"/>
                <w:highlight w:val="none"/>
                <w:lang w:val="en-US" w:eastAsia="zh-CN"/>
              </w:rPr>
              <w:t>参数</w:t>
            </w:r>
            <w:r>
              <w:rPr>
                <w:rFonts w:hint="eastAsia" w:ascii="宋体" w:hAnsi="宋体" w:eastAsia="宋体" w:cs="宋体"/>
                <w:b w:val="0"/>
                <w:bCs/>
                <w:color w:val="auto"/>
                <w:sz w:val="24"/>
                <w:szCs w:val="24"/>
                <w:highlight w:val="none"/>
              </w:rPr>
              <w:t>φ</w:t>
            </w:r>
            <w:r>
              <w:rPr>
                <w:rFonts w:hint="eastAsia" w:ascii="宋体" w:hAnsi="宋体" w:eastAsia="宋体" w:cs="宋体"/>
                <w:b w:val="0"/>
                <w:bCs/>
                <w:color w:val="auto"/>
                <w:sz w:val="24"/>
                <w:szCs w:val="24"/>
                <w:highlight w:val="none"/>
                <w:lang w:val="en-US" w:eastAsia="zh-CN"/>
              </w:rPr>
              <w:t>56/</w:t>
            </w:r>
            <w:r>
              <w:rPr>
                <w:rFonts w:hint="eastAsia" w:ascii="宋体" w:hAnsi="宋体" w:cs="宋体"/>
                <w:b w:val="0"/>
                <w:bCs/>
                <w:color w:val="auto"/>
                <w:sz w:val="24"/>
                <w:szCs w:val="24"/>
                <w:highlight w:val="none"/>
                <w:lang w:val="en-US" w:eastAsia="zh-CN"/>
              </w:rPr>
              <w:t>48</w:t>
            </w:r>
            <w:r>
              <w:rPr>
                <w:rFonts w:hint="default" w:ascii="宋体" w:hAnsi="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34/27</w:t>
            </w:r>
            <w:r>
              <w:rPr>
                <w:rFonts w:hint="eastAsia" w:ascii="宋体" w:hAnsi="宋体" w:eastAsia="宋体" w:cs="宋体"/>
                <w:b w:val="0"/>
                <w:bCs/>
                <w:color w:val="auto"/>
                <w:sz w:val="24"/>
                <w:szCs w:val="24"/>
                <w:highlight w:val="none"/>
                <w:lang w:val="en-US" w:eastAsia="zh-CN"/>
              </w:rPr>
              <w:t>mm（±2mm）</w:t>
            </w:r>
            <w:r>
              <w:rPr>
                <w:rFonts w:hint="eastAsia" w:ascii="宋体" w:hAnsi="宋体" w:cs="宋体"/>
                <w:b w:val="0"/>
                <w:bCs/>
                <w:color w:val="auto"/>
                <w:sz w:val="24"/>
                <w:szCs w:val="24"/>
                <w:highlight w:val="none"/>
                <w:lang w:val="en-US" w:eastAsia="zh-CN"/>
              </w:rPr>
              <w:t>；</w:t>
            </w:r>
          </w:p>
        </w:tc>
        <w:tc>
          <w:tcPr>
            <w:tcW w:w="720" w:type="dxa"/>
            <w:tcBorders>
              <w:left w:val="single" w:color="auto" w:sz="4" w:space="0"/>
              <w:right w:val="single" w:color="auto" w:sz="4" w:space="0"/>
            </w:tcBorders>
            <w:shd w:val="clear" w:color="auto" w:fill="auto"/>
            <w:noWrap w:val="0"/>
            <w:vAlign w:val="center"/>
          </w:tcPr>
          <w:p w14:paraId="3169F03D">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套</w:t>
            </w:r>
          </w:p>
        </w:tc>
        <w:tc>
          <w:tcPr>
            <w:tcW w:w="847" w:type="dxa"/>
            <w:tcBorders>
              <w:left w:val="single" w:color="auto" w:sz="4" w:space="0"/>
              <w:right w:val="single" w:color="auto" w:sz="4" w:space="0"/>
            </w:tcBorders>
            <w:shd w:val="clear" w:color="auto" w:fill="auto"/>
            <w:noWrap w:val="0"/>
            <w:vAlign w:val="center"/>
          </w:tcPr>
          <w:p w14:paraId="475B0494">
            <w:pPr>
              <w:keepNext w:val="0"/>
              <w:keepLines w:val="0"/>
              <w:pageBreakBefore w:val="0"/>
              <w:widowControl/>
              <w:kinsoku/>
              <w:wordWrap/>
              <w:topLinePunct w:val="0"/>
              <w:bidi w:val="0"/>
              <w:adjustRightInd/>
              <w:snapToGrid/>
              <w:spacing w:line="312"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2</w:t>
            </w:r>
          </w:p>
        </w:tc>
      </w:tr>
    </w:tbl>
    <w:p w14:paraId="42F06A8E">
      <w:pPr>
        <w:widowControl w:val="0"/>
        <w:numPr>
          <w:ilvl w:val="0"/>
          <w:numId w:val="0"/>
        </w:numPr>
        <w:spacing w:before="60" w:beforeLines="25" w:after="60" w:afterLines="25" w:line="360" w:lineRule="auto"/>
        <w:jc w:val="left"/>
        <w:rPr>
          <w:rFonts w:hint="eastAsia" w:ascii="宋体" w:hAnsi="宋体" w:cs="宋体"/>
          <w:b/>
          <w:bCs/>
          <w:color w:val="auto"/>
          <w:kern w:val="2"/>
          <w:sz w:val="24"/>
          <w:szCs w:val="24"/>
          <w:highlight w:val="none"/>
          <w:lang w:val="en-US" w:eastAsia="zh-CN" w:bidi="ar-SA"/>
        </w:rPr>
      </w:pPr>
      <w:r>
        <w:rPr>
          <w:rFonts w:hint="eastAsia" w:ascii="宋体" w:hAnsi="宋体" w:cs="宋体"/>
          <w:b w:val="0"/>
          <w:bCs w:val="0"/>
          <w:color w:val="auto"/>
          <w:kern w:val="2"/>
          <w:sz w:val="24"/>
          <w:szCs w:val="24"/>
          <w:lang w:val="en-US" w:eastAsia="zh-CN" w:bidi="ar-SA"/>
        </w:rPr>
        <w:t>（十二）</w:t>
      </w:r>
      <w:r>
        <w:rPr>
          <w:rFonts w:hint="eastAsia" w:ascii="宋体" w:hAnsi="宋体" w:eastAsia="宋体" w:cs="宋体"/>
          <w:b w:val="0"/>
          <w:bCs w:val="0"/>
          <w:color w:val="auto"/>
          <w:kern w:val="2"/>
          <w:sz w:val="24"/>
          <w:szCs w:val="24"/>
          <w:lang w:val="en-US" w:eastAsia="zh-CN" w:bidi="ar-SA"/>
        </w:rPr>
        <w:t>中转站基坑等基础设施维修工作内容（详见附件工程量清单）</w:t>
      </w:r>
    </w:p>
    <w:p w14:paraId="1B903337">
      <w:pPr>
        <w:keepNext w:val="0"/>
        <w:keepLines w:val="0"/>
        <w:pageBreakBefore w:val="0"/>
        <w:widowControl w:val="0"/>
        <w:kinsoku/>
        <w:wordWrap/>
        <w:overflowPunct/>
        <w:topLinePunct w:val="0"/>
        <w:autoSpaceDE/>
        <w:autoSpaceDN/>
        <w:bidi w:val="0"/>
        <w:adjustRightInd/>
        <w:snapToGrid/>
        <w:spacing w:line="336" w:lineRule="auto"/>
        <w:ind w:left="0" w:firstLine="0"/>
        <w:jc w:val="both"/>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en-US" w:eastAsia="zh-CN" w:bidi="ar-SA"/>
        </w:rPr>
        <w:t>、生产能力、制造工艺、技术水平等要求</w:t>
      </w:r>
    </w:p>
    <w:p w14:paraId="0129F93B">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1、产品制造商需具备相应的生产设备，符合本项目采购需求。</w:t>
      </w:r>
    </w:p>
    <w:p w14:paraId="6466A6C0">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2、投标文件中须提供设备生产工艺流程，并对流程内容加以说明。</w:t>
      </w:r>
    </w:p>
    <w:p w14:paraId="771C7A0A">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kern w:val="2"/>
          <w:sz w:val="24"/>
          <w:szCs w:val="24"/>
          <w:highlight w:val="none"/>
        </w:rPr>
        <w:t>3、需具备科学全面的质量控制办法，保障设备质量安全性。</w:t>
      </w:r>
    </w:p>
    <w:p w14:paraId="3BD8B411">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五</w:t>
      </w:r>
      <w:r>
        <w:rPr>
          <w:rFonts w:hint="eastAsia" w:ascii="宋体" w:hAnsi="宋体" w:eastAsia="宋体" w:cs="宋体"/>
          <w:b/>
          <w:bCs/>
          <w:color w:val="auto"/>
          <w:kern w:val="2"/>
          <w:sz w:val="24"/>
          <w:szCs w:val="24"/>
          <w:highlight w:val="none"/>
          <w:lang w:val="en-US" w:eastAsia="zh-CN"/>
        </w:rPr>
        <w:t>、投标要求</w:t>
      </w:r>
    </w:p>
    <w:p w14:paraId="2125187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对质保期内的保养须提出切实且不低于设备正常保养要求的具体方案和计划，一旦中标，严格按计划实施。</w:t>
      </w:r>
    </w:p>
    <w:p w14:paraId="11855D8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应定期回访检查实际使用和维护情况，向采购单位提出存在的问题和整改意见，并帮助整改和维护，需要维修的及时予以维修。要求自设备最终验收合格、交付使用之日后一年内，</w:t>
      </w: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每六个月派出至少一名有经验的技术人员到采购单位进行回访检查。售后维护和回访工作，</w:t>
      </w: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须按此要求或更优于此的要求做出承诺，其费用由</w:t>
      </w: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负担，包含在投标总价中。</w:t>
      </w:r>
    </w:p>
    <w:p w14:paraId="6B674F4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3、在质保期结束时，须由专业技术人员对设备进行一次全方位测试，任何故障须由中标人自费解决并取得采购人的同意。</w:t>
      </w:r>
    </w:p>
    <w:p w14:paraId="66AEB251">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4、设备故障维修完成后，中标人需提供一式两份报告给采购人，包括故障原因，解决措施，完成修理所费时间及恢复正常运行日期。</w:t>
      </w:r>
    </w:p>
    <w:p w14:paraId="121EE2C7">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5、中标人须提供足够的备件、附件和易损件并保证是原厂生产的产品，以满足设备正常运行的需要。</w:t>
      </w:r>
    </w:p>
    <w:p w14:paraId="23E4B7F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6、质保期内免费更换的零部件质量保证：自更换之日起不少于12个月。</w:t>
      </w:r>
    </w:p>
    <w:p w14:paraId="604732A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7、质保期内出现一般质量问题的，每出现一次质保期顺延3个月；出现严重质量问题的，每出现一次质保期顺延6个月。</w:t>
      </w:r>
    </w:p>
    <w:p w14:paraId="3914846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8、质保期内出现需要维修、更换设备等所有质量问题的，</w:t>
      </w:r>
      <w:r>
        <w:rPr>
          <w:rFonts w:hint="eastAsia" w:ascii="宋体" w:hAnsi="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lang w:val="en-US" w:eastAsia="zh-CN"/>
        </w:rPr>
        <w:t>每通知一次，</w:t>
      </w: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3天内未到现场的每出现一次扣除履约保证金1000元，7天内未到现场的扣除全部履约保证金并有权无条件解除合同。</w:t>
      </w:r>
    </w:p>
    <w:p w14:paraId="2229BDF1">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w:t>
      </w:r>
      <w:r>
        <w:rPr>
          <w:rFonts w:hint="eastAsia" w:ascii="宋体" w:hAnsi="宋体" w:cs="宋体"/>
          <w:color w:val="auto"/>
          <w:kern w:val="2"/>
          <w:sz w:val="24"/>
          <w:szCs w:val="24"/>
          <w:highlight w:val="none"/>
          <w:lang w:val="en-US" w:eastAsia="zh-CN"/>
        </w:rPr>
        <w:t>中标人</w:t>
      </w:r>
      <w:r>
        <w:rPr>
          <w:rFonts w:hint="eastAsia" w:ascii="宋体" w:hAnsi="宋体" w:eastAsia="宋体" w:cs="宋体"/>
          <w:color w:val="auto"/>
          <w:kern w:val="2"/>
          <w:sz w:val="24"/>
          <w:szCs w:val="24"/>
          <w:highlight w:val="none"/>
          <w:lang w:val="en-US" w:eastAsia="zh-CN"/>
        </w:rPr>
        <w:t>提供的货物在质量保证期内因货物本身的质量问题发生故障，中标人应负责免费更换。对达不到技术要求者，根据实际情况，经双方协商，可按以下办法处理：</w:t>
      </w:r>
    </w:p>
    <w:p w14:paraId="1E2F65C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（1）更换：由中标人承担所发生的全部费用。</w:t>
      </w:r>
    </w:p>
    <w:p w14:paraId="26E3942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（2）贬值处理：由双方合议定价。</w:t>
      </w:r>
    </w:p>
    <w:p w14:paraId="6050983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（3）退货处理：中标人应退还</w:t>
      </w:r>
      <w:r>
        <w:rPr>
          <w:rFonts w:hint="eastAsia" w:ascii="宋体" w:hAnsi="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lang w:val="en-US" w:eastAsia="zh-CN"/>
        </w:rPr>
        <w:t>支付的合同款，同时应承担该货物的直接费用（运输、保险、检验、货款利息及银行手续费等）。</w:t>
      </w:r>
    </w:p>
    <w:p w14:paraId="5818E3B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10、检验和维修设备及工具</w:t>
      </w:r>
    </w:p>
    <w:p w14:paraId="4248415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（1）须提供足够的常用检修设备。推荐的检修设备须在投标文件中说明。这些设备及工具不能在安装时使用。</w:t>
      </w:r>
    </w:p>
    <w:p w14:paraId="06334E7C">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（2）所有测试需要的附件、零部件和中文操作维修手册应与检修设备一并提供。</w:t>
      </w:r>
    </w:p>
    <w:p w14:paraId="5A3E7881">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w:t>
      </w: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须提供应急维修方案及相关的售后服务承诺。</w:t>
      </w:r>
    </w:p>
    <w:p w14:paraId="1D729F1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12、</w:t>
      </w: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须对采购人的技术人员、维修人员及操作人员进行理论及实际操作培训，直至掌握为止。</w:t>
      </w:r>
    </w:p>
    <w:p w14:paraId="3971CB42">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w:t>
      </w: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须在响应文件中提供详细的培训方案，包括负责培训的人员、培训内容、培训时间、培训费用等。</w:t>
      </w:r>
    </w:p>
    <w:p w14:paraId="7EFF15E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w:t>
      </w: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根据招标文件和项目勘踏情况综合报价，凡影响投标报价的所有相关费用应列入本次报价中。</w:t>
      </w:r>
    </w:p>
    <w:p w14:paraId="1F114D51">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cs="宋体"/>
          <w:b/>
          <w:bCs/>
          <w:color w:val="auto"/>
          <w:kern w:val="2"/>
          <w:sz w:val="24"/>
          <w:szCs w:val="24"/>
          <w:highlight w:val="none"/>
          <w:lang w:val="en-US" w:eastAsia="zh-CN"/>
        </w:rPr>
      </w:pPr>
    </w:p>
    <w:p w14:paraId="2ED2406D">
      <w:pPr>
        <w:kinsoku/>
        <w:wordWrap/>
        <w:overflowPunct/>
        <w:topLinePunct w:val="0"/>
        <w:bidi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bookmarkStart w:id="34" w:name="_Toc18651"/>
      <w:r>
        <w:rPr>
          <w:rFonts w:hint="eastAsia" w:ascii="宋体" w:hAnsi="宋体" w:cs="宋体"/>
          <w:b/>
          <w:color w:val="auto"/>
          <w:sz w:val="36"/>
          <w:szCs w:val="36"/>
          <w:highlight w:val="none"/>
        </w:rPr>
        <w:t xml:space="preserve">第四部分   </w:t>
      </w:r>
      <w:bookmarkStart w:id="35" w:name="_Toc184308101"/>
      <w:bookmarkEnd w:id="35"/>
      <w:bookmarkStart w:id="36" w:name="_Toc184313297"/>
      <w:bookmarkEnd w:id="36"/>
      <w:bookmarkStart w:id="37" w:name="_Toc184314438"/>
      <w:bookmarkEnd w:id="37"/>
      <w:bookmarkStart w:id="38" w:name="_Toc184313262"/>
      <w:bookmarkEnd w:id="38"/>
      <w:bookmarkStart w:id="39" w:name="_Toc184314424"/>
      <w:bookmarkEnd w:id="39"/>
      <w:bookmarkStart w:id="40" w:name="_Toc184308052"/>
      <w:bookmarkEnd w:id="40"/>
      <w:bookmarkStart w:id="41" w:name="_Toc184314475"/>
      <w:bookmarkEnd w:id="41"/>
      <w:bookmarkStart w:id="42" w:name="_Toc184312119"/>
      <w:bookmarkEnd w:id="42"/>
      <w:bookmarkStart w:id="43" w:name="_Toc184308070"/>
      <w:bookmarkEnd w:id="43"/>
      <w:bookmarkStart w:id="44" w:name="_Toc184314474"/>
      <w:bookmarkEnd w:id="44"/>
      <w:bookmarkStart w:id="45" w:name="_Toc184314414"/>
      <w:bookmarkEnd w:id="45"/>
      <w:bookmarkStart w:id="46" w:name="_Toc184310279"/>
      <w:bookmarkEnd w:id="46"/>
      <w:bookmarkStart w:id="47" w:name="_Toc184312109"/>
      <w:bookmarkEnd w:id="47"/>
      <w:bookmarkStart w:id="48" w:name="_Toc184308047"/>
      <w:bookmarkEnd w:id="48"/>
      <w:bookmarkStart w:id="49" w:name="_Toc184308065"/>
      <w:bookmarkEnd w:id="49"/>
      <w:bookmarkStart w:id="50" w:name="_Toc184312136"/>
      <w:bookmarkEnd w:id="50"/>
      <w:bookmarkStart w:id="51" w:name="_Toc184312069"/>
      <w:bookmarkEnd w:id="51"/>
      <w:bookmarkStart w:id="52" w:name="_Toc184313253"/>
      <w:bookmarkEnd w:id="52"/>
      <w:bookmarkStart w:id="53" w:name="_Toc184312087"/>
      <w:bookmarkEnd w:id="53"/>
      <w:bookmarkStart w:id="54" w:name="_Toc184313249"/>
      <w:bookmarkEnd w:id="54"/>
      <w:bookmarkStart w:id="55" w:name="_Toc184312083"/>
      <w:bookmarkEnd w:id="55"/>
      <w:bookmarkStart w:id="56" w:name="_Toc184313287"/>
      <w:bookmarkEnd w:id="56"/>
      <w:bookmarkStart w:id="57" w:name="_Toc184313258"/>
      <w:bookmarkEnd w:id="57"/>
      <w:bookmarkStart w:id="58" w:name="_Toc184310324"/>
      <w:bookmarkEnd w:id="58"/>
      <w:bookmarkStart w:id="59" w:name="_Toc184312102"/>
      <w:bookmarkEnd w:id="59"/>
      <w:bookmarkStart w:id="60" w:name="_Toc184310281"/>
      <w:bookmarkEnd w:id="60"/>
      <w:bookmarkStart w:id="61" w:name="_Toc184310278"/>
      <w:bookmarkEnd w:id="61"/>
      <w:bookmarkStart w:id="62" w:name="_Toc184312133"/>
      <w:bookmarkEnd w:id="62"/>
      <w:bookmarkStart w:id="63" w:name="_Toc184308063"/>
      <w:bookmarkEnd w:id="63"/>
      <w:bookmarkStart w:id="64" w:name="_Toc184314413"/>
      <w:bookmarkEnd w:id="64"/>
      <w:bookmarkStart w:id="65" w:name="_Toc184310323"/>
      <w:bookmarkEnd w:id="65"/>
      <w:bookmarkStart w:id="66" w:name="_Toc184312093"/>
      <w:bookmarkEnd w:id="66"/>
      <w:bookmarkStart w:id="67" w:name="_Toc184308092"/>
      <w:bookmarkEnd w:id="67"/>
      <w:bookmarkStart w:id="68" w:name="_Toc184314439"/>
      <w:bookmarkEnd w:id="68"/>
      <w:bookmarkStart w:id="69" w:name="_Toc184310305"/>
      <w:bookmarkEnd w:id="69"/>
      <w:bookmarkStart w:id="70" w:name="_Toc184308075"/>
      <w:bookmarkEnd w:id="70"/>
      <w:bookmarkStart w:id="71" w:name="_Toc184308078"/>
      <w:bookmarkEnd w:id="71"/>
      <w:bookmarkStart w:id="72" w:name="_Toc184312123"/>
      <w:bookmarkEnd w:id="72"/>
      <w:bookmarkStart w:id="73" w:name="_Toc184310334"/>
      <w:bookmarkEnd w:id="73"/>
      <w:bookmarkStart w:id="74" w:name="_Toc184313267"/>
      <w:bookmarkEnd w:id="74"/>
      <w:bookmarkStart w:id="75" w:name="_Toc184308071"/>
      <w:bookmarkEnd w:id="75"/>
      <w:bookmarkStart w:id="76" w:name="_Toc184310295"/>
      <w:bookmarkEnd w:id="76"/>
      <w:bookmarkStart w:id="77" w:name="_Toc184313269"/>
      <w:bookmarkEnd w:id="77"/>
      <w:bookmarkStart w:id="78" w:name="_Toc184308091"/>
      <w:bookmarkEnd w:id="78"/>
      <w:bookmarkStart w:id="79" w:name="_Toc184310309"/>
      <w:bookmarkEnd w:id="79"/>
      <w:bookmarkStart w:id="80" w:name="_Toc184314452"/>
      <w:bookmarkEnd w:id="80"/>
      <w:bookmarkStart w:id="81" w:name="_Toc184313291"/>
      <w:bookmarkEnd w:id="81"/>
      <w:bookmarkStart w:id="82" w:name="_Toc184314433"/>
      <w:bookmarkEnd w:id="82"/>
      <w:bookmarkStart w:id="83" w:name="_Toc184310325"/>
      <w:bookmarkEnd w:id="83"/>
      <w:bookmarkStart w:id="84" w:name="_Toc184312079"/>
      <w:bookmarkEnd w:id="84"/>
      <w:bookmarkStart w:id="85" w:name="_Toc184314419"/>
      <w:bookmarkEnd w:id="85"/>
      <w:bookmarkStart w:id="86" w:name="_Toc184312138"/>
      <w:bookmarkEnd w:id="86"/>
      <w:bookmarkStart w:id="87" w:name="_Toc184310313"/>
      <w:bookmarkEnd w:id="87"/>
      <w:bookmarkStart w:id="88" w:name="_Toc184313257"/>
      <w:bookmarkEnd w:id="88"/>
      <w:bookmarkStart w:id="89" w:name="_Toc184310288"/>
      <w:bookmarkEnd w:id="89"/>
      <w:bookmarkStart w:id="90" w:name="_Toc184310307"/>
      <w:bookmarkEnd w:id="90"/>
      <w:bookmarkStart w:id="91" w:name="_Toc184308088"/>
      <w:bookmarkEnd w:id="91"/>
      <w:bookmarkStart w:id="92" w:name="_Toc184310292"/>
      <w:bookmarkEnd w:id="92"/>
      <w:bookmarkStart w:id="93" w:name="_Toc184314426"/>
      <w:bookmarkEnd w:id="93"/>
      <w:bookmarkStart w:id="94" w:name="_Toc184312068"/>
      <w:bookmarkEnd w:id="94"/>
      <w:bookmarkStart w:id="95" w:name="_Toc184312134"/>
      <w:bookmarkEnd w:id="95"/>
      <w:bookmarkStart w:id="96" w:name="_Toc184308099"/>
      <w:bookmarkEnd w:id="96"/>
      <w:bookmarkStart w:id="97" w:name="_Toc184308042"/>
      <w:bookmarkEnd w:id="97"/>
      <w:bookmarkStart w:id="98" w:name="_Toc184308076"/>
      <w:bookmarkEnd w:id="98"/>
      <w:bookmarkStart w:id="99" w:name="_Toc184312122"/>
      <w:bookmarkEnd w:id="99"/>
      <w:bookmarkStart w:id="100" w:name="_Toc184312082"/>
      <w:bookmarkEnd w:id="100"/>
      <w:bookmarkStart w:id="101" w:name="_Toc184314473"/>
      <w:bookmarkEnd w:id="101"/>
      <w:bookmarkStart w:id="102" w:name="_Toc184313240"/>
      <w:bookmarkEnd w:id="102"/>
      <w:bookmarkStart w:id="103" w:name="_Toc184313272"/>
      <w:bookmarkEnd w:id="103"/>
      <w:bookmarkStart w:id="104" w:name="_Toc184308046"/>
      <w:bookmarkEnd w:id="104"/>
      <w:bookmarkStart w:id="105" w:name="_Toc184314421"/>
      <w:bookmarkEnd w:id="105"/>
      <w:bookmarkStart w:id="106" w:name="_Toc184313304"/>
      <w:bookmarkEnd w:id="106"/>
      <w:bookmarkStart w:id="107" w:name="_Toc184314457"/>
      <w:bookmarkEnd w:id="107"/>
      <w:bookmarkStart w:id="108" w:name="_Toc184310327"/>
      <w:bookmarkEnd w:id="108"/>
      <w:bookmarkStart w:id="109" w:name="_Toc184313263"/>
      <w:bookmarkEnd w:id="109"/>
      <w:bookmarkStart w:id="110" w:name="_Toc184314415"/>
      <w:bookmarkEnd w:id="110"/>
      <w:bookmarkStart w:id="111" w:name="_Toc184308039"/>
      <w:bookmarkEnd w:id="111"/>
      <w:bookmarkStart w:id="112" w:name="_Toc184308108"/>
      <w:bookmarkEnd w:id="112"/>
      <w:bookmarkStart w:id="113" w:name="_Toc184313283"/>
      <w:bookmarkEnd w:id="113"/>
      <w:bookmarkStart w:id="114" w:name="_Toc184310343"/>
      <w:bookmarkEnd w:id="114"/>
      <w:bookmarkStart w:id="115" w:name="_Toc184313299"/>
      <w:bookmarkEnd w:id="115"/>
      <w:bookmarkStart w:id="116" w:name="_Toc184314429"/>
      <w:bookmarkEnd w:id="116"/>
      <w:bookmarkStart w:id="117" w:name="_Toc184314451"/>
      <w:bookmarkEnd w:id="117"/>
      <w:bookmarkStart w:id="118" w:name="_Toc184310297"/>
      <w:bookmarkEnd w:id="118"/>
      <w:bookmarkStart w:id="119" w:name="_Toc184312078"/>
      <w:bookmarkEnd w:id="119"/>
      <w:bookmarkStart w:id="120" w:name="_Toc184313290"/>
      <w:bookmarkEnd w:id="120"/>
      <w:bookmarkStart w:id="121" w:name="_Toc184312072"/>
      <w:bookmarkEnd w:id="121"/>
      <w:bookmarkStart w:id="122" w:name="_Toc184313294"/>
      <w:bookmarkEnd w:id="122"/>
      <w:bookmarkStart w:id="123" w:name="_Toc184314454"/>
      <w:bookmarkEnd w:id="123"/>
      <w:bookmarkStart w:id="124" w:name="_Toc184308061"/>
      <w:bookmarkEnd w:id="124"/>
      <w:bookmarkStart w:id="125" w:name="_Toc184308056"/>
      <w:bookmarkEnd w:id="125"/>
      <w:bookmarkStart w:id="126" w:name="_Toc184308036"/>
      <w:bookmarkEnd w:id="126"/>
      <w:bookmarkStart w:id="127" w:name="_Toc184308089"/>
      <w:bookmarkEnd w:id="127"/>
      <w:bookmarkStart w:id="128" w:name="_Toc184314435"/>
      <w:bookmarkEnd w:id="128"/>
      <w:bookmarkStart w:id="129" w:name="_Toc184314460"/>
      <w:bookmarkEnd w:id="129"/>
      <w:bookmarkStart w:id="130" w:name="_Toc184313246"/>
      <w:bookmarkEnd w:id="130"/>
      <w:bookmarkStart w:id="131" w:name="_Toc184313295"/>
      <w:bookmarkEnd w:id="131"/>
      <w:bookmarkStart w:id="132" w:name="_Toc184312104"/>
      <w:bookmarkEnd w:id="132"/>
      <w:bookmarkStart w:id="133" w:name="_Toc184314455"/>
      <w:bookmarkEnd w:id="133"/>
      <w:bookmarkStart w:id="134" w:name="_Toc184308045"/>
      <w:bookmarkEnd w:id="134"/>
      <w:bookmarkStart w:id="135" w:name="_Toc184308103"/>
      <w:bookmarkEnd w:id="135"/>
      <w:bookmarkStart w:id="136" w:name="_Toc184314423"/>
      <w:bookmarkEnd w:id="136"/>
      <w:bookmarkStart w:id="137" w:name="_Toc184308100"/>
      <w:bookmarkEnd w:id="137"/>
      <w:bookmarkStart w:id="138" w:name="_Toc184308037"/>
      <w:bookmarkEnd w:id="138"/>
      <w:bookmarkStart w:id="139" w:name="_Toc184314459"/>
      <w:bookmarkEnd w:id="139"/>
      <w:bookmarkStart w:id="140" w:name="_Toc184314476"/>
      <w:bookmarkEnd w:id="140"/>
      <w:bookmarkStart w:id="141" w:name="_Toc184312095"/>
      <w:bookmarkEnd w:id="141"/>
      <w:bookmarkStart w:id="142" w:name="_Toc184310340"/>
      <w:bookmarkEnd w:id="142"/>
      <w:bookmarkStart w:id="143" w:name="_Toc184308097"/>
      <w:bookmarkEnd w:id="143"/>
      <w:bookmarkStart w:id="144" w:name="_Toc184313271"/>
      <w:bookmarkEnd w:id="144"/>
      <w:bookmarkStart w:id="145" w:name="_Toc184313254"/>
      <w:bookmarkEnd w:id="145"/>
      <w:bookmarkStart w:id="146" w:name="_Toc184310330"/>
      <w:bookmarkEnd w:id="146"/>
      <w:bookmarkStart w:id="147" w:name="_Toc184308059"/>
      <w:bookmarkEnd w:id="147"/>
      <w:bookmarkStart w:id="148" w:name="_Toc184310299"/>
      <w:bookmarkEnd w:id="148"/>
      <w:bookmarkStart w:id="149" w:name="_Toc184314432"/>
      <w:bookmarkEnd w:id="149"/>
      <w:bookmarkStart w:id="150" w:name="_Toc184308072"/>
      <w:bookmarkEnd w:id="150"/>
      <w:bookmarkStart w:id="151" w:name="_Toc184314411"/>
      <w:bookmarkEnd w:id="151"/>
      <w:bookmarkStart w:id="152" w:name="_Toc184312084"/>
      <w:bookmarkEnd w:id="152"/>
      <w:bookmarkStart w:id="153" w:name="_Toc184313270"/>
      <w:bookmarkEnd w:id="153"/>
      <w:bookmarkStart w:id="154" w:name="_Toc184308098"/>
      <w:bookmarkEnd w:id="154"/>
      <w:bookmarkStart w:id="155" w:name="_Toc184310335"/>
      <w:bookmarkEnd w:id="155"/>
      <w:bookmarkStart w:id="156" w:name="_Toc184308048"/>
      <w:bookmarkEnd w:id="156"/>
      <w:bookmarkStart w:id="157" w:name="_Toc184312073"/>
      <w:bookmarkEnd w:id="157"/>
      <w:bookmarkStart w:id="158" w:name="_Toc184313266"/>
      <w:bookmarkEnd w:id="158"/>
      <w:bookmarkStart w:id="159" w:name="_Toc184312135"/>
      <w:bookmarkEnd w:id="159"/>
      <w:bookmarkStart w:id="160" w:name="_Toc184313248"/>
      <w:bookmarkEnd w:id="160"/>
      <w:bookmarkStart w:id="161" w:name="_Toc184312118"/>
      <w:bookmarkEnd w:id="161"/>
      <w:bookmarkStart w:id="162" w:name="_Toc184313309"/>
      <w:bookmarkEnd w:id="162"/>
      <w:bookmarkStart w:id="163" w:name="_Toc184312101"/>
      <w:bookmarkEnd w:id="163"/>
      <w:bookmarkStart w:id="164" w:name="_Toc184313286"/>
      <w:bookmarkEnd w:id="164"/>
      <w:bookmarkStart w:id="165" w:name="_Toc184314418"/>
      <w:bookmarkEnd w:id="165"/>
      <w:bookmarkStart w:id="166" w:name="_Toc184312120"/>
      <w:bookmarkEnd w:id="166"/>
      <w:bookmarkStart w:id="167" w:name="_Toc184314412"/>
      <w:bookmarkEnd w:id="167"/>
      <w:bookmarkStart w:id="168" w:name="_Toc184308102"/>
      <w:bookmarkEnd w:id="168"/>
      <w:bookmarkStart w:id="169" w:name="_Toc184310322"/>
      <w:bookmarkEnd w:id="169"/>
      <w:bookmarkStart w:id="170" w:name="_Toc184313273"/>
      <w:bookmarkEnd w:id="170"/>
      <w:bookmarkStart w:id="171" w:name="_Toc184308082"/>
      <w:bookmarkEnd w:id="171"/>
      <w:bookmarkStart w:id="172" w:name="_Toc184312100"/>
      <w:bookmarkEnd w:id="172"/>
      <w:bookmarkStart w:id="173" w:name="_Toc184312097"/>
      <w:bookmarkEnd w:id="173"/>
      <w:bookmarkStart w:id="174" w:name="_Toc184308066"/>
      <w:bookmarkEnd w:id="174"/>
      <w:bookmarkStart w:id="175" w:name="_Toc184308055"/>
      <w:bookmarkEnd w:id="175"/>
      <w:bookmarkStart w:id="176" w:name="_Toc184313275"/>
      <w:bookmarkEnd w:id="176"/>
      <w:bookmarkStart w:id="177" w:name="_Toc184310338"/>
      <w:bookmarkEnd w:id="177"/>
      <w:bookmarkStart w:id="178" w:name="_Toc184313293"/>
      <w:bookmarkEnd w:id="178"/>
      <w:bookmarkStart w:id="179" w:name="_Toc184313245"/>
      <w:bookmarkEnd w:id="179"/>
      <w:bookmarkStart w:id="180" w:name="_Toc184310280"/>
      <w:bookmarkEnd w:id="180"/>
      <w:bookmarkStart w:id="181" w:name="_Toc184313288"/>
      <w:bookmarkEnd w:id="181"/>
      <w:bookmarkStart w:id="182" w:name="_Toc184310283"/>
      <w:bookmarkEnd w:id="182"/>
      <w:bookmarkStart w:id="183" w:name="_Toc184308087"/>
      <w:bookmarkEnd w:id="183"/>
      <w:bookmarkStart w:id="184" w:name="_Toc184314449"/>
      <w:bookmarkEnd w:id="184"/>
      <w:bookmarkStart w:id="185" w:name="_Toc184314444"/>
      <w:bookmarkEnd w:id="185"/>
      <w:bookmarkStart w:id="186" w:name="_Toc184310337"/>
      <w:bookmarkEnd w:id="186"/>
      <w:bookmarkStart w:id="187" w:name="_Toc184308043"/>
      <w:bookmarkEnd w:id="187"/>
      <w:bookmarkStart w:id="188" w:name="_Toc184312096"/>
      <w:bookmarkEnd w:id="188"/>
      <w:bookmarkStart w:id="189" w:name="_Toc184313310"/>
      <w:bookmarkEnd w:id="189"/>
      <w:bookmarkStart w:id="190" w:name="_Toc184314434"/>
      <w:bookmarkEnd w:id="190"/>
      <w:bookmarkStart w:id="191" w:name="_Toc184313307"/>
      <w:bookmarkEnd w:id="191"/>
      <w:bookmarkStart w:id="192" w:name="_Toc184308049"/>
      <w:bookmarkEnd w:id="192"/>
      <w:bookmarkStart w:id="193" w:name="_Toc184313278"/>
      <w:bookmarkEnd w:id="193"/>
      <w:bookmarkStart w:id="194" w:name="_Toc184314467"/>
      <w:bookmarkEnd w:id="194"/>
      <w:bookmarkStart w:id="195" w:name="_Toc184313306"/>
      <w:bookmarkEnd w:id="195"/>
      <w:bookmarkStart w:id="196" w:name="_Toc184314456"/>
      <w:bookmarkEnd w:id="196"/>
      <w:bookmarkStart w:id="197" w:name="_Toc184308064"/>
      <w:bookmarkEnd w:id="197"/>
      <w:bookmarkStart w:id="198" w:name="_Toc184313259"/>
      <w:bookmarkEnd w:id="198"/>
      <w:bookmarkStart w:id="199" w:name="_Toc184314464"/>
      <w:bookmarkEnd w:id="199"/>
      <w:bookmarkStart w:id="200" w:name="_Toc184314443"/>
      <w:bookmarkEnd w:id="200"/>
      <w:bookmarkStart w:id="201" w:name="_Toc184313256"/>
      <w:bookmarkEnd w:id="201"/>
      <w:bookmarkStart w:id="202" w:name="_Toc184310272"/>
      <w:bookmarkEnd w:id="202"/>
      <w:bookmarkStart w:id="203" w:name="_Toc184314436"/>
      <w:bookmarkEnd w:id="203"/>
      <w:bookmarkStart w:id="204" w:name="_Toc184310314"/>
      <w:bookmarkEnd w:id="204"/>
      <w:bookmarkStart w:id="205" w:name="_Toc184308074"/>
      <w:bookmarkEnd w:id="205"/>
      <w:bookmarkStart w:id="206" w:name="_Toc184312112"/>
      <w:bookmarkEnd w:id="206"/>
      <w:bookmarkStart w:id="207" w:name="_Toc184312091"/>
      <w:bookmarkEnd w:id="207"/>
      <w:bookmarkStart w:id="208" w:name="_Toc184314458"/>
      <w:bookmarkEnd w:id="208"/>
      <w:bookmarkStart w:id="209" w:name="_Toc184313298"/>
      <w:bookmarkEnd w:id="209"/>
      <w:bookmarkStart w:id="210" w:name="_Toc184312086"/>
      <w:bookmarkEnd w:id="210"/>
      <w:bookmarkStart w:id="211" w:name="_Toc184314447"/>
      <w:bookmarkEnd w:id="211"/>
      <w:bookmarkStart w:id="212" w:name="_Toc184310333"/>
      <w:bookmarkEnd w:id="212"/>
      <w:bookmarkStart w:id="213" w:name="_Toc184312075"/>
      <w:bookmarkEnd w:id="213"/>
      <w:bookmarkStart w:id="214" w:name="_Toc184313280"/>
      <w:bookmarkEnd w:id="214"/>
      <w:bookmarkStart w:id="215" w:name="_Toc184310300"/>
      <w:bookmarkEnd w:id="215"/>
      <w:bookmarkStart w:id="216" w:name="_Toc184308050"/>
      <w:bookmarkEnd w:id="216"/>
      <w:bookmarkStart w:id="217" w:name="_Toc184312125"/>
      <w:bookmarkEnd w:id="217"/>
      <w:bookmarkStart w:id="218" w:name="_Toc184312067"/>
      <w:bookmarkEnd w:id="218"/>
      <w:bookmarkStart w:id="219" w:name="_Toc184310332"/>
      <w:bookmarkEnd w:id="219"/>
      <w:bookmarkStart w:id="220" w:name="_Toc184308105"/>
      <w:bookmarkEnd w:id="220"/>
      <w:bookmarkStart w:id="221" w:name="_Toc184308104"/>
      <w:bookmarkEnd w:id="221"/>
      <w:bookmarkStart w:id="222" w:name="_Toc184313301"/>
      <w:bookmarkEnd w:id="222"/>
      <w:bookmarkStart w:id="223" w:name="_Toc184310328"/>
      <w:bookmarkEnd w:id="223"/>
      <w:bookmarkStart w:id="224" w:name="_Toc184312081"/>
      <w:bookmarkEnd w:id="224"/>
      <w:bookmarkStart w:id="225" w:name="_Toc184308062"/>
      <w:bookmarkEnd w:id="225"/>
      <w:bookmarkStart w:id="226" w:name="_Toc184308084"/>
      <w:bookmarkEnd w:id="226"/>
      <w:bookmarkStart w:id="227" w:name="_Toc184308060"/>
      <w:bookmarkEnd w:id="227"/>
      <w:bookmarkStart w:id="228" w:name="_Toc184312094"/>
      <w:bookmarkEnd w:id="228"/>
      <w:bookmarkStart w:id="229" w:name="_Toc184314450"/>
      <w:bookmarkEnd w:id="229"/>
      <w:bookmarkStart w:id="230" w:name="_Toc184314440"/>
      <w:bookmarkEnd w:id="230"/>
      <w:bookmarkStart w:id="231" w:name="_Toc184314431"/>
      <w:bookmarkEnd w:id="231"/>
      <w:bookmarkStart w:id="232" w:name="_Toc184310294"/>
      <w:bookmarkEnd w:id="232"/>
      <w:bookmarkStart w:id="233" w:name="_Toc184313296"/>
      <w:bookmarkEnd w:id="233"/>
      <w:bookmarkStart w:id="234" w:name="_Toc184313277"/>
      <w:bookmarkEnd w:id="234"/>
      <w:bookmarkStart w:id="235" w:name="_Toc184313284"/>
      <w:bookmarkEnd w:id="235"/>
      <w:bookmarkStart w:id="236" w:name="_Toc184312108"/>
      <w:bookmarkEnd w:id="236"/>
      <w:bookmarkStart w:id="237" w:name="_Toc184314480"/>
      <w:bookmarkEnd w:id="237"/>
      <w:bookmarkStart w:id="238" w:name="_Toc184312110"/>
      <w:bookmarkEnd w:id="238"/>
      <w:bookmarkStart w:id="239" w:name="_Toc184310317"/>
      <w:bookmarkEnd w:id="239"/>
      <w:bookmarkStart w:id="240" w:name="_Toc184312077"/>
      <w:bookmarkEnd w:id="240"/>
      <w:bookmarkStart w:id="241" w:name="_Toc184314478"/>
      <w:bookmarkEnd w:id="241"/>
      <w:bookmarkStart w:id="242" w:name="_Toc184310315"/>
      <w:bookmarkEnd w:id="242"/>
      <w:bookmarkStart w:id="243" w:name="_Toc184310329"/>
      <w:bookmarkEnd w:id="243"/>
      <w:bookmarkStart w:id="244" w:name="_Toc184308069"/>
      <w:bookmarkEnd w:id="244"/>
      <w:bookmarkStart w:id="245" w:name="_Toc184310304"/>
      <w:bookmarkEnd w:id="245"/>
      <w:bookmarkStart w:id="246" w:name="_Toc184310336"/>
      <w:bookmarkEnd w:id="246"/>
      <w:bookmarkStart w:id="247" w:name="_Toc184314427"/>
      <w:bookmarkEnd w:id="247"/>
      <w:bookmarkStart w:id="248" w:name="_Toc184312130"/>
      <w:bookmarkEnd w:id="248"/>
      <w:bookmarkStart w:id="249" w:name="_Toc184312114"/>
      <w:bookmarkEnd w:id="249"/>
      <w:bookmarkStart w:id="250" w:name="_Toc184310344"/>
      <w:bookmarkEnd w:id="250"/>
      <w:bookmarkStart w:id="251" w:name="_Toc184313300"/>
      <w:bookmarkEnd w:id="251"/>
      <w:bookmarkStart w:id="252" w:name="_Toc184312074"/>
      <w:bookmarkEnd w:id="252"/>
      <w:bookmarkStart w:id="253" w:name="_Toc184314437"/>
      <w:bookmarkEnd w:id="253"/>
      <w:bookmarkStart w:id="254" w:name="_Toc184310276"/>
      <w:bookmarkEnd w:id="254"/>
      <w:bookmarkStart w:id="255" w:name="_Toc184312126"/>
      <w:bookmarkEnd w:id="255"/>
      <w:bookmarkStart w:id="256" w:name="_Toc184310312"/>
      <w:bookmarkEnd w:id="256"/>
      <w:bookmarkStart w:id="257" w:name="_Toc184312137"/>
      <w:bookmarkEnd w:id="257"/>
      <w:bookmarkStart w:id="258" w:name="_Toc184310310"/>
      <w:bookmarkEnd w:id="258"/>
      <w:bookmarkStart w:id="259" w:name="_Toc184310298"/>
      <w:bookmarkEnd w:id="259"/>
      <w:bookmarkStart w:id="260" w:name="_Toc184308073"/>
      <w:bookmarkEnd w:id="260"/>
      <w:bookmarkStart w:id="261" w:name="_Toc184312089"/>
      <w:bookmarkEnd w:id="261"/>
      <w:bookmarkStart w:id="262" w:name="_Toc184313302"/>
      <w:bookmarkEnd w:id="262"/>
      <w:bookmarkStart w:id="263" w:name="_Toc184312131"/>
      <w:bookmarkEnd w:id="263"/>
      <w:bookmarkStart w:id="264" w:name="_Toc184308096"/>
      <w:bookmarkEnd w:id="264"/>
      <w:bookmarkStart w:id="265" w:name="_Toc184314420"/>
      <w:bookmarkEnd w:id="265"/>
      <w:bookmarkStart w:id="266" w:name="_Toc184314425"/>
      <w:bookmarkEnd w:id="266"/>
      <w:bookmarkStart w:id="267" w:name="_Toc184310296"/>
      <w:bookmarkEnd w:id="267"/>
      <w:bookmarkStart w:id="268" w:name="_Toc184312099"/>
      <w:bookmarkEnd w:id="268"/>
      <w:bookmarkStart w:id="269" w:name="_Toc184314465"/>
      <w:bookmarkEnd w:id="269"/>
      <w:bookmarkStart w:id="270" w:name="_Toc184313260"/>
      <w:bookmarkEnd w:id="270"/>
      <w:bookmarkStart w:id="271" w:name="_Toc184314462"/>
      <w:bookmarkEnd w:id="271"/>
      <w:bookmarkStart w:id="272" w:name="_Toc184313241"/>
      <w:bookmarkEnd w:id="272"/>
      <w:bookmarkStart w:id="273" w:name="_Toc184313238"/>
      <w:bookmarkEnd w:id="273"/>
      <w:bookmarkStart w:id="274" w:name="_Toc184308090"/>
      <w:bookmarkEnd w:id="274"/>
      <w:bookmarkStart w:id="275" w:name="_Toc184314481"/>
      <w:bookmarkEnd w:id="275"/>
      <w:bookmarkStart w:id="276" w:name="_Toc184313265"/>
      <w:bookmarkEnd w:id="276"/>
      <w:bookmarkStart w:id="277" w:name="_Toc184312117"/>
      <w:bookmarkEnd w:id="277"/>
      <w:bookmarkStart w:id="278" w:name="_Toc184314453"/>
      <w:bookmarkEnd w:id="278"/>
      <w:bookmarkStart w:id="279" w:name="_Toc184308081"/>
      <w:bookmarkEnd w:id="279"/>
      <w:bookmarkStart w:id="280" w:name="_Toc184314430"/>
      <w:bookmarkEnd w:id="280"/>
      <w:bookmarkStart w:id="281" w:name="_Toc184313252"/>
      <w:bookmarkEnd w:id="281"/>
      <w:bookmarkStart w:id="282" w:name="_Toc184313243"/>
      <w:bookmarkEnd w:id="282"/>
      <w:bookmarkStart w:id="283" w:name="_Toc184310273"/>
      <w:bookmarkEnd w:id="283"/>
      <w:bookmarkStart w:id="284" w:name="_Toc184308058"/>
      <w:bookmarkEnd w:id="284"/>
      <w:bookmarkStart w:id="285" w:name="_Toc184313303"/>
      <w:bookmarkEnd w:id="285"/>
      <w:bookmarkStart w:id="286" w:name="_Toc184313247"/>
      <w:bookmarkEnd w:id="286"/>
      <w:bookmarkStart w:id="287" w:name="_Toc184312105"/>
      <w:bookmarkEnd w:id="287"/>
      <w:bookmarkStart w:id="288" w:name="_Toc184310303"/>
      <w:bookmarkEnd w:id="288"/>
      <w:bookmarkStart w:id="289" w:name="_Toc184313255"/>
      <w:bookmarkEnd w:id="289"/>
      <w:bookmarkStart w:id="290" w:name="_Toc184314416"/>
      <w:bookmarkEnd w:id="290"/>
      <w:bookmarkStart w:id="291" w:name="_Toc184313305"/>
      <w:bookmarkEnd w:id="291"/>
      <w:bookmarkStart w:id="292" w:name="_Toc184312111"/>
      <w:bookmarkEnd w:id="292"/>
      <w:bookmarkStart w:id="293" w:name="_Toc184310287"/>
      <w:bookmarkEnd w:id="293"/>
      <w:bookmarkStart w:id="294" w:name="_Toc184308054"/>
      <w:bookmarkEnd w:id="294"/>
      <w:bookmarkStart w:id="295" w:name="_Toc184314442"/>
      <w:bookmarkEnd w:id="295"/>
      <w:bookmarkStart w:id="296" w:name="_Toc184308107"/>
      <w:bookmarkEnd w:id="296"/>
      <w:bookmarkStart w:id="297" w:name="_Toc184313264"/>
      <w:bookmarkEnd w:id="297"/>
      <w:bookmarkStart w:id="298" w:name="_Toc184310291"/>
      <w:bookmarkEnd w:id="298"/>
      <w:bookmarkStart w:id="299" w:name="_Toc184308053"/>
      <w:bookmarkEnd w:id="299"/>
      <w:bookmarkStart w:id="300" w:name="_Toc184310277"/>
      <w:bookmarkEnd w:id="300"/>
      <w:bookmarkStart w:id="301" w:name="_Toc184308079"/>
      <w:bookmarkEnd w:id="301"/>
      <w:bookmarkStart w:id="302" w:name="_Toc184312128"/>
      <w:bookmarkEnd w:id="302"/>
      <w:bookmarkStart w:id="303" w:name="_Toc184312103"/>
      <w:bookmarkEnd w:id="303"/>
      <w:bookmarkStart w:id="304" w:name="_Toc184312132"/>
      <w:bookmarkEnd w:id="304"/>
      <w:bookmarkStart w:id="305" w:name="_Toc184314470"/>
      <w:bookmarkEnd w:id="305"/>
      <w:bookmarkStart w:id="306" w:name="_Toc184314463"/>
      <w:bookmarkEnd w:id="306"/>
      <w:bookmarkStart w:id="307" w:name="_Toc184310302"/>
      <w:bookmarkEnd w:id="307"/>
      <w:bookmarkStart w:id="308" w:name="_Toc184310339"/>
      <w:bookmarkEnd w:id="308"/>
      <w:bookmarkStart w:id="309" w:name="_Toc184308093"/>
      <w:bookmarkEnd w:id="309"/>
      <w:bookmarkStart w:id="310" w:name="_Toc184313276"/>
      <w:bookmarkEnd w:id="310"/>
      <w:bookmarkStart w:id="311" w:name="_Toc184308044"/>
      <w:bookmarkEnd w:id="311"/>
      <w:bookmarkStart w:id="312" w:name="_Toc184313239"/>
      <w:bookmarkEnd w:id="312"/>
      <w:bookmarkStart w:id="313" w:name="_Toc184314472"/>
      <w:bookmarkEnd w:id="313"/>
      <w:bookmarkStart w:id="314" w:name="_Toc184312124"/>
      <w:bookmarkEnd w:id="314"/>
      <w:bookmarkStart w:id="315" w:name="_Toc184312085"/>
      <w:bookmarkEnd w:id="315"/>
      <w:bookmarkStart w:id="316" w:name="_Toc184310321"/>
      <w:bookmarkEnd w:id="316"/>
      <w:bookmarkStart w:id="317" w:name="_Toc184308068"/>
      <w:bookmarkEnd w:id="317"/>
      <w:bookmarkStart w:id="318" w:name="_Toc184310285"/>
      <w:bookmarkEnd w:id="318"/>
      <w:bookmarkStart w:id="319" w:name="_Toc184308095"/>
      <w:bookmarkEnd w:id="319"/>
      <w:bookmarkStart w:id="320" w:name="_Toc184310319"/>
      <w:bookmarkEnd w:id="320"/>
      <w:bookmarkStart w:id="321" w:name="_Toc184308038"/>
      <w:bookmarkEnd w:id="321"/>
      <w:bookmarkStart w:id="322" w:name="_Toc184308083"/>
      <w:bookmarkEnd w:id="322"/>
      <w:bookmarkStart w:id="323" w:name="_Toc184310342"/>
      <w:bookmarkEnd w:id="323"/>
      <w:bookmarkStart w:id="324" w:name="_Toc184314410"/>
      <w:bookmarkEnd w:id="324"/>
      <w:bookmarkStart w:id="325" w:name="_Toc184314441"/>
      <w:bookmarkEnd w:id="325"/>
      <w:bookmarkStart w:id="326" w:name="_Toc184314428"/>
      <w:bookmarkEnd w:id="326"/>
      <w:bookmarkStart w:id="327" w:name="_Toc184308040"/>
      <w:bookmarkEnd w:id="327"/>
      <w:bookmarkStart w:id="328" w:name="_Toc184308080"/>
      <w:bookmarkEnd w:id="328"/>
      <w:bookmarkStart w:id="329" w:name="_Toc184310308"/>
      <w:bookmarkEnd w:id="329"/>
      <w:bookmarkStart w:id="330" w:name="_Toc184310326"/>
      <w:bookmarkEnd w:id="330"/>
      <w:bookmarkStart w:id="331" w:name="_Toc184310306"/>
      <w:bookmarkEnd w:id="331"/>
      <w:bookmarkStart w:id="332" w:name="_Toc184310289"/>
      <w:bookmarkEnd w:id="332"/>
      <w:bookmarkStart w:id="333" w:name="_Toc184313308"/>
      <w:bookmarkEnd w:id="333"/>
      <w:bookmarkStart w:id="334" w:name="_Toc184313279"/>
      <w:bookmarkEnd w:id="334"/>
      <w:bookmarkStart w:id="335" w:name="_Toc184310274"/>
      <w:bookmarkEnd w:id="335"/>
      <w:bookmarkStart w:id="336" w:name="_Toc184308094"/>
      <w:bookmarkEnd w:id="336"/>
      <w:bookmarkStart w:id="337" w:name="_Toc184313251"/>
      <w:bookmarkEnd w:id="337"/>
      <w:bookmarkStart w:id="338" w:name="_Toc184310284"/>
      <w:bookmarkEnd w:id="338"/>
      <w:bookmarkStart w:id="339" w:name="_Toc184308085"/>
      <w:bookmarkEnd w:id="339"/>
      <w:bookmarkStart w:id="340" w:name="_Toc184312115"/>
      <w:bookmarkEnd w:id="340"/>
      <w:bookmarkStart w:id="341" w:name="_Toc184314471"/>
      <w:bookmarkEnd w:id="341"/>
      <w:bookmarkStart w:id="342" w:name="_Toc184312116"/>
      <w:bookmarkEnd w:id="342"/>
      <w:bookmarkStart w:id="343" w:name="_Toc184308051"/>
      <w:bookmarkEnd w:id="343"/>
      <w:bookmarkStart w:id="344" w:name="_Toc184314469"/>
      <w:bookmarkEnd w:id="344"/>
      <w:bookmarkStart w:id="345" w:name="_Toc184308086"/>
      <w:bookmarkEnd w:id="345"/>
      <w:bookmarkStart w:id="346" w:name="_Toc184314482"/>
      <w:bookmarkEnd w:id="346"/>
      <w:bookmarkStart w:id="347" w:name="_Toc184314417"/>
      <w:bookmarkEnd w:id="347"/>
      <w:bookmarkStart w:id="348" w:name="_Toc184313282"/>
      <w:bookmarkEnd w:id="348"/>
      <w:bookmarkStart w:id="349" w:name="_Toc184314479"/>
      <w:bookmarkEnd w:id="349"/>
      <w:bookmarkStart w:id="350" w:name="_Toc184312092"/>
      <w:bookmarkEnd w:id="350"/>
      <w:bookmarkStart w:id="351" w:name="_Toc184312129"/>
      <w:bookmarkEnd w:id="351"/>
      <w:bookmarkStart w:id="352" w:name="_Toc184313261"/>
      <w:bookmarkEnd w:id="352"/>
      <w:bookmarkStart w:id="353" w:name="_Toc184310331"/>
      <w:bookmarkEnd w:id="353"/>
      <w:bookmarkStart w:id="354" w:name="_Toc184308057"/>
      <w:bookmarkEnd w:id="354"/>
      <w:bookmarkStart w:id="355" w:name="_Toc184310311"/>
      <w:bookmarkEnd w:id="355"/>
      <w:bookmarkStart w:id="356" w:name="_Toc184313281"/>
      <w:bookmarkEnd w:id="356"/>
      <w:bookmarkStart w:id="357" w:name="_Toc184310290"/>
      <w:bookmarkEnd w:id="357"/>
      <w:bookmarkStart w:id="358" w:name="_Toc184314448"/>
      <w:bookmarkEnd w:id="358"/>
      <w:bookmarkStart w:id="359" w:name="_Toc184308077"/>
      <w:bookmarkEnd w:id="359"/>
      <w:bookmarkStart w:id="360" w:name="_Toc184313244"/>
      <w:bookmarkEnd w:id="360"/>
      <w:bookmarkStart w:id="361" w:name="_Toc184310318"/>
      <w:bookmarkEnd w:id="361"/>
      <w:bookmarkStart w:id="362" w:name="_Toc184310286"/>
      <w:bookmarkEnd w:id="362"/>
      <w:bookmarkStart w:id="363" w:name="_Toc184313285"/>
      <w:bookmarkEnd w:id="363"/>
      <w:bookmarkStart w:id="364" w:name="_Toc184312106"/>
      <w:bookmarkEnd w:id="364"/>
      <w:bookmarkStart w:id="365" w:name="_Toc184312070"/>
      <w:bookmarkEnd w:id="365"/>
      <w:bookmarkStart w:id="366" w:name="_Toc184314466"/>
      <w:bookmarkEnd w:id="366"/>
      <w:bookmarkStart w:id="367" w:name="_Toc184313242"/>
      <w:bookmarkEnd w:id="367"/>
      <w:bookmarkStart w:id="368" w:name="_Toc184310293"/>
      <w:bookmarkEnd w:id="368"/>
      <w:bookmarkStart w:id="369" w:name="_Toc184314477"/>
      <w:bookmarkEnd w:id="369"/>
      <w:bookmarkStart w:id="370" w:name="_Toc184312098"/>
      <w:bookmarkEnd w:id="370"/>
      <w:bookmarkStart w:id="371" w:name="_Toc184313289"/>
      <w:bookmarkEnd w:id="371"/>
      <w:bookmarkStart w:id="372" w:name="_Toc184314446"/>
      <w:bookmarkEnd w:id="372"/>
      <w:bookmarkStart w:id="373" w:name="_Toc184312127"/>
      <w:bookmarkEnd w:id="373"/>
      <w:bookmarkStart w:id="374" w:name="_Toc184310275"/>
      <w:bookmarkEnd w:id="374"/>
      <w:bookmarkStart w:id="375" w:name="_Toc184312088"/>
      <w:bookmarkEnd w:id="375"/>
      <w:bookmarkStart w:id="376" w:name="_Toc184314468"/>
      <w:bookmarkEnd w:id="376"/>
      <w:bookmarkStart w:id="377" w:name="_Toc184310316"/>
      <w:bookmarkEnd w:id="377"/>
      <w:bookmarkStart w:id="378" w:name="_Toc184308106"/>
      <w:bookmarkEnd w:id="378"/>
      <w:bookmarkStart w:id="379" w:name="_Toc184312080"/>
      <w:bookmarkEnd w:id="379"/>
      <w:bookmarkStart w:id="380" w:name="_Toc184312090"/>
      <w:bookmarkEnd w:id="380"/>
      <w:bookmarkStart w:id="381" w:name="_Toc184312113"/>
      <w:bookmarkEnd w:id="381"/>
      <w:bookmarkStart w:id="382" w:name="_Toc184310320"/>
      <w:bookmarkEnd w:id="382"/>
      <w:bookmarkStart w:id="383" w:name="_Toc184312139"/>
      <w:bookmarkEnd w:id="383"/>
      <w:bookmarkStart w:id="384" w:name="_Toc184314445"/>
      <w:bookmarkEnd w:id="384"/>
      <w:bookmarkStart w:id="385" w:name="_Toc184308067"/>
      <w:bookmarkEnd w:id="385"/>
      <w:bookmarkStart w:id="386" w:name="_Toc184308041"/>
      <w:bookmarkEnd w:id="386"/>
      <w:bookmarkStart w:id="387" w:name="_Toc184313250"/>
      <w:bookmarkEnd w:id="387"/>
      <w:bookmarkStart w:id="388" w:name="_Toc184312107"/>
      <w:bookmarkEnd w:id="388"/>
      <w:bookmarkStart w:id="389" w:name="_Toc184310301"/>
      <w:bookmarkEnd w:id="389"/>
      <w:bookmarkStart w:id="390" w:name="_Toc184314461"/>
      <w:bookmarkEnd w:id="390"/>
      <w:bookmarkStart w:id="391" w:name="_Toc184312071"/>
      <w:bookmarkEnd w:id="391"/>
      <w:bookmarkStart w:id="392" w:name="_Toc184310341"/>
      <w:bookmarkEnd w:id="392"/>
      <w:bookmarkStart w:id="393" w:name="_Toc184313274"/>
      <w:bookmarkEnd w:id="393"/>
      <w:bookmarkStart w:id="394" w:name="_Toc184313268"/>
      <w:bookmarkEnd w:id="394"/>
      <w:bookmarkStart w:id="395" w:name="_Toc184312076"/>
      <w:bookmarkEnd w:id="395"/>
      <w:bookmarkStart w:id="396" w:name="_Toc184312121"/>
      <w:bookmarkEnd w:id="396"/>
      <w:bookmarkStart w:id="397" w:name="_Toc184310282"/>
      <w:bookmarkEnd w:id="397"/>
      <w:bookmarkStart w:id="398" w:name="_Toc184313292"/>
      <w:bookmarkEnd w:id="398"/>
      <w:bookmarkStart w:id="399" w:name="_Toc184314422"/>
      <w:bookmarkEnd w:id="399"/>
      <w:r>
        <w:rPr>
          <w:rFonts w:hint="eastAsia" w:ascii="宋体" w:hAnsi="宋体" w:cs="宋体"/>
          <w:b/>
          <w:color w:val="auto"/>
          <w:sz w:val="36"/>
          <w:szCs w:val="36"/>
          <w:highlight w:val="none"/>
        </w:rPr>
        <w:t>评标办法</w:t>
      </w:r>
      <w:bookmarkEnd w:id="34"/>
    </w:p>
    <w:p w14:paraId="33CC467F">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88"/>
        <w:gridCol w:w="5575"/>
        <w:gridCol w:w="705"/>
        <w:gridCol w:w="705"/>
      </w:tblGrid>
      <w:tr w14:paraId="600F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0734528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863" w:type="dxa"/>
            <w:gridSpan w:val="2"/>
            <w:vAlign w:val="center"/>
          </w:tcPr>
          <w:p w14:paraId="1402324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705" w:type="dxa"/>
            <w:vAlign w:val="center"/>
          </w:tcPr>
          <w:p w14:paraId="392D7C17">
            <w:pPr>
              <w:keepNext w:val="0"/>
              <w:keepLines w:val="0"/>
              <w:pageBreakBefore w:val="0"/>
              <w:widowControl/>
              <w:tabs>
                <w:tab w:val="left" w:pos="0"/>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分值</w:t>
            </w:r>
          </w:p>
        </w:tc>
        <w:tc>
          <w:tcPr>
            <w:tcW w:w="705" w:type="dxa"/>
            <w:vAlign w:val="center"/>
          </w:tcPr>
          <w:p w14:paraId="7E523C5D">
            <w:pPr>
              <w:keepNext w:val="0"/>
              <w:keepLines w:val="0"/>
              <w:pageBreakBefore w:val="0"/>
              <w:widowControl/>
              <w:tabs>
                <w:tab w:val="left" w:pos="0"/>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备注</w:t>
            </w:r>
          </w:p>
        </w:tc>
      </w:tr>
      <w:tr w14:paraId="421E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538D591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054C3A9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863" w:type="dxa"/>
            <w:gridSpan w:val="2"/>
            <w:vAlign w:val="center"/>
          </w:tcPr>
          <w:p w14:paraId="400865F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评标基准价指的是满足招标文件要求且最低的参与评审的价格。</w:t>
            </w:r>
          </w:p>
          <w:p w14:paraId="14F83D5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w:t>
            </w:r>
          </w:p>
          <w:p w14:paraId="4DBF620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p>
          <w:p w14:paraId="5F8ADBA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1895BC8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%×100。</w:t>
            </w:r>
          </w:p>
        </w:tc>
        <w:tc>
          <w:tcPr>
            <w:tcW w:w="705" w:type="dxa"/>
            <w:vAlign w:val="center"/>
          </w:tcPr>
          <w:p w14:paraId="2C73D12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705" w:type="dxa"/>
            <w:vAlign w:val="center"/>
          </w:tcPr>
          <w:p w14:paraId="6410924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客观评审</w:t>
            </w:r>
          </w:p>
        </w:tc>
      </w:tr>
      <w:tr w14:paraId="15A9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restart"/>
            <w:vAlign w:val="center"/>
          </w:tcPr>
          <w:p w14:paraId="4B7F257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商务</w:t>
            </w:r>
          </w:p>
          <w:p w14:paraId="1A6F11A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技术分</w:t>
            </w:r>
          </w:p>
          <w:p w14:paraId="5ACAF84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70</w:t>
            </w:r>
            <w:r>
              <w:rPr>
                <w:rFonts w:hint="eastAsia" w:ascii="宋体" w:hAnsi="宋体" w:eastAsia="宋体" w:cs="宋体"/>
                <w:color w:val="auto"/>
                <w:sz w:val="24"/>
                <w:szCs w:val="24"/>
                <w:highlight w:val="none"/>
                <w:lang w:bidi="ar"/>
              </w:rPr>
              <w:t>分</w:t>
            </w:r>
          </w:p>
        </w:tc>
        <w:tc>
          <w:tcPr>
            <w:tcW w:w="1288" w:type="dxa"/>
            <w:shd w:val="clear" w:color="auto" w:fill="auto"/>
            <w:vAlign w:val="center"/>
          </w:tcPr>
          <w:p w14:paraId="5A205CB3">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1、对招标文件的技术响应（</w:t>
            </w:r>
            <w:r>
              <w:rPr>
                <w:rFonts w:hint="eastAsia" w:ascii="宋体" w:hAnsi="宋体" w:cs="宋体"/>
                <w:bCs/>
                <w:color w:val="auto"/>
                <w:kern w:val="0"/>
                <w:sz w:val="24"/>
                <w:szCs w:val="24"/>
                <w:highlight w:val="none"/>
                <w:lang w:val="en-US" w:eastAsia="zh-CN"/>
              </w:rPr>
              <w:t>21</w:t>
            </w:r>
            <w:r>
              <w:rPr>
                <w:rFonts w:hint="eastAsia" w:ascii="宋体" w:hAnsi="宋体" w:eastAsia="宋体" w:cs="宋体"/>
                <w:bCs/>
                <w:color w:val="auto"/>
                <w:kern w:val="0"/>
                <w:sz w:val="24"/>
                <w:szCs w:val="24"/>
                <w:highlight w:val="none"/>
              </w:rPr>
              <w:t>分）</w:t>
            </w:r>
          </w:p>
        </w:tc>
        <w:tc>
          <w:tcPr>
            <w:tcW w:w="5575" w:type="dxa"/>
            <w:shd w:val="clear" w:color="auto" w:fill="auto"/>
            <w:vAlign w:val="center"/>
          </w:tcPr>
          <w:p w14:paraId="510769D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完全响应招标文件 “第三部分 采购需求 三、技术参数要求”中所有指标的得</w:t>
            </w:r>
            <w:r>
              <w:rPr>
                <w:rFonts w:hint="eastAsia" w:ascii="宋体" w:hAnsi="宋体" w:cs="宋体"/>
                <w:bCs/>
                <w:color w:val="auto"/>
                <w:kern w:val="0"/>
                <w:sz w:val="24"/>
                <w:szCs w:val="24"/>
                <w:highlight w:val="none"/>
                <w:lang w:val="en-US" w:eastAsia="zh-CN"/>
              </w:rPr>
              <w:t>21</w:t>
            </w:r>
            <w:r>
              <w:rPr>
                <w:rFonts w:hint="eastAsia" w:ascii="宋体" w:hAnsi="宋体" w:eastAsia="宋体" w:cs="宋体"/>
                <w:bCs/>
                <w:color w:val="auto"/>
                <w:kern w:val="0"/>
                <w:sz w:val="24"/>
                <w:szCs w:val="24"/>
                <w:highlight w:val="none"/>
              </w:rPr>
              <w:t>分；每负偏离一条标“</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参数，</w:t>
            </w:r>
            <w:r>
              <w:rPr>
                <w:rFonts w:hint="eastAsia" w:ascii="宋体" w:hAnsi="宋体" w:eastAsia="宋体" w:cs="宋体"/>
                <w:bCs/>
                <w:color w:val="auto"/>
                <w:kern w:val="0"/>
                <w:sz w:val="24"/>
                <w:szCs w:val="24"/>
                <w:highlight w:val="none"/>
              </w:rPr>
              <w:t>扣2分</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每负偏离一条</w:t>
            </w:r>
            <w:r>
              <w:rPr>
                <w:rFonts w:hint="eastAsia" w:ascii="宋体" w:hAnsi="宋体" w:eastAsia="宋体" w:cs="宋体"/>
                <w:bCs/>
                <w:color w:val="auto"/>
                <w:kern w:val="0"/>
                <w:sz w:val="24"/>
                <w:szCs w:val="24"/>
                <w:highlight w:val="none"/>
                <w:lang w:val="en-US" w:eastAsia="zh-CN"/>
              </w:rPr>
              <w:t>未</w:t>
            </w:r>
            <w:r>
              <w:rPr>
                <w:rFonts w:hint="eastAsia" w:ascii="宋体" w:hAnsi="宋体" w:eastAsia="宋体" w:cs="宋体"/>
                <w:bCs/>
                <w:color w:val="auto"/>
                <w:kern w:val="0"/>
                <w:sz w:val="24"/>
                <w:szCs w:val="24"/>
                <w:highlight w:val="none"/>
              </w:rPr>
              <w:t>标“</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参数，</w:t>
            </w:r>
            <w:r>
              <w:rPr>
                <w:rFonts w:hint="eastAsia" w:ascii="宋体" w:hAnsi="宋体" w:eastAsia="宋体" w:cs="宋体"/>
                <w:bCs/>
                <w:color w:val="auto"/>
                <w:kern w:val="0"/>
                <w:sz w:val="24"/>
                <w:szCs w:val="24"/>
                <w:highlight w:val="none"/>
              </w:rPr>
              <w:t>扣</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分。</w:t>
            </w:r>
          </w:p>
          <w:p w14:paraId="685F25C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rPr>
              <w:t>注：当有供应商此项分值扣减至0分时，该供应商投标将被拒绝，其投标文件作无效标处理，不再进行评审。</w:t>
            </w:r>
          </w:p>
        </w:tc>
        <w:tc>
          <w:tcPr>
            <w:tcW w:w="705" w:type="dxa"/>
            <w:shd w:val="clear" w:color="auto" w:fill="auto"/>
            <w:vAlign w:val="center"/>
          </w:tcPr>
          <w:p w14:paraId="621989D2">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21</w:t>
            </w:r>
          </w:p>
        </w:tc>
        <w:tc>
          <w:tcPr>
            <w:tcW w:w="705" w:type="dxa"/>
            <w:shd w:val="clear" w:color="auto" w:fill="auto"/>
            <w:vAlign w:val="center"/>
          </w:tcPr>
          <w:p w14:paraId="75BAAFC2">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客观评审</w:t>
            </w:r>
          </w:p>
        </w:tc>
      </w:tr>
      <w:tr w14:paraId="1BCC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3D702CB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p>
        </w:tc>
        <w:tc>
          <w:tcPr>
            <w:tcW w:w="1288" w:type="dxa"/>
            <w:vAlign w:val="center"/>
          </w:tcPr>
          <w:p w14:paraId="1CD13E63">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2、整体方案（</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分）</w:t>
            </w:r>
          </w:p>
        </w:tc>
        <w:tc>
          <w:tcPr>
            <w:tcW w:w="5575" w:type="dxa"/>
            <w:vAlign w:val="center"/>
          </w:tcPr>
          <w:p w14:paraId="3E9625A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供应商对现有项目整体状况有充分调研和分析，对整个项目有整体把握，技术方案规划全面、先进、合理，融合对未来应用的思考，针对现有项目实际需求做合理规划，配置实际可行等内容由评标委员会进行评议：</w:t>
            </w:r>
          </w:p>
          <w:p w14:paraId="689B2D2F">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①</w:t>
            </w:r>
            <w:r>
              <w:rPr>
                <w:rFonts w:hint="eastAsia" w:ascii="宋体" w:hAnsi="宋体" w:eastAsia="宋体" w:cs="宋体"/>
                <w:bCs/>
                <w:color w:val="auto"/>
                <w:kern w:val="0"/>
                <w:sz w:val="24"/>
                <w:szCs w:val="24"/>
                <w:highlight w:val="none"/>
              </w:rPr>
              <w:t>调研充分、分析到位、方案全面可行的得</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分；</w:t>
            </w:r>
          </w:p>
          <w:p w14:paraId="794E2A51">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②</w:t>
            </w:r>
            <w:r>
              <w:rPr>
                <w:rFonts w:hint="eastAsia" w:ascii="宋体" w:hAnsi="宋体" w:eastAsia="宋体" w:cs="宋体"/>
                <w:bCs/>
                <w:color w:val="auto"/>
                <w:kern w:val="0"/>
                <w:sz w:val="24"/>
                <w:szCs w:val="24"/>
                <w:highlight w:val="none"/>
              </w:rPr>
              <w:t>调研较充分、分析较到位、方案较全面可行的得</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分；</w:t>
            </w:r>
          </w:p>
          <w:p w14:paraId="4AA4E0B3">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③</w:t>
            </w:r>
            <w:r>
              <w:rPr>
                <w:rFonts w:hint="eastAsia" w:ascii="宋体" w:hAnsi="宋体" w:eastAsia="宋体" w:cs="宋体"/>
                <w:bCs/>
                <w:color w:val="auto"/>
                <w:kern w:val="0"/>
                <w:sz w:val="24"/>
                <w:szCs w:val="24"/>
                <w:highlight w:val="none"/>
              </w:rPr>
              <w:t>调研</w:t>
            </w:r>
            <w:r>
              <w:rPr>
                <w:rFonts w:hint="eastAsia" w:ascii="宋体" w:hAnsi="宋体" w:eastAsia="宋体" w:cs="宋体"/>
                <w:bCs/>
                <w:color w:val="auto"/>
                <w:kern w:val="0"/>
                <w:sz w:val="24"/>
                <w:szCs w:val="24"/>
                <w:highlight w:val="none"/>
                <w:lang w:val="en-US" w:eastAsia="zh-CN"/>
              </w:rPr>
              <w:t>基本</w:t>
            </w:r>
            <w:r>
              <w:rPr>
                <w:rFonts w:hint="eastAsia" w:ascii="宋体" w:hAnsi="宋体" w:eastAsia="宋体" w:cs="宋体"/>
                <w:bCs/>
                <w:color w:val="auto"/>
                <w:kern w:val="0"/>
                <w:sz w:val="24"/>
                <w:szCs w:val="24"/>
                <w:highlight w:val="none"/>
              </w:rPr>
              <w:t>充分、分析</w:t>
            </w:r>
            <w:r>
              <w:rPr>
                <w:rFonts w:hint="eastAsia" w:ascii="宋体" w:hAnsi="宋体" w:eastAsia="宋体" w:cs="宋体"/>
                <w:bCs/>
                <w:color w:val="auto"/>
                <w:kern w:val="0"/>
                <w:sz w:val="24"/>
                <w:szCs w:val="24"/>
                <w:highlight w:val="none"/>
                <w:lang w:val="en-US" w:eastAsia="zh-CN"/>
              </w:rPr>
              <w:t>基本</w:t>
            </w:r>
            <w:r>
              <w:rPr>
                <w:rFonts w:hint="eastAsia" w:ascii="宋体" w:hAnsi="宋体" w:eastAsia="宋体" w:cs="宋体"/>
                <w:bCs/>
                <w:color w:val="auto"/>
                <w:kern w:val="0"/>
                <w:sz w:val="24"/>
                <w:szCs w:val="24"/>
                <w:highlight w:val="none"/>
              </w:rPr>
              <w:t>到位、方案</w:t>
            </w:r>
            <w:r>
              <w:rPr>
                <w:rFonts w:hint="eastAsia" w:ascii="宋体" w:hAnsi="宋体" w:eastAsia="宋体" w:cs="宋体"/>
                <w:bCs/>
                <w:color w:val="auto"/>
                <w:kern w:val="0"/>
                <w:sz w:val="24"/>
                <w:szCs w:val="24"/>
                <w:highlight w:val="none"/>
                <w:lang w:val="en-US" w:eastAsia="zh-CN"/>
              </w:rPr>
              <w:t>基本</w:t>
            </w:r>
            <w:r>
              <w:rPr>
                <w:rFonts w:hint="eastAsia" w:ascii="宋体" w:hAnsi="宋体" w:eastAsia="宋体" w:cs="宋体"/>
                <w:bCs/>
                <w:color w:val="auto"/>
                <w:kern w:val="0"/>
                <w:sz w:val="24"/>
                <w:szCs w:val="24"/>
                <w:highlight w:val="none"/>
              </w:rPr>
              <w:t>可行的得</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分；</w:t>
            </w:r>
          </w:p>
          <w:p w14:paraId="2F70DAB3">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④有</w:t>
            </w:r>
            <w:r>
              <w:rPr>
                <w:rFonts w:hint="eastAsia" w:ascii="宋体" w:hAnsi="宋体" w:eastAsia="宋体" w:cs="宋体"/>
                <w:bCs/>
                <w:color w:val="auto"/>
                <w:kern w:val="0"/>
                <w:sz w:val="24"/>
                <w:szCs w:val="24"/>
                <w:highlight w:val="none"/>
              </w:rPr>
              <w:t>调研</w:t>
            </w:r>
            <w:r>
              <w:rPr>
                <w:rFonts w:hint="eastAsia" w:ascii="宋体" w:hAnsi="宋体" w:eastAsia="宋体" w:cs="宋体"/>
                <w:bCs/>
                <w:color w:val="auto"/>
                <w:kern w:val="0"/>
                <w:sz w:val="24"/>
                <w:szCs w:val="24"/>
                <w:highlight w:val="none"/>
                <w:lang w:val="en-US" w:eastAsia="zh-CN"/>
              </w:rPr>
              <w:t>内容</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但</w:t>
            </w:r>
            <w:r>
              <w:rPr>
                <w:rFonts w:hint="eastAsia" w:ascii="宋体" w:hAnsi="宋体" w:eastAsia="宋体" w:cs="宋体"/>
                <w:bCs/>
                <w:color w:val="auto"/>
                <w:kern w:val="0"/>
                <w:sz w:val="24"/>
                <w:szCs w:val="24"/>
                <w:highlight w:val="none"/>
              </w:rPr>
              <w:t>分析</w:t>
            </w:r>
            <w:r>
              <w:rPr>
                <w:rFonts w:hint="eastAsia" w:ascii="宋体" w:hAnsi="宋体" w:eastAsia="宋体" w:cs="宋体"/>
                <w:bCs/>
                <w:color w:val="auto"/>
                <w:kern w:val="0"/>
                <w:sz w:val="24"/>
                <w:szCs w:val="24"/>
                <w:highlight w:val="none"/>
                <w:lang w:val="en-US" w:eastAsia="zh-CN"/>
              </w:rPr>
              <w:t>针对性不强</w:t>
            </w:r>
            <w:r>
              <w:rPr>
                <w:rFonts w:hint="eastAsia" w:ascii="宋体" w:hAnsi="宋体" w:eastAsia="宋体" w:cs="宋体"/>
                <w:bCs/>
                <w:color w:val="auto"/>
                <w:kern w:val="0"/>
                <w:sz w:val="24"/>
                <w:szCs w:val="24"/>
                <w:highlight w:val="none"/>
              </w:rPr>
              <w:t>、方案</w:t>
            </w:r>
            <w:r>
              <w:rPr>
                <w:rFonts w:hint="eastAsia" w:ascii="宋体" w:hAnsi="宋体" w:eastAsia="宋体" w:cs="宋体"/>
                <w:bCs/>
                <w:color w:val="auto"/>
                <w:kern w:val="0"/>
                <w:sz w:val="24"/>
                <w:szCs w:val="24"/>
                <w:highlight w:val="none"/>
                <w:lang w:val="en-US" w:eastAsia="zh-CN"/>
              </w:rPr>
              <w:t>有一定片面性</w:t>
            </w:r>
            <w:r>
              <w:rPr>
                <w:rFonts w:hint="eastAsia" w:ascii="宋体" w:hAnsi="宋体" w:eastAsia="宋体" w:cs="宋体"/>
                <w:bCs/>
                <w:color w:val="auto"/>
                <w:kern w:val="0"/>
                <w:sz w:val="24"/>
                <w:szCs w:val="24"/>
                <w:highlight w:val="none"/>
              </w:rPr>
              <w:t>的得</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p w14:paraId="770CDA99">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⑤有</w:t>
            </w:r>
            <w:r>
              <w:rPr>
                <w:rFonts w:hint="eastAsia" w:ascii="宋体" w:hAnsi="宋体" w:eastAsia="宋体" w:cs="宋体"/>
                <w:bCs/>
                <w:color w:val="auto"/>
                <w:kern w:val="0"/>
                <w:sz w:val="24"/>
                <w:szCs w:val="24"/>
                <w:highlight w:val="none"/>
                <w:lang w:eastAsia="zh-CN"/>
              </w:rPr>
              <w:t>调研</w:t>
            </w:r>
            <w:r>
              <w:rPr>
                <w:rFonts w:hint="eastAsia" w:ascii="宋体" w:hAnsi="宋体" w:eastAsia="宋体" w:cs="宋体"/>
                <w:bCs/>
                <w:color w:val="auto"/>
                <w:kern w:val="0"/>
                <w:sz w:val="24"/>
                <w:szCs w:val="24"/>
                <w:highlight w:val="none"/>
                <w:lang w:val="en-US" w:eastAsia="zh-CN"/>
              </w:rPr>
              <w:t>内容</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但</w:t>
            </w:r>
            <w:r>
              <w:rPr>
                <w:rFonts w:hint="eastAsia" w:ascii="宋体" w:hAnsi="宋体" w:eastAsia="宋体" w:cs="宋体"/>
                <w:bCs/>
                <w:color w:val="auto"/>
                <w:kern w:val="0"/>
                <w:sz w:val="24"/>
                <w:szCs w:val="24"/>
                <w:highlight w:val="none"/>
                <w:lang w:eastAsia="zh-CN"/>
              </w:rPr>
              <w:t>分析</w:t>
            </w:r>
            <w:r>
              <w:rPr>
                <w:rFonts w:hint="eastAsia" w:ascii="宋体" w:hAnsi="宋体" w:eastAsia="宋体" w:cs="宋体"/>
                <w:bCs/>
                <w:color w:val="auto"/>
                <w:kern w:val="0"/>
                <w:sz w:val="24"/>
                <w:szCs w:val="24"/>
                <w:highlight w:val="none"/>
                <w:lang w:val="en-US" w:eastAsia="zh-CN"/>
              </w:rPr>
              <w:t>及技术方案不具有针对性</w:t>
            </w:r>
            <w:r>
              <w:rPr>
                <w:rFonts w:hint="eastAsia" w:ascii="宋体" w:hAnsi="宋体" w:eastAsia="宋体" w:cs="宋体"/>
                <w:bCs/>
                <w:color w:val="auto"/>
                <w:kern w:val="0"/>
                <w:sz w:val="24"/>
                <w:szCs w:val="24"/>
                <w:highlight w:val="none"/>
                <w:lang w:eastAsia="zh-CN"/>
              </w:rPr>
              <w:t>的得</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分</w:t>
            </w:r>
          </w:p>
          <w:p w14:paraId="6227BFF6">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24"/>
                <w:szCs w:val="24"/>
                <w:highlight w:val="none"/>
              </w:rPr>
              <w:t>未提供相关内容的不得分。</w:t>
            </w:r>
          </w:p>
        </w:tc>
        <w:tc>
          <w:tcPr>
            <w:tcW w:w="705" w:type="dxa"/>
            <w:vAlign w:val="center"/>
          </w:tcPr>
          <w:p w14:paraId="08EB2D4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vAlign w:val="center"/>
          </w:tcPr>
          <w:p w14:paraId="133500B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4344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27867CD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p>
        </w:tc>
        <w:tc>
          <w:tcPr>
            <w:tcW w:w="1288" w:type="dxa"/>
            <w:vAlign w:val="center"/>
          </w:tcPr>
          <w:p w14:paraId="4259C6E7">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bCs/>
                <w:color w:val="auto"/>
                <w:kern w:val="0"/>
                <w:sz w:val="24"/>
                <w:szCs w:val="24"/>
                <w:highlight w:val="none"/>
                <w:lang w:val="en-US" w:eastAsia="zh-CN"/>
              </w:rPr>
              <w:t>供货方案</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分）</w:t>
            </w:r>
          </w:p>
        </w:tc>
        <w:tc>
          <w:tcPr>
            <w:tcW w:w="5575" w:type="dxa"/>
            <w:vAlign w:val="center"/>
          </w:tcPr>
          <w:p w14:paraId="1B1D85CA">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根据供应商提供的供货方案（包括供货期限、交货方式、供货保障流程、供货流程要点、供货实施步骤）进行评议：</w:t>
            </w:r>
          </w:p>
          <w:p w14:paraId="27418683">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①供货期完全满足招标文件要求，交货方式切合实际，供货保障流程合理且供货流程要点明确，供货实施步骤清晰，能提供有针对性的服务措施的得5分；</w:t>
            </w:r>
          </w:p>
          <w:p w14:paraId="79A90AEE">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②供货期满足招标文件要求，交货方式切合实际，供货保障流程合理且供货流程要点明确，供货实施步骤清晰，能提供比较有针对性的服务措施的得4分；</w:t>
            </w:r>
          </w:p>
          <w:p w14:paraId="0D109272">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③方案内容符合本项目的供货要求，实行上基本合理可行的得3分；</w:t>
            </w:r>
          </w:p>
          <w:p w14:paraId="019389C1">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④方案内容基本符合本项目的供货要求，但是实行上略有欠缺的得2分；</w:t>
            </w:r>
          </w:p>
          <w:p w14:paraId="6692214B">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⑤方案内容不完整，内容不充分，与本项目货物供应要求有差距的得1分；</w:t>
            </w:r>
          </w:p>
          <w:p w14:paraId="2D8E1C19">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rPr>
              <w:t>未提供相关内容的不得分</w:t>
            </w:r>
            <w:r>
              <w:rPr>
                <w:rFonts w:hint="eastAsia" w:ascii="宋体" w:hAnsi="宋体" w:eastAsia="宋体" w:cs="宋体"/>
                <w:bCs/>
                <w:color w:val="auto"/>
                <w:kern w:val="0"/>
                <w:sz w:val="24"/>
                <w:szCs w:val="24"/>
                <w:highlight w:val="none"/>
                <w:lang w:val="en-US" w:eastAsia="zh-CN"/>
              </w:rPr>
              <w:t>。</w:t>
            </w:r>
          </w:p>
        </w:tc>
        <w:tc>
          <w:tcPr>
            <w:tcW w:w="705" w:type="dxa"/>
            <w:vAlign w:val="center"/>
          </w:tcPr>
          <w:p w14:paraId="523436E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vAlign w:val="center"/>
          </w:tcPr>
          <w:p w14:paraId="0750FC5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76F8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0C038EC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p>
        </w:tc>
        <w:tc>
          <w:tcPr>
            <w:tcW w:w="1288" w:type="dxa"/>
            <w:vAlign w:val="center"/>
          </w:tcPr>
          <w:p w14:paraId="24613C88">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r>
              <w:rPr>
                <w:rFonts w:hint="eastAsia" w:ascii="宋体" w:hAnsi="宋体" w:eastAsia="宋体" w:cs="宋体"/>
                <w:bCs/>
                <w:color w:val="auto"/>
                <w:kern w:val="0"/>
                <w:sz w:val="24"/>
                <w:szCs w:val="24"/>
                <w:highlight w:val="none"/>
                <w:lang w:val="en-US" w:eastAsia="zh-CN"/>
              </w:rPr>
              <w:t>安装与验收方案</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分）</w:t>
            </w:r>
          </w:p>
        </w:tc>
        <w:tc>
          <w:tcPr>
            <w:tcW w:w="5575" w:type="dxa"/>
            <w:vAlign w:val="center"/>
          </w:tcPr>
          <w:p w14:paraId="0505F4B3">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根据供应商提供的安装与验收方案（包括安装方案、安装人员配置、产品验收方案</w:t>
            </w:r>
            <w:r>
              <w:rPr>
                <w:rFonts w:hint="eastAsia" w:ascii="宋体" w:hAnsi="宋体" w:cs="宋体"/>
                <w:bCs/>
                <w:color w:val="auto"/>
                <w:kern w:val="0"/>
                <w:sz w:val="24"/>
                <w:szCs w:val="24"/>
                <w:highlight w:val="none"/>
                <w:lang w:val="en-US" w:eastAsia="zh-CN"/>
              </w:rPr>
              <w:t>、基础基坑施工示例说明</w:t>
            </w:r>
            <w:r>
              <w:rPr>
                <w:rFonts w:hint="eastAsia" w:ascii="宋体" w:hAnsi="宋体" w:eastAsia="宋体" w:cs="宋体"/>
                <w:bCs/>
                <w:color w:val="auto"/>
                <w:kern w:val="0"/>
                <w:sz w:val="24"/>
                <w:szCs w:val="24"/>
                <w:highlight w:val="none"/>
                <w:lang w:val="en-US" w:eastAsia="zh-CN"/>
              </w:rPr>
              <w:t>）进行评议：</w:t>
            </w:r>
          </w:p>
          <w:p w14:paraId="20E83818">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①安装方案得当，安装人员配置贴合实际需求，产品验收方案合理，能确保货物正常安装及验收的得5分；</w:t>
            </w:r>
          </w:p>
          <w:p w14:paraId="7EA14202">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②安装方案及安装人员配置基本贴合实际需求，产品验收方案基本合理可行的得4分；</w:t>
            </w:r>
          </w:p>
          <w:p w14:paraId="196E5E5A">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③安装方案及安装人员配置基本符合实际，产品验收方案不够可行的得3分</w:t>
            </w:r>
          </w:p>
          <w:p w14:paraId="36B9F273">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④安装与验收方案不够符合项目实际要求，且存在一定缺项的得2分；</w:t>
            </w:r>
          </w:p>
          <w:p w14:paraId="3B7B63E7">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⑤安装与验收方案存在明显缺项，实行上有困难的得1分；</w:t>
            </w:r>
          </w:p>
          <w:p w14:paraId="1E4CE823">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
                <w:bCs w:val="0"/>
                <w:color w:val="auto"/>
                <w:kern w:val="0"/>
                <w:sz w:val="24"/>
                <w:szCs w:val="24"/>
                <w:highlight w:val="none"/>
                <w:lang w:val="en-US" w:eastAsia="zh-CN"/>
              </w:rPr>
              <w:t>未提供相关内容的不得分。</w:t>
            </w:r>
          </w:p>
        </w:tc>
        <w:tc>
          <w:tcPr>
            <w:tcW w:w="705" w:type="dxa"/>
            <w:vAlign w:val="center"/>
          </w:tcPr>
          <w:p w14:paraId="4D5FD48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vAlign w:val="center"/>
          </w:tcPr>
          <w:p w14:paraId="594C76A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57A5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48" w:type="dxa"/>
            <w:vMerge w:val="continue"/>
            <w:vAlign w:val="center"/>
          </w:tcPr>
          <w:p w14:paraId="6D01365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p>
        </w:tc>
        <w:tc>
          <w:tcPr>
            <w:tcW w:w="1288" w:type="dxa"/>
            <w:vMerge w:val="restart"/>
            <w:vAlign w:val="center"/>
          </w:tcPr>
          <w:p w14:paraId="52DD60A8">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r>
              <w:rPr>
                <w:rFonts w:hint="eastAsia" w:ascii="宋体" w:hAnsi="宋体" w:eastAsia="宋体" w:cs="宋体"/>
                <w:bCs/>
                <w:color w:val="auto"/>
                <w:kern w:val="0"/>
                <w:sz w:val="24"/>
                <w:szCs w:val="24"/>
                <w:highlight w:val="none"/>
                <w:lang w:val="en-US" w:eastAsia="zh-CN"/>
              </w:rPr>
              <w:t>质保期方案</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分）</w:t>
            </w:r>
          </w:p>
        </w:tc>
        <w:tc>
          <w:tcPr>
            <w:tcW w:w="5575" w:type="dxa"/>
            <w:vAlign w:val="center"/>
          </w:tcPr>
          <w:p w14:paraId="19A1EE17">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5.1供应商需结合自身实际提供质保期方案（包括质保期内定期服务方案、巡检服务方案、售后服务保障、售后服务机构的设置）进行评议：</w:t>
            </w:r>
          </w:p>
          <w:p w14:paraId="3298DE25">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①质保期内定期服务和巡检服务方案合理，售后服务有保障且有相应的售后服务机构，能有效提高货物使用体验，服务目标明确清晰的得4分；</w:t>
            </w:r>
          </w:p>
          <w:p w14:paraId="20A595A0">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②方案内容符合实际需求，不影响服务质量，运作流程设计较为合理，有一定针对性的得3分；</w:t>
            </w:r>
          </w:p>
          <w:p w14:paraId="1C0F3B90">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③方案内容基本符合实际需求，但有可能影响服务质量，运作流程设计较为合理，针对性不强的得2分；</w:t>
            </w:r>
          </w:p>
          <w:p w14:paraId="066C659F">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④方案内容不完整，内容不充分，与本项目实际需求有差距的得1分；</w:t>
            </w:r>
          </w:p>
          <w:p w14:paraId="1631E020">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未提供相关内容的不得分。</w:t>
            </w:r>
          </w:p>
        </w:tc>
        <w:tc>
          <w:tcPr>
            <w:tcW w:w="705" w:type="dxa"/>
            <w:vAlign w:val="center"/>
          </w:tcPr>
          <w:p w14:paraId="282ECBE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05" w:type="dxa"/>
            <w:vAlign w:val="center"/>
          </w:tcPr>
          <w:p w14:paraId="0E0B9EB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0FFC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8" w:type="dxa"/>
            <w:vMerge w:val="continue"/>
            <w:vAlign w:val="center"/>
          </w:tcPr>
          <w:p w14:paraId="6EA3CFF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rPr>
            </w:pPr>
          </w:p>
        </w:tc>
        <w:tc>
          <w:tcPr>
            <w:tcW w:w="1288" w:type="dxa"/>
            <w:vMerge w:val="continue"/>
            <w:vAlign w:val="center"/>
          </w:tcPr>
          <w:p w14:paraId="54F3F27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rPr>
            </w:pPr>
          </w:p>
        </w:tc>
        <w:tc>
          <w:tcPr>
            <w:tcW w:w="5575" w:type="dxa"/>
            <w:vAlign w:val="center"/>
          </w:tcPr>
          <w:p w14:paraId="19D89887">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5.2供应商提供免费质保期一年的不得分，每增加12个月加0.5分，最高得1分（即3年质保期得满分）；投标文件内提供承诺书，格式自拟，否则不予认可。</w:t>
            </w:r>
          </w:p>
        </w:tc>
        <w:tc>
          <w:tcPr>
            <w:tcW w:w="705" w:type="dxa"/>
            <w:vAlign w:val="center"/>
          </w:tcPr>
          <w:p w14:paraId="6DE5294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05" w:type="dxa"/>
            <w:vAlign w:val="center"/>
          </w:tcPr>
          <w:p w14:paraId="304EFE8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客观评审</w:t>
            </w:r>
          </w:p>
        </w:tc>
      </w:tr>
      <w:tr w14:paraId="2435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6E0CF47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p>
        </w:tc>
        <w:tc>
          <w:tcPr>
            <w:tcW w:w="1288" w:type="dxa"/>
            <w:vMerge w:val="restart"/>
            <w:vAlign w:val="center"/>
          </w:tcPr>
          <w:p w14:paraId="6CB15D3B">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kern w:val="0"/>
                <w:sz w:val="24"/>
                <w:szCs w:val="24"/>
                <w:highlight w:val="none"/>
                <w:lang w:val="en-US"/>
              </w:rPr>
            </w:pPr>
            <w:r>
              <w:rPr>
                <w:rFonts w:hint="eastAsia" w:ascii="宋体" w:hAnsi="宋体" w:eastAsia="宋体" w:cs="宋体"/>
                <w:bCs/>
                <w:color w:val="auto"/>
                <w:kern w:val="0"/>
                <w:sz w:val="24"/>
                <w:szCs w:val="24"/>
                <w:highlight w:val="none"/>
              </w:rPr>
              <w:t>6、</w:t>
            </w:r>
            <w:r>
              <w:rPr>
                <w:rFonts w:hint="eastAsia" w:ascii="宋体" w:hAnsi="宋体" w:eastAsia="宋体" w:cs="宋体"/>
                <w:bCs/>
                <w:color w:val="auto"/>
                <w:kern w:val="0"/>
                <w:sz w:val="24"/>
                <w:szCs w:val="24"/>
                <w:highlight w:val="none"/>
                <w:lang w:val="en-US" w:eastAsia="zh-CN"/>
              </w:rPr>
              <w:t>产品性能(12分）</w:t>
            </w:r>
          </w:p>
        </w:tc>
        <w:tc>
          <w:tcPr>
            <w:tcW w:w="5575" w:type="dxa"/>
            <w:vAlign w:val="center"/>
          </w:tcPr>
          <w:p w14:paraId="2718C83A">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6.1根据供应商提供的产品的先进性情况包括箱体性能指标优劣、配套部件性能指标优劣进行评议：</w:t>
            </w:r>
          </w:p>
          <w:p w14:paraId="757D9073">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①主要部件内容完整、技术指标搭配合理，配套部件内容完整、技术指标搭配合理的得3分；</w:t>
            </w:r>
          </w:p>
          <w:p w14:paraId="552F5EF3">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②主要部件内容基本完整、技术指标搭配基本合理，配套部件内容基本完整、技术指标搭配基本合理的得2分；</w:t>
            </w:r>
          </w:p>
          <w:p w14:paraId="5A745FF4">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③主要部件内容不完整、技术指标搭配不合理，配套部件内容不完整、技术指标搭配不合理的得1分；</w:t>
            </w:r>
          </w:p>
          <w:p w14:paraId="6331402F">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未提供产品先进性情况说明的不得分。</w:t>
            </w:r>
          </w:p>
        </w:tc>
        <w:tc>
          <w:tcPr>
            <w:tcW w:w="705" w:type="dxa"/>
            <w:vAlign w:val="center"/>
          </w:tcPr>
          <w:p w14:paraId="508C223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05" w:type="dxa"/>
            <w:vAlign w:val="center"/>
          </w:tcPr>
          <w:p w14:paraId="2321BAE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7390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0E856D72">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288" w:type="dxa"/>
            <w:vMerge w:val="continue"/>
            <w:vAlign w:val="center"/>
          </w:tcPr>
          <w:p w14:paraId="6CC4CD80">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kern w:val="0"/>
                <w:sz w:val="24"/>
                <w:szCs w:val="24"/>
                <w:highlight w:val="none"/>
              </w:rPr>
            </w:pPr>
          </w:p>
        </w:tc>
        <w:tc>
          <w:tcPr>
            <w:tcW w:w="5575" w:type="dxa"/>
            <w:vAlign w:val="center"/>
          </w:tcPr>
          <w:p w14:paraId="0243956F">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6.2根据供应商提供的产品的使用寿命长短情况及相应的保障措施进行评议：</w:t>
            </w:r>
          </w:p>
          <w:p w14:paraId="44D54CF6">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①产品使用寿命时间长、相应的保障措施科学合理的得3分；</w:t>
            </w:r>
          </w:p>
          <w:p w14:paraId="67D0D645">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②产品使用寿命时间符合采购需求基本要求、相应的保障措施基本科学合理的得2分；</w:t>
            </w:r>
          </w:p>
          <w:p w14:paraId="076A4410">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③产品使用寿命时间不符合采购需求、相应的保障措施不合理的得1分；</w:t>
            </w:r>
          </w:p>
          <w:p w14:paraId="1699FE5F">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未提供产品使用寿命长短情况及相应的保障措施的不得分。</w:t>
            </w:r>
          </w:p>
        </w:tc>
        <w:tc>
          <w:tcPr>
            <w:tcW w:w="705" w:type="dxa"/>
            <w:vAlign w:val="center"/>
          </w:tcPr>
          <w:p w14:paraId="7F5A1C62">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w:t>
            </w:r>
          </w:p>
        </w:tc>
        <w:tc>
          <w:tcPr>
            <w:tcW w:w="705" w:type="dxa"/>
            <w:vAlign w:val="center"/>
          </w:tcPr>
          <w:p w14:paraId="33EA2C4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主观评审</w:t>
            </w:r>
          </w:p>
        </w:tc>
      </w:tr>
      <w:tr w14:paraId="6574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8" w:type="dxa"/>
            <w:vMerge w:val="continue"/>
            <w:vAlign w:val="center"/>
          </w:tcPr>
          <w:p w14:paraId="308EB839">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rPr>
            </w:pPr>
          </w:p>
        </w:tc>
        <w:tc>
          <w:tcPr>
            <w:tcW w:w="1288" w:type="dxa"/>
            <w:vMerge w:val="continue"/>
            <w:vAlign w:val="center"/>
          </w:tcPr>
          <w:p w14:paraId="2E64184D">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rPr>
            </w:pPr>
          </w:p>
        </w:tc>
        <w:tc>
          <w:tcPr>
            <w:tcW w:w="5575" w:type="dxa"/>
            <w:vAlign w:val="center"/>
          </w:tcPr>
          <w:p w14:paraId="1D4D1FDB">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6.3根据供应商提供的产品的箱体使用故障率，维修保养频率及相应的保障措施进行评议：</w:t>
            </w:r>
          </w:p>
          <w:p w14:paraId="56D1181E">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①产品使用故障率低、维修保养频率低、相应的保障措施科学合理的得3分；</w:t>
            </w:r>
          </w:p>
          <w:p w14:paraId="6E2327E5">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②产品使用故障率一般、维修保养频率一般、相应的保障措施基本科学合理的得2分；</w:t>
            </w:r>
          </w:p>
          <w:p w14:paraId="5428F436">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③产品使用故障率高、维修保养频率高、相应的保障措施不合理的得1分；</w:t>
            </w:r>
          </w:p>
          <w:p w14:paraId="537EBE93">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未提供产品稳定性情况的不得分。</w:t>
            </w:r>
          </w:p>
        </w:tc>
        <w:tc>
          <w:tcPr>
            <w:tcW w:w="705" w:type="dxa"/>
            <w:vAlign w:val="center"/>
          </w:tcPr>
          <w:p w14:paraId="0CED7C71">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w:t>
            </w:r>
          </w:p>
        </w:tc>
        <w:tc>
          <w:tcPr>
            <w:tcW w:w="705" w:type="dxa"/>
            <w:vAlign w:val="center"/>
          </w:tcPr>
          <w:p w14:paraId="4CC63A4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主观评审</w:t>
            </w:r>
          </w:p>
        </w:tc>
      </w:tr>
      <w:tr w14:paraId="1ACF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8" w:type="dxa"/>
            <w:vMerge w:val="continue"/>
            <w:vAlign w:val="center"/>
          </w:tcPr>
          <w:p w14:paraId="0E2A4242">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rPr>
            </w:pPr>
          </w:p>
        </w:tc>
        <w:tc>
          <w:tcPr>
            <w:tcW w:w="1288" w:type="dxa"/>
            <w:vMerge w:val="continue"/>
            <w:vAlign w:val="center"/>
          </w:tcPr>
          <w:p w14:paraId="12C1A5EC">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rPr>
            </w:pPr>
          </w:p>
        </w:tc>
        <w:tc>
          <w:tcPr>
            <w:tcW w:w="5575" w:type="dxa"/>
            <w:vAlign w:val="center"/>
          </w:tcPr>
          <w:p w14:paraId="5E4BACF5">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6.4根据供应商提供的产品的产品连续作业时间长度及相应的保障措施进行评议：</w:t>
            </w:r>
          </w:p>
          <w:p w14:paraId="4F27C57A">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①产品连续作业时间长、相应的保障措施科学合理的得3分；</w:t>
            </w:r>
          </w:p>
          <w:p w14:paraId="5E8C8A3E">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②产品连续作业时间能力基本满足、相应的保障措施基本科学合理的得1分；</w:t>
            </w:r>
          </w:p>
          <w:p w14:paraId="2D5D8828">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③产品连续作业时间能力不足、相应的保障措施不合理的得1分；</w:t>
            </w:r>
          </w:p>
          <w:p w14:paraId="7C32E510">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未提供产品可靠性情况的不得分</w:t>
            </w:r>
            <w:r>
              <w:rPr>
                <w:rFonts w:hint="eastAsia" w:ascii="宋体" w:hAnsi="宋体" w:eastAsia="宋体" w:cs="宋体"/>
                <w:color w:val="auto"/>
                <w:sz w:val="24"/>
                <w:szCs w:val="24"/>
                <w:highlight w:val="none"/>
                <w:lang w:val="en-US" w:eastAsia="zh-CN"/>
              </w:rPr>
              <w:t>。</w:t>
            </w:r>
          </w:p>
        </w:tc>
        <w:tc>
          <w:tcPr>
            <w:tcW w:w="705" w:type="dxa"/>
            <w:vAlign w:val="center"/>
          </w:tcPr>
          <w:p w14:paraId="1439EA10">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w:t>
            </w:r>
          </w:p>
        </w:tc>
        <w:tc>
          <w:tcPr>
            <w:tcW w:w="705" w:type="dxa"/>
            <w:vAlign w:val="center"/>
          </w:tcPr>
          <w:p w14:paraId="3FED186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主观评审</w:t>
            </w:r>
          </w:p>
        </w:tc>
      </w:tr>
      <w:tr w14:paraId="316A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2253C9A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p>
        </w:tc>
        <w:tc>
          <w:tcPr>
            <w:tcW w:w="1288" w:type="dxa"/>
            <w:vMerge w:val="restart"/>
            <w:vAlign w:val="center"/>
          </w:tcPr>
          <w:p w14:paraId="63F480E4">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7、企业实力（</w:t>
            </w:r>
            <w:r>
              <w:rPr>
                <w:rFonts w:hint="eastAsia" w:ascii="宋体" w:hAnsi="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lang w:val="en-US" w:eastAsia="zh-CN"/>
              </w:rPr>
              <w:t>分）</w:t>
            </w:r>
          </w:p>
        </w:tc>
        <w:tc>
          <w:tcPr>
            <w:tcW w:w="5575" w:type="dxa"/>
            <w:vAlign w:val="center"/>
          </w:tcPr>
          <w:p w14:paraId="37C6EA58">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7.1根据供应商提供的产品生产所采用的生产工艺流程的先进性及各个流程的品控措施</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eastAsia="zh-CN"/>
              </w:rPr>
              <w:t>：</w:t>
            </w:r>
          </w:p>
          <w:p w14:paraId="1C9E44D8">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①生产工艺优良、</w:t>
            </w:r>
            <w:r>
              <w:rPr>
                <w:rFonts w:hint="eastAsia" w:ascii="宋体" w:hAnsi="宋体" w:eastAsia="宋体" w:cs="宋体"/>
                <w:color w:val="auto"/>
                <w:sz w:val="24"/>
                <w:szCs w:val="24"/>
                <w:highlight w:val="none"/>
                <w:lang w:val="en-US" w:eastAsia="zh-CN"/>
              </w:rPr>
              <w:t>品控措施完善的得3分；</w:t>
            </w:r>
          </w:p>
          <w:p w14:paraId="18DFF96A">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②生产工艺一般、品控措施一般的得2分；</w:t>
            </w:r>
          </w:p>
          <w:p w14:paraId="364250FB">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③生产工艺欠佳、品控措施不完善的得1分；</w:t>
            </w:r>
          </w:p>
          <w:p w14:paraId="0894C33C">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snapToGrid/>
                <w:color w:val="auto"/>
                <w:kern w:val="2"/>
                <w:sz w:val="24"/>
                <w:szCs w:val="24"/>
                <w:highlight w:val="none"/>
                <w:lang w:val="en-US" w:eastAsia="zh-CN" w:bidi="ar-SA"/>
              </w:rPr>
              <w:t>未提供相关内容的不得分。</w:t>
            </w:r>
          </w:p>
        </w:tc>
        <w:tc>
          <w:tcPr>
            <w:tcW w:w="705" w:type="dxa"/>
            <w:vAlign w:val="center"/>
          </w:tcPr>
          <w:p w14:paraId="54A1208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05" w:type="dxa"/>
            <w:vAlign w:val="center"/>
          </w:tcPr>
          <w:p w14:paraId="6589771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主观评审</w:t>
            </w:r>
          </w:p>
        </w:tc>
      </w:tr>
      <w:tr w14:paraId="3C4C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23497F6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288" w:type="dxa"/>
            <w:vMerge w:val="continue"/>
            <w:vAlign w:val="center"/>
          </w:tcPr>
          <w:p w14:paraId="10D8C73D">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5575" w:type="dxa"/>
            <w:vAlign w:val="center"/>
          </w:tcPr>
          <w:p w14:paraId="76312AC2">
            <w:pPr>
              <w:keepNext w:val="0"/>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7.2根据供应商针对中转站压缩机箱体所做的质量控制方案及措施、成品质量及性能保障措施进行评议 ：</w:t>
            </w:r>
          </w:p>
          <w:p w14:paraId="12CB6D96">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①质量控制方案及措施完善、成品质量及性能保障措施全面的得3分；</w:t>
            </w:r>
          </w:p>
          <w:p w14:paraId="6D22A6A6">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②质量控制方案及措施基本完善、成品质量及性能保障措施基本全面的得2分；</w:t>
            </w:r>
          </w:p>
          <w:p w14:paraId="4F3E1630">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③质量控制方案及措施不完善、成品质量及性能保障措施不全面的得1分；</w:t>
            </w:r>
          </w:p>
          <w:p w14:paraId="3D9C0DBD">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未提供相关内容的不得分。</w:t>
            </w:r>
          </w:p>
        </w:tc>
        <w:tc>
          <w:tcPr>
            <w:tcW w:w="705" w:type="dxa"/>
            <w:vAlign w:val="center"/>
          </w:tcPr>
          <w:p w14:paraId="646D1AE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05" w:type="dxa"/>
            <w:vAlign w:val="center"/>
          </w:tcPr>
          <w:p w14:paraId="24A4768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主观评审</w:t>
            </w:r>
          </w:p>
        </w:tc>
      </w:tr>
      <w:tr w14:paraId="4FCC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8" w:type="dxa"/>
            <w:vMerge w:val="continue"/>
            <w:vAlign w:val="center"/>
          </w:tcPr>
          <w:p w14:paraId="5BF73DB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88" w:type="dxa"/>
            <w:vMerge w:val="continue"/>
            <w:vAlign w:val="center"/>
          </w:tcPr>
          <w:p w14:paraId="1F0CC00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p>
        </w:tc>
        <w:tc>
          <w:tcPr>
            <w:tcW w:w="5575" w:type="dxa"/>
            <w:shd w:val="clear" w:color="auto" w:fill="auto"/>
            <w:vAlign w:val="center"/>
          </w:tcPr>
          <w:p w14:paraId="2340878B">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w:t>
            </w:r>
            <w:r>
              <w:rPr>
                <w:rFonts w:hint="eastAsia" w:ascii="宋体" w:hAnsi="宋体" w:cs="宋体"/>
                <w:color w:val="auto"/>
                <w:sz w:val="24"/>
                <w:szCs w:val="24"/>
                <w:highlight w:val="none"/>
                <w:lang w:val="en-US" w:eastAsia="zh-CN"/>
              </w:rPr>
              <w:t>供应商实力</w:t>
            </w:r>
          </w:p>
          <w:p w14:paraId="538DB878">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（1）投标人同时具有有效期内的质量管理体系、环境管理体系、职业健康安全管理体系认证证书的得1分；</w:t>
            </w:r>
          </w:p>
          <w:p w14:paraId="553699D2">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（2）投标人具有有效期内安全生产许可证的得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0092826B">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（3）投标人具有有效期内环境保护设施运营组织服务认证的得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2A5C425C">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提供证书复印件加盖公章</w:t>
            </w:r>
          </w:p>
        </w:tc>
        <w:tc>
          <w:tcPr>
            <w:tcW w:w="705" w:type="dxa"/>
            <w:shd w:val="clear" w:color="auto" w:fill="auto"/>
            <w:vAlign w:val="center"/>
          </w:tcPr>
          <w:p w14:paraId="2F983F9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705" w:type="dxa"/>
            <w:vAlign w:val="center"/>
          </w:tcPr>
          <w:p w14:paraId="1E14979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客观评审</w:t>
            </w:r>
          </w:p>
        </w:tc>
      </w:tr>
      <w:tr w14:paraId="316C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09A5241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88" w:type="dxa"/>
            <w:vAlign w:val="center"/>
          </w:tcPr>
          <w:p w14:paraId="44E5D25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8、项目人员团队方案（5分）</w:t>
            </w:r>
          </w:p>
        </w:tc>
        <w:tc>
          <w:tcPr>
            <w:tcW w:w="5575" w:type="dxa"/>
            <w:vAlign w:val="center"/>
          </w:tcPr>
          <w:p w14:paraId="29032764">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供应商需结合自身实际提供的</w:t>
            </w:r>
            <w:r>
              <w:rPr>
                <w:rFonts w:hint="eastAsia" w:ascii="宋体" w:hAnsi="宋体" w:eastAsia="宋体" w:cs="宋体"/>
                <w:color w:val="auto"/>
                <w:sz w:val="24"/>
                <w:szCs w:val="24"/>
                <w:highlight w:val="none"/>
                <w:lang w:val="en-US" w:eastAsia="zh-CN"/>
              </w:rPr>
              <w:t>项目人员团队</w:t>
            </w:r>
            <w:r>
              <w:rPr>
                <w:rFonts w:hint="eastAsia" w:ascii="宋体" w:hAnsi="宋体" w:eastAsia="宋体" w:cs="宋体"/>
                <w:color w:val="auto"/>
                <w:kern w:val="2"/>
                <w:sz w:val="24"/>
                <w:szCs w:val="24"/>
                <w:highlight w:val="none"/>
                <w:lang w:val="en-US" w:eastAsia="zh-CN" w:bidi="ar-SA"/>
              </w:rPr>
              <w:t>情况（包含人员经验、售后人员资质证书、售后人员数量）进行评议：</w:t>
            </w:r>
          </w:p>
          <w:p w14:paraId="785C9A8E">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①人员配置合理、人员经验丰富且人员整体素质良好，能顺利完成售后任务的得5分；</w:t>
            </w:r>
          </w:p>
          <w:p w14:paraId="48419F94">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②人员配置较合理、人员经验丰富且人员整体素质较好，能顺利完成售后任务的得4分；</w:t>
            </w:r>
          </w:p>
          <w:p w14:paraId="0A0877DA">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③人员配置基本合理、人员经验及人员整体素质一般，基本能顺利完成售后任务的得3分；</w:t>
            </w:r>
          </w:p>
          <w:p w14:paraId="2694600A">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④人员配置存在缺陷有待改进，实行上略有欠缺的得2分；</w:t>
            </w:r>
          </w:p>
          <w:p w14:paraId="07BCFE30">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⑤人员配置不合理，实行上有欠缺的得1分；</w:t>
            </w:r>
          </w:p>
          <w:p w14:paraId="0ED30682">
            <w:pPr>
              <w:keepNext w:val="0"/>
              <w:keepLines w:val="0"/>
              <w:pageBreakBefore w:val="0"/>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未提供相关内容的不得分。</w:t>
            </w:r>
          </w:p>
        </w:tc>
        <w:tc>
          <w:tcPr>
            <w:tcW w:w="705" w:type="dxa"/>
            <w:vAlign w:val="center"/>
          </w:tcPr>
          <w:p w14:paraId="3E0B217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vAlign w:val="center"/>
          </w:tcPr>
          <w:p w14:paraId="0661923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14:paraId="5095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015A27A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88" w:type="dxa"/>
            <w:vAlign w:val="center"/>
          </w:tcPr>
          <w:p w14:paraId="218319A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9、业绩（2分）</w:t>
            </w:r>
          </w:p>
        </w:tc>
        <w:tc>
          <w:tcPr>
            <w:tcW w:w="5575" w:type="dxa"/>
            <w:vAlign w:val="center"/>
          </w:tcPr>
          <w:p w14:paraId="42FB095D">
            <w:pPr>
              <w:keepNext w:val="0"/>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供应商自2022年1月1日以来（以合同签订日期为准），具有本项目同类业绩（内容至少包含中转站压缩机箱体更换及基坑等基础设施维修）的，每提供1个业绩得1分，最高得2分。</w:t>
            </w:r>
          </w:p>
          <w:p w14:paraId="44407AE6">
            <w:pPr>
              <w:keepNext w:val="0"/>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注：投标文件中须同时提供合同扫描件、中标（成交）通知书。未提供或提供不全的不得分。</w:t>
            </w:r>
          </w:p>
        </w:tc>
        <w:tc>
          <w:tcPr>
            <w:tcW w:w="705" w:type="dxa"/>
            <w:vAlign w:val="center"/>
          </w:tcPr>
          <w:p w14:paraId="04C0383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05" w:type="dxa"/>
            <w:vAlign w:val="center"/>
          </w:tcPr>
          <w:p w14:paraId="0588F62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客观评审</w:t>
            </w:r>
          </w:p>
        </w:tc>
      </w:tr>
      <w:tr w14:paraId="14AB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360C9F7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p>
        </w:tc>
        <w:tc>
          <w:tcPr>
            <w:tcW w:w="1288" w:type="dxa"/>
            <w:vAlign w:val="center"/>
          </w:tcPr>
          <w:p w14:paraId="3BEC6D96">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
              </w:rPr>
              <w:t>政策加分（1分）</w:t>
            </w:r>
          </w:p>
        </w:tc>
        <w:tc>
          <w:tcPr>
            <w:tcW w:w="5575" w:type="dxa"/>
            <w:vAlign w:val="center"/>
          </w:tcPr>
          <w:p w14:paraId="57D3751E">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节能环保产品（1分）：</w:t>
            </w:r>
          </w:p>
          <w:p w14:paraId="1086597E">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w:t>
            </w:r>
            <w:r>
              <w:rPr>
                <w:rFonts w:hint="eastAsia" w:ascii="宋体" w:hAnsi="宋体" w:eastAsia="宋体"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rPr>
              <w:t>属于《节能产品政府采购品目清单》范围的且具有国家确定的认证机构出具的、处于有效期之内的节能产品认证证书的得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p>
          <w:p w14:paraId="087A1F81">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w:t>
            </w:r>
            <w:r>
              <w:rPr>
                <w:rFonts w:hint="eastAsia" w:ascii="宋体" w:hAnsi="宋体" w:eastAsia="宋体"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rPr>
              <w:t>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p>
          <w:p w14:paraId="3273712E">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注：投标文件中必须同时提供以下资料：</w:t>
            </w:r>
          </w:p>
          <w:p w14:paraId="2F339214">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4A0B3D9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vAlign w:val="center"/>
          </w:tcPr>
          <w:p w14:paraId="03860B5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w:t>
            </w:r>
          </w:p>
        </w:tc>
        <w:tc>
          <w:tcPr>
            <w:tcW w:w="705" w:type="dxa"/>
            <w:vAlign w:val="center"/>
          </w:tcPr>
          <w:p w14:paraId="164E4A0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客观评审</w:t>
            </w:r>
          </w:p>
        </w:tc>
      </w:tr>
      <w:tr w14:paraId="2B31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1" w:type="dxa"/>
            <w:gridSpan w:val="3"/>
            <w:vAlign w:val="center"/>
          </w:tcPr>
          <w:p w14:paraId="599DCF1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总分</w:t>
            </w:r>
          </w:p>
        </w:tc>
        <w:tc>
          <w:tcPr>
            <w:tcW w:w="705" w:type="dxa"/>
            <w:vAlign w:val="center"/>
          </w:tcPr>
          <w:p w14:paraId="3C31FCD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5" w:type="dxa"/>
            <w:vAlign w:val="center"/>
          </w:tcPr>
          <w:p w14:paraId="221E883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r>
    </w:tbl>
    <w:p w14:paraId="4F27026D">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auto"/>
          <w:sz w:val="24"/>
        </w:rPr>
      </w:pPr>
      <w:r>
        <w:rPr>
          <w:rFonts w:hint="eastAsia" w:ascii="宋体" w:hAnsi="宋体" w:cs="宋体"/>
          <w:b w:val="0"/>
          <w:bCs/>
          <w:color w:val="auto"/>
          <w:sz w:val="24"/>
        </w:rPr>
        <w:t>备注：</w:t>
      </w:r>
      <w:r>
        <w:rPr>
          <w:rFonts w:hint="eastAsia" w:ascii="宋体" w:hAnsi="宋体" w:cs="宋体"/>
          <w:b w:val="0"/>
          <w:bCs/>
          <w:color w:val="auto"/>
          <w:sz w:val="24"/>
          <w:lang w:val="en-US" w:eastAsia="zh-CN"/>
        </w:rPr>
        <w:t>1、</w:t>
      </w:r>
      <w:r>
        <w:rPr>
          <w:rFonts w:hint="eastAsia" w:ascii="宋体" w:hAnsi="宋体" w:cs="宋体"/>
          <w:b w:val="0"/>
          <w:bCs/>
          <w:color w:val="auto"/>
          <w:sz w:val="24"/>
          <w:lang w:eastAsia="zh-CN"/>
        </w:rPr>
        <w:t>供应商</w:t>
      </w:r>
      <w:r>
        <w:rPr>
          <w:rFonts w:hint="eastAsia" w:ascii="宋体" w:hAnsi="宋体" w:cs="宋体"/>
          <w:b w:val="0"/>
          <w:bCs/>
          <w:color w:val="auto"/>
          <w:sz w:val="24"/>
        </w:rPr>
        <w:t>编制投标文件（商务技术文件部分）时，建议按此目录（序号和内容）提供评标标准相应的商务技术资料</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rPr>
        <w:t>、小数点后保留</w:t>
      </w:r>
      <w:r>
        <w:rPr>
          <w:rFonts w:hint="eastAsia" w:ascii="宋体" w:hAnsi="宋体" w:cs="宋体"/>
          <w:b w:val="0"/>
          <w:bCs/>
          <w:color w:val="auto"/>
          <w:sz w:val="24"/>
          <w:lang w:val="en-US" w:eastAsia="zh-CN"/>
        </w:rPr>
        <w:t>二</w:t>
      </w:r>
      <w:r>
        <w:rPr>
          <w:rFonts w:hint="eastAsia" w:ascii="宋体" w:hAnsi="宋体" w:eastAsia="宋体" w:cs="宋体"/>
          <w:b w:val="0"/>
          <w:bCs/>
          <w:color w:val="auto"/>
          <w:sz w:val="24"/>
        </w:rPr>
        <w:t>位数。</w:t>
      </w:r>
      <w:r>
        <w:rPr>
          <w:rFonts w:hint="eastAsia" w:ascii="宋体" w:hAnsi="宋体" w:eastAsia="宋体" w:cs="宋体"/>
          <w:b w:val="0"/>
          <w:bCs/>
          <w:color w:val="auto"/>
          <w:sz w:val="24"/>
          <w:lang w:val="en-US" w:eastAsia="zh-CN"/>
        </w:rPr>
        <w:t>3</w:t>
      </w:r>
      <w:r>
        <w:rPr>
          <w:rFonts w:hint="eastAsia" w:ascii="宋体" w:hAnsi="宋体" w:eastAsia="宋体" w:cs="宋体"/>
          <w:b w:val="0"/>
          <w:bCs/>
          <w:color w:val="auto"/>
          <w:sz w:val="24"/>
        </w:rPr>
        <w:t>、各评标委员会成员自行按以上参考分值评分。</w:t>
      </w:r>
      <w:r>
        <w:rPr>
          <w:rFonts w:hint="eastAsia" w:ascii="宋体" w:hAnsi="宋体" w:eastAsia="宋体" w:cs="宋体"/>
          <w:b w:val="0"/>
          <w:bCs/>
          <w:color w:val="auto"/>
          <w:sz w:val="24"/>
          <w:lang w:val="en-US" w:eastAsia="zh-CN"/>
        </w:rPr>
        <w:t>4</w:t>
      </w:r>
      <w:r>
        <w:rPr>
          <w:rFonts w:hint="eastAsia" w:ascii="宋体" w:hAnsi="宋体" w:eastAsia="宋体" w:cs="宋体"/>
          <w:b w:val="0"/>
          <w:bCs/>
          <w:color w:val="auto"/>
          <w:sz w:val="24"/>
        </w:rPr>
        <w:t>、重大事件由评标委员会集体讨论，应当按照少数服从多数的原则作出结论。</w:t>
      </w:r>
    </w:p>
    <w:p w14:paraId="7C88F864">
      <w:pPr>
        <w:kinsoku/>
        <w:wordWrap/>
        <w:overflowPunct/>
        <w:topLinePunct w:val="0"/>
        <w:bidi w:val="0"/>
        <w:spacing w:after="120" w:afterLines="0"/>
        <w:jc w:val="center"/>
        <w:outlineLvl w:val="9"/>
        <w:rPr>
          <w:rFonts w:hint="eastAsia" w:ascii="宋体" w:hAnsi="宋体" w:eastAsia="宋体" w:cs="宋体"/>
          <w:b/>
          <w:bCs/>
          <w:color w:val="auto"/>
          <w:sz w:val="32"/>
          <w:szCs w:val="40"/>
          <w:highlight w:val="none"/>
          <w:lang w:val="en-US" w:eastAsia="zh-CN" w:bidi="ar-SA"/>
        </w:rPr>
      </w:pPr>
    </w:p>
    <w:p w14:paraId="259F179C">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rPr>
      </w:pPr>
      <w:r>
        <w:rPr>
          <w:rFonts w:hint="eastAsia" w:ascii="宋体" w:hAnsi="宋体" w:eastAsia="宋体" w:cs="宋体"/>
          <w:b/>
          <w:bCs/>
          <w:color w:val="auto"/>
          <w:sz w:val="32"/>
          <w:szCs w:val="40"/>
          <w:highlight w:val="none"/>
          <w:lang w:val="en-US" w:eastAsia="zh-CN" w:bidi="ar-SA"/>
        </w:rPr>
        <w:br w:type="page"/>
      </w:r>
    </w:p>
    <w:p w14:paraId="36A24738">
      <w:pPr>
        <w:kinsoku/>
        <w:wordWrap/>
        <w:overflowPunct/>
        <w:topLinePunct w:val="0"/>
        <w:bidi w:val="0"/>
        <w:snapToGrid w:val="0"/>
        <w:spacing w:line="360" w:lineRule="auto"/>
        <w:outlineLvl w:val="9"/>
        <w:rPr>
          <w:rFonts w:ascii="宋体" w:hAnsi="宋体" w:cs="宋体"/>
          <w:b/>
          <w:color w:val="auto"/>
          <w:sz w:val="28"/>
          <w:szCs w:val="28"/>
        </w:rPr>
      </w:pPr>
      <w:r>
        <w:rPr>
          <w:rFonts w:hint="eastAsia" w:ascii="宋体" w:hAnsi="宋体" w:cs="宋体"/>
          <w:b/>
          <w:color w:val="auto"/>
          <w:sz w:val="32"/>
        </w:rPr>
        <w:t>一、评标方法</w:t>
      </w:r>
    </w:p>
    <w:p w14:paraId="5E69D114">
      <w:pPr>
        <w:kinsoku/>
        <w:wordWrap/>
        <w:overflowPunct/>
        <w:topLinePunct w:val="0"/>
        <w:bidi w:val="0"/>
        <w:adjustRightInd/>
        <w:spacing w:line="360" w:lineRule="auto"/>
        <w:ind w:firstLine="472" w:firstLineChars="196"/>
        <w:outlineLvl w:val="9"/>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w:t>
      </w:r>
      <w:r>
        <w:rPr>
          <w:rFonts w:hint="eastAsia" w:ascii="宋体" w:hAnsi="宋体" w:cs="宋体"/>
          <w:color w:val="auto"/>
          <w:kern w:val="0"/>
          <w:sz w:val="24"/>
          <w:lang w:eastAsia="zh-CN"/>
        </w:rPr>
        <w:t>供应商</w:t>
      </w:r>
      <w:r>
        <w:rPr>
          <w:rFonts w:hint="eastAsia" w:ascii="宋体" w:hAnsi="宋体" w:cs="宋体"/>
          <w:color w:val="auto"/>
          <w:kern w:val="0"/>
          <w:sz w:val="24"/>
        </w:rPr>
        <w:t>为中标候选人的评标方法。</w:t>
      </w:r>
    </w:p>
    <w:p w14:paraId="4850054E">
      <w:pPr>
        <w:kinsoku/>
        <w:wordWrap/>
        <w:overflowPunct/>
        <w:topLinePunct w:val="0"/>
        <w:bidi w:val="0"/>
        <w:adjustRightInd/>
        <w:spacing w:line="360" w:lineRule="auto"/>
        <w:outlineLvl w:val="9"/>
        <w:rPr>
          <w:rFonts w:ascii="宋体" w:hAnsi="宋体" w:cs="宋体"/>
          <w:color w:val="auto"/>
          <w:kern w:val="0"/>
          <w:sz w:val="24"/>
        </w:rPr>
      </w:pPr>
      <w:r>
        <w:rPr>
          <w:rFonts w:hint="eastAsia" w:ascii="宋体" w:hAnsi="宋体" w:cs="宋体"/>
          <w:b/>
          <w:color w:val="auto"/>
          <w:sz w:val="32"/>
        </w:rPr>
        <w:t>二、评标标准</w:t>
      </w:r>
    </w:p>
    <w:p w14:paraId="2ED58072">
      <w:pPr>
        <w:kinsoku/>
        <w:wordWrap/>
        <w:overflowPunct/>
        <w:topLinePunct w:val="0"/>
        <w:bidi w:val="0"/>
        <w:spacing w:line="360" w:lineRule="auto"/>
        <w:ind w:firstLine="472" w:firstLineChars="196"/>
        <w:outlineLvl w:val="9"/>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1480B76">
      <w:pPr>
        <w:kinsoku/>
        <w:wordWrap/>
        <w:overflowPunct/>
        <w:topLinePunct w:val="0"/>
        <w:bidi w:val="0"/>
        <w:snapToGrid w:val="0"/>
        <w:spacing w:line="360" w:lineRule="auto"/>
        <w:outlineLvl w:val="9"/>
        <w:rPr>
          <w:rFonts w:hint="eastAsia" w:ascii="宋体" w:hAnsi="宋体" w:cs="宋体"/>
          <w:b/>
          <w:color w:val="auto"/>
          <w:sz w:val="32"/>
        </w:rPr>
      </w:pPr>
      <w:r>
        <w:rPr>
          <w:rFonts w:hint="eastAsia" w:ascii="宋体" w:hAnsi="宋体" w:cs="宋体"/>
          <w:b/>
          <w:color w:val="auto"/>
          <w:sz w:val="32"/>
        </w:rPr>
        <w:t>三、评标程序</w:t>
      </w:r>
    </w:p>
    <w:p w14:paraId="493FF053">
      <w:pPr>
        <w:kinsoku/>
        <w:wordWrap/>
        <w:overflowPunct/>
        <w:topLinePunct w:val="0"/>
        <w:bidi w:val="0"/>
        <w:spacing w:line="360" w:lineRule="auto"/>
        <w:ind w:firstLine="472" w:firstLineChars="196"/>
        <w:outlineLvl w:val="9"/>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w:t>
      </w:r>
      <w:r>
        <w:rPr>
          <w:rFonts w:hint="eastAsia" w:ascii="宋体" w:hAnsi="宋体" w:cs="宋体"/>
          <w:color w:val="auto"/>
          <w:kern w:val="0"/>
          <w:sz w:val="24"/>
          <w:lang w:eastAsia="zh-CN"/>
        </w:rPr>
        <w:t>供应商</w:t>
      </w:r>
      <w:r>
        <w:rPr>
          <w:rFonts w:hint="eastAsia" w:ascii="宋体" w:hAnsi="宋体" w:cs="宋体"/>
          <w:color w:val="auto"/>
          <w:kern w:val="0"/>
          <w:sz w:val="24"/>
        </w:rPr>
        <w:t>的投标文件进行符合性审查，以确定其是否满足招标文件的实质性要求。不满足招标文件的实质性要求的，投标无效。</w:t>
      </w:r>
    </w:p>
    <w:p w14:paraId="6578C6A8">
      <w:pPr>
        <w:kinsoku/>
        <w:wordWrap/>
        <w:overflowPunct/>
        <w:topLinePunct w:val="0"/>
        <w:bidi w:val="0"/>
        <w:spacing w:line="360" w:lineRule="auto"/>
        <w:ind w:firstLine="472" w:firstLineChars="196"/>
        <w:outlineLvl w:val="9"/>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C150C09">
      <w:pPr>
        <w:kinsoku/>
        <w:wordWrap/>
        <w:overflowPunct/>
        <w:topLinePunct w:val="0"/>
        <w:bidi w:val="0"/>
        <w:spacing w:line="360" w:lineRule="auto"/>
        <w:ind w:firstLine="472" w:firstLineChars="196"/>
        <w:outlineLvl w:val="9"/>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w:t>
      </w:r>
      <w:r>
        <w:rPr>
          <w:rFonts w:hint="eastAsia" w:ascii="宋体" w:hAnsi="宋体" w:cs="宋体"/>
          <w:color w:val="auto"/>
          <w:kern w:val="0"/>
          <w:sz w:val="24"/>
          <w:lang w:eastAsia="zh-CN"/>
        </w:rPr>
        <w:t>供应商</w:t>
      </w:r>
      <w:r>
        <w:rPr>
          <w:rFonts w:hint="eastAsia" w:ascii="宋体" w:hAnsi="宋体" w:cs="宋体"/>
          <w:color w:val="auto"/>
          <w:kern w:val="0"/>
          <w:sz w:val="24"/>
        </w:rPr>
        <w:t>的商务和技术文件进行评价，并汇总商务技术得分情况。</w:t>
      </w:r>
    </w:p>
    <w:p w14:paraId="49E1AE26">
      <w:pPr>
        <w:kinsoku/>
        <w:wordWrap/>
        <w:overflowPunct/>
        <w:topLinePunct w:val="0"/>
        <w:bidi w:val="0"/>
        <w:spacing w:line="360" w:lineRule="auto"/>
        <w:ind w:firstLine="472" w:firstLineChars="196"/>
        <w:outlineLvl w:val="9"/>
        <w:rPr>
          <w:rFonts w:ascii="宋体" w:hAnsi="宋体" w:cs="宋体"/>
          <w:b/>
          <w:color w:val="auto"/>
          <w:kern w:val="0"/>
          <w:sz w:val="24"/>
        </w:rPr>
      </w:pPr>
      <w:r>
        <w:rPr>
          <w:rFonts w:hint="eastAsia" w:ascii="宋体" w:hAnsi="宋体" w:cs="宋体"/>
          <w:b/>
          <w:color w:val="auto"/>
          <w:kern w:val="0"/>
          <w:sz w:val="24"/>
        </w:rPr>
        <w:t>3.4报价评审。</w:t>
      </w:r>
    </w:p>
    <w:p w14:paraId="70D7B518">
      <w:pPr>
        <w:pStyle w:val="130"/>
        <w:kinsoku/>
        <w:wordWrap/>
        <w:overflowPunct/>
        <w:topLinePunct w:val="0"/>
        <w:bidi w:val="0"/>
        <w:spacing w:before="0"/>
        <w:ind w:firstLine="508" w:firstLineChars="212"/>
        <w:outlineLvl w:val="9"/>
        <w:rPr>
          <w:rFonts w:ascii="宋体" w:hAnsi="宋体" w:cs="宋体"/>
          <w:color w:val="auto"/>
          <w:kern w:val="0"/>
        </w:rPr>
      </w:pPr>
      <w:r>
        <w:rPr>
          <w:rFonts w:hint="eastAsia" w:ascii="宋体" w:hAnsi="宋体" w:cs="宋体"/>
          <w:color w:val="auto"/>
          <w:kern w:val="0"/>
        </w:rPr>
        <w:t>3.4.1投标文件报价出现前后不一致的，按照下列规定修正：</w:t>
      </w:r>
    </w:p>
    <w:p w14:paraId="0357706A">
      <w:pPr>
        <w:pStyle w:val="130"/>
        <w:kinsoku/>
        <w:wordWrap/>
        <w:overflowPunct/>
        <w:topLinePunct w:val="0"/>
        <w:bidi w:val="0"/>
        <w:spacing w:before="0"/>
        <w:ind w:firstLine="480"/>
        <w:outlineLvl w:val="9"/>
        <w:rPr>
          <w:rFonts w:hint="eastAsia" w:ascii="宋体" w:hAnsi="宋体" w:eastAsia="宋体" w:cs="宋体"/>
          <w:color w:val="auto"/>
          <w:kern w:val="0"/>
          <w:szCs w:val="24"/>
          <w:lang w:eastAsia="zh-CN"/>
        </w:rPr>
      </w:pPr>
      <w:r>
        <w:rPr>
          <w:rFonts w:hint="eastAsia" w:ascii="宋体" w:hAnsi="宋体" w:cs="宋体"/>
          <w:color w:val="auto"/>
          <w:kern w:val="0"/>
          <w:szCs w:val="24"/>
        </w:rPr>
        <w:t>3.4.1.1投标文件中开标一览表(报价表)内容与投标文件中相应内容不一致的，以开标一览表(报价表)为准</w:t>
      </w:r>
      <w:r>
        <w:rPr>
          <w:rFonts w:hint="eastAsia" w:ascii="宋体" w:hAnsi="宋体" w:cs="宋体"/>
          <w:color w:val="auto"/>
          <w:kern w:val="0"/>
          <w:szCs w:val="24"/>
          <w:lang w:eastAsia="zh-CN"/>
        </w:rPr>
        <w:t>；</w:t>
      </w:r>
    </w:p>
    <w:p w14:paraId="2BE7EDAB">
      <w:pPr>
        <w:pStyle w:val="130"/>
        <w:kinsoku/>
        <w:wordWrap/>
        <w:overflowPunct/>
        <w:topLinePunct w:val="0"/>
        <w:bidi w:val="0"/>
        <w:spacing w:before="0"/>
        <w:ind w:firstLine="480"/>
        <w:outlineLvl w:val="9"/>
        <w:rPr>
          <w:rFonts w:hint="eastAsia" w:ascii="宋体" w:hAnsi="宋体" w:eastAsia="宋体" w:cs="宋体"/>
          <w:color w:val="auto"/>
          <w:kern w:val="0"/>
          <w:szCs w:val="24"/>
          <w:lang w:eastAsia="zh-CN"/>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2CF27013">
      <w:pPr>
        <w:pStyle w:val="130"/>
        <w:kinsoku/>
        <w:wordWrap/>
        <w:overflowPunct/>
        <w:topLinePunct w:val="0"/>
        <w:bidi w:val="0"/>
        <w:spacing w:before="0"/>
        <w:ind w:firstLine="480"/>
        <w:outlineLvl w:val="9"/>
        <w:rPr>
          <w:rFonts w:hint="eastAsia" w:ascii="宋体" w:hAnsi="宋体" w:eastAsia="宋体" w:cs="宋体"/>
          <w:color w:val="auto"/>
          <w:kern w:val="0"/>
          <w:szCs w:val="24"/>
          <w:lang w:eastAsia="zh-CN"/>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7E68A9CB">
      <w:pPr>
        <w:pStyle w:val="130"/>
        <w:kinsoku/>
        <w:wordWrap/>
        <w:overflowPunct/>
        <w:topLinePunct w:val="0"/>
        <w:bidi w:val="0"/>
        <w:spacing w:before="0"/>
        <w:ind w:firstLine="480"/>
        <w:outlineLvl w:val="9"/>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5913FCC">
      <w:pPr>
        <w:pStyle w:val="130"/>
        <w:kinsoku/>
        <w:wordWrap/>
        <w:overflowPunct/>
        <w:topLinePunct w:val="0"/>
        <w:bidi w:val="0"/>
        <w:spacing w:before="0"/>
        <w:ind w:firstLine="480"/>
        <w:outlineLvl w:val="9"/>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auto"/>
          <w:kern w:val="0"/>
          <w:szCs w:val="24"/>
          <w:lang w:eastAsia="zh-CN"/>
        </w:rPr>
        <w:t>供应商</w:t>
      </w:r>
      <w:r>
        <w:rPr>
          <w:rFonts w:hint="eastAsia" w:ascii="宋体" w:hAnsi="宋体" w:cs="宋体"/>
          <w:color w:val="auto"/>
          <w:kern w:val="0"/>
          <w:szCs w:val="24"/>
        </w:rPr>
        <w:t>确认后产生约束力。</w:t>
      </w:r>
    </w:p>
    <w:p w14:paraId="335D6574">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4D44669">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507B724D">
      <w:pPr>
        <w:pStyle w:val="130"/>
        <w:kinsoku/>
        <w:wordWrap/>
        <w:overflowPunct/>
        <w:topLinePunct w:val="0"/>
        <w:bidi w:val="0"/>
        <w:spacing w:before="0"/>
        <w:ind w:firstLine="480"/>
        <w:outlineLvl w:val="9"/>
        <w:rPr>
          <w:rFonts w:ascii="宋体" w:hAnsi="宋体" w:cs="宋体"/>
          <w:color w:val="auto"/>
          <w:kern w:val="0"/>
          <w:szCs w:val="24"/>
        </w:rPr>
      </w:pPr>
      <w:r>
        <w:rPr>
          <w:rFonts w:hint="eastAsia" w:ascii="宋体" w:hAnsi="宋体" w:cs="宋体"/>
          <w:color w:val="auto"/>
          <w:kern w:val="0"/>
          <w:szCs w:val="24"/>
        </w:rPr>
        <w:t>3.4.4评标委员会认为</w:t>
      </w:r>
      <w:r>
        <w:rPr>
          <w:rFonts w:hint="eastAsia" w:ascii="宋体" w:hAnsi="宋体" w:cs="宋体"/>
          <w:color w:val="auto"/>
          <w:kern w:val="0"/>
          <w:szCs w:val="24"/>
          <w:lang w:eastAsia="zh-CN"/>
        </w:rPr>
        <w:t>供应商</w:t>
      </w:r>
      <w:r>
        <w:rPr>
          <w:rFonts w:hint="eastAsia" w:ascii="宋体" w:hAnsi="宋体" w:cs="宋体"/>
          <w:color w:val="auto"/>
          <w:kern w:val="0"/>
          <w:szCs w:val="24"/>
        </w:rPr>
        <w:t>的报价明显低于其他通过符合性审查</w:t>
      </w:r>
      <w:r>
        <w:rPr>
          <w:rFonts w:hint="eastAsia" w:ascii="宋体" w:hAnsi="宋体" w:cs="宋体"/>
          <w:color w:val="auto"/>
          <w:kern w:val="0"/>
          <w:szCs w:val="24"/>
          <w:lang w:eastAsia="zh-CN"/>
        </w:rPr>
        <w:t>供应商</w:t>
      </w:r>
      <w:r>
        <w:rPr>
          <w:rFonts w:hint="eastAsia" w:ascii="宋体" w:hAnsi="宋体" w:cs="宋体"/>
          <w:color w:val="auto"/>
          <w:kern w:val="0"/>
          <w:szCs w:val="24"/>
        </w:rPr>
        <w:t>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；供应商</w:t>
      </w:r>
      <w:r>
        <w:rPr>
          <w:rFonts w:hint="eastAsia" w:ascii="宋体" w:hAnsi="宋体" w:cs="宋体"/>
          <w:color w:val="auto"/>
          <w:kern w:val="0"/>
          <w:szCs w:val="24"/>
        </w:rPr>
        <w:t>不能证明其报价合理性的，评标委员会应当将其作为无效投标处理。</w:t>
      </w:r>
    </w:p>
    <w:p w14:paraId="1CC1CC38">
      <w:pPr>
        <w:pStyle w:val="130"/>
        <w:kinsoku/>
        <w:wordWrap/>
        <w:overflowPunct/>
        <w:topLinePunct w:val="0"/>
        <w:bidi w:val="0"/>
        <w:spacing w:before="0"/>
        <w:ind w:firstLine="480"/>
        <w:outlineLvl w:val="9"/>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80C9DC7">
      <w:pPr>
        <w:kinsoku/>
        <w:wordWrap/>
        <w:overflowPunct/>
        <w:topLinePunct w:val="0"/>
        <w:bidi w:val="0"/>
        <w:spacing w:line="360" w:lineRule="auto"/>
        <w:ind w:firstLine="482" w:firstLineChars="200"/>
        <w:outlineLvl w:val="9"/>
        <w:rPr>
          <w:rFonts w:hint="eastAsia" w:ascii="宋体" w:hAnsi="宋体" w:eastAsia="宋体" w:cs="宋体"/>
          <w:color w:val="auto"/>
          <w:kern w:val="0"/>
          <w:sz w:val="24"/>
          <w:lang w:val="en-US" w:eastAsia="zh-CN"/>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lang w:eastAsia="zh-CN"/>
        </w:rPr>
        <w:t>供应商</w:t>
      </w:r>
      <w:r>
        <w:rPr>
          <w:rFonts w:hint="eastAsia" w:ascii="宋体" w:hAnsi="宋体" w:cs="宋体"/>
          <w:color w:val="auto"/>
          <w:kern w:val="0"/>
          <w:sz w:val="24"/>
        </w:rPr>
        <w:t>为排名第一的</w:t>
      </w:r>
      <w:r>
        <w:rPr>
          <w:rFonts w:hint="eastAsia" w:ascii="宋体" w:hAnsi="宋体" w:cs="宋体"/>
          <w:color w:val="auto"/>
          <w:kern w:val="0"/>
          <w:sz w:val="24"/>
          <w:lang w:val="en-US" w:eastAsia="zh-CN"/>
        </w:rPr>
        <w:t>第一</w:t>
      </w:r>
      <w:r>
        <w:rPr>
          <w:rFonts w:hint="eastAsia" w:ascii="宋体" w:hAnsi="宋体" w:cs="宋体"/>
          <w:color w:val="auto"/>
          <w:kern w:val="0"/>
          <w:sz w:val="24"/>
        </w:rPr>
        <w:t>中标候选人</w:t>
      </w:r>
      <w:r>
        <w:rPr>
          <w:rFonts w:hint="eastAsia" w:ascii="宋体" w:hAnsi="宋体" w:cs="宋体"/>
          <w:color w:val="auto"/>
          <w:kern w:val="0"/>
          <w:sz w:val="24"/>
          <w:lang w:eastAsia="zh-CN"/>
        </w:rPr>
        <w:t>。</w:t>
      </w:r>
    </w:p>
    <w:p w14:paraId="0078F86B">
      <w:pPr>
        <w:kinsoku/>
        <w:wordWrap/>
        <w:overflowPunct/>
        <w:topLinePunct w:val="0"/>
        <w:bidi w:val="0"/>
        <w:spacing w:line="360" w:lineRule="auto"/>
        <w:ind w:firstLine="480" w:firstLineChars="200"/>
        <w:outlineLvl w:val="9"/>
        <w:rPr>
          <w:rFonts w:ascii="宋体" w:hAnsi="宋体" w:cs="宋体"/>
          <w:b/>
          <w:color w:val="auto"/>
          <w:kern w:val="0"/>
          <w:sz w:val="24"/>
        </w:rPr>
      </w:pPr>
      <w:r>
        <w:rPr>
          <w:rFonts w:hint="eastAsia" w:ascii="宋体" w:hAnsi="宋体" w:cs="宋体"/>
          <w:color w:val="auto"/>
          <w:kern w:val="0"/>
          <w:sz w:val="24"/>
        </w:rPr>
        <w:t>多家</w:t>
      </w:r>
      <w:r>
        <w:rPr>
          <w:rFonts w:hint="eastAsia" w:ascii="宋体" w:hAnsi="宋体" w:cs="宋体"/>
          <w:color w:val="auto"/>
          <w:kern w:val="0"/>
          <w:sz w:val="24"/>
          <w:lang w:eastAsia="zh-CN"/>
        </w:rPr>
        <w:t>供应商</w:t>
      </w:r>
      <w:r>
        <w:rPr>
          <w:rFonts w:hint="eastAsia" w:ascii="宋体" w:hAnsi="宋体" w:cs="宋体"/>
          <w:color w:val="auto"/>
          <w:kern w:val="0"/>
          <w:sz w:val="24"/>
        </w:rPr>
        <w:t>提供相同品牌产品（单一产品采购项目中的该产品或者非单一产品采购项目的核心产品）且通过资格审查、符合性审查的不同</w:t>
      </w:r>
      <w:r>
        <w:rPr>
          <w:rFonts w:hint="eastAsia" w:ascii="宋体" w:hAnsi="宋体" w:cs="宋体"/>
          <w:color w:val="auto"/>
          <w:kern w:val="0"/>
          <w:sz w:val="24"/>
          <w:lang w:eastAsia="zh-CN"/>
        </w:rPr>
        <w:t>供应商</w:t>
      </w:r>
      <w:r>
        <w:rPr>
          <w:rFonts w:hint="eastAsia" w:ascii="宋体" w:hAnsi="宋体" w:cs="宋体"/>
          <w:color w:val="auto"/>
          <w:kern w:val="0"/>
          <w:sz w:val="24"/>
        </w:rPr>
        <w:t>参加同一合同项下投标的，按一家</w:t>
      </w:r>
      <w:r>
        <w:rPr>
          <w:rFonts w:hint="eastAsia" w:ascii="宋体" w:hAnsi="宋体" w:cs="宋体"/>
          <w:color w:val="auto"/>
          <w:kern w:val="0"/>
          <w:sz w:val="24"/>
          <w:lang w:eastAsia="zh-CN"/>
        </w:rPr>
        <w:t>供应商</w:t>
      </w:r>
      <w:r>
        <w:rPr>
          <w:rFonts w:hint="eastAsia" w:ascii="宋体" w:hAnsi="宋体" w:cs="宋体"/>
          <w:color w:val="auto"/>
          <w:kern w:val="0"/>
          <w:sz w:val="24"/>
        </w:rPr>
        <w:t>计算，评审后得分最高的同品牌</w:t>
      </w:r>
      <w:r>
        <w:rPr>
          <w:rFonts w:hint="eastAsia" w:ascii="宋体" w:hAnsi="宋体" w:cs="宋体"/>
          <w:color w:val="auto"/>
          <w:kern w:val="0"/>
          <w:sz w:val="24"/>
          <w:lang w:eastAsia="zh-CN"/>
        </w:rPr>
        <w:t>供应商</w:t>
      </w:r>
      <w:r>
        <w:rPr>
          <w:rFonts w:hint="eastAsia" w:ascii="宋体" w:hAnsi="宋体" w:cs="宋体"/>
          <w:color w:val="auto"/>
          <w:kern w:val="0"/>
          <w:sz w:val="24"/>
        </w:rPr>
        <w:t>获得中标人推荐资格；评审得分相同的，采取随机抽取方式确定，其他同品牌</w:t>
      </w:r>
      <w:r>
        <w:rPr>
          <w:rFonts w:hint="eastAsia" w:ascii="宋体" w:hAnsi="宋体" w:cs="宋体"/>
          <w:color w:val="auto"/>
          <w:kern w:val="0"/>
          <w:sz w:val="24"/>
          <w:lang w:eastAsia="zh-CN"/>
        </w:rPr>
        <w:t>供应商</w:t>
      </w:r>
      <w:r>
        <w:rPr>
          <w:rFonts w:hint="eastAsia" w:ascii="宋体" w:hAnsi="宋体" w:cs="宋体"/>
          <w:color w:val="auto"/>
          <w:kern w:val="0"/>
          <w:sz w:val="24"/>
        </w:rPr>
        <w:t>不作为中标候选人。</w:t>
      </w:r>
    </w:p>
    <w:p w14:paraId="75770309">
      <w:pPr>
        <w:kinsoku/>
        <w:wordWrap/>
        <w:overflowPunct/>
        <w:topLinePunct w:val="0"/>
        <w:bidi w:val="0"/>
        <w:spacing w:line="360" w:lineRule="auto"/>
        <w:ind w:firstLine="472" w:firstLineChars="196"/>
        <w:outlineLvl w:val="9"/>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69E631">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rPr>
      </w:pPr>
      <w:r>
        <w:rPr>
          <w:rFonts w:hint="eastAsia" w:ascii="宋体" w:hAnsi="宋体" w:cs="宋体"/>
          <w:b/>
          <w:color w:val="auto"/>
          <w:sz w:val="32"/>
        </w:rPr>
        <w:t>四、评标中的其他事项</w:t>
      </w:r>
    </w:p>
    <w:p w14:paraId="68B126D0">
      <w:pPr>
        <w:pStyle w:val="130"/>
        <w:kinsoku/>
        <w:wordWrap/>
        <w:overflowPunct/>
        <w:topLinePunct w:val="0"/>
        <w:bidi w:val="0"/>
        <w:spacing w:before="0"/>
        <w:ind w:firstLine="472" w:firstLineChars="196"/>
        <w:outlineLvl w:val="9"/>
        <w:rPr>
          <w:rFonts w:ascii="宋体" w:hAnsi="宋体" w:cs="宋体"/>
          <w:color w:val="auto"/>
          <w:kern w:val="0"/>
          <w:szCs w:val="24"/>
        </w:rPr>
      </w:pPr>
      <w:r>
        <w:rPr>
          <w:rFonts w:hint="eastAsia" w:ascii="宋体" w:hAnsi="宋体" w:cs="宋体"/>
          <w:b/>
          <w:color w:val="auto"/>
          <w:kern w:val="0"/>
          <w:szCs w:val="24"/>
        </w:rPr>
        <w:t>4.1</w:t>
      </w:r>
      <w:r>
        <w:rPr>
          <w:rFonts w:hint="eastAsia" w:ascii="宋体" w:hAnsi="宋体" w:cs="宋体"/>
          <w:b/>
          <w:color w:val="auto"/>
          <w:kern w:val="0"/>
          <w:szCs w:val="24"/>
          <w:lang w:eastAsia="zh-CN"/>
        </w:rPr>
        <w:t>供应商</w:t>
      </w:r>
      <w:r>
        <w:rPr>
          <w:rFonts w:hint="eastAsia" w:ascii="宋体" w:hAnsi="宋体" w:cs="宋体"/>
          <w:b/>
          <w:color w:val="auto"/>
          <w:kern w:val="0"/>
          <w:szCs w:val="24"/>
        </w:rPr>
        <w:t>澄清、说明或者补正。</w:t>
      </w:r>
      <w:r>
        <w:rPr>
          <w:rFonts w:hint="eastAsia" w:ascii="宋体" w:hAnsi="宋体" w:cs="宋体"/>
          <w:color w:val="auto"/>
          <w:kern w:val="0"/>
          <w:szCs w:val="24"/>
        </w:rPr>
        <w:t>对于投标文件中含义不明确、同类问题表述不一致或者有明显文字和计算错误的内容需要</w:t>
      </w:r>
      <w:r>
        <w:rPr>
          <w:rFonts w:hint="eastAsia" w:ascii="宋体" w:hAnsi="宋体" w:cs="宋体"/>
          <w:color w:val="auto"/>
          <w:kern w:val="0"/>
          <w:szCs w:val="24"/>
          <w:lang w:eastAsia="zh-CN"/>
        </w:rPr>
        <w:t>供应商</w:t>
      </w:r>
      <w:r>
        <w:rPr>
          <w:rFonts w:hint="eastAsia" w:ascii="宋体" w:hAnsi="宋体" w:cs="宋体"/>
          <w:color w:val="auto"/>
          <w:kern w:val="0"/>
          <w:szCs w:val="24"/>
        </w:rPr>
        <w:t>作出必要的澄清、说明或者补正的，评标委员会和</w:t>
      </w:r>
      <w:r>
        <w:rPr>
          <w:rFonts w:hint="eastAsia" w:ascii="宋体" w:hAnsi="宋体" w:cs="宋体"/>
          <w:color w:val="auto"/>
          <w:kern w:val="0"/>
          <w:szCs w:val="24"/>
          <w:lang w:eastAsia="zh-CN"/>
        </w:rPr>
        <w:t>供应商</w:t>
      </w:r>
      <w:r>
        <w:rPr>
          <w:rFonts w:hint="eastAsia" w:ascii="宋体" w:hAnsi="宋体" w:cs="宋体"/>
          <w:color w:val="auto"/>
          <w:kern w:val="0"/>
          <w:szCs w:val="24"/>
        </w:rPr>
        <w:t>通过电子交易平台交换数据电文，</w:t>
      </w:r>
      <w:r>
        <w:rPr>
          <w:rFonts w:hint="eastAsia" w:ascii="宋体" w:hAnsi="宋体" w:cs="宋体"/>
          <w:color w:val="auto"/>
          <w:kern w:val="0"/>
          <w:szCs w:val="24"/>
          <w:lang w:eastAsia="zh-CN"/>
        </w:rPr>
        <w:t>供应商</w:t>
      </w:r>
      <w:r>
        <w:rPr>
          <w:rFonts w:hint="eastAsia" w:ascii="宋体" w:hAnsi="宋体" w:cs="宋体"/>
          <w:color w:val="auto"/>
          <w:kern w:val="0"/>
          <w:szCs w:val="24"/>
        </w:rPr>
        <w:t>提交使用电子签名的相关数据电文或通过平台上传加盖公章的扫描件。给予</w:t>
      </w:r>
      <w:r>
        <w:rPr>
          <w:rFonts w:hint="eastAsia" w:ascii="宋体" w:hAnsi="宋体" w:cs="宋体"/>
          <w:color w:val="auto"/>
          <w:kern w:val="0"/>
          <w:szCs w:val="24"/>
          <w:lang w:eastAsia="zh-CN"/>
        </w:rPr>
        <w:t>供应商</w:t>
      </w:r>
      <w:r>
        <w:rPr>
          <w:rFonts w:hint="eastAsia" w:ascii="宋体" w:hAnsi="宋体" w:cs="宋体"/>
          <w:color w:val="auto"/>
          <w:kern w:val="0"/>
          <w:szCs w:val="24"/>
        </w:rPr>
        <w:t>提交澄清、说明或补正的时间不得少于半小时，</w:t>
      </w:r>
      <w:r>
        <w:rPr>
          <w:rFonts w:hint="eastAsia" w:ascii="宋体" w:hAnsi="宋体" w:cs="宋体"/>
          <w:color w:val="auto"/>
          <w:kern w:val="0"/>
          <w:szCs w:val="24"/>
          <w:lang w:eastAsia="zh-CN"/>
        </w:rPr>
        <w:t>供应商</w:t>
      </w:r>
      <w:r>
        <w:rPr>
          <w:rFonts w:hint="eastAsia" w:ascii="宋体" w:hAnsi="宋体" w:cs="宋体"/>
          <w:color w:val="auto"/>
          <w:kern w:val="0"/>
          <w:szCs w:val="24"/>
        </w:rPr>
        <w:t>已经明确表示澄清说明或补正完毕的除外。</w:t>
      </w:r>
      <w:r>
        <w:rPr>
          <w:rFonts w:hint="eastAsia" w:ascii="宋体" w:hAnsi="宋体" w:cs="宋体"/>
          <w:color w:val="auto"/>
          <w:kern w:val="0"/>
          <w:szCs w:val="24"/>
          <w:lang w:eastAsia="zh-CN"/>
        </w:rPr>
        <w:t>供应商</w:t>
      </w:r>
      <w:r>
        <w:rPr>
          <w:rFonts w:hint="eastAsia" w:ascii="宋体" w:hAnsi="宋体" w:cs="宋体"/>
          <w:color w:val="auto"/>
          <w:kern w:val="0"/>
          <w:szCs w:val="24"/>
        </w:rPr>
        <w:t>的澄清、说明或者补正不得超出投标文件的范围或者改变投标文件的实质性内容。</w:t>
      </w:r>
    </w:p>
    <w:p w14:paraId="64F36678">
      <w:pPr>
        <w:pStyle w:val="26"/>
        <w:kinsoku/>
        <w:wordWrap/>
        <w:overflowPunct/>
        <w:topLinePunct w:val="0"/>
        <w:bidi w:val="0"/>
        <w:spacing w:line="360" w:lineRule="auto"/>
        <w:ind w:left="954" w:leftChars="226" w:hanging="479" w:firstLineChars="0"/>
        <w:outlineLvl w:val="9"/>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DCABCAD">
      <w:pPr>
        <w:kinsoku/>
        <w:wordWrap/>
        <w:overflowPunct/>
        <w:topLinePunct w:val="0"/>
        <w:bidi w:val="0"/>
        <w:spacing w:line="360" w:lineRule="auto"/>
        <w:ind w:firstLine="480" w:firstLineChars="200"/>
        <w:outlineLvl w:val="9"/>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eastAsia="zh-CN"/>
        </w:rPr>
        <w:t>供应商</w:t>
      </w:r>
      <w:r>
        <w:rPr>
          <w:rFonts w:hint="eastAsia" w:ascii="宋体" w:hAnsi="宋体" w:cs="宋体"/>
          <w:color w:val="auto"/>
          <w:kern w:val="0"/>
          <w:sz w:val="24"/>
        </w:rPr>
        <w:t>不具备招标文件中规定的资格要求的（</w:t>
      </w:r>
      <w:r>
        <w:rPr>
          <w:rFonts w:hint="eastAsia" w:ascii="宋体" w:hAnsi="宋体" w:cs="宋体"/>
          <w:color w:val="auto"/>
          <w:kern w:val="0"/>
          <w:sz w:val="24"/>
          <w:lang w:eastAsia="zh-CN"/>
        </w:rPr>
        <w:t>供应商</w:t>
      </w:r>
      <w:r>
        <w:rPr>
          <w:rFonts w:hint="eastAsia" w:ascii="宋体" w:hAnsi="宋体" w:cs="宋体"/>
          <w:color w:val="auto"/>
          <w:kern w:val="0"/>
          <w:sz w:val="24"/>
        </w:rPr>
        <w:t>未提供有效的资格文件的，视为</w:t>
      </w:r>
      <w:r>
        <w:rPr>
          <w:rFonts w:hint="eastAsia" w:ascii="宋体" w:hAnsi="宋体" w:cs="宋体"/>
          <w:color w:val="auto"/>
          <w:kern w:val="0"/>
          <w:sz w:val="24"/>
          <w:lang w:eastAsia="zh-CN"/>
        </w:rPr>
        <w:t>供应商</w:t>
      </w:r>
      <w:r>
        <w:rPr>
          <w:rFonts w:hint="eastAsia" w:ascii="宋体" w:hAnsi="宋体" w:cs="宋体"/>
          <w:color w:val="auto"/>
          <w:kern w:val="0"/>
          <w:sz w:val="24"/>
        </w:rPr>
        <w:t>不具备招标文件中规定的资格要求）；</w:t>
      </w:r>
    </w:p>
    <w:p w14:paraId="6FA0E795">
      <w:pPr>
        <w:kinsoku/>
        <w:wordWrap/>
        <w:overflowPunct/>
        <w:topLinePunct w:val="0"/>
        <w:bidi w:val="0"/>
        <w:spacing w:line="360" w:lineRule="auto"/>
        <w:ind w:firstLine="480" w:firstLineChars="200"/>
        <w:outlineLvl w:val="9"/>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4723062C">
      <w:pPr>
        <w:kinsoku/>
        <w:wordWrap/>
        <w:overflowPunct/>
        <w:topLinePunct w:val="0"/>
        <w:bidi w:val="0"/>
        <w:spacing w:line="360" w:lineRule="auto"/>
        <w:ind w:firstLine="480" w:firstLineChars="200"/>
        <w:outlineLvl w:val="9"/>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w:t>
      </w:r>
      <w:r>
        <w:rPr>
          <w:rFonts w:hint="eastAsia" w:ascii="宋体" w:hAnsi="宋体" w:cs="宋体"/>
          <w:color w:val="auto"/>
          <w:kern w:val="0"/>
          <w:sz w:val="24"/>
          <w:lang w:eastAsia="zh-CN"/>
        </w:rPr>
        <w:t>供应商</w:t>
      </w:r>
      <w:r>
        <w:rPr>
          <w:rFonts w:hint="eastAsia" w:ascii="宋体" w:hAnsi="宋体" w:cs="宋体"/>
          <w:color w:val="auto"/>
          <w:kern w:val="0"/>
          <w:sz w:val="24"/>
        </w:rPr>
        <w:t>相应的投标产品未获得国家确定的认证机构出具的、处于有效期之内的节能产品认证证书的；</w:t>
      </w:r>
    </w:p>
    <w:p w14:paraId="3B39910D">
      <w:pPr>
        <w:kinsoku/>
        <w:wordWrap/>
        <w:overflowPunct/>
        <w:topLinePunct w:val="0"/>
        <w:bidi w:val="0"/>
        <w:spacing w:line="360" w:lineRule="auto"/>
        <w:ind w:firstLine="480" w:firstLineChars="200"/>
        <w:outlineLvl w:val="9"/>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DCF0BC7">
      <w:pPr>
        <w:kinsoku/>
        <w:wordWrap/>
        <w:overflowPunct/>
        <w:topLinePunct w:val="0"/>
        <w:bidi w:val="0"/>
        <w:spacing w:line="360" w:lineRule="auto"/>
        <w:ind w:firstLine="480" w:firstLineChars="200"/>
        <w:outlineLvl w:val="9"/>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943E758">
      <w:pPr>
        <w:kinsoku/>
        <w:wordWrap/>
        <w:overflowPunct/>
        <w:topLinePunct w:val="0"/>
        <w:bidi w:val="0"/>
        <w:spacing w:line="360" w:lineRule="auto"/>
        <w:ind w:firstLine="480" w:firstLineChars="200"/>
        <w:outlineLvl w:val="9"/>
        <w:rPr>
          <w:rFonts w:hint="eastAsia" w:ascii="宋体" w:hAnsi="宋体" w:eastAsia="宋体" w:cs="宋体"/>
          <w:color w:val="auto"/>
          <w:kern w:val="0"/>
          <w:sz w:val="24"/>
          <w:lang w:eastAsia="zh-CN"/>
        </w:rPr>
      </w:pPr>
      <w:r>
        <w:rPr>
          <w:rFonts w:hint="eastAsia" w:ascii="宋体" w:hAnsi="宋体" w:cs="宋体"/>
          <w:color w:val="auto"/>
          <w:kern w:val="0"/>
          <w:sz w:val="24"/>
        </w:rPr>
        <w:t>4.2.6</w:t>
      </w:r>
      <w:r>
        <w:rPr>
          <w:rFonts w:hint="eastAsia" w:ascii="宋体" w:hAnsi="宋体" w:eastAsia="宋体" w:cs="宋体"/>
          <w:color w:val="auto"/>
          <w:kern w:val="0"/>
          <w:sz w:val="24"/>
        </w:rPr>
        <w:t>投标</w:t>
      </w:r>
      <w:r>
        <w:rPr>
          <w:rFonts w:hint="eastAsia" w:ascii="宋体" w:hAnsi="宋体" w:cs="宋体"/>
          <w:color w:val="auto"/>
          <w:kern w:val="0"/>
          <w:sz w:val="24"/>
        </w:rPr>
        <w:t>文件出现不是唯一的、有选择性投标报价的</w:t>
      </w:r>
      <w:r>
        <w:rPr>
          <w:rFonts w:hint="eastAsia" w:ascii="宋体" w:hAnsi="宋体" w:cs="宋体"/>
          <w:color w:val="auto"/>
          <w:kern w:val="0"/>
          <w:sz w:val="24"/>
          <w:lang w:eastAsia="zh-CN"/>
        </w:rPr>
        <w:t>；</w:t>
      </w:r>
    </w:p>
    <w:p w14:paraId="06579036">
      <w:pPr>
        <w:kinsoku/>
        <w:wordWrap/>
        <w:overflowPunct/>
        <w:topLinePunct w:val="0"/>
        <w:bidi w:val="0"/>
        <w:spacing w:line="360" w:lineRule="auto"/>
        <w:ind w:firstLine="480" w:firstLineChars="200"/>
        <w:outlineLvl w:val="9"/>
        <w:rPr>
          <w:rFonts w:hint="eastAsia" w:ascii="宋体" w:hAnsi="宋体" w:eastAsia="宋体" w:cs="宋体"/>
          <w:color w:val="auto"/>
          <w:kern w:val="0"/>
          <w:sz w:val="24"/>
          <w:lang w:eastAsia="zh-CN"/>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2DB34F9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lang w:eastAsia="zh-CN"/>
        </w:rPr>
      </w:pPr>
      <w:r>
        <w:rPr>
          <w:rFonts w:hint="eastAsia" w:ascii="宋体" w:hAnsi="宋体" w:cs="宋体"/>
          <w:color w:val="auto"/>
          <w:kern w:val="0"/>
          <w:sz w:val="24"/>
        </w:rPr>
        <w:t>4.2.8报价明显低于其他通过符合性审查</w:t>
      </w:r>
      <w:r>
        <w:rPr>
          <w:rFonts w:hint="eastAsia" w:ascii="宋体" w:hAnsi="宋体" w:cs="宋体"/>
          <w:color w:val="auto"/>
          <w:kern w:val="0"/>
          <w:sz w:val="24"/>
          <w:lang w:eastAsia="zh-CN"/>
        </w:rPr>
        <w:t>供应商</w:t>
      </w:r>
      <w:r>
        <w:rPr>
          <w:rFonts w:hint="eastAsia" w:ascii="宋体" w:hAnsi="宋体" w:cs="宋体"/>
          <w:color w:val="auto"/>
          <w:kern w:val="0"/>
          <w:sz w:val="24"/>
        </w:rPr>
        <w:t>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7210F5FD">
      <w:pPr>
        <w:kinsoku/>
        <w:wordWrap/>
        <w:overflowPunct/>
        <w:topLinePunct w:val="0"/>
        <w:bidi w:val="0"/>
        <w:spacing w:line="360" w:lineRule="auto"/>
        <w:ind w:firstLine="480" w:firstLineChars="200"/>
        <w:outlineLvl w:val="9"/>
        <w:rPr>
          <w:rFonts w:hint="eastAsia" w:ascii="宋体" w:hAnsi="宋体" w:eastAsia="宋体" w:cs="宋体"/>
          <w:color w:val="auto"/>
          <w:kern w:val="0"/>
          <w:sz w:val="24"/>
        </w:rPr>
      </w:pPr>
      <w:r>
        <w:rPr>
          <w:rFonts w:hint="eastAsia" w:ascii="宋体" w:hAnsi="宋体" w:eastAsia="宋体" w:cs="宋体"/>
          <w:color w:val="auto"/>
          <w:kern w:val="0"/>
          <w:sz w:val="24"/>
        </w:rPr>
        <w:t>4.2.9</w:t>
      </w:r>
      <w:r>
        <w:rPr>
          <w:rFonts w:hint="eastAsia" w:ascii="宋体" w:hAnsi="宋体" w:cs="宋体"/>
          <w:color w:val="auto"/>
          <w:kern w:val="0"/>
          <w:sz w:val="24"/>
          <w:lang w:eastAsia="zh-CN"/>
        </w:rPr>
        <w:t>供应商</w:t>
      </w:r>
      <w:r>
        <w:rPr>
          <w:rFonts w:hint="eastAsia" w:ascii="宋体" w:hAnsi="宋体" w:eastAsia="宋体" w:cs="宋体"/>
          <w:color w:val="auto"/>
          <w:kern w:val="0"/>
          <w:sz w:val="24"/>
        </w:rPr>
        <w:t>对根据修正原则修正后的报价不确认的；</w:t>
      </w:r>
    </w:p>
    <w:p w14:paraId="4C69676A">
      <w:pPr>
        <w:kinsoku/>
        <w:wordWrap/>
        <w:overflowPunct/>
        <w:topLinePunct w:val="0"/>
        <w:bidi w:val="0"/>
        <w:spacing w:line="360" w:lineRule="auto"/>
        <w:ind w:firstLine="480" w:firstLineChars="200"/>
        <w:outlineLvl w:val="9"/>
        <w:rPr>
          <w:rFonts w:hint="eastAsia" w:ascii="宋体" w:hAnsi="宋体" w:eastAsia="宋体" w:cs="宋体"/>
          <w:color w:val="auto"/>
          <w:kern w:val="0"/>
          <w:sz w:val="24"/>
        </w:rPr>
      </w:pPr>
      <w:r>
        <w:rPr>
          <w:rFonts w:hint="eastAsia" w:ascii="宋体" w:hAnsi="宋体" w:eastAsia="宋体" w:cs="宋体"/>
          <w:color w:val="auto"/>
          <w:kern w:val="0"/>
          <w:sz w:val="24"/>
        </w:rPr>
        <w:t>4.2.10</w:t>
      </w:r>
      <w:r>
        <w:rPr>
          <w:rFonts w:hint="eastAsia" w:ascii="宋体" w:hAnsi="宋体" w:cs="宋体"/>
          <w:color w:val="auto"/>
          <w:kern w:val="0"/>
          <w:sz w:val="24"/>
          <w:lang w:eastAsia="zh-CN"/>
        </w:rPr>
        <w:t>供应商</w:t>
      </w:r>
      <w:r>
        <w:rPr>
          <w:rFonts w:hint="eastAsia" w:ascii="宋体" w:hAnsi="宋体" w:eastAsia="宋体" w:cs="宋体"/>
          <w:color w:val="auto"/>
          <w:kern w:val="0"/>
          <w:sz w:val="24"/>
        </w:rPr>
        <w:t>提供虚假材料投标的；</w:t>
      </w:r>
    </w:p>
    <w:p w14:paraId="77DA4B7F">
      <w:pPr>
        <w:kinsoku/>
        <w:wordWrap/>
        <w:overflowPunct/>
        <w:topLinePunct w:val="0"/>
        <w:bidi w:val="0"/>
        <w:spacing w:line="360" w:lineRule="auto"/>
        <w:ind w:firstLine="480" w:firstLineChars="200"/>
        <w:outlineLvl w:val="9"/>
        <w:rPr>
          <w:rFonts w:hint="eastAsia" w:ascii="宋体" w:hAnsi="宋体" w:eastAsia="宋体" w:cs="宋体"/>
          <w:color w:val="auto"/>
          <w:kern w:val="0"/>
          <w:sz w:val="24"/>
        </w:rPr>
      </w:pPr>
      <w:r>
        <w:rPr>
          <w:rFonts w:hint="eastAsia" w:ascii="宋体" w:hAnsi="宋体" w:eastAsia="宋体" w:cs="宋体"/>
          <w:color w:val="auto"/>
          <w:kern w:val="0"/>
          <w:sz w:val="24"/>
        </w:rPr>
        <w:t>4.2.11</w:t>
      </w:r>
      <w:r>
        <w:rPr>
          <w:rFonts w:hint="eastAsia" w:ascii="宋体" w:hAnsi="宋体" w:cs="宋体"/>
          <w:color w:val="auto"/>
          <w:kern w:val="0"/>
          <w:sz w:val="24"/>
          <w:lang w:eastAsia="zh-CN"/>
        </w:rPr>
        <w:t>供应商</w:t>
      </w:r>
      <w:r>
        <w:rPr>
          <w:rFonts w:hint="eastAsia" w:ascii="宋体" w:hAnsi="宋体" w:eastAsia="宋体" w:cs="宋体"/>
          <w:color w:val="auto"/>
          <w:kern w:val="0"/>
          <w:sz w:val="24"/>
        </w:rPr>
        <w:t>有恶意串通、妨碍其他</w:t>
      </w:r>
      <w:r>
        <w:rPr>
          <w:rFonts w:hint="eastAsia" w:ascii="宋体" w:hAnsi="宋体" w:cs="宋体"/>
          <w:color w:val="auto"/>
          <w:kern w:val="0"/>
          <w:sz w:val="24"/>
          <w:lang w:eastAsia="zh-CN"/>
        </w:rPr>
        <w:t>供应商</w:t>
      </w:r>
      <w:r>
        <w:rPr>
          <w:rFonts w:hint="eastAsia" w:ascii="宋体" w:hAnsi="宋体" w:eastAsia="宋体" w:cs="宋体"/>
          <w:color w:val="auto"/>
          <w:kern w:val="0"/>
          <w:sz w:val="24"/>
        </w:rPr>
        <w:t>的竞争行为、损害采购人或者其他</w:t>
      </w:r>
      <w:r>
        <w:rPr>
          <w:rFonts w:hint="eastAsia" w:ascii="宋体" w:hAnsi="宋体" w:cs="宋体"/>
          <w:color w:val="auto"/>
          <w:kern w:val="0"/>
          <w:sz w:val="24"/>
          <w:lang w:eastAsia="zh-CN"/>
        </w:rPr>
        <w:t>供应商</w:t>
      </w:r>
      <w:r>
        <w:rPr>
          <w:rFonts w:hint="eastAsia" w:ascii="宋体" w:hAnsi="宋体" w:eastAsia="宋体" w:cs="宋体"/>
          <w:color w:val="auto"/>
          <w:kern w:val="0"/>
          <w:sz w:val="24"/>
        </w:rPr>
        <w:t>的合法权益情形的；</w:t>
      </w:r>
    </w:p>
    <w:p w14:paraId="15063FE5">
      <w:pPr>
        <w:kinsoku/>
        <w:wordWrap/>
        <w:overflowPunct/>
        <w:topLinePunct w:val="0"/>
        <w:bidi w:val="0"/>
        <w:spacing w:line="360" w:lineRule="auto"/>
        <w:ind w:firstLine="480" w:firstLineChars="200"/>
        <w:outlineLvl w:val="9"/>
        <w:rPr>
          <w:rFonts w:hint="eastAsia" w:ascii="宋体" w:hAnsi="宋体" w:eastAsia="宋体" w:cs="宋体"/>
          <w:color w:val="auto"/>
          <w:kern w:val="0"/>
          <w:sz w:val="24"/>
        </w:rPr>
      </w:pPr>
      <w:r>
        <w:rPr>
          <w:rFonts w:hint="eastAsia" w:ascii="宋体" w:hAnsi="宋体" w:eastAsia="宋体" w:cs="宋体"/>
          <w:color w:val="auto"/>
          <w:kern w:val="0"/>
          <w:sz w:val="24"/>
        </w:rPr>
        <w:t>4.2.12</w:t>
      </w:r>
      <w:r>
        <w:rPr>
          <w:rFonts w:hint="eastAsia" w:ascii="宋体" w:hAnsi="宋体" w:cs="宋体"/>
          <w:color w:val="auto"/>
          <w:kern w:val="0"/>
          <w:sz w:val="24"/>
          <w:lang w:eastAsia="zh-CN"/>
        </w:rPr>
        <w:t>供应商</w:t>
      </w:r>
      <w:r>
        <w:rPr>
          <w:rFonts w:hint="eastAsia" w:ascii="宋体" w:hAnsi="宋体" w:eastAsia="宋体" w:cs="宋体"/>
          <w:color w:val="auto"/>
          <w:kern w:val="0"/>
          <w:sz w:val="24"/>
        </w:rPr>
        <w:t>仅提交备份投标文件，未在电子交易平台传输递交投标文件的，投标无效；</w:t>
      </w:r>
    </w:p>
    <w:p w14:paraId="06A1999E">
      <w:pPr>
        <w:kinsoku/>
        <w:wordWrap/>
        <w:overflowPunct/>
        <w:topLinePunct w:val="0"/>
        <w:bidi w:val="0"/>
        <w:spacing w:line="360" w:lineRule="auto"/>
        <w:ind w:firstLine="480" w:firstLineChars="200"/>
        <w:outlineLvl w:val="9"/>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4.2.13投标文件不满足招标文件的其它实质性要求的；</w:t>
      </w:r>
    </w:p>
    <w:p w14:paraId="3B77DF7A">
      <w:pPr>
        <w:pStyle w:val="7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4.2.14参与同一个采购包（标段）的供应商存在下列情形之一且无法合理解释的，其投标（响应）文件无效：①不同供应商的电子投标（响应）文件上传计算机的网卡MAC地址、IP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50B461EA">
      <w:pPr>
        <w:kinsoku/>
        <w:wordWrap/>
        <w:overflowPunct/>
        <w:topLinePunct w:val="0"/>
        <w:bidi w:val="0"/>
        <w:spacing w:line="360" w:lineRule="auto"/>
        <w:ind w:firstLine="480" w:firstLineChars="200"/>
        <w:outlineLvl w:val="9"/>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法律、法规、规章（适用本市的）及省级以上规范性文件（适用本市的）规定的其他无效情形。</w:t>
      </w:r>
    </w:p>
    <w:p w14:paraId="1F7F833E">
      <w:pPr>
        <w:pStyle w:val="26"/>
        <w:kinsoku/>
        <w:wordWrap/>
        <w:overflowPunct/>
        <w:topLinePunct w:val="0"/>
        <w:bidi w:val="0"/>
        <w:snapToGrid w:val="0"/>
        <w:spacing w:line="360" w:lineRule="auto"/>
        <w:ind w:firstLine="472" w:firstLineChars="196"/>
        <w:outlineLvl w:val="9"/>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446190D">
      <w:pPr>
        <w:pStyle w:val="26"/>
        <w:kinsoku/>
        <w:wordWrap/>
        <w:overflowPunct/>
        <w:topLinePunct w:val="0"/>
        <w:bidi w:val="0"/>
        <w:snapToGrid w:val="0"/>
        <w:spacing w:line="360" w:lineRule="auto"/>
        <w:outlineLvl w:val="9"/>
        <w:rPr>
          <w:rFonts w:cs="宋体"/>
          <w:color w:val="auto"/>
        </w:rPr>
      </w:pPr>
      <w:r>
        <w:rPr>
          <w:rFonts w:hint="eastAsia" w:cs="宋体"/>
          <w:color w:val="auto"/>
        </w:rPr>
        <w:t>5.1符合专业条件的供应商或者对招标文件作实质响应的供应商不足3家的；</w:t>
      </w:r>
    </w:p>
    <w:p w14:paraId="444419C2">
      <w:pPr>
        <w:pStyle w:val="26"/>
        <w:kinsoku/>
        <w:wordWrap/>
        <w:overflowPunct/>
        <w:topLinePunct w:val="0"/>
        <w:bidi w:val="0"/>
        <w:snapToGrid w:val="0"/>
        <w:spacing w:line="360" w:lineRule="auto"/>
        <w:outlineLvl w:val="9"/>
        <w:rPr>
          <w:rFonts w:cs="宋体"/>
          <w:color w:val="auto"/>
        </w:rPr>
      </w:pPr>
      <w:r>
        <w:rPr>
          <w:rFonts w:hint="eastAsia" w:cs="宋体"/>
          <w:color w:val="auto"/>
        </w:rPr>
        <w:t>5.2出现影响采购公正的违法、违规行为的；</w:t>
      </w:r>
    </w:p>
    <w:p w14:paraId="7B665DF3">
      <w:pPr>
        <w:pStyle w:val="26"/>
        <w:kinsoku/>
        <w:wordWrap/>
        <w:overflowPunct/>
        <w:topLinePunct w:val="0"/>
        <w:bidi w:val="0"/>
        <w:snapToGrid w:val="0"/>
        <w:spacing w:line="360" w:lineRule="auto"/>
        <w:outlineLvl w:val="9"/>
        <w:rPr>
          <w:rFonts w:cs="宋体"/>
          <w:color w:val="auto"/>
        </w:rPr>
      </w:pPr>
      <w:r>
        <w:rPr>
          <w:rFonts w:hint="eastAsia" w:cs="宋体"/>
          <w:color w:val="auto"/>
        </w:rPr>
        <w:t>5.3</w:t>
      </w:r>
      <w:r>
        <w:rPr>
          <w:rFonts w:hint="eastAsia" w:cs="宋体"/>
          <w:color w:val="auto"/>
          <w:lang w:eastAsia="zh-CN"/>
        </w:rPr>
        <w:t>供应商</w:t>
      </w:r>
      <w:r>
        <w:rPr>
          <w:rFonts w:hint="eastAsia" w:cs="宋体"/>
          <w:color w:val="auto"/>
        </w:rPr>
        <w:t>的报价均超过了采购预算，采购人不能支付的；</w:t>
      </w:r>
    </w:p>
    <w:p w14:paraId="2D7C893F">
      <w:pPr>
        <w:pStyle w:val="26"/>
        <w:kinsoku/>
        <w:wordWrap/>
        <w:overflowPunct/>
        <w:topLinePunct w:val="0"/>
        <w:bidi w:val="0"/>
        <w:snapToGrid w:val="0"/>
        <w:spacing w:line="360" w:lineRule="auto"/>
        <w:outlineLvl w:val="9"/>
        <w:rPr>
          <w:rFonts w:cs="宋体"/>
          <w:color w:val="auto"/>
        </w:rPr>
      </w:pPr>
      <w:r>
        <w:rPr>
          <w:rFonts w:hint="eastAsia" w:cs="宋体"/>
          <w:color w:val="auto"/>
        </w:rPr>
        <w:t>5.4因重大变故，采购任务取消的。</w:t>
      </w:r>
    </w:p>
    <w:p w14:paraId="25606668">
      <w:pPr>
        <w:pStyle w:val="26"/>
        <w:kinsoku/>
        <w:wordWrap/>
        <w:overflowPunct/>
        <w:topLinePunct w:val="0"/>
        <w:bidi w:val="0"/>
        <w:snapToGrid w:val="0"/>
        <w:spacing w:line="360" w:lineRule="auto"/>
        <w:outlineLvl w:val="9"/>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w:t>
      </w:r>
      <w:r>
        <w:rPr>
          <w:rFonts w:hint="eastAsia" w:cs="宋体"/>
          <w:color w:val="auto"/>
          <w:lang w:eastAsia="zh-CN"/>
        </w:rPr>
        <w:t>供应商</w:t>
      </w:r>
      <w:r>
        <w:rPr>
          <w:rFonts w:hint="eastAsia" w:cs="宋体"/>
          <w:color w:val="auto"/>
        </w:rPr>
        <w:t>。</w:t>
      </w:r>
    </w:p>
    <w:p w14:paraId="4CABE265">
      <w:pPr>
        <w:pStyle w:val="26"/>
        <w:kinsoku/>
        <w:wordWrap/>
        <w:overflowPunct/>
        <w:topLinePunct w:val="0"/>
        <w:bidi w:val="0"/>
        <w:snapToGrid w:val="0"/>
        <w:spacing w:line="360" w:lineRule="auto"/>
        <w:ind w:firstLine="590" w:firstLineChars="245"/>
        <w:outlineLvl w:val="9"/>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792E8C9E">
      <w:pPr>
        <w:pStyle w:val="26"/>
        <w:kinsoku/>
        <w:wordWrap/>
        <w:overflowPunct/>
        <w:topLinePunct w:val="0"/>
        <w:bidi w:val="0"/>
        <w:snapToGrid w:val="0"/>
        <w:spacing w:line="360" w:lineRule="auto"/>
        <w:ind w:firstLine="482"/>
        <w:outlineLvl w:val="9"/>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6DC3C9BC">
      <w:pPr>
        <w:pStyle w:val="26"/>
        <w:kinsoku/>
        <w:wordWrap/>
        <w:overflowPunct/>
        <w:topLinePunct w:val="0"/>
        <w:bidi w:val="0"/>
        <w:snapToGrid w:val="0"/>
        <w:spacing w:line="360" w:lineRule="auto"/>
        <w:outlineLvl w:val="9"/>
        <w:rPr>
          <w:rFonts w:cs="宋体"/>
          <w:color w:val="auto"/>
        </w:rPr>
      </w:pPr>
      <w:r>
        <w:rPr>
          <w:rFonts w:hint="eastAsia" w:cs="宋体"/>
          <w:color w:val="auto"/>
        </w:rPr>
        <w:t>7.1未确定中标供应商的，终止本次政府采购活动，重新开展政府采购活动。</w:t>
      </w:r>
    </w:p>
    <w:p w14:paraId="6F185757">
      <w:pPr>
        <w:pStyle w:val="26"/>
        <w:kinsoku/>
        <w:wordWrap/>
        <w:overflowPunct/>
        <w:topLinePunct w:val="0"/>
        <w:bidi w:val="0"/>
        <w:snapToGrid w:val="0"/>
        <w:spacing w:line="360" w:lineRule="auto"/>
        <w:outlineLvl w:val="9"/>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45EF81F9">
      <w:pPr>
        <w:pStyle w:val="26"/>
        <w:kinsoku/>
        <w:wordWrap/>
        <w:overflowPunct/>
        <w:topLinePunct w:val="0"/>
        <w:bidi w:val="0"/>
        <w:snapToGrid w:val="0"/>
        <w:spacing w:line="360" w:lineRule="auto"/>
        <w:outlineLvl w:val="9"/>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9E3666F">
      <w:pPr>
        <w:pStyle w:val="26"/>
        <w:kinsoku/>
        <w:wordWrap/>
        <w:overflowPunct/>
        <w:topLinePunct w:val="0"/>
        <w:bidi w:val="0"/>
        <w:snapToGrid w:val="0"/>
        <w:spacing w:line="360" w:lineRule="auto"/>
        <w:outlineLvl w:val="9"/>
        <w:rPr>
          <w:rFonts w:cs="宋体"/>
          <w:color w:val="auto"/>
        </w:rPr>
      </w:pPr>
      <w:r>
        <w:rPr>
          <w:rFonts w:hint="eastAsia" w:cs="宋体"/>
          <w:color w:val="auto"/>
        </w:rPr>
        <w:t>7.4政府采购合同已经履行，给采购人、供应商造成损失的，由责任人承担赔偿责任。</w:t>
      </w:r>
    </w:p>
    <w:p w14:paraId="63F17F05">
      <w:pPr>
        <w:pStyle w:val="26"/>
        <w:kinsoku/>
        <w:wordWrap/>
        <w:overflowPunct/>
        <w:topLinePunct w:val="0"/>
        <w:bidi w:val="0"/>
        <w:snapToGrid w:val="0"/>
        <w:spacing w:line="360" w:lineRule="auto"/>
        <w:outlineLvl w:val="9"/>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05DCA492">
      <w:pPr>
        <w:pStyle w:val="26"/>
        <w:kinsoku/>
        <w:wordWrap/>
        <w:overflowPunct/>
        <w:topLinePunct w:val="0"/>
        <w:bidi w:val="0"/>
        <w:snapToGrid w:val="0"/>
        <w:spacing w:line="360" w:lineRule="auto"/>
        <w:ind w:firstLine="0" w:firstLineChars="0"/>
        <w:outlineLvl w:val="9"/>
        <w:rPr>
          <w:rFonts w:cs="宋体"/>
          <w:color w:val="auto"/>
        </w:rPr>
      </w:pPr>
    </w:p>
    <w:bookmarkEnd w:id="31"/>
    <w:p w14:paraId="2CDAF1AA">
      <w:pPr>
        <w:kinsoku/>
        <w:wordWrap/>
        <w:overflowPunct/>
        <w:topLinePunct w:val="0"/>
        <w:bidi w:val="0"/>
        <w:spacing w:line="360" w:lineRule="auto"/>
        <w:ind w:left="720" w:leftChars="343" w:firstLine="1084" w:firstLineChars="300"/>
        <w:outlineLvl w:val="9"/>
        <w:rPr>
          <w:rFonts w:ascii="宋体" w:hAnsi="宋体" w:cs="宋体"/>
          <w:b/>
          <w:color w:val="auto"/>
          <w:sz w:val="36"/>
          <w:szCs w:val="36"/>
        </w:rPr>
      </w:pPr>
      <w:bookmarkStart w:id="400" w:name="第五部分"/>
      <w:bookmarkStart w:id="401" w:name="_Toc86217003"/>
    </w:p>
    <w:p w14:paraId="1E282B8B">
      <w:pPr>
        <w:kinsoku/>
        <w:wordWrap/>
        <w:overflowPunct/>
        <w:topLinePunct w:val="0"/>
        <w:bidi w:val="0"/>
        <w:outlineLvl w:val="9"/>
        <w:rPr>
          <w:rFonts w:hint="eastAsia" w:ascii="宋体" w:hAnsi="宋体" w:cs="宋体"/>
          <w:b/>
          <w:color w:val="auto"/>
          <w:sz w:val="36"/>
          <w:szCs w:val="36"/>
        </w:rPr>
      </w:pPr>
      <w:r>
        <w:rPr>
          <w:rFonts w:hint="eastAsia" w:ascii="宋体" w:hAnsi="宋体" w:cs="宋体"/>
          <w:b/>
          <w:color w:val="auto"/>
          <w:sz w:val="36"/>
          <w:szCs w:val="36"/>
        </w:rPr>
        <w:br w:type="page"/>
      </w:r>
    </w:p>
    <w:p w14:paraId="4F1ED10B">
      <w:pPr>
        <w:kinsoku/>
        <w:wordWrap/>
        <w:overflowPunct/>
        <w:topLinePunct w:val="0"/>
        <w:bidi w:val="0"/>
        <w:spacing w:line="360" w:lineRule="auto"/>
        <w:ind w:left="720" w:leftChars="343" w:firstLine="1084" w:firstLineChars="300"/>
        <w:outlineLvl w:val="0"/>
        <w:rPr>
          <w:rFonts w:ascii="宋体" w:hAnsi="宋体" w:cs="宋体"/>
          <w:b/>
          <w:color w:val="auto"/>
          <w:sz w:val="36"/>
          <w:szCs w:val="36"/>
        </w:rPr>
      </w:pPr>
      <w:bookmarkStart w:id="402" w:name="_Toc8264"/>
      <w:r>
        <w:rPr>
          <w:rFonts w:hint="eastAsia" w:ascii="宋体" w:hAnsi="宋体" w:cs="宋体"/>
          <w:b/>
          <w:color w:val="auto"/>
          <w:sz w:val="36"/>
          <w:szCs w:val="36"/>
        </w:rPr>
        <w:t>第五部分 拟签订的合同文本</w:t>
      </w:r>
      <w:bookmarkEnd w:id="402"/>
    </w:p>
    <w:p w14:paraId="60C3D80B">
      <w:pPr>
        <w:kinsoku/>
        <w:wordWrap/>
        <w:overflowPunct/>
        <w:topLinePunct w:val="0"/>
        <w:bidi w:val="0"/>
        <w:outlineLvl w:val="9"/>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01A329F2">
      <w:pPr>
        <w:kinsoku/>
        <w:wordWrap/>
        <w:overflowPunct/>
        <w:topLinePunct w:val="0"/>
        <w:bidi w:val="0"/>
        <w:spacing w:line="480" w:lineRule="auto"/>
        <w:jc w:val="center"/>
        <w:outlineLvl w:val="9"/>
        <w:rPr>
          <w:rFonts w:ascii="宋体" w:hAnsi="宋体" w:cs="宋体"/>
          <w:b/>
          <w:color w:val="auto"/>
          <w:sz w:val="28"/>
          <w:szCs w:val="28"/>
        </w:rPr>
      </w:pPr>
    </w:p>
    <w:p w14:paraId="3A2DAA5D">
      <w:pPr>
        <w:kinsoku/>
        <w:wordWrap/>
        <w:overflowPunct/>
        <w:topLinePunct w:val="0"/>
        <w:bidi w:val="0"/>
        <w:spacing w:line="480" w:lineRule="auto"/>
        <w:jc w:val="center"/>
        <w:outlineLvl w:val="9"/>
        <w:rPr>
          <w:rFonts w:ascii="宋体" w:hAnsi="宋体" w:cs="宋体"/>
          <w:b/>
          <w:color w:val="auto"/>
          <w:sz w:val="24"/>
        </w:rPr>
      </w:pPr>
    </w:p>
    <w:p w14:paraId="71E73BD4">
      <w:pPr>
        <w:kinsoku/>
        <w:wordWrap/>
        <w:overflowPunct/>
        <w:topLinePunct w:val="0"/>
        <w:bidi w:val="0"/>
        <w:spacing w:line="480" w:lineRule="auto"/>
        <w:jc w:val="center"/>
        <w:outlineLvl w:val="9"/>
        <w:rPr>
          <w:rFonts w:ascii="宋体" w:hAnsi="宋体" w:cs="宋体"/>
          <w:b/>
          <w:color w:val="auto"/>
          <w:sz w:val="24"/>
        </w:rPr>
      </w:pPr>
    </w:p>
    <w:p w14:paraId="24B483E4">
      <w:pPr>
        <w:kinsoku/>
        <w:wordWrap/>
        <w:overflowPunct/>
        <w:topLinePunct w:val="0"/>
        <w:bidi w:val="0"/>
        <w:spacing w:line="480" w:lineRule="auto"/>
        <w:jc w:val="center"/>
        <w:outlineLvl w:val="9"/>
        <w:rPr>
          <w:rFonts w:ascii="宋体" w:hAnsi="宋体" w:cs="宋体"/>
          <w:b/>
          <w:color w:val="auto"/>
          <w:sz w:val="36"/>
          <w:szCs w:val="36"/>
        </w:rPr>
      </w:pPr>
      <w:r>
        <w:rPr>
          <w:rFonts w:hint="eastAsia" w:ascii="宋体" w:hAnsi="宋体" w:cs="宋体"/>
          <w:b/>
          <w:color w:val="auto"/>
          <w:sz w:val="36"/>
          <w:szCs w:val="36"/>
        </w:rPr>
        <w:t>政府采购合同参考范本</w:t>
      </w:r>
    </w:p>
    <w:p w14:paraId="3CF942CC">
      <w:pPr>
        <w:kinsoku/>
        <w:wordWrap/>
        <w:overflowPunct/>
        <w:topLinePunct w:val="0"/>
        <w:bidi w:val="0"/>
        <w:spacing w:line="480" w:lineRule="auto"/>
        <w:jc w:val="center"/>
        <w:outlineLvl w:val="9"/>
        <w:rPr>
          <w:rFonts w:ascii="宋体" w:hAnsi="宋体" w:cs="宋体"/>
          <w:b/>
          <w:color w:val="auto"/>
          <w:sz w:val="36"/>
          <w:szCs w:val="36"/>
        </w:rPr>
      </w:pPr>
      <w:r>
        <w:rPr>
          <w:rFonts w:hint="eastAsia" w:ascii="宋体" w:hAnsi="宋体" w:cs="宋体"/>
          <w:b/>
          <w:color w:val="auto"/>
          <w:sz w:val="36"/>
          <w:szCs w:val="36"/>
        </w:rPr>
        <w:t>（货物类）</w:t>
      </w:r>
    </w:p>
    <w:p w14:paraId="739816D2">
      <w:pPr>
        <w:pStyle w:val="699"/>
        <w:kinsoku/>
        <w:wordWrap/>
        <w:overflowPunct/>
        <w:topLinePunct w:val="0"/>
        <w:bidi w:val="0"/>
        <w:outlineLvl w:val="9"/>
        <w:rPr>
          <w:rFonts w:ascii="宋体" w:hAnsi="宋体" w:cs="宋体"/>
          <w:color w:val="auto"/>
          <w:szCs w:val="24"/>
        </w:rPr>
      </w:pPr>
    </w:p>
    <w:p w14:paraId="5C5D3CA4">
      <w:pPr>
        <w:pStyle w:val="699"/>
        <w:kinsoku/>
        <w:wordWrap/>
        <w:overflowPunct/>
        <w:topLinePunct w:val="0"/>
        <w:bidi w:val="0"/>
        <w:outlineLvl w:val="9"/>
        <w:rPr>
          <w:rFonts w:ascii="宋体" w:hAnsi="宋体" w:cs="宋体"/>
          <w:color w:val="auto"/>
          <w:szCs w:val="24"/>
        </w:rPr>
      </w:pPr>
    </w:p>
    <w:p w14:paraId="5627FA1B">
      <w:pPr>
        <w:pStyle w:val="699"/>
        <w:kinsoku/>
        <w:wordWrap/>
        <w:overflowPunct/>
        <w:topLinePunct w:val="0"/>
        <w:bidi w:val="0"/>
        <w:jc w:val="center"/>
        <w:outlineLvl w:val="9"/>
        <w:rPr>
          <w:rFonts w:ascii="宋体" w:hAnsi="宋体" w:cs="宋体"/>
          <w:color w:val="auto"/>
          <w:szCs w:val="24"/>
        </w:rPr>
      </w:pPr>
    </w:p>
    <w:p w14:paraId="2AECEBBC">
      <w:pPr>
        <w:pStyle w:val="699"/>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rPr>
      </w:pPr>
      <w:r>
        <w:rPr>
          <w:rFonts w:hint="eastAsia" w:ascii="宋体" w:hAnsi="宋体" w:cs="宋体"/>
          <w:b/>
          <w:color w:val="auto"/>
          <w:szCs w:val="24"/>
        </w:rPr>
        <w:t>第一部分 合同书</w:t>
      </w:r>
    </w:p>
    <w:p w14:paraId="6CFF095F">
      <w:pPr>
        <w:pStyle w:val="699"/>
        <w:kinsoku/>
        <w:wordWrap/>
        <w:overflowPunct/>
        <w:topLinePunct w:val="0"/>
        <w:bidi w:val="0"/>
        <w:outlineLvl w:val="9"/>
        <w:rPr>
          <w:rFonts w:ascii="宋体" w:hAnsi="宋体" w:cs="宋体"/>
          <w:color w:val="auto"/>
          <w:szCs w:val="24"/>
        </w:rPr>
      </w:pPr>
    </w:p>
    <w:p w14:paraId="02A51DB4">
      <w:pPr>
        <w:pStyle w:val="699"/>
        <w:kinsoku/>
        <w:wordWrap/>
        <w:overflowPunct/>
        <w:topLinePunct w:val="0"/>
        <w:bidi w:val="0"/>
        <w:outlineLvl w:val="9"/>
        <w:rPr>
          <w:rFonts w:ascii="宋体" w:hAnsi="宋体" w:cs="宋体"/>
          <w:color w:val="auto"/>
          <w:szCs w:val="24"/>
        </w:rPr>
      </w:pPr>
    </w:p>
    <w:p w14:paraId="23CFA2AE">
      <w:pPr>
        <w:kinsoku/>
        <w:wordWrap/>
        <w:overflowPunct/>
        <w:topLinePunct w:val="0"/>
        <w:bidi w:val="0"/>
        <w:spacing w:before="120" w:line="22" w:lineRule="atLeast"/>
        <w:outlineLvl w:val="9"/>
        <w:rPr>
          <w:rFonts w:ascii="宋体" w:hAnsi="宋体" w:cs="宋体"/>
          <w:color w:val="auto"/>
          <w:sz w:val="24"/>
        </w:rPr>
      </w:pPr>
    </w:p>
    <w:p w14:paraId="64620161">
      <w:pPr>
        <w:kinsoku/>
        <w:wordWrap/>
        <w:overflowPunct/>
        <w:topLinePunct w:val="0"/>
        <w:bidi w:val="0"/>
        <w:spacing w:before="120" w:line="22" w:lineRule="atLeast"/>
        <w:ind w:left="960"/>
        <w:outlineLvl w:val="9"/>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75D82D7">
      <w:pPr>
        <w:pStyle w:val="596"/>
        <w:kinsoku/>
        <w:wordWrap/>
        <w:overflowPunct/>
        <w:topLinePunct w:val="0"/>
        <w:bidi w:val="0"/>
        <w:spacing w:before="120" w:line="22" w:lineRule="atLeast"/>
        <w:outlineLvl w:val="9"/>
        <w:rPr>
          <w:rFonts w:ascii="宋体" w:hAnsi="宋体" w:eastAsia="宋体" w:cs="宋体"/>
          <w:color w:val="auto"/>
          <w:szCs w:val="24"/>
        </w:rPr>
      </w:pPr>
    </w:p>
    <w:p w14:paraId="277C9C0E">
      <w:pPr>
        <w:pStyle w:val="596"/>
        <w:kinsoku/>
        <w:wordWrap/>
        <w:overflowPunct/>
        <w:topLinePunct w:val="0"/>
        <w:bidi w:val="0"/>
        <w:spacing w:before="120" w:line="22" w:lineRule="atLeast"/>
        <w:outlineLvl w:val="9"/>
        <w:rPr>
          <w:rFonts w:ascii="宋体" w:hAnsi="宋体" w:eastAsia="宋体" w:cs="宋体"/>
          <w:color w:val="auto"/>
          <w:szCs w:val="24"/>
        </w:rPr>
      </w:pPr>
    </w:p>
    <w:p w14:paraId="0D0682A4">
      <w:pPr>
        <w:kinsoku/>
        <w:wordWrap/>
        <w:overflowPunct/>
        <w:topLinePunct w:val="0"/>
        <w:bidi w:val="0"/>
        <w:outlineLvl w:val="9"/>
        <w:rPr>
          <w:rFonts w:ascii="宋体" w:hAnsi="宋体" w:cs="宋体"/>
          <w:color w:val="auto"/>
          <w:sz w:val="24"/>
        </w:rPr>
      </w:pPr>
    </w:p>
    <w:p w14:paraId="4E77E3F8">
      <w:pPr>
        <w:kinsoku/>
        <w:wordWrap/>
        <w:overflowPunct/>
        <w:topLinePunct w:val="0"/>
        <w:bidi w:val="0"/>
        <w:spacing w:before="120" w:line="22" w:lineRule="atLeast"/>
        <w:ind w:left="960"/>
        <w:outlineLvl w:val="9"/>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684DCA81">
      <w:pPr>
        <w:kinsoku/>
        <w:wordWrap/>
        <w:overflowPunct/>
        <w:topLinePunct w:val="0"/>
        <w:bidi w:val="0"/>
        <w:spacing w:before="120" w:line="22" w:lineRule="atLeast"/>
        <w:outlineLvl w:val="9"/>
        <w:rPr>
          <w:rFonts w:ascii="宋体" w:hAnsi="宋体" w:cs="宋体"/>
          <w:color w:val="auto"/>
          <w:sz w:val="24"/>
        </w:rPr>
      </w:pPr>
    </w:p>
    <w:p w14:paraId="756A3688">
      <w:pPr>
        <w:kinsoku/>
        <w:wordWrap/>
        <w:overflowPunct/>
        <w:topLinePunct w:val="0"/>
        <w:bidi w:val="0"/>
        <w:spacing w:before="120" w:line="22" w:lineRule="atLeast"/>
        <w:ind w:left="960"/>
        <w:outlineLvl w:val="9"/>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32341731">
      <w:pPr>
        <w:kinsoku/>
        <w:wordWrap/>
        <w:overflowPunct/>
        <w:topLinePunct w:val="0"/>
        <w:bidi w:val="0"/>
        <w:spacing w:before="120" w:line="22" w:lineRule="atLeast"/>
        <w:outlineLvl w:val="9"/>
        <w:rPr>
          <w:rFonts w:ascii="宋体" w:hAnsi="宋体" w:cs="宋体"/>
          <w:color w:val="auto"/>
          <w:sz w:val="24"/>
        </w:rPr>
      </w:pPr>
    </w:p>
    <w:p w14:paraId="6920AA79">
      <w:pPr>
        <w:kinsoku/>
        <w:wordWrap/>
        <w:overflowPunct/>
        <w:topLinePunct w:val="0"/>
        <w:bidi w:val="0"/>
        <w:spacing w:before="120" w:line="22" w:lineRule="atLeast"/>
        <w:ind w:firstLine="960" w:firstLineChars="400"/>
        <w:outlineLvl w:val="9"/>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1A743364">
      <w:pPr>
        <w:kinsoku/>
        <w:wordWrap/>
        <w:overflowPunct/>
        <w:topLinePunct w:val="0"/>
        <w:bidi w:val="0"/>
        <w:spacing w:before="120" w:line="22" w:lineRule="atLeast"/>
        <w:outlineLvl w:val="9"/>
        <w:rPr>
          <w:rFonts w:ascii="宋体" w:hAnsi="宋体" w:cs="宋体"/>
          <w:color w:val="auto"/>
          <w:sz w:val="24"/>
        </w:rPr>
      </w:pPr>
    </w:p>
    <w:p w14:paraId="1B5678EC">
      <w:pPr>
        <w:kinsoku/>
        <w:wordWrap/>
        <w:overflowPunct/>
        <w:topLinePunct w:val="0"/>
        <w:bidi w:val="0"/>
        <w:spacing w:before="120" w:line="22" w:lineRule="atLeast"/>
        <w:ind w:firstLine="960" w:firstLineChars="400"/>
        <w:outlineLvl w:val="9"/>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75DE49A">
      <w:pPr>
        <w:widowControl/>
        <w:kinsoku/>
        <w:wordWrap/>
        <w:overflowPunct/>
        <w:topLinePunct w:val="0"/>
        <w:bidi w:val="0"/>
        <w:jc w:val="left"/>
        <w:outlineLvl w:val="9"/>
        <w:rPr>
          <w:rFonts w:ascii="宋体" w:hAnsi="宋体" w:cs="宋体"/>
          <w:color w:val="auto"/>
          <w:kern w:val="0"/>
          <w:sz w:val="24"/>
        </w:rPr>
        <w:sectPr>
          <w:pgSz w:w="11907" w:h="16840"/>
          <w:pgMar w:top="1304" w:right="1701" w:bottom="1304" w:left="1701" w:header="851" w:footer="851" w:gutter="0"/>
          <w:pgNumType w:fmt="decimal"/>
          <w:cols w:space="720" w:num="1"/>
        </w:sectPr>
      </w:pPr>
    </w:p>
    <w:p w14:paraId="68DD0C8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w:t>
      </w:r>
      <w:r>
        <w:rPr>
          <w:rFonts w:hint="eastAsia" w:ascii="宋体" w:hAnsi="宋体" w:cs="宋体"/>
          <w:color w:val="auto"/>
          <w:sz w:val="24"/>
          <w:lang w:val="en-US" w:eastAsia="zh-CN"/>
        </w:rPr>
        <w:t>30</w:t>
      </w:r>
      <w:r>
        <w:rPr>
          <w:rFonts w:hint="eastAsia" w:ascii="宋体" w:hAnsi="宋体" w:cs="宋体"/>
          <w:color w:val="auto"/>
          <w:sz w:val="24"/>
        </w:rPr>
        <w:t>日内，按照采购文件等确定的事项签订本合同。</w:t>
      </w:r>
    </w:p>
    <w:p w14:paraId="3F3895E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5B67ECC8">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rPr>
      </w:pPr>
      <w:bookmarkStart w:id="403" w:name="_Toc24059"/>
      <w:bookmarkStart w:id="404" w:name="_Toc2232"/>
      <w:bookmarkStart w:id="405" w:name="_Toc3029"/>
      <w:r>
        <w:rPr>
          <w:rFonts w:hint="eastAsia" w:ascii="宋体" w:hAnsi="宋体" w:cs="宋体"/>
          <w:b/>
          <w:color w:val="auto"/>
          <w:sz w:val="24"/>
        </w:rPr>
        <w:t>1.1 合同组成部分</w:t>
      </w:r>
      <w:bookmarkEnd w:id="403"/>
      <w:bookmarkEnd w:id="404"/>
      <w:bookmarkEnd w:id="405"/>
    </w:p>
    <w:p w14:paraId="3291B4A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B721D4">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1.1.1 本合同及其补充合同、变更协议；</w:t>
      </w:r>
    </w:p>
    <w:p w14:paraId="348855C4">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1.1.2 中标或者成交通知书；</w:t>
      </w:r>
    </w:p>
    <w:p w14:paraId="1257BFA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1.1.3 投标或者响应文件（含澄清或者说明文件）；</w:t>
      </w:r>
    </w:p>
    <w:p w14:paraId="4406817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1.1.4 采购文件（含澄清或者修改文件）；</w:t>
      </w:r>
    </w:p>
    <w:p w14:paraId="1EFD6A7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1.1.5 其他相关采购文件。</w:t>
      </w:r>
    </w:p>
    <w:p w14:paraId="790AF532">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rPr>
      </w:pPr>
      <w:bookmarkStart w:id="406" w:name="_Toc27126"/>
      <w:bookmarkStart w:id="407" w:name="_Toc21295"/>
      <w:bookmarkStart w:id="408" w:name="_Toc24300"/>
      <w:r>
        <w:rPr>
          <w:rFonts w:hint="eastAsia" w:ascii="宋体" w:hAnsi="宋体" w:cs="宋体"/>
          <w:b/>
          <w:color w:val="auto"/>
          <w:sz w:val="24"/>
        </w:rPr>
        <w:t>1.2 货物</w:t>
      </w:r>
      <w:bookmarkEnd w:id="406"/>
      <w:bookmarkEnd w:id="407"/>
      <w:bookmarkEnd w:id="408"/>
    </w:p>
    <w:p w14:paraId="424D0EF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22071C1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14:paraId="3E399FCD">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14:paraId="66AD9AF3">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rPr>
      </w:pPr>
      <w:bookmarkStart w:id="409" w:name="_Toc23292"/>
      <w:bookmarkStart w:id="410" w:name="_Toc21631"/>
      <w:bookmarkStart w:id="411" w:name="_Toc21551"/>
      <w:r>
        <w:rPr>
          <w:rFonts w:hint="eastAsia" w:ascii="宋体" w:hAnsi="宋体" w:cs="宋体"/>
          <w:b/>
          <w:color w:val="auto"/>
          <w:sz w:val="24"/>
        </w:rPr>
        <w:t>1.3 价款</w:t>
      </w:r>
      <w:bookmarkEnd w:id="409"/>
      <w:bookmarkEnd w:id="410"/>
      <w:bookmarkEnd w:id="411"/>
    </w:p>
    <w:p w14:paraId="5959977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175656A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u w:val="single"/>
        </w:rPr>
      </w:pPr>
      <w:r>
        <w:rPr>
          <w:rFonts w:hint="eastAsia" w:ascii="宋体" w:hAnsi="宋体" w:cs="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289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BC100A2">
            <w:pPr>
              <w:pStyle w:val="31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F0EF734">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055D1F3">
            <w:pPr>
              <w:pStyle w:val="31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Ansi="宋体" w:cs="宋体"/>
                <w:color w:val="auto"/>
                <w:sz w:val="24"/>
                <w:szCs w:val="24"/>
              </w:rPr>
            </w:pPr>
            <w:r>
              <w:rPr>
                <w:rFonts w:hint="eastAsia" w:hAnsi="宋体" w:cs="宋体"/>
                <w:color w:val="auto"/>
                <w:sz w:val="24"/>
                <w:szCs w:val="24"/>
              </w:rPr>
              <w:t>分项价格</w:t>
            </w:r>
          </w:p>
        </w:tc>
      </w:tr>
      <w:tr w14:paraId="3942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337F82">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09C8999">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B8301C2">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color w:val="auto"/>
                <w:sz w:val="24"/>
                <w:szCs w:val="24"/>
              </w:rPr>
            </w:pPr>
          </w:p>
        </w:tc>
      </w:tr>
      <w:tr w14:paraId="16D7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7555B96">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5BEB13D">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8728A21">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color w:val="auto"/>
                <w:sz w:val="24"/>
                <w:szCs w:val="24"/>
              </w:rPr>
            </w:pPr>
          </w:p>
        </w:tc>
      </w:tr>
      <w:tr w14:paraId="377A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90AAAB1">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7B2055D">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58464C4">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color w:val="auto"/>
                <w:sz w:val="24"/>
                <w:szCs w:val="24"/>
              </w:rPr>
            </w:pPr>
          </w:p>
        </w:tc>
      </w:tr>
      <w:tr w14:paraId="5F74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33821B6">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DFD54E1">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color w:val="auto"/>
                <w:sz w:val="24"/>
                <w:szCs w:val="24"/>
              </w:rPr>
            </w:pPr>
          </w:p>
        </w:tc>
      </w:tr>
    </w:tbl>
    <w:p w14:paraId="1C32B725">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rFonts w:hint="eastAsia"/>
          <w:b/>
          <w:color w:val="auto"/>
        </w:rPr>
      </w:pPr>
      <w:bookmarkStart w:id="412" w:name="_Toc22618"/>
      <w:bookmarkStart w:id="413" w:name="_Toc1814"/>
      <w:bookmarkStart w:id="414" w:name="_Toc10340"/>
    </w:p>
    <w:p w14:paraId="102C61C9">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color w:val="auto"/>
        </w:rPr>
      </w:pPr>
      <w:r>
        <w:rPr>
          <w:rFonts w:hint="eastAsia"/>
          <w:b/>
          <w:color w:val="auto"/>
        </w:rPr>
        <w:t>1.4履约保证金</w:t>
      </w:r>
    </w:p>
    <w:p w14:paraId="0E3A729E">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4744B82E">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6F31F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4C6E3C8">
      <w:pPr>
        <w:keepNext w:val="0"/>
        <w:keepLines w:val="0"/>
        <w:pageBreakBefore w:val="0"/>
        <w:tabs>
          <w:tab w:val="left" w:pos="0"/>
        </w:tabs>
        <w:kinsoku/>
        <w:wordWrap/>
        <w:overflowPunct/>
        <w:topLinePunct w:val="0"/>
        <w:bidi w:val="0"/>
        <w:snapToGrid/>
        <w:spacing w:line="360" w:lineRule="auto"/>
        <w:ind w:left="0" w:firstLine="480" w:firstLineChars="200"/>
        <w:textAlignment w:val="auto"/>
        <w:outlineLvl w:val="9"/>
        <w:rPr>
          <w:rFonts w:eastAsia="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42DD314">
      <w:pPr>
        <w:keepNext w:val="0"/>
        <w:keepLines w:val="0"/>
        <w:pageBreakBefore w:val="0"/>
        <w:kinsoku/>
        <w:wordWrap/>
        <w:overflowPunct/>
        <w:topLinePunct w:val="0"/>
        <w:bidi w:val="0"/>
        <w:snapToGrid/>
        <w:spacing w:line="360" w:lineRule="auto"/>
        <w:ind w:firstLine="480" w:firstLineChars="200"/>
        <w:textAlignment w:val="auto"/>
        <w:outlineLvl w:val="9"/>
        <w:rPr>
          <w:color w:val="auto"/>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w:t>
      </w:r>
    </w:p>
    <w:p w14:paraId="56A50990">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rPr>
      </w:pPr>
      <w:r>
        <w:rPr>
          <w:rFonts w:hint="eastAsia" w:ascii="宋体" w:hAnsi="宋体" w:cs="宋体"/>
          <w:b/>
          <w:color w:val="auto"/>
          <w:sz w:val="24"/>
        </w:rPr>
        <w:t>1.5</w:t>
      </w:r>
      <w:bookmarkEnd w:id="412"/>
      <w:bookmarkEnd w:id="413"/>
      <w:bookmarkEnd w:id="414"/>
      <w:r>
        <w:rPr>
          <w:rFonts w:hint="eastAsia" w:ascii="宋体" w:hAnsi="宋体" w:cs="宋体"/>
          <w:b/>
          <w:color w:val="auto"/>
          <w:sz w:val="24"/>
        </w:rPr>
        <w:t>预付款</w:t>
      </w:r>
    </w:p>
    <w:p w14:paraId="70018231">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6194476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4181530">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B3F103">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0D09B37">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bCs/>
          <w:color w:val="auto"/>
        </w:rPr>
      </w:pPr>
      <w:r>
        <w:rPr>
          <w:rFonts w:hint="eastAsia"/>
          <w:b/>
          <w:bCs/>
          <w:color w:val="auto"/>
        </w:rPr>
        <w:t>1.6资金支付</w:t>
      </w:r>
    </w:p>
    <w:p w14:paraId="00CB1CBD">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color w:val="auto"/>
        </w:rPr>
      </w:pPr>
      <w:r>
        <w:rPr>
          <w:rFonts w:hint="eastAsia"/>
          <w:color w:val="auto"/>
        </w:rPr>
        <w:t>1.6.1甲方应严格履行合同，及时组织验收，验收合格后及时将合同款支付完毕。对于满足合同约定支付条件的，甲方自收到发票后</w:t>
      </w:r>
      <w:r>
        <w:rPr>
          <w:rFonts w:hint="eastAsia"/>
          <w:color w:val="auto"/>
          <w:lang w:eastAsia="zh-CN"/>
        </w:rPr>
        <w:t>7个工作日内</w:t>
      </w:r>
      <w:r>
        <w:rPr>
          <w:rFonts w:hint="eastAsia"/>
          <w:color w:val="auto"/>
        </w:rPr>
        <w:t>将资金支付到合同约定的乙方账户，有条件的甲方可以即时支付。甲方不得以机构变动、人员更替、政策调整、单位放假等为由延迟付款。</w:t>
      </w:r>
    </w:p>
    <w:p w14:paraId="29CC04D8">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5C72E19A">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rPr>
      </w:pPr>
      <w:bookmarkStart w:id="415" w:name="_Toc2846"/>
      <w:bookmarkStart w:id="416" w:name="_Toc32071"/>
      <w:bookmarkStart w:id="417" w:name="_Toc19304"/>
      <w:r>
        <w:rPr>
          <w:rFonts w:hint="eastAsia" w:ascii="宋体" w:hAnsi="宋体" w:cs="宋体"/>
          <w:b/>
          <w:color w:val="auto"/>
          <w:sz w:val="24"/>
        </w:rPr>
        <w:t>1.7货物交付期限、地点和方式</w:t>
      </w:r>
      <w:bookmarkEnd w:id="415"/>
      <w:bookmarkEnd w:id="416"/>
      <w:bookmarkEnd w:id="417"/>
    </w:p>
    <w:p w14:paraId="43A2075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35A9630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71A91CF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6CAC0AA">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rPr>
      </w:pPr>
      <w:bookmarkStart w:id="418" w:name="_Toc21423"/>
      <w:bookmarkStart w:id="419" w:name="_Toc27250"/>
      <w:bookmarkStart w:id="420" w:name="_Toc19554"/>
      <w:r>
        <w:rPr>
          <w:rFonts w:hint="eastAsia" w:ascii="宋体" w:hAnsi="宋体" w:cs="宋体"/>
          <w:b/>
          <w:color w:val="auto"/>
          <w:sz w:val="24"/>
        </w:rPr>
        <w:t>1.8违约责任</w:t>
      </w:r>
      <w:bookmarkEnd w:id="418"/>
      <w:bookmarkEnd w:id="419"/>
      <w:bookmarkEnd w:id="420"/>
    </w:p>
    <w:p w14:paraId="3A9F567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14:paraId="16A67C4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14:paraId="2829AD6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0D2E0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6C99EB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0564E71D">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cs="宋体"/>
          <w:color w:val="auto"/>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450B5166">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rPr>
      </w:pPr>
      <w:bookmarkStart w:id="421" w:name="_Toc16021"/>
      <w:bookmarkStart w:id="422" w:name="_Toc15583"/>
      <w:bookmarkStart w:id="423" w:name="_Toc28375"/>
      <w:r>
        <w:rPr>
          <w:rFonts w:hint="eastAsia" w:ascii="宋体" w:hAnsi="宋体" w:cs="宋体"/>
          <w:b/>
          <w:color w:val="auto"/>
          <w:sz w:val="24"/>
        </w:rPr>
        <w:t>1.9合同争议的解决</w:t>
      </w:r>
      <w:bookmarkEnd w:id="421"/>
      <w:bookmarkEnd w:id="422"/>
      <w:bookmarkEnd w:id="423"/>
    </w:p>
    <w:p w14:paraId="68875F58">
      <w:pPr>
        <w:keepNext w:val="0"/>
        <w:keepLines w:val="0"/>
        <w:pageBreakBefore w:val="0"/>
        <w:kinsoku/>
        <w:wordWrap/>
        <w:overflowPunct/>
        <w:topLinePunct w:val="0"/>
        <w:bidi w:val="0"/>
        <w:snapToGrid/>
        <w:spacing w:line="360" w:lineRule="auto"/>
        <w:ind w:left="-61" w:leftChars="-29" w:right="-420" w:rightChars="-200" w:firstLine="240" w:firstLineChars="100"/>
        <w:textAlignment w:val="auto"/>
        <w:outlineLvl w:val="9"/>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7A33BA04">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5859E06C">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CC0C5E4">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rPr>
      </w:pPr>
      <w:bookmarkStart w:id="424" w:name="_Toc11173"/>
      <w:bookmarkStart w:id="425" w:name="_Toc7245"/>
      <w:bookmarkStart w:id="426" w:name="_Toc15322"/>
      <w:r>
        <w:rPr>
          <w:rFonts w:hint="eastAsia" w:ascii="宋体" w:hAnsi="宋体" w:cs="宋体"/>
          <w:b/>
          <w:color w:val="auto"/>
          <w:sz w:val="24"/>
        </w:rPr>
        <w:t>2.0 合同生效</w:t>
      </w:r>
      <w:bookmarkEnd w:id="424"/>
      <w:bookmarkEnd w:id="425"/>
      <w:bookmarkEnd w:id="426"/>
    </w:p>
    <w:p w14:paraId="3C122994">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b/>
          <w:color w:val="auto"/>
          <w:sz w:val="24"/>
        </w:rPr>
      </w:pPr>
      <w:r>
        <w:rPr>
          <w:rFonts w:hint="eastAsia" w:ascii="宋体" w:hAnsi="宋体" w:cs="宋体"/>
          <w:color w:val="auto"/>
          <w:sz w:val="24"/>
        </w:rPr>
        <w:t>本合同自双方当事人盖章签字时生效。</w:t>
      </w:r>
    </w:p>
    <w:p w14:paraId="0D87D7B1">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lang w:val="zh-CN"/>
        </w:rPr>
      </w:pPr>
    </w:p>
    <w:p w14:paraId="0A524949">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lang w:val="zh-CN"/>
        </w:rPr>
      </w:pPr>
    </w:p>
    <w:p w14:paraId="1FB444F1">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lang w:val="zh-CN"/>
        </w:rPr>
      </w:pPr>
    </w:p>
    <w:p w14:paraId="05D3DEA7">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2E477A9C">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1835935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lang w:val="zh-CN"/>
        </w:rPr>
      </w:pPr>
    </w:p>
    <w:p w14:paraId="55E94A8A">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lang w:val="zh-CN"/>
        </w:rPr>
      </w:pPr>
      <w:r>
        <w:rPr>
          <w:rFonts w:hint="eastAsia" w:ascii="宋体" w:hAnsi="宋体" w:cs="宋体"/>
          <w:color w:val="auto"/>
          <w:sz w:val="24"/>
          <w:lang w:val="zh-CN"/>
        </w:rPr>
        <w:t>住所：                                   住所：</w:t>
      </w:r>
    </w:p>
    <w:p w14:paraId="1D81EC8C">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lang w:val="zh-CN"/>
        </w:rPr>
      </w:pPr>
      <w:r>
        <w:rPr>
          <w:rFonts w:hint="eastAsia" w:ascii="宋体" w:hAnsi="宋体" w:cs="宋体"/>
          <w:color w:val="auto"/>
          <w:sz w:val="24"/>
          <w:lang w:val="zh-CN"/>
        </w:rPr>
        <w:t>法定代表人或                             法定代表人</w:t>
      </w:r>
    </w:p>
    <w:p w14:paraId="243E08F2">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4032B87B">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lang w:val="zh-CN"/>
        </w:rPr>
      </w:pPr>
      <w:r>
        <w:rPr>
          <w:rFonts w:hint="eastAsia" w:ascii="宋体" w:hAnsi="宋体" w:cs="宋体"/>
          <w:color w:val="auto"/>
          <w:sz w:val="24"/>
          <w:lang w:val="zh-CN"/>
        </w:rPr>
        <w:t>联系人：                                 联系人：</w:t>
      </w:r>
    </w:p>
    <w:p w14:paraId="7B5B292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lang w:val="zh-CN"/>
        </w:rPr>
      </w:pPr>
      <w:r>
        <w:rPr>
          <w:rFonts w:hint="eastAsia" w:ascii="宋体" w:hAnsi="宋体" w:cs="宋体"/>
          <w:color w:val="auto"/>
          <w:sz w:val="24"/>
          <w:lang w:val="zh-CN"/>
        </w:rPr>
        <w:t>约定送达地址：                           约定送达地址：</w:t>
      </w:r>
    </w:p>
    <w:p w14:paraId="74F3A7CD">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lang w:val="zh-CN"/>
        </w:rPr>
      </w:pPr>
      <w:r>
        <w:rPr>
          <w:rFonts w:hint="eastAsia" w:ascii="宋体" w:hAnsi="宋体" w:cs="宋体"/>
          <w:color w:val="auto"/>
          <w:sz w:val="24"/>
          <w:lang w:val="zh-CN"/>
        </w:rPr>
        <w:t>邮政编码：                               邮政编码：</w:t>
      </w:r>
    </w:p>
    <w:p w14:paraId="62701B6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lang w:val="zh-CN"/>
        </w:rPr>
      </w:pPr>
      <w:r>
        <w:rPr>
          <w:rFonts w:hint="eastAsia" w:ascii="宋体" w:hAnsi="宋体" w:cs="宋体"/>
          <w:color w:val="auto"/>
          <w:sz w:val="24"/>
          <w:lang w:val="zh-CN"/>
        </w:rPr>
        <w:t xml:space="preserve">电话:                                    电话: </w:t>
      </w:r>
    </w:p>
    <w:p w14:paraId="678E2DD7">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lang w:val="zh-CN"/>
        </w:rPr>
      </w:pPr>
      <w:r>
        <w:rPr>
          <w:rFonts w:hint="eastAsia" w:ascii="宋体" w:hAnsi="宋体" w:cs="宋体"/>
          <w:color w:val="auto"/>
          <w:sz w:val="24"/>
          <w:lang w:val="zh-CN"/>
        </w:rPr>
        <w:t>传真:                                    传真:</w:t>
      </w:r>
    </w:p>
    <w:p w14:paraId="1809B45B">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rPr>
      </w:pPr>
      <w:r>
        <w:rPr>
          <w:rFonts w:hint="eastAsia" w:ascii="宋体" w:hAnsi="宋体" w:cs="宋体"/>
          <w:color w:val="auto"/>
          <w:sz w:val="24"/>
          <w:lang w:val="zh-CN"/>
        </w:rPr>
        <w:t>电子邮箱：                               电子邮箱：</w:t>
      </w:r>
    </w:p>
    <w:p w14:paraId="2C188EEA">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rPr>
      </w:pPr>
      <w:r>
        <w:rPr>
          <w:rFonts w:hint="eastAsia" w:ascii="宋体" w:hAnsi="宋体" w:cs="宋体"/>
          <w:color w:val="auto"/>
          <w:sz w:val="24"/>
        </w:rPr>
        <w:t xml:space="preserve">开户银行：                               开户银行： </w:t>
      </w:r>
    </w:p>
    <w:p w14:paraId="0E1585D0">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rPr>
      </w:pPr>
      <w:r>
        <w:rPr>
          <w:rFonts w:hint="eastAsia" w:ascii="宋体" w:hAnsi="宋体" w:cs="宋体"/>
          <w:color w:val="auto"/>
          <w:sz w:val="24"/>
        </w:rPr>
        <w:t xml:space="preserve">开户名称：                               开户名称： </w:t>
      </w:r>
    </w:p>
    <w:p w14:paraId="6DE7489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13D51F51">
      <w:pPr>
        <w:tabs>
          <w:tab w:val="left" w:pos="432"/>
        </w:tabs>
        <w:kinsoku/>
        <w:wordWrap/>
        <w:overflowPunct/>
        <w:topLinePunct w:val="0"/>
        <w:bidi w:val="0"/>
        <w:outlineLvl w:val="9"/>
        <w:rPr>
          <w:rFonts w:ascii="宋体" w:hAnsi="宋体" w:cs="宋体"/>
          <w:color w:val="auto"/>
          <w:sz w:val="24"/>
        </w:rPr>
      </w:pPr>
    </w:p>
    <w:p w14:paraId="2DF96D16">
      <w:pPr>
        <w:kinsoku/>
        <w:wordWrap/>
        <w:overflowPunct/>
        <w:topLinePunct w:val="0"/>
        <w:bidi w:val="0"/>
        <w:outlineLvl w:val="9"/>
        <w:rPr>
          <w:rFonts w:ascii="宋体" w:hAnsi="宋体" w:cs="宋体"/>
          <w:color w:val="auto"/>
          <w:sz w:val="24"/>
        </w:rPr>
      </w:pPr>
    </w:p>
    <w:p w14:paraId="6E2A0A30">
      <w:pPr>
        <w:tabs>
          <w:tab w:val="left" w:pos="432"/>
        </w:tabs>
        <w:kinsoku/>
        <w:wordWrap/>
        <w:overflowPunct/>
        <w:topLinePunct w:val="0"/>
        <w:bidi w:val="0"/>
        <w:outlineLvl w:val="9"/>
        <w:rPr>
          <w:rFonts w:ascii="宋体" w:hAnsi="宋体" w:cs="宋体"/>
          <w:color w:val="auto"/>
          <w:sz w:val="24"/>
        </w:rPr>
      </w:pPr>
    </w:p>
    <w:p w14:paraId="0D2B7508">
      <w:pPr>
        <w:kinsoku/>
        <w:wordWrap/>
        <w:overflowPunct/>
        <w:topLinePunct w:val="0"/>
        <w:bidi w:val="0"/>
        <w:outlineLvl w:val="9"/>
        <w:rPr>
          <w:rFonts w:ascii="宋体" w:hAnsi="宋体" w:cs="宋体"/>
          <w:color w:val="auto"/>
          <w:sz w:val="24"/>
        </w:rPr>
      </w:pPr>
    </w:p>
    <w:p w14:paraId="7728DCCF">
      <w:pPr>
        <w:tabs>
          <w:tab w:val="left" w:pos="432"/>
        </w:tabs>
        <w:kinsoku/>
        <w:wordWrap/>
        <w:overflowPunct/>
        <w:topLinePunct w:val="0"/>
        <w:bidi w:val="0"/>
        <w:outlineLvl w:val="9"/>
        <w:rPr>
          <w:rFonts w:ascii="宋体" w:hAnsi="宋体" w:cs="宋体"/>
          <w:color w:val="auto"/>
          <w:sz w:val="24"/>
        </w:rPr>
      </w:pPr>
    </w:p>
    <w:p w14:paraId="24FA2A9E">
      <w:pPr>
        <w:kinsoku/>
        <w:wordWrap/>
        <w:overflowPunct/>
        <w:topLinePunct w:val="0"/>
        <w:bidi w:val="0"/>
        <w:outlineLvl w:val="9"/>
        <w:rPr>
          <w:rFonts w:ascii="宋体" w:hAnsi="宋体" w:cs="宋体"/>
          <w:color w:val="auto"/>
          <w:sz w:val="24"/>
        </w:rPr>
      </w:pPr>
    </w:p>
    <w:p w14:paraId="26C52DA9">
      <w:pPr>
        <w:kinsoku/>
        <w:wordWrap/>
        <w:overflowPunct/>
        <w:topLinePunct w:val="0"/>
        <w:bidi w:val="0"/>
        <w:outlineLvl w:val="9"/>
        <w:rPr>
          <w:rFonts w:hint="eastAsia" w:ascii="宋体" w:hAnsi="宋体" w:cs="宋体"/>
          <w:b/>
          <w:color w:val="auto"/>
          <w:szCs w:val="24"/>
        </w:rPr>
      </w:pPr>
      <w:r>
        <w:rPr>
          <w:rFonts w:hint="eastAsia" w:ascii="宋体" w:hAnsi="宋体" w:cs="宋体"/>
          <w:b/>
          <w:color w:val="auto"/>
          <w:szCs w:val="24"/>
        </w:rPr>
        <w:br w:type="page"/>
      </w:r>
    </w:p>
    <w:p w14:paraId="46B36AF5">
      <w:pPr>
        <w:pStyle w:val="699"/>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rPr>
      </w:pPr>
      <w:r>
        <w:rPr>
          <w:rFonts w:hint="eastAsia" w:ascii="宋体" w:hAnsi="宋体" w:cs="宋体"/>
          <w:b/>
          <w:color w:val="auto"/>
          <w:szCs w:val="24"/>
        </w:rPr>
        <w:t>第二部分 合同一般条款</w:t>
      </w:r>
    </w:p>
    <w:p w14:paraId="55F59F59">
      <w:pPr>
        <w:kinsoku/>
        <w:wordWrap/>
        <w:overflowPunct/>
        <w:topLinePunct w:val="0"/>
        <w:bidi w:val="0"/>
        <w:spacing w:line="560" w:lineRule="exact"/>
        <w:ind w:firstLine="482" w:firstLineChars="200"/>
        <w:outlineLvl w:val="9"/>
        <w:rPr>
          <w:rFonts w:ascii="宋体" w:hAnsi="宋体" w:cs="宋体"/>
          <w:b/>
          <w:color w:val="auto"/>
          <w:sz w:val="24"/>
        </w:rPr>
      </w:pPr>
      <w:bookmarkStart w:id="427" w:name="_Ref467379214"/>
      <w:bookmarkStart w:id="428" w:name="_Ref467379195"/>
      <w:bookmarkStart w:id="429" w:name="_Toc16917"/>
      <w:bookmarkStart w:id="430" w:name="_Ref467378463"/>
      <w:bookmarkStart w:id="431" w:name="_Ref467379101"/>
      <w:bookmarkStart w:id="432" w:name="_Ref467378404"/>
      <w:bookmarkStart w:id="433" w:name="_Ref467379205"/>
      <w:bookmarkStart w:id="434" w:name="_Toc487900349"/>
      <w:bookmarkStart w:id="435" w:name="_Toc279701240"/>
      <w:bookmarkStart w:id="436" w:name="_Toc259093669"/>
      <w:bookmarkStart w:id="437" w:name="_Toc28763"/>
      <w:bookmarkStart w:id="438" w:name="_Ref467379225"/>
      <w:bookmarkStart w:id="439" w:name="_Toc19614"/>
      <w:bookmarkStart w:id="440" w:name="_Ref467378499"/>
      <w:bookmarkStart w:id="441" w:name="_Ref467379094"/>
      <w:bookmarkStart w:id="442" w:name="_Ref467379109"/>
      <w:r>
        <w:rPr>
          <w:rFonts w:hint="eastAsia" w:ascii="宋体" w:hAnsi="宋体" w:cs="宋体"/>
          <w:b/>
          <w:color w:val="auto"/>
          <w:sz w:val="24"/>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510E44C4">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本合同中的下列词语应按以下内容进行解释：</w:t>
      </w:r>
    </w:p>
    <w:p w14:paraId="64FCFE59">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14:paraId="740B0B01">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14:paraId="26498688">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7E523160">
      <w:pPr>
        <w:kinsoku/>
        <w:wordWrap/>
        <w:overflowPunct/>
        <w:topLinePunct w:val="0"/>
        <w:bidi w:val="0"/>
        <w:spacing w:line="560" w:lineRule="exact"/>
        <w:ind w:firstLine="480" w:firstLineChars="200"/>
        <w:outlineLvl w:val="9"/>
        <w:rPr>
          <w:rFonts w:ascii="宋体" w:hAnsi="宋体" w:cs="宋体"/>
          <w:color w:val="auto"/>
          <w:sz w:val="24"/>
        </w:rPr>
      </w:pPr>
      <w:bookmarkStart w:id="443" w:name="_Ref467378840"/>
      <w:r>
        <w:rPr>
          <w:rFonts w:hint="eastAsia" w:ascii="宋体" w:hAnsi="宋体" w:cs="宋体"/>
          <w:color w:val="auto"/>
          <w:sz w:val="24"/>
        </w:rPr>
        <w:t>2.1.4 “甲方”系指与中标或成交供应商签署合同的采购人</w:t>
      </w:r>
      <w:bookmarkEnd w:id="443"/>
      <w:r>
        <w:rPr>
          <w:rFonts w:hint="eastAsia" w:ascii="宋体" w:hAnsi="宋体" w:cs="宋体"/>
          <w:color w:val="auto"/>
          <w:sz w:val="24"/>
        </w:rPr>
        <w:t>；采购人委托采购代理机构代表其与乙方签订合同的，采购人的授权委托书作为合同附件。</w:t>
      </w:r>
    </w:p>
    <w:p w14:paraId="2D82F83D">
      <w:pPr>
        <w:kinsoku/>
        <w:wordWrap/>
        <w:overflowPunct/>
        <w:topLinePunct w:val="0"/>
        <w:bidi w:val="0"/>
        <w:spacing w:line="560" w:lineRule="exact"/>
        <w:ind w:firstLine="480" w:firstLineChars="200"/>
        <w:outlineLvl w:val="9"/>
        <w:rPr>
          <w:rFonts w:ascii="宋体" w:hAnsi="宋体" w:cs="宋体"/>
          <w:color w:val="auto"/>
          <w:sz w:val="24"/>
        </w:rPr>
      </w:pPr>
      <w:bookmarkStart w:id="444" w:name="_Ref467379400"/>
      <w:r>
        <w:rPr>
          <w:rFonts w:hint="eastAsia" w:ascii="宋体" w:hAnsi="宋体" w:cs="宋体"/>
          <w:color w:val="auto"/>
          <w:sz w:val="24"/>
        </w:rPr>
        <w:t>2.1.5 “乙方”系指根据合同约定交付货物的中标或成交供应商</w:t>
      </w:r>
      <w:bookmarkEnd w:id="444"/>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925419">
      <w:pPr>
        <w:kinsoku/>
        <w:wordWrap/>
        <w:overflowPunct/>
        <w:topLinePunct w:val="0"/>
        <w:bidi w:val="0"/>
        <w:spacing w:line="560" w:lineRule="exact"/>
        <w:ind w:firstLine="480" w:firstLineChars="200"/>
        <w:outlineLvl w:val="9"/>
        <w:rPr>
          <w:rFonts w:ascii="宋体" w:hAnsi="宋体" w:cs="宋体"/>
          <w:color w:val="auto"/>
          <w:sz w:val="24"/>
        </w:rPr>
      </w:pPr>
      <w:bookmarkStart w:id="445" w:name="_Ref467379436"/>
      <w:r>
        <w:rPr>
          <w:rFonts w:hint="eastAsia" w:ascii="宋体" w:hAnsi="宋体" w:cs="宋体"/>
          <w:color w:val="auto"/>
          <w:sz w:val="24"/>
        </w:rPr>
        <w:t>2.1.6 “现场”系指合同约定货物将要运至或者安装的地点。</w:t>
      </w:r>
      <w:bookmarkEnd w:id="445"/>
    </w:p>
    <w:p w14:paraId="301BBC2C">
      <w:pPr>
        <w:kinsoku/>
        <w:wordWrap/>
        <w:overflowPunct/>
        <w:topLinePunct w:val="0"/>
        <w:bidi w:val="0"/>
        <w:spacing w:line="560" w:lineRule="exact"/>
        <w:ind w:firstLine="482" w:firstLineChars="200"/>
        <w:outlineLvl w:val="9"/>
        <w:rPr>
          <w:rFonts w:ascii="宋体" w:hAnsi="宋体" w:cs="宋体"/>
          <w:b/>
          <w:color w:val="auto"/>
          <w:sz w:val="24"/>
        </w:rPr>
      </w:pPr>
      <w:bookmarkStart w:id="446" w:name="_Toc487900350"/>
      <w:bookmarkStart w:id="447" w:name="_Toc13336"/>
      <w:bookmarkStart w:id="448" w:name="_Toc32504"/>
      <w:bookmarkStart w:id="449" w:name="_Toc279701241"/>
      <w:bookmarkStart w:id="450" w:name="_Toc27635"/>
      <w:bookmarkStart w:id="451" w:name="_Toc259093670"/>
      <w:r>
        <w:rPr>
          <w:rFonts w:hint="eastAsia" w:ascii="宋体" w:hAnsi="宋体" w:cs="宋体"/>
          <w:b/>
          <w:color w:val="auto"/>
          <w:sz w:val="24"/>
        </w:rPr>
        <w:t>2.2 技术规范</w:t>
      </w:r>
      <w:bookmarkEnd w:id="446"/>
      <w:bookmarkEnd w:id="447"/>
      <w:bookmarkEnd w:id="448"/>
      <w:bookmarkEnd w:id="449"/>
      <w:bookmarkEnd w:id="450"/>
      <w:bookmarkEnd w:id="451"/>
    </w:p>
    <w:p w14:paraId="3DB45022">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B60CC7C">
      <w:pPr>
        <w:kinsoku/>
        <w:wordWrap/>
        <w:overflowPunct/>
        <w:topLinePunct w:val="0"/>
        <w:bidi w:val="0"/>
        <w:spacing w:line="560" w:lineRule="exact"/>
        <w:ind w:firstLine="482" w:firstLineChars="200"/>
        <w:outlineLvl w:val="9"/>
        <w:rPr>
          <w:rFonts w:ascii="宋体" w:hAnsi="宋体" w:cs="宋体"/>
          <w:b/>
          <w:color w:val="auto"/>
          <w:sz w:val="24"/>
        </w:rPr>
      </w:pPr>
      <w:bookmarkStart w:id="452" w:name="_Toc487900351"/>
      <w:bookmarkStart w:id="453" w:name="_Toc279701242"/>
      <w:bookmarkStart w:id="454" w:name="_Toc31634"/>
      <w:bookmarkStart w:id="455" w:name="_Toc259093671"/>
      <w:bookmarkStart w:id="456" w:name="_Toc9829"/>
      <w:bookmarkStart w:id="457" w:name="_Toc27853"/>
      <w:r>
        <w:rPr>
          <w:rFonts w:hint="eastAsia" w:ascii="宋体" w:hAnsi="宋体" w:cs="宋体"/>
          <w:b/>
          <w:color w:val="auto"/>
          <w:sz w:val="24"/>
        </w:rPr>
        <w:t>2.3 知识产权</w:t>
      </w:r>
      <w:bookmarkEnd w:id="452"/>
      <w:bookmarkEnd w:id="453"/>
      <w:bookmarkEnd w:id="454"/>
      <w:bookmarkEnd w:id="455"/>
      <w:bookmarkEnd w:id="456"/>
      <w:bookmarkEnd w:id="457"/>
    </w:p>
    <w:p w14:paraId="3799ED64">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7C5680B8">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6E3C433C">
      <w:pPr>
        <w:kinsoku/>
        <w:wordWrap/>
        <w:overflowPunct/>
        <w:topLinePunct w:val="0"/>
        <w:bidi w:val="0"/>
        <w:spacing w:line="560" w:lineRule="exact"/>
        <w:ind w:firstLine="482" w:firstLineChars="200"/>
        <w:outlineLvl w:val="9"/>
        <w:rPr>
          <w:rFonts w:ascii="宋体" w:hAnsi="宋体" w:cs="宋体"/>
          <w:b/>
          <w:color w:val="auto"/>
          <w:sz w:val="24"/>
        </w:rPr>
      </w:pPr>
      <w:bookmarkStart w:id="458" w:name="_Toc29149"/>
      <w:bookmarkStart w:id="459" w:name="_Toc4194"/>
      <w:bookmarkStart w:id="460" w:name="_Toc11932"/>
      <w:r>
        <w:rPr>
          <w:rFonts w:hint="eastAsia" w:ascii="宋体" w:hAnsi="宋体" w:cs="宋体"/>
          <w:b/>
          <w:color w:val="auto"/>
          <w:sz w:val="24"/>
        </w:rPr>
        <w:t>2.4 包装和装运</w:t>
      </w:r>
      <w:bookmarkEnd w:id="458"/>
      <w:bookmarkEnd w:id="459"/>
      <w:bookmarkEnd w:id="460"/>
    </w:p>
    <w:p w14:paraId="360530E1">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9F5BB4E">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3E184EE">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42D636B6">
      <w:pPr>
        <w:kinsoku/>
        <w:wordWrap/>
        <w:overflowPunct/>
        <w:topLinePunct w:val="0"/>
        <w:bidi w:val="0"/>
        <w:spacing w:line="560" w:lineRule="exact"/>
        <w:ind w:firstLine="482" w:firstLineChars="200"/>
        <w:outlineLvl w:val="9"/>
        <w:rPr>
          <w:rFonts w:ascii="宋体" w:hAnsi="宋体" w:cs="宋体"/>
          <w:b/>
          <w:color w:val="auto"/>
          <w:sz w:val="24"/>
        </w:rPr>
      </w:pPr>
      <w:bookmarkStart w:id="461" w:name="_Ref467379542"/>
      <w:bookmarkStart w:id="462" w:name="_Ref467379536"/>
      <w:bookmarkStart w:id="463" w:name="_Ref467379527"/>
      <w:bookmarkStart w:id="464" w:name="_Toc259093674"/>
      <w:bookmarkStart w:id="465" w:name="_Ref467378541"/>
      <w:bookmarkStart w:id="466" w:name="_Toc279701245"/>
      <w:bookmarkStart w:id="467" w:name="_Ref467378591"/>
      <w:bookmarkStart w:id="468" w:name="_Toc487900354"/>
      <w:bookmarkStart w:id="469" w:name="_Toc19074"/>
      <w:bookmarkStart w:id="470" w:name="_Toc26182"/>
      <w:bookmarkStart w:id="471" w:name="_Toc30272"/>
      <w:r>
        <w:rPr>
          <w:rFonts w:hint="eastAsia" w:ascii="宋体" w:hAnsi="宋体" w:cs="宋体"/>
          <w:b/>
          <w:color w:val="auto"/>
          <w:sz w:val="24"/>
        </w:rPr>
        <w:t>2.</w:t>
      </w:r>
      <w:bookmarkEnd w:id="461"/>
      <w:bookmarkEnd w:id="462"/>
      <w:bookmarkEnd w:id="463"/>
      <w:bookmarkEnd w:id="464"/>
      <w:bookmarkEnd w:id="465"/>
      <w:bookmarkEnd w:id="466"/>
      <w:bookmarkEnd w:id="467"/>
      <w:bookmarkEnd w:id="468"/>
      <w:r>
        <w:rPr>
          <w:rFonts w:hint="eastAsia" w:ascii="宋体" w:hAnsi="宋体" w:cs="宋体"/>
          <w:b/>
          <w:color w:val="auto"/>
          <w:sz w:val="24"/>
        </w:rPr>
        <w:t>5 履约检查和问题反馈</w:t>
      </w:r>
      <w:bookmarkEnd w:id="469"/>
      <w:bookmarkEnd w:id="470"/>
      <w:bookmarkEnd w:id="471"/>
    </w:p>
    <w:p w14:paraId="5A50C9B9">
      <w:pPr>
        <w:kinsoku/>
        <w:wordWrap/>
        <w:overflowPunct/>
        <w:topLinePunct w:val="0"/>
        <w:bidi w:val="0"/>
        <w:spacing w:line="560" w:lineRule="exact"/>
        <w:ind w:firstLine="480" w:firstLineChars="200"/>
        <w:outlineLvl w:val="9"/>
        <w:rPr>
          <w:rFonts w:ascii="宋体" w:hAnsi="宋体" w:cs="宋体"/>
          <w:color w:val="auto"/>
          <w:sz w:val="24"/>
        </w:rPr>
      </w:pPr>
      <w:bookmarkStart w:id="472" w:name="_Ref467379657"/>
      <w:r>
        <w:rPr>
          <w:rFonts w:hint="eastAsia" w:ascii="宋体" w:hAnsi="宋体" w:cs="宋体"/>
          <w:color w:val="auto"/>
          <w:sz w:val="24"/>
        </w:rPr>
        <w:t>2.5.1</w:t>
      </w:r>
      <w:bookmarkEnd w:id="472"/>
      <w:bookmarkStart w:id="473" w:name="_Toc186431854"/>
      <w:bookmarkStart w:id="474" w:name="_Ref467379793"/>
      <w:bookmarkStart w:id="475" w:name="_Ref467379807"/>
      <w:bookmarkStart w:id="476" w:name="_Toc259093676"/>
      <w:bookmarkStart w:id="477" w:name="_Toc487900357"/>
      <w:bookmarkStart w:id="478" w:name="_Toc279701247"/>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9DCA0F1">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73"/>
      <w:bookmarkStart w:id="479" w:name="_Toc186431855"/>
      <w:r>
        <w:rPr>
          <w:rFonts w:hint="eastAsia" w:ascii="宋体" w:hAnsi="宋体" w:cs="宋体"/>
          <w:color w:val="auto"/>
          <w:sz w:val="24"/>
        </w:rPr>
        <w:t>。</w:t>
      </w:r>
    </w:p>
    <w:bookmarkEnd w:id="474"/>
    <w:bookmarkEnd w:id="475"/>
    <w:bookmarkEnd w:id="476"/>
    <w:bookmarkEnd w:id="477"/>
    <w:bookmarkEnd w:id="478"/>
    <w:bookmarkEnd w:id="479"/>
    <w:p w14:paraId="4E0CBAFF">
      <w:pPr>
        <w:kinsoku/>
        <w:wordWrap/>
        <w:overflowPunct/>
        <w:topLinePunct w:val="0"/>
        <w:bidi w:val="0"/>
        <w:spacing w:line="560" w:lineRule="exact"/>
        <w:ind w:firstLine="482" w:firstLineChars="200"/>
        <w:outlineLvl w:val="9"/>
        <w:rPr>
          <w:rFonts w:ascii="宋体" w:hAnsi="宋体" w:cs="宋体"/>
          <w:b/>
          <w:color w:val="auto"/>
          <w:sz w:val="24"/>
        </w:rPr>
      </w:pPr>
      <w:bookmarkStart w:id="480" w:name="_Ref467379852"/>
      <w:bookmarkStart w:id="481" w:name="_Ref467379923"/>
      <w:bookmarkStart w:id="482" w:name="_Toc259093677"/>
      <w:bookmarkStart w:id="483" w:name="_Toc487900358"/>
      <w:bookmarkStart w:id="484" w:name="_Ref467379863"/>
      <w:bookmarkStart w:id="485" w:name="_Toc279701248"/>
      <w:bookmarkStart w:id="486" w:name="_Toc774"/>
      <w:bookmarkStart w:id="487" w:name="_Toc3225"/>
      <w:bookmarkStart w:id="488" w:name="_Toc16110"/>
      <w:r>
        <w:rPr>
          <w:rFonts w:hint="eastAsia" w:ascii="宋体" w:hAnsi="宋体" w:cs="宋体"/>
          <w:b/>
          <w:color w:val="auto"/>
          <w:sz w:val="24"/>
        </w:rPr>
        <w:t>2.6 技术资料</w:t>
      </w:r>
      <w:bookmarkEnd w:id="480"/>
      <w:bookmarkEnd w:id="481"/>
      <w:bookmarkEnd w:id="482"/>
      <w:bookmarkEnd w:id="483"/>
      <w:bookmarkEnd w:id="484"/>
      <w:bookmarkEnd w:id="485"/>
      <w:r>
        <w:rPr>
          <w:rFonts w:hint="eastAsia" w:ascii="宋体" w:hAnsi="宋体" w:cs="宋体"/>
          <w:b/>
          <w:color w:val="auto"/>
          <w:sz w:val="24"/>
        </w:rPr>
        <w:t>和保密义务</w:t>
      </w:r>
      <w:bookmarkEnd w:id="486"/>
      <w:bookmarkEnd w:id="487"/>
      <w:bookmarkEnd w:id="488"/>
    </w:p>
    <w:p w14:paraId="33D3520C">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14:paraId="585B16F6">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14:paraId="64F4B372">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709A355">
      <w:pPr>
        <w:kinsoku/>
        <w:wordWrap/>
        <w:overflowPunct/>
        <w:topLinePunct w:val="0"/>
        <w:bidi w:val="0"/>
        <w:spacing w:line="560" w:lineRule="exact"/>
        <w:ind w:firstLine="482" w:firstLineChars="200"/>
        <w:outlineLvl w:val="9"/>
        <w:rPr>
          <w:rFonts w:ascii="宋体" w:hAnsi="宋体" w:cs="宋体"/>
          <w:b/>
          <w:color w:val="auto"/>
          <w:sz w:val="24"/>
        </w:rPr>
      </w:pPr>
      <w:bookmarkStart w:id="489" w:name="_Toc7860"/>
      <w:r>
        <w:rPr>
          <w:rFonts w:hint="eastAsia" w:ascii="宋体" w:hAnsi="宋体" w:cs="宋体"/>
          <w:b/>
          <w:color w:val="auto"/>
          <w:sz w:val="24"/>
        </w:rPr>
        <w:t>2.7 质量保证</w:t>
      </w:r>
      <w:bookmarkEnd w:id="489"/>
    </w:p>
    <w:p w14:paraId="405D2A37">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14:paraId="4A549580">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14:paraId="252C8A8D">
      <w:pPr>
        <w:kinsoku/>
        <w:wordWrap/>
        <w:overflowPunct/>
        <w:topLinePunct w:val="0"/>
        <w:bidi w:val="0"/>
        <w:spacing w:line="560" w:lineRule="exact"/>
        <w:ind w:firstLine="482" w:firstLineChars="200"/>
        <w:outlineLvl w:val="9"/>
        <w:rPr>
          <w:rFonts w:ascii="宋体" w:hAnsi="宋体" w:cs="宋体"/>
          <w:b/>
          <w:color w:val="auto"/>
          <w:sz w:val="24"/>
        </w:rPr>
      </w:pPr>
      <w:bookmarkStart w:id="490" w:name="_Toc17244"/>
      <w:bookmarkStart w:id="491" w:name="_Toc487900362"/>
      <w:bookmarkStart w:id="492" w:name="_Toc279701252"/>
      <w:bookmarkStart w:id="493" w:name="_Toc259093681"/>
      <w:r>
        <w:rPr>
          <w:rFonts w:hint="eastAsia" w:ascii="宋体" w:hAnsi="宋体" w:cs="宋体"/>
          <w:b/>
          <w:color w:val="auto"/>
          <w:sz w:val="24"/>
        </w:rPr>
        <w:t>2.8 货物的风险负担</w:t>
      </w:r>
      <w:bookmarkEnd w:id="490"/>
    </w:p>
    <w:p w14:paraId="56C9C8AD">
      <w:pPr>
        <w:kinsoku/>
        <w:wordWrap/>
        <w:overflowPunct/>
        <w:topLinePunct w:val="0"/>
        <w:bidi w:val="0"/>
        <w:spacing w:line="560" w:lineRule="exact"/>
        <w:ind w:firstLine="480" w:firstLineChars="200"/>
        <w:outlineLvl w:val="9"/>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49E6B775">
      <w:pPr>
        <w:kinsoku/>
        <w:wordWrap/>
        <w:overflowPunct/>
        <w:topLinePunct w:val="0"/>
        <w:bidi w:val="0"/>
        <w:spacing w:line="560" w:lineRule="exact"/>
        <w:ind w:firstLine="482" w:firstLineChars="200"/>
        <w:outlineLvl w:val="9"/>
        <w:rPr>
          <w:rFonts w:ascii="宋体" w:hAnsi="宋体" w:cs="宋体"/>
          <w:b/>
          <w:color w:val="auto"/>
          <w:sz w:val="24"/>
        </w:rPr>
      </w:pPr>
      <w:bookmarkStart w:id="494" w:name="_Toc14055"/>
      <w:r>
        <w:rPr>
          <w:rFonts w:hint="eastAsia" w:ascii="宋体" w:hAnsi="宋体" w:cs="宋体"/>
          <w:b/>
          <w:color w:val="auto"/>
          <w:sz w:val="24"/>
        </w:rPr>
        <w:t>2.9 延迟交货</w:t>
      </w:r>
      <w:bookmarkEnd w:id="491"/>
      <w:bookmarkEnd w:id="492"/>
      <w:bookmarkEnd w:id="493"/>
      <w:bookmarkEnd w:id="494"/>
    </w:p>
    <w:p w14:paraId="0DE6582D">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D525407">
      <w:pPr>
        <w:kinsoku/>
        <w:wordWrap/>
        <w:overflowPunct/>
        <w:topLinePunct w:val="0"/>
        <w:bidi w:val="0"/>
        <w:spacing w:line="560" w:lineRule="exact"/>
        <w:ind w:firstLine="482" w:firstLineChars="200"/>
        <w:outlineLvl w:val="9"/>
        <w:rPr>
          <w:rFonts w:ascii="宋体" w:hAnsi="宋体" w:cs="宋体"/>
          <w:b/>
          <w:color w:val="auto"/>
          <w:sz w:val="24"/>
        </w:rPr>
      </w:pPr>
      <w:bookmarkStart w:id="495" w:name="_Toc7502"/>
      <w:bookmarkStart w:id="496" w:name="_Toc279701254"/>
      <w:bookmarkStart w:id="497" w:name="_Toc259093683"/>
      <w:bookmarkStart w:id="498" w:name="_Toc487900364"/>
      <w:bookmarkStart w:id="499" w:name="_Ref467378121"/>
      <w:r>
        <w:rPr>
          <w:rFonts w:hint="eastAsia" w:ascii="宋体" w:hAnsi="宋体" w:cs="宋体"/>
          <w:b/>
          <w:color w:val="auto"/>
          <w:sz w:val="24"/>
        </w:rPr>
        <w:t>2.10 合同变更</w:t>
      </w:r>
      <w:bookmarkEnd w:id="495"/>
    </w:p>
    <w:p w14:paraId="68E6F1FE">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500" w:name="_Toc279701259"/>
      <w:bookmarkStart w:id="501" w:name="_Toc259093688"/>
      <w:bookmarkStart w:id="502" w:name="_Toc487900369"/>
    </w:p>
    <w:p w14:paraId="10F00DC8">
      <w:pPr>
        <w:kinsoku/>
        <w:wordWrap/>
        <w:overflowPunct/>
        <w:topLinePunct w:val="0"/>
        <w:bidi w:val="0"/>
        <w:spacing w:line="560" w:lineRule="exact"/>
        <w:ind w:firstLine="482" w:firstLineChars="200"/>
        <w:outlineLvl w:val="9"/>
        <w:rPr>
          <w:rFonts w:ascii="宋体" w:hAnsi="宋体" w:cs="宋体"/>
          <w:b/>
          <w:color w:val="auto"/>
          <w:sz w:val="24"/>
        </w:rPr>
      </w:pPr>
      <w:bookmarkStart w:id="503" w:name="_Toc22955"/>
      <w:bookmarkStart w:id="504" w:name="_Toc10366"/>
      <w:bookmarkStart w:id="505" w:name="_Toc15237"/>
      <w:r>
        <w:rPr>
          <w:rFonts w:hint="eastAsia" w:ascii="宋体" w:hAnsi="宋体" w:cs="宋体"/>
          <w:b/>
          <w:color w:val="auto"/>
          <w:sz w:val="24"/>
        </w:rPr>
        <w:t>2.11 合同转让</w:t>
      </w:r>
      <w:bookmarkEnd w:id="500"/>
      <w:bookmarkEnd w:id="501"/>
      <w:bookmarkEnd w:id="502"/>
      <w:r>
        <w:rPr>
          <w:rFonts w:hint="eastAsia" w:ascii="宋体" w:hAnsi="宋体" w:cs="宋体"/>
          <w:b/>
          <w:color w:val="auto"/>
          <w:sz w:val="24"/>
        </w:rPr>
        <w:t>和分包</w:t>
      </w:r>
      <w:bookmarkEnd w:id="503"/>
      <w:bookmarkEnd w:id="504"/>
      <w:bookmarkEnd w:id="505"/>
    </w:p>
    <w:p w14:paraId="6F80A2C8">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93F4040">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14:paraId="516F968C">
      <w:pPr>
        <w:kinsoku/>
        <w:wordWrap/>
        <w:overflowPunct/>
        <w:topLinePunct w:val="0"/>
        <w:bidi w:val="0"/>
        <w:spacing w:line="560" w:lineRule="exact"/>
        <w:ind w:firstLine="482" w:firstLineChars="200"/>
        <w:outlineLvl w:val="9"/>
        <w:rPr>
          <w:rFonts w:ascii="宋体" w:hAnsi="宋体" w:cs="宋体"/>
          <w:b/>
          <w:color w:val="auto"/>
          <w:sz w:val="24"/>
        </w:rPr>
      </w:pPr>
      <w:bookmarkStart w:id="506" w:name="_Toc13566"/>
      <w:bookmarkStart w:id="507" w:name="_Toc14066"/>
      <w:bookmarkStart w:id="508" w:name="_Toc16508"/>
      <w:r>
        <w:rPr>
          <w:rFonts w:hint="eastAsia" w:ascii="宋体" w:hAnsi="宋体" w:cs="宋体"/>
          <w:b/>
          <w:color w:val="auto"/>
          <w:sz w:val="24"/>
        </w:rPr>
        <w:t>2.12 不可抗力</w:t>
      </w:r>
      <w:bookmarkEnd w:id="506"/>
      <w:bookmarkEnd w:id="507"/>
      <w:bookmarkEnd w:id="508"/>
    </w:p>
    <w:p w14:paraId="4400E804">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14:paraId="6873CD45">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14:paraId="381C1224">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68085AF0">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02ED1FE5">
      <w:pPr>
        <w:kinsoku/>
        <w:wordWrap/>
        <w:overflowPunct/>
        <w:topLinePunct w:val="0"/>
        <w:bidi w:val="0"/>
        <w:spacing w:line="560" w:lineRule="exact"/>
        <w:ind w:firstLine="482" w:firstLineChars="200"/>
        <w:outlineLvl w:val="9"/>
        <w:rPr>
          <w:rFonts w:ascii="宋体" w:hAnsi="宋体" w:cs="宋体"/>
          <w:b/>
          <w:color w:val="auto"/>
          <w:sz w:val="24"/>
        </w:rPr>
      </w:pPr>
      <w:bookmarkStart w:id="509" w:name="_Toc689"/>
      <w:bookmarkStart w:id="510" w:name="_Toc6969"/>
      <w:bookmarkStart w:id="511" w:name="_Toc279701255"/>
      <w:bookmarkStart w:id="512" w:name="_Toc259093684"/>
      <w:bookmarkStart w:id="513" w:name="_Toc30676"/>
      <w:bookmarkStart w:id="514" w:name="_Toc487900365"/>
      <w:r>
        <w:rPr>
          <w:rFonts w:hint="eastAsia" w:ascii="宋体" w:hAnsi="宋体" w:cs="宋体"/>
          <w:b/>
          <w:color w:val="auto"/>
          <w:sz w:val="24"/>
        </w:rPr>
        <w:t>2.13 税费</w:t>
      </w:r>
      <w:bookmarkEnd w:id="509"/>
      <w:bookmarkEnd w:id="510"/>
      <w:bookmarkEnd w:id="511"/>
      <w:bookmarkEnd w:id="512"/>
      <w:bookmarkEnd w:id="513"/>
      <w:bookmarkEnd w:id="514"/>
    </w:p>
    <w:p w14:paraId="3222DDBC">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14:paraId="1F6276EB">
      <w:pPr>
        <w:kinsoku/>
        <w:wordWrap/>
        <w:overflowPunct/>
        <w:topLinePunct w:val="0"/>
        <w:bidi w:val="0"/>
        <w:spacing w:line="560" w:lineRule="exact"/>
        <w:ind w:firstLine="482" w:firstLineChars="200"/>
        <w:outlineLvl w:val="9"/>
        <w:rPr>
          <w:rFonts w:ascii="宋体" w:hAnsi="宋体" w:cs="宋体"/>
          <w:b/>
          <w:color w:val="auto"/>
          <w:sz w:val="24"/>
        </w:rPr>
      </w:pPr>
      <w:bookmarkStart w:id="515" w:name="_Toc259093687"/>
      <w:bookmarkStart w:id="516" w:name="_Toc487900368"/>
      <w:bookmarkStart w:id="517" w:name="_Toc7102"/>
      <w:bookmarkStart w:id="518" w:name="_Toc8298"/>
      <w:bookmarkStart w:id="519" w:name="_Toc279701258"/>
      <w:bookmarkStart w:id="520" w:name="_Toc16959"/>
      <w:r>
        <w:rPr>
          <w:rFonts w:hint="eastAsia" w:ascii="宋体" w:hAnsi="宋体" w:cs="宋体"/>
          <w:b/>
          <w:color w:val="auto"/>
          <w:sz w:val="24"/>
        </w:rPr>
        <w:t>2.14乙方破产</w:t>
      </w:r>
      <w:bookmarkEnd w:id="515"/>
      <w:bookmarkEnd w:id="516"/>
      <w:bookmarkEnd w:id="517"/>
      <w:bookmarkEnd w:id="518"/>
      <w:bookmarkEnd w:id="519"/>
      <w:bookmarkEnd w:id="520"/>
    </w:p>
    <w:p w14:paraId="3DB99B88">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ECE6C9A">
      <w:pPr>
        <w:kinsoku/>
        <w:wordWrap/>
        <w:overflowPunct/>
        <w:topLinePunct w:val="0"/>
        <w:bidi w:val="0"/>
        <w:spacing w:line="560" w:lineRule="exact"/>
        <w:ind w:firstLine="482" w:firstLineChars="200"/>
        <w:outlineLvl w:val="9"/>
        <w:rPr>
          <w:rFonts w:ascii="宋体" w:hAnsi="宋体" w:cs="宋体"/>
          <w:b/>
          <w:color w:val="auto"/>
          <w:sz w:val="24"/>
        </w:rPr>
      </w:pPr>
      <w:bookmarkStart w:id="521" w:name="_Toc15387"/>
      <w:bookmarkStart w:id="522" w:name="_Toc29333"/>
      <w:bookmarkStart w:id="523" w:name="_Toc6134"/>
      <w:r>
        <w:rPr>
          <w:rFonts w:hint="eastAsia" w:ascii="宋体" w:hAnsi="宋体" w:cs="宋体"/>
          <w:b/>
          <w:color w:val="auto"/>
          <w:sz w:val="24"/>
        </w:rPr>
        <w:t>2.15 合同中止、终止</w:t>
      </w:r>
      <w:bookmarkEnd w:id="521"/>
      <w:bookmarkEnd w:id="522"/>
      <w:bookmarkEnd w:id="523"/>
    </w:p>
    <w:p w14:paraId="3F37299C">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2.15.1 双方当事人不得擅自中止或者终止合同；</w:t>
      </w:r>
    </w:p>
    <w:p w14:paraId="41F25E2D">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43A3AD51">
      <w:pPr>
        <w:kinsoku/>
        <w:wordWrap/>
        <w:overflowPunct/>
        <w:topLinePunct w:val="0"/>
        <w:bidi w:val="0"/>
        <w:spacing w:line="560" w:lineRule="exact"/>
        <w:ind w:firstLine="482" w:firstLineChars="200"/>
        <w:outlineLvl w:val="9"/>
        <w:rPr>
          <w:rFonts w:ascii="宋体" w:hAnsi="宋体" w:cs="宋体"/>
          <w:b/>
          <w:color w:val="auto"/>
          <w:sz w:val="24"/>
        </w:rPr>
      </w:pPr>
      <w:bookmarkStart w:id="524" w:name="_Toc14563"/>
      <w:bookmarkStart w:id="525" w:name="_Toc1125"/>
      <w:bookmarkStart w:id="526" w:name="_Toc6596"/>
      <w:r>
        <w:rPr>
          <w:rFonts w:hint="eastAsia" w:ascii="宋体" w:hAnsi="宋体" w:cs="宋体"/>
          <w:b/>
          <w:color w:val="auto"/>
          <w:sz w:val="24"/>
        </w:rPr>
        <w:t>2.16检验和验收</w:t>
      </w:r>
      <w:bookmarkEnd w:id="524"/>
      <w:bookmarkEnd w:id="525"/>
      <w:bookmarkEnd w:id="526"/>
    </w:p>
    <w:p w14:paraId="0DB52FEA">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3817528E">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0732878">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96"/>
    <w:bookmarkEnd w:id="497"/>
    <w:bookmarkEnd w:id="498"/>
    <w:bookmarkEnd w:id="499"/>
    <w:p w14:paraId="3E14F29A">
      <w:pPr>
        <w:kinsoku/>
        <w:wordWrap/>
        <w:overflowPunct/>
        <w:topLinePunct w:val="0"/>
        <w:bidi w:val="0"/>
        <w:spacing w:line="560" w:lineRule="exact"/>
        <w:ind w:firstLine="482" w:firstLineChars="200"/>
        <w:outlineLvl w:val="9"/>
        <w:rPr>
          <w:rFonts w:ascii="宋体" w:hAnsi="宋体" w:cs="宋体"/>
          <w:b/>
          <w:color w:val="auto"/>
          <w:sz w:val="24"/>
        </w:rPr>
      </w:pPr>
      <w:bookmarkStart w:id="527" w:name="_Toc279701261"/>
      <w:bookmarkStart w:id="528" w:name="_Toc259093690"/>
      <w:bookmarkStart w:id="529" w:name="_Toc487900371"/>
      <w:bookmarkStart w:id="530" w:name="_Toc19604"/>
      <w:bookmarkStart w:id="531" w:name="_Toc11284"/>
      <w:bookmarkStart w:id="532" w:name="_Toc25182"/>
      <w:r>
        <w:rPr>
          <w:rFonts w:hint="eastAsia" w:ascii="宋体" w:hAnsi="宋体" w:cs="宋体"/>
          <w:b/>
          <w:color w:val="auto"/>
          <w:sz w:val="24"/>
        </w:rPr>
        <w:t>2.17 通知</w:t>
      </w:r>
      <w:bookmarkEnd w:id="527"/>
      <w:bookmarkEnd w:id="528"/>
      <w:bookmarkEnd w:id="529"/>
      <w:r>
        <w:rPr>
          <w:rFonts w:hint="eastAsia" w:ascii="宋体" w:hAnsi="宋体" w:cs="宋体"/>
          <w:b/>
          <w:color w:val="auto"/>
          <w:sz w:val="24"/>
        </w:rPr>
        <w:t>和送达</w:t>
      </w:r>
      <w:bookmarkEnd w:id="530"/>
      <w:bookmarkEnd w:id="531"/>
      <w:bookmarkEnd w:id="532"/>
    </w:p>
    <w:p w14:paraId="5D773289">
      <w:pPr>
        <w:kinsoku/>
        <w:wordWrap/>
        <w:overflowPunct/>
        <w:topLinePunct w:val="0"/>
        <w:bidi w:val="0"/>
        <w:spacing w:line="560" w:lineRule="exact"/>
        <w:ind w:firstLine="480" w:firstLineChars="200"/>
        <w:outlineLvl w:val="9"/>
        <w:rPr>
          <w:rFonts w:ascii="宋体" w:hAnsi="宋体" w:cs="宋体"/>
          <w:color w:val="auto"/>
          <w:sz w:val="24"/>
        </w:rPr>
      </w:pPr>
      <w:bookmarkStart w:id="533" w:name="_Toc6698"/>
      <w:bookmarkStart w:id="534" w:name="_Toc3135"/>
      <w:bookmarkStart w:id="535" w:name="_Toc487900372"/>
      <w:bookmarkStart w:id="536" w:name="_Toc259093691"/>
      <w:bookmarkStart w:id="537" w:name="_Toc279701262"/>
      <w:r>
        <w:rPr>
          <w:rFonts w:hint="eastAsia" w:ascii="宋体" w:hAnsi="宋体" w:cs="宋体"/>
          <w:color w:val="auto"/>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33"/>
      <w:bookmarkEnd w:id="534"/>
    </w:p>
    <w:p w14:paraId="34EA5D7D">
      <w:pPr>
        <w:kinsoku/>
        <w:wordWrap/>
        <w:overflowPunct/>
        <w:topLinePunct w:val="0"/>
        <w:bidi w:val="0"/>
        <w:spacing w:line="560" w:lineRule="exact"/>
        <w:ind w:firstLine="480" w:firstLineChars="200"/>
        <w:outlineLvl w:val="9"/>
        <w:rPr>
          <w:rFonts w:ascii="宋体" w:hAnsi="宋体" w:cs="宋体"/>
          <w:color w:val="auto"/>
          <w:sz w:val="24"/>
        </w:rPr>
      </w:pPr>
      <w:bookmarkStart w:id="538" w:name="_Toc23294"/>
      <w:bookmarkStart w:id="539" w:name="_Toc23128"/>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14:paraId="7E3C62B9">
      <w:pPr>
        <w:kinsoku/>
        <w:wordWrap/>
        <w:overflowPunct/>
        <w:topLinePunct w:val="0"/>
        <w:bidi w:val="0"/>
        <w:spacing w:line="560" w:lineRule="exact"/>
        <w:ind w:firstLine="482" w:firstLineChars="200"/>
        <w:outlineLvl w:val="9"/>
        <w:rPr>
          <w:rFonts w:ascii="宋体" w:hAnsi="宋体" w:cs="宋体"/>
          <w:b/>
          <w:color w:val="auto"/>
          <w:sz w:val="24"/>
        </w:rPr>
      </w:pPr>
      <w:bookmarkStart w:id="540" w:name="_Toc4355"/>
      <w:bookmarkStart w:id="541" w:name="_Toc18540"/>
      <w:bookmarkStart w:id="542" w:name="_Toc30599"/>
      <w:r>
        <w:rPr>
          <w:rFonts w:hint="eastAsia" w:ascii="宋体" w:hAnsi="宋体" w:cs="宋体"/>
          <w:b/>
          <w:color w:val="auto"/>
          <w:sz w:val="24"/>
        </w:rPr>
        <w:t>2.18 计量单位</w:t>
      </w:r>
      <w:bookmarkEnd w:id="535"/>
      <w:bookmarkEnd w:id="536"/>
      <w:bookmarkEnd w:id="537"/>
      <w:bookmarkEnd w:id="540"/>
      <w:bookmarkEnd w:id="541"/>
      <w:bookmarkEnd w:id="542"/>
    </w:p>
    <w:p w14:paraId="75846D12">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49328EFC">
      <w:pPr>
        <w:kinsoku/>
        <w:wordWrap/>
        <w:overflowPunct/>
        <w:topLinePunct w:val="0"/>
        <w:bidi w:val="0"/>
        <w:spacing w:line="560" w:lineRule="exact"/>
        <w:ind w:firstLine="482" w:firstLineChars="200"/>
        <w:outlineLvl w:val="9"/>
        <w:rPr>
          <w:rFonts w:ascii="宋体" w:hAnsi="宋体" w:cs="宋体"/>
          <w:b/>
          <w:color w:val="auto"/>
          <w:sz w:val="24"/>
        </w:rPr>
      </w:pPr>
      <w:bookmarkStart w:id="543" w:name="_Toc12773"/>
      <w:bookmarkStart w:id="544" w:name="_Toc259093692"/>
      <w:bookmarkStart w:id="545" w:name="_Toc18567"/>
      <w:bookmarkStart w:id="546" w:name="_Toc10330"/>
      <w:bookmarkStart w:id="547" w:name="_Toc279701263"/>
      <w:bookmarkStart w:id="548" w:name="_Toc487900373"/>
      <w:r>
        <w:rPr>
          <w:rFonts w:hint="eastAsia" w:ascii="宋体" w:hAnsi="宋体" w:cs="宋体"/>
          <w:b/>
          <w:color w:val="auto"/>
          <w:sz w:val="24"/>
        </w:rPr>
        <w:t>2.19 合同使用的文字和适用的法律</w:t>
      </w:r>
      <w:bookmarkEnd w:id="543"/>
      <w:bookmarkEnd w:id="544"/>
      <w:bookmarkEnd w:id="545"/>
      <w:bookmarkEnd w:id="546"/>
      <w:bookmarkEnd w:id="547"/>
      <w:bookmarkEnd w:id="548"/>
    </w:p>
    <w:p w14:paraId="11106A0D">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2.19.1 合同使用汉语书就、变更和解释；</w:t>
      </w:r>
    </w:p>
    <w:p w14:paraId="686FE3C1">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2.19.2 合同适用中华人民共和国法律。</w:t>
      </w:r>
    </w:p>
    <w:p w14:paraId="2C334A2C">
      <w:pPr>
        <w:kinsoku/>
        <w:wordWrap/>
        <w:overflowPunct/>
        <w:topLinePunct w:val="0"/>
        <w:bidi w:val="0"/>
        <w:spacing w:line="560" w:lineRule="exact"/>
        <w:ind w:firstLine="482" w:firstLineChars="200"/>
        <w:outlineLvl w:val="9"/>
        <w:rPr>
          <w:rFonts w:ascii="宋体" w:hAnsi="宋体" w:cs="宋体"/>
          <w:b/>
          <w:color w:val="auto"/>
          <w:sz w:val="24"/>
        </w:rPr>
      </w:pPr>
      <w:bookmarkStart w:id="549" w:name="_Toc19890"/>
      <w:bookmarkStart w:id="550" w:name="_Toc14001"/>
      <w:bookmarkStart w:id="551" w:name="_Toc6885"/>
      <w:r>
        <w:rPr>
          <w:rFonts w:hint="eastAsia" w:ascii="宋体" w:hAnsi="宋体" w:cs="宋体"/>
          <w:b/>
          <w:color w:val="auto"/>
          <w:sz w:val="24"/>
        </w:rPr>
        <w:t>2.20 合同份数</w:t>
      </w:r>
      <w:bookmarkEnd w:id="549"/>
      <w:bookmarkEnd w:id="550"/>
      <w:bookmarkEnd w:id="551"/>
    </w:p>
    <w:p w14:paraId="753DA863">
      <w:pPr>
        <w:kinsoku/>
        <w:wordWrap/>
        <w:overflowPunct/>
        <w:topLinePunct w:val="0"/>
        <w:bidi w:val="0"/>
        <w:spacing w:line="560" w:lineRule="exact"/>
        <w:ind w:firstLine="480" w:firstLineChars="200"/>
        <w:outlineLvl w:val="9"/>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14:paraId="0BD86CBB">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14:paraId="2E9B0408">
      <w:pPr>
        <w:kinsoku/>
        <w:wordWrap/>
        <w:overflowPunct/>
        <w:topLinePunct w:val="0"/>
        <w:bidi w:val="0"/>
        <w:spacing w:line="560" w:lineRule="exact"/>
        <w:ind w:left="-420" w:leftChars="-200" w:right="-420" w:rightChars="-200" w:firstLine="480" w:firstLineChars="200"/>
        <w:outlineLvl w:val="9"/>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9"/>
        <w:gridCol w:w="8140"/>
      </w:tblGrid>
      <w:tr w14:paraId="7DE46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9" w:type="dxa"/>
            <w:tcBorders>
              <w:left w:val="single" w:color="auto" w:sz="4" w:space="0"/>
            </w:tcBorders>
            <w:vAlign w:val="center"/>
          </w:tcPr>
          <w:p w14:paraId="7035446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eastAsia="宋体" w:cs="宋体"/>
                <w:b/>
                <w:color w:val="auto"/>
                <w:sz w:val="24"/>
              </w:rPr>
            </w:pPr>
            <w:r>
              <w:rPr>
                <w:rFonts w:hint="eastAsia" w:ascii="宋体" w:hAnsi="宋体" w:eastAsia="宋体" w:cs="宋体"/>
                <w:b/>
                <w:color w:val="auto"/>
                <w:sz w:val="24"/>
              </w:rPr>
              <w:t>条款号</w:t>
            </w:r>
          </w:p>
        </w:tc>
        <w:tc>
          <w:tcPr>
            <w:tcW w:w="8140" w:type="dxa"/>
            <w:vAlign w:val="center"/>
          </w:tcPr>
          <w:p w14:paraId="6BCE0D4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eastAsia="宋体" w:cs="宋体"/>
                <w:b/>
                <w:color w:val="auto"/>
                <w:sz w:val="24"/>
              </w:rPr>
            </w:pPr>
            <w:r>
              <w:rPr>
                <w:rFonts w:hint="eastAsia" w:ascii="宋体" w:hAnsi="宋体" w:eastAsia="宋体" w:cs="宋体"/>
                <w:b/>
                <w:color w:val="auto"/>
                <w:sz w:val="24"/>
              </w:rPr>
              <w:t>约定内容</w:t>
            </w:r>
          </w:p>
        </w:tc>
      </w:tr>
      <w:tr w14:paraId="18909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0768D97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1.4.2</w:t>
            </w:r>
          </w:p>
        </w:tc>
        <w:tc>
          <w:tcPr>
            <w:tcW w:w="8140" w:type="dxa"/>
            <w:vAlign w:val="center"/>
          </w:tcPr>
          <w:p w14:paraId="47C4198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r>
      <w:tr w14:paraId="5CCD5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312F792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1.5.1</w:t>
            </w:r>
          </w:p>
        </w:tc>
        <w:tc>
          <w:tcPr>
            <w:tcW w:w="8140" w:type="dxa"/>
            <w:vAlign w:val="center"/>
          </w:tcPr>
          <w:p w14:paraId="578DD2BB">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rPr>
              <w:t>合同生效并具备实施条件后7个工作日内</w:t>
            </w:r>
            <w:r>
              <w:rPr>
                <w:rFonts w:hint="eastAsia" w:ascii="宋体" w:hAnsi="宋体" w:eastAsia="宋体" w:cs="宋体"/>
                <w:color w:val="auto"/>
                <w:kern w:val="2"/>
                <w:sz w:val="24"/>
                <w:szCs w:val="24"/>
                <w:highlight w:val="none"/>
              </w:rPr>
              <w:t>支付合同总额的</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作为预付款</w:t>
            </w:r>
            <w:r>
              <w:rPr>
                <w:rFonts w:hint="eastAsia" w:ascii="宋体" w:hAnsi="宋体" w:eastAsia="宋体" w:cs="宋体"/>
                <w:color w:val="auto"/>
                <w:kern w:val="2"/>
                <w:sz w:val="24"/>
                <w:szCs w:val="24"/>
                <w:highlight w:val="none"/>
              </w:rPr>
              <w:t>；</w:t>
            </w:r>
          </w:p>
        </w:tc>
      </w:tr>
      <w:tr w14:paraId="3DB64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158436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 xml:space="preserve">1.5.2 </w:t>
            </w:r>
          </w:p>
        </w:tc>
        <w:tc>
          <w:tcPr>
            <w:tcW w:w="8140" w:type="dxa"/>
            <w:vAlign w:val="center"/>
          </w:tcPr>
          <w:p w14:paraId="592D155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r>
      <w:tr w14:paraId="33C76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4F936263">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1.5.3</w:t>
            </w:r>
          </w:p>
        </w:tc>
        <w:tc>
          <w:tcPr>
            <w:tcW w:w="8140" w:type="dxa"/>
            <w:vAlign w:val="center"/>
          </w:tcPr>
          <w:p w14:paraId="3A74B319">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r>
      <w:tr w14:paraId="5C07B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4D56D0AD">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1.6.2</w:t>
            </w:r>
          </w:p>
        </w:tc>
        <w:tc>
          <w:tcPr>
            <w:tcW w:w="8140" w:type="dxa"/>
            <w:vAlign w:val="center"/>
          </w:tcPr>
          <w:p w14:paraId="0F925AA8">
            <w:pPr>
              <w:keepNext w:val="0"/>
              <w:keepLines w:val="0"/>
              <w:pageBreakBefore w:val="0"/>
              <w:widowControl/>
              <w:kinsoku/>
              <w:wordWrap/>
              <w:overflowPunct/>
              <w:topLinePunct w:val="0"/>
              <w:autoSpaceDE/>
              <w:autoSpaceDN/>
              <w:bidi w:val="0"/>
              <w:adjustRightInd/>
              <w:snapToGrid/>
              <w:spacing w:line="264" w:lineRule="auto"/>
              <w:ind w:left="0" w:leftChars="0" w:right="0" w:right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合同签订生效以及具备实施条件后7个工作日内，甲方支付合同金额的40%作为预付款；货到安装完毕经</w:t>
            </w:r>
            <w:r>
              <w:rPr>
                <w:rFonts w:hint="eastAsia" w:ascii="宋体" w:hAnsi="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lang w:val="en-US" w:eastAsia="zh-CN"/>
              </w:rPr>
              <w:t>验收合格后凭</w:t>
            </w:r>
            <w:r>
              <w:rPr>
                <w:rFonts w:hint="eastAsia" w:ascii="宋体" w:hAnsi="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lang w:val="en-US" w:eastAsia="zh-CN"/>
              </w:rPr>
              <w:t>提供的增值税发票支付至合同金额的100%。</w:t>
            </w:r>
          </w:p>
        </w:tc>
      </w:tr>
      <w:tr w14:paraId="79206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3B04C72D">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1.7.1</w:t>
            </w:r>
          </w:p>
        </w:tc>
        <w:tc>
          <w:tcPr>
            <w:tcW w:w="8140" w:type="dxa"/>
            <w:vAlign w:val="center"/>
          </w:tcPr>
          <w:p w14:paraId="14356210">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eastAsia="zh-CN"/>
              </w:rPr>
              <w:t>合同签订后5个月内完成工作内容。</w:t>
            </w:r>
          </w:p>
        </w:tc>
      </w:tr>
      <w:tr w14:paraId="72B2C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36FA7C0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1.7.2</w:t>
            </w:r>
          </w:p>
        </w:tc>
        <w:tc>
          <w:tcPr>
            <w:tcW w:w="8140" w:type="dxa"/>
            <w:vAlign w:val="center"/>
          </w:tcPr>
          <w:p w14:paraId="070C2F29">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lang w:val="en-US" w:eastAsia="zh-CN"/>
              </w:rPr>
              <w:t>甲方</w:t>
            </w:r>
            <w:r>
              <w:rPr>
                <w:rFonts w:hint="eastAsia" w:ascii="宋体" w:hAnsi="宋体" w:eastAsia="宋体" w:cs="宋体"/>
                <w:color w:val="auto"/>
                <w:kern w:val="2"/>
                <w:sz w:val="24"/>
                <w:szCs w:val="24"/>
                <w:highlight w:val="none"/>
              </w:rPr>
              <w:t>指定地点</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宁波市</w:t>
            </w:r>
            <w:r>
              <w:rPr>
                <w:rFonts w:hint="eastAsia" w:ascii="宋体" w:hAnsi="宋体" w:cs="宋体"/>
                <w:color w:val="auto"/>
                <w:kern w:val="2"/>
                <w:sz w:val="24"/>
                <w:szCs w:val="24"/>
                <w:highlight w:val="none"/>
                <w:lang w:val="en-US" w:eastAsia="zh-CN"/>
              </w:rPr>
              <w:t>宁海县</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w:t>
            </w:r>
          </w:p>
        </w:tc>
      </w:tr>
      <w:tr w14:paraId="0D904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13CBE4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1.7.3</w:t>
            </w:r>
          </w:p>
        </w:tc>
        <w:tc>
          <w:tcPr>
            <w:tcW w:w="8140" w:type="dxa"/>
            <w:vAlign w:val="center"/>
          </w:tcPr>
          <w:p w14:paraId="45A3A820">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满足甲方要求</w:t>
            </w:r>
          </w:p>
        </w:tc>
      </w:tr>
      <w:tr w14:paraId="59C62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277120A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1.8.6</w:t>
            </w:r>
          </w:p>
        </w:tc>
        <w:tc>
          <w:tcPr>
            <w:tcW w:w="8140" w:type="dxa"/>
            <w:vAlign w:val="center"/>
          </w:tcPr>
          <w:p w14:paraId="6675E781">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color w:val="auto"/>
                <w:sz w:val="24"/>
                <w:lang w:val="en-US"/>
              </w:rPr>
            </w:pPr>
            <w:r>
              <w:rPr>
                <w:rFonts w:hint="eastAsia" w:ascii="宋体" w:hAnsi="宋体" w:cs="宋体"/>
                <w:color w:val="auto"/>
                <w:sz w:val="24"/>
                <w:lang w:val="en-US" w:eastAsia="zh-CN"/>
              </w:rPr>
              <w:t>/</w:t>
            </w:r>
          </w:p>
        </w:tc>
      </w:tr>
      <w:tr w14:paraId="50539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188ECBF3">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1.9</w:t>
            </w:r>
          </w:p>
        </w:tc>
        <w:tc>
          <w:tcPr>
            <w:tcW w:w="8140" w:type="dxa"/>
            <w:vAlign w:val="center"/>
          </w:tcPr>
          <w:p w14:paraId="356FF9C6">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cs="宋体"/>
                <w:color w:val="auto"/>
                <w:sz w:val="24"/>
                <w:lang w:val="en-US" w:eastAsia="zh-CN"/>
              </w:rPr>
              <w:t>甲方</w:t>
            </w:r>
            <w:r>
              <w:rPr>
                <w:rFonts w:hint="eastAsia" w:ascii="宋体" w:hAnsi="宋体" w:eastAsia="宋体" w:cs="宋体"/>
                <w:color w:val="auto"/>
                <w:sz w:val="24"/>
              </w:rPr>
              <w:t>指定地点（宁波市宁海县）</w:t>
            </w:r>
          </w:p>
        </w:tc>
      </w:tr>
      <w:tr w14:paraId="3FAAE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177055D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2.3.2</w:t>
            </w:r>
          </w:p>
        </w:tc>
        <w:tc>
          <w:tcPr>
            <w:tcW w:w="8140" w:type="dxa"/>
            <w:vAlign w:val="center"/>
          </w:tcPr>
          <w:p w14:paraId="0CD21F65">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归甲方所有</w:t>
            </w:r>
          </w:p>
        </w:tc>
      </w:tr>
      <w:tr w14:paraId="1FA25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35E74F3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2.4.1</w:t>
            </w:r>
          </w:p>
        </w:tc>
        <w:tc>
          <w:tcPr>
            <w:tcW w:w="8140" w:type="dxa"/>
            <w:vAlign w:val="center"/>
          </w:tcPr>
          <w:p w14:paraId="70DB4824">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r>
      <w:tr w14:paraId="4470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63C4EA59">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2.4.3</w:t>
            </w:r>
          </w:p>
        </w:tc>
        <w:tc>
          <w:tcPr>
            <w:tcW w:w="8140" w:type="dxa"/>
            <w:vAlign w:val="center"/>
          </w:tcPr>
          <w:p w14:paraId="49D5A9D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满足甲方要求</w:t>
            </w:r>
          </w:p>
        </w:tc>
      </w:tr>
      <w:tr w14:paraId="34A10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tcPr>
          <w:p w14:paraId="09083789">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 xml:space="preserve">2.8 </w:t>
            </w:r>
          </w:p>
        </w:tc>
        <w:tc>
          <w:tcPr>
            <w:tcW w:w="8140" w:type="dxa"/>
          </w:tcPr>
          <w:p w14:paraId="03EE26A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责任方承担</w:t>
            </w:r>
          </w:p>
        </w:tc>
      </w:tr>
      <w:tr w14:paraId="3C497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2D0F20B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2.12.3</w:t>
            </w:r>
          </w:p>
        </w:tc>
        <w:tc>
          <w:tcPr>
            <w:tcW w:w="8140" w:type="dxa"/>
            <w:vAlign w:val="center"/>
          </w:tcPr>
          <w:p w14:paraId="1697E585">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outlineLvl w:val="9"/>
              <w:rPr>
                <w:rFonts w:ascii="宋体" w:hAnsi="宋体" w:eastAsia="宋体" w:cs="宋体"/>
                <w:color w:val="auto"/>
                <w:sz w:val="24"/>
              </w:rPr>
            </w:pPr>
            <w:r>
              <w:rPr>
                <w:rFonts w:hint="eastAsia" w:ascii="宋体" w:hAnsi="宋体" w:eastAsia="宋体" w:cs="宋体"/>
                <w:color w:val="auto"/>
                <w:sz w:val="24"/>
              </w:rPr>
              <w:t>不可抗力时间发生后7天</w:t>
            </w:r>
            <w:r>
              <w:rPr>
                <w:rFonts w:hint="eastAsia" w:ascii="宋体" w:hAnsi="宋体" w:eastAsia="宋体" w:cs="宋体"/>
                <w:color w:val="auto"/>
                <w:sz w:val="24"/>
                <w:lang w:eastAsia="zh-CN"/>
              </w:rPr>
              <w:t>。</w:t>
            </w:r>
          </w:p>
        </w:tc>
      </w:tr>
      <w:tr w14:paraId="269F6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345BEAA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2.12.4</w:t>
            </w:r>
          </w:p>
        </w:tc>
        <w:tc>
          <w:tcPr>
            <w:tcW w:w="8140" w:type="dxa"/>
            <w:vAlign w:val="top"/>
          </w:tcPr>
          <w:p w14:paraId="6CEB14FB">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outlineLvl w:val="9"/>
              <w:rPr>
                <w:rFonts w:ascii="宋体" w:hAnsi="宋体" w:eastAsia="宋体" w:cs="宋体"/>
                <w:color w:val="auto"/>
                <w:sz w:val="24"/>
              </w:rPr>
            </w:pPr>
            <w:r>
              <w:rPr>
                <w:rFonts w:hint="eastAsia" w:ascii="宋体" w:hAnsi="宋体" w:eastAsia="宋体" w:cs="宋体"/>
                <w:color w:val="auto"/>
                <w:sz w:val="24"/>
              </w:rPr>
              <w:t>不可抗力时间发生后7天。</w:t>
            </w:r>
          </w:p>
        </w:tc>
      </w:tr>
      <w:tr w14:paraId="1D54F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9E913D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2.16.1</w:t>
            </w:r>
          </w:p>
        </w:tc>
        <w:tc>
          <w:tcPr>
            <w:tcW w:w="8140" w:type="dxa"/>
            <w:vAlign w:val="center"/>
          </w:tcPr>
          <w:p w14:paraId="00663FB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以甲方约定为准</w:t>
            </w:r>
          </w:p>
        </w:tc>
      </w:tr>
      <w:tr w14:paraId="3CB09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9" w:type="dxa"/>
            <w:tcBorders>
              <w:left w:val="single" w:color="auto" w:sz="4" w:space="0"/>
            </w:tcBorders>
            <w:vAlign w:val="center"/>
          </w:tcPr>
          <w:p w14:paraId="416C43F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rPr>
              <w:t>2.16.3</w:t>
            </w:r>
          </w:p>
        </w:tc>
        <w:tc>
          <w:tcPr>
            <w:tcW w:w="8140" w:type="dxa"/>
            <w:vAlign w:val="center"/>
          </w:tcPr>
          <w:p w14:paraId="1E570CA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color w:val="auto"/>
                <w:sz w:val="24"/>
              </w:rPr>
            </w:pPr>
            <w:r>
              <w:rPr>
                <w:rFonts w:hint="eastAsia" w:ascii="宋体" w:hAnsi="宋体" w:eastAsia="宋体" w:cs="宋体"/>
                <w:color w:val="auto"/>
                <w:sz w:val="24"/>
                <w:lang w:val="en-US" w:eastAsia="zh-CN"/>
              </w:rPr>
              <w:t>满足甲方要求</w:t>
            </w:r>
          </w:p>
        </w:tc>
      </w:tr>
      <w:tr w14:paraId="7FEA3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59" w:type="dxa"/>
            <w:tcBorders>
              <w:left w:val="single" w:color="auto" w:sz="4" w:space="0"/>
            </w:tcBorders>
            <w:vAlign w:val="center"/>
          </w:tcPr>
          <w:p w14:paraId="2EFABD0B">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 xml:space="preserve">2.20 </w:t>
            </w:r>
          </w:p>
        </w:tc>
        <w:tc>
          <w:tcPr>
            <w:tcW w:w="8140" w:type="dxa"/>
            <w:vAlign w:val="top"/>
          </w:tcPr>
          <w:p w14:paraId="7A45F395">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本合同一式   份，甲方执   份，乙方执   份。每份均具有同等法律效力。</w:t>
            </w:r>
          </w:p>
        </w:tc>
      </w:tr>
    </w:tbl>
    <w:p w14:paraId="73D8DA98">
      <w:pPr>
        <w:kinsoku/>
        <w:wordWrap/>
        <w:overflowPunct/>
        <w:topLinePunct w:val="0"/>
        <w:bidi w:val="0"/>
        <w:spacing w:line="360" w:lineRule="auto"/>
        <w:ind w:left="-420" w:leftChars="-200" w:right="-420" w:rightChars="-200" w:firstLine="480" w:firstLineChars="200"/>
        <w:outlineLvl w:val="9"/>
        <w:rPr>
          <w:rFonts w:ascii="宋体" w:hAnsi="宋体" w:cs="宋体"/>
          <w:color w:val="auto"/>
          <w:sz w:val="24"/>
        </w:rPr>
      </w:pPr>
    </w:p>
    <w:p w14:paraId="362812AF">
      <w:pPr>
        <w:kinsoku/>
        <w:wordWrap/>
        <w:overflowPunct/>
        <w:topLinePunct w:val="0"/>
        <w:bidi w:val="0"/>
        <w:outlineLvl w:val="9"/>
        <w:rPr>
          <w:color w:val="auto"/>
        </w:rPr>
      </w:pPr>
    </w:p>
    <w:p w14:paraId="3FBF9348">
      <w:pPr>
        <w:rPr>
          <w:rFonts w:hint="eastAsia" w:ascii="宋体" w:hAnsi="宋体" w:cs="宋体"/>
          <w:b/>
          <w:color w:val="auto"/>
          <w:sz w:val="36"/>
          <w:szCs w:val="20"/>
        </w:rPr>
      </w:pPr>
      <w:bookmarkStart w:id="552" w:name="_Toc22993"/>
      <w:r>
        <w:rPr>
          <w:rFonts w:hint="eastAsia" w:ascii="宋体" w:hAnsi="宋体" w:cs="宋体"/>
          <w:b/>
          <w:color w:val="auto"/>
          <w:sz w:val="36"/>
          <w:szCs w:val="20"/>
        </w:rPr>
        <w:br w:type="page"/>
      </w:r>
    </w:p>
    <w:p w14:paraId="720251C6">
      <w:pPr>
        <w:kinsoku/>
        <w:wordWrap/>
        <w:overflowPunct/>
        <w:topLinePunct w:val="0"/>
        <w:bidi w:val="0"/>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400"/>
      <w:r>
        <w:rPr>
          <w:rFonts w:hint="eastAsia" w:ascii="宋体" w:hAnsi="宋体" w:cs="宋体"/>
          <w:b/>
          <w:color w:val="auto"/>
          <w:sz w:val="36"/>
          <w:szCs w:val="20"/>
        </w:rPr>
        <w:t xml:space="preserve"> </w:t>
      </w:r>
      <w:bookmarkEnd w:id="401"/>
      <w:r>
        <w:rPr>
          <w:rFonts w:hint="eastAsia" w:ascii="宋体" w:hAnsi="宋体" w:cs="宋体"/>
          <w:b/>
          <w:color w:val="auto"/>
          <w:sz w:val="36"/>
          <w:szCs w:val="20"/>
        </w:rPr>
        <w:t>应提交的有关格式范例</w:t>
      </w:r>
      <w:bookmarkEnd w:id="552"/>
    </w:p>
    <w:p w14:paraId="20733C4E">
      <w:pPr>
        <w:kinsoku/>
        <w:wordWrap/>
        <w:overflowPunct/>
        <w:topLinePunct w:val="0"/>
        <w:bidi w:val="0"/>
        <w:spacing w:line="360" w:lineRule="auto"/>
        <w:jc w:val="center"/>
        <w:outlineLvl w:val="9"/>
        <w:rPr>
          <w:rFonts w:ascii="宋体" w:hAnsi="宋体" w:cs="宋体"/>
          <w:b/>
          <w:color w:val="auto"/>
          <w:kern w:val="0"/>
          <w:sz w:val="36"/>
          <w:szCs w:val="36"/>
        </w:rPr>
      </w:pPr>
    </w:p>
    <w:p w14:paraId="3A165EA8">
      <w:pPr>
        <w:kinsoku/>
        <w:wordWrap/>
        <w:overflowPunct/>
        <w:topLinePunct w:val="0"/>
        <w:bidi w:val="0"/>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3453B5B">
      <w:pPr>
        <w:kinsoku/>
        <w:wordWrap/>
        <w:overflowPunct/>
        <w:topLinePunct w:val="0"/>
        <w:bidi w:val="0"/>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7AB258CF">
      <w:pPr>
        <w:kinsoku/>
        <w:wordWrap/>
        <w:overflowPunct/>
        <w:topLinePunct w:val="0"/>
        <w:bidi w:val="0"/>
        <w:spacing w:line="360" w:lineRule="auto"/>
        <w:jc w:val="center"/>
        <w:outlineLvl w:val="9"/>
        <w:rPr>
          <w:rFonts w:ascii="宋体" w:hAnsi="宋体" w:cs="宋体"/>
          <w:b/>
          <w:color w:val="auto"/>
          <w:kern w:val="0"/>
          <w:sz w:val="36"/>
          <w:szCs w:val="36"/>
        </w:rPr>
      </w:pPr>
    </w:p>
    <w:p w14:paraId="0FE18B72">
      <w:pPr>
        <w:numPr>
          <w:ilvl w:val="0"/>
          <w:numId w:val="6"/>
        </w:numPr>
        <w:kinsoku/>
        <w:wordWrap/>
        <w:overflowPunct/>
        <w:topLinePunct w:val="0"/>
        <w:bidi w:val="0"/>
        <w:snapToGrid w:val="0"/>
        <w:spacing w:line="360" w:lineRule="auto"/>
        <w:outlineLvl w:val="9"/>
        <w:rPr>
          <w:rFonts w:hint="eastAsia" w:ascii="宋体" w:hAnsi="宋体" w:cs="宋体"/>
          <w:color w:val="auto"/>
          <w:sz w:val="24"/>
        </w:rPr>
      </w:pPr>
      <w:r>
        <w:rPr>
          <w:rFonts w:hint="eastAsia" w:ascii="宋体" w:hAnsi="宋体" w:cs="宋体"/>
          <w:color w:val="auto"/>
          <w:sz w:val="24"/>
        </w:rPr>
        <w:t>符合参加政府采购活动应当具备的一般条件的承诺函……………（页码）</w:t>
      </w:r>
    </w:p>
    <w:p w14:paraId="7F212D00">
      <w:pPr>
        <w:pStyle w:val="24"/>
        <w:numPr>
          <w:ilvl w:val="0"/>
          <w:numId w:val="6"/>
        </w:numPr>
      </w:pPr>
      <w:r>
        <w:rPr>
          <w:rFonts w:hint="eastAsia"/>
          <w:lang w:val="en-US" w:eastAsia="zh-CN"/>
        </w:rPr>
        <w:t>有效的企业法人营业执照（或事业法人登记证）、其他组织（个体工商户）的营业执照或者民办非企业单位登记证书复印件；投标供应商如果有名称变更的，应提供由行政主管部门出具的变更证明文件</w:t>
      </w:r>
      <w:r>
        <w:rPr>
          <w:rFonts w:hint="eastAsia" w:ascii="宋体" w:hAnsi="宋体" w:cs="宋体"/>
          <w:color w:val="auto"/>
          <w:sz w:val="24"/>
        </w:rPr>
        <w:t>…………………………………………（页码）</w:t>
      </w:r>
    </w:p>
    <w:p w14:paraId="44C3FAB8">
      <w:pPr>
        <w:kinsoku/>
        <w:wordWrap/>
        <w:overflowPunct/>
        <w:topLinePunct w:val="0"/>
        <w:bidi w:val="0"/>
        <w:snapToGrid w:val="0"/>
        <w:spacing w:line="360" w:lineRule="auto"/>
        <w:outlineLvl w:val="9"/>
        <w:rPr>
          <w:rFonts w:ascii="宋体" w:hAnsi="宋体" w:cs="宋体"/>
          <w:color w:val="auto"/>
          <w:sz w:val="24"/>
        </w:rPr>
      </w:pP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3</w:t>
      </w:r>
      <w:r>
        <w:rPr>
          <w:rFonts w:hint="eastAsia" w:ascii="宋体" w:hAnsi="宋体" w:cs="宋体"/>
          <w:snapToGrid w:val="0"/>
          <w:color w:val="auto"/>
          <w:kern w:val="28"/>
          <w:sz w:val="24"/>
          <w:szCs w:val="20"/>
        </w:rPr>
        <w:t>）联合协议</w:t>
      </w:r>
      <w:r>
        <w:rPr>
          <w:rFonts w:hint="eastAsia" w:ascii="宋体" w:hAnsi="宋体" w:cs="宋体"/>
          <w:color w:val="auto"/>
          <w:sz w:val="24"/>
        </w:rPr>
        <w:t>………………………………………………………………（页码）</w:t>
      </w:r>
    </w:p>
    <w:p w14:paraId="0A962A09">
      <w:pPr>
        <w:kinsoku/>
        <w:wordWrap/>
        <w:overflowPunct/>
        <w:topLinePunct w:val="0"/>
        <w:bidi w:val="0"/>
        <w:snapToGrid w:val="0"/>
        <w:spacing w:line="360" w:lineRule="auto"/>
        <w:outlineLvl w:val="9"/>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）落实政府采购政策需满足的资格要求………………………………（页码）</w:t>
      </w:r>
    </w:p>
    <w:p w14:paraId="448C166C">
      <w:pPr>
        <w:kinsoku/>
        <w:wordWrap/>
        <w:overflowPunct/>
        <w:topLinePunct w:val="0"/>
        <w:bidi w:val="0"/>
        <w:snapToGrid w:val="0"/>
        <w:spacing w:line="360" w:lineRule="auto"/>
        <w:outlineLvl w:val="9"/>
        <w:rPr>
          <w:rFonts w:hint="default" w:ascii="宋体" w:hAnsi="宋体" w:eastAsia="宋体" w:cs="宋体"/>
          <w:color w:val="auto"/>
          <w:sz w:val="24"/>
          <w:lang w:val="en-US" w:eastAsia="zh-CN"/>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sz w:val="24"/>
          <w:lang w:val="en-US" w:eastAsia="zh-CN"/>
        </w:rPr>
        <w:t>中小企业声明函</w:t>
      </w:r>
      <w:r>
        <w:rPr>
          <w:rFonts w:hint="eastAsia" w:ascii="宋体" w:hAnsi="宋体" w:cs="宋体"/>
          <w:color w:val="auto"/>
          <w:sz w:val="24"/>
        </w:rPr>
        <w:t>………………………………………………………（页码）</w:t>
      </w:r>
    </w:p>
    <w:p w14:paraId="5B5AC7CF">
      <w:pPr>
        <w:kinsoku/>
        <w:wordWrap/>
        <w:overflowPunct/>
        <w:topLinePunct w:val="0"/>
        <w:bidi w:val="0"/>
        <w:snapToGrid w:val="0"/>
        <w:spacing w:line="360" w:lineRule="auto"/>
        <w:outlineLvl w:val="9"/>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）本项目的特定资格要求………………………………………………（页码）</w:t>
      </w:r>
    </w:p>
    <w:p w14:paraId="265C58EA">
      <w:pPr>
        <w:pStyle w:val="24"/>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sz w:val="24"/>
          <w:lang w:val="zh-CN"/>
        </w:rPr>
        <w:t>认为需要的其他</w:t>
      </w:r>
      <w:r>
        <w:rPr>
          <w:rFonts w:hint="eastAsia" w:ascii="宋体" w:hAnsi="宋体" w:cs="宋体"/>
          <w:color w:val="auto"/>
          <w:sz w:val="24"/>
          <w:lang w:val="en-US" w:eastAsia="zh-CN"/>
        </w:rPr>
        <w:t>资格</w:t>
      </w:r>
      <w:r>
        <w:rPr>
          <w:rFonts w:hint="eastAsia" w:ascii="宋体" w:hAnsi="宋体" w:cs="宋体"/>
          <w:color w:val="auto"/>
          <w:sz w:val="24"/>
          <w:lang w:val="zh-CN"/>
        </w:rPr>
        <w:t xml:space="preserve">文件或说明 (如果有) </w:t>
      </w:r>
      <w:r>
        <w:rPr>
          <w:rFonts w:hint="eastAsia" w:ascii="宋体" w:hAnsi="宋体" w:cs="宋体"/>
          <w:color w:val="auto"/>
          <w:sz w:val="24"/>
        </w:rPr>
        <w:t>………………………（页码）</w:t>
      </w:r>
    </w:p>
    <w:p w14:paraId="4C5FA9A5">
      <w:pPr>
        <w:kinsoku/>
        <w:wordWrap/>
        <w:overflowPunct/>
        <w:topLinePunct w:val="0"/>
        <w:bidi w:val="0"/>
        <w:snapToGrid w:val="0"/>
        <w:spacing w:line="360" w:lineRule="auto"/>
        <w:ind w:firstLine="480" w:firstLineChars="200"/>
        <w:outlineLvl w:val="9"/>
        <w:rPr>
          <w:rFonts w:ascii="宋体" w:hAnsi="宋体" w:cs="宋体"/>
          <w:color w:val="auto"/>
          <w:sz w:val="24"/>
        </w:rPr>
      </w:pPr>
    </w:p>
    <w:p w14:paraId="029DAD33">
      <w:pPr>
        <w:kinsoku/>
        <w:wordWrap/>
        <w:overflowPunct/>
        <w:topLinePunct w:val="0"/>
        <w:bidi w:val="0"/>
        <w:spacing w:line="360" w:lineRule="auto"/>
        <w:ind w:firstLine="480" w:firstLineChars="200"/>
        <w:outlineLvl w:val="9"/>
        <w:rPr>
          <w:rFonts w:ascii="宋体" w:hAnsi="宋体" w:cs="宋体"/>
          <w:color w:val="auto"/>
          <w:sz w:val="24"/>
        </w:rPr>
      </w:pPr>
    </w:p>
    <w:p w14:paraId="6C7AB3AF">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一、符合参加政府采购活动应当具备的一般条件的承诺函</w:t>
      </w:r>
    </w:p>
    <w:p w14:paraId="7B53265B">
      <w:pPr>
        <w:kinsoku/>
        <w:wordWrap/>
        <w:overflowPunct/>
        <w:topLinePunct w:val="0"/>
        <w:bidi w:val="0"/>
        <w:snapToGrid w:val="0"/>
        <w:spacing w:line="360" w:lineRule="auto"/>
        <w:outlineLvl w:val="9"/>
        <w:rPr>
          <w:rFonts w:ascii="宋体" w:hAnsi="宋体" w:cs="宋体"/>
          <w:color w:val="auto"/>
          <w:sz w:val="24"/>
        </w:rPr>
      </w:pPr>
      <w:r>
        <w:rPr>
          <w:rFonts w:hint="eastAsia" w:ascii="宋体" w:hAnsi="宋体" w:cs="宋体"/>
          <w:color w:val="auto"/>
          <w:sz w:val="24"/>
        </w:rPr>
        <w:t>（采购人）、（采购代理机构）：</w:t>
      </w:r>
    </w:p>
    <w:p w14:paraId="42C6B245">
      <w:pPr>
        <w:kinsoku/>
        <w:wordWrap/>
        <w:overflowPunct/>
        <w:topLinePunct w:val="0"/>
        <w:bidi w:val="0"/>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3B299725">
      <w:pPr>
        <w:kinsoku/>
        <w:wordWrap/>
        <w:overflowPunct/>
        <w:topLinePunct w:val="0"/>
        <w:bidi w:val="0"/>
        <w:snapToGrid w:val="0"/>
        <w:spacing w:line="360" w:lineRule="auto"/>
        <w:ind w:firstLine="360" w:firstLineChars="150"/>
        <w:outlineLvl w:val="9"/>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6D612B40">
      <w:pPr>
        <w:kinsoku/>
        <w:wordWrap/>
        <w:overflowPunct/>
        <w:topLinePunct w:val="0"/>
        <w:bidi w:val="0"/>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1、具有独立承担民事责任的能力；</w:t>
      </w:r>
    </w:p>
    <w:p w14:paraId="530FA5BD">
      <w:pPr>
        <w:kinsoku/>
        <w:wordWrap/>
        <w:overflowPunct/>
        <w:topLinePunct w:val="0"/>
        <w:bidi w:val="0"/>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A06EF00">
      <w:pPr>
        <w:kinsoku/>
        <w:wordWrap/>
        <w:overflowPunct/>
        <w:topLinePunct w:val="0"/>
        <w:bidi w:val="0"/>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3、具有履行合同所必需的设备和专业技术能力；</w:t>
      </w:r>
    </w:p>
    <w:p w14:paraId="71D2C7F0">
      <w:pPr>
        <w:kinsoku/>
        <w:wordWrap/>
        <w:overflowPunct/>
        <w:topLinePunct w:val="0"/>
        <w:bidi w:val="0"/>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4、有依法缴纳税收和社会保障资金的良好记录；</w:t>
      </w:r>
    </w:p>
    <w:p w14:paraId="5D48F842">
      <w:pPr>
        <w:kinsoku/>
        <w:wordWrap/>
        <w:overflowPunct/>
        <w:topLinePunct w:val="0"/>
        <w:bidi w:val="0"/>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7CE60A4C">
      <w:pPr>
        <w:kinsoku/>
        <w:wordWrap/>
        <w:overflowPunct/>
        <w:topLinePunct w:val="0"/>
        <w:bidi w:val="0"/>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6、具有法律、行政法规规定的其他条件。</w:t>
      </w:r>
    </w:p>
    <w:p w14:paraId="7D18F877">
      <w:pPr>
        <w:kinsoku/>
        <w:wordWrap/>
        <w:overflowPunct/>
        <w:topLinePunct w:val="0"/>
        <w:bidi w:val="0"/>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6ABF1217">
      <w:pPr>
        <w:kinsoku/>
        <w:wordWrap/>
        <w:overflowPunct/>
        <w:topLinePunct w:val="0"/>
        <w:bidi w:val="0"/>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（三）不存在以下情况：</w:t>
      </w:r>
    </w:p>
    <w:p w14:paraId="593F9A05">
      <w:pPr>
        <w:kinsoku/>
        <w:wordWrap/>
        <w:overflowPunct/>
        <w:topLinePunct w:val="0"/>
        <w:bidi w:val="0"/>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AFCE7F0">
      <w:pPr>
        <w:kinsoku/>
        <w:wordWrap/>
        <w:overflowPunct/>
        <w:topLinePunct w:val="0"/>
        <w:bidi w:val="0"/>
        <w:snapToGrid w:val="0"/>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D8E90AD">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lang w:eastAsia="zh-CN"/>
        </w:rPr>
      </w:pPr>
    </w:p>
    <w:p w14:paraId="7A015EF4">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lang w:val="zh-CN"/>
        </w:rPr>
      </w:pPr>
    </w:p>
    <w:p w14:paraId="1F2AF44F">
      <w:pPr>
        <w:kinsoku/>
        <w:wordWrap/>
        <w:overflowPunct/>
        <w:topLinePunct w:val="0"/>
        <w:bidi w:val="0"/>
        <w:snapToGrid w:val="0"/>
        <w:spacing w:line="360" w:lineRule="auto"/>
        <w:ind w:firstLine="5520" w:firstLineChars="2300"/>
        <w:outlineLvl w:val="9"/>
        <w:rPr>
          <w:rFonts w:ascii="宋体" w:hAnsi="宋体" w:cs="宋体"/>
          <w:color w:val="auto"/>
          <w:kern w:val="0"/>
          <w:sz w:val="24"/>
        </w:rPr>
      </w:pPr>
      <w:r>
        <w:rPr>
          <w:rFonts w:hint="eastAsia" w:ascii="宋体" w:hAnsi="宋体" w:cs="宋体"/>
          <w:color w:val="auto"/>
          <w:kern w:val="0"/>
          <w:sz w:val="24"/>
          <w:lang w:val="zh-CN"/>
        </w:rPr>
        <w:t>供应商名称(电子签名</w:t>
      </w:r>
      <w:r>
        <w:rPr>
          <w:rFonts w:hint="eastAsia" w:ascii="宋体" w:hAnsi="宋体" w:cs="宋体"/>
          <w:color w:val="auto"/>
          <w:kern w:val="0"/>
          <w:sz w:val="24"/>
          <w:lang w:val="en-US" w:eastAsia="zh-CN"/>
        </w:rPr>
        <w:t>/盖章</w:t>
      </w:r>
      <w:r>
        <w:rPr>
          <w:rFonts w:hint="eastAsia" w:ascii="宋体" w:hAnsi="宋体" w:cs="宋体"/>
          <w:color w:val="auto"/>
          <w:kern w:val="0"/>
          <w:sz w:val="24"/>
          <w:lang w:val="zh-CN"/>
        </w:rPr>
        <w:t>)：</w:t>
      </w:r>
    </w:p>
    <w:p w14:paraId="53BFB04D">
      <w:pPr>
        <w:kinsoku/>
        <w:wordWrap/>
        <w:overflowPunct/>
        <w:topLinePunct w:val="0"/>
        <w:bidi w:val="0"/>
        <w:snapToGrid w:val="0"/>
        <w:spacing w:line="360" w:lineRule="auto"/>
        <w:outlineLvl w:val="9"/>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558464F">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4DCBBD9A">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721B03C4">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485378EF">
      <w:pPr>
        <w:kinsoku/>
        <w:wordWrap/>
        <w:overflowPunct/>
        <w:topLinePunct w:val="0"/>
        <w:bidi w:val="0"/>
        <w:outlineLvl w:val="9"/>
        <w:rPr>
          <w:rFonts w:ascii="宋体" w:hAnsi="宋体" w:cs="宋体"/>
          <w:color w:val="auto"/>
        </w:rPr>
      </w:pPr>
    </w:p>
    <w:p w14:paraId="773BFCE7">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3C67E144">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rPr>
      </w:pPr>
    </w:p>
    <w:p w14:paraId="513AF5C5">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6F7CA522">
      <w:pPr>
        <w:snapToGrid w:val="0"/>
        <w:spacing w:line="360" w:lineRule="auto"/>
        <w:ind w:right="480"/>
        <w:jc w:val="left"/>
        <w:rPr>
          <w:rFonts w:hint="eastAsia" w:ascii="宋体" w:hAnsi="宋体" w:cs="宋体"/>
          <w:b/>
          <w:color w:val="auto"/>
          <w:kern w:val="0"/>
          <w:sz w:val="32"/>
          <w:szCs w:val="32"/>
        </w:rPr>
      </w:pPr>
      <w:r>
        <w:rPr>
          <w:rFonts w:hint="eastAsia" w:ascii="宋体" w:hAnsi="宋体" w:cs="宋体"/>
          <w:b/>
          <w:color w:val="auto"/>
          <w:kern w:val="0"/>
          <w:sz w:val="32"/>
          <w:szCs w:val="32"/>
          <w:highlight w:val="none"/>
          <w:lang w:val="en-US" w:eastAsia="zh-CN"/>
        </w:rPr>
        <w:t>二、有效的企业法人营业执照（或事业法人登记证）、其他组织（个体工商户）的营业执照或者民办非企业单位登记证书复印件；投标供应商如果有名称变更的，应提供由行政主管部门出具的变更证明文件。</w:t>
      </w:r>
    </w:p>
    <w:p w14:paraId="34427F75">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、联合协议（如果有）</w:t>
      </w:r>
    </w:p>
    <w:p w14:paraId="2960130A">
      <w:pPr>
        <w:widowControl/>
        <w:kinsoku/>
        <w:wordWrap/>
        <w:overflowPunct/>
        <w:topLinePunct w:val="0"/>
        <w:bidi w:val="0"/>
        <w:spacing w:line="360" w:lineRule="auto"/>
        <w:ind w:firstLine="482" w:firstLineChars="200"/>
        <w:jc w:val="left"/>
        <w:outlineLvl w:val="9"/>
        <w:rPr>
          <w:rFonts w:ascii="宋体" w:hAnsi="宋体" w:cs="宋体"/>
          <w:b/>
          <w:color w:val="auto"/>
          <w:kern w:val="0"/>
          <w:sz w:val="32"/>
          <w:szCs w:val="32"/>
        </w:rPr>
      </w:pPr>
      <w:r>
        <w:rPr>
          <w:rFonts w:hint="eastAsia" w:ascii="宋体" w:hAnsi="宋体" w:cs="宋体"/>
          <w:b/>
          <w:color w:val="auto"/>
          <w:sz w:val="24"/>
        </w:rPr>
        <w:t>[以联合体形式投标的，提供联合协议（附件5）；本项目不接受联合体投标或者</w:t>
      </w:r>
      <w:r>
        <w:rPr>
          <w:rFonts w:hint="eastAsia" w:ascii="宋体" w:hAnsi="宋体" w:cs="宋体"/>
          <w:b/>
          <w:color w:val="auto"/>
          <w:sz w:val="24"/>
          <w:lang w:eastAsia="zh-CN"/>
        </w:rPr>
        <w:t>供应商</w:t>
      </w:r>
      <w:r>
        <w:rPr>
          <w:rFonts w:hint="eastAsia" w:ascii="宋体" w:hAnsi="宋体" w:cs="宋体"/>
          <w:b/>
          <w:color w:val="auto"/>
          <w:sz w:val="24"/>
        </w:rPr>
        <w:t>不以联合体形式投标的，则不需要提供]</w:t>
      </w:r>
    </w:p>
    <w:p w14:paraId="03E24511">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434F0665">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、落实政府采购政策需满足的资格要求</w:t>
      </w:r>
    </w:p>
    <w:p w14:paraId="51CC6A84">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2089602">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 xml:space="preserve">.专门面向中小企业，货物全部由符合政策要求的中小企业（或小微企业）制造的，提供相应的中小企业声明函。 </w:t>
      </w:r>
    </w:p>
    <w:p w14:paraId="5EF251B8">
      <w:pPr>
        <w:widowControl/>
        <w:kinsoku/>
        <w:wordWrap/>
        <w:overflowPunct/>
        <w:topLinePunct w:val="0"/>
        <w:bidi w:val="0"/>
        <w:spacing w:line="360" w:lineRule="auto"/>
        <w:ind w:firstLine="480"/>
        <w:jc w:val="left"/>
        <w:outlineLvl w:val="9"/>
        <w:rPr>
          <w:rFonts w:ascii="宋体" w:hAnsi="宋体" w:cs="宋体"/>
          <w:color w:val="auto"/>
          <w:sz w:val="24"/>
        </w:rPr>
      </w:pPr>
    </w:p>
    <w:p w14:paraId="44EFA983">
      <w:pPr>
        <w:widowControl/>
        <w:kinsoku/>
        <w:wordWrap/>
        <w:overflowPunct/>
        <w:topLinePunct w:val="0"/>
        <w:bidi w:val="0"/>
        <w:spacing w:line="360" w:lineRule="auto"/>
        <w:ind w:firstLine="472" w:firstLineChars="196"/>
        <w:jc w:val="left"/>
        <w:outlineLvl w:val="9"/>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286B145">
      <w:pPr>
        <w:kinsoku/>
        <w:wordWrap/>
        <w:overflowPunct/>
        <w:topLinePunct w:val="0"/>
        <w:bidi w:val="0"/>
        <w:snapToGrid w:val="0"/>
        <w:spacing w:before="50" w:after="50" w:line="360" w:lineRule="auto"/>
        <w:jc w:val="center"/>
        <w:outlineLvl w:val="9"/>
        <w:rPr>
          <w:rFonts w:ascii="宋体" w:hAnsi="宋体" w:cs="宋体"/>
          <w:color w:val="auto"/>
          <w:sz w:val="24"/>
        </w:rPr>
      </w:pPr>
      <w:r>
        <w:rPr>
          <w:rFonts w:hint="eastAsia" w:ascii="宋体" w:hAnsi="宋体" w:cs="宋体"/>
          <w:b/>
          <w:color w:val="auto"/>
          <w:sz w:val="24"/>
        </w:rPr>
        <w:t xml:space="preserve">    </w:t>
      </w:r>
    </w:p>
    <w:p w14:paraId="616E2434">
      <w:pPr>
        <w:kinsoku/>
        <w:wordWrap/>
        <w:overflowPunct/>
        <w:topLinePunct w:val="0"/>
        <w:bidi w:val="0"/>
        <w:spacing w:line="360" w:lineRule="auto"/>
        <w:ind w:firstLine="482" w:firstLineChars="200"/>
        <w:outlineLvl w:val="9"/>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4FBBE88">
      <w:pPr>
        <w:widowControl/>
        <w:kinsoku/>
        <w:wordWrap/>
        <w:overflowPunct/>
        <w:topLinePunct w:val="0"/>
        <w:bidi w:val="0"/>
        <w:spacing w:line="360" w:lineRule="auto"/>
        <w:ind w:left="150"/>
        <w:jc w:val="center"/>
        <w:outlineLvl w:val="9"/>
        <w:rPr>
          <w:rFonts w:ascii="宋体" w:hAnsi="宋体" w:cs="宋体"/>
          <w:b/>
          <w:color w:val="auto"/>
          <w:kern w:val="0"/>
          <w:sz w:val="32"/>
          <w:szCs w:val="32"/>
        </w:rPr>
      </w:pPr>
    </w:p>
    <w:p w14:paraId="02ECB721">
      <w:pPr>
        <w:widowControl/>
        <w:kinsoku/>
        <w:wordWrap/>
        <w:overflowPunct/>
        <w:topLinePunct w:val="0"/>
        <w:bidi w:val="0"/>
        <w:spacing w:line="360" w:lineRule="auto"/>
        <w:ind w:left="150"/>
        <w:jc w:val="center"/>
        <w:outlineLvl w:val="9"/>
        <w:rPr>
          <w:rFonts w:ascii="宋体" w:hAnsi="宋体" w:cs="宋体"/>
          <w:b/>
          <w:color w:val="auto"/>
          <w:kern w:val="0"/>
          <w:sz w:val="32"/>
          <w:szCs w:val="32"/>
        </w:rPr>
      </w:pPr>
    </w:p>
    <w:p w14:paraId="1BBAAED6">
      <w:pPr>
        <w:widowControl/>
        <w:kinsoku/>
        <w:wordWrap/>
        <w:overflowPunct/>
        <w:topLinePunct w:val="0"/>
        <w:bidi w:val="0"/>
        <w:spacing w:line="360" w:lineRule="auto"/>
        <w:jc w:val="both"/>
        <w:outlineLvl w:val="9"/>
        <w:rPr>
          <w:rFonts w:ascii="宋体" w:hAnsi="宋体" w:cs="宋体"/>
          <w:b/>
          <w:color w:val="auto"/>
          <w:kern w:val="0"/>
          <w:sz w:val="32"/>
          <w:szCs w:val="32"/>
        </w:rPr>
      </w:pPr>
    </w:p>
    <w:p w14:paraId="2380B13C">
      <w:pPr>
        <w:widowControl/>
        <w:numPr>
          <w:ilvl w:val="0"/>
          <w:numId w:val="0"/>
        </w:numPr>
        <w:kinsoku/>
        <w:wordWrap/>
        <w:overflowPunct/>
        <w:topLinePunct w:val="0"/>
        <w:bidi w:val="0"/>
        <w:spacing w:line="360" w:lineRule="auto"/>
        <w:jc w:val="left"/>
        <w:outlineLvl w:val="9"/>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t>五、中小企业声明函</w:t>
      </w:r>
    </w:p>
    <w:p w14:paraId="293A9DCF">
      <w:pPr>
        <w:keepNext w:val="0"/>
        <w:keepLines w:val="0"/>
        <w:pageBreakBefore w:val="0"/>
        <w:widowControl w:val="0"/>
        <w:kinsoku/>
        <w:wordWrap/>
        <w:overflowPunct/>
        <w:topLinePunct w:val="0"/>
        <w:autoSpaceDE/>
        <w:autoSpaceDN/>
        <w:bidi w:val="0"/>
        <w:adjustRightInd w:val="0"/>
        <w:snapToGrid/>
        <w:spacing w:line="336" w:lineRule="auto"/>
        <w:jc w:val="center"/>
        <w:textAlignment w:val="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837BC9D">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2DEB3526">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color w:val="auto"/>
          <w:sz w:val="24"/>
          <w:u w:val="single"/>
          <w:lang w:val="en-US" w:eastAsia="zh-CN"/>
        </w:rPr>
        <w:t xml:space="preserve">标的名称：     </w:t>
      </w:r>
      <w:r>
        <w:rPr>
          <w:rFonts w:hint="eastAsia" w:ascii="宋体" w:hAnsi="宋体" w:cs="宋体"/>
          <w:color w:val="auto"/>
          <w:sz w:val="24"/>
          <w:u w:val="single"/>
        </w:rPr>
        <w:t>）</w:t>
      </w:r>
      <w:r>
        <w:rPr>
          <w:rFonts w:hint="eastAsia" w:ascii="宋体" w:hAnsi="宋体" w:cs="宋体"/>
          <w:color w:val="auto"/>
          <w:sz w:val="24"/>
        </w:rPr>
        <w:t xml:space="preserve">，属于 </w:t>
      </w:r>
      <w:r>
        <w:rPr>
          <w:rFonts w:hint="eastAsia" w:ascii="宋体" w:hAnsi="宋体" w:cs="宋体"/>
          <w:color w:val="auto"/>
          <w:sz w:val="24"/>
          <w:u w:val="single"/>
        </w:rPr>
        <w:t>（</w:t>
      </w:r>
      <w:r>
        <w:rPr>
          <w:rFonts w:hint="eastAsia" w:ascii="宋体" w:hAnsi="宋体" w:cs="宋体"/>
          <w:color w:val="auto"/>
          <w:sz w:val="24"/>
          <w:u w:val="single"/>
          <w:lang w:eastAsia="zh-CN"/>
        </w:rPr>
        <w:t>采购文件中明确的所属行业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19103207">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color w:val="auto"/>
          <w:sz w:val="24"/>
          <w:u w:val="single"/>
          <w:lang w:val="en-US" w:eastAsia="zh-CN"/>
        </w:rPr>
        <w:t xml:space="preserve">标的名称：      </w:t>
      </w:r>
      <w:r>
        <w:rPr>
          <w:rFonts w:hint="eastAsia" w:ascii="宋体" w:hAnsi="宋体" w:cs="宋体"/>
          <w:color w:val="auto"/>
          <w:sz w:val="24"/>
          <w:u w:val="single"/>
        </w:rPr>
        <w:t>）</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eastAsia="zh-CN"/>
        </w:rPr>
        <w:t>采购文件中明确的所属行业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22CD4ED0">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w:t>
      </w:r>
    </w:p>
    <w:p w14:paraId="1B169DBF">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12867C0">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928E8D6">
      <w:pPr>
        <w:keepNext w:val="0"/>
        <w:keepLines w:val="0"/>
        <w:pageBreakBefore w:val="0"/>
        <w:widowControl w:val="0"/>
        <w:kinsoku/>
        <w:wordWrap/>
        <w:overflowPunct/>
        <w:topLinePunct w:val="0"/>
        <w:autoSpaceDE/>
        <w:autoSpaceDN/>
        <w:bidi w:val="0"/>
        <w:adjustRightInd w:val="0"/>
        <w:snapToGrid w:val="0"/>
        <w:spacing w:line="336" w:lineRule="auto"/>
        <w:ind w:firstLine="5160" w:firstLineChars="2150"/>
        <w:textAlignment w:val="auto"/>
        <w:outlineLvl w:val="9"/>
        <w:rPr>
          <w:rFonts w:ascii="宋体" w:hAnsi="宋体" w:cs="宋体"/>
          <w:color w:val="auto"/>
          <w:kern w:val="0"/>
          <w:sz w:val="24"/>
        </w:rPr>
      </w:pPr>
      <w:r>
        <w:rPr>
          <w:rFonts w:hint="eastAsia" w:ascii="宋体" w:hAnsi="宋体" w:cs="宋体"/>
          <w:color w:val="auto"/>
          <w:kern w:val="0"/>
          <w:sz w:val="24"/>
          <w:lang w:val="zh-CN"/>
        </w:rPr>
        <w:t>供应商名称(电子签名</w:t>
      </w:r>
      <w:r>
        <w:rPr>
          <w:rFonts w:hint="eastAsia" w:ascii="宋体" w:hAnsi="宋体" w:cs="宋体"/>
          <w:color w:val="auto"/>
          <w:kern w:val="0"/>
          <w:sz w:val="24"/>
          <w:lang w:val="en-US" w:eastAsia="zh-CN"/>
        </w:rPr>
        <w:t>/盖章</w:t>
      </w:r>
      <w:r>
        <w:rPr>
          <w:rFonts w:hint="eastAsia" w:ascii="宋体" w:hAnsi="宋体" w:cs="宋体"/>
          <w:color w:val="auto"/>
          <w:kern w:val="0"/>
          <w:sz w:val="24"/>
          <w:lang w:val="zh-CN"/>
        </w:rPr>
        <w:t>)：</w:t>
      </w:r>
    </w:p>
    <w:p w14:paraId="02DB0554">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411ADAE">
      <w:pPr>
        <w:keepNext w:val="0"/>
        <w:keepLines w:val="0"/>
        <w:pageBreakBefore w:val="0"/>
        <w:widowControl w:val="0"/>
        <w:kinsoku/>
        <w:wordWrap/>
        <w:overflowPunct/>
        <w:topLinePunct w:val="0"/>
        <w:autoSpaceDE/>
        <w:autoSpaceDN/>
        <w:bidi w:val="0"/>
        <w:adjustRightInd w:val="0"/>
        <w:spacing w:line="336" w:lineRule="auto"/>
        <w:jc w:val="left"/>
        <w:textAlignment w:val="auto"/>
        <w:outlineLvl w:val="9"/>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0B8DE40C">
      <w:pPr>
        <w:keepNext w:val="0"/>
        <w:keepLines w:val="0"/>
        <w:pageBreakBefore w:val="0"/>
        <w:widowControl w:val="0"/>
        <w:kinsoku/>
        <w:wordWrap/>
        <w:overflowPunct/>
        <w:topLinePunct w:val="0"/>
        <w:autoSpaceDE/>
        <w:autoSpaceDN/>
        <w:bidi w:val="0"/>
        <w:adjustRightInd w:val="0"/>
        <w:spacing w:line="336" w:lineRule="auto"/>
        <w:ind w:right="420" w:firstLine="480" w:firstLineChars="200"/>
        <w:textAlignment w:val="auto"/>
        <w:outlineLvl w:val="9"/>
        <w:rPr>
          <w:rFonts w:ascii="宋体" w:hAnsi="宋体" w:cs="宋体"/>
          <w:color w:val="auto"/>
          <w:sz w:val="24"/>
        </w:rPr>
      </w:pPr>
      <w:r>
        <w:rPr>
          <w:rFonts w:hint="eastAsia" w:ascii="宋体" w:hAnsi="宋体" w:cs="宋体"/>
          <w:color w:val="auto"/>
          <w:sz w:val="24"/>
        </w:rPr>
        <w:t>注：</w:t>
      </w:r>
    </w:p>
    <w:p w14:paraId="42966380">
      <w:pPr>
        <w:keepNext w:val="0"/>
        <w:keepLines w:val="0"/>
        <w:pageBreakBefore w:val="0"/>
        <w:widowControl w:val="0"/>
        <w:kinsoku/>
        <w:wordWrap/>
        <w:overflowPunct/>
        <w:topLinePunct w:val="0"/>
        <w:autoSpaceDE/>
        <w:autoSpaceDN/>
        <w:bidi w:val="0"/>
        <w:adjustRightInd w:val="0"/>
        <w:spacing w:line="336" w:lineRule="auto"/>
        <w:ind w:right="420" w:firstLine="480" w:firstLineChars="200"/>
        <w:textAlignment w:val="auto"/>
        <w:outlineLvl w:val="9"/>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w:t>
      </w:r>
      <w:r>
        <w:rPr>
          <w:rFonts w:hint="eastAsia" w:ascii="宋体" w:hAnsi="宋体" w:cs="宋体"/>
          <w:color w:val="auto"/>
          <w:sz w:val="24"/>
          <w:lang w:eastAsia="zh-CN"/>
        </w:rPr>
        <w:t>供应商</w:t>
      </w:r>
      <w:r>
        <w:rPr>
          <w:rFonts w:hint="eastAsia" w:ascii="宋体" w:hAnsi="宋体" w:cs="宋体"/>
          <w:color w:val="auto"/>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lang w:eastAsia="zh-CN"/>
        </w:rPr>
        <w:t>供应商</w:t>
      </w:r>
      <w:r>
        <w:rPr>
          <w:rFonts w:hint="eastAsia" w:ascii="宋体" w:hAnsi="宋体" w:cs="宋体"/>
          <w:color w:val="auto"/>
          <w:sz w:val="24"/>
        </w:rPr>
        <w:t>提供的《中小企业声明函》与实际情况不符的或者未按以上要求填写的，中小企业声明函无效，不享受中小企业扶持政策。声明内容不实的，属于提供虚假材料谋取中标、成交的，依法承担法律责任。</w:t>
      </w:r>
    </w:p>
    <w:p w14:paraId="26C10722">
      <w:pPr>
        <w:keepNext w:val="0"/>
        <w:keepLines w:val="0"/>
        <w:pageBreakBefore w:val="0"/>
        <w:widowControl w:val="0"/>
        <w:kinsoku/>
        <w:wordWrap/>
        <w:overflowPunct/>
        <w:topLinePunct w:val="0"/>
        <w:autoSpaceDE/>
        <w:autoSpaceDN/>
        <w:bidi w:val="0"/>
        <w:adjustRightInd w:val="0"/>
        <w:spacing w:line="336" w:lineRule="auto"/>
        <w:ind w:right="420" w:firstLine="480" w:firstLineChars="200"/>
        <w:textAlignment w:val="auto"/>
        <w:outlineLvl w:val="9"/>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lang w:eastAsia="zh-CN"/>
        </w:rPr>
        <w:t>供应商</w:t>
      </w:r>
      <w:r>
        <w:rPr>
          <w:rFonts w:hint="eastAsia" w:ascii="宋体" w:hAnsi="宋体" w:cs="宋体"/>
          <w:color w:val="auto"/>
          <w:sz w:val="24"/>
        </w:rPr>
        <w:t>提供由省级以上监狱管理局、戒毒管理局（含新疆生产建设兵团）出具的属于监狱企业证明文件的，视同为小型和微型企业。</w:t>
      </w:r>
    </w:p>
    <w:p w14:paraId="53374E6E">
      <w:pPr>
        <w:keepNext w:val="0"/>
        <w:keepLines w:val="0"/>
        <w:pageBreakBefore w:val="0"/>
        <w:widowControl w:val="0"/>
        <w:kinsoku/>
        <w:wordWrap/>
        <w:overflowPunct/>
        <w:topLinePunct w:val="0"/>
        <w:autoSpaceDE/>
        <w:autoSpaceDN/>
        <w:bidi w:val="0"/>
        <w:adjustRightInd w:val="0"/>
        <w:spacing w:line="336" w:lineRule="auto"/>
        <w:ind w:right="420" w:firstLine="480" w:firstLineChars="200"/>
        <w:textAlignment w:val="auto"/>
        <w:outlineLvl w:val="9"/>
        <w:rPr>
          <w:rFonts w:ascii="宋体" w:hAnsi="宋体" w:cs="宋体"/>
          <w:bCs/>
          <w:color w:val="auto"/>
          <w:sz w:val="24"/>
        </w:rPr>
      </w:pPr>
      <w:r>
        <w:rPr>
          <w:rFonts w:hint="eastAsia" w:ascii="宋体" w:hAnsi="宋体" w:cs="宋体"/>
          <w:color w:val="auto"/>
          <w:sz w:val="24"/>
          <w:szCs w:val="24"/>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工业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w:t>
      </w:r>
      <w:r>
        <w:rPr>
          <w:rFonts w:hint="eastAsia" w:ascii="宋体" w:hAnsi="宋体" w:eastAsia="宋体" w:cs="宋体"/>
          <w:i w:val="0"/>
          <w:iCs w:val="0"/>
          <w:color w:val="auto"/>
          <w:kern w:val="0"/>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481177">
      <w:pPr>
        <w:pStyle w:val="24"/>
        <w:rPr>
          <w:rFonts w:hint="eastAsia"/>
          <w:lang w:val="en-US" w:eastAsia="zh-CN"/>
        </w:rPr>
      </w:pPr>
    </w:p>
    <w:p w14:paraId="7C3BF118">
      <w:pPr>
        <w:widowControl/>
        <w:numPr>
          <w:ilvl w:val="0"/>
          <w:numId w:val="0"/>
        </w:numPr>
        <w:kinsoku/>
        <w:wordWrap/>
        <w:overflowPunct/>
        <w:topLinePunct w:val="0"/>
        <w:bidi w:val="0"/>
        <w:spacing w:line="360" w:lineRule="auto"/>
        <w:jc w:val="both"/>
        <w:outlineLvl w:val="9"/>
        <w:rPr>
          <w:rFonts w:hint="default" w:ascii="宋体" w:hAnsi="宋体" w:cs="宋体"/>
          <w:b/>
          <w:color w:val="auto"/>
          <w:kern w:val="0"/>
          <w:sz w:val="32"/>
          <w:szCs w:val="32"/>
          <w:lang w:val="en-US" w:eastAsia="zh-CN"/>
        </w:rPr>
      </w:pPr>
    </w:p>
    <w:p w14:paraId="5CFC7423">
      <w:pPr>
        <w:widowControl/>
        <w:kinsoku/>
        <w:wordWrap/>
        <w:overflowPunct/>
        <w:topLinePunct w:val="0"/>
        <w:bidi w:val="0"/>
        <w:spacing w:line="360" w:lineRule="auto"/>
        <w:ind w:left="150"/>
        <w:jc w:val="center"/>
        <w:outlineLvl w:val="9"/>
        <w:rPr>
          <w:rFonts w:ascii="宋体" w:hAnsi="宋体" w:cs="宋体"/>
          <w:b/>
          <w:color w:val="auto"/>
          <w:kern w:val="0"/>
          <w:sz w:val="32"/>
          <w:szCs w:val="32"/>
        </w:rPr>
      </w:pPr>
    </w:p>
    <w:p w14:paraId="228B5F8C">
      <w:pPr>
        <w:widowControl/>
        <w:kinsoku/>
        <w:wordWrap/>
        <w:overflowPunct/>
        <w:topLinePunct w:val="0"/>
        <w:bidi w:val="0"/>
        <w:spacing w:line="360" w:lineRule="auto"/>
        <w:ind w:left="150"/>
        <w:jc w:val="center"/>
        <w:outlineLvl w:val="9"/>
        <w:rPr>
          <w:rFonts w:ascii="宋体" w:hAnsi="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、本项目的特定资格要求</w:t>
      </w:r>
    </w:p>
    <w:p w14:paraId="06F6B914">
      <w:pPr>
        <w:kinsoku/>
        <w:wordWrap/>
        <w:overflowPunct/>
        <w:topLinePunct w:val="0"/>
        <w:bidi w:val="0"/>
        <w:spacing w:line="360" w:lineRule="auto"/>
        <w:jc w:val="center"/>
        <w:outlineLvl w:val="9"/>
        <w:rPr>
          <w:rFonts w:hint="eastAsia"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6748D04">
      <w:pPr>
        <w:pStyle w:val="24"/>
        <w:rPr>
          <w:rFonts w:hint="eastAsia" w:ascii="宋体" w:hAnsi="宋体" w:eastAsia="宋体" w:cs="宋体"/>
          <w:b/>
          <w:snapToGrid/>
          <w:color w:val="auto"/>
          <w:kern w:val="0"/>
          <w:sz w:val="32"/>
          <w:szCs w:val="32"/>
          <w:lang w:val="en-US" w:eastAsia="zh-CN" w:bidi="ar-SA"/>
        </w:rPr>
      </w:pPr>
      <w:r>
        <w:rPr>
          <w:rFonts w:hint="eastAsia" w:hAnsi="宋体" w:cs="宋体"/>
          <w:color w:val="auto"/>
          <w:sz w:val="24"/>
          <w:lang w:val="en-US" w:eastAsia="zh-CN"/>
        </w:rPr>
        <w:t xml:space="preserve">               </w:t>
      </w:r>
      <w:r>
        <w:rPr>
          <w:rFonts w:hint="eastAsia" w:ascii="宋体" w:hAnsi="宋体" w:eastAsia="宋体" w:cs="宋体"/>
          <w:b/>
          <w:snapToGrid/>
          <w:color w:val="auto"/>
          <w:kern w:val="0"/>
          <w:sz w:val="32"/>
          <w:szCs w:val="32"/>
          <w:lang w:val="en-US" w:eastAsia="zh-CN" w:bidi="ar-SA"/>
        </w:rPr>
        <w:t xml:space="preserve">     </w:t>
      </w:r>
    </w:p>
    <w:p w14:paraId="779DF4BC">
      <w:pPr>
        <w:pStyle w:val="24"/>
        <w:rPr>
          <w:rFonts w:hint="eastAsia" w:ascii="宋体" w:hAnsi="宋体" w:eastAsia="宋体" w:cs="宋体"/>
          <w:b/>
          <w:snapToGrid/>
          <w:color w:val="auto"/>
          <w:kern w:val="0"/>
          <w:sz w:val="32"/>
          <w:szCs w:val="32"/>
          <w:lang w:val="en-US" w:eastAsia="zh-CN" w:bidi="ar-SA"/>
        </w:rPr>
      </w:pPr>
    </w:p>
    <w:p w14:paraId="7250A22A">
      <w:pPr>
        <w:pStyle w:val="24"/>
        <w:rPr>
          <w:rFonts w:hint="eastAsia" w:ascii="宋体" w:hAnsi="宋体" w:eastAsia="宋体" w:cs="宋体"/>
          <w:b/>
          <w:snapToGrid/>
          <w:color w:val="auto"/>
          <w:kern w:val="0"/>
          <w:sz w:val="32"/>
          <w:szCs w:val="32"/>
          <w:lang w:val="en-US" w:eastAsia="zh-CN" w:bidi="ar-SA"/>
        </w:rPr>
      </w:pPr>
    </w:p>
    <w:p w14:paraId="76B023CC">
      <w:pPr>
        <w:pStyle w:val="24"/>
        <w:ind w:firstLine="1606" w:firstLineChars="500"/>
        <w:rPr>
          <w:rFonts w:hint="default" w:eastAsia="宋体"/>
          <w:lang w:val="en-US" w:eastAsia="zh-CN"/>
        </w:rPr>
      </w:pPr>
      <w:r>
        <w:rPr>
          <w:rFonts w:hint="eastAsia" w:ascii="宋体" w:hAnsi="宋体" w:eastAsia="宋体" w:cs="宋体"/>
          <w:b/>
          <w:snapToGrid/>
          <w:color w:val="auto"/>
          <w:kern w:val="0"/>
          <w:sz w:val="32"/>
          <w:szCs w:val="32"/>
          <w:lang w:val="en-US" w:eastAsia="zh-CN" w:bidi="ar-SA"/>
        </w:rPr>
        <w:t>七、</w:t>
      </w:r>
      <w:r>
        <w:rPr>
          <w:rFonts w:hint="eastAsia" w:ascii="宋体" w:hAnsi="宋体" w:eastAsia="宋体" w:cs="宋体"/>
          <w:b/>
          <w:snapToGrid/>
          <w:color w:val="auto"/>
          <w:kern w:val="0"/>
          <w:sz w:val="32"/>
          <w:szCs w:val="32"/>
          <w:lang w:val="zh-CN" w:eastAsia="zh-CN" w:bidi="ar-SA"/>
        </w:rPr>
        <w:t>认为需要的其他</w:t>
      </w:r>
      <w:r>
        <w:rPr>
          <w:rFonts w:hint="eastAsia" w:ascii="宋体" w:hAnsi="宋体" w:eastAsia="宋体" w:cs="宋体"/>
          <w:b/>
          <w:snapToGrid/>
          <w:color w:val="auto"/>
          <w:kern w:val="0"/>
          <w:sz w:val="32"/>
          <w:szCs w:val="32"/>
          <w:lang w:val="en-US" w:eastAsia="zh-CN" w:bidi="ar-SA"/>
        </w:rPr>
        <w:t>资格</w:t>
      </w:r>
      <w:r>
        <w:rPr>
          <w:rFonts w:hint="eastAsia" w:ascii="宋体" w:hAnsi="宋体" w:eastAsia="宋体" w:cs="宋体"/>
          <w:b/>
          <w:snapToGrid/>
          <w:color w:val="auto"/>
          <w:kern w:val="0"/>
          <w:sz w:val="32"/>
          <w:szCs w:val="32"/>
          <w:lang w:val="zh-CN" w:eastAsia="zh-CN" w:bidi="ar-SA"/>
        </w:rPr>
        <w:t xml:space="preserve">文件或说明 (如果有) </w:t>
      </w:r>
    </w:p>
    <w:p w14:paraId="2B218BCD">
      <w:pPr>
        <w:kinsoku/>
        <w:wordWrap/>
        <w:overflowPunct/>
        <w:topLinePunct w:val="0"/>
        <w:bidi w:val="0"/>
        <w:outlineLvl w:val="9"/>
        <w:rPr>
          <w:rFonts w:ascii="宋体" w:hAnsi="宋体" w:cs="宋体"/>
          <w:color w:val="auto"/>
        </w:rPr>
      </w:pPr>
    </w:p>
    <w:p w14:paraId="6FDD94A5">
      <w:pPr>
        <w:widowControl/>
        <w:kinsoku/>
        <w:wordWrap/>
        <w:overflowPunct/>
        <w:topLinePunct w:val="0"/>
        <w:bidi w:val="0"/>
        <w:adjustRightInd/>
        <w:jc w:val="left"/>
        <w:outlineLvl w:val="9"/>
        <w:rPr>
          <w:rFonts w:ascii="宋体" w:hAnsi="宋体" w:cs="宋体"/>
          <w:b/>
          <w:color w:val="auto"/>
          <w:kern w:val="0"/>
          <w:sz w:val="32"/>
          <w:szCs w:val="32"/>
        </w:rPr>
      </w:pPr>
      <w:r>
        <w:rPr>
          <w:rFonts w:ascii="宋体" w:hAnsi="宋体" w:cs="宋体"/>
          <w:b/>
          <w:color w:val="auto"/>
          <w:kern w:val="0"/>
          <w:sz w:val="32"/>
          <w:szCs w:val="32"/>
        </w:rPr>
        <w:br w:type="page"/>
      </w:r>
    </w:p>
    <w:p w14:paraId="6486B3AF">
      <w:pPr>
        <w:kinsoku/>
        <w:wordWrap/>
        <w:overflowPunct/>
        <w:topLinePunct w:val="0"/>
        <w:bidi w:val="0"/>
        <w:spacing w:line="360" w:lineRule="auto"/>
        <w:ind w:right="420" w:firstLine="3614" w:firstLineChars="1000"/>
        <w:outlineLvl w:val="9"/>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FC6F6D1">
      <w:pPr>
        <w:kinsoku/>
        <w:wordWrap/>
        <w:overflowPunct/>
        <w:topLinePunct w:val="0"/>
        <w:bidi w:val="0"/>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14:paraId="723E8AEC">
      <w:pPr>
        <w:kinsoku/>
        <w:wordWrap/>
        <w:overflowPunct/>
        <w:topLinePunct w:val="0"/>
        <w:bidi w:val="0"/>
        <w:snapToGrid w:val="0"/>
        <w:spacing w:line="360" w:lineRule="auto"/>
        <w:ind w:left="479" w:leftChars="228"/>
        <w:outlineLvl w:val="9"/>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E26F26A">
      <w:pPr>
        <w:kinsoku/>
        <w:wordWrap/>
        <w:overflowPunct/>
        <w:topLinePunct w:val="0"/>
        <w:bidi w:val="0"/>
        <w:snapToGrid w:val="0"/>
        <w:spacing w:line="360" w:lineRule="auto"/>
        <w:ind w:left="479" w:leftChars="228"/>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E11183E">
      <w:pPr>
        <w:kinsoku/>
        <w:wordWrap/>
        <w:overflowPunct/>
        <w:topLinePunct w:val="0"/>
        <w:bidi w:val="0"/>
        <w:snapToGrid w:val="0"/>
        <w:spacing w:line="360" w:lineRule="auto"/>
        <w:ind w:firstLine="480" w:firstLineChars="200"/>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33FC824">
      <w:pPr>
        <w:kinsoku/>
        <w:wordWrap/>
        <w:overflowPunct/>
        <w:topLinePunct w:val="0"/>
        <w:bidi w:val="0"/>
        <w:snapToGrid w:val="0"/>
        <w:spacing w:line="360" w:lineRule="auto"/>
        <w:ind w:left="479" w:leftChars="228"/>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14:paraId="4403E9BC">
      <w:pPr>
        <w:kinsoku/>
        <w:wordWrap/>
        <w:overflowPunct/>
        <w:topLinePunct w:val="0"/>
        <w:bidi w:val="0"/>
        <w:snapToGrid w:val="0"/>
        <w:spacing w:line="360" w:lineRule="auto"/>
        <w:ind w:left="479" w:leftChars="228"/>
        <w:outlineLvl w:val="9"/>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43462A74">
      <w:pPr>
        <w:kinsoku/>
        <w:wordWrap/>
        <w:overflowPunct/>
        <w:topLinePunct w:val="0"/>
        <w:bidi w:val="0"/>
        <w:snapToGrid w:val="0"/>
        <w:spacing w:line="360" w:lineRule="auto"/>
        <w:jc w:val="center"/>
        <w:outlineLvl w:val="9"/>
        <w:rPr>
          <w:rFonts w:ascii="宋体" w:hAnsi="宋体" w:cs="宋体"/>
          <w:b/>
          <w:color w:val="auto"/>
          <w:kern w:val="0"/>
          <w:sz w:val="32"/>
          <w:szCs w:val="32"/>
          <w:lang w:val="zh-CN"/>
        </w:rPr>
      </w:pPr>
    </w:p>
    <w:p w14:paraId="10FFD242">
      <w:pPr>
        <w:kinsoku/>
        <w:wordWrap/>
        <w:overflowPunct/>
        <w:topLinePunct w:val="0"/>
        <w:bidi w:val="0"/>
        <w:snapToGrid w:val="0"/>
        <w:spacing w:line="360" w:lineRule="auto"/>
        <w:jc w:val="center"/>
        <w:outlineLvl w:val="9"/>
        <w:rPr>
          <w:rFonts w:ascii="宋体" w:hAnsi="宋体" w:cs="宋体"/>
          <w:b/>
          <w:color w:val="auto"/>
          <w:kern w:val="0"/>
          <w:sz w:val="32"/>
          <w:szCs w:val="32"/>
          <w:lang w:val="zh-CN"/>
        </w:rPr>
      </w:pPr>
    </w:p>
    <w:p w14:paraId="1BBD3EDC">
      <w:pPr>
        <w:kinsoku/>
        <w:wordWrap/>
        <w:overflowPunct/>
        <w:topLinePunct w:val="0"/>
        <w:bidi w:val="0"/>
        <w:snapToGrid w:val="0"/>
        <w:spacing w:line="360" w:lineRule="auto"/>
        <w:jc w:val="center"/>
        <w:outlineLvl w:val="9"/>
        <w:rPr>
          <w:rFonts w:ascii="宋体" w:hAnsi="宋体" w:cs="宋体"/>
          <w:b/>
          <w:color w:val="auto"/>
          <w:kern w:val="0"/>
          <w:sz w:val="32"/>
          <w:szCs w:val="32"/>
          <w:lang w:val="zh-CN"/>
        </w:rPr>
      </w:pPr>
    </w:p>
    <w:p w14:paraId="3FDF7571">
      <w:pPr>
        <w:kinsoku/>
        <w:wordWrap/>
        <w:overflowPunct/>
        <w:topLinePunct w:val="0"/>
        <w:bidi w:val="0"/>
        <w:snapToGrid w:val="0"/>
        <w:spacing w:line="360" w:lineRule="auto"/>
        <w:jc w:val="center"/>
        <w:outlineLvl w:val="9"/>
        <w:rPr>
          <w:rFonts w:ascii="宋体" w:hAnsi="宋体" w:cs="宋体"/>
          <w:b/>
          <w:color w:val="auto"/>
          <w:kern w:val="0"/>
          <w:sz w:val="32"/>
          <w:szCs w:val="32"/>
          <w:lang w:val="zh-CN"/>
        </w:rPr>
      </w:pPr>
    </w:p>
    <w:p w14:paraId="3AA4D87B">
      <w:pPr>
        <w:kinsoku/>
        <w:wordWrap/>
        <w:overflowPunct/>
        <w:topLinePunct w:val="0"/>
        <w:bidi w:val="0"/>
        <w:snapToGrid w:val="0"/>
        <w:spacing w:line="360" w:lineRule="auto"/>
        <w:jc w:val="center"/>
        <w:outlineLvl w:val="9"/>
        <w:rPr>
          <w:rFonts w:ascii="宋体" w:hAnsi="宋体" w:cs="宋体"/>
          <w:b/>
          <w:color w:val="auto"/>
          <w:kern w:val="0"/>
          <w:sz w:val="32"/>
          <w:szCs w:val="32"/>
          <w:lang w:val="zh-CN"/>
        </w:rPr>
      </w:pPr>
    </w:p>
    <w:p w14:paraId="6782255C">
      <w:pPr>
        <w:kinsoku/>
        <w:wordWrap/>
        <w:overflowPunct/>
        <w:topLinePunct w:val="0"/>
        <w:bidi w:val="0"/>
        <w:snapToGrid w:val="0"/>
        <w:spacing w:line="360" w:lineRule="auto"/>
        <w:jc w:val="center"/>
        <w:outlineLvl w:val="9"/>
        <w:rPr>
          <w:rFonts w:ascii="宋体" w:hAnsi="宋体" w:cs="宋体"/>
          <w:b/>
          <w:color w:val="auto"/>
          <w:kern w:val="0"/>
          <w:sz w:val="32"/>
          <w:szCs w:val="32"/>
        </w:rPr>
      </w:pPr>
    </w:p>
    <w:p w14:paraId="4B405730">
      <w:pPr>
        <w:kinsoku/>
        <w:wordWrap/>
        <w:overflowPunct/>
        <w:topLinePunct w:val="0"/>
        <w:bidi w:val="0"/>
        <w:snapToGrid w:val="0"/>
        <w:spacing w:line="360" w:lineRule="auto"/>
        <w:jc w:val="center"/>
        <w:outlineLvl w:val="9"/>
        <w:rPr>
          <w:rFonts w:ascii="宋体" w:hAnsi="宋体" w:cs="宋体"/>
          <w:b/>
          <w:color w:val="auto"/>
          <w:kern w:val="0"/>
          <w:sz w:val="32"/>
          <w:szCs w:val="32"/>
        </w:rPr>
      </w:pPr>
    </w:p>
    <w:p w14:paraId="44DC9EF6">
      <w:pPr>
        <w:kinsoku/>
        <w:wordWrap/>
        <w:overflowPunct/>
        <w:topLinePunct w:val="0"/>
        <w:bidi w:val="0"/>
        <w:outlineLvl w:val="9"/>
        <w:rPr>
          <w:rFonts w:ascii="宋体" w:hAnsi="宋体" w:cs="宋体"/>
          <w:color w:val="auto"/>
        </w:rPr>
      </w:pPr>
    </w:p>
    <w:p w14:paraId="1D1B2BF2">
      <w:pPr>
        <w:kinsoku/>
        <w:wordWrap/>
        <w:overflowPunct/>
        <w:topLinePunct w:val="0"/>
        <w:bidi w:val="0"/>
        <w:snapToGrid w:val="0"/>
        <w:spacing w:line="360" w:lineRule="auto"/>
        <w:jc w:val="center"/>
        <w:outlineLvl w:val="9"/>
        <w:rPr>
          <w:rFonts w:ascii="宋体" w:hAnsi="宋体" w:cs="宋体"/>
          <w:b/>
          <w:color w:val="auto"/>
          <w:kern w:val="0"/>
          <w:sz w:val="32"/>
          <w:szCs w:val="32"/>
        </w:rPr>
      </w:pPr>
    </w:p>
    <w:p w14:paraId="393F4222">
      <w:pPr>
        <w:kinsoku/>
        <w:wordWrap/>
        <w:overflowPunct/>
        <w:topLinePunct w:val="0"/>
        <w:bidi w:val="0"/>
        <w:snapToGrid w:val="0"/>
        <w:spacing w:line="360" w:lineRule="auto"/>
        <w:jc w:val="center"/>
        <w:outlineLvl w:val="9"/>
        <w:rPr>
          <w:rFonts w:ascii="宋体" w:hAnsi="宋体" w:cs="宋体"/>
          <w:b/>
          <w:color w:val="auto"/>
          <w:kern w:val="0"/>
          <w:sz w:val="32"/>
          <w:szCs w:val="32"/>
        </w:rPr>
      </w:pPr>
    </w:p>
    <w:p w14:paraId="4AC96B7E">
      <w:pPr>
        <w:tabs>
          <w:tab w:val="left" w:pos="432"/>
        </w:tabs>
        <w:kinsoku/>
        <w:wordWrap/>
        <w:overflowPunct/>
        <w:topLinePunct w:val="0"/>
        <w:bidi w:val="0"/>
        <w:outlineLvl w:val="9"/>
        <w:rPr>
          <w:color w:val="auto"/>
          <w:lang w:val="en-US"/>
        </w:rPr>
      </w:pPr>
    </w:p>
    <w:p w14:paraId="73C39FF0">
      <w:pPr>
        <w:kinsoku/>
        <w:wordWrap/>
        <w:overflowPunct/>
        <w:topLinePunct w:val="0"/>
        <w:bidi w:val="0"/>
        <w:outlineLvl w:val="9"/>
        <w:rPr>
          <w:color w:val="auto"/>
        </w:rPr>
      </w:pPr>
    </w:p>
    <w:p w14:paraId="69C13CB3">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rPr>
      </w:pPr>
    </w:p>
    <w:p w14:paraId="49BEE30C">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rPr>
      </w:pPr>
    </w:p>
    <w:p w14:paraId="3F733B37">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rPr>
      </w:pPr>
    </w:p>
    <w:p w14:paraId="6CAFBC48">
      <w:pPr>
        <w:widowControl/>
        <w:kinsoku/>
        <w:wordWrap/>
        <w:overflowPunct/>
        <w:topLinePunct w:val="0"/>
        <w:bidi w:val="0"/>
        <w:adjustRightInd/>
        <w:jc w:val="left"/>
        <w:outlineLvl w:val="9"/>
        <w:rPr>
          <w:rFonts w:ascii="宋体" w:hAnsi="宋体" w:cs="宋体"/>
          <w:b/>
          <w:color w:val="auto"/>
          <w:kern w:val="0"/>
          <w:sz w:val="32"/>
          <w:szCs w:val="32"/>
        </w:rPr>
      </w:pPr>
      <w:r>
        <w:rPr>
          <w:rFonts w:ascii="宋体" w:hAnsi="宋体" w:cs="宋体"/>
          <w:b/>
          <w:color w:val="auto"/>
          <w:kern w:val="0"/>
          <w:sz w:val="32"/>
          <w:szCs w:val="32"/>
        </w:rPr>
        <w:br w:type="page"/>
      </w:r>
    </w:p>
    <w:p w14:paraId="43992F14">
      <w:pPr>
        <w:kinsoku/>
        <w:wordWrap/>
        <w:overflowPunct/>
        <w:topLinePunct w:val="0"/>
        <w:bidi w:val="0"/>
        <w:snapToGrid w:val="0"/>
        <w:spacing w:line="360" w:lineRule="auto"/>
        <w:ind w:firstLine="3855" w:firstLineChars="1200"/>
        <w:outlineLvl w:val="9"/>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94A632D">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rPr>
      </w:pPr>
      <w:r>
        <w:rPr>
          <w:rFonts w:hint="eastAsia" w:ascii="宋体" w:hAnsi="宋体" w:cs="宋体"/>
          <w:color w:val="auto"/>
          <w:sz w:val="24"/>
        </w:rPr>
        <w:t>（采购人）、（采购代理机构）：</w:t>
      </w:r>
    </w:p>
    <w:p w14:paraId="1582E31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048EEA1">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B91556A">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2、我方的投标文件包括以下内容：</w:t>
      </w:r>
    </w:p>
    <w:p w14:paraId="5DC47ABD">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rPr>
      </w:pPr>
      <w:r>
        <w:rPr>
          <w:rFonts w:hint="eastAsia" w:ascii="宋体" w:hAnsi="宋体" w:cs="宋体"/>
          <w:color w:val="auto"/>
          <w:sz w:val="24"/>
        </w:rPr>
        <w:t>2.1资格文件：</w:t>
      </w:r>
    </w:p>
    <w:p w14:paraId="6631579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rPr>
      </w:pPr>
      <w:r>
        <w:rPr>
          <w:rFonts w:hint="eastAsia" w:ascii="宋体" w:hAnsi="宋体" w:cs="宋体"/>
          <w:color w:val="auto"/>
          <w:sz w:val="24"/>
        </w:rPr>
        <w:t>2.1.1承诺函；</w:t>
      </w:r>
    </w:p>
    <w:p w14:paraId="76109B8E">
      <w:pPr>
        <w:pStyle w:val="24"/>
        <w:rPr>
          <w:rFonts w:hint="default" w:eastAsia="宋体"/>
          <w:lang w:val="en-US" w:eastAsia="zh-CN"/>
        </w:rPr>
      </w:pPr>
      <w:r>
        <w:rPr>
          <w:rFonts w:hint="eastAsia" w:hAnsi="宋体" w:cs="宋体"/>
          <w:color w:val="auto"/>
          <w:sz w:val="24"/>
          <w:lang w:val="en-US" w:eastAsia="zh-CN"/>
        </w:rPr>
        <w:t xml:space="preserve">     </w:t>
      </w:r>
      <w:r>
        <w:rPr>
          <w:rFonts w:hint="eastAsia" w:ascii="宋体" w:hAnsi="宋体" w:eastAsia="宋体" w:cs="宋体"/>
          <w:snapToGrid/>
          <w:color w:val="auto"/>
          <w:kern w:val="2"/>
          <w:sz w:val="24"/>
          <w:szCs w:val="24"/>
          <w:lang w:val="en-US" w:eastAsia="zh-CN" w:bidi="ar-SA"/>
        </w:rPr>
        <w:t xml:space="preserve">  2.1.2有</w:t>
      </w:r>
      <w:r>
        <w:rPr>
          <w:rFonts w:hint="eastAsia" w:hAnsi="宋体" w:cs="宋体"/>
          <w:color w:val="auto"/>
          <w:sz w:val="24"/>
          <w:lang w:val="en-US" w:eastAsia="zh-CN"/>
        </w:rPr>
        <w:t>效的企业法人营业执照（或事业法人登记证）、其他组织（个体工商户）的营业执照或者民办非企业单位登记证书复印件；投标供应商如果有名称变更的，应提供由行政主管部门出具的变更证明文件；</w:t>
      </w:r>
    </w:p>
    <w:p w14:paraId="605BE17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联合协议（如果有)；</w:t>
      </w:r>
    </w:p>
    <w:p w14:paraId="7C470FD9">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rPr>
      </w:pPr>
      <w:r>
        <w:rPr>
          <w:rFonts w:hint="eastAsia" w:ascii="宋体" w:hAnsi="宋体" w:cs="宋体"/>
          <w:color w:val="auto"/>
          <w:sz w:val="24"/>
        </w:rPr>
        <w:t>2</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落实政府采购政策需满足的资格要求（如果有）；</w:t>
      </w:r>
    </w:p>
    <w:p w14:paraId="5408B16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2.1.5中小企业声明函；</w:t>
      </w:r>
    </w:p>
    <w:p w14:paraId="600CA626">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6</w:t>
      </w:r>
      <w:r>
        <w:rPr>
          <w:rFonts w:hint="eastAsia" w:ascii="宋体" w:hAnsi="宋体" w:eastAsia="宋体" w:cs="宋体"/>
          <w:color w:val="auto"/>
          <w:sz w:val="24"/>
        </w:rPr>
        <w:t>本项目的特定资格要求（如果有）</w:t>
      </w:r>
      <w:r>
        <w:rPr>
          <w:rFonts w:hint="eastAsia" w:ascii="宋体" w:hAnsi="宋体" w:cs="宋体"/>
          <w:color w:val="auto"/>
          <w:sz w:val="24"/>
          <w:lang w:eastAsia="zh-CN"/>
        </w:rPr>
        <w:t>；</w:t>
      </w:r>
    </w:p>
    <w:p w14:paraId="01428577">
      <w:pPr>
        <w:pStyle w:val="24"/>
        <w:rPr>
          <w:rFonts w:hint="default" w:eastAsia="宋体"/>
          <w:lang w:val="en-US" w:eastAsia="zh-CN"/>
        </w:rPr>
      </w:pPr>
      <w:r>
        <w:rPr>
          <w:rFonts w:hint="eastAsia" w:hAnsi="宋体" w:cs="宋体"/>
          <w:color w:val="auto"/>
          <w:sz w:val="24"/>
          <w:lang w:val="en-US" w:eastAsia="zh-CN"/>
        </w:rPr>
        <w:t xml:space="preserve">        </w:t>
      </w:r>
      <w:r>
        <w:rPr>
          <w:rFonts w:hint="eastAsia" w:ascii="宋体" w:hAnsi="宋体" w:eastAsia="宋体" w:cs="宋体"/>
          <w:snapToGrid/>
          <w:color w:val="auto"/>
          <w:kern w:val="2"/>
          <w:sz w:val="24"/>
          <w:szCs w:val="24"/>
          <w:lang w:val="en-US" w:eastAsia="zh-CN" w:bidi="ar-SA"/>
        </w:rPr>
        <w:t>2.1.7认为需要的其他资格文件或说明 (如果有)。</w:t>
      </w:r>
    </w:p>
    <w:p w14:paraId="3D486B1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0C8193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24FA013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2.2.2授权委托书或法定代表人（单位负责人）身份证明；</w:t>
      </w:r>
    </w:p>
    <w:p w14:paraId="444487E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A9AEB3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03C2416">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3F1BCC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6</w:t>
      </w:r>
      <w:r>
        <w:rPr>
          <w:rFonts w:hint="eastAsia" w:ascii="宋体" w:hAnsi="宋体" w:cs="宋体"/>
          <w:color w:val="auto"/>
          <w:sz w:val="24"/>
        </w:rPr>
        <w:t>商务技术偏离表；</w:t>
      </w:r>
    </w:p>
    <w:p w14:paraId="32560208">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p>
    <w:p w14:paraId="6F5EF207">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50CE9D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2.3.1开标一览表（报价表）</w:t>
      </w:r>
      <w:r>
        <w:rPr>
          <w:rFonts w:hint="eastAsia" w:ascii="宋体" w:hAnsi="宋体" w:cs="宋体"/>
          <w:color w:val="auto"/>
          <w:sz w:val="24"/>
          <w:lang w:val="en-US" w:eastAsia="zh-CN"/>
        </w:rPr>
        <w:t>、投标分项报价表</w:t>
      </w:r>
      <w:r>
        <w:rPr>
          <w:rFonts w:hint="eastAsia" w:ascii="宋体" w:hAnsi="宋体" w:cs="宋体"/>
          <w:color w:val="auto"/>
          <w:sz w:val="24"/>
        </w:rPr>
        <w:t>；</w:t>
      </w:r>
    </w:p>
    <w:p w14:paraId="0C431D63">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1ED55BA4">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4、如我方中标，我方承诺：</w:t>
      </w:r>
    </w:p>
    <w:p w14:paraId="1C17C33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265FED2">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rPr>
      </w:pPr>
      <w:r>
        <w:rPr>
          <w:rFonts w:hint="eastAsia" w:ascii="宋体" w:hAnsi="宋体" w:cs="宋体"/>
          <w:color w:val="auto"/>
          <w:sz w:val="24"/>
        </w:rPr>
        <w:t xml:space="preserve">4.2在签订合同时不向你方提出附加条件； </w:t>
      </w:r>
    </w:p>
    <w:p w14:paraId="1C9A65CD">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rPr>
      </w:pPr>
      <w:r>
        <w:rPr>
          <w:rFonts w:hint="eastAsia" w:ascii="宋体" w:hAnsi="宋体" w:cs="宋体"/>
          <w:color w:val="auto"/>
          <w:sz w:val="24"/>
        </w:rPr>
        <w:t xml:space="preserve">4.3按照招标文件要求提交履约保证金； </w:t>
      </w:r>
    </w:p>
    <w:p w14:paraId="30DBB2C7">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rPr>
      </w:pPr>
      <w:r>
        <w:rPr>
          <w:rFonts w:hint="eastAsia" w:ascii="宋体" w:hAnsi="宋体" w:cs="宋体"/>
          <w:color w:val="auto"/>
          <w:sz w:val="24"/>
        </w:rPr>
        <w:t>4.4在合同约定的期限内完成合同规定的全部义务。</w:t>
      </w:r>
    </w:p>
    <w:p w14:paraId="4C51FB37">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rPr>
      </w:pPr>
      <w:r>
        <w:rPr>
          <w:rFonts w:hint="eastAsia" w:ascii="宋体" w:hAnsi="宋体" w:cs="宋体"/>
          <w:color w:val="auto"/>
          <w:sz w:val="24"/>
          <w:lang w:val="en-US" w:eastAsia="zh-CN"/>
        </w:rPr>
        <w:t>4.5</w:t>
      </w:r>
      <w:r>
        <w:rPr>
          <w:rFonts w:hint="eastAsia" w:cs="宋体" w:asciiTheme="minorEastAsia" w:hAnsiTheme="minorEastAsia" w:eastAsiaTheme="minorEastAsia"/>
          <w:color w:val="auto"/>
          <w:sz w:val="24"/>
          <w:lang w:val="en-US" w:eastAsia="zh-CN"/>
        </w:rPr>
        <w:t>按照招标文件的规定，在中标后向采购代理机构一次性支付招标代理服务费。</w:t>
      </w:r>
      <w:r>
        <w:rPr>
          <w:rFonts w:hint="eastAsia" w:ascii="宋体" w:hAnsi="宋体" w:cs="宋体"/>
          <w:color w:val="auto"/>
          <w:sz w:val="24"/>
        </w:rPr>
        <w:t xml:space="preserve"> </w:t>
      </w:r>
    </w:p>
    <w:p w14:paraId="39C4B7DD">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CF660EA">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名称（电子签名</w:t>
      </w:r>
      <w:r>
        <w:rPr>
          <w:rFonts w:hint="eastAsia" w:ascii="宋体" w:hAnsi="宋体" w:cs="宋体"/>
          <w:color w:val="auto"/>
          <w:sz w:val="24"/>
          <w:lang w:val="en-US" w:eastAsia="zh-CN"/>
        </w:rPr>
        <w:t>/盖章</w:t>
      </w:r>
      <w:r>
        <w:rPr>
          <w:rFonts w:hint="eastAsia" w:ascii="宋体" w:hAnsi="宋体" w:cs="宋体"/>
          <w:color w:val="auto"/>
          <w:sz w:val="24"/>
        </w:rPr>
        <w:t xml:space="preserve">）：                          </w:t>
      </w:r>
    </w:p>
    <w:p w14:paraId="7FD35F40">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rPr>
      </w:pPr>
      <w:r>
        <w:rPr>
          <w:rFonts w:hint="eastAsia" w:ascii="宋体" w:hAnsi="宋体" w:cs="宋体"/>
          <w:color w:val="auto"/>
          <w:sz w:val="24"/>
        </w:rPr>
        <w:t xml:space="preserve">     日期：  年   月   日</w:t>
      </w:r>
    </w:p>
    <w:p w14:paraId="10647C20">
      <w:pPr>
        <w:widowControl/>
        <w:kinsoku/>
        <w:wordWrap/>
        <w:overflowPunct/>
        <w:topLinePunct w:val="0"/>
        <w:bidi w:val="0"/>
        <w:adjustRightInd/>
        <w:jc w:val="left"/>
        <w:outlineLvl w:val="9"/>
        <w:rPr>
          <w:rFonts w:ascii="宋体" w:hAnsi="宋体" w:cs="宋体"/>
          <w:b/>
          <w:color w:val="auto"/>
          <w:kern w:val="0"/>
          <w:sz w:val="32"/>
          <w:szCs w:val="32"/>
        </w:rPr>
      </w:pPr>
      <w:r>
        <w:rPr>
          <w:rFonts w:hint="eastAsia" w:ascii="宋体" w:hAnsi="宋体" w:cs="宋体"/>
          <w:color w:val="auto"/>
          <w:sz w:val="24"/>
        </w:rPr>
        <w:t>注：按本格式和要求提供。</w:t>
      </w:r>
      <w:r>
        <w:rPr>
          <w:rFonts w:ascii="宋体" w:hAnsi="宋体" w:cs="宋体"/>
          <w:b/>
          <w:color w:val="auto"/>
          <w:kern w:val="0"/>
          <w:sz w:val="32"/>
          <w:szCs w:val="32"/>
        </w:rPr>
        <w:br w:type="page"/>
      </w:r>
    </w:p>
    <w:p w14:paraId="301910ED">
      <w:pPr>
        <w:kinsoku/>
        <w:wordWrap/>
        <w:overflowPunct/>
        <w:topLinePunct w:val="0"/>
        <w:bidi w:val="0"/>
        <w:jc w:val="center"/>
        <w:outlineLvl w:val="9"/>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二、法定代表人的身份证明或法定代表人授权书（投标人的代表若为非法定代表人的，必须提交法定代表人授权书，并提供法定代表人和授权代表的身份证正反两面复印件）</w:t>
      </w:r>
    </w:p>
    <w:p w14:paraId="3826D0D8">
      <w:pPr>
        <w:kinsoku/>
        <w:wordWrap/>
        <w:overflowPunct/>
        <w:topLinePunct w:val="0"/>
        <w:bidi w:val="0"/>
        <w:jc w:val="center"/>
        <w:outlineLvl w:val="9"/>
        <w:rPr>
          <w:rFonts w:ascii="宋体" w:hAnsi="宋体" w:cs="宋体"/>
          <w:b/>
          <w:color w:val="auto"/>
          <w:kern w:val="0"/>
          <w:sz w:val="32"/>
          <w:szCs w:val="32"/>
          <w:lang w:val="zh-CN"/>
        </w:rPr>
      </w:pPr>
    </w:p>
    <w:p w14:paraId="405A593D">
      <w:pPr>
        <w:kinsoku/>
        <w:wordWrap/>
        <w:overflowPunct/>
        <w:topLinePunct w:val="0"/>
        <w:bidi w:val="0"/>
        <w:snapToGrid w:val="0"/>
        <w:spacing w:line="360" w:lineRule="auto"/>
        <w:outlineLvl w:val="9"/>
        <w:rPr>
          <w:rFonts w:ascii="宋体" w:hAnsi="宋体" w:cs="宋体"/>
          <w:color w:val="auto"/>
          <w:sz w:val="24"/>
        </w:rPr>
      </w:pPr>
      <w:r>
        <w:rPr>
          <w:rFonts w:hint="eastAsia" w:ascii="宋体" w:hAnsi="宋体" w:cs="宋体"/>
          <w:color w:val="auto"/>
          <w:sz w:val="24"/>
        </w:rPr>
        <w:t xml:space="preserve">                                </w:t>
      </w:r>
    </w:p>
    <w:p w14:paraId="074726C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FB4C31B">
      <w:pPr>
        <w:snapToGrid w:val="0"/>
        <w:spacing w:line="360" w:lineRule="auto"/>
        <w:rPr>
          <w:rFonts w:ascii="宋体" w:hAnsi="宋体" w:cs="宋体"/>
          <w:kern w:val="0"/>
          <w:sz w:val="24"/>
        </w:rPr>
      </w:pPr>
      <w:r>
        <w:rPr>
          <w:rFonts w:hint="eastAsia" w:ascii="宋体" w:hAnsi="宋体" w:cs="宋体"/>
          <w:sz w:val="24"/>
          <w:lang w:eastAsia="zh-CN"/>
        </w:rPr>
        <w:t xml:space="preserve">宁海县环境卫生指导中心 </w:t>
      </w:r>
      <w:r>
        <w:rPr>
          <w:rFonts w:hint="eastAsia" w:ascii="宋体" w:hAnsi="宋体" w:cs="宋体"/>
          <w:sz w:val="24"/>
        </w:rPr>
        <w:t>、</w:t>
      </w:r>
      <w:r>
        <w:rPr>
          <w:rFonts w:hint="eastAsia" w:ascii="宋体" w:hAnsi="宋体" w:cs="宋体"/>
          <w:sz w:val="24"/>
          <w:lang w:eastAsia="zh-CN"/>
        </w:rPr>
        <w:t>中纬工程管理咨询有限公司</w:t>
      </w:r>
      <w:r>
        <w:rPr>
          <w:rFonts w:hint="eastAsia" w:ascii="宋体" w:hAnsi="宋体" w:cs="宋体"/>
          <w:kern w:val="0"/>
          <w:sz w:val="24"/>
          <w:lang w:val="zh-CN"/>
        </w:rPr>
        <w:t>：</w:t>
      </w:r>
    </w:p>
    <w:p w14:paraId="5FF5493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highlight w:val="none"/>
          <w:lang w:eastAsia="zh-CN"/>
        </w:rPr>
        <w:t>2025年宁海县城区垃圾中转站设备维修更换项目</w:t>
      </w:r>
      <w:r>
        <w:rPr>
          <w:rFonts w:hint="eastAsia" w:ascii="宋体" w:hAnsi="宋体" w:cs="宋体"/>
          <w:sz w:val="24"/>
          <w:highlight w:val="none"/>
        </w:rPr>
        <w:t>【招</w:t>
      </w:r>
      <w:r>
        <w:rPr>
          <w:rFonts w:hint="eastAsia" w:ascii="宋体" w:hAnsi="宋体" w:cs="宋体"/>
          <w:sz w:val="24"/>
        </w:rPr>
        <w:t>标</w:t>
      </w:r>
      <w:r>
        <w:rPr>
          <w:rFonts w:hint="eastAsia" w:ascii="宋体" w:hAnsi="宋体" w:cs="宋体"/>
          <w:sz w:val="24"/>
          <w:lang w:eastAsia="zh-CN"/>
        </w:rPr>
        <w:t>编号：中纬采招【2025】NH01</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036404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1154B9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3C234E1">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r>
        <w:rPr>
          <w:rFonts w:hint="eastAsia" w:ascii="宋体" w:hAnsi="宋体" w:cs="宋体"/>
          <w:kern w:val="0"/>
          <w:sz w:val="24"/>
          <w:lang w:val="en-US" w:eastAsia="zh-CN"/>
        </w:rPr>
        <w:t>/公章</w:t>
      </w:r>
      <w:r>
        <w:rPr>
          <w:rFonts w:hint="eastAsia" w:ascii="宋体" w:hAnsi="宋体" w:cs="宋体"/>
          <w:kern w:val="0"/>
          <w:sz w:val="24"/>
          <w:lang w:val="zh-CN"/>
        </w:rPr>
        <w:t>）：</w:t>
      </w:r>
    </w:p>
    <w:p w14:paraId="74D50B7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39724823">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CB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38957C">
            <w:pPr>
              <w:pStyle w:val="148"/>
              <w:keepNext w:val="0"/>
              <w:keepLines w:val="0"/>
              <w:suppressLineNumbers w:val="0"/>
              <w:adjustRightInd w:val="0"/>
              <w:spacing w:before="0" w:beforeAutospacing="0" w:after="0" w:afterAutospacing="0" w:line="360" w:lineRule="auto"/>
              <w:ind w:left="0" w:right="0"/>
              <w:rPr>
                <w:rFonts w:hint="default" w:hAnsi="宋体" w:cs="宋体"/>
                <w:bCs/>
                <w:sz w:val="24"/>
              </w:rPr>
            </w:pPr>
            <w:r>
              <w:rPr>
                <w:rFonts w:hint="eastAsia" w:hAnsi="宋体" w:cs="宋体"/>
                <w:bCs/>
                <w:sz w:val="24"/>
              </w:rPr>
              <w:t>正面：                                 反面：</w:t>
            </w:r>
          </w:p>
          <w:p w14:paraId="00994DF6">
            <w:pPr>
              <w:pStyle w:val="148"/>
              <w:keepNext w:val="0"/>
              <w:keepLines w:val="0"/>
              <w:suppressLineNumbers w:val="0"/>
              <w:adjustRightInd w:val="0"/>
              <w:spacing w:before="0" w:beforeAutospacing="0" w:after="0" w:afterAutospacing="0" w:line="360" w:lineRule="auto"/>
              <w:ind w:left="0" w:right="0"/>
              <w:rPr>
                <w:rFonts w:hint="default" w:hAnsi="宋体" w:cs="宋体"/>
                <w:bCs/>
                <w:sz w:val="24"/>
              </w:rPr>
            </w:pPr>
          </w:p>
        </w:tc>
      </w:tr>
    </w:tbl>
    <w:p w14:paraId="676413E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0D2F29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w:t>
      </w:r>
      <w:r>
        <w:rPr>
          <w:rFonts w:hint="eastAsia" w:ascii="宋体" w:hAnsi="宋体" w:cs="宋体"/>
          <w:kern w:val="0"/>
          <w:sz w:val="24"/>
          <w:lang w:val="en-US" w:eastAsia="zh-CN"/>
        </w:rPr>
        <w:t>或公章</w:t>
      </w:r>
      <w:r>
        <w:rPr>
          <w:rFonts w:hint="eastAsia" w:ascii="宋体" w:hAnsi="宋体" w:cs="宋体"/>
          <w:kern w:val="0"/>
          <w:sz w:val="24"/>
          <w:lang w:val="zh-CN"/>
        </w:rPr>
        <w:t xml:space="preserve">）：                              </w:t>
      </w:r>
    </w:p>
    <w:p w14:paraId="094A79D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DCDC410">
      <w:pPr>
        <w:kinsoku/>
        <w:wordWrap/>
        <w:overflowPunct/>
        <w:topLinePunct w:val="0"/>
        <w:bidi w:val="0"/>
        <w:snapToGrid w:val="0"/>
        <w:spacing w:line="360" w:lineRule="auto"/>
        <w:outlineLvl w:val="9"/>
        <w:rPr>
          <w:rFonts w:ascii="宋体" w:hAnsi="宋体" w:cs="宋体"/>
          <w:color w:val="auto"/>
          <w:sz w:val="24"/>
        </w:rPr>
      </w:pPr>
    </w:p>
    <w:p w14:paraId="6FAE8CAA">
      <w:pPr>
        <w:kinsoku/>
        <w:wordWrap/>
        <w:overflowPunct/>
        <w:topLinePunct w:val="0"/>
        <w:bidi w:val="0"/>
        <w:snapToGrid w:val="0"/>
        <w:spacing w:line="360" w:lineRule="auto"/>
        <w:outlineLvl w:val="9"/>
        <w:rPr>
          <w:rFonts w:ascii="宋体" w:hAnsi="宋体" w:cs="宋体"/>
          <w:color w:val="auto"/>
          <w:sz w:val="24"/>
        </w:rPr>
      </w:pPr>
    </w:p>
    <w:p w14:paraId="7E6019B9">
      <w:pPr>
        <w:kinsoku/>
        <w:wordWrap/>
        <w:overflowPunct/>
        <w:topLinePunct w:val="0"/>
        <w:bidi w:val="0"/>
        <w:snapToGrid w:val="0"/>
        <w:spacing w:line="360" w:lineRule="auto"/>
        <w:outlineLvl w:val="9"/>
        <w:rPr>
          <w:rFonts w:ascii="宋体" w:hAnsi="宋体" w:cs="宋体"/>
          <w:color w:val="auto"/>
          <w:sz w:val="24"/>
        </w:rPr>
      </w:pPr>
    </w:p>
    <w:p w14:paraId="6E2B5F49">
      <w:pPr>
        <w:jc w:val="center"/>
        <w:rPr>
          <w:rFonts w:ascii="宋体" w:hAnsi="宋体" w:cs="宋体"/>
          <w:b/>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78F58EC">
      <w:pPr>
        <w:snapToGrid w:val="0"/>
        <w:spacing w:line="360" w:lineRule="auto"/>
        <w:rPr>
          <w:rFonts w:ascii="宋体" w:hAnsi="宋体" w:cs="宋体"/>
          <w:kern w:val="0"/>
          <w:sz w:val="24"/>
        </w:rPr>
      </w:pPr>
      <w:r>
        <w:rPr>
          <w:rFonts w:hint="eastAsia" w:ascii="宋体" w:hAnsi="宋体" w:cs="宋体"/>
          <w:sz w:val="24"/>
          <w:lang w:eastAsia="zh-CN"/>
        </w:rPr>
        <w:t xml:space="preserve">宁海县环境卫生指导中心 </w:t>
      </w:r>
      <w:r>
        <w:rPr>
          <w:rFonts w:hint="eastAsia" w:ascii="宋体" w:hAnsi="宋体" w:cs="宋体"/>
          <w:sz w:val="24"/>
        </w:rPr>
        <w:t>、</w:t>
      </w:r>
      <w:r>
        <w:rPr>
          <w:rFonts w:hint="eastAsia" w:ascii="宋体" w:hAnsi="宋体" w:cs="宋体"/>
          <w:sz w:val="24"/>
          <w:lang w:eastAsia="zh-CN"/>
        </w:rPr>
        <w:t>中纬工程管理咨询有限公司</w:t>
      </w:r>
      <w:r>
        <w:rPr>
          <w:rFonts w:hint="eastAsia" w:ascii="宋体" w:hAnsi="宋体" w:cs="宋体"/>
          <w:kern w:val="0"/>
          <w:sz w:val="24"/>
          <w:lang w:val="zh-CN"/>
        </w:rPr>
        <w:t>：</w:t>
      </w:r>
    </w:p>
    <w:p w14:paraId="561B70F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highlight w:val="none"/>
          <w:lang w:eastAsia="zh-CN"/>
        </w:rPr>
        <w:t>2025年宁海县城区垃圾中转站设备维修更换项目</w:t>
      </w:r>
      <w:r>
        <w:rPr>
          <w:rFonts w:hint="eastAsia" w:ascii="宋体" w:hAnsi="宋体" w:cs="宋体"/>
          <w:sz w:val="24"/>
          <w:highlight w:val="none"/>
        </w:rPr>
        <w:t>【招标</w:t>
      </w:r>
      <w:r>
        <w:rPr>
          <w:rFonts w:hint="eastAsia" w:ascii="宋体" w:hAnsi="宋体" w:cs="宋体"/>
          <w:sz w:val="24"/>
          <w:highlight w:val="none"/>
          <w:lang w:eastAsia="zh-CN"/>
        </w:rPr>
        <w:t>编号：中纬采招【2025】NH012</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2D2A7EE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B2DE12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86C061E">
      <w:pPr>
        <w:jc w:val="center"/>
        <w:rPr>
          <w:rFonts w:ascii="宋体" w:hAnsi="宋体" w:cs="宋体"/>
          <w:b/>
          <w:kern w:val="0"/>
          <w:sz w:val="32"/>
          <w:szCs w:val="32"/>
        </w:rPr>
      </w:pPr>
    </w:p>
    <w:p w14:paraId="5C1F952B">
      <w:pPr>
        <w:rPr>
          <w:rFonts w:ascii="宋体" w:hAnsi="宋体" w:cs="宋体"/>
        </w:rPr>
      </w:pPr>
    </w:p>
    <w:p w14:paraId="75DD7F8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848EDB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66CBC2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1AFD674">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B107B6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54D7244">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50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jc w:val="center"/>
        </w:trPr>
        <w:tc>
          <w:tcPr>
            <w:tcW w:w="9207" w:type="dxa"/>
          </w:tcPr>
          <w:p w14:paraId="59F9911A">
            <w:pPr>
              <w:pStyle w:val="148"/>
              <w:keepNext w:val="0"/>
              <w:keepLines w:val="0"/>
              <w:suppressLineNumbers w:val="0"/>
              <w:adjustRightInd w:val="0"/>
              <w:spacing w:before="0" w:beforeAutospacing="0" w:after="0" w:afterAutospacing="0" w:line="360" w:lineRule="auto"/>
              <w:ind w:left="0" w:right="0"/>
              <w:rPr>
                <w:rFonts w:hint="default" w:hAnsi="宋体" w:cs="宋体"/>
                <w:bCs/>
                <w:sz w:val="24"/>
              </w:rPr>
            </w:pPr>
            <w:r>
              <w:rPr>
                <w:rFonts w:hint="eastAsia" w:hAnsi="宋体" w:cs="宋体"/>
                <w:bCs/>
                <w:sz w:val="24"/>
              </w:rPr>
              <w:t>正面：                                 反面：</w:t>
            </w:r>
          </w:p>
          <w:p w14:paraId="20131CBF">
            <w:pPr>
              <w:pStyle w:val="148"/>
              <w:keepNext w:val="0"/>
              <w:keepLines w:val="0"/>
              <w:suppressLineNumbers w:val="0"/>
              <w:adjustRightInd w:val="0"/>
              <w:spacing w:before="0" w:beforeAutospacing="0" w:after="0" w:afterAutospacing="0" w:line="360" w:lineRule="auto"/>
              <w:ind w:left="0" w:right="0"/>
              <w:rPr>
                <w:rFonts w:hint="default" w:hAnsi="宋体" w:cs="宋体"/>
                <w:bCs/>
                <w:sz w:val="24"/>
              </w:rPr>
            </w:pPr>
          </w:p>
        </w:tc>
      </w:tr>
    </w:tbl>
    <w:p w14:paraId="7E40A9B2">
      <w:pPr>
        <w:rPr>
          <w:rFonts w:hint="eastAsia" w:ascii="宋体" w:hAnsi="宋体" w:cs="宋体"/>
          <w:b/>
          <w:color w:val="auto"/>
          <w:kern w:val="0"/>
          <w:sz w:val="32"/>
          <w:szCs w:val="32"/>
          <w:lang w:val="zh-CN"/>
        </w:rPr>
      </w:pPr>
    </w:p>
    <w:p w14:paraId="18D36327">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lang w:val="zh-CN"/>
        </w:rPr>
      </w:pPr>
    </w:p>
    <w:p w14:paraId="2DF8DB77">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lang w:val="zh-CN"/>
        </w:rPr>
      </w:pPr>
    </w:p>
    <w:p w14:paraId="0AEEA59B">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lang w:val="zh-CN"/>
        </w:rPr>
      </w:pPr>
    </w:p>
    <w:p w14:paraId="41A506A1">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lang w:val="zh-CN"/>
        </w:rPr>
      </w:pPr>
    </w:p>
    <w:p w14:paraId="31AC9832">
      <w:pPr>
        <w:kinsoku/>
        <w:wordWrap/>
        <w:overflowPunct/>
        <w:topLinePunct w:val="0"/>
        <w:autoSpaceDE w:val="0"/>
        <w:autoSpaceDN w:val="0"/>
        <w:bidi w:val="0"/>
        <w:spacing w:line="360" w:lineRule="auto"/>
        <w:jc w:val="center"/>
        <w:outlineLvl w:val="9"/>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w:t>
      </w:r>
      <w:r>
        <w:rPr>
          <w:rFonts w:hint="eastAsia" w:ascii="宋体" w:hAnsi="宋体" w:cs="宋体"/>
          <w:b/>
          <w:color w:val="auto"/>
          <w:sz w:val="30"/>
          <w:szCs w:val="30"/>
          <w:lang w:eastAsia="zh-CN"/>
        </w:rPr>
        <w:t>供应商</w:t>
      </w:r>
      <w:r>
        <w:rPr>
          <w:rFonts w:hint="eastAsia" w:ascii="宋体" w:hAnsi="宋体" w:cs="宋体"/>
          <w:b/>
          <w:color w:val="auto"/>
          <w:sz w:val="30"/>
          <w:szCs w:val="30"/>
        </w:rPr>
        <w:t>参加投标）</w:t>
      </w:r>
    </w:p>
    <w:p w14:paraId="1C5F961A">
      <w:pPr>
        <w:pStyle w:val="148"/>
        <w:kinsoku/>
        <w:wordWrap/>
        <w:overflowPunct/>
        <w:topLinePunct w:val="0"/>
        <w:bidi w:val="0"/>
        <w:spacing w:line="360" w:lineRule="auto"/>
        <w:outlineLvl w:val="9"/>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76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23859F6">
            <w:pPr>
              <w:pStyle w:val="148"/>
              <w:kinsoku/>
              <w:wordWrap/>
              <w:overflowPunct/>
              <w:topLinePunct w:val="0"/>
              <w:bidi w:val="0"/>
              <w:adjustRightInd w:val="0"/>
              <w:spacing w:line="360" w:lineRule="auto"/>
              <w:outlineLvl w:val="9"/>
              <w:rPr>
                <w:rFonts w:hAnsi="宋体" w:cs="宋体"/>
                <w:bCs/>
                <w:color w:val="auto"/>
                <w:sz w:val="24"/>
              </w:rPr>
            </w:pPr>
            <w:r>
              <w:rPr>
                <w:rFonts w:hint="eastAsia" w:hAnsi="宋体" w:cs="宋体"/>
                <w:bCs/>
                <w:color w:val="auto"/>
                <w:sz w:val="24"/>
              </w:rPr>
              <w:t>正面：                                 反面：</w:t>
            </w:r>
          </w:p>
          <w:p w14:paraId="1FE9E8A3">
            <w:pPr>
              <w:pStyle w:val="148"/>
              <w:kinsoku/>
              <w:wordWrap/>
              <w:overflowPunct/>
              <w:topLinePunct w:val="0"/>
              <w:bidi w:val="0"/>
              <w:adjustRightInd w:val="0"/>
              <w:spacing w:line="360" w:lineRule="auto"/>
              <w:outlineLvl w:val="9"/>
              <w:rPr>
                <w:rFonts w:hAnsi="宋体" w:cs="宋体"/>
                <w:bCs/>
                <w:color w:val="auto"/>
                <w:sz w:val="24"/>
              </w:rPr>
            </w:pPr>
          </w:p>
        </w:tc>
      </w:tr>
    </w:tbl>
    <w:p w14:paraId="2E4939C2">
      <w:pPr>
        <w:kinsoku/>
        <w:wordWrap/>
        <w:overflowPunct/>
        <w:topLinePunct w:val="0"/>
        <w:bidi w:val="0"/>
        <w:snapToGrid w:val="0"/>
        <w:spacing w:line="360" w:lineRule="auto"/>
        <w:ind w:firstLine="576"/>
        <w:jc w:val="center"/>
        <w:outlineLvl w:val="9"/>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454DD38">
      <w:pPr>
        <w:kinsoku/>
        <w:wordWrap/>
        <w:overflowPunct/>
        <w:topLinePunct w:val="0"/>
        <w:bidi w:val="0"/>
        <w:snapToGrid w:val="0"/>
        <w:spacing w:line="360" w:lineRule="auto"/>
        <w:ind w:firstLine="576"/>
        <w:jc w:val="center"/>
        <w:outlineLvl w:val="9"/>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w:t>
      </w:r>
      <w:r>
        <w:rPr>
          <w:rFonts w:hint="eastAsia" w:ascii="宋体" w:hAnsi="宋体" w:cs="宋体"/>
          <w:color w:val="auto"/>
          <w:kern w:val="0"/>
          <w:sz w:val="24"/>
          <w:lang w:val="en-US" w:eastAsia="zh-CN"/>
        </w:rPr>
        <w:t>/盖章</w:t>
      </w:r>
      <w:r>
        <w:rPr>
          <w:rFonts w:hint="eastAsia" w:ascii="宋体" w:hAnsi="宋体" w:cs="宋体"/>
          <w:color w:val="auto"/>
          <w:kern w:val="0"/>
          <w:sz w:val="24"/>
          <w:lang w:val="zh-CN"/>
        </w:rPr>
        <w:t xml:space="preserve">)：                              </w:t>
      </w:r>
    </w:p>
    <w:p w14:paraId="67C30C7F">
      <w:pPr>
        <w:kinsoku/>
        <w:wordWrap/>
        <w:overflowPunct/>
        <w:topLinePunct w:val="0"/>
        <w:bidi w:val="0"/>
        <w:spacing w:line="360" w:lineRule="auto"/>
        <w:jc w:val="center"/>
        <w:outlineLvl w:val="9"/>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5167128">
      <w:pPr>
        <w:kinsoku/>
        <w:wordWrap/>
        <w:overflowPunct/>
        <w:topLinePunct w:val="0"/>
        <w:bidi w:val="0"/>
        <w:jc w:val="center"/>
        <w:outlineLvl w:val="9"/>
        <w:rPr>
          <w:rFonts w:ascii="宋体" w:hAnsi="宋体" w:cs="宋体"/>
          <w:b/>
          <w:color w:val="auto"/>
          <w:kern w:val="0"/>
          <w:sz w:val="32"/>
          <w:szCs w:val="32"/>
        </w:rPr>
      </w:pPr>
    </w:p>
    <w:p w14:paraId="24583ABB">
      <w:pPr>
        <w:kinsoku/>
        <w:wordWrap/>
        <w:overflowPunct/>
        <w:topLinePunct w:val="0"/>
        <w:bidi w:val="0"/>
        <w:jc w:val="center"/>
        <w:outlineLvl w:val="9"/>
        <w:rPr>
          <w:rFonts w:ascii="宋体" w:hAnsi="宋体" w:cs="宋体"/>
          <w:b/>
          <w:color w:val="auto"/>
          <w:kern w:val="0"/>
          <w:sz w:val="32"/>
          <w:szCs w:val="32"/>
        </w:rPr>
      </w:pPr>
    </w:p>
    <w:p w14:paraId="383DE452">
      <w:pPr>
        <w:kinsoku/>
        <w:wordWrap/>
        <w:overflowPunct/>
        <w:topLinePunct w:val="0"/>
        <w:bidi w:val="0"/>
        <w:jc w:val="center"/>
        <w:outlineLvl w:val="9"/>
        <w:rPr>
          <w:rFonts w:ascii="宋体" w:hAnsi="宋体" w:cs="宋体"/>
          <w:b/>
          <w:color w:val="auto"/>
          <w:kern w:val="0"/>
          <w:sz w:val="32"/>
          <w:szCs w:val="32"/>
        </w:rPr>
      </w:pPr>
    </w:p>
    <w:p w14:paraId="0B81E0A5">
      <w:pPr>
        <w:kinsoku/>
        <w:wordWrap/>
        <w:overflowPunct/>
        <w:topLinePunct w:val="0"/>
        <w:bidi w:val="0"/>
        <w:jc w:val="center"/>
        <w:outlineLvl w:val="9"/>
        <w:rPr>
          <w:rFonts w:ascii="宋体" w:hAnsi="宋体" w:cs="宋体"/>
          <w:b/>
          <w:color w:val="auto"/>
          <w:kern w:val="0"/>
          <w:sz w:val="32"/>
          <w:szCs w:val="32"/>
        </w:rPr>
      </w:pPr>
    </w:p>
    <w:p w14:paraId="57256131">
      <w:pPr>
        <w:kinsoku/>
        <w:wordWrap/>
        <w:overflowPunct/>
        <w:topLinePunct w:val="0"/>
        <w:bidi w:val="0"/>
        <w:jc w:val="center"/>
        <w:outlineLvl w:val="9"/>
        <w:rPr>
          <w:rFonts w:ascii="宋体" w:hAnsi="宋体" w:cs="宋体"/>
          <w:b/>
          <w:color w:val="auto"/>
          <w:kern w:val="0"/>
          <w:sz w:val="32"/>
          <w:szCs w:val="32"/>
        </w:rPr>
      </w:pPr>
    </w:p>
    <w:p w14:paraId="4D3C0D92">
      <w:pPr>
        <w:kinsoku/>
        <w:wordWrap/>
        <w:overflowPunct/>
        <w:topLinePunct w:val="0"/>
        <w:bidi w:val="0"/>
        <w:jc w:val="center"/>
        <w:outlineLvl w:val="9"/>
        <w:rPr>
          <w:rFonts w:ascii="宋体" w:hAnsi="宋体" w:cs="宋体"/>
          <w:b/>
          <w:color w:val="auto"/>
          <w:kern w:val="0"/>
          <w:sz w:val="32"/>
          <w:szCs w:val="32"/>
        </w:rPr>
      </w:pPr>
    </w:p>
    <w:p w14:paraId="035E20A1">
      <w:pPr>
        <w:kinsoku/>
        <w:wordWrap/>
        <w:overflowPunct/>
        <w:topLinePunct w:val="0"/>
        <w:bidi w:val="0"/>
        <w:jc w:val="center"/>
        <w:outlineLvl w:val="9"/>
        <w:rPr>
          <w:rFonts w:ascii="宋体" w:hAnsi="宋体" w:cs="宋体"/>
          <w:b/>
          <w:color w:val="auto"/>
          <w:kern w:val="0"/>
          <w:sz w:val="32"/>
          <w:szCs w:val="32"/>
        </w:rPr>
      </w:pPr>
    </w:p>
    <w:p w14:paraId="11C2606C">
      <w:pPr>
        <w:kinsoku/>
        <w:wordWrap/>
        <w:overflowPunct/>
        <w:topLinePunct w:val="0"/>
        <w:bidi w:val="0"/>
        <w:jc w:val="center"/>
        <w:outlineLvl w:val="9"/>
        <w:rPr>
          <w:rFonts w:ascii="宋体" w:hAnsi="宋体" w:cs="宋体"/>
          <w:b/>
          <w:color w:val="auto"/>
          <w:kern w:val="0"/>
          <w:sz w:val="32"/>
          <w:szCs w:val="32"/>
        </w:rPr>
      </w:pPr>
    </w:p>
    <w:p w14:paraId="65249780">
      <w:pPr>
        <w:kinsoku/>
        <w:wordWrap/>
        <w:overflowPunct/>
        <w:topLinePunct w:val="0"/>
        <w:bidi w:val="0"/>
        <w:jc w:val="center"/>
        <w:outlineLvl w:val="9"/>
        <w:rPr>
          <w:rFonts w:ascii="宋体" w:hAnsi="宋体" w:cs="宋体"/>
          <w:b/>
          <w:color w:val="auto"/>
          <w:kern w:val="0"/>
          <w:sz w:val="32"/>
          <w:szCs w:val="32"/>
        </w:rPr>
      </w:pPr>
    </w:p>
    <w:p w14:paraId="35C3E53F">
      <w:pPr>
        <w:kinsoku/>
        <w:wordWrap/>
        <w:overflowPunct/>
        <w:topLinePunct w:val="0"/>
        <w:bidi w:val="0"/>
        <w:jc w:val="center"/>
        <w:outlineLvl w:val="9"/>
        <w:rPr>
          <w:rFonts w:ascii="宋体" w:hAnsi="宋体" w:cs="宋体"/>
          <w:b/>
          <w:color w:val="auto"/>
          <w:kern w:val="0"/>
          <w:sz w:val="32"/>
          <w:szCs w:val="32"/>
        </w:rPr>
      </w:pPr>
    </w:p>
    <w:p w14:paraId="2C04842C">
      <w:pPr>
        <w:kinsoku/>
        <w:wordWrap/>
        <w:overflowPunct/>
        <w:topLinePunct w:val="0"/>
        <w:bidi w:val="0"/>
        <w:snapToGrid w:val="0"/>
        <w:spacing w:line="360" w:lineRule="auto"/>
        <w:ind w:right="480"/>
        <w:outlineLvl w:val="9"/>
        <w:rPr>
          <w:rFonts w:ascii="宋体" w:hAnsi="宋体" w:cs="宋体"/>
          <w:b/>
          <w:color w:val="auto"/>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35A22FBC">
      <w:pPr>
        <w:kinsoku/>
        <w:wordWrap/>
        <w:overflowPunct/>
        <w:topLinePunct w:val="0"/>
        <w:bidi w:val="0"/>
        <w:snapToGrid w:val="0"/>
        <w:spacing w:line="360" w:lineRule="auto"/>
        <w:jc w:val="center"/>
        <w:outlineLvl w:val="9"/>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3CE7C61">
      <w:pPr>
        <w:widowControl/>
        <w:kinsoku/>
        <w:wordWrap/>
        <w:overflowPunct/>
        <w:topLinePunct w:val="0"/>
        <w:bidi w:val="0"/>
        <w:spacing w:line="360" w:lineRule="auto"/>
        <w:ind w:firstLine="120" w:firstLineChars="50"/>
        <w:jc w:val="left"/>
        <w:outlineLvl w:val="9"/>
        <w:rPr>
          <w:rFonts w:ascii="宋体" w:hAnsi="宋体" w:cs="宋体"/>
          <w:color w:val="auto"/>
          <w:sz w:val="24"/>
        </w:rPr>
      </w:pPr>
      <w:bookmarkStart w:id="553"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w:t>
      </w:r>
      <w:r>
        <w:rPr>
          <w:rFonts w:hint="eastAsia" w:ascii="宋体" w:hAnsi="宋体" w:cs="宋体"/>
          <w:b/>
          <w:color w:val="auto"/>
          <w:sz w:val="24"/>
          <w:lang w:eastAsia="zh-CN"/>
        </w:rPr>
        <w:t>供应商</w:t>
      </w:r>
      <w:r>
        <w:rPr>
          <w:rFonts w:hint="eastAsia" w:ascii="宋体" w:hAnsi="宋体" w:cs="宋体"/>
          <w:b/>
          <w:color w:val="auto"/>
          <w:sz w:val="24"/>
        </w:rPr>
        <w:t>中标后不以分包方式履行合同的，则不需要提供。</w:t>
      </w:r>
      <w:r>
        <w:rPr>
          <w:rFonts w:hint="eastAsia" w:ascii="宋体" w:hAnsi="宋体" w:cs="宋体"/>
          <w:color w:val="auto"/>
          <w:sz w:val="24"/>
        </w:rPr>
        <w:t>]</w:t>
      </w:r>
    </w:p>
    <w:bookmarkEnd w:id="553"/>
    <w:p w14:paraId="74EB1AA7">
      <w:pPr>
        <w:kinsoku/>
        <w:wordWrap/>
        <w:overflowPunct/>
        <w:topLinePunct w:val="0"/>
        <w:bidi w:val="0"/>
        <w:snapToGrid w:val="0"/>
        <w:spacing w:line="360" w:lineRule="auto"/>
        <w:outlineLvl w:val="9"/>
        <w:rPr>
          <w:rFonts w:ascii="宋体" w:hAnsi="宋体" w:cs="宋体"/>
          <w:color w:val="auto"/>
          <w:kern w:val="0"/>
          <w:sz w:val="24"/>
        </w:rPr>
      </w:pPr>
    </w:p>
    <w:p w14:paraId="2CBC78E2">
      <w:pPr>
        <w:kinsoku/>
        <w:wordWrap/>
        <w:overflowPunct/>
        <w:topLinePunct w:val="0"/>
        <w:bidi w:val="0"/>
        <w:jc w:val="center"/>
        <w:outlineLvl w:val="9"/>
        <w:rPr>
          <w:rFonts w:ascii="宋体" w:hAnsi="宋体" w:cs="宋体"/>
          <w:b/>
          <w:color w:val="auto"/>
          <w:kern w:val="0"/>
          <w:sz w:val="32"/>
          <w:szCs w:val="32"/>
        </w:rPr>
      </w:pPr>
    </w:p>
    <w:p w14:paraId="48C69A60">
      <w:pPr>
        <w:tabs>
          <w:tab w:val="left" w:pos="432"/>
        </w:tabs>
        <w:kinsoku/>
        <w:wordWrap/>
        <w:overflowPunct/>
        <w:topLinePunct w:val="0"/>
        <w:bidi w:val="0"/>
        <w:outlineLvl w:val="9"/>
        <w:rPr>
          <w:color w:val="auto"/>
          <w:lang w:val="en-US"/>
        </w:rPr>
      </w:pPr>
    </w:p>
    <w:p w14:paraId="061653AF">
      <w:pPr>
        <w:kinsoku/>
        <w:wordWrap/>
        <w:overflowPunct/>
        <w:topLinePunct w:val="0"/>
        <w:bidi w:val="0"/>
        <w:outlineLvl w:val="9"/>
        <w:rPr>
          <w:color w:val="auto"/>
        </w:rPr>
      </w:pPr>
    </w:p>
    <w:p w14:paraId="04626200">
      <w:pPr>
        <w:tabs>
          <w:tab w:val="left" w:pos="432"/>
        </w:tabs>
        <w:kinsoku/>
        <w:wordWrap/>
        <w:overflowPunct/>
        <w:topLinePunct w:val="0"/>
        <w:bidi w:val="0"/>
        <w:outlineLvl w:val="9"/>
        <w:rPr>
          <w:color w:val="auto"/>
          <w:lang w:val="en-US"/>
        </w:rPr>
      </w:pPr>
    </w:p>
    <w:p w14:paraId="21E6B3C4">
      <w:pPr>
        <w:kinsoku/>
        <w:wordWrap/>
        <w:overflowPunct/>
        <w:topLinePunct w:val="0"/>
        <w:bidi w:val="0"/>
        <w:jc w:val="center"/>
        <w:outlineLvl w:val="9"/>
        <w:rPr>
          <w:rFonts w:ascii="宋体" w:hAnsi="宋体" w:cs="宋体"/>
          <w:b/>
          <w:color w:val="auto"/>
          <w:kern w:val="0"/>
          <w:sz w:val="32"/>
          <w:szCs w:val="32"/>
        </w:rPr>
      </w:pPr>
    </w:p>
    <w:p w14:paraId="1A38130F">
      <w:pPr>
        <w:kinsoku/>
        <w:wordWrap/>
        <w:overflowPunct/>
        <w:topLinePunct w:val="0"/>
        <w:bidi w:val="0"/>
        <w:jc w:val="center"/>
        <w:outlineLvl w:val="9"/>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28DC2BE">
      <w:pPr>
        <w:kinsoku/>
        <w:wordWrap/>
        <w:overflowPunct/>
        <w:topLinePunct w:val="0"/>
        <w:bidi w:val="0"/>
        <w:jc w:val="center"/>
        <w:outlineLvl w:val="9"/>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03"/>
        <w:gridCol w:w="3239"/>
        <w:gridCol w:w="1418"/>
      </w:tblGrid>
      <w:tr w14:paraId="6C86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1B78FF">
            <w:pPr>
              <w:kinsoku/>
              <w:wordWrap/>
              <w:overflowPunct/>
              <w:topLinePunct w:val="0"/>
              <w:bidi w:val="0"/>
              <w:snapToGrid w:val="0"/>
              <w:spacing w:line="240" w:lineRule="atLeast"/>
              <w:jc w:val="center"/>
              <w:outlineLvl w:val="9"/>
              <w:rPr>
                <w:rFonts w:ascii="宋体" w:hAnsi="宋体" w:cs="宋体"/>
                <w:b/>
                <w:color w:val="auto"/>
                <w:sz w:val="24"/>
              </w:rPr>
            </w:pPr>
            <w:r>
              <w:rPr>
                <w:rFonts w:hint="eastAsia" w:ascii="宋体" w:hAnsi="宋体" w:cs="宋体"/>
                <w:b/>
                <w:color w:val="auto"/>
                <w:sz w:val="24"/>
              </w:rPr>
              <w:t>序号</w:t>
            </w:r>
          </w:p>
        </w:tc>
        <w:tc>
          <w:tcPr>
            <w:tcW w:w="4303" w:type="dxa"/>
            <w:vAlign w:val="center"/>
          </w:tcPr>
          <w:p w14:paraId="75B58DA1">
            <w:pPr>
              <w:kinsoku/>
              <w:wordWrap/>
              <w:overflowPunct/>
              <w:topLinePunct w:val="0"/>
              <w:bidi w:val="0"/>
              <w:snapToGrid w:val="0"/>
              <w:spacing w:line="240" w:lineRule="atLeast"/>
              <w:jc w:val="center"/>
              <w:outlineLvl w:val="9"/>
              <w:rPr>
                <w:rFonts w:ascii="宋体" w:hAnsi="宋体" w:cs="宋体"/>
                <w:b/>
                <w:color w:val="auto"/>
                <w:sz w:val="24"/>
              </w:rPr>
            </w:pPr>
            <w:r>
              <w:rPr>
                <w:rFonts w:hint="eastAsia" w:ascii="宋体" w:hAnsi="宋体" w:cs="宋体"/>
                <w:b/>
                <w:color w:val="auto"/>
                <w:sz w:val="24"/>
              </w:rPr>
              <w:t>实质性要求</w:t>
            </w:r>
          </w:p>
        </w:tc>
        <w:tc>
          <w:tcPr>
            <w:tcW w:w="3239" w:type="dxa"/>
            <w:vAlign w:val="center"/>
          </w:tcPr>
          <w:p w14:paraId="5729A145">
            <w:pPr>
              <w:kinsoku/>
              <w:wordWrap/>
              <w:overflowPunct/>
              <w:topLinePunct w:val="0"/>
              <w:bidi w:val="0"/>
              <w:snapToGrid w:val="0"/>
              <w:spacing w:line="240" w:lineRule="atLeast"/>
              <w:jc w:val="center"/>
              <w:outlineLvl w:val="9"/>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4D57C68D">
            <w:pPr>
              <w:kinsoku/>
              <w:wordWrap/>
              <w:overflowPunct/>
              <w:topLinePunct w:val="0"/>
              <w:bidi w:val="0"/>
              <w:snapToGrid w:val="0"/>
              <w:spacing w:line="240" w:lineRule="atLeast"/>
              <w:jc w:val="center"/>
              <w:outlineLvl w:val="9"/>
              <w:rPr>
                <w:rFonts w:ascii="宋体" w:hAnsi="宋体" w:cs="宋体"/>
                <w:b/>
                <w:color w:val="auto"/>
                <w:sz w:val="24"/>
              </w:rPr>
            </w:pPr>
            <w:r>
              <w:rPr>
                <w:rFonts w:hint="eastAsia" w:ascii="宋体" w:hAnsi="宋体" w:cs="宋体"/>
                <w:b/>
                <w:color w:val="auto"/>
                <w:sz w:val="24"/>
              </w:rPr>
              <w:t>投标文件中的</w:t>
            </w:r>
          </w:p>
          <w:p w14:paraId="74C2C88C">
            <w:pPr>
              <w:kinsoku/>
              <w:wordWrap/>
              <w:overflowPunct/>
              <w:topLinePunct w:val="0"/>
              <w:bidi w:val="0"/>
              <w:snapToGrid w:val="0"/>
              <w:spacing w:line="240" w:lineRule="atLeast"/>
              <w:jc w:val="center"/>
              <w:outlineLvl w:val="9"/>
              <w:rPr>
                <w:rFonts w:ascii="宋体" w:hAnsi="宋体" w:cs="宋体"/>
                <w:b/>
                <w:color w:val="auto"/>
                <w:sz w:val="24"/>
              </w:rPr>
            </w:pPr>
            <w:r>
              <w:rPr>
                <w:rFonts w:hint="eastAsia" w:ascii="宋体" w:hAnsi="宋体" w:cs="宋体"/>
                <w:b/>
                <w:color w:val="auto"/>
                <w:sz w:val="24"/>
              </w:rPr>
              <w:t>页码位置</w:t>
            </w:r>
          </w:p>
        </w:tc>
      </w:tr>
      <w:tr w14:paraId="2AC5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840251">
            <w:pPr>
              <w:kinsoku/>
              <w:wordWrap/>
              <w:overflowPunct/>
              <w:topLinePunct w:val="0"/>
              <w:bidi w:val="0"/>
              <w:jc w:val="center"/>
              <w:outlineLvl w:val="9"/>
              <w:rPr>
                <w:rFonts w:ascii="宋体" w:hAnsi="宋体" w:cs="宋体"/>
                <w:color w:val="auto"/>
                <w:sz w:val="24"/>
              </w:rPr>
            </w:pPr>
            <w:r>
              <w:rPr>
                <w:rFonts w:hint="eastAsia" w:ascii="宋体" w:hAnsi="宋体" w:cs="宋体"/>
                <w:color w:val="auto"/>
                <w:sz w:val="24"/>
              </w:rPr>
              <w:t>1</w:t>
            </w:r>
          </w:p>
        </w:tc>
        <w:tc>
          <w:tcPr>
            <w:tcW w:w="4303" w:type="dxa"/>
            <w:vAlign w:val="center"/>
          </w:tcPr>
          <w:p w14:paraId="77850C91">
            <w:pPr>
              <w:kinsoku/>
              <w:wordWrap/>
              <w:overflowPunct/>
              <w:topLinePunct w:val="0"/>
              <w:bidi w:val="0"/>
              <w:spacing w:line="360" w:lineRule="auto"/>
              <w:jc w:val="both"/>
              <w:outlineLvl w:val="9"/>
              <w:rPr>
                <w:rFonts w:ascii="宋体" w:hAnsi="宋体" w:cs="宋体"/>
                <w:color w:val="auto"/>
                <w:sz w:val="24"/>
              </w:rPr>
            </w:pPr>
            <w:r>
              <w:rPr>
                <w:rFonts w:hint="eastAsia" w:ascii="宋体" w:hAnsi="宋体" w:cs="宋体"/>
                <w:color w:val="auto"/>
                <w:sz w:val="24"/>
              </w:rPr>
              <w:t>投标文件按照招标文件要求签署、盖章。</w:t>
            </w:r>
          </w:p>
        </w:tc>
        <w:tc>
          <w:tcPr>
            <w:tcW w:w="3239" w:type="dxa"/>
            <w:vAlign w:val="center"/>
          </w:tcPr>
          <w:p w14:paraId="61B3C46F">
            <w:pPr>
              <w:kinsoku/>
              <w:wordWrap/>
              <w:overflowPunct/>
              <w:topLinePunct w:val="0"/>
              <w:bidi w:val="0"/>
              <w:jc w:val="both"/>
              <w:outlineLvl w:val="9"/>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center"/>
          </w:tcPr>
          <w:p w14:paraId="0BD92394">
            <w:pPr>
              <w:kinsoku/>
              <w:wordWrap/>
              <w:overflowPunct/>
              <w:topLinePunct w:val="0"/>
              <w:bidi w:val="0"/>
              <w:jc w:val="both"/>
              <w:outlineLvl w:val="9"/>
              <w:rPr>
                <w:rFonts w:ascii="宋体" w:hAnsi="宋体" w:cs="宋体"/>
                <w:color w:val="auto"/>
                <w:sz w:val="24"/>
              </w:rPr>
            </w:pPr>
            <w:r>
              <w:rPr>
                <w:rFonts w:hint="eastAsia" w:ascii="宋体" w:hAnsi="宋体" w:cs="宋体"/>
                <w:color w:val="auto"/>
                <w:sz w:val="24"/>
              </w:rPr>
              <w:t>见投标文件</w:t>
            </w:r>
          </w:p>
          <w:p w14:paraId="4906EB51">
            <w:pPr>
              <w:kinsoku/>
              <w:wordWrap/>
              <w:overflowPunct/>
              <w:topLinePunct w:val="0"/>
              <w:bidi w:val="0"/>
              <w:jc w:val="both"/>
              <w:outlineLvl w:val="9"/>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64D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682BFB">
            <w:pPr>
              <w:kinsoku/>
              <w:wordWrap/>
              <w:overflowPunct/>
              <w:topLinePunct w:val="0"/>
              <w:bidi w:val="0"/>
              <w:jc w:val="center"/>
              <w:outlineLvl w:val="9"/>
              <w:rPr>
                <w:rFonts w:ascii="宋体" w:hAnsi="宋体" w:cs="宋体"/>
                <w:color w:val="auto"/>
                <w:sz w:val="24"/>
              </w:rPr>
            </w:pPr>
            <w:r>
              <w:rPr>
                <w:rFonts w:hint="eastAsia" w:ascii="宋体" w:hAnsi="宋体" w:cs="宋体"/>
                <w:color w:val="auto"/>
                <w:sz w:val="24"/>
              </w:rPr>
              <w:t>2</w:t>
            </w:r>
          </w:p>
        </w:tc>
        <w:tc>
          <w:tcPr>
            <w:tcW w:w="4303" w:type="dxa"/>
            <w:vAlign w:val="center"/>
          </w:tcPr>
          <w:p w14:paraId="2FE708AF">
            <w:pPr>
              <w:kinsoku/>
              <w:wordWrap/>
              <w:overflowPunct/>
              <w:topLinePunct w:val="0"/>
              <w:bidi w:val="0"/>
              <w:spacing w:line="360" w:lineRule="auto"/>
              <w:jc w:val="both"/>
              <w:outlineLvl w:val="9"/>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3239" w:type="dxa"/>
            <w:vAlign w:val="center"/>
          </w:tcPr>
          <w:p w14:paraId="6D45DF2D">
            <w:pPr>
              <w:kinsoku/>
              <w:wordWrap/>
              <w:overflowPunct/>
              <w:topLinePunct w:val="0"/>
              <w:bidi w:val="0"/>
              <w:jc w:val="both"/>
              <w:outlineLvl w:val="9"/>
              <w:rPr>
                <w:rFonts w:ascii="宋体" w:hAnsi="宋体" w:cs="宋体"/>
                <w:color w:val="auto"/>
                <w:sz w:val="24"/>
              </w:rPr>
            </w:pPr>
            <w:r>
              <w:rPr>
                <w:rFonts w:hint="eastAsia" w:ascii="宋体" w:hAnsi="宋体" w:cs="宋体"/>
                <w:color w:val="auto"/>
                <w:sz w:val="24"/>
              </w:rPr>
              <w:t>投标函</w:t>
            </w:r>
          </w:p>
        </w:tc>
        <w:tc>
          <w:tcPr>
            <w:tcW w:w="1418" w:type="dxa"/>
            <w:vAlign w:val="center"/>
          </w:tcPr>
          <w:p w14:paraId="7CE7EAFE">
            <w:pPr>
              <w:kinsoku/>
              <w:wordWrap/>
              <w:overflowPunct/>
              <w:topLinePunct w:val="0"/>
              <w:bidi w:val="0"/>
              <w:jc w:val="both"/>
              <w:outlineLvl w:val="9"/>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240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A3506C">
            <w:pPr>
              <w:kinsoku/>
              <w:wordWrap/>
              <w:overflowPunct/>
              <w:topLinePunct w:val="0"/>
              <w:bidi w:val="0"/>
              <w:jc w:val="center"/>
              <w:outlineLvl w:val="9"/>
              <w:rPr>
                <w:rFonts w:ascii="宋体" w:hAnsi="宋体" w:cs="宋体"/>
                <w:color w:val="auto"/>
                <w:sz w:val="24"/>
              </w:rPr>
            </w:pPr>
            <w:r>
              <w:rPr>
                <w:rFonts w:hint="eastAsia" w:ascii="宋体" w:hAnsi="宋体" w:cs="宋体"/>
                <w:color w:val="auto"/>
                <w:sz w:val="24"/>
              </w:rPr>
              <w:t>3</w:t>
            </w:r>
          </w:p>
        </w:tc>
        <w:tc>
          <w:tcPr>
            <w:tcW w:w="4303" w:type="dxa"/>
            <w:vAlign w:val="center"/>
          </w:tcPr>
          <w:p w14:paraId="269795E1">
            <w:pPr>
              <w:kinsoku/>
              <w:wordWrap/>
              <w:overflowPunct/>
              <w:topLinePunct w:val="0"/>
              <w:bidi w:val="0"/>
              <w:spacing w:line="360" w:lineRule="auto"/>
              <w:jc w:val="both"/>
              <w:outlineLvl w:val="9"/>
              <w:rPr>
                <w:rFonts w:ascii="宋体" w:hAnsi="宋体" w:cs="宋体"/>
                <w:color w:val="auto"/>
                <w:sz w:val="24"/>
              </w:rPr>
            </w:pPr>
            <w:r>
              <w:rPr>
                <w:rFonts w:hint="eastAsia" w:ascii="宋体" w:hAnsi="宋体" w:cs="宋体"/>
                <w:color w:val="auto"/>
                <w:sz w:val="24"/>
              </w:rPr>
              <w:t>投标文件满足招标文件的其它实质性要求。</w:t>
            </w:r>
          </w:p>
        </w:tc>
        <w:tc>
          <w:tcPr>
            <w:tcW w:w="3239" w:type="dxa"/>
            <w:vAlign w:val="center"/>
          </w:tcPr>
          <w:p w14:paraId="57828F81">
            <w:pPr>
              <w:kinsoku/>
              <w:wordWrap/>
              <w:overflowPunct/>
              <w:topLinePunct w:val="0"/>
              <w:bidi w:val="0"/>
              <w:jc w:val="both"/>
              <w:outlineLvl w:val="9"/>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center"/>
          </w:tcPr>
          <w:p w14:paraId="0E468870">
            <w:pPr>
              <w:kinsoku/>
              <w:wordWrap/>
              <w:overflowPunct/>
              <w:topLinePunct w:val="0"/>
              <w:bidi w:val="0"/>
              <w:jc w:val="both"/>
              <w:outlineLvl w:val="9"/>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13F3579D">
      <w:pPr>
        <w:kinsoku/>
        <w:wordWrap/>
        <w:overflowPunct/>
        <w:topLinePunct w:val="0"/>
        <w:bidi w:val="0"/>
        <w:spacing w:line="360" w:lineRule="auto"/>
        <w:ind w:right="420"/>
        <w:outlineLvl w:val="9"/>
        <w:rPr>
          <w:rFonts w:ascii="宋体" w:hAnsi="宋体" w:cs="宋体"/>
          <w:color w:val="auto"/>
          <w:sz w:val="24"/>
        </w:rPr>
      </w:pPr>
      <w:r>
        <w:rPr>
          <w:rFonts w:hint="eastAsia" w:ascii="宋体" w:hAnsi="宋体" w:cs="宋体"/>
          <w:color w:val="auto"/>
          <w:sz w:val="24"/>
        </w:rPr>
        <w:t>注：按本格式和要求提供。</w:t>
      </w:r>
    </w:p>
    <w:p w14:paraId="6A27DC47">
      <w:pPr>
        <w:kinsoku/>
        <w:wordWrap/>
        <w:overflowPunct/>
        <w:topLinePunct w:val="0"/>
        <w:bidi w:val="0"/>
        <w:jc w:val="center"/>
        <w:outlineLvl w:val="9"/>
        <w:rPr>
          <w:rFonts w:ascii="宋体" w:hAnsi="宋体" w:cs="宋体"/>
          <w:b/>
          <w:color w:val="auto"/>
          <w:kern w:val="0"/>
          <w:sz w:val="32"/>
          <w:szCs w:val="32"/>
        </w:rPr>
      </w:pPr>
    </w:p>
    <w:p w14:paraId="74EEE629">
      <w:pPr>
        <w:kinsoku/>
        <w:wordWrap/>
        <w:overflowPunct/>
        <w:topLinePunct w:val="0"/>
        <w:bidi w:val="0"/>
        <w:jc w:val="center"/>
        <w:outlineLvl w:val="9"/>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25CB7D6E">
      <w:pPr>
        <w:kinsoku/>
        <w:wordWrap/>
        <w:overflowPunct/>
        <w:topLinePunct w:val="0"/>
        <w:bidi w:val="0"/>
        <w:jc w:val="center"/>
        <w:outlineLvl w:val="9"/>
        <w:rPr>
          <w:rFonts w:ascii="宋体" w:hAnsi="宋体" w:cs="宋体"/>
          <w:b/>
          <w:color w:val="auto"/>
          <w:kern w:val="0"/>
          <w:sz w:val="32"/>
          <w:szCs w:val="32"/>
        </w:rPr>
      </w:pPr>
    </w:p>
    <w:p w14:paraId="227ED35C">
      <w:pPr>
        <w:kinsoku/>
        <w:wordWrap/>
        <w:overflowPunct/>
        <w:topLinePunct w:val="0"/>
        <w:bidi w:val="0"/>
        <w:jc w:val="center"/>
        <w:outlineLvl w:val="9"/>
        <w:rPr>
          <w:rFonts w:ascii="宋体" w:hAnsi="宋体" w:cs="宋体"/>
          <w:b/>
          <w:color w:val="auto"/>
          <w:kern w:val="0"/>
          <w:sz w:val="32"/>
          <w:szCs w:val="32"/>
        </w:rPr>
      </w:pPr>
    </w:p>
    <w:p w14:paraId="70A288C3">
      <w:pPr>
        <w:kinsoku/>
        <w:wordWrap/>
        <w:overflowPunct/>
        <w:topLinePunct w:val="0"/>
        <w:bidi w:val="0"/>
        <w:jc w:val="center"/>
        <w:outlineLvl w:val="9"/>
        <w:rPr>
          <w:rFonts w:ascii="宋体" w:hAnsi="宋体" w:cs="宋体"/>
          <w:b/>
          <w:color w:val="auto"/>
          <w:kern w:val="0"/>
          <w:sz w:val="32"/>
          <w:szCs w:val="32"/>
        </w:rPr>
      </w:pPr>
    </w:p>
    <w:p w14:paraId="48014CCF">
      <w:pPr>
        <w:kinsoku/>
        <w:wordWrap/>
        <w:overflowPunct/>
        <w:topLinePunct w:val="0"/>
        <w:bidi w:val="0"/>
        <w:jc w:val="center"/>
        <w:outlineLvl w:val="9"/>
        <w:rPr>
          <w:rFonts w:ascii="宋体" w:hAnsi="宋体" w:cs="宋体"/>
          <w:b/>
          <w:color w:val="auto"/>
          <w:kern w:val="0"/>
          <w:sz w:val="32"/>
          <w:szCs w:val="32"/>
        </w:rPr>
      </w:pPr>
    </w:p>
    <w:p w14:paraId="10F214C6">
      <w:pPr>
        <w:widowControl/>
        <w:kinsoku/>
        <w:wordWrap/>
        <w:overflowPunct/>
        <w:topLinePunct w:val="0"/>
        <w:bidi w:val="0"/>
        <w:adjustRightInd/>
        <w:jc w:val="left"/>
        <w:outlineLvl w:val="9"/>
        <w:rPr>
          <w:rFonts w:ascii="宋体" w:hAnsi="宋体" w:cs="宋体"/>
          <w:b/>
          <w:color w:val="auto"/>
          <w:kern w:val="0"/>
          <w:sz w:val="32"/>
          <w:szCs w:val="32"/>
        </w:rPr>
      </w:pPr>
      <w:r>
        <w:rPr>
          <w:rFonts w:ascii="宋体" w:hAnsi="宋体" w:cs="宋体"/>
          <w:b/>
          <w:color w:val="auto"/>
          <w:kern w:val="0"/>
          <w:sz w:val="32"/>
          <w:szCs w:val="32"/>
        </w:rPr>
        <w:br w:type="page"/>
      </w:r>
    </w:p>
    <w:p w14:paraId="68E300D0">
      <w:pPr>
        <w:kinsoku/>
        <w:wordWrap/>
        <w:overflowPunct/>
        <w:topLinePunct w:val="0"/>
        <w:bidi w:val="0"/>
        <w:jc w:val="center"/>
        <w:outlineLvl w:val="9"/>
        <w:rPr>
          <w:rFonts w:ascii="宋体" w:hAnsi="宋体" w:cs="宋体"/>
          <w:color w:val="auto"/>
        </w:rPr>
      </w:pPr>
      <w:r>
        <w:rPr>
          <w:rFonts w:hint="eastAsia" w:ascii="宋体" w:hAnsi="宋体" w:cs="宋体"/>
          <w:b/>
          <w:color w:val="auto"/>
          <w:kern w:val="0"/>
          <w:sz w:val="32"/>
          <w:szCs w:val="32"/>
        </w:rPr>
        <w:t>五、评标标准相应的商务技术资料</w:t>
      </w:r>
    </w:p>
    <w:p w14:paraId="3820DC3C">
      <w:pPr>
        <w:kinsoku/>
        <w:wordWrap/>
        <w:overflowPunct/>
        <w:topLinePunct w:val="0"/>
        <w:bidi w:val="0"/>
        <w:snapToGrid w:val="0"/>
        <w:spacing w:line="360" w:lineRule="auto"/>
        <w:jc w:val="left"/>
        <w:outlineLvl w:val="9"/>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31D0F86A">
      <w:pPr>
        <w:kinsoku/>
        <w:wordWrap/>
        <w:overflowPunct/>
        <w:topLinePunct w:val="0"/>
        <w:bidi w:val="0"/>
        <w:jc w:val="center"/>
        <w:outlineLvl w:val="9"/>
        <w:rPr>
          <w:rFonts w:ascii="宋体" w:hAnsi="宋体" w:cs="宋体"/>
          <w:b/>
          <w:color w:val="auto"/>
          <w:kern w:val="0"/>
          <w:sz w:val="32"/>
          <w:szCs w:val="32"/>
        </w:rPr>
      </w:pPr>
    </w:p>
    <w:p w14:paraId="6C271639">
      <w:pPr>
        <w:kinsoku/>
        <w:wordWrap/>
        <w:overflowPunct/>
        <w:topLinePunct w:val="0"/>
        <w:bidi w:val="0"/>
        <w:jc w:val="center"/>
        <w:outlineLvl w:val="9"/>
        <w:rPr>
          <w:rFonts w:ascii="宋体" w:hAnsi="宋体" w:cs="宋体"/>
          <w:b/>
          <w:color w:val="auto"/>
          <w:kern w:val="0"/>
          <w:sz w:val="32"/>
          <w:szCs w:val="32"/>
        </w:rPr>
      </w:pPr>
    </w:p>
    <w:p w14:paraId="3E5A430C">
      <w:pPr>
        <w:kinsoku/>
        <w:wordWrap/>
        <w:overflowPunct/>
        <w:topLinePunct w:val="0"/>
        <w:bidi w:val="0"/>
        <w:jc w:val="center"/>
        <w:outlineLvl w:val="9"/>
        <w:rPr>
          <w:rFonts w:ascii="宋体" w:hAnsi="宋体" w:cs="宋体"/>
          <w:b/>
          <w:color w:val="auto"/>
          <w:kern w:val="0"/>
          <w:sz w:val="32"/>
          <w:szCs w:val="32"/>
        </w:rPr>
      </w:pPr>
    </w:p>
    <w:p w14:paraId="621D8889">
      <w:pPr>
        <w:kinsoku/>
        <w:wordWrap/>
        <w:overflowPunct/>
        <w:topLinePunct w:val="0"/>
        <w:bidi w:val="0"/>
        <w:jc w:val="center"/>
        <w:outlineLvl w:val="9"/>
        <w:rPr>
          <w:rFonts w:ascii="宋体" w:hAnsi="宋体" w:cs="宋体"/>
          <w:b/>
          <w:color w:val="auto"/>
          <w:kern w:val="0"/>
          <w:sz w:val="32"/>
          <w:szCs w:val="32"/>
        </w:rPr>
      </w:pPr>
      <w:r>
        <w:rPr>
          <w:rFonts w:hint="eastAsia" w:ascii="宋体" w:hAnsi="宋体" w:cs="宋体"/>
          <w:b/>
          <w:color w:val="auto"/>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2D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28DC0D">
            <w:pPr>
              <w:kinsoku/>
              <w:wordWrap/>
              <w:overflowPunct/>
              <w:topLinePunct w:val="0"/>
              <w:bidi w:val="0"/>
              <w:jc w:val="center"/>
              <w:outlineLvl w:val="9"/>
              <w:rPr>
                <w:rFonts w:ascii="宋体" w:hAnsi="宋体" w:cs="宋体"/>
                <w:b/>
                <w:bCs/>
                <w:color w:val="auto"/>
                <w:sz w:val="24"/>
              </w:rPr>
            </w:pPr>
            <w:r>
              <w:rPr>
                <w:rFonts w:hint="eastAsia" w:ascii="宋体" w:hAnsi="宋体" w:cs="宋体"/>
                <w:b/>
                <w:bCs/>
                <w:color w:val="auto"/>
                <w:sz w:val="24"/>
              </w:rPr>
              <w:t>序号</w:t>
            </w:r>
          </w:p>
        </w:tc>
        <w:tc>
          <w:tcPr>
            <w:tcW w:w="3683" w:type="dxa"/>
          </w:tcPr>
          <w:p w14:paraId="0C88BA1B">
            <w:pPr>
              <w:kinsoku/>
              <w:wordWrap/>
              <w:overflowPunct/>
              <w:topLinePunct w:val="0"/>
              <w:bidi w:val="0"/>
              <w:jc w:val="center"/>
              <w:outlineLvl w:val="9"/>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314986B1">
            <w:pPr>
              <w:kinsoku/>
              <w:wordWrap/>
              <w:overflowPunct/>
              <w:topLinePunct w:val="0"/>
              <w:bidi w:val="0"/>
              <w:jc w:val="center"/>
              <w:outlineLvl w:val="9"/>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2809459B">
            <w:pPr>
              <w:kinsoku/>
              <w:wordWrap/>
              <w:overflowPunct/>
              <w:topLinePunct w:val="0"/>
              <w:bidi w:val="0"/>
              <w:jc w:val="center"/>
              <w:outlineLvl w:val="9"/>
              <w:rPr>
                <w:rFonts w:ascii="宋体" w:hAnsi="宋体" w:cs="宋体"/>
                <w:b/>
                <w:bCs/>
                <w:color w:val="auto"/>
                <w:sz w:val="24"/>
              </w:rPr>
            </w:pPr>
            <w:r>
              <w:rPr>
                <w:rFonts w:hint="eastAsia" w:ascii="宋体" w:hAnsi="宋体" w:cs="宋体"/>
                <w:b/>
                <w:bCs/>
                <w:color w:val="auto"/>
                <w:sz w:val="24"/>
              </w:rPr>
              <w:t>偏离说明</w:t>
            </w:r>
          </w:p>
        </w:tc>
      </w:tr>
      <w:tr w14:paraId="7E0F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F279E3">
            <w:pPr>
              <w:kinsoku/>
              <w:wordWrap/>
              <w:overflowPunct/>
              <w:topLinePunct w:val="0"/>
              <w:bidi w:val="0"/>
              <w:jc w:val="center"/>
              <w:outlineLvl w:val="9"/>
              <w:rPr>
                <w:rFonts w:ascii="宋体" w:hAnsi="宋体" w:cs="宋体"/>
                <w:color w:val="auto"/>
                <w:kern w:val="0"/>
                <w:sz w:val="24"/>
              </w:rPr>
            </w:pPr>
            <w:r>
              <w:rPr>
                <w:rFonts w:hint="eastAsia" w:ascii="宋体" w:hAnsi="宋体" w:cs="宋体"/>
                <w:color w:val="auto"/>
                <w:kern w:val="0"/>
                <w:sz w:val="24"/>
              </w:rPr>
              <w:t>1</w:t>
            </w:r>
          </w:p>
        </w:tc>
        <w:tc>
          <w:tcPr>
            <w:tcW w:w="3683" w:type="dxa"/>
          </w:tcPr>
          <w:p w14:paraId="1FD40CB1">
            <w:pPr>
              <w:kinsoku/>
              <w:wordWrap/>
              <w:overflowPunct/>
              <w:topLinePunct w:val="0"/>
              <w:bidi w:val="0"/>
              <w:jc w:val="center"/>
              <w:outlineLvl w:val="9"/>
              <w:rPr>
                <w:rFonts w:ascii="宋体" w:hAnsi="宋体" w:cs="宋体"/>
                <w:b/>
                <w:color w:val="auto"/>
                <w:kern w:val="0"/>
                <w:sz w:val="32"/>
                <w:szCs w:val="32"/>
              </w:rPr>
            </w:pPr>
          </w:p>
        </w:tc>
        <w:tc>
          <w:tcPr>
            <w:tcW w:w="3546" w:type="dxa"/>
          </w:tcPr>
          <w:p w14:paraId="74EEC684">
            <w:pPr>
              <w:kinsoku/>
              <w:wordWrap/>
              <w:overflowPunct/>
              <w:topLinePunct w:val="0"/>
              <w:bidi w:val="0"/>
              <w:jc w:val="center"/>
              <w:outlineLvl w:val="9"/>
              <w:rPr>
                <w:rFonts w:ascii="宋体" w:hAnsi="宋体" w:cs="宋体"/>
                <w:b/>
                <w:color w:val="auto"/>
                <w:kern w:val="0"/>
                <w:sz w:val="32"/>
                <w:szCs w:val="32"/>
              </w:rPr>
            </w:pPr>
          </w:p>
        </w:tc>
        <w:tc>
          <w:tcPr>
            <w:tcW w:w="1276" w:type="dxa"/>
          </w:tcPr>
          <w:p w14:paraId="3D02E493">
            <w:pPr>
              <w:kinsoku/>
              <w:wordWrap/>
              <w:overflowPunct/>
              <w:topLinePunct w:val="0"/>
              <w:bidi w:val="0"/>
              <w:jc w:val="center"/>
              <w:outlineLvl w:val="9"/>
              <w:rPr>
                <w:rFonts w:ascii="宋体" w:hAnsi="宋体" w:cs="宋体"/>
                <w:b/>
                <w:color w:val="auto"/>
                <w:kern w:val="0"/>
                <w:sz w:val="32"/>
                <w:szCs w:val="32"/>
              </w:rPr>
            </w:pPr>
          </w:p>
        </w:tc>
      </w:tr>
      <w:tr w14:paraId="03B5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C16D29">
            <w:pPr>
              <w:kinsoku/>
              <w:wordWrap/>
              <w:overflowPunct/>
              <w:topLinePunct w:val="0"/>
              <w:bidi w:val="0"/>
              <w:jc w:val="center"/>
              <w:outlineLvl w:val="9"/>
              <w:rPr>
                <w:rFonts w:ascii="宋体" w:hAnsi="宋体" w:cs="宋体"/>
                <w:color w:val="auto"/>
                <w:kern w:val="0"/>
                <w:sz w:val="24"/>
              </w:rPr>
            </w:pPr>
            <w:r>
              <w:rPr>
                <w:rFonts w:hint="eastAsia" w:ascii="宋体" w:hAnsi="宋体" w:cs="宋体"/>
                <w:color w:val="auto"/>
                <w:kern w:val="0"/>
                <w:sz w:val="24"/>
              </w:rPr>
              <w:t>2</w:t>
            </w:r>
          </w:p>
        </w:tc>
        <w:tc>
          <w:tcPr>
            <w:tcW w:w="3683" w:type="dxa"/>
          </w:tcPr>
          <w:p w14:paraId="53315B85">
            <w:pPr>
              <w:kinsoku/>
              <w:wordWrap/>
              <w:overflowPunct/>
              <w:topLinePunct w:val="0"/>
              <w:bidi w:val="0"/>
              <w:jc w:val="center"/>
              <w:outlineLvl w:val="9"/>
              <w:rPr>
                <w:rFonts w:ascii="宋体" w:hAnsi="宋体" w:cs="宋体"/>
                <w:b/>
                <w:color w:val="auto"/>
                <w:kern w:val="0"/>
                <w:sz w:val="32"/>
                <w:szCs w:val="32"/>
              </w:rPr>
            </w:pPr>
          </w:p>
        </w:tc>
        <w:tc>
          <w:tcPr>
            <w:tcW w:w="3546" w:type="dxa"/>
          </w:tcPr>
          <w:p w14:paraId="7345CBAF">
            <w:pPr>
              <w:kinsoku/>
              <w:wordWrap/>
              <w:overflowPunct/>
              <w:topLinePunct w:val="0"/>
              <w:bidi w:val="0"/>
              <w:jc w:val="center"/>
              <w:outlineLvl w:val="9"/>
              <w:rPr>
                <w:rFonts w:ascii="宋体" w:hAnsi="宋体" w:cs="宋体"/>
                <w:b/>
                <w:color w:val="auto"/>
                <w:kern w:val="0"/>
                <w:sz w:val="32"/>
                <w:szCs w:val="32"/>
              </w:rPr>
            </w:pPr>
          </w:p>
        </w:tc>
        <w:tc>
          <w:tcPr>
            <w:tcW w:w="1276" w:type="dxa"/>
          </w:tcPr>
          <w:p w14:paraId="6C644796">
            <w:pPr>
              <w:kinsoku/>
              <w:wordWrap/>
              <w:overflowPunct/>
              <w:topLinePunct w:val="0"/>
              <w:bidi w:val="0"/>
              <w:jc w:val="center"/>
              <w:outlineLvl w:val="9"/>
              <w:rPr>
                <w:rFonts w:ascii="宋体" w:hAnsi="宋体" w:cs="宋体"/>
                <w:b/>
                <w:color w:val="auto"/>
                <w:kern w:val="0"/>
                <w:sz w:val="32"/>
                <w:szCs w:val="32"/>
              </w:rPr>
            </w:pPr>
          </w:p>
        </w:tc>
      </w:tr>
      <w:tr w14:paraId="75B0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23702F">
            <w:pPr>
              <w:kinsoku/>
              <w:wordWrap/>
              <w:overflowPunct/>
              <w:topLinePunct w:val="0"/>
              <w:bidi w:val="0"/>
              <w:jc w:val="center"/>
              <w:outlineLvl w:val="9"/>
              <w:rPr>
                <w:rFonts w:ascii="宋体" w:hAnsi="宋体" w:cs="宋体"/>
                <w:color w:val="auto"/>
                <w:kern w:val="0"/>
                <w:sz w:val="24"/>
              </w:rPr>
            </w:pPr>
            <w:r>
              <w:rPr>
                <w:rFonts w:hint="eastAsia" w:ascii="宋体" w:hAnsi="宋体" w:cs="宋体"/>
                <w:color w:val="auto"/>
                <w:kern w:val="0"/>
                <w:sz w:val="24"/>
              </w:rPr>
              <w:t>……</w:t>
            </w:r>
          </w:p>
        </w:tc>
        <w:tc>
          <w:tcPr>
            <w:tcW w:w="3683" w:type="dxa"/>
          </w:tcPr>
          <w:p w14:paraId="785E542B">
            <w:pPr>
              <w:kinsoku/>
              <w:wordWrap/>
              <w:overflowPunct/>
              <w:topLinePunct w:val="0"/>
              <w:bidi w:val="0"/>
              <w:jc w:val="center"/>
              <w:outlineLvl w:val="9"/>
              <w:rPr>
                <w:rFonts w:ascii="宋体" w:hAnsi="宋体" w:cs="宋体"/>
                <w:b/>
                <w:color w:val="auto"/>
                <w:kern w:val="0"/>
                <w:sz w:val="32"/>
                <w:szCs w:val="32"/>
              </w:rPr>
            </w:pPr>
          </w:p>
        </w:tc>
        <w:tc>
          <w:tcPr>
            <w:tcW w:w="3546" w:type="dxa"/>
          </w:tcPr>
          <w:p w14:paraId="7CF8360A">
            <w:pPr>
              <w:kinsoku/>
              <w:wordWrap/>
              <w:overflowPunct/>
              <w:topLinePunct w:val="0"/>
              <w:bidi w:val="0"/>
              <w:jc w:val="center"/>
              <w:outlineLvl w:val="9"/>
              <w:rPr>
                <w:rFonts w:ascii="宋体" w:hAnsi="宋体" w:cs="宋体"/>
                <w:b/>
                <w:color w:val="auto"/>
                <w:kern w:val="0"/>
                <w:sz w:val="32"/>
                <w:szCs w:val="32"/>
              </w:rPr>
            </w:pPr>
          </w:p>
        </w:tc>
        <w:tc>
          <w:tcPr>
            <w:tcW w:w="1276" w:type="dxa"/>
          </w:tcPr>
          <w:p w14:paraId="64E6CF8E">
            <w:pPr>
              <w:kinsoku/>
              <w:wordWrap/>
              <w:overflowPunct/>
              <w:topLinePunct w:val="0"/>
              <w:bidi w:val="0"/>
              <w:jc w:val="center"/>
              <w:outlineLvl w:val="9"/>
              <w:rPr>
                <w:rFonts w:ascii="宋体" w:hAnsi="宋体" w:cs="宋体"/>
                <w:b/>
                <w:color w:val="auto"/>
                <w:kern w:val="0"/>
                <w:sz w:val="32"/>
                <w:szCs w:val="32"/>
              </w:rPr>
            </w:pPr>
          </w:p>
        </w:tc>
      </w:tr>
    </w:tbl>
    <w:p w14:paraId="674FA767">
      <w:pPr>
        <w:kinsoku/>
        <w:wordWrap/>
        <w:overflowPunct/>
        <w:topLinePunct w:val="0"/>
        <w:bidi w:val="0"/>
        <w:jc w:val="left"/>
        <w:outlineLvl w:val="9"/>
        <w:rPr>
          <w:rFonts w:ascii="宋体" w:hAnsi="宋体" w:cs="宋体"/>
          <w:color w:val="auto"/>
          <w:kern w:val="0"/>
          <w:sz w:val="24"/>
        </w:rPr>
      </w:pPr>
      <w:r>
        <w:rPr>
          <w:rFonts w:hint="eastAsia" w:ascii="宋体" w:hAnsi="宋体" w:cs="宋体"/>
          <w:color w:val="auto"/>
          <w:kern w:val="0"/>
          <w:sz w:val="24"/>
          <w:lang w:eastAsia="zh-CN"/>
        </w:rPr>
        <w:t>供应商</w:t>
      </w:r>
      <w:r>
        <w:rPr>
          <w:rFonts w:hint="eastAsia" w:ascii="宋体" w:hAnsi="宋体" w:cs="宋体"/>
          <w:color w:val="auto"/>
          <w:kern w:val="0"/>
          <w:sz w:val="24"/>
        </w:rPr>
        <w:t>保证：除商务技术偏离表列出的偏离外，</w:t>
      </w:r>
      <w:r>
        <w:rPr>
          <w:rFonts w:hint="eastAsia" w:ascii="宋体" w:hAnsi="宋体" w:cs="宋体"/>
          <w:color w:val="auto"/>
          <w:kern w:val="0"/>
          <w:sz w:val="24"/>
          <w:lang w:eastAsia="zh-CN"/>
        </w:rPr>
        <w:t>供应商</w:t>
      </w:r>
      <w:r>
        <w:rPr>
          <w:rFonts w:hint="eastAsia" w:ascii="宋体" w:hAnsi="宋体" w:cs="宋体"/>
          <w:color w:val="auto"/>
          <w:kern w:val="0"/>
          <w:sz w:val="24"/>
        </w:rPr>
        <w:t>响应招标文件的全部要求</w:t>
      </w:r>
    </w:p>
    <w:p w14:paraId="5130BB50">
      <w:pPr>
        <w:kinsoku/>
        <w:wordWrap/>
        <w:overflowPunct/>
        <w:topLinePunct w:val="0"/>
        <w:bidi w:val="0"/>
        <w:jc w:val="center"/>
        <w:outlineLvl w:val="9"/>
        <w:rPr>
          <w:rFonts w:ascii="宋体" w:hAnsi="宋体" w:cs="宋体"/>
          <w:b/>
          <w:color w:val="auto"/>
          <w:kern w:val="0"/>
          <w:sz w:val="32"/>
          <w:szCs w:val="32"/>
        </w:rPr>
      </w:pPr>
    </w:p>
    <w:p w14:paraId="7EF4722E">
      <w:pPr>
        <w:kinsoku/>
        <w:wordWrap/>
        <w:overflowPunct/>
        <w:topLinePunct w:val="0"/>
        <w:bidi w:val="0"/>
        <w:spacing w:line="360" w:lineRule="auto"/>
        <w:ind w:right="420"/>
        <w:outlineLvl w:val="9"/>
        <w:rPr>
          <w:rFonts w:ascii="宋体" w:hAnsi="宋体" w:cs="宋体"/>
          <w:color w:val="auto"/>
          <w:sz w:val="24"/>
        </w:rPr>
      </w:pPr>
      <w:r>
        <w:rPr>
          <w:rFonts w:hint="eastAsia" w:ascii="宋体" w:hAnsi="宋体" w:cs="宋体"/>
          <w:color w:val="auto"/>
          <w:sz w:val="24"/>
        </w:rPr>
        <w:t>注：按本格式和要求提供。</w:t>
      </w:r>
    </w:p>
    <w:p w14:paraId="4CD20ECC">
      <w:pPr>
        <w:kinsoku/>
        <w:wordWrap/>
        <w:overflowPunct/>
        <w:topLinePunct w:val="0"/>
        <w:bidi w:val="0"/>
        <w:ind w:firstLine="1911" w:firstLineChars="595"/>
        <w:outlineLvl w:val="9"/>
        <w:rPr>
          <w:rFonts w:ascii="宋体" w:hAnsi="宋体" w:cs="宋体"/>
          <w:b/>
          <w:bCs/>
          <w:color w:val="auto"/>
          <w:sz w:val="32"/>
          <w:szCs w:val="32"/>
        </w:rPr>
      </w:pPr>
    </w:p>
    <w:p w14:paraId="30F6A4EB">
      <w:pPr>
        <w:kinsoku/>
        <w:wordWrap/>
        <w:overflowPunct/>
        <w:topLinePunct w:val="0"/>
        <w:bidi w:val="0"/>
        <w:ind w:firstLine="1911" w:firstLineChars="595"/>
        <w:outlineLvl w:val="9"/>
        <w:rPr>
          <w:rFonts w:ascii="宋体" w:hAnsi="宋体" w:cs="宋体"/>
          <w:b/>
          <w:bCs/>
          <w:color w:val="auto"/>
          <w:sz w:val="32"/>
          <w:szCs w:val="32"/>
        </w:rPr>
      </w:pPr>
    </w:p>
    <w:p w14:paraId="1996066D">
      <w:pPr>
        <w:kinsoku/>
        <w:wordWrap/>
        <w:overflowPunct/>
        <w:topLinePunct w:val="0"/>
        <w:bidi w:val="0"/>
        <w:ind w:firstLine="1911" w:firstLineChars="595"/>
        <w:outlineLvl w:val="9"/>
        <w:rPr>
          <w:rFonts w:ascii="宋体" w:hAnsi="宋体" w:cs="宋体"/>
          <w:b/>
          <w:bCs/>
          <w:color w:val="auto"/>
          <w:sz w:val="32"/>
          <w:szCs w:val="32"/>
        </w:rPr>
      </w:pPr>
    </w:p>
    <w:p w14:paraId="72F25542">
      <w:pPr>
        <w:kinsoku/>
        <w:wordWrap/>
        <w:overflowPunct/>
        <w:topLinePunct w:val="0"/>
        <w:bidi w:val="0"/>
        <w:ind w:firstLine="1911" w:firstLineChars="595"/>
        <w:outlineLvl w:val="9"/>
        <w:rPr>
          <w:rFonts w:ascii="宋体" w:hAnsi="宋体" w:cs="宋体"/>
          <w:b/>
          <w:bCs/>
          <w:color w:val="auto"/>
          <w:sz w:val="32"/>
          <w:szCs w:val="32"/>
        </w:rPr>
      </w:pPr>
    </w:p>
    <w:p w14:paraId="537CC2D1">
      <w:pPr>
        <w:kinsoku/>
        <w:wordWrap/>
        <w:overflowPunct/>
        <w:topLinePunct w:val="0"/>
        <w:bidi w:val="0"/>
        <w:ind w:firstLine="1911" w:firstLineChars="595"/>
        <w:outlineLvl w:val="9"/>
        <w:rPr>
          <w:rFonts w:ascii="宋体" w:hAnsi="宋体" w:cs="宋体"/>
          <w:b/>
          <w:bCs/>
          <w:color w:val="auto"/>
          <w:sz w:val="32"/>
          <w:szCs w:val="32"/>
        </w:rPr>
      </w:pPr>
    </w:p>
    <w:p w14:paraId="2A276466">
      <w:pPr>
        <w:widowControl/>
        <w:kinsoku/>
        <w:wordWrap/>
        <w:overflowPunct/>
        <w:topLinePunct w:val="0"/>
        <w:bidi w:val="0"/>
        <w:adjustRightInd/>
        <w:jc w:val="left"/>
        <w:outlineLvl w:val="9"/>
        <w:rPr>
          <w:rFonts w:ascii="宋体" w:hAnsi="宋体" w:cs="宋体"/>
          <w:b/>
          <w:bCs/>
          <w:color w:val="auto"/>
          <w:sz w:val="32"/>
          <w:szCs w:val="32"/>
        </w:rPr>
      </w:pPr>
      <w:r>
        <w:rPr>
          <w:rFonts w:ascii="宋体" w:hAnsi="宋体" w:cs="宋体"/>
          <w:b/>
          <w:bCs/>
          <w:color w:val="auto"/>
          <w:sz w:val="32"/>
          <w:szCs w:val="32"/>
        </w:rPr>
        <w:br w:type="page"/>
      </w:r>
    </w:p>
    <w:p w14:paraId="169E9800">
      <w:pPr>
        <w:kinsoku/>
        <w:wordWrap/>
        <w:overflowPunct/>
        <w:topLinePunct w:val="0"/>
        <w:bidi w:val="0"/>
        <w:ind w:firstLine="1911" w:firstLineChars="595"/>
        <w:outlineLvl w:val="9"/>
        <w:rPr>
          <w:rFonts w:ascii="宋体" w:hAnsi="宋体" w:cs="宋体"/>
          <w:b/>
          <w:color w:val="auto"/>
          <w:kern w:val="0"/>
          <w:sz w:val="32"/>
          <w:szCs w:val="32"/>
        </w:rPr>
      </w:pPr>
      <w:r>
        <w:rPr>
          <w:rFonts w:hint="eastAsia" w:ascii="宋体" w:hAnsi="宋体" w:cs="宋体"/>
          <w:b/>
          <w:bCs/>
          <w:color w:val="auto"/>
          <w:sz w:val="32"/>
          <w:szCs w:val="32"/>
          <w:lang w:eastAsia="zh-CN"/>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A802A00">
      <w:pPr>
        <w:kinsoku/>
        <w:wordWrap/>
        <w:overflowPunct/>
        <w:topLinePunct w:val="0"/>
        <w:bidi w:val="0"/>
        <w:snapToGrid w:val="0"/>
        <w:spacing w:line="360" w:lineRule="auto"/>
        <w:outlineLvl w:val="9"/>
        <w:rPr>
          <w:rFonts w:ascii="宋体" w:hAnsi="宋体" w:cs="宋体"/>
          <w:color w:val="auto"/>
          <w:sz w:val="24"/>
        </w:rPr>
      </w:pPr>
    </w:p>
    <w:p w14:paraId="588EE699">
      <w:pPr>
        <w:kinsoku/>
        <w:wordWrap/>
        <w:overflowPunct/>
        <w:topLinePunct w:val="0"/>
        <w:bidi w:val="0"/>
        <w:snapToGrid w:val="0"/>
        <w:spacing w:line="360" w:lineRule="auto"/>
        <w:outlineLvl w:val="9"/>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B283922">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7366E9CF">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EF3471B">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7F99053">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9DF204E">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7E6F87AB">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A849FC0">
      <w:pPr>
        <w:kinsoku/>
        <w:wordWrap/>
        <w:overflowPunct/>
        <w:topLinePunct w:val="0"/>
        <w:autoSpaceDE w:val="0"/>
        <w:autoSpaceDN w:val="0"/>
        <w:bidi w:val="0"/>
        <w:spacing w:line="360" w:lineRule="auto"/>
        <w:jc w:val="left"/>
        <w:outlineLvl w:val="9"/>
        <w:rPr>
          <w:rFonts w:ascii="宋体" w:hAnsi="宋体" w:cs="宋体"/>
          <w:color w:val="auto"/>
          <w:kern w:val="0"/>
          <w:sz w:val="24"/>
          <w:lang w:val="zh-CN"/>
        </w:rPr>
      </w:pPr>
      <w:r>
        <w:rPr>
          <w:rFonts w:hint="eastAsia" w:ascii="宋体" w:hAnsi="宋体" w:cs="宋体"/>
          <w:color w:val="auto"/>
          <w:kern w:val="0"/>
          <w:sz w:val="24"/>
          <w:lang w:val="zh-CN"/>
        </w:rPr>
        <w:t>好处；</w:t>
      </w:r>
    </w:p>
    <w:p w14:paraId="68E9F3BE">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3679B9C">
      <w:pPr>
        <w:kinsoku/>
        <w:wordWrap/>
        <w:overflowPunct/>
        <w:topLinePunct w:val="0"/>
        <w:autoSpaceDE w:val="0"/>
        <w:autoSpaceDN w:val="0"/>
        <w:bidi w:val="0"/>
        <w:spacing w:line="360" w:lineRule="auto"/>
        <w:jc w:val="left"/>
        <w:outlineLvl w:val="9"/>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C7B8229">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06DA5043">
      <w:pPr>
        <w:kinsoku/>
        <w:wordWrap/>
        <w:overflowPunct/>
        <w:topLinePunct w:val="0"/>
        <w:autoSpaceDE w:val="0"/>
        <w:autoSpaceDN w:val="0"/>
        <w:bidi w:val="0"/>
        <w:spacing w:line="360" w:lineRule="auto"/>
        <w:ind w:left="2"/>
        <w:jc w:val="left"/>
        <w:outlineLvl w:val="9"/>
        <w:rPr>
          <w:rFonts w:ascii="宋体" w:hAnsi="宋体" w:cs="宋体"/>
          <w:color w:val="auto"/>
          <w:kern w:val="0"/>
          <w:sz w:val="24"/>
          <w:lang w:val="zh-CN"/>
        </w:rPr>
      </w:pPr>
    </w:p>
    <w:p w14:paraId="1FA02A8D">
      <w:pPr>
        <w:kinsoku/>
        <w:wordWrap/>
        <w:overflowPunct/>
        <w:topLinePunct w:val="0"/>
        <w:autoSpaceDE w:val="0"/>
        <w:autoSpaceDN w:val="0"/>
        <w:bidi w:val="0"/>
        <w:spacing w:line="360" w:lineRule="auto"/>
        <w:ind w:left="2"/>
        <w:jc w:val="left"/>
        <w:outlineLvl w:val="9"/>
        <w:rPr>
          <w:rFonts w:ascii="宋体" w:hAnsi="宋体" w:cs="宋体"/>
          <w:color w:val="auto"/>
          <w:kern w:val="0"/>
          <w:sz w:val="24"/>
          <w:lang w:val="zh-CN"/>
        </w:rPr>
      </w:pPr>
    </w:p>
    <w:p w14:paraId="124617A6">
      <w:pPr>
        <w:kinsoku/>
        <w:wordWrap/>
        <w:overflowPunct/>
        <w:topLinePunct w:val="0"/>
        <w:autoSpaceDE w:val="0"/>
        <w:autoSpaceDN w:val="0"/>
        <w:bidi w:val="0"/>
        <w:spacing w:line="360" w:lineRule="auto"/>
        <w:ind w:left="2"/>
        <w:jc w:val="left"/>
        <w:outlineLvl w:val="9"/>
        <w:rPr>
          <w:rFonts w:ascii="宋体" w:hAnsi="宋体" w:cs="宋体"/>
          <w:color w:val="auto"/>
          <w:kern w:val="0"/>
          <w:sz w:val="24"/>
          <w:lang w:val="zh-CN"/>
        </w:rPr>
      </w:pPr>
    </w:p>
    <w:p w14:paraId="42813246">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sz w:val="24"/>
          <w:lang w:val="en-US" w:eastAsia="zh-CN"/>
        </w:rPr>
        <w:t>/盖章</w:t>
      </w:r>
      <w:r>
        <w:rPr>
          <w:rFonts w:hint="eastAsia" w:ascii="宋体" w:hAnsi="宋体" w:cs="宋体"/>
          <w:color w:val="auto"/>
          <w:kern w:val="0"/>
          <w:sz w:val="24"/>
          <w:lang w:val="zh-CN"/>
        </w:rPr>
        <w:t xml:space="preserve">）：                                                                                                                                                                                                               </w:t>
      </w:r>
    </w:p>
    <w:p w14:paraId="2578D147">
      <w:pPr>
        <w:kinsoku/>
        <w:wordWrap/>
        <w:overflowPunct/>
        <w:topLinePunct w:val="0"/>
        <w:bidi w:val="0"/>
        <w:spacing w:line="360" w:lineRule="auto"/>
        <w:ind w:left="4620" w:leftChars="2200"/>
        <w:outlineLvl w:val="9"/>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645573D">
      <w:pPr>
        <w:kinsoku/>
        <w:wordWrap/>
        <w:overflowPunct/>
        <w:topLinePunct w:val="0"/>
        <w:bidi w:val="0"/>
        <w:spacing w:line="360" w:lineRule="auto"/>
        <w:jc w:val="center"/>
        <w:outlineLvl w:val="9"/>
        <w:rPr>
          <w:rFonts w:ascii="宋体" w:hAnsi="宋体" w:cs="宋体"/>
          <w:b/>
          <w:bCs/>
          <w:color w:val="auto"/>
          <w:sz w:val="24"/>
        </w:rPr>
      </w:pPr>
    </w:p>
    <w:p w14:paraId="49DF96C2">
      <w:pPr>
        <w:kinsoku/>
        <w:wordWrap/>
        <w:overflowPunct/>
        <w:topLinePunct w:val="0"/>
        <w:bidi w:val="0"/>
        <w:spacing w:line="360" w:lineRule="auto"/>
        <w:ind w:right="420"/>
        <w:outlineLvl w:val="9"/>
        <w:rPr>
          <w:rFonts w:ascii="宋体" w:hAnsi="宋体" w:cs="宋体"/>
          <w:color w:val="auto"/>
          <w:sz w:val="24"/>
        </w:rPr>
      </w:pPr>
      <w:r>
        <w:rPr>
          <w:rFonts w:hint="eastAsia" w:ascii="宋体" w:hAnsi="宋体" w:cs="宋体"/>
          <w:color w:val="auto"/>
          <w:sz w:val="24"/>
        </w:rPr>
        <w:t>注：按本格式和要求提供。</w:t>
      </w:r>
    </w:p>
    <w:p w14:paraId="5080E89B">
      <w:pPr>
        <w:kinsoku/>
        <w:wordWrap/>
        <w:overflowPunct/>
        <w:topLinePunct w:val="0"/>
        <w:bidi w:val="0"/>
        <w:spacing w:line="360" w:lineRule="auto"/>
        <w:jc w:val="center"/>
        <w:outlineLvl w:val="9"/>
        <w:rPr>
          <w:rFonts w:ascii="宋体" w:hAnsi="宋体" w:cs="宋体"/>
          <w:b/>
          <w:bCs/>
          <w:color w:val="auto"/>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5D65664C">
      <w:pPr>
        <w:kinsoku/>
        <w:wordWrap/>
        <w:overflowPunct/>
        <w:topLinePunct w:val="0"/>
        <w:bidi w:val="0"/>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4A487226">
      <w:pPr>
        <w:kinsoku/>
        <w:wordWrap/>
        <w:overflowPunct/>
        <w:topLinePunct w:val="0"/>
        <w:bidi w:val="0"/>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7BAC9FC8">
      <w:pPr>
        <w:kinsoku/>
        <w:wordWrap/>
        <w:overflowPunct/>
        <w:topLinePunct w:val="0"/>
        <w:bidi w:val="0"/>
        <w:spacing w:line="360" w:lineRule="auto"/>
        <w:jc w:val="center"/>
        <w:outlineLvl w:val="9"/>
        <w:rPr>
          <w:rFonts w:ascii="宋体" w:hAnsi="宋体" w:cs="宋体"/>
          <w:b/>
          <w:color w:val="auto"/>
          <w:kern w:val="0"/>
          <w:sz w:val="36"/>
          <w:szCs w:val="36"/>
        </w:rPr>
      </w:pPr>
    </w:p>
    <w:p w14:paraId="6C114AC5">
      <w:pPr>
        <w:kinsoku/>
        <w:wordWrap/>
        <w:overflowPunct/>
        <w:topLinePunct w:val="0"/>
        <w:bidi w:val="0"/>
        <w:snapToGrid w:val="0"/>
        <w:spacing w:line="360" w:lineRule="auto"/>
        <w:outlineLvl w:val="9"/>
        <w:rPr>
          <w:rFonts w:ascii="宋体" w:hAnsi="宋体" w:cs="宋体"/>
          <w:color w:val="auto"/>
          <w:sz w:val="24"/>
        </w:rPr>
      </w:pPr>
      <w:r>
        <w:rPr>
          <w:rFonts w:hint="eastAsia" w:ascii="宋体" w:hAnsi="宋体" w:cs="宋体"/>
          <w:color w:val="auto"/>
          <w:sz w:val="24"/>
        </w:rPr>
        <w:t>（1）开标一览表（报价表）</w:t>
      </w:r>
      <w:r>
        <w:rPr>
          <w:rFonts w:hint="eastAsia" w:ascii="宋体" w:hAnsi="宋体" w:cs="宋体"/>
          <w:color w:val="auto"/>
          <w:sz w:val="24"/>
          <w:lang w:val="en-US" w:eastAsia="zh-CN"/>
        </w:rPr>
        <w:t>、投标分项报价表</w:t>
      </w:r>
      <w:r>
        <w:rPr>
          <w:rFonts w:hint="eastAsia" w:ascii="宋体" w:hAnsi="宋体" w:cs="宋体"/>
          <w:color w:val="auto"/>
          <w:sz w:val="24"/>
        </w:rPr>
        <w:t>…………………………………（页码）</w:t>
      </w:r>
    </w:p>
    <w:p w14:paraId="51EB7D98">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156FF6FF">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2C07457E">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4EB83D38">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50175ECB">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72194A5C">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56BC77CE">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68410356">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178C1CE7">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12F8EF49">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0625BA2D">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76964E62">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22E61E34">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43291AAD">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2E25CE07">
      <w:pPr>
        <w:kinsoku/>
        <w:wordWrap/>
        <w:overflowPunct/>
        <w:topLinePunct w:val="0"/>
        <w:bidi w:val="0"/>
        <w:snapToGrid w:val="0"/>
        <w:spacing w:line="360" w:lineRule="auto"/>
        <w:ind w:right="480"/>
        <w:jc w:val="center"/>
        <w:outlineLvl w:val="9"/>
        <w:rPr>
          <w:rFonts w:ascii="宋体" w:hAnsi="宋体" w:cs="宋体"/>
          <w:b/>
          <w:color w:val="auto"/>
          <w:kern w:val="0"/>
          <w:sz w:val="32"/>
          <w:szCs w:val="32"/>
        </w:rPr>
      </w:pPr>
    </w:p>
    <w:p w14:paraId="09D08ACE">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20C39E1A">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rPr>
      </w:pPr>
      <w:bookmarkStart w:id="554" w:name="_Toc26425"/>
      <w:bookmarkStart w:id="555" w:name="_Toc18859"/>
      <w:r>
        <w:rPr>
          <w:rFonts w:hint="eastAsia" w:ascii="宋体" w:hAnsi="宋体" w:eastAsia="宋体" w:cs="宋体"/>
          <w:color w:val="auto"/>
          <w:kern w:val="2"/>
          <w:sz w:val="32"/>
          <w:szCs w:val="32"/>
        </w:rPr>
        <w:t>一、开标一览表（报价表）</w:t>
      </w:r>
      <w:bookmarkEnd w:id="554"/>
      <w:bookmarkEnd w:id="555"/>
      <w:r>
        <w:rPr>
          <w:rFonts w:hint="eastAsia" w:ascii="宋体" w:hAnsi="宋体" w:eastAsia="宋体" w:cs="宋体"/>
          <w:color w:val="auto"/>
          <w:kern w:val="2"/>
          <w:sz w:val="32"/>
          <w:szCs w:val="32"/>
          <w:lang w:val="en-US" w:eastAsia="zh-CN"/>
        </w:rPr>
        <w:t>、投标分项报价表</w:t>
      </w:r>
    </w:p>
    <w:p w14:paraId="2E1114B8">
      <w:pPr>
        <w:kinsoku/>
        <w:wordWrap/>
        <w:overflowPunct/>
        <w:topLinePunct w:val="0"/>
        <w:bidi w:val="0"/>
        <w:snapToGrid w:val="0"/>
        <w:spacing w:line="360" w:lineRule="auto"/>
        <w:outlineLvl w:val="9"/>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C71D2E3">
      <w:pPr>
        <w:kinsoku/>
        <w:wordWrap/>
        <w:overflowPunct/>
        <w:topLinePunct w:val="0"/>
        <w:bidi w:val="0"/>
        <w:snapToGrid w:val="0"/>
        <w:spacing w:line="360" w:lineRule="auto"/>
        <w:ind w:firstLine="482"/>
        <w:outlineLvl w:val="9"/>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582C2E3C">
      <w:pPr>
        <w:kinsoku/>
        <w:wordWrap/>
        <w:overflowPunct/>
        <w:topLinePunct w:val="0"/>
        <w:bidi w:val="0"/>
        <w:spacing w:line="360" w:lineRule="auto"/>
        <w:jc w:val="center"/>
        <w:outlineLvl w:val="9"/>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09D5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0B9552B0">
            <w:pPr>
              <w:widowControl/>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9C37BDF">
            <w:pPr>
              <w:widowControl/>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02149EDF">
            <w:pPr>
              <w:widowControl/>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合同履约期限</w:t>
            </w:r>
            <w:r>
              <w:rPr>
                <w:rFonts w:hint="eastAsia" w:ascii="宋体" w:hAnsi="宋体" w:cs="宋体"/>
                <w:b/>
                <w:bCs/>
                <w:color w:val="auto"/>
                <w:kern w:val="0"/>
                <w:sz w:val="24"/>
                <w:szCs w:val="24"/>
                <w:highlight w:val="none"/>
                <w:lang w:val="en-US" w:eastAsia="zh-CN"/>
              </w:rPr>
              <w:t>（工期）</w:t>
            </w:r>
          </w:p>
        </w:tc>
      </w:tr>
      <w:tr w14:paraId="49E4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0CAE5A34">
            <w:pPr>
              <w:widowControl/>
              <w:adjustRightIn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1CD96324">
            <w:pPr>
              <w:widowControl/>
              <w:adjustRightInd/>
              <w:spacing w:line="360" w:lineRule="auto"/>
              <w:jc w:val="center"/>
              <w:rPr>
                <w:rFonts w:hint="eastAsia" w:ascii="宋体" w:hAnsi="宋体" w:eastAsia="宋体" w:cs="宋体"/>
                <w:color w:val="auto"/>
                <w:kern w:val="0"/>
                <w:sz w:val="24"/>
                <w:szCs w:val="24"/>
                <w:highlight w:val="none"/>
              </w:rPr>
            </w:pPr>
          </w:p>
        </w:tc>
        <w:tc>
          <w:tcPr>
            <w:tcW w:w="5776" w:type="dxa"/>
            <w:tcBorders>
              <w:top w:val="single" w:color="auto" w:sz="4" w:space="0"/>
              <w:left w:val="single" w:color="auto" w:sz="4" w:space="0"/>
              <w:bottom w:val="single" w:color="auto" w:sz="4" w:space="0"/>
              <w:right w:val="single" w:color="auto" w:sz="4" w:space="0"/>
            </w:tcBorders>
            <w:noWrap w:val="0"/>
            <w:vAlign w:val="center"/>
          </w:tcPr>
          <w:p w14:paraId="62A917D3">
            <w:pPr>
              <w:widowControl/>
              <w:adjustRightInd/>
              <w:spacing w:line="360" w:lineRule="auto"/>
              <w:jc w:val="both"/>
              <w:rPr>
                <w:rFonts w:hint="eastAsia" w:ascii="宋体" w:hAnsi="宋体" w:eastAsia="宋体" w:cs="宋体"/>
                <w:bCs/>
                <w:color w:val="auto"/>
                <w:kern w:val="0"/>
                <w:sz w:val="24"/>
                <w:szCs w:val="24"/>
                <w:highlight w:val="none"/>
              </w:rPr>
            </w:pPr>
          </w:p>
        </w:tc>
      </w:tr>
      <w:tr w14:paraId="1EA8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22DB3835">
            <w:pPr>
              <w:widowControl/>
              <w:adjustRightIn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中转站基坑等基础设施维修费</w:t>
            </w:r>
            <w:r>
              <w:rPr>
                <w:rFonts w:hint="eastAsia" w:ascii="宋体" w:hAnsi="宋体" w:cs="宋体"/>
                <w:color w:val="auto"/>
                <w:kern w:val="0"/>
                <w:sz w:val="24"/>
                <w:szCs w:val="24"/>
                <w:highlight w:val="none"/>
                <w:lang w:val="en-US" w:eastAsia="zh-CN"/>
              </w:rPr>
              <w:t>（元）</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218741EF">
            <w:pPr>
              <w:widowControl/>
              <w:adjustRightInd/>
              <w:spacing w:line="360" w:lineRule="auto"/>
              <w:jc w:val="center"/>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288000</w:t>
            </w:r>
            <w:r>
              <w:rPr>
                <w:rFonts w:hint="eastAsia" w:ascii="宋体" w:hAnsi="宋体" w:eastAsia="宋体" w:cs="宋体"/>
                <w:bCs/>
                <w:color w:val="auto"/>
                <w:kern w:val="0"/>
                <w:sz w:val="24"/>
                <w:szCs w:val="24"/>
                <w:highlight w:val="none"/>
                <w:lang w:val="en-US" w:eastAsia="zh-CN"/>
              </w:rPr>
              <w:t>元</w:t>
            </w:r>
          </w:p>
        </w:tc>
      </w:tr>
      <w:tr w14:paraId="44B5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5D2EFC88">
            <w:pPr>
              <w:widowControl/>
              <w:adjustRightInd/>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投标总价</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718F17BC">
            <w:pPr>
              <w:widowControl/>
              <w:adjustRightInd/>
              <w:spacing w:line="360" w:lineRule="auto"/>
              <w:jc w:val="both"/>
              <w:rPr>
                <w:rFonts w:hint="eastAsia" w:ascii="宋体" w:hAnsi="宋体" w:eastAsia="宋体" w:cs="宋体"/>
                <w:bCs/>
                <w:color w:val="auto"/>
                <w:kern w:val="0"/>
                <w:sz w:val="24"/>
                <w:szCs w:val="24"/>
                <w:highlight w:val="none"/>
              </w:rPr>
            </w:pPr>
          </w:p>
        </w:tc>
      </w:tr>
      <w:tr w14:paraId="3E47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35C96BA1">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776" w:type="dxa"/>
            <w:tcBorders>
              <w:top w:val="single" w:color="auto" w:sz="4" w:space="0"/>
              <w:left w:val="single" w:color="auto" w:sz="4" w:space="0"/>
              <w:bottom w:val="single" w:color="auto" w:sz="4" w:space="0"/>
            </w:tcBorders>
            <w:noWrap w:val="0"/>
            <w:vAlign w:val="center"/>
          </w:tcPr>
          <w:p w14:paraId="6EF4C2E7">
            <w:pPr>
              <w:widowControl/>
              <w:adjustRightInd/>
              <w:spacing w:before="240" w:line="360" w:lineRule="auto"/>
              <w:jc w:val="center"/>
              <w:rPr>
                <w:rFonts w:hint="eastAsia" w:ascii="宋体" w:hAnsi="宋体" w:eastAsia="宋体" w:cs="宋体"/>
                <w:color w:val="auto"/>
                <w:kern w:val="0"/>
                <w:sz w:val="24"/>
                <w:szCs w:val="24"/>
                <w:highlight w:val="none"/>
              </w:rPr>
            </w:pPr>
          </w:p>
        </w:tc>
      </w:tr>
    </w:tbl>
    <w:p w14:paraId="6E6C2186">
      <w:pPr>
        <w:kinsoku/>
        <w:wordWrap/>
        <w:overflowPunct/>
        <w:topLinePunct w:val="0"/>
        <w:bidi w:val="0"/>
        <w:snapToGrid w:val="0"/>
        <w:spacing w:line="360" w:lineRule="auto"/>
        <w:ind w:left="480"/>
        <w:outlineLvl w:val="9"/>
        <w:rPr>
          <w:rFonts w:ascii="宋体" w:hAnsi="宋体" w:cs="宋体"/>
          <w:b/>
          <w:color w:val="auto"/>
          <w:kern w:val="0"/>
          <w:sz w:val="24"/>
          <w:lang w:val="zh-CN"/>
        </w:rPr>
      </w:pPr>
      <w:r>
        <w:rPr>
          <w:rFonts w:hint="eastAsia" w:ascii="宋体" w:hAnsi="宋体" w:cs="宋体"/>
          <w:b/>
          <w:color w:val="auto"/>
          <w:kern w:val="0"/>
          <w:sz w:val="24"/>
          <w:lang w:val="zh-CN"/>
        </w:rPr>
        <w:t>注：</w:t>
      </w:r>
    </w:p>
    <w:p w14:paraId="58CA15DD">
      <w:pPr>
        <w:kinsoku/>
        <w:wordWrap/>
        <w:overflowPunct/>
        <w:topLinePunct w:val="0"/>
        <w:bidi w:val="0"/>
        <w:spacing w:line="360" w:lineRule="auto"/>
        <w:ind w:left="-2" w:leftChars="-1" w:firstLine="480" w:firstLineChars="200"/>
        <w:outlineLvl w:val="9"/>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lang w:val="zh-CN" w:eastAsia="zh-CN"/>
        </w:rPr>
        <w:t>中转站基坑等基础设施维修费</w:t>
      </w:r>
      <w:r>
        <w:rPr>
          <w:rFonts w:hint="eastAsia" w:ascii="宋体" w:hAnsi="宋体" w:cs="宋体"/>
          <w:color w:val="auto"/>
          <w:kern w:val="0"/>
          <w:sz w:val="24"/>
          <w:lang w:val="en-US" w:eastAsia="zh-CN"/>
        </w:rPr>
        <w:t>为固定报价，</w:t>
      </w:r>
      <w:r>
        <w:rPr>
          <w:rFonts w:hint="eastAsia" w:ascii="宋体" w:hAnsi="宋体" w:cs="宋体"/>
          <w:color w:val="auto"/>
          <w:kern w:val="0"/>
          <w:sz w:val="24"/>
          <w:lang w:val="zh-CN"/>
        </w:rPr>
        <w:t>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35D47032">
      <w:pPr>
        <w:kinsoku/>
        <w:wordWrap/>
        <w:overflowPunct/>
        <w:topLinePunct w:val="0"/>
        <w:bidi w:val="0"/>
        <w:spacing w:line="360" w:lineRule="auto"/>
        <w:ind w:firstLine="480" w:firstLineChars="200"/>
        <w:outlineLvl w:val="9"/>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4859143B">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583215A0">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1FD6A53">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rPr>
      </w:pPr>
    </w:p>
    <w:p w14:paraId="4E3016A5">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pgNumType w:fmt="decimal"/>
          <w:cols w:space="720" w:num="1"/>
          <w:titlePg/>
          <w:docGrid w:linePitch="312" w:charSpace="0"/>
        </w:sectPr>
      </w:pPr>
    </w:p>
    <w:p w14:paraId="1ED46D9E">
      <w:pPr>
        <w:spacing w:line="360" w:lineRule="auto"/>
        <w:jc w:val="center"/>
        <w:rPr>
          <w:rFonts w:hint="eastAsia" w:ascii="宋体" w:hAnsi="宋体" w:eastAsia="宋体" w:cs="宋体"/>
          <w:b/>
          <w:color w:val="auto"/>
          <w:kern w:val="0"/>
          <w:sz w:val="24"/>
          <w:lang w:val="zh-CN" w:eastAsia="zh-CN"/>
        </w:rPr>
      </w:pPr>
      <w:bookmarkStart w:id="556" w:name="_Toc30621"/>
      <w:bookmarkStart w:id="557" w:name="_Toc25773"/>
      <w:r>
        <w:rPr>
          <w:rFonts w:hint="eastAsia" w:ascii="宋体" w:hAnsi="宋体" w:eastAsia="宋体" w:cs="宋体"/>
          <w:b/>
          <w:color w:val="auto"/>
          <w:kern w:val="0"/>
          <w:sz w:val="24"/>
          <w:lang w:val="zh-CN"/>
        </w:rPr>
        <w:t>投标分项报价表(单位均为人民币元)</w:t>
      </w:r>
    </w:p>
    <w:tbl>
      <w:tblPr>
        <w:tblStyle w:val="62"/>
        <w:tblW w:w="8947" w:type="dxa"/>
        <w:jc w:val="center"/>
        <w:tblLayout w:type="fixed"/>
        <w:tblCellMar>
          <w:top w:w="0" w:type="dxa"/>
          <w:left w:w="108" w:type="dxa"/>
          <w:bottom w:w="0" w:type="dxa"/>
          <w:right w:w="108" w:type="dxa"/>
        </w:tblCellMar>
      </w:tblPr>
      <w:tblGrid>
        <w:gridCol w:w="817"/>
        <w:gridCol w:w="1703"/>
        <w:gridCol w:w="870"/>
        <w:gridCol w:w="1371"/>
        <w:gridCol w:w="1501"/>
        <w:gridCol w:w="1253"/>
        <w:gridCol w:w="1432"/>
      </w:tblGrid>
      <w:tr w14:paraId="5135BD59">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A5448D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703" w:type="dxa"/>
            <w:tcBorders>
              <w:top w:val="single" w:color="auto" w:sz="4" w:space="0"/>
              <w:left w:val="nil"/>
              <w:bottom w:val="single" w:color="auto" w:sz="4" w:space="0"/>
              <w:right w:val="single" w:color="auto" w:sz="4" w:space="0"/>
            </w:tcBorders>
            <w:noWrap w:val="0"/>
            <w:vAlign w:val="center"/>
          </w:tcPr>
          <w:p w14:paraId="4A7CD88D">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C889836">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品牌</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3E31107">
            <w:pPr>
              <w:keepNext w:val="0"/>
              <w:keepLines w:val="0"/>
              <w:pageBreakBefore w:val="0"/>
              <w:widowControl w:val="0"/>
              <w:kinsoku/>
              <w:overflowPunct/>
              <w:topLinePunct w:val="0"/>
              <w:bidi w:val="0"/>
              <w:adjustRightInd/>
              <w:snapToGrid/>
              <w:spacing w:before="50" w:after="50" w:line="360" w:lineRule="auto"/>
              <w:jc w:val="center"/>
              <w:outlineLvl w:val="9"/>
              <w:rPr>
                <w:rFonts w:hint="default"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14:paraId="7768C4F3">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3E6D808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461EF25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金额（元）</w:t>
            </w:r>
          </w:p>
        </w:tc>
      </w:tr>
      <w:tr w14:paraId="2E6D67E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2CA6C9B">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5FDD2E5A">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7799CF3">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084DD64">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C6B48ED">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14:paraId="098EE09D">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14:paraId="28B4AC2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r>
      <w:tr w14:paraId="1DFD5A9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DF97817">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70F37A8B">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4D38EF7">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FC32B6F">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C7EA3C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3788031D">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693D2AA6">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3ECC671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C188B9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0BE2553F">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2541794A">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9A9A039">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E52C278">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31F8D31D">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012B986">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2B882A8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BDBA1A7">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544DD6D7">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717707D">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1C657B8">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EE85FC0">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2C1037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1BF7631">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7D71213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641821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44ECDE6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5DFB4C8">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76C7CB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E68297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37EA575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5AE5640">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3AD61E2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E2CAE40">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2DD6E2B6">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0A8DE45B">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7525501">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2EDD030">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66BA6A8">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3FF60E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7BF6F30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A5AAFA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341922A7">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0389277A">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D2D25A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BCDD64D">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6FC1E9A">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D3BC4F1">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75534A9A">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641FB3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47B74EE8">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5950DFA8">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B1196F7">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986C0A3">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3631363">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5E7E28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2C9F2E06">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71C215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00259CF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5756DE3">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1DC4B8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DAAD867">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FD38BF3">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8FB23E8">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72CD5B45">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F8E0FC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2DA810D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43C71A0">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E93C7FA">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B15CE48">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32CCB963">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ED90B53">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71507C98">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5A87B1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17E8BFC7">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C699B5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6AA08E3">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C88672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C3E4DB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284C27F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161177D6">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14:paraId="6B2A9C10">
            <w:pPr>
              <w:keepNext w:val="0"/>
              <w:keepLines w:val="0"/>
              <w:pageBreakBefore w:val="0"/>
              <w:widowControl w:val="0"/>
              <w:kinsoku/>
              <w:overflowPunct/>
              <w:topLinePunct w:val="0"/>
              <w:bidi w:val="0"/>
              <w:adjustRightInd/>
              <w:snapToGrid/>
              <w:spacing w:before="50" w:after="50" w:line="360" w:lineRule="auto"/>
              <w:jc w:val="center"/>
              <w:outlineLvl w:val="9"/>
              <w:rPr>
                <w:rFonts w:hint="default"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投标总价</w:t>
            </w:r>
          </w:p>
        </w:tc>
        <w:tc>
          <w:tcPr>
            <w:tcW w:w="1432" w:type="dxa"/>
            <w:tcBorders>
              <w:top w:val="single" w:color="auto" w:sz="4" w:space="0"/>
              <w:left w:val="nil"/>
              <w:bottom w:val="single" w:color="auto" w:sz="4" w:space="0"/>
              <w:right w:val="single" w:color="auto" w:sz="4" w:space="0"/>
            </w:tcBorders>
            <w:noWrap w:val="0"/>
            <w:vAlign w:val="center"/>
          </w:tcPr>
          <w:p w14:paraId="483D5400">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bl>
    <w:p w14:paraId="00455DB8">
      <w:pPr>
        <w:widowControl/>
        <w:adjustRightInd/>
        <w:ind w:left="420" w:leftChars="200"/>
        <w:jc w:val="left"/>
        <w:rPr>
          <w:rFonts w:hint="eastAsia" w:ascii="Times New Roman" w:hAnsi="宋体" w:eastAsia="宋体" w:cs="宋体"/>
          <w:color w:val="auto"/>
          <w:kern w:val="0"/>
          <w:szCs w:val="20"/>
          <w:highlight w:val="none"/>
        </w:rPr>
      </w:pPr>
      <w:r>
        <w:rPr>
          <w:rFonts w:hint="eastAsia" w:ascii="Times New Roman" w:hAnsi="宋体" w:eastAsia="宋体" w:cs="宋体"/>
          <w:color w:val="auto"/>
          <w:kern w:val="0"/>
          <w:szCs w:val="20"/>
          <w:highlight w:val="none"/>
        </w:rPr>
        <w:t>备注：本表格供参考，供应商可根据项目实际情况自拟表格。</w:t>
      </w:r>
    </w:p>
    <w:p w14:paraId="1C7355B2">
      <w:pPr>
        <w:spacing w:after="120" w:afterLines="0"/>
        <w:ind w:left="1140" w:leftChars="200" w:hanging="720" w:hangingChars="343"/>
        <w:rPr>
          <w:rFonts w:hint="eastAsia" w:ascii="Times New Roman" w:hAnsi="宋体" w:eastAsia="宋体" w:cs="宋体"/>
          <w:color w:val="auto"/>
          <w:sz w:val="21"/>
          <w:highlight w:val="none"/>
          <w:lang w:val="en-US" w:eastAsia="zh-CN" w:bidi="ar-SA"/>
        </w:rPr>
      </w:pPr>
    </w:p>
    <w:p w14:paraId="3C6A6BFE">
      <w:pPr>
        <w:widowControl/>
        <w:adjustRightInd/>
        <w:jc w:val="left"/>
        <w:rPr>
          <w:rFonts w:hint="eastAsia" w:ascii="Times New Roman" w:hAnsi="Times New Roman" w:eastAsia="宋体" w:cs="Times New Roman"/>
          <w:color w:val="auto"/>
          <w:kern w:val="0"/>
          <w:szCs w:val="20"/>
          <w:highlight w:val="none"/>
        </w:rPr>
      </w:pPr>
    </w:p>
    <w:p w14:paraId="74975308">
      <w:pPr>
        <w:autoSpaceDE w:val="0"/>
        <w:autoSpaceDN w:val="0"/>
        <w:spacing w:line="360" w:lineRule="auto"/>
        <w:ind w:left="2" w:leftChars="1" w:right="1120" w:firstLine="4560" w:firstLineChars="1900"/>
        <w:jc w:val="left"/>
        <w:rPr>
          <w:rFonts w:ascii="宋体" w:hAnsi="宋体" w:eastAsia="宋体" w:cs="宋体"/>
          <w:color w:val="auto"/>
          <w:kern w:val="0"/>
          <w:sz w:val="24"/>
          <w:lang w:val="zh-CN"/>
        </w:rPr>
      </w:pPr>
      <w:r>
        <w:rPr>
          <w:rFonts w:hint="eastAsia" w:ascii="宋体" w:hAnsi="宋体" w:cs="宋体"/>
          <w:color w:val="auto"/>
          <w:kern w:val="0"/>
          <w:sz w:val="24"/>
          <w:lang w:val="zh-CN"/>
        </w:rPr>
        <w:t>供应商</w:t>
      </w:r>
      <w:r>
        <w:rPr>
          <w:rFonts w:hint="eastAsia" w:ascii="宋体" w:hAnsi="宋体" w:eastAsia="宋体" w:cs="宋体"/>
          <w:color w:val="auto"/>
          <w:kern w:val="0"/>
          <w:sz w:val="24"/>
          <w:lang w:val="zh-CN"/>
        </w:rPr>
        <w:t>名称（</w:t>
      </w:r>
      <w:r>
        <w:rPr>
          <w:rFonts w:hint="eastAsia" w:ascii="宋体" w:hAnsi="宋体" w:eastAsia="宋体" w:cs="宋体"/>
          <w:color w:val="auto"/>
          <w:sz w:val="24"/>
        </w:rPr>
        <w:t>电子签名</w:t>
      </w:r>
      <w:r>
        <w:rPr>
          <w:rFonts w:hint="eastAsia" w:ascii="宋体" w:hAnsi="宋体" w:cs="宋体"/>
          <w:color w:val="auto"/>
          <w:sz w:val="24"/>
          <w:lang w:val="en-US" w:eastAsia="zh-CN"/>
        </w:rPr>
        <w:t>/盖章</w:t>
      </w:r>
      <w:r>
        <w:rPr>
          <w:rFonts w:hint="eastAsia" w:ascii="宋体" w:hAnsi="宋体" w:eastAsia="宋体" w:cs="宋体"/>
          <w:color w:val="auto"/>
          <w:kern w:val="0"/>
          <w:sz w:val="24"/>
          <w:lang w:val="zh-CN"/>
        </w:rPr>
        <w:t xml:space="preserve">）：                                                                                                                                                                                                               </w:t>
      </w:r>
    </w:p>
    <w:p w14:paraId="2332B324">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718F3544">
      <w:pPr>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br w:type="page"/>
      </w:r>
    </w:p>
    <w:bookmarkEnd w:id="556"/>
    <w:bookmarkEnd w:id="557"/>
    <w:p w14:paraId="57D43A30">
      <w:pPr>
        <w:kinsoku/>
        <w:wordWrap/>
        <w:overflowPunct/>
        <w:topLinePunct w:val="0"/>
        <w:bidi w:val="0"/>
        <w:spacing w:line="360" w:lineRule="auto"/>
        <w:outlineLvl w:val="9"/>
        <w:rPr>
          <w:rFonts w:ascii="宋体" w:hAnsi="宋体" w:cs="宋体"/>
          <w:b/>
          <w:color w:val="auto"/>
          <w:spacing w:val="6"/>
          <w:sz w:val="32"/>
          <w:szCs w:val="32"/>
        </w:rPr>
      </w:pPr>
      <w:r>
        <w:rPr>
          <w:rFonts w:hint="eastAsia" w:ascii="宋体" w:hAnsi="宋体" w:cs="宋体"/>
          <w:b/>
          <w:color w:val="auto"/>
          <w:spacing w:val="6"/>
          <w:sz w:val="32"/>
          <w:szCs w:val="32"/>
        </w:rPr>
        <w:t>附件1：</w:t>
      </w:r>
    </w:p>
    <w:p w14:paraId="7D0F3B66">
      <w:pPr>
        <w:kinsoku/>
        <w:wordWrap/>
        <w:overflowPunct/>
        <w:topLinePunct w:val="0"/>
        <w:bidi w:val="0"/>
        <w:spacing w:line="360" w:lineRule="auto"/>
        <w:jc w:val="center"/>
        <w:outlineLvl w:val="9"/>
        <w:rPr>
          <w:rFonts w:ascii="宋体" w:hAnsi="宋体" w:cs="宋体"/>
          <w:b/>
          <w:color w:val="auto"/>
          <w:spacing w:val="6"/>
          <w:sz w:val="32"/>
          <w:szCs w:val="32"/>
        </w:rPr>
      </w:pPr>
      <w:bookmarkStart w:id="558" w:name="OLE_LINK13"/>
      <w:bookmarkStart w:id="559" w:name="OLE_LINK14"/>
      <w:r>
        <w:rPr>
          <w:rFonts w:hint="eastAsia" w:ascii="宋体" w:hAnsi="宋体" w:cs="宋体"/>
          <w:b/>
          <w:color w:val="auto"/>
          <w:spacing w:val="6"/>
          <w:sz w:val="32"/>
          <w:szCs w:val="32"/>
        </w:rPr>
        <w:t>残疾人福利性单位声明函</w:t>
      </w:r>
    </w:p>
    <w:bookmarkEnd w:id="558"/>
    <w:bookmarkEnd w:id="559"/>
    <w:p w14:paraId="3B834D1B">
      <w:pPr>
        <w:kinsoku/>
        <w:wordWrap/>
        <w:overflowPunct/>
        <w:topLinePunct w:val="0"/>
        <w:bidi w:val="0"/>
        <w:spacing w:line="360" w:lineRule="auto"/>
        <w:outlineLvl w:val="9"/>
        <w:rPr>
          <w:rFonts w:ascii="宋体" w:hAnsi="宋体" w:cs="宋体"/>
          <w:b/>
          <w:color w:val="auto"/>
          <w:spacing w:val="6"/>
          <w:sz w:val="30"/>
          <w:szCs w:val="30"/>
        </w:rPr>
      </w:pPr>
    </w:p>
    <w:p w14:paraId="7D09E579">
      <w:pPr>
        <w:kinsoku/>
        <w:wordWrap/>
        <w:overflowPunct/>
        <w:topLinePunct w:val="0"/>
        <w:bidi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DD4839A">
      <w:pPr>
        <w:kinsoku/>
        <w:wordWrap/>
        <w:overflowPunct/>
        <w:topLinePunct w:val="0"/>
        <w:bidi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D9AB17A">
      <w:pPr>
        <w:kinsoku/>
        <w:wordWrap/>
        <w:overflowPunct/>
        <w:topLinePunct w:val="0"/>
        <w:bidi w:val="0"/>
        <w:spacing w:line="360" w:lineRule="auto"/>
        <w:ind w:firstLine="480" w:firstLineChars="200"/>
        <w:outlineLvl w:val="9"/>
        <w:rPr>
          <w:rFonts w:ascii="宋体" w:hAnsi="宋体" w:cs="宋体"/>
          <w:color w:val="auto"/>
          <w:sz w:val="24"/>
        </w:rPr>
      </w:pPr>
    </w:p>
    <w:p w14:paraId="57DC5B9D">
      <w:pPr>
        <w:kinsoku/>
        <w:wordWrap/>
        <w:overflowPunct/>
        <w:topLinePunct w:val="0"/>
        <w:bidi w:val="0"/>
        <w:spacing w:line="360" w:lineRule="auto"/>
        <w:ind w:firstLine="480" w:firstLineChars="200"/>
        <w:outlineLvl w:val="9"/>
        <w:rPr>
          <w:rFonts w:ascii="宋体" w:hAnsi="宋体" w:cs="宋体"/>
          <w:color w:val="auto"/>
          <w:sz w:val="24"/>
        </w:rPr>
      </w:pPr>
    </w:p>
    <w:p w14:paraId="60D946B8">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r>
        <w:rPr>
          <w:rFonts w:hint="eastAsia" w:ascii="宋体" w:hAnsi="宋体" w:cs="宋体"/>
          <w:color w:val="auto"/>
          <w:sz w:val="24"/>
        </w:rPr>
        <w:t>：</w:t>
      </w:r>
    </w:p>
    <w:p w14:paraId="253B4197">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rPr>
      </w:pPr>
      <w:r>
        <w:rPr>
          <w:rFonts w:hint="eastAsia" w:ascii="宋体" w:hAnsi="宋体" w:cs="宋体"/>
          <w:color w:val="auto"/>
          <w:sz w:val="24"/>
        </w:rPr>
        <w:t xml:space="preserve">       日  期：</w:t>
      </w:r>
    </w:p>
    <w:p w14:paraId="1847A17C">
      <w:pPr>
        <w:kinsoku/>
        <w:wordWrap/>
        <w:overflowPunct/>
        <w:topLinePunct w:val="0"/>
        <w:bidi w:val="0"/>
        <w:spacing w:line="360" w:lineRule="auto"/>
        <w:ind w:firstLine="480" w:firstLineChars="200"/>
        <w:outlineLvl w:val="9"/>
        <w:rPr>
          <w:rFonts w:ascii="宋体" w:hAnsi="宋体" w:cs="宋体"/>
          <w:color w:val="auto"/>
          <w:sz w:val="24"/>
        </w:rPr>
      </w:pPr>
    </w:p>
    <w:p w14:paraId="6840D976">
      <w:pPr>
        <w:kinsoku/>
        <w:wordWrap/>
        <w:overflowPunct/>
        <w:topLinePunct w:val="0"/>
        <w:bidi w:val="0"/>
        <w:spacing w:line="360" w:lineRule="auto"/>
        <w:ind w:firstLine="420" w:firstLineChars="200"/>
        <w:outlineLvl w:val="9"/>
        <w:rPr>
          <w:rFonts w:ascii="宋体" w:hAnsi="宋体" w:cs="宋体"/>
          <w:color w:val="auto"/>
        </w:rPr>
      </w:pPr>
    </w:p>
    <w:p w14:paraId="0B1C7023">
      <w:pPr>
        <w:kinsoku/>
        <w:wordWrap/>
        <w:overflowPunct/>
        <w:topLinePunct w:val="0"/>
        <w:bidi w:val="0"/>
        <w:spacing w:line="360" w:lineRule="auto"/>
        <w:ind w:firstLine="420" w:firstLineChars="200"/>
        <w:outlineLvl w:val="9"/>
        <w:rPr>
          <w:rFonts w:ascii="宋体" w:hAnsi="宋体" w:cs="宋体"/>
          <w:color w:val="auto"/>
        </w:rPr>
      </w:pPr>
    </w:p>
    <w:p w14:paraId="3191CA40">
      <w:pPr>
        <w:kinsoku/>
        <w:wordWrap/>
        <w:overflowPunct/>
        <w:topLinePunct w:val="0"/>
        <w:bidi w:val="0"/>
        <w:spacing w:line="360" w:lineRule="auto"/>
        <w:ind w:firstLine="420" w:firstLineChars="200"/>
        <w:outlineLvl w:val="9"/>
        <w:rPr>
          <w:rFonts w:ascii="宋体" w:hAnsi="宋体" w:cs="宋体"/>
          <w:color w:val="auto"/>
        </w:rPr>
      </w:pPr>
    </w:p>
    <w:p w14:paraId="7054047B">
      <w:pPr>
        <w:kinsoku/>
        <w:wordWrap/>
        <w:overflowPunct/>
        <w:topLinePunct w:val="0"/>
        <w:bidi w:val="0"/>
        <w:spacing w:line="360" w:lineRule="auto"/>
        <w:ind w:firstLine="420" w:firstLineChars="200"/>
        <w:outlineLvl w:val="9"/>
        <w:rPr>
          <w:rFonts w:ascii="宋体" w:hAnsi="宋体" w:cs="宋体"/>
          <w:color w:val="auto"/>
        </w:rPr>
      </w:pPr>
    </w:p>
    <w:p w14:paraId="7157F776">
      <w:pPr>
        <w:kinsoku/>
        <w:wordWrap/>
        <w:overflowPunct/>
        <w:topLinePunct w:val="0"/>
        <w:bidi w:val="0"/>
        <w:spacing w:line="360" w:lineRule="auto"/>
        <w:outlineLvl w:val="9"/>
        <w:rPr>
          <w:rFonts w:ascii="宋体" w:hAnsi="宋体" w:cs="宋体"/>
          <w:b/>
          <w:color w:val="auto"/>
          <w:sz w:val="24"/>
        </w:rPr>
      </w:pPr>
    </w:p>
    <w:p w14:paraId="21DEA6ED">
      <w:pPr>
        <w:kinsoku/>
        <w:wordWrap/>
        <w:overflowPunct/>
        <w:topLinePunct w:val="0"/>
        <w:bidi w:val="0"/>
        <w:spacing w:line="360" w:lineRule="auto"/>
        <w:outlineLvl w:val="9"/>
        <w:rPr>
          <w:rFonts w:ascii="宋体" w:hAnsi="宋体" w:cs="宋体"/>
          <w:b/>
          <w:color w:val="auto"/>
          <w:sz w:val="24"/>
        </w:rPr>
      </w:pPr>
    </w:p>
    <w:p w14:paraId="47713B4F">
      <w:pPr>
        <w:kinsoku/>
        <w:wordWrap/>
        <w:overflowPunct/>
        <w:topLinePunct w:val="0"/>
        <w:bidi w:val="0"/>
        <w:spacing w:line="360" w:lineRule="auto"/>
        <w:outlineLvl w:val="9"/>
        <w:rPr>
          <w:rFonts w:ascii="宋体" w:hAnsi="宋体" w:cs="宋体"/>
          <w:b/>
          <w:color w:val="auto"/>
          <w:sz w:val="24"/>
        </w:rPr>
      </w:pPr>
    </w:p>
    <w:p w14:paraId="044CFACD">
      <w:pPr>
        <w:kinsoku/>
        <w:wordWrap/>
        <w:overflowPunct/>
        <w:topLinePunct w:val="0"/>
        <w:bidi w:val="0"/>
        <w:spacing w:line="360" w:lineRule="auto"/>
        <w:outlineLvl w:val="9"/>
        <w:rPr>
          <w:rFonts w:ascii="宋体" w:hAnsi="宋体" w:cs="宋体"/>
          <w:b/>
          <w:color w:val="auto"/>
          <w:sz w:val="24"/>
        </w:rPr>
      </w:pPr>
    </w:p>
    <w:p w14:paraId="38AAE548">
      <w:pPr>
        <w:kinsoku/>
        <w:wordWrap/>
        <w:overflowPunct/>
        <w:topLinePunct w:val="0"/>
        <w:bidi w:val="0"/>
        <w:spacing w:line="360" w:lineRule="auto"/>
        <w:outlineLvl w:val="9"/>
        <w:rPr>
          <w:rFonts w:ascii="宋体" w:hAnsi="宋体" w:cs="宋体"/>
          <w:b/>
          <w:color w:val="auto"/>
          <w:sz w:val="24"/>
        </w:rPr>
      </w:pPr>
    </w:p>
    <w:p w14:paraId="6A94AB71">
      <w:pPr>
        <w:kinsoku/>
        <w:wordWrap/>
        <w:overflowPunct/>
        <w:topLinePunct w:val="0"/>
        <w:bidi w:val="0"/>
        <w:spacing w:line="360" w:lineRule="auto"/>
        <w:outlineLvl w:val="9"/>
        <w:rPr>
          <w:rFonts w:ascii="宋体" w:hAnsi="宋体" w:cs="宋体"/>
          <w:b/>
          <w:color w:val="auto"/>
          <w:sz w:val="24"/>
        </w:rPr>
      </w:pPr>
    </w:p>
    <w:p w14:paraId="36BD1921">
      <w:pPr>
        <w:kinsoku/>
        <w:wordWrap/>
        <w:overflowPunct/>
        <w:topLinePunct w:val="0"/>
        <w:bidi w:val="0"/>
        <w:spacing w:line="360" w:lineRule="auto"/>
        <w:outlineLvl w:val="9"/>
        <w:rPr>
          <w:rFonts w:ascii="宋体" w:hAnsi="宋体" w:cs="宋体"/>
          <w:b/>
          <w:color w:val="auto"/>
          <w:sz w:val="24"/>
        </w:rPr>
      </w:pPr>
    </w:p>
    <w:p w14:paraId="49F344A1">
      <w:pPr>
        <w:kinsoku/>
        <w:wordWrap/>
        <w:overflowPunct/>
        <w:topLinePunct w:val="0"/>
        <w:bidi w:val="0"/>
        <w:spacing w:line="360" w:lineRule="auto"/>
        <w:outlineLvl w:val="9"/>
        <w:rPr>
          <w:rFonts w:ascii="宋体" w:hAnsi="宋体" w:cs="宋体"/>
          <w:b/>
          <w:color w:val="auto"/>
          <w:sz w:val="24"/>
        </w:rPr>
      </w:pPr>
    </w:p>
    <w:p w14:paraId="5770A17F">
      <w:pPr>
        <w:kinsoku/>
        <w:wordWrap/>
        <w:overflowPunct/>
        <w:topLinePunct w:val="0"/>
        <w:bidi w:val="0"/>
        <w:spacing w:line="360" w:lineRule="auto"/>
        <w:outlineLvl w:val="9"/>
        <w:rPr>
          <w:rFonts w:ascii="宋体" w:hAnsi="宋体" w:cs="宋体"/>
          <w:b/>
          <w:color w:val="auto"/>
          <w:sz w:val="24"/>
        </w:rPr>
      </w:pPr>
    </w:p>
    <w:p w14:paraId="5D0C3A05">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6FB9D12D">
      <w:pPr>
        <w:kinsoku/>
        <w:wordWrap/>
        <w:overflowPunct/>
        <w:topLinePunct w:val="0"/>
        <w:bidi w:val="0"/>
        <w:spacing w:line="360" w:lineRule="auto"/>
        <w:jc w:val="left"/>
        <w:outlineLvl w:val="9"/>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40F7999F">
      <w:pPr>
        <w:kinsoku/>
        <w:wordWrap/>
        <w:overflowPunct/>
        <w:topLinePunct w:val="0"/>
        <w:bidi w:val="0"/>
        <w:spacing w:line="360" w:lineRule="auto"/>
        <w:jc w:val="center"/>
        <w:outlineLvl w:val="9"/>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CDFE90E">
      <w:pPr>
        <w:kinsoku/>
        <w:wordWrap/>
        <w:overflowPunct/>
        <w:topLinePunct w:val="0"/>
        <w:bidi w:val="0"/>
        <w:snapToGrid w:val="0"/>
        <w:spacing w:before="240" w:beforeLines="100" w:line="360" w:lineRule="auto"/>
        <w:outlineLvl w:val="9"/>
        <w:rPr>
          <w:rFonts w:ascii="宋体" w:hAnsi="宋体" w:cs="宋体"/>
          <w:bCs/>
          <w:color w:val="auto"/>
          <w:sz w:val="24"/>
        </w:rPr>
      </w:pPr>
      <w:r>
        <w:rPr>
          <w:rFonts w:hint="eastAsia" w:ascii="宋体" w:hAnsi="宋体" w:cs="宋体"/>
          <w:bCs/>
          <w:color w:val="auto"/>
          <w:sz w:val="24"/>
        </w:rPr>
        <w:t>一、质疑供应商基本信息</w:t>
      </w:r>
    </w:p>
    <w:p w14:paraId="0776C588">
      <w:pPr>
        <w:kinsoku/>
        <w:wordWrap/>
        <w:overflowPunct/>
        <w:topLinePunct w:val="0"/>
        <w:bidi w:val="0"/>
        <w:snapToGrid w:val="0"/>
        <w:spacing w:line="360" w:lineRule="auto"/>
        <w:outlineLvl w:val="9"/>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C2746E8">
      <w:pPr>
        <w:kinsoku/>
        <w:wordWrap/>
        <w:overflowPunct/>
        <w:topLinePunct w:val="0"/>
        <w:bidi w:val="0"/>
        <w:snapToGrid w:val="0"/>
        <w:spacing w:line="360" w:lineRule="auto"/>
        <w:outlineLvl w:val="9"/>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88BB76D">
      <w:pPr>
        <w:kinsoku/>
        <w:wordWrap/>
        <w:overflowPunct/>
        <w:topLinePunct w:val="0"/>
        <w:bidi w:val="0"/>
        <w:snapToGrid w:val="0"/>
        <w:spacing w:line="360" w:lineRule="auto"/>
        <w:outlineLvl w:val="9"/>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3229E62">
      <w:pPr>
        <w:kinsoku/>
        <w:wordWrap/>
        <w:overflowPunct/>
        <w:topLinePunct w:val="0"/>
        <w:bidi w:val="0"/>
        <w:snapToGrid w:val="0"/>
        <w:spacing w:line="360" w:lineRule="auto"/>
        <w:outlineLvl w:val="9"/>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E04B175">
      <w:pPr>
        <w:kinsoku/>
        <w:wordWrap/>
        <w:overflowPunct/>
        <w:topLinePunct w:val="0"/>
        <w:bidi w:val="0"/>
        <w:snapToGrid w:val="0"/>
        <w:spacing w:line="360" w:lineRule="auto"/>
        <w:outlineLvl w:val="9"/>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31F5DBD">
      <w:pPr>
        <w:kinsoku/>
        <w:wordWrap/>
        <w:overflowPunct/>
        <w:topLinePunct w:val="0"/>
        <w:bidi w:val="0"/>
        <w:snapToGrid w:val="0"/>
        <w:spacing w:line="360" w:lineRule="auto"/>
        <w:outlineLvl w:val="9"/>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109DFCF">
      <w:pPr>
        <w:kinsoku/>
        <w:wordWrap/>
        <w:overflowPunct/>
        <w:topLinePunct w:val="0"/>
        <w:bidi w:val="0"/>
        <w:snapToGrid w:val="0"/>
        <w:spacing w:line="360" w:lineRule="auto"/>
        <w:outlineLvl w:val="9"/>
        <w:rPr>
          <w:rFonts w:ascii="宋体" w:hAnsi="宋体" w:cs="宋体"/>
          <w:bCs/>
          <w:color w:val="auto"/>
          <w:sz w:val="24"/>
        </w:rPr>
      </w:pPr>
      <w:r>
        <w:rPr>
          <w:rFonts w:hint="eastAsia" w:ascii="宋体" w:hAnsi="宋体" w:cs="宋体"/>
          <w:bCs/>
          <w:color w:val="auto"/>
          <w:sz w:val="24"/>
        </w:rPr>
        <w:t>二、质疑项目基本情况</w:t>
      </w:r>
    </w:p>
    <w:p w14:paraId="41A46B11">
      <w:pPr>
        <w:kinsoku/>
        <w:wordWrap/>
        <w:overflowPunct/>
        <w:topLinePunct w:val="0"/>
        <w:bidi w:val="0"/>
        <w:snapToGrid w:val="0"/>
        <w:spacing w:line="360" w:lineRule="auto"/>
        <w:outlineLvl w:val="9"/>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E129501">
      <w:pPr>
        <w:kinsoku/>
        <w:wordWrap/>
        <w:overflowPunct/>
        <w:topLinePunct w:val="0"/>
        <w:bidi w:val="0"/>
        <w:snapToGrid w:val="0"/>
        <w:spacing w:line="360" w:lineRule="auto"/>
        <w:outlineLvl w:val="9"/>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0CC5318">
      <w:pPr>
        <w:kinsoku/>
        <w:wordWrap/>
        <w:overflowPunct/>
        <w:topLinePunct w:val="0"/>
        <w:bidi w:val="0"/>
        <w:snapToGrid w:val="0"/>
        <w:spacing w:line="360" w:lineRule="auto"/>
        <w:outlineLvl w:val="9"/>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77EA9E9">
      <w:pPr>
        <w:kinsoku/>
        <w:wordWrap/>
        <w:overflowPunct/>
        <w:topLinePunct w:val="0"/>
        <w:bidi w:val="0"/>
        <w:snapToGrid w:val="0"/>
        <w:spacing w:line="360" w:lineRule="auto"/>
        <w:outlineLvl w:val="9"/>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38AFBA71">
      <w:pPr>
        <w:kinsoku/>
        <w:wordWrap/>
        <w:overflowPunct/>
        <w:topLinePunct w:val="0"/>
        <w:bidi w:val="0"/>
        <w:snapToGrid w:val="0"/>
        <w:spacing w:line="360" w:lineRule="auto"/>
        <w:outlineLvl w:val="9"/>
        <w:rPr>
          <w:rFonts w:ascii="宋体" w:hAnsi="宋体" w:cs="宋体"/>
          <w:bCs/>
          <w:color w:val="auto"/>
          <w:sz w:val="24"/>
        </w:rPr>
      </w:pPr>
      <w:r>
        <w:rPr>
          <w:rFonts w:hint="eastAsia" w:ascii="宋体" w:hAnsi="宋体" w:cs="宋体"/>
          <w:bCs/>
          <w:color w:val="auto"/>
          <w:sz w:val="24"/>
        </w:rPr>
        <w:t>三、质疑事项具体内容</w:t>
      </w:r>
    </w:p>
    <w:p w14:paraId="60D28B6B">
      <w:pPr>
        <w:kinsoku/>
        <w:wordWrap/>
        <w:overflowPunct/>
        <w:topLinePunct w:val="0"/>
        <w:bidi w:val="0"/>
        <w:snapToGrid w:val="0"/>
        <w:spacing w:line="360" w:lineRule="auto"/>
        <w:outlineLvl w:val="9"/>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2E8DDD99">
      <w:pPr>
        <w:kinsoku/>
        <w:wordWrap/>
        <w:overflowPunct/>
        <w:topLinePunct w:val="0"/>
        <w:bidi w:val="0"/>
        <w:snapToGrid w:val="0"/>
        <w:spacing w:line="360" w:lineRule="auto"/>
        <w:outlineLvl w:val="9"/>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040D361">
      <w:pPr>
        <w:kinsoku/>
        <w:wordWrap/>
        <w:overflowPunct/>
        <w:topLinePunct w:val="0"/>
        <w:bidi w:val="0"/>
        <w:snapToGrid w:val="0"/>
        <w:spacing w:line="360" w:lineRule="auto"/>
        <w:outlineLvl w:val="9"/>
        <w:rPr>
          <w:rFonts w:ascii="宋体" w:hAnsi="宋体" w:cs="宋体"/>
          <w:color w:val="auto"/>
          <w:sz w:val="24"/>
        </w:rPr>
      </w:pPr>
      <w:r>
        <w:rPr>
          <w:rFonts w:hint="eastAsia" w:ascii="宋体" w:hAnsi="宋体" w:cs="宋体"/>
          <w:color w:val="auto"/>
          <w:sz w:val="24"/>
          <w:u w:val="dotted"/>
        </w:rPr>
        <w:t xml:space="preserve">                                                       </w:t>
      </w:r>
    </w:p>
    <w:p w14:paraId="1946F343">
      <w:pPr>
        <w:kinsoku/>
        <w:wordWrap/>
        <w:overflowPunct/>
        <w:topLinePunct w:val="0"/>
        <w:bidi w:val="0"/>
        <w:snapToGrid w:val="0"/>
        <w:spacing w:line="360" w:lineRule="auto"/>
        <w:outlineLvl w:val="9"/>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6793E45">
      <w:pPr>
        <w:kinsoku/>
        <w:wordWrap/>
        <w:overflowPunct/>
        <w:topLinePunct w:val="0"/>
        <w:bidi w:val="0"/>
        <w:snapToGrid w:val="0"/>
        <w:spacing w:line="360" w:lineRule="auto"/>
        <w:outlineLvl w:val="9"/>
        <w:rPr>
          <w:rFonts w:ascii="宋体" w:hAnsi="宋体" w:cs="宋体"/>
          <w:color w:val="auto"/>
          <w:sz w:val="24"/>
          <w:u w:val="dotted"/>
        </w:rPr>
      </w:pPr>
      <w:r>
        <w:rPr>
          <w:rFonts w:hint="eastAsia" w:ascii="宋体" w:hAnsi="宋体" w:cs="宋体"/>
          <w:color w:val="auto"/>
          <w:sz w:val="24"/>
          <w:u w:val="dotted"/>
        </w:rPr>
        <w:t xml:space="preserve">                                                     </w:t>
      </w:r>
    </w:p>
    <w:p w14:paraId="1638B888">
      <w:pPr>
        <w:kinsoku/>
        <w:wordWrap/>
        <w:overflowPunct/>
        <w:topLinePunct w:val="0"/>
        <w:bidi w:val="0"/>
        <w:snapToGrid w:val="0"/>
        <w:spacing w:line="360" w:lineRule="auto"/>
        <w:outlineLvl w:val="9"/>
        <w:rPr>
          <w:rFonts w:ascii="宋体" w:hAnsi="宋体" w:cs="宋体"/>
          <w:color w:val="auto"/>
          <w:sz w:val="24"/>
          <w:u w:val="dotted"/>
        </w:rPr>
      </w:pPr>
      <w:r>
        <w:rPr>
          <w:rFonts w:hint="eastAsia" w:ascii="宋体" w:hAnsi="宋体" w:cs="宋体"/>
          <w:color w:val="auto"/>
          <w:sz w:val="24"/>
        </w:rPr>
        <w:t>质疑事项2</w:t>
      </w:r>
    </w:p>
    <w:p w14:paraId="0EC4F198">
      <w:pPr>
        <w:kinsoku/>
        <w:wordWrap/>
        <w:overflowPunct/>
        <w:topLinePunct w:val="0"/>
        <w:bidi w:val="0"/>
        <w:snapToGrid w:val="0"/>
        <w:spacing w:line="360" w:lineRule="auto"/>
        <w:outlineLvl w:val="9"/>
        <w:rPr>
          <w:rFonts w:ascii="宋体" w:hAnsi="宋体" w:cs="宋体"/>
          <w:color w:val="auto"/>
          <w:sz w:val="24"/>
        </w:rPr>
      </w:pPr>
      <w:r>
        <w:rPr>
          <w:rFonts w:hint="eastAsia" w:ascii="宋体" w:hAnsi="宋体" w:cs="宋体"/>
          <w:color w:val="auto"/>
          <w:sz w:val="24"/>
        </w:rPr>
        <w:t>……</w:t>
      </w:r>
    </w:p>
    <w:p w14:paraId="2ABE1378">
      <w:pPr>
        <w:kinsoku/>
        <w:wordWrap/>
        <w:overflowPunct/>
        <w:topLinePunct w:val="0"/>
        <w:bidi w:val="0"/>
        <w:snapToGrid w:val="0"/>
        <w:spacing w:line="360" w:lineRule="auto"/>
        <w:outlineLvl w:val="9"/>
        <w:rPr>
          <w:rFonts w:ascii="宋体" w:hAnsi="宋体" w:cs="宋体"/>
          <w:bCs/>
          <w:color w:val="auto"/>
          <w:sz w:val="24"/>
        </w:rPr>
      </w:pPr>
      <w:r>
        <w:rPr>
          <w:rFonts w:hint="eastAsia" w:ascii="宋体" w:hAnsi="宋体" w:cs="宋体"/>
          <w:bCs/>
          <w:color w:val="auto"/>
          <w:sz w:val="24"/>
        </w:rPr>
        <w:t>四、与质疑事项相关的质疑请求</w:t>
      </w:r>
    </w:p>
    <w:p w14:paraId="28FB9810">
      <w:pPr>
        <w:kinsoku/>
        <w:wordWrap/>
        <w:overflowPunct/>
        <w:topLinePunct w:val="0"/>
        <w:bidi w:val="0"/>
        <w:snapToGrid w:val="0"/>
        <w:spacing w:line="360" w:lineRule="auto"/>
        <w:outlineLvl w:val="9"/>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AEFB16A">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 xml:space="preserve">签字(签章)：                   公章：                      </w:t>
      </w:r>
    </w:p>
    <w:p w14:paraId="1E67A1F1">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 xml:space="preserve">日期：    </w:t>
      </w:r>
    </w:p>
    <w:p w14:paraId="18E23FE8">
      <w:pPr>
        <w:kinsoku/>
        <w:wordWrap/>
        <w:overflowPunct/>
        <w:topLinePunct w:val="0"/>
        <w:bidi w:val="0"/>
        <w:spacing w:line="360" w:lineRule="auto"/>
        <w:jc w:val="center"/>
        <w:outlineLvl w:val="9"/>
        <w:rPr>
          <w:rFonts w:ascii="宋体" w:hAnsi="宋体" w:cs="宋体"/>
          <w:b/>
          <w:bCs/>
          <w:color w:val="auto"/>
          <w:sz w:val="24"/>
        </w:rPr>
      </w:pPr>
    </w:p>
    <w:p w14:paraId="2B470078">
      <w:pPr>
        <w:kinsoku/>
        <w:wordWrap/>
        <w:overflowPunct/>
        <w:topLinePunct w:val="0"/>
        <w:bidi w:val="0"/>
        <w:spacing w:line="360" w:lineRule="auto"/>
        <w:outlineLvl w:val="9"/>
        <w:rPr>
          <w:rFonts w:ascii="宋体" w:hAnsi="宋体" w:cs="宋体"/>
          <w:b/>
          <w:color w:val="auto"/>
          <w:sz w:val="24"/>
        </w:rPr>
      </w:pPr>
    </w:p>
    <w:p w14:paraId="20B2D84E">
      <w:pPr>
        <w:kinsoku/>
        <w:wordWrap/>
        <w:overflowPunct/>
        <w:topLinePunct w:val="0"/>
        <w:bidi w:val="0"/>
        <w:spacing w:line="360" w:lineRule="auto"/>
        <w:outlineLvl w:val="9"/>
        <w:rPr>
          <w:rFonts w:ascii="宋体" w:hAnsi="宋体" w:cs="宋体"/>
          <w:b/>
          <w:color w:val="auto"/>
          <w:sz w:val="24"/>
        </w:rPr>
      </w:pPr>
    </w:p>
    <w:p w14:paraId="6155CCD9">
      <w:pPr>
        <w:kinsoku/>
        <w:wordWrap/>
        <w:overflowPunct/>
        <w:topLinePunct w:val="0"/>
        <w:bidi w:val="0"/>
        <w:spacing w:line="360" w:lineRule="auto"/>
        <w:outlineLvl w:val="9"/>
        <w:rPr>
          <w:rFonts w:ascii="宋体" w:hAnsi="宋体" w:cs="宋体"/>
          <w:b/>
          <w:color w:val="auto"/>
          <w:sz w:val="24"/>
        </w:rPr>
      </w:pPr>
    </w:p>
    <w:p w14:paraId="5B7B3D40">
      <w:pPr>
        <w:kinsoku/>
        <w:wordWrap/>
        <w:overflowPunct/>
        <w:topLinePunct w:val="0"/>
        <w:bidi w:val="0"/>
        <w:spacing w:line="360" w:lineRule="auto"/>
        <w:outlineLvl w:val="9"/>
        <w:rPr>
          <w:rFonts w:hint="eastAsia" w:ascii="宋体" w:hAnsi="宋体" w:cs="宋体"/>
          <w:b/>
          <w:color w:val="auto"/>
          <w:sz w:val="24"/>
        </w:rPr>
      </w:pPr>
    </w:p>
    <w:p w14:paraId="2CFD2310">
      <w:pPr>
        <w:kinsoku/>
        <w:wordWrap/>
        <w:overflowPunct/>
        <w:topLinePunct w:val="0"/>
        <w:bidi w:val="0"/>
        <w:spacing w:line="360" w:lineRule="auto"/>
        <w:outlineLvl w:val="9"/>
        <w:rPr>
          <w:rFonts w:ascii="宋体" w:hAnsi="宋体" w:cs="宋体"/>
          <w:b/>
          <w:color w:val="auto"/>
          <w:sz w:val="24"/>
        </w:rPr>
      </w:pPr>
      <w:r>
        <w:rPr>
          <w:rFonts w:hint="eastAsia" w:ascii="宋体" w:hAnsi="宋体" w:cs="宋体"/>
          <w:b/>
          <w:color w:val="auto"/>
          <w:sz w:val="24"/>
        </w:rPr>
        <w:t>质疑函制作说明：</w:t>
      </w:r>
    </w:p>
    <w:p w14:paraId="197209CE">
      <w:pPr>
        <w:widowControl/>
        <w:kinsoku/>
        <w:wordWrap/>
        <w:overflowPunct/>
        <w:topLinePunct w:val="0"/>
        <w:bidi w:val="0"/>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1.供应商提出质疑时，应提交质疑函和必要的证明材料。</w:t>
      </w:r>
    </w:p>
    <w:p w14:paraId="095DD3D9">
      <w:pPr>
        <w:widowControl/>
        <w:kinsoku/>
        <w:wordWrap/>
        <w:overflowPunct/>
        <w:topLinePunct w:val="0"/>
        <w:bidi w:val="0"/>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7D6ABFF">
      <w:pPr>
        <w:widowControl/>
        <w:kinsoku/>
        <w:wordWrap/>
        <w:overflowPunct/>
        <w:topLinePunct w:val="0"/>
        <w:bidi w:val="0"/>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41C9766">
      <w:pPr>
        <w:widowControl/>
        <w:kinsoku/>
        <w:wordWrap/>
        <w:overflowPunct/>
        <w:topLinePunct w:val="0"/>
        <w:bidi w:val="0"/>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C8D9586">
      <w:pPr>
        <w:widowControl/>
        <w:kinsoku/>
        <w:wordWrap/>
        <w:overflowPunct/>
        <w:topLinePunct w:val="0"/>
        <w:bidi w:val="0"/>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5.质疑函的质疑请求应与质疑事项相关。</w:t>
      </w:r>
    </w:p>
    <w:p w14:paraId="5DB46DED">
      <w:pPr>
        <w:widowControl/>
        <w:kinsoku/>
        <w:wordWrap/>
        <w:overflowPunct/>
        <w:topLinePunct w:val="0"/>
        <w:bidi w:val="0"/>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1634DB60">
      <w:pPr>
        <w:widowControl/>
        <w:kinsoku/>
        <w:wordWrap/>
        <w:overflowPunct/>
        <w:topLinePunct w:val="0"/>
        <w:bidi w:val="0"/>
        <w:spacing w:line="360" w:lineRule="auto"/>
        <w:ind w:firstLine="600" w:firstLineChars="200"/>
        <w:jc w:val="left"/>
        <w:outlineLvl w:val="9"/>
        <w:rPr>
          <w:rFonts w:ascii="宋体" w:hAnsi="宋体" w:cs="宋体"/>
          <w:color w:val="auto"/>
          <w:sz w:val="30"/>
          <w:szCs w:val="30"/>
        </w:rPr>
      </w:pPr>
    </w:p>
    <w:p w14:paraId="262BF8F2">
      <w:pPr>
        <w:kinsoku/>
        <w:wordWrap/>
        <w:overflowPunct/>
        <w:topLinePunct w:val="0"/>
        <w:bidi w:val="0"/>
        <w:spacing w:line="360" w:lineRule="auto"/>
        <w:jc w:val="center"/>
        <w:outlineLvl w:val="9"/>
        <w:rPr>
          <w:rFonts w:ascii="宋体" w:hAnsi="宋体" w:cs="宋体"/>
          <w:b/>
          <w:color w:val="auto"/>
          <w:spacing w:val="6"/>
          <w:sz w:val="32"/>
          <w:szCs w:val="32"/>
        </w:rPr>
      </w:pPr>
    </w:p>
    <w:p w14:paraId="210D1FC1">
      <w:pPr>
        <w:kinsoku/>
        <w:wordWrap/>
        <w:overflowPunct/>
        <w:topLinePunct w:val="0"/>
        <w:bidi w:val="0"/>
        <w:spacing w:line="360" w:lineRule="auto"/>
        <w:jc w:val="center"/>
        <w:outlineLvl w:val="9"/>
        <w:rPr>
          <w:rFonts w:ascii="宋体" w:hAnsi="宋体" w:cs="宋体"/>
          <w:b/>
          <w:color w:val="auto"/>
          <w:spacing w:val="6"/>
          <w:sz w:val="32"/>
          <w:szCs w:val="32"/>
        </w:rPr>
      </w:pPr>
    </w:p>
    <w:p w14:paraId="1ADAE205">
      <w:pPr>
        <w:kinsoku/>
        <w:wordWrap/>
        <w:overflowPunct/>
        <w:topLinePunct w:val="0"/>
        <w:bidi w:val="0"/>
        <w:spacing w:line="360" w:lineRule="auto"/>
        <w:jc w:val="center"/>
        <w:outlineLvl w:val="9"/>
        <w:rPr>
          <w:rFonts w:ascii="宋体" w:hAnsi="宋体" w:cs="宋体"/>
          <w:b/>
          <w:color w:val="auto"/>
          <w:spacing w:val="6"/>
          <w:sz w:val="32"/>
          <w:szCs w:val="32"/>
        </w:rPr>
      </w:pPr>
    </w:p>
    <w:p w14:paraId="0CDC24C7">
      <w:pPr>
        <w:kinsoku/>
        <w:wordWrap/>
        <w:overflowPunct/>
        <w:topLinePunct w:val="0"/>
        <w:bidi w:val="0"/>
        <w:spacing w:line="360" w:lineRule="auto"/>
        <w:jc w:val="center"/>
        <w:outlineLvl w:val="9"/>
        <w:rPr>
          <w:rFonts w:ascii="宋体" w:hAnsi="宋体" w:cs="宋体"/>
          <w:b/>
          <w:color w:val="auto"/>
          <w:spacing w:val="6"/>
          <w:sz w:val="32"/>
          <w:szCs w:val="32"/>
        </w:rPr>
      </w:pPr>
    </w:p>
    <w:p w14:paraId="6FE598CF">
      <w:pPr>
        <w:kinsoku/>
        <w:wordWrap/>
        <w:overflowPunct/>
        <w:topLinePunct w:val="0"/>
        <w:bidi w:val="0"/>
        <w:spacing w:line="360" w:lineRule="auto"/>
        <w:jc w:val="center"/>
        <w:outlineLvl w:val="9"/>
        <w:rPr>
          <w:rFonts w:ascii="宋体" w:hAnsi="宋体" w:cs="宋体"/>
          <w:b/>
          <w:color w:val="auto"/>
          <w:spacing w:val="6"/>
          <w:sz w:val="32"/>
          <w:szCs w:val="32"/>
        </w:rPr>
      </w:pPr>
    </w:p>
    <w:p w14:paraId="4BB479BC">
      <w:pPr>
        <w:kinsoku/>
        <w:wordWrap/>
        <w:overflowPunct/>
        <w:topLinePunct w:val="0"/>
        <w:bidi w:val="0"/>
        <w:spacing w:line="360" w:lineRule="auto"/>
        <w:jc w:val="center"/>
        <w:outlineLvl w:val="9"/>
        <w:rPr>
          <w:rFonts w:ascii="宋体" w:hAnsi="宋体" w:cs="宋体"/>
          <w:b/>
          <w:color w:val="auto"/>
          <w:spacing w:val="6"/>
          <w:sz w:val="32"/>
          <w:szCs w:val="32"/>
        </w:rPr>
      </w:pPr>
    </w:p>
    <w:p w14:paraId="5A8331B2">
      <w:pPr>
        <w:kinsoku/>
        <w:wordWrap/>
        <w:overflowPunct/>
        <w:topLinePunct w:val="0"/>
        <w:bidi w:val="0"/>
        <w:spacing w:line="360" w:lineRule="auto"/>
        <w:jc w:val="center"/>
        <w:outlineLvl w:val="9"/>
        <w:rPr>
          <w:rFonts w:ascii="宋体" w:hAnsi="宋体" w:cs="宋体"/>
          <w:b/>
          <w:color w:val="auto"/>
          <w:spacing w:val="6"/>
          <w:sz w:val="32"/>
          <w:szCs w:val="32"/>
        </w:rPr>
      </w:pPr>
    </w:p>
    <w:p w14:paraId="65A3F3A9">
      <w:pPr>
        <w:kinsoku/>
        <w:wordWrap/>
        <w:overflowPunct/>
        <w:topLinePunct w:val="0"/>
        <w:bidi w:val="0"/>
        <w:spacing w:line="360" w:lineRule="auto"/>
        <w:jc w:val="center"/>
        <w:outlineLvl w:val="9"/>
        <w:rPr>
          <w:rFonts w:ascii="宋体" w:hAnsi="宋体" w:cs="宋体"/>
          <w:b/>
          <w:color w:val="auto"/>
          <w:spacing w:val="6"/>
          <w:sz w:val="32"/>
          <w:szCs w:val="32"/>
        </w:rPr>
      </w:pPr>
    </w:p>
    <w:p w14:paraId="151A4DD2">
      <w:pPr>
        <w:kinsoku/>
        <w:wordWrap/>
        <w:overflowPunct/>
        <w:topLinePunct w:val="0"/>
        <w:bidi w:val="0"/>
        <w:spacing w:line="360" w:lineRule="auto"/>
        <w:jc w:val="center"/>
        <w:outlineLvl w:val="9"/>
        <w:rPr>
          <w:rFonts w:ascii="宋体" w:hAnsi="宋体" w:cs="宋体"/>
          <w:b/>
          <w:color w:val="auto"/>
          <w:spacing w:val="6"/>
          <w:sz w:val="32"/>
          <w:szCs w:val="32"/>
        </w:rPr>
      </w:pPr>
    </w:p>
    <w:p w14:paraId="72B0915E">
      <w:pPr>
        <w:kinsoku/>
        <w:wordWrap/>
        <w:overflowPunct/>
        <w:topLinePunct w:val="0"/>
        <w:bidi w:val="0"/>
        <w:spacing w:line="360" w:lineRule="auto"/>
        <w:jc w:val="center"/>
        <w:outlineLvl w:val="9"/>
        <w:rPr>
          <w:rFonts w:ascii="宋体" w:hAnsi="宋体" w:cs="宋体"/>
          <w:b/>
          <w:color w:val="auto"/>
          <w:spacing w:val="6"/>
          <w:sz w:val="32"/>
          <w:szCs w:val="32"/>
        </w:rPr>
      </w:pPr>
    </w:p>
    <w:p w14:paraId="3E6381BD">
      <w:pPr>
        <w:kinsoku/>
        <w:wordWrap/>
        <w:overflowPunct/>
        <w:topLinePunct w:val="0"/>
        <w:bidi w:val="0"/>
        <w:spacing w:line="360" w:lineRule="auto"/>
        <w:jc w:val="center"/>
        <w:outlineLvl w:val="9"/>
        <w:rPr>
          <w:rFonts w:ascii="宋体" w:hAnsi="宋体" w:cs="宋体"/>
          <w:b/>
          <w:color w:val="auto"/>
          <w:spacing w:val="6"/>
          <w:sz w:val="32"/>
          <w:szCs w:val="32"/>
        </w:rPr>
      </w:pPr>
    </w:p>
    <w:p w14:paraId="3DA24F68">
      <w:pPr>
        <w:kinsoku/>
        <w:wordWrap/>
        <w:overflowPunct/>
        <w:topLinePunct w:val="0"/>
        <w:bidi w:val="0"/>
        <w:spacing w:line="360" w:lineRule="auto"/>
        <w:jc w:val="center"/>
        <w:outlineLvl w:val="9"/>
        <w:rPr>
          <w:rFonts w:ascii="宋体" w:hAnsi="宋体" w:cs="宋体"/>
          <w:b/>
          <w:color w:val="auto"/>
          <w:spacing w:val="6"/>
          <w:sz w:val="32"/>
          <w:szCs w:val="32"/>
        </w:rPr>
      </w:pPr>
    </w:p>
    <w:p w14:paraId="003CF345">
      <w:pPr>
        <w:kinsoku/>
        <w:wordWrap/>
        <w:overflowPunct/>
        <w:topLinePunct w:val="0"/>
        <w:bidi w:val="0"/>
        <w:spacing w:line="360" w:lineRule="auto"/>
        <w:jc w:val="left"/>
        <w:outlineLvl w:val="9"/>
        <w:rPr>
          <w:rFonts w:ascii="宋体" w:hAnsi="宋体" w:cs="宋体"/>
          <w:b/>
          <w:color w:val="auto"/>
          <w:spacing w:val="6"/>
          <w:sz w:val="32"/>
          <w:szCs w:val="32"/>
        </w:rPr>
      </w:pPr>
    </w:p>
    <w:p w14:paraId="045C94DF">
      <w:pPr>
        <w:kinsoku/>
        <w:wordWrap/>
        <w:overflowPunct/>
        <w:topLinePunct w:val="0"/>
        <w:bidi w:val="0"/>
        <w:spacing w:line="360" w:lineRule="auto"/>
        <w:jc w:val="left"/>
        <w:outlineLvl w:val="9"/>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022F0C3F">
      <w:pPr>
        <w:kinsoku/>
        <w:wordWrap/>
        <w:overflowPunct/>
        <w:topLinePunct w:val="0"/>
        <w:bidi w:val="0"/>
        <w:spacing w:line="360" w:lineRule="auto"/>
        <w:jc w:val="center"/>
        <w:outlineLvl w:val="9"/>
        <w:rPr>
          <w:rFonts w:ascii="宋体" w:hAnsi="宋体" w:cs="宋体"/>
          <w:b/>
          <w:color w:val="auto"/>
          <w:sz w:val="24"/>
        </w:rPr>
      </w:pPr>
    </w:p>
    <w:p w14:paraId="4111E306">
      <w:pPr>
        <w:kinsoku/>
        <w:wordWrap/>
        <w:overflowPunct/>
        <w:topLinePunct w:val="0"/>
        <w:bidi w:val="0"/>
        <w:spacing w:line="360" w:lineRule="auto"/>
        <w:jc w:val="center"/>
        <w:outlineLvl w:val="9"/>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1DB9821F">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一、投诉相关主体基本情况</w:t>
      </w:r>
    </w:p>
    <w:p w14:paraId="01372702">
      <w:pPr>
        <w:kinsoku/>
        <w:wordWrap/>
        <w:overflowPunct/>
        <w:topLinePunct w:val="0"/>
        <w:bidi w:val="0"/>
        <w:spacing w:line="360" w:lineRule="auto"/>
        <w:outlineLvl w:val="9"/>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B2A56B6">
      <w:pPr>
        <w:kinsoku/>
        <w:wordWrap/>
        <w:overflowPunct/>
        <w:topLinePunct w:val="0"/>
        <w:bidi w:val="0"/>
        <w:spacing w:line="360" w:lineRule="auto"/>
        <w:outlineLvl w:val="9"/>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24C40F5">
      <w:pPr>
        <w:tabs>
          <w:tab w:val="left" w:pos="6510"/>
        </w:tabs>
        <w:kinsoku/>
        <w:wordWrap/>
        <w:overflowPunct/>
        <w:topLinePunct w:val="0"/>
        <w:bidi w:val="0"/>
        <w:spacing w:line="360" w:lineRule="auto"/>
        <w:jc w:val="left"/>
        <w:outlineLvl w:val="9"/>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8193FC3">
      <w:pPr>
        <w:tabs>
          <w:tab w:val="left" w:pos="6510"/>
        </w:tabs>
        <w:kinsoku/>
        <w:wordWrap/>
        <w:overflowPunct/>
        <w:topLinePunct w:val="0"/>
        <w:bidi w:val="0"/>
        <w:spacing w:line="360" w:lineRule="auto"/>
        <w:outlineLvl w:val="9"/>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E87D293">
      <w:pPr>
        <w:kinsoku/>
        <w:wordWrap/>
        <w:overflowPunct/>
        <w:topLinePunct w:val="0"/>
        <w:bidi w:val="0"/>
        <w:spacing w:line="360" w:lineRule="auto"/>
        <w:outlineLvl w:val="9"/>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2131617">
      <w:pPr>
        <w:kinsoku/>
        <w:wordWrap/>
        <w:overflowPunct/>
        <w:topLinePunct w:val="0"/>
        <w:bidi w:val="0"/>
        <w:spacing w:line="360" w:lineRule="auto"/>
        <w:outlineLvl w:val="9"/>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4E0AE1B">
      <w:pPr>
        <w:kinsoku/>
        <w:wordWrap/>
        <w:overflowPunct/>
        <w:topLinePunct w:val="0"/>
        <w:bidi w:val="0"/>
        <w:spacing w:line="360" w:lineRule="auto"/>
        <w:outlineLvl w:val="9"/>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E673E17">
      <w:pPr>
        <w:kinsoku/>
        <w:wordWrap/>
        <w:overflowPunct/>
        <w:topLinePunct w:val="0"/>
        <w:bidi w:val="0"/>
        <w:spacing w:line="360" w:lineRule="auto"/>
        <w:outlineLvl w:val="9"/>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B2DF164">
      <w:pPr>
        <w:kinsoku/>
        <w:wordWrap/>
        <w:overflowPunct/>
        <w:topLinePunct w:val="0"/>
        <w:bidi w:val="0"/>
        <w:spacing w:line="360" w:lineRule="auto"/>
        <w:outlineLvl w:val="9"/>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489EB51">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被投诉人2</w:t>
      </w:r>
    </w:p>
    <w:p w14:paraId="7ECF5ED2">
      <w:pPr>
        <w:kinsoku/>
        <w:wordWrap/>
        <w:overflowPunct/>
        <w:topLinePunct w:val="0"/>
        <w:bidi w:val="0"/>
        <w:spacing w:line="360" w:lineRule="auto"/>
        <w:outlineLvl w:val="9"/>
        <w:rPr>
          <w:rFonts w:ascii="宋体" w:hAnsi="宋体" w:cs="宋体"/>
          <w:color w:val="auto"/>
          <w:sz w:val="24"/>
          <w:u w:val="dotted"/>
        </w:rPr>
      </w:pPr>
      <w:r>
        <w:rPr>
          <w:rFonts w:hint="eastAsia" w:ascii="宋体" w:hAnsi="宋体" w:cs="宋体"/>
          <w:color w:val="auto"/>
          <w:sz w:val="24"/>
        </w:rPr>
        <w:t>……</w:t>
      </w:r>
    </w:p>
    <w:p w14:paraId="60139F3A">
      <w:pPr>
        <w:kinsoku/>
        <w:wordWrap/>
        <w:overflowPunct/>
        <w:topLinePunct w:val="0"/>
        <w:bidi w:val="0"/>
        <w:spacing w:line="360" w:lineRule="auto"/>
        <w:outlineLvl w:val="9"/>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F2E8C08">
      <w:pPr>
        <w:kinsoku/>
        <w:wordWrap/>
        <w:overflowPunct/>
        <w:topLinePunct w:val="0"/>
        <w:bidi w:val="0"/>
        <w:spacing w:line="360" w:lineRule="auto"/>
        <w:outlineLvl w:val="9"/>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0C58BB8">
      <w:pPr>
        <w:kinsoku/>
        <w:wordWrap/>
        <w:overflowPunct/>
        <w:topLinePunct w:val="0"/>
        <w:bidi w:val="0"/>
        <w:spacing w:line="360" w:lineRule="auto"/>
        <w:outlineLvl w:val="9"/>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F29F67C">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二、投诉项目基本情况</w:t>
      </w:r>
    </w:p>
    <w:p w14:paraId="1A843331">
      <w:pPr>
        <w:kinsoku/>
        <w:wordWrap/>
        <w:overflowPunct/>
        <w:topLinePunct w:val="0"/>
        <w:bidi w:val="0"/>
        <w:spacing w:line="360" w:lineRule="auto"/>
        <w:outlineLvl w:val="9"/>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66D84BC5">
      <w:pPr>
        <w:kinsoku/>
        <w:wordWrap/>
        <w:overflowPunct/>
        <w:topLinePunct w:val="0"/>
        <w:bidi w:val="0"/>
        <w:spacing w:line="360" w:lineRule="auto"/>
        <w:outlineLvl w:val="9"/>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AB9C0FB">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0473BC1">
      <w:pPr>
        <w:kinsoku/>
        <w:wordWrap/>
        <w:overflowPunct/>
        <w:topLinePunct w:val="0"/>
        <w:bidi w:val="0"/>
        <w:spacing w:line="360" w:lineRule="auto"/>
        <w:outlineLvl w:val="9"/>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B64F7BC">
      <w:pPr>
        <w:kinsoku/>
        <w:wordWrap/>
        <w:overflowPunct/>
        <w:topLinePunct w:val="0"/>
        <w:bidi w:val="0"/>
        <w:spacing w:line="360" w:lineRule="auto"/>
        <w:outlineLvl w:val="9"/>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93719B8">
      <w:pPr>
        <w:kinsoku/>
        <w:wordWrap/>
        <w:overflowPunct/>
        <w:topLinePunct w:val="0"/>
        <w:bidi w:val="0"/>
        <w:spacing w:line="360" w:lineRule="auto"/>
        <w:outlineLvl w:val="9"/>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8605166">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三、质疑基本情况</w:t>
      </w:r>
    </w:p>
    <w:p w14:paraId="713F6891">
      <w:pPr>
        <w:kinsoku/>
        <w:wordWrap/>
        <w:overflowPunct/>
        <w:topLinePunct w:val="0"/>
        <w:bidi w:val="0"/>
        <w:spacing w:line="360" w:lineRule="auto"/>
        <w:ind w:firstLine="480" w:firstLineChars="200"/>
        <w:outlineLvl w:val="9"/>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2C75AC7">
      <w:pPr>
        <w:kinsoku/>
        <w:wordWrap/>
        <w:overflowPunct/>
        <w:topLinePunct w:val="0"/>
        <w:bidi w:val="0"/>
        <w:spacing w:line="360" w:lineRule="auto"/>
        <w:outlineLvl w:val="9"/>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1AF4086">
      <w:pPr>
        <w:kinsoku/>
        <w:wordWrap/>
        <w:overflowPunct/>
        <w:topLinePunct w:val="0"/>
        <w:bidi w:val="0"/>
        <w:spacing w:line="360" w:lineRule="auto"/>
        <w:ind w:firstLine="360" w:firstLineChars="150"/>
        <w:outlineLvl w:val="9"/>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031F9E50">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四、投诉事项具体内容</w:t>
      </w:r>
    </w:p>
    <w:p w14:paraId="5F042DCE">
      <w:pPr>
        <w:kinsoku/>
        <w:wordWrap/>
        <w:overflowPunct/>
        <w:topLinePunct w:val="0"/>
        <w:bidi w:val="0"/>
        <w:spacing w:line="360" w:lineRule="auto"/>
        <w:outlineLvl w:val="9"/>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C0E19F7">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488AE45">
      <w:pPr>
        <w:kinsoku/>
        <w:wordWrap/>
        <w:overflowPunct/>
        <w:topLinePunct w:val="0"/>
        <w:bidi w:val="0"/>
        <w:spacing w:line="360" w:lineRule="auto"/>
        <w:outlineLvl w:val="9"/>
        <w:rPr>
          <w:rFonts w:ascii="宋体" w:hAnsi="宋体" w:cs="宋体"/>
          <w:color w:val="auto"/>
          <w:sz w:val="24"/>
          <w:u w:val="dotted"/>
        </w:rPr>
      </w:pPr>
      <w:r>
        <w:rPr>
          <w:rFonts w:hint="eastAsia" w:ascii="宋体" w:hAnsi="宋体" w:cs="宋体"/>
          <w:color w:val="auto"/>
          <w:sz w:val="24"/>
          <w:u w:val="dotted"/>
        </w:rPr>
        <w:t xml:space="preserve">                                                      </w:t>
      </w:r>
    </w:p>
    <w:p w14:paraId="68825617">
      <w:pPr>
        <w:kinsoku/>
        <w:wordWrap/>
        <w:overflowPunct/>
        <w:topLinePunct w:val="0"/>
        <w:bidi w:val="0"/>
        <w:spacing w:line="360" w:lineRule="auto"/>
        <w:outlineLvl w:val="9"/>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CDA08BD">
      <w:pPr>
        <w:kinsoku/>
        <w:wordWrap/>
        <w:overflowPunct/>
        <w:topLinePunct w:val="0"/>
        <w:bidi w:val="0"/>
        <w:spacing w:line="360" w:lineRule="auto"/>
        <w:outlineLvl w:val="9"/>
        <w:rPr>
          <w:rFonts w:ascii="宋体" w:hAnsi="宋体" w:cs="宋体"/>
          <w:color w:val="auto"/>
          <w:sz w:val="24"/>
          <w:u w:val="dotted"/>
        </w:rPr>
      </w:pPr>
      <w:r>
        <w:rPr>
          <w:rFonts w:hint="eastAsia" w:ascii="宋体" w:hAnsi="宋体" w:cs="宋体"/>
          <w:color w:val="auto"/>
          <w:sz w:val="24"/>
          <w:u w:val="dotted"/>
        </w:rPr>
        <w:t xml:space="preserve">                                                      </w:t>
      </w:r>
    </w:p>
    <w:p w14:paraId="6C310E1F">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投诉事项2</w:t>
      </w:r>
    </w:p>
    <w:p w14:paraId="2F3B3678">
      <w:pPr>
        <w:kinsoku/>
        <w:wordWrap/>
        <w:overflowPunct/>
        <w:topLinePunct w:val="0"/>
        <w:bidi w:val="0"/>
        <w:spacing w:line="360" w:lineRule="auto"/>
        <w:outlineLvl w:val="9"/>
        <w:rPr>
          <w:rFonts w:ascii="宋体" w:hAnsi="宋体" w:cs="宋体"/>
          <w:color w:val="auto"/>
          <w:sz w:val="24"/>
          <w:u w:val="dotted"/>
        </w:rPr>
      </w:pPr>
      <w:r>
        <w:rPr>
          <w:rFonts w:hint="eastAsia" w:ascii="宋体" w:hAnsi="宋体" w:cs="宋体"/>
          <w:color w:val="auto"/>
          <w:sz w:val="24"/>
        </w:rPr>
        <w:t>……</w:t>
      </w:r>
    </w:p>
    <w:p w14:paraId="0C054824">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五、与投诉事项相关的投诉请求</w:t>
      </w:r>
    </w:p>
    <w:p w14:paraId="3E40B3F8">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F8411E3">
      <w:pPr>
        <w:kinsoku/>
        <w:wordWrap/>
        <w:overflowPunct/>
        <w:topLinePunct w:val="0"/>
        <w:bidi w:val="0"/>
        <w:spacing w:line="360" w:lineRule="auto"/>
        <w:outlineLvl w:val="9"/>
        <w:rPr>
          <w:rFonts w:ascii="宋体" w:hAnsi="宋体" w:cs="宋体"/>
          <w:color w:val="auto"/>
          <w:sz w:val="24"/>
          <w:u w:val="single"/>
        </w:rPr>
      </w:pPr>
      <w:r>
        <w:rPr>
          <w:rFonts w:hint="eastAsia" w:ascii="宋体" w:hAnsi="宋体" w:cs="宋体"/>
          <w:color w:val="auto"/>
          <w:sz w:val="24"/>
        </w:rPr>
        <w:t xml:space="preserve">                                                                                                    </w:t>
      </w:r>
    </w:p>
    <w:p w14:paraId="7D5B19AA">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 xml:space="preserve">签字(签章)：                   公章：                      </w:t>
      </w:r>
    </w:p>
    <w:p w14:paraId="7BFE8C0A">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rPr>
        <w:t xml:space="preserve">日期：    </w:t>
      </w:r>
    </w:p>
    <w:p w14:paraId="326177D4">
      <w:pPr>
        <w:kinsoku/>
        <w:wordWrap/>
        <w:overflowPunct/>
        <w:topLinePunct w:val="0"/>
        <w:bidi w:val="0"/>
        <w:spacing w:line="360" w:lineRule="auto"/>
        <w:outlineLvl w:val="9"/>
        <w:rPr>
          <w:rFonts w:ascii="宋体" w:hAnsi="宋体" w:cs="宋体"/>
          <w:b/>
          <w:color w:val="auto"/>
          <w:sz w:val="24"/>
        </w:rPr>
      </w:pPr>
    </w:p>
    <w:p w14:paraId="5B596325">
      <w:pPr>
        <w:kinsoku/>
        <w:wordWrap/>
        <w:overflowPunct/>
        <w:topLinePunct w:val="0"/>
        <w:bidi w:val="0"/>
        <w:spacing w:line="360" w:lineRule="auto"/>
        <w:outlineLvl w:val="9"/>
        <w:rPr>
          <w:rFonts w:ascii="宋体" w:hAnsi="宋体" w:cs="宋体"/>
          <w:b/>
          <w:color w:val="auto"/>
          <w:sz w:val="24"/>
        </w:rPr>
      </w:pPr>
    </w:p>
    <w:p w14:paraId="2BC6B539">
      <w:pPr>
        <w:kinsoku/>
        <w:wordWrap/>
        <w:overflowPunct/>
        <w:topLinePunct w:val="0"/>
        <w:bidi w:val="0"/>
        <w:spacing w:line="360" w:lineRule="auto"/>
        <w:outlineLvl w:val="9"/>
        <w:rPr>
          <w:rFonts w:ascii="宋体" w:hAnsi="宋体" w:cs="宋体"/>
          <w:b/>
          <w:color w:val="auto"/>
          <w:sz w:val="24"/>
        </w:rPr>
      </w:pPr>
      <w:r>
        <w:rPr>
          <w:rFonts w:hint="eastAsia" w:ascii="宋体" w:hAnsi="宋体" w:cs="宋体"/>
          <w:b/>
          <w:color w:val="auto"/>
          <w:sz w:val="24"/>
        </w:rPr>
        <w:t>投诉书制作说明：</w:t>
      </w:r>
    </w:p>
    <w:p w14:paraId="47AA6DE0">
      <w:pPr>
        <w:widowControl/>
        <w:kinsoku/>
        <w:wordWrap/>
        <w:overflowPunct/>
        <w:topLinePunct w:val="0"/>
        <w:bidi w:val="0"/>
        <w:spacing w:line="360" w:lineRule="auto"/>
        <w:ind w:firstLine="480" w:firstLineChars="200"/>
        <w:outlineLvl w:val="9"/>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589C2AF">
      <w:pPr>
        <w:widowControl/>
        <w:kinsoku/>
        <w:wordWrap/>
        <w:overflowPunct/>
        <w:topLinePunct w:val="0"/>
        <w:bidi w:val="0"/>
        <w:spacing w:line="360" w:lineRule="auto"/>
        <w:ind w:firstLine="480" w:firstLineChars="200"/>
        <w:jc w:val="left"/>
        <w:outlineLvl w:val="9"/>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83A7457">
      <w:pPr>
        <w:widowControl/>
        <w:kinsoku/>
        <w:wordWrap/>
        <w:overflowPunct/>
        <w:topLinePunct w:val="0"/>
        <w:bidi w:val="0"/>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87EF9F9">
      <w:pPr>
        <w:widowControl/>
        <w:kinsoku/>
        <w:wordWrap/>
        <w:overflowPunct/>
        <w:topLinePunct w:val="0"/>
        <w:bidi w:val="0"/>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A976097">
      <w:pPr>
        <w:widowControl/>
        <w:kinsoku/>
        <w:wordWrap/>
        <w:overflowPunct/>
        <w:topLinePunct w:val="0"/>
        <w:bidi w:val="0"/>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3648C738">
      <w:pPr>
        <w:widowControl/>
        <w:kinsoku/>
        <w:wordWrap/>
        <w:overflowPunct/>
        <w:topLinePunct w:val="0"/>
        <w:bidi w:val="0"/>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6.投诉书的投诉请求应与投诉事项相关。</w:t>
      </w:r>
    </w:p>
    <w:p w14:paraId="78FF7FA1">
      <w:pPr>
        <w:widowControl/>
        <w:kinsoku/>
        <w:wordWrap/>
        <w:overflowPunct/>
        <w:topLinePunct w:val="0"/>
        <w:bidi w:val="0"/>
        <w:spacing w:line="360" w:lineRule="auto"/>
        <w:ind w:firstLine="480" w:firstLineChars="200"/>
        <w:jc w:val="left"/>
        <w:outlineLvl w:val="9"/>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7BAD8E9">
      <w:pPr>
        <w:kinsoku/>
        <w:wordWrap/>
        <w:overflowPunct/>
        <w:topLinePunct w:val="0"/>
        <w:bidi w:val="0"/>
        <w:spacing w:line="360" w:lineRule="auto"/>
        <w:outlineLvl w:val="9"/>
        <w:rPr>
          <w:rFonts w:ascii="宋体" w:hAnsi="宋体" w:cs="宋体"/>
          <w:b/>
          <w:color w:val="auto"/>
          <w:sz w:val="24"/>
        </w:rPr>
      </w:pPr>
    </w:p>
    <w:p w14:paraId="5F6461C8">
      <w:pPr>
        <w:kinsoku/>
        <w:wordWrap/>
        <w:overflowPunct/>
        <w:topLinePunct w:val="0"/>
        <w:autoSpaceDE w:val="0"/>
        <w:autoSpaceDN w:val="0"/>
        <w:bidi w:val="0"/>
        <w:jc w:val="center"/>
        <w:outlineLvl w:val="9"/>
        <w:rPr>
          <w:rFonts w:ascii="宋体" w:hAnsi="宋体" w:cs="宋体"/>
          <w:b/>
          <w:color w:val="auto"/>
          <w:spacing w:val="6"/>
          <w:sz w:val="32"/>
          <w:szCs w:val="32"/>
        </w:rPr>
      </w:pPr>
    </w:p>
    <w:p w14:paraId="10244C7C">
      <w:pPr>
        <w:kinsoku/>
        <w:wordWrap/>
        <w:overflowPunct/>
        <w:topLinePunct w:val="0"/>
        <w:autoSpaceDE w:val="0"/>
        <w:autoSpaceDN w:val="0"/>
        <w:bidi w:val="0"/>
        <w:jc w:val="center"/>
        <w:outlineLvl w:val="9"/>
        <w:rPr>
          <w:rFonts w:ascii="宋体" w:hAnsi="宋体" w:cs="宋体"/>
          <w:b/>
          <w:color w:val="auto"/>
          <w:spacing w:val="6"/>
          <w:sz w:val="32"/>
          <w:szCs w:val="32"/>
        </w:rPr>
      </w:pPr>
    </w:p>
    <w:p w14:paraId="7691CAB8">
      <w:pPr>
        <w:kinsoku/>
        <w:wordWrap/>
        <w:overflowPunct/>
        <w:topLinePunct w:val="0"/>
        <w:autoSpaceDE w:val="0"/>
        <w:autoSpaceDN w:val="0"/>
        <w:bidi w:val="0"/>
        <w:jc w:val="center"/>
        <w:outlineLvl w:val="9"/>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0FCA34CD">
      <w:pPr>
        <w:kinsoku/>
        <w:wordWrap/>
        <w:overflowPunct/>
        <w:topLinePunct w:val="0"/>
        <w:bidi w:val="0"/>
        <w:spacing w:line="360" w:lineRule="auto"/>
        <w:outlineLvl w:val="9"/>
        <w:rPr>
          <w:rFonts w:ascii="宋体" w:hAnsi="宋体" w:cs="宋体"/>
          <w:color w:val="auto"/>
          <w:sz w:val="24"/>
          <w:u w:val="single"/>
        </w:rPr>
      </w:pPr>
    </w:p>
    <w:p w14:paraId="4C5981F4">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u w:val="single"/>
        </w:rPr>
        <w:t>（采购人）、（采购代理机构）：</w:t>
      </w:r>
    </w:p>
    <w:p w14:paraId="58396D03">
      <w:pPr>
        <w:kinsoku/>
        <w:wordWrap/>
        <w:overflowPunct/>
        <w:topLinePunct w:val="0"/>
        <w:bidi w:val="0"/>
        <w:spacing w:line="360" w:lineRule="auto"/>
        <w:ind w:firstLine="480" w:firstLineChars="200"/>
        <w:outlineLvl w:val="9"/>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w:t>
      </w:r>
      <w:r>
        <w:rPr>
          <w:rFonts w:hint="eastAsia" w:ascii="宋体" w:hAnsi="宋体" w:cs="宋体"/>
          <w:color w:val="auto"/>
          <w:sz w:val="24"/>
          <w:lang w:eastAsia="zh-CN"/>
        </w:rPr>
        <w:t>供应商</w:t>
      </w:r>
      <w:r>
        <w:rPr>
          <w:rFonts w:hint="eastAsia" w:ascii="宋体" w:hAnsi="宋体" w:cs="宋体"/>
          <w:color w:val="auto"/>
          <w:sz w:val="24"/>
        </w:rPr>
        <w:t>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B2EC21F">
      <w:pPr>
        <w:kinsoku/>
        <w:wordWrap/>
        <w:overflowPunct/>
        <w:topLinePunct w:val="0"/>
        <w:bidi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特此说明。</w:t>
      </w:r>
    </w:p>
    <w:p w14:paraId="2DED37F8">
      <w:pPr>
        <w:kinsoku/>
        <w:wordWrap/>
        <w:overflowPunct/>
        <w:topLinePunct w:val="0"/>
        <w:bidi w:val="0"/>
        <w:spacing w:line="360" w:lineRule="auto"/>
        <w:ind w:firstLine="494"/>
        <w:outlineLvl w:val="9"/>
        <w:rPr>
          <w:rFonts w:ascii="宋体" w:hAnsi="宋体" w:cs="宋体"/>
          <w:color w:val="auto"/>
          <w:sz w:val="24"/>
        </w:rPr>
      </w:pPr>
    </w:p>
    <w:p w14:paraId="63A684BB">
      <w:pPr>
        <w:kinsoku/>
        <w:wordWrap/>
        <w:overflowPunct/>
        <w:topLinePunct w:val="0"/>
        <w:bidi w:val="0"/>
        <w:spacing w:line="360" w:lineRule="auto"/>
        <w:ind w:firstLine="494"/>
        <w:outlineLvl w:val="9"/>
        <w:rPr>
          <w:rFonts w:ascii="宋体" w:hAnsi="宋体" w:cs="宋体"/>
          <w:color w:val="auto"/>
          <w:sz w:val="24"/>
        </w:rPr>
      </w:pPr>
    </w:p>
    <w:p w14:paraId="157748D9">
      <w:pPr>
        <w:kinsoku/>
        <w:wordWrap/>
        <w:overflowPunct/>
        <w:topLinePunct w:val="0"/>
        <w:bidi w:val="0"/>
        <w:spacing w:line="360" w:lineRule="auto"/>
        <w:ind w:firstLine="494"/>
        <w:outlineLvl w:val="9"/>
        <w:rPr>
          <w:rFonts w:ascii="宋体" w:hAnsi="宋体" w:cs="宋体"/>
          <w:color w:val="auto"/>
          <w:sz w:val="24"/>
        </w:rPr>
      </w:pPr>
    </w:p>
    <w:p w14:paraId="3013A6F8">
      <w:pPr>
        <w:kinsoku/>
        <w:wordWrap/>
        <w:overflowPunct/>
        <w:topLinePunct w:val="0"/>
        <w:bidi w:val="0"/>
        <w:spacing w:line="360" w:lineRule="auto"/>
        <w:ind w:right="480" w:firstLine="4080" w:firstLineChars="1700"/>
        <w:outlineLvl w:val="9"/>
        <w:rPr>
          <w:rFonts w:ascii="宋体" w:hAnsi="宋体" w:cs="宋体"/>
          <w:color w:val="auto"/>
          <w:sz w:val="24"/>
        </w:rPr>
      </w:pPr>
      <w:r>
        <w:rPr>
          <w:rFonts w:hint="eastAsia" w:ascii="宋体" w:hAnsi="宋体" w:cs="宋体"/>
          <w:color w:val="auto"/>
          <w:sz w:val="24"/>
          <w:lang w:eastAsia="zh-CN"/>
        </w:rPr>
        <w:t>投标人</w:t>
      </w:r>
      <w:r>
        <w:rPr>
          <w:rFonts w:hint="eastAsia" w:ascii="宋体" w:hAnsi="宋体" w:cs="宋体"/>
          <w:color w:val="auto"/>
          <w:sz w:val="24"/>
        </w:rPr>
        <w:t>（法定名称章）：</w:t>
      </w:r>
    </w:p>
    <w:p w14:paraId="6306285E">
      <w:pPr>
        <w:kinsoku/>
        <w:wordWrap/>
        <w:overflowPunct/>
        <w:topLinePunct w:val="0"/>
        <w:bidi w:val="0"/>
        <w:ind w:right="1440" w:firstLine="494"/>
        <w:jc w:val="center"/>
        <w:outlineLvl w:val="9"/>
        <w:rPr>
          <w:rFonts w:ascii="宋体" w:hAnsi="宋体" w:cs="宋体"/>
          <w:color w:val="auto"/>
          <w:sz w:val="24"/>
        </w:rPr>
      </w:pPr>
      <w:r>
        <w:rPr>
          <w:rFonts w:hint="eastAsia" w:ascii="宋体" w:hAnsi="宋体" w:cs="宋体"/>
          <w:color w:val="auto"/>
          <w:sz w:val="24"/>
        </w:rPr>
        <w:t xml:space="preserve">                              日期：       年     月     日</w:t>
      </w:r>
    </w:p>
    <w:p w14:paraId="566F31B0">
      <w:pPr>
        <w:kinsoku/>
        <w:wordWrap/>
        <w:overflowPunct/>
        <w:topLinePunct w:val="0"/>
        <w:bidi w:val="0"/>
        <w:outlineLvl w:val="9"/>
        <w:rPr>
          <w:rFonts w:ascii="宋体" w:hAnsi="宋体" w:cs="宋体"/>
          <w:color w:val="auto"/>
          <w:sz w:val="24"/>
        </w:rPr>
      </w:pPr>
      <w:r>
        <w:rPr>
          <w:rFonts w:hint="eastAsia" w:ascii="宋体" w:hAnsi="宋体" w:cs="宋体"/>
          <w:b/>
          <w:bCs/>
          <w:color w:val="auto"/>
          <w:sz w:val="24"/>
        </w:rPr>
        <w:t>附：</w:t>
      </w:r>
    </w:p>
    <w:p w14:paraId="7A485DA9">
      <w:pPr>
        <w:kinsoku/>
        <w:wordWrap/>
        <w:overflowPunct/>
        <w:topLinePunct w:val="0"/>
        <w:bidi w:val="0"/>
        <w:spacing w:line="360" w:lineRule="auto"/>
        <w:outlineLvl w:val="9"/>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8195C1D">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8195C1D">
                      <w:pPr>
                        <w:jc w:val="center"/>
                      </w:pPr>
                    </w:p>
                  </w:txbxContent>
                </v:textbox>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731D8DF">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731D8DF">
                      <w:pPr>
                        <w:jc w:val="center"/>
                      </w:pPr>
                    </w:p>
                  </w:txbxContent>
                </v:textbox>
              </v:rect>
            </w:pict>
          </mc:Fallback>
        </mc:AlternateContent>
      </w:r>
      <w:r>
        <w:rPr>
          <w:rFonts w:hint="eastAsia" w:ascii="宋体" w:hAnsi="宋体" w:cs="宋体"/>
          <w:color w:val="auto"/>
          <w:sz w:val="24"/>
          <w:lang w:eastAsia="zh-CN"/>
        </w:rPr>
        <w:t>投标人</w:t>
      </w:r>
      <w:r>
        <w:rPr>
          <w:rFonts w:hint="eastAsia" w:ascii="宋体" w:hAnsi="宋体" w:cs="宋体"/>
          <w:color w:val="auto"/>
          <w:sz w:val="24"/>
        </w:rPr>
        <w:t xml:space="preserve">法定名称章（印模）                </w:t>
      </w:r>
      <w:r>
        <w:rPr>
          <w:rFonts w:hint="eastAsia" w:ascii="宋体" w:hAnsi="宋体" w:cs="宋体"/>
          <w:color w:val="auto"/>
          <w:sz w:val="24"/>
          <w:lang w:eastAsia="zh-CN"/>
        </w:rPr>
        <w:t>投标人</w:t>
      </w:r>
      <w:r>
        <w:rPr>
          <w:rFonts w:hint="eastAsia" w:ascii="宋体" w:hAnsi="宋体" w:cs="宋体"/>
          <w:color w:val="auto"/>
          <w:sz w:val="24"/>
        </w:rPr>
        <w:t>“XX专用章”（印模）</w:t>
      </w:r>
    </w:p>
    <w:p w14:paraId="6C7324EB">
      <w:pPr>
        <w:kinsoku/>
        <w:wordWrap/>
        <w:overflowPunct/>
        <w:topLinePunct w:val="0"/>
        <w:autoSpaceDE w:val="0"/>
        <w:autoSpaceDN w:val="0"/>
        <w:bidi w:val="0"/>
        <w:jc w:val="center"/>
        <w:outlineLvl w:val="9"/>
        <w:rPr>
          <w:rFonts w:ascii="宋体" w:hAnsi="宋体" w:cs="宋体"/>
          <w:b/>
          <w:color w:val="auto"/>
          <w:spacing w:val="6"/>
          <w:sz w:val="32"/>
          <w:szCs w:val="32"/>
        </w:rPr>
      </w:pPr>
    </w:p>
    <w:p w14:paraId="39F3684D">
      <w:pPr>
        <w:kinsoku/>
        <w:wordWrap/>
        <w:overflowPunct/>
        <w:topLinePunct w:val="0"/>
        <w:autoSpaceDE w:val="0"/>
        <w:autoSpaceDN w:val="0"/>
        <w:bidi w:val="0"/>
        <w:jc w:val="center"/>
        <w:outlineLvl w:val="9"/>
        <w:rPr>
          <w:rFonts w:ascii="宋体" w:hAnsi="宋体" w:cs="宋体"/>
          <w:b/>
          <w:color w:val="auto"/>
          <w:spacing w:val="6"/>
          <w:sz w:val="32"/>
          <w:szCs w:val="32"/>
        </w:rPr>
      </w:pPr>
    </w:p>
    <w:p w14:paraId="28F5109E">
      <w:pPr>
        <w:kinsoku/>
        <w:wordWrap/>
        <w:overflowPunct/>
        <w:topLinePunct w:val="0"/>
        <w:autoSpaceDE w:val="0"/>
        <w:autoSpaceDN w:val="0"/>
        <w:bidi w:val="0"/>
        <w:jc w:val="center"/>
        <w:outlineLvl w:val="9"/>
        <w:rPr>
          <w:rFonts w:ascii="宋体" w:hAnsi="宋体" w:cs="宋体"/>
          <w:b/>
          <w:color w:val="auto"/>
          <w:spacing w:val="6"/>
          <w:sz w:val="32"/>
          <w:szCs w:val="32"/>
        </w:rPr>
      </w:pPr>
    </w:p>
    <w:p w14:paraId="3A9B3967">
      <w:pPr>
        <w:kinsoku/>
        <w:wordWrap/>
        <w:overflowPunct/>
        <w:topLinePunct w:val="0"/>
        <w:autoSpaceDE w:val="0"/>
        <w:autoSpaceDN w:val="0"/>
        <w:bidi w:val="0"/>
        <w:jc w:val="center"/>
        <w:outlineLvl w:val="9"/>
        <w:rPr>
          <w:rFonts w:ascii="宋体" w:hAnsi="宋体" w:cs="宋体"/>
          <w:b/>
          <w:color w:val="auto"/>
          <w:spacing w:val="6"/>
          <w:sz w:val="32"/>
          <w:szCs w:val="32"/>
        </w:rPr>
      </w:pPr>
    </w:p>
    <w:p w14:paraId="682E7561">
      <w:pPr>
        <w:kinsoku/>
        <w:wordWrap/>
        <w:overflowPunct/>
        <w:topLinePunct w:val="0"/>
        <w:autoSpaceDE w:val="0"/>
        <w:autoSpaceDN w:val="0"/>
        <w:bidi w:val="0"/>
        <w:jc w:val="center"/>
        <w:outlineLvl w:val="9"/>
        <w:rPr>
          <w:rFonts w:ascii="宋体" w:hAnsi="宋体" w:cs="宋体"/>
          <w:b/>
          <w:color w:val="auto"/>
          <w:spacing w:val="6"/>
          <w:sz w:val="32"/>
          <w:szCs w:val="32"/>
        </w:rPr>
      </w:pPr>
    </w:p>
    <w:p w14:paraId="5A16A888">
      <w:pPr>
        <w:kinsoku/>
        <w:wordWrap/>
        <w:overflowPunct/>
        <w:topLinePunct w:val="0"/>
        <w:autoSpaceDE w:val="0"/>
        <w:autoSpaceDN w:val="0"/>
        <w:bidi w:val="0"/>
        <w:jc w:val="center"/>
        <w:outlineLvl w:val="9"/>
        <w:rPr>
          <w:rFonts w:ascii="宋体" w:hAnsi="宋体" w:cs="宋体"/>
          <w:b/>
          <w:color w:val="auto"/>
          <w:spacing w:val="6"/>
          <w:sz w:val="32"/>
          <w:szCs w:val="32"/>
        </w:rPr>
      </w:pPr>
    </w:p>
    <w:p w14:paraId="35810D42">
      <w:pPr>
        <w:kinsoku/>
        <w:wordWrap/>
        <w:overflowPunct/>
        <w:topLinePunct w:val="0"/>
        <w:autoSpaceDE w:val="0"/>
        <w:autoSpaceDN w:val="0"/>
        <w:bidi w:val="0"/>
        <w:jc w:val="center"/>
        <w:outlineLvl w:val="9"/>
        <w:rPr>
          <w:rFonts w:ascii="宋体" w:hAnsi="宋体" w:cs="宋体"/>
          <w:b/>
          <w:color w:val="auto"/>
          <w:spacing w:val="6"/>
          <w:sz w:val="32"/>
          <w:szCs w:val="32"/>
        </w:rPr>
      </w:pPr>
    </w:p>
    <w:p w14:paraId="6D4395DE">
      <w:pPr>
        <w:kinsoku/>
        <w:wordWrap/>
        <w:overflowPunct/>
        <w:topLinePunct w:val="0"/>
        <w:autoSpaceDE w:val="0"/>
        <w:autoSpaceDN w:val="0"/>
        <w:bidi w:val="0"/>
        <w:jc w:val="center"/>
        <w:outlineLvl w:val="9"/>
        <w:rPr>
          <w:rFonts w:ascii="宋体" w:hAnsi="宋体" w:cs="宋体"/>
          <w:b/>
          <w:color w:val="auto"/>
          <w:spacing w:val="6"/>
          <w:sz w:val="32"/>
          <w:szCs w:val="32"/>
        </w:rPr>
      </w:pPr>
    </w:p>
    <w:p w14:paraId="1226CAB4">
      <w:pPr>
        <w:kinsoku/>
        <w:wordWrap/>
        <w:overflowPunct/>
        <w:topLinePunct w:val="0"/>
        <w:autoSpaceDE w:val="0"/>
        <w:autoSpaceDN w:val="0"/>
        <w:bidi w:val="0"/>
        <w:jc w:val="center"/>
        <w:outlineLvl w:val="9"/>
        <w:rPr>
          <w:rFonts w:ascii="宋体" w:hAnsi="宋体" w:cs="宋体"/>
          <w:b/>
          <w:color w:val="auto"/>
          <w:spacing w:val="6"/>
          <w:sz w:val="32"/>
          <w:szCs w:val="32"/>
        </w:rPr>
      </w:pPr>
    </w:p>
    <w:p w14:paraId="7FA2BE2F">
      <w:pPr>
        <w:kinsoku/>
        <w:wordWrap/>
        <w:overflowPunct/>
        <w:topLinePunct w:val="0"/>
        <w:autoSpaceDE w:val="0"/>
        <w:autoSpaceDN w:val="0"/>
        <w:bidi w:val="0"/>
        <w:jc w:val="center"/>
        <w:outlineLvl w:val="9"/>
        <w:rPr>
          <w:rFonts w:ascii="宋体" w:hAnsi="宋体" w:cs="宋体"/>
          <w:b/>
          <w:color w:val="auto"/>
          <w:spacing w:val="6"/>
          <w:sz w:val="32"/>
          <w:szCs w:val="32"/>
        </w:rPr>
      </w:pPr>
    </w:p>
    <w:p w14:paraId="431649ED">
      <w:pPr>
        <w:kinsoku/>
        <w:wordWrap/>
        <w:overflowPunct/>
        <w:topLinePunct w:val="0"/>
        <w:autoSpaceDE w:val="0"/>
        <w:autoSpaceDN w:val="0"/>
        <w:bidi w:val="0"/>
        <w:jc w:val="center"/>
        <w:outlineLvl w:val="9"/>
        <w:rPr>
          <w:rFonts w:ascii="宋体" w:hAnsi="宋体" w:cs="宋体"/>
          <w:b/>
          <w:color w:val="auto"/>
          <w:spacing w:val="6"/>
          <w:sz w:val="32"/>
          <w:szCs w:val="32"/>
        </w:rPr>
      </w:pPr>
    </w:p>
    <w:p w14:paraId="6B11D673">
      <w:pPr>
        <w:kinsoku/>
        <w:wordWrap/>
        <w:overflowPunct/>
        <w:topLinePunct w:val="0"/>
        <w:autoSpaceDE w:val="0"/>
        <w:autoSpaceDN w:val="0"/>
        <w:bidi w:val="0"/>
        <w:jc w:val="center"/>
        <w:outlineLvl w:val="9"/>
        <w:rPr>
          <w:rFonts w:ascii="宋体" w:hAnsi="宋体" w:cs="宋体"/>
          <w:b/>
          <w:color w:val="auto"/>
          <w:spacing w:val="6"/>
          <w:sz w:val="32"/>
          <w:szCs w:val="32"/>
        </w:rPr>
      </w:pPr>
    </w:p>
    <w:p w14:paraId="5BA6BE36">
      <w:pPr>
        <w:kinsoku/>
        <w:wordWrap/>
        <w:overflowPunct/>
        <w:topLinePunct w:val="0"/>
        <w:autoSpaceDE w:val="0"/>
        <w:autoSpaceDN w:val="0"/>
        <w:bidi w:val="0"/>
        <w:jc w:val="center"/>
        <w:outlineLvl w:val="9"/>
        <w:rPr>
          <w:rFonts w:ascii="宋体" w:hAnsi="宋体" w:cs="宋体"/>
          <w:b/>
          <w:color w:val="auto"/>
          <w:spacing w:val="6"/>
          <w:sz w:val="32"/>
          <w:szCs w:val="32"/>
        </w:rPr>
      </w:pPr>
    </w:p>
    <w:p w14:paraId="7B23BA1F">
      <w:pPr>
        <w:kinsoku/>
        <w:wordWrap/>
        <w:overflowPunct/>
        <w:topLinePunct w:val="0"/>
        <w:autoSpaceDE w:val="0"/>
        <w:autoSpaceDN w:val="0"/>
        <w:bidi w:val="0"/>
        <w:jc w:val="center"/>
        <w:outlineLvl w:val="9"/>
        <w:rPr>
          <w:rFonts w:ascii="宋体" w:hAnsi="宋体" w:cs="宋体"/>
          <w:b/>
          <w:color w:val="auto"/>
          <w:spacing w:val="6"/>
          <w:sz w:val="32"/>
          <w:szCs w:val="32"/>
        </w:rPr>
      </w:pPr>
    </w:p>
    <w:p w14:paraId="29605EFB">
      <w:pPr>
        <w:kinsoku/>
        <w:wordWrap/>
        <w:overflowPunct/>
        <w:topLinePunct w:val="0"/>
        <w:autoSpaceDE w:val="0"/>
        <w:autoSpaceDN w:val="0"/>
        <w:bidi w:val="0"/>
        <w:jc w:val="center"/>
        <w:outlineLvl w:val="9"/>
        <w:rPr>
          <w:rFonts w:ascii="宋体" w:hAnsi="宋体" w:cs="宋体"/>
          <w:b/>
          <w:color w:val="auto"/>
          <w:spacing w:val="6"/>
          <w:sz w:val="32"/>
          <w:szCs w:val="32"/>
        </w:rPr>
      </w:pPr>
    </w:p>
    <w:p w14:paraId="7C4F2F81">
      <w:pPr>
        <w:kinsoku/>
        <w:wordWrap/>
        <w:overflowPunct/>
        <w:topLinePunct w:val="0"/>
        <w:autoSpaceDE w:val="0"/>
        <w:autoSpaceDN w:val="0"/>
        <w:bidi w:val="0"/>
        <w:jc w:val="center"/>
        <w:outlineLvl w:val="9"/>
        <w:rPr>
          <w:rFonts w:ascii="宋体" w:hAnsi="宋体" w:cs="宋体"/>
          <w:b/>
          <w:color w:val="auto"/>
          <w:spacing w:val="6"/>
          <w:sz w:val="32"/>
          <w:szCs w:val="32"/>
        </w:rPr>
      </w:pPr>
    </w:p>
    <w:p w14:paraId="3056230D">
      <w:pPr>
        <w:kinsoku/>
        <w:wordWrap/>
        <w:overflowPunct/>
        <w:topLinePunct w:val="0"/>
        <w:autoSpaceDE w:val="0"/>
        <w:autoSpaceDN w:val="0"/>
        <w:bidi w:val="0"/>
        <w:jc w:val="center"/>
        <w:outlineLvl w:val="9"/>
        <w:rPr>
          <w:rFonts w:ascii="宋体" w:hAnsi="宋体" w:cs="宋体"/>
          <w:b/>
          <w:color w:val="auto"/>
          <w:spacing w:val="6"/>
          <w:sz w:val="32"/>
          <w:szCs w:val="32"/>
        </w:rPr>
      </w:pPr>
    </w:p>
    <w:p w14:paraId="45F9D711">
      <w:pPr>
        <w:kinsoku/>
        <w:wordWrap/>
        <w:overflowPunct/>
        <w:topLinePunct w:val="0"/>
        <w:autoSpaceDE w:val="0"/>
        <w:autoSpaceDN w:val="0"/>
        <w:bidi w:val="0"/>
        <w:jc w:val="center"/>
        <w:outlineLvl w:val="9"/>
        <w:rPr>
          <w:rFonts w:ascii="宋体" w:hAnsi="宋体" w:cs="宋体"/>
          <w:b/>
          <w:color w:val="auto"/>
          <w:spacing w:val="6"/>
          <w:sz w:val="32"/>
          <w:szCs w:val="32"/>
        </w:rPr>
      </w:pPr>
    </w:p>
    <w:p w14:paraId="47483E86">
      <w:pPr>
        <w:kinsoku/>
        <w:wordWrap/>
        <w:overflowPunct/>
        <w:topLinePunct w:val="0"/>
        <w:bidi w:val="0"/>
        <w:snapToGrid w:val="0"/>
        <w:spacing w:line="360" w:lineRule="auto"/>
        <w:jc w:val="center"/>
        <w:outlineLvl w:val="9"/>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35DF789C">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rPr>
      </w:pPr>
      <w:r>
        <w:rPr>
          <w:rFonts w:hint="eastAsia" w:ascii="宋体" w:hAnsi="宋体" w:cs="宋体"/>
          <w:b/>
          <w:color w:val="auto"/>
          <w:sz w:val="24"/>
        </w:rPr>
        <w:t>（以联合体形式投标的，提供联合协议；本项目不接受联合体投标或者</w:t>
      </w:r>
      <w:r>
        <w:rPr>
          <w:rFonts w:hint="eastAsia" w:ascii="宋体" w:hAnsi="宋体" w:cs="宋体"/>
          <w:b/>
          <w:color w:val="auto"/>
          <w:sz w:val="24"/>
          <w:lang w:eastAsia="zh-CN"/>
        </w:rPr>
        <w:t>供应商</w:t>
      </w:r>
      <w:r>
        <w:rPr>
          <w:rFonts w:hint="eastAsia" w:ascii="宋体" w:hAnsi="宋体" w:cs="宋体"/>
          <w:b/>
          <w:color w:val="auto"/>
          <w:sz w:val="24"/>
        </w:rPr>
        <w:t>不以联合体形式投标的，则不需要提供）</w:t>
      </w:r>
    </w:p>
    <w:p w14:paraId="5DC20D3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组成一个联合体，以一个供应商的身份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124D69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27600C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07D173A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9A3CE4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bookmarkStart w:id="560"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0A1BED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FA4C4C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w:t>
      </w:r>
    </w:p>
    <w:bookmarkEnd w:id="560"/>
    <w:p w14:paraId="755CD29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104756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374E8C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28330C4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568EC6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6E0D61B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36B87DE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4198CD2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2A346ED">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F186789">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913A1C0">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48AF9F3">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DD5D70B">
      <w:pPr>
        <w:kinsoku/>
        <w:wordWrap/>
        <w:overflowPunct/>
        <w:topLinePunct w:val="0"/>
        <w:bidi w:val="0"/>
        <w:snapToGrid w:val="0"/>
        <w:spacing w:line="360" w:lineRule="auto"/>
        <w:jc w:val="both"/>
        <w:outlineLvl w:val="9"/>
        <w:rPr>
          <w:rFonts w:hint="eastAsia" w:ascii="宋体" w:hAnsi="宋体" w:cs="宋体"/>
          <w:color w:val="auto"/>
          <w:sz w:val="24"/>
        </w:rPr>
      </w:pPr>
      <w:r>
        <w:rPr>
          <w:rFonts w:hint="eastAsia" w:ascii="宋体" w:hAnsi="宋体" w:cs="宋体"/>
          <w:color w:val="auto"/>
          <w:sz w:val="24"/>
        </w:rPr>
        <w:t>注：按本格式和要求提供。</w:t>
      </w:r>
    </w:p>
    <w:p w14:paraId="015A3099">
      <w:pPr>
        <w:kinsoku/>
        <w:wordWrap/>
        <w:overflowPunct/>
        <w:topLinePunct w:val="0"/>
        <w:bidi w:val="0"/>
        <w:outlineLvl w:val="9"/>
        <w:rPr>
          <w:rFonts w:hint="eastAsia" w:ascii="宋体" w:hAnsi="宋体" w:cs="宋体"/>
          <w:color w:val="auto"/>
          <w:sz w:val="24"/>
        </w:rPr>
      </w:pPr>
      <w:r>
        <w:rPr>
          <w:rFonts w:hint="eastAsia" w:ascii="宋体" w:hAnsi="宋体" w:cs="宋体"/>
          <w:color w:val="auto"/>
          <w:sz w:val="24"/>
        </w:rPr>
        <w:br w:type="page"/>
      </w:r>
    </w:p>
    <w:p w14:paraId="3A64D1EF">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7919CD91">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w:t>
      </w:r>
      <w:r>
        <w:rPr>
          <w:rFonts w:hint="eastAsia" w:ascii="宋体" w:hAnsi="宋体" w:cs="宋体"/>
          <w:b/>
          <w:color w:val="auto"/>
          <w:sz w:val="24"/>
          <w:lang w:eastAsia="zh-CN"/>
        </w:rPr>
        <w:t>供应商</w:t>
      </w:r>
      <w:r>
        <w:rPr>
          <w:rFonts w:hint="eastAsia" w:ascii="宋体" w:hAnsi="宋体" w:cs="宋体"/>
          <w:b/>
          <w:color w:val="auto"/>
          <w:sz w:val="24"/>
        </w:rPr>
        <w:t>中标后不以分包方式履行合同的，则不需要提供。</w:t>
      </w:r>
      <w:r>
        <w:rPr>
          <w:rFonts w:hint="eastAsia" w:ascii="宋体" w:hAnsi="宋体" w:cs="宋体"/>
          <w:color w:val="auto"/>
          <w:sz w:val="24"/>
        </w:rPr>
        <w:t>）</w:t>
      </w:r>
    </w:p>
    <w:p w14:paraId="43BA89A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u w:val="single"/>
        </w:rPr>
        <w:t>（</w:t>
      </w:r>
      <w:r>
        <w:rPr>
          <w:rFonts w:hint="eastAsia" w:ascii="宋体" w:hAnsi="宋体" w:cs="宋体"/>
          <w:color w:val="auto"/>
          <w:kern w:val="0"/>
          <w:sz w:val="24"/>
          <w:u w:val="single"/>
          <w:lang w:eastAsia="zh-CN"/>
        </w:rPr>
        <w:t>供应商</w:t>
      </w:r>
      <w:r>
        <w:rPr>
          <w:rFonts w:hint="eastAsia" w:ascii="宋体" w:hAnsi="宋体" w:cs="宋体"/>
          <w:color w:val="auto"/>
          <w:kern w:val="0"/>
          <w:sz w:val="24"/>
          <w:u w:val="single"/>
        </w:rPr>
        <w:t>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w:t>
      </w:r>
      <w:r>
        <w:rPr>
          <w:rFonts w:hint="eastAsia" w:ascii="宋体" w:hAnsi="宋体" w:cs="宋体"/>
          <w:color w:val="auto"/>
          <w:kern w:val="0"/>
          <w:sz w:val="24"/>
          <w:u w:val="single"/>
          <w:lang w:eastAsia="zh-CN"/>
        </w:rPr>
        <w:t>供应商</w:t>
      </w:r>
      <w:r>
        <w:rPr>
          <w:rFonts w:hint="eastAsia" w:ascii="宋体" w:hAnsi="宋体" w:cs="宋体"/>
          <w:color w:val="auto"/>
          <w:kern w:val="0"/>
          <w:sz w:val="24"/>
          <w:u w:val="single"/>
        </w:rPr>
        <w:t>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CB85B98">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0E73A2D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u w:val="single"/>
        </w:rPr>
        <w:t>（</w:t>
      </w:r>
      <w:r>
        <w:rPr>
          <w:rFonts w:hint="eastAsia" w:ascii="宋体" w:hAnsi="宋体" w:cs="宋体"/>
          <w:color w:val="auto"/>
          <w:kern w:val="0"/>
          <w:sz w:val="24"/>
          <w:u w:val="single"/>
          <w:lang w:eastAsia="zh-CN"/>
        </w:rPr>
        <w:t>供应商</w:t>
      </w:r>
      <w:r>
        <w:rPr>
          <w:rFonts w:hint="eastAsia" w:ascii="宋体" w:hAnsi="宋体" w:cs="宋体"/>
          <w:color w:val="auto"/>
          <w:kern w:val="0"/>
          <w:sz w:val="24"/>
          <w:u w:val="single"/>
        </w:rPr>
        <w:t>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A088084">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1910201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4C35FF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C7FEE71">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lang w:val="zh-CN"/>
        </w:rPr>
      </w:pPr>
      <w:r>
        <w:rPr>
          <w:rFonts w:hint="eastAsia" w:ascii="宋体" w:hAnsi="宋体" w:cs="宋体"/>
          <w:color w:val="auto"/>
          <w:sz w:val="24"/>
        </w:rPr>
        <w:t>2、</w:t>
      </w:r>
      <w:bookmarkStart w:id="561"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61"/>
    </w:p>
    <w:p w14:paraId="441AEAD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4729FB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u w:val="single"/>
        </w:rPr>
      </w:pPr>
      <w:r>
        <w:rPr>
          <w:rFonts w:hint="eastAsia" w:ascii="宋体" w:hAnsi="宋体" w:cs="宋体"/>
          <w:color w:val="auto"/>
          <w:u w:val="single"/>
        </w:rPr>
        <w:t xml:space="preserve">                                                                                  </w:t>
      </w:r>
    </w:p>
    <w:p w14:paraId="1F36091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四、质量</w:t>
      </w:r>
    </w:p>
    <w:p w14:paraId="130C142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u w:val="single"/>
        </w:rPr>
        <w:t xml:space="preserve">                                                                                       </w:t>
      </w:r>
    </w:p>
    <w:p w14:paraId="29EBC66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177C9B4B">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lang w:val="zh-CN"/>
        </w:rPr>
      </w:pPr>
      <w:r>
        <w:rPr>
          <w:rFonts w:hint="eastAsia" w:ascii="宋体" w:hAnsi="宋体" w:cs="宋体"/>
          <w:color w:val="auto"/>
          <w:u w:val="single"/>
        </w:rPr>
        <w:t xml:space="preserve">                                                                                     </w:t>
      </w:r>
    </w:p>
    <w:p w14:paraId="3475027A">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六、违约责任</w:t>
      </w:r>
    </w:p>
    <w:p w14:paraId="336F4FC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u w:val="single"/>
        </w:rPr>
        <w:t xml:space="preserve">                                                                                     </w:t>
      </w:r>
    </w:p>
    <w:p w14:paraId="1B1BF29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7AC1B0E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u w:val="single"/>
        </w:rPr>
        <w:t xml:space="preserve">                                                                                  </w:t>
      </w:r>
    </w:p>
    <w:p w14:paraId="49ED94BC">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w:t>
      </w:r>
    </w:p>
    <w:p w14:paraId="136853BB">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B96EB3E">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rPr>
      </w:pPr>
      <w:r>
        <w:rPr>
          <w:rFonts w:hint="eastAsia" w:ascii="宋体" w:hAnsi="宋体" w:cs="宋体"/>
          <w:color w:val="auto"/>
          <w:kern w:val="0"/>
          <w:sz w:val="24"/>
          <w:lang w:val="zh-CN"/>
        </w:rPr>
        <w:t>……</w:t>
      </w:r>
    </w:p>
    <w:p w14:paraId="631CAA65">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A0D7FA4">
      <w:pPr>
        <w:widowControl/>
        <w:kinsoku/>
        <w:wordWrap/>
        <w:overflowPunct/>
        <w:topLinePunct w:val="0"/>
        <w:bidi w:val="0"/>
        <w:adjustRightInd/>
        <w:jc w:val="left"/>
        <w:outlineLvl w:val="9"/>
        <w:rPr>
          <w:rFonts w:hint="eastAsia" w:ascii="宋体" w:hAnsi="宋体" w:cs="宋体"/>
          <w:color w:val="auto"/>
          <w:sz w:val="24"/>
        </w:rPr>
      </w:pPr>
      <w:r>
        <w:rPr>
          <w:rFonts w:hint="eastAsia" w:ascii="宋体" w:hAnsi="宋体" w:cs="宋体"/>
          <w:color w:val="auto"/>
          <w:sz w:val="24"/>
        </w:rPr>
        <w:t>注：按本格式和要求提供。</w:t>
      </w:r>
    </w:p>
    <w:p w14:paraId="1A9DF1DB">
      <w:pPr>
        <w:widowControl/>
        <w:kinsoku/>
        <w:wordWrap/>
        <w:overflowPunct/>
        <w:topLinePunct w:val="0"/>
        <w:bidi w:val="0"/>
        <w:adjustRightInd/>
        <w:jc w:val="left"/>
        <w:outlineLvl w:val="9"/>
        <w:rPr>
          <w:rFonts w:ascii="宋体" w:hAnsi="宋体" w:cs="宋体"/>
          <w:b/>
          <w:color w:val="auto"/>
          <w:kern w:val="0"/>
          <w:sz w:val="32"/>
          <w:szCs w:val="32"/>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41908">
    <w:pPr>
      <w:pStyle w:val="43"/>
      <w:tabs>
        <w:tab w:val="center" w:pos="4535"/>
        <w:tab w:val="clear" w:pos="4153"/>
      </w:tabs>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3554B">
    <w:pPr>
      <w:pStyle w:val="43"/>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2AB49">
                          <w:pPr>
                            <w:pStyle w:val="4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EA2AB49">
                    <w:pPr>
                      <w:pStyle w:val="4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A4D6">
    <w:pPr>
      <w:pStyle w:val="43"/>
      <w:framePr w:wrap="around" w:vAnchor="text" w:hAnchor="margin" w:xAlign="right" w:y="1"/>
      <w:rPr>
        <w:rStyle w:val="72"/>
      </w:rPr>
    </w:pPr>
    <w:r>
      <w:fldChar w:fldCharType="begin"/>
    </w:r>
    <w:r>
      <w:rPr>
        <w:rStyle w:val="72"/>
      </w:rPr>
      <w:instrText xml:space="preserve">PAGE  </w:instrText>
    </w:r>
    <w:r>
      <w:fldChar w:fldCharType="end"/>
    </w:r>
  </w:p>
  <w:p w14:paraId="7F7F0880">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13FA5">
    <w:pPr>
      <w:pStyle w:val="43"/>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F4680">
                          <w:pPr>
                            <w:pStyle w:val="4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33F4680">
                    <w:pPr>
                      <w:pStyle w:val="4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75A98">
    <w:pPr>
      <w:pStyle w:val="43"/>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37954">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4037954">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BFE1">
    <w:pPr>
      <w:pStyle w:val="43"/>
      <w:tabs>
        <w:tab w:val="center" w:pos="4535"/>
        <w:tab w:val="clear" w:pos="4153"/>
      </w:tabs>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60903">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B160903">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6483A">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E837B">
                          <w:pPr>
                            <w:pStyle w:val="4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D0E837B">
                    <w:pPr>
                      <w:pStyle w:val="4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7665B">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01D65">
                          <w:pPr>
                            <w:pStyle w:val="4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F101D65">
                    <w:pPr>
                      <w:pStyle w:val="4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98EE">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195A4">
                          <w:pPr>
                            <w:pStyle w:val="4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5A195A4">
                    <w:pPr>
                      <w:pStyle w:val="4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D76E4">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A29BC">
                          <w:pPr>
                            <w:pStyle w:val="4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47A29BC">
                    <w:pPr>
                      <w:pStyle w:val="4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E62DC">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5220A">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8E5220A">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CF54">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543C5">
                          <w:pPr>
                            <w:pStyle w:val="4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EB543C5">
                    <w:pPr>
                      <w:pStyle w:val="4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3476">
    <w:pPr>
      <w:pStyle w:val="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09EEA">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AE83E">
    <w:pPr>
      <w:pStyle w:val="44"/>
      <w:pBdr>
        <w:top w:val="none" w:color="auto" w:sz="0" w:space="0"/>
        <w:left w:val="none" w:color="auto" w:sz="0" w:space="0"/>
        <w:bottom w:val="none" w:color="auto" w:sz="0" w:space="1"/>
        <w:right w:val="none" w:color="auto" w:sz="0" w:space="0"/>
        <w:between w:val="none" w:color="auto" w:sz="0" w:space="0"/>
      </w:pBd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2D9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F5980">
    <w:pPr>
      <w:pStyle w:val="4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D2289">
    <w:pPr>
      <w:pStyle w:val="44"/>
      <w:jc w:val="right"/>
      <w:rPr>
        <w:rFonts w:ascii="仿宋_GB2312" w:eastAsia="仿宋_GB2312"/>
        <w:b/>
        <w:i/>
        <w:u w:val="single"/>
      </w:rPr>
    </w:pPr>
    <w:r>
      <w:rPr>
        <w:rFonts w:hint="eastAsia"/>
      </w:rPr>
      <w:t xml:space="preserve">                                  </w:t>
    </w:r>
    <w:r>
      <w:t>杭州市政府采购公开招标文件</w:t>
    </w:r>
  </w:p>
  <w:p w14:paraId="02AD4C7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6A85E">
    <w:pPr>
      <w:pStyle w:val="4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C03E4">
    <w:pPr>
      <w:pStyle w:val="4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D8062">
    <w:pPr>
      <w:pStyle w:val="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F58A"/>
    <w:multiLevelType w:val="singleLevel"/>
    <w:tmpl w:val="C959F58A"/>
    <w:lvl w:ilvl="0" w:tentative="0">
      <w:start w:val="2"/>
      <w:numFmt w:val="chineseCounting"/>
      <w:suff w:val="nothing"/>
      <w:lvlText w:val="%1、"/>
      <w:lvlJc w:val="left"/>
      <w:rPr>
        <w:rFonts w:hint="eastAsia"/>
      </w:rPr>
    </w:lvl>
  </w:abstractNum>
  <w:abstractNum w:abstractNumId="1">
    <w:nsid w:val="DC798F30"/>
    <w:multiLevelType w:val="singleLevel"/>
    <w:tmpl w:val="DC798F30"/>
    <w:lvl w:ilvl="0" w:tentative="0">
      <w:start w:val="11"/>
      <w:numFmt w:val="chineseCounting"/>
      <w:suff w:val="nothing"/>
      <w:lvlText w:val="（%1）"/>
      <w:lvlJc w:val="left"/>
      <w:rPr>
        <w:rFonts w:hint="eastAsia"/>
      </w:rPr>
    </w:lvl>
  </w:abstractNum>
  <w:abstractNum w:abstractNumId="2">
    <w:nsid w:val="01CB1486"/>
    <w:multiLevelType w:val="singleLevel"/>
    <w:tmpl w:val="01CB1486"/>
    <w:lvl w:ilvl="0" w:tentative="0">
      <w:start w:val="1"/>
      <w:numFmt w:val="decimal"/>
      <w:suff w:val="nothing"/>
      <w:lvlText w:val="（%1）"/>
      <w:lvlJc w:val="left"/>
    </w:lvl>
  </w:abstractNum>
  <w:abstractNum w:abstractNumId="3">
    <w:nsid w:val="324C73FB"/>
    <w:multiLevelType w:val="singleLevel"/>
    <w:tmpl w:val="324C73FB"/>
    <w:lvl w:ilvl="0" w:tentative="0">
      <w:start w:val="1"/>
      <w:numFmt w:val="decimal"/>
      <w:suff w:val="nothing"/>
      <w:lvlText w:val="%1、"/>
      <w:lvlJc w:val="left"/>
    </w:lvl>
  </w:abstractNum>
  <w:abstractNum w:abstractNumId="4">
    <w:nsid w:val="39C88622"/>
    <w:multiLevelType w:val="singleLevel"/>
    <w:tmpl w:val="39C88622"/>
    <w:lvl w:ilvl="0" w:tentative="0">
      <w:start w:val="3"/>
      <w:numFmt w:val="chineseCounting"/>
      <w:suff w:val="nothing"/>
      <w:lvlText w:val="（%1）"/>
      <w:lvlJc w:val="left"/>
      <w:rPr>
        <w:rFonts w:hint="eastAsia"/>
      </w:rPr>
    </w:lvl>
  </w:abstractNum>
  <w:abstractNum w:abstractNumId="5">
    <w:nsid w:val="47079F1C"/>
    <w:multiLevelType w:val="singleLevel"/>
    <w:tmpl w:val="47079F1C"/>
    <w:lvl w:ilvl="0" w:tentative="0">
      <w:start w:val="5"/>
      <w:numFmt w:val="chineseCounting"/>
      <w:suff w:val="nothing"/>
      <w:lvlText w:val="（%1）"/>
      <w:lvlJc w:val="left"/>
      <w:rPr>
        <w:rFonts w:hint="eastAsia"/>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086FB2"/>
    <w:rsid w:val="02302F8F"/>
    <w:rsid w:val="025F0711"/>
    <w:rsid w:val="026B2E25"/>
    <w:rsid w:val="02824D4D"/>
    <w:rsid w:val="02DC4B10"/>
    <w:rsid w:val="02DD76CE"/>
    <w:rsid w:val="02F36323"/>
    <w:rsid w:val="02F5619C"/>
    <w:rsid w:val="0326446A"/>
    <w:rsid w:val="032D5555"/>
    <w:rsid w:val="03316D7A"/>
    <w:rsid w:val="036634D2"/>
    <w:rsid w:val="03823539"/>
    <w:rsid w:val="03DD35E4"/>
    <w:rsid w:val="04076900"/>
    <w:rsid w:val="041A5A3B"/>
    <w:rsid w:val="042311BA"/>
    <w:rsid w:val="042B157A"/>
    <w:rsid w:val="048F763B"/>
    <w:rsid w:val="049A7BD3"/>
    <w:rsid w:val="049F330E"/>
    <w:rsid w:val="04AA775C"/>
    <w:rsid w:val="04AF1889"/>
    <w:rsid w:val="04D06B14"/>
    <w:rsid w:val="04F66F48"/>
    <w:rsid w:val="05251E14"/>
    <w:rsid w:val="05A16594"/>
    <w:rsid w:val="05A7762D"/>
    <w:rsid w:val="05CA5EFC"/>
    <w:rsid w:val="05F12DE6"/>
    <w:rsid w:val="060E5941"/>
    <w:rsid w:val="06110FAF"/>
    <w:rsid w:val="06493CA7"/>
    <w:rsid w:val="065A6178"/>
    <w:rsid w:val="066F1CF3"/>
    <w:rsid w:val="06930BB8"/>
    <w:rsid w:val="06DE1532"/>
    <w:rsid w:val="07245D42"/>
    <w:rsid w:val="07264C62"/>
    <w:rsid w:val="0779354C"/>
    <w:rsid w:val="08061376"/>
    <w:rsid w:val="08452D77"/>
    <w:rsid w:val="086401F8"/>
    <w:rsid w:val="08751CAA"/>
    <w:rsid w:val="087E4C40"/>
    <w:rsid w:val="08A871D0"/>
    <w:rsid w:val="08B5322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709B0"/>
    <w:rsid w:val="09E04166"/>
    <w:rsid w:val="0A1C0718"/>
    <w:rsid w:val="0A261F09"/>
    <w:rsid w:val="0A3E7710"/>
    <w:rsid w:val="0A5B7E63"/>
    <w:rsid w:val="0A6425BA"/>
    <w:rsid w:val="0AA374A5"/>
    <w:rsid w:val="0AAA2D54"/>
    <w:rsid w:val="0AAB7649"/>
    <w:rsid w:val="0ABC5606"/>
    <w:rsid w:val="0B30404E"/>
    <w:rsid w:val="0B4C6C14"/>
    <w:rsid w:val="0B547599"/>
    <w:rsid w:val="0B631A88"/>
    <w:rsid w:val="0B683D45"/>
    <w:rsid w:val="0B7F3F11"/>
    <w:rsid w:val="0B884417"/>
    <w:rsid w:val="0BF6188C"/>
    <w:rsid w:val="0BF73C91"/>
    <w:rsid w:val="0C0F5A08"/>
    <w:rsid w:val="0C170175"/>
    <w:rsid w:val="0C571A41"/>
    <w:rsid w:val="0C5C1171"/>
    <w:rsid w:val="0C5E1CBC"/>
    <w:rsid w:val="0C615B50"/>
    <w:rsid w:val="0C8445DA"/>
    <w:rsid w:val="0C87121B"/>
    <w:rsid w:val="0CA21D1B"/>
    <w:rsid w:val="0CC007F7"/>
    <w:rsid w:val="0CC021A1"/>
    <w:rsid w:val="0CC617AC"/>
    <w:rsid w:val="0CCA3020"/>
    <w:rsid w:val="0CE618DF"/>
    <w:rsid w:val="0CFE707A"/>
    <w:rsid w:val="0D063BDA"/>
    <w:rsid w:val="0D08375F"/>
    <w:rsid w:val="0D184CFB"/>
    <w:rsid w:val="0D1B7B20"/>
    <w:rsid w:val="0D4A7419"/>
    <w:rsid w:val="0D827401"/>
    <w:rsid w:val="0D84094E"/>
    <w:rsid w:val="0D8A00E9"/>
    <w:rsid w:val="0D8D589E"/>
    <w:rsid w:val="0DA01C73"/>
    <w:rsid w:val="0DD63300"/>
    <w:rsid w:val="0DF50604"/>
    <w:rsid w:val="0DF702FE"/>
    <w:rsid w:val="0E035301"/>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B61A89"/>
    <w:rsid w:val="11C6522A"/>
    <w:rsid w:val="11E104CC"/>
    <w:rsid w:val="11E20309"/>
    <w:rsid w:val="12255233"/>
    <w:rsid w:val="123877D0"/>
    <w:rsid w:val="123936E9"/>
    <w:rsid w:val="12530213"/>
    <w:rsid w:val="127723A9"/>
    <w:rsid w:val="12862074"/>
    <w:rsid w:val="12883966"/>
    <w:rsid w:val="129E45B4"/>
    <w:rsid w:val="12C16087"/>
    <w:rsid w:val="12D81596"/>
    <w:rsid w:val="13072A44"/>
    <w:rsid w:val="135F4BE2"/>
    <w:rsid w:val="139B1A0A"/>
    <w:rsid w:val="139D25C7"/>
    <w:rsid w:val="13BF3CE4"/>
    <w:rsid w:val="141008D8"/>
    <w:rsid w:val="14125FE6"/>
    <w:rsid w:val="14213E6D"/>
    <w:rsid w:val="1444190A"/>
    <w:rsid w:val="146D271E"/>
    <w:rsid w:val="14982588"/>
    <w:rsid w:val="149A5AD9"/>
    <w:rsid w:val="14A7619D"/>
    <w:rsid w:val="150536C3"/>
    <w:rsid w:val="150C1963"/>
    <w:rsid w:val="151447A0"/>
    <w:rsid w:val="154A6454"/>
    <w:rsid w:val="15762120"/>
    <w:rsid w:val="15F86E50"/>
    <w:rsid w:val="16A8729C"/>
    <w:rsid w:val="16B33777"/>
    <w:rsid w:val="16BC70A7"/>
    <w:rsid w:val="16C6339E"/>
    <w:rsid w:val="172F2D79"/>
    <w:rsid w:val="17557BEF"/>
    <w:rsid w:val="177F74FC"/>
    <w:rsid w:val="17A0154D"/>
    <w:rsid w:val="17AF79E2"/>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206EE"/>
    <w:rsid w:val="1AB8220E"/>
    <w:rsid w:val="1AE4166C"/>
    <w:rsid w:val="1AF06CFB"/>
    <w:rsid w:val="1AF11B8D"/>
    <w:rsid w:val="1B11359C"/>
    <w:rsid w:val="1B2A271F"/>
    <w:rsid w:val="1B4D7AF5"/>
    <w:rsid w:val="1B530544"/>
    <w:rsid w:val="1B605CBE"/>
    <w:rsid w:val="1B713184"/>
    <w:rsid w:val="1BA209CF"/>
    <w:rsid w:val="1BB4777D"/>
    <w:rsid w:val="1BD75AB8"/>
    <w:rsid w:val="1C0459C2"/>
    <w:rsid w:val="1C1B3B4A"/>
    <w:rsid w:val="1C88086E"/>
    <w:rsid w:val="1CFA16FF"/>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9E2B0B"/>
    <w:rsid w:val="1EA703CC"/>
    <w:rsid w:val="1EB7330C"/>
    <w:rsid w:val="1F0A0FF3"/>
    <w:rsid w:val="1F47684D"/>
    <w:rsid w:val="1F5771FF"/>
    <w:rsid w:val="1FD52574"/>
    <w:rsid w:val="1FE43FA1"/>
    <w:rsid w:val="1FE54C44"/>
    <w:rsid w:val="1FE868A9"/>
    <w:rsid w:val="20034907"/>
    <w:rsid w:val="20173E4B"/>
    <w:rsid w:val="20414FC7"/>
    <w:rsid w:val="204E48BC"/>
    <w:rsid w:val="208921B3"/>
    <w:rsid w:val="20973DEB"/>
    <w:rsid w:val="20B0297E"/>
    <w:rsid w:val="20B26522"/>
    <w:rsid w:val="20B44310"/>
    <w:rsid w:val="210F5D0D"/>
    <w:rsid w:val="211116EB"/>
    <w:rsid w:val="216133FC"/>
    <w:rsid w:val="21D56769"/>
    <w:rsid w:val="21D85CA7"/>
    <w:rsid w:val="21E52EF3"/>
    <w:rsid w:val="21EB5ABA"/>
    <w:rsid w:val="21FB5D7B"/>
    <w:rsid w:val="22015E94"/>
    <w:rsid w:val="220B1C3D"/>
    <w:rsid w:val="221D1D20"/>
    <w:rsid w:val="22334A87"/>
    <w:rsid w:val="22BE6801"/>
    <w:rsid w:val="233500BF"/>
    <w:rsid w:val="23377FF7"/>
    <w:rsid w:val="233F7B71"/>
    <w:rsid w:val="236B425F"/>
    <w:rsid w:val="23836192"/>
    <w:rsid w:val="23901F29"/>
    <w:rsid w:val="239C0061"/>
    <w:rsid w:val="23A93537"/>
    <w:rsid w:val="23B908A4"/>
    <w:rsid w:val="23BC3FC1"/>
    <w:rsid w:val="23E95BEF"/>
    <w:rsid w:val="23FD0064"/>
    <w:rsid w:val="243B644C"/>
    <w:rsid w:val="245375B0"/>
    <w:rsid w:val="24642C0A"/>
    <w:rsid w:val="24B22173"/>
    <w:rsid w:val="24B95AD9"/>
    <w:rsid w:val="24BE24DA"/>
    <w:rsid w:val="24CF5825"/>
    <w:rsid w:val="24D663E6"/>
    <w:rsid w:val="24D77F2B"/>
    <w:rsid w:val="258B00E2"/>
    <w:rsid w:val="25A917A6"/>
    <w:rsid w:val="25BE27CC"/>
    <w:rsid w:val="25F74A5C"/>
    <w:rsid w:val="260512EE"/>
    <w:rsid w:val="2628662C"/>
    <w:rsid w:val="262D45DE"/>
    <w:rsid w:val="26871DC8"/>
    <w:rsid w:val="26A53EF9"/>
    <w:rsid w:val="26A94201"/>
    <w:rsid w:val="26AC274F"/>
    <w:rsid w:val="27044A29"/>
    <w:rsid w:val="271D34C8"/>
    <w:rsid w:val="275D2FB6"/>
    <w:rsid w:val="276142BF"/>
    <w:rsid w:val="27783712"/>
    <w:rsid w:val="27907362"/>
    <w:rsid w:val="27F9272A"/>
    <w:rsid w:val="28333E1D"/>
    <w:rsid w:val="28454BD6"/>
    <w:rsid w:val="28455253"/>
    <w:rsid w:val="28551971"/>
    <w:rsid w:val="285B1C53"/>
    <w:rsid w:val="289F7086"/>
    <w:rsid w:val="28A10C81"/>
    <w:rsid w:val="28C32028"/>
    <w:rsid w:val="28CC490F"/>
    <w:rsid w:val="28DE40AA"/>
    <w:rsid w:val="290835A3"/>
    <w:rsid w:val="29345E77"/>
    <w:rsid w:val="294C65AD"/>
    <w:rsid w:val="29634188"/>
    <w:rsid w:val="29806583"/>
    <w:rsid w:val="298B3C4C"/>
    <w:rsid w:val="29C34593"/>
    <w:rsid w:val="29F26D24"/>
    <w:rsid w:val="2A15033F"/>
    <w:rsid w:val="2A1662C1"/>
    <w:rsid w:val="2A1C7367"/>
    <w:rsid w:val="2A2815FA"/>
    <w:rsid w:val="2A6D6092"/>
    <w:rsid w:val="2A7D76B4"/>
    <w:rsid w:val="2B09293F"/>
    <w:rsid w:val="2B3B3188"/>
    <w:rsid w:val="2B437463"/>
    <w:rsid w:val="2B7807EE"/>
    <w:rsid w:val="2BA50BF7"/>
    <w:rsid w:val="2BAE104B"/>
    <w:rsid w:val="2BBF00EC"/>
    <w:rsid w:val="2BC37CFD"/>
    <w:rsid w:val="2BD5237F"/>
    <w:rsid w:val="2BE536CE"/>
    <w:rsid w:val="2BE758D9"/>
    <w:rsid w:val="2BF346BB"/>
    <w:rsid w:val="2C09049E"/>
    <w:rsid w:val="2C0A653C"/>
    <w:rsid w:val="2C191F85"/>
    <w:rsid w:val="2CE82D6F"/>
    <w:rsid w:val="2D0F099C"/>
    <w:rsid w:val="2D270EDA"/>
    <w:rsid w:val="2D343236"/>
    <w:rsid w:val="2D575011"/>
    <w:rsid w:val="2D891F66"/>
    <w:rsid w:val="2DD15014"/>
    <w:rsid w:val="2DF72DE4"/>
    <w:rsid w:val="2E0220AF"/>
    <w:rsid w:val="2E0C1292"/>
    <w:rsid w:val="2E4B082A"/>
    <w:rsid w:val="2E5D4E86"/>
    <w:rsid w:val="2E5D790B"/>
    <w:rsid w:val="2E9A3C18"/>
    <w:rsid w:val="2EBB0FEE"/>
    <w:rsid w:val="2EC63002"/>
    <w:rsid w:val="2F0A6B38"/>
    <w:rsid w:val="2F0B757D"/>
    <w:rsid w:val="2F7760A6"/>
    <w:rsid w:val="2F946CCB"/>
    <w:rsid w:val="2FD25781"/>
    <w:rsid w:val="2FDC745C"/>
    <w:rsid w:val="2FE45104"/>
    <w:rsid w:val="2FFD7934"/>
    <w:rsid w:val="30733ACD"/>
    <w:rsid w:val="308C3862"/>
    <w:rsid w:val="309379D8"/>
    <w:rsid w:val="30A270F7"/>
    <w:rsid w:val="30DF1478"/>
    <w:rsid w:val="30EC586F"/>
    <w:rsid w:val="3172765E"/>
    <w:rsid w:val="319C6071"/>
    <w:rsid w:val="31AC537E"/>
    <w:rsid w:val="31E3679B"/>
    <w:rsid w:val="31E732FD"/>
    <w:rsid w:val="31FF3857"/>
    <w:rsid w:val="32246A08"/>
    <w:rsid w:val="32317519"/>
    <w:rsid w:val="32517576"/>
    <w:rsid w:val="32BE5C2C"/>
    <w:rsid w:val="32FB6478"/>
    <w:rsid w:val="33263B3F"/>
    <w:rsid w:val="336963EB"/>
    <w:rsid w:val="33816EEB"/>
    <w:rsid w:val="33EB55CD"/>
    <w:rsid w:val="33EC4C02"/>
    <w:rsid w:val="340D2360"/>
    <w:rsid w:val="34105351"/>
    <w:rsid w:val="3410665D"/>
    <w:rsid w:val="34211214"/>
    <w:rsid w:val="342E63AB"/>
    <w:rsid w:val="34321327"/>
    <w:rsid w:val="34950E68"/>
    <w:rsid w:val="34986E94"/>
    <w:rsid w:val="34AF62C9"/>
    <w:rsid w:val="34CB4388"/>
    <w:rsid w:val="34DA3479"/>
    <w:rsid w:val="34FA6E12"/>
    <w:rsid w:val="34FE797D"/>
    <w:rsid w:val="354D7158"/>
    <w:rsid w:val="358D5588"/>
    <w:rsid w:val="35D405F4"/>
    <w:rsid w:val="362A4366"/>
    <w:rsid w:val="363A3B40"/>
    <w:rsid w:val="363B0967"/>
    <w:rsid w:val="365302AE"/>
    <w:rsid w:val="36607A0A"/>
    <w:rsid w:val="366E227C"/>
    <w:rsid w:val="366F2E0D"/>
    <w:rsid w:val="367B6A5C"/>
    <w:rsid w:val="36A74ADA"/>
    <w:rsid w:val="36AD60D5"/>
    <w:rsid w:val="36B224F9"/>
    <w:rsid w:val="36EC0CC9"/>
    <w:rsid w:val="373F410B"/>
    <w:rsid w:val="3770417D"/>
    <w:rsid w:val="37EE7094"/>
    <w:rsid w:val="38296C89"/>
    <w:rsid w:val="383002EB"/>
    <w:rsid w:val="38586797"/>
    <w:rsid w:val="385D15DF"/>
    <w:rsid w:val="38BC0149"/>
    <w:rsid w:val="38D87D1C"/>
    <w:rsid w:val="395835DE"/>
    <w:rsid w:val="39636459"/>
    <w:rsid w:val="396B7F6C"/>
    <w:rsid w:val="39B417A9"/>
    <w:rsid w:val="39F350B4"/>
    <w:rsid w:val="39FC5695"/>
    <w:rsid w:val="3A006D8E"/>
    <w:rsid w:val="3A3651E5"/>
    <w:rsid w:val="3A513BB2"/>
    <w:rsid w:val="3A744481"/>
    <w:rsid w:val="3A8A77C7"/>
    <w:rsid w:val="3A8C7BEF"/>
    <w:rsid w:val="3A906246"/>
    <w:rsid w:val="3AB771F0"/>
    <w:rsid w:val="3B2349B7"/>
    <w:rsid w:val="3B2D45F6"/>
    <w:rsid w:val="3B350C86"/>
    <w:rsid w:val="3B616CFF"/>
    <w:rsid w:val="3B6259F6"/>
    <w:rsid w:val="3B7D732B"/>
    <w:rsid w:val="3B976654"/>
    <w:rsid w:val="3B99252A"/>
    <w:rsid w:val="3BC01EFC"/>
    <w:rsid w:val="3BCA786A"/>
    <w:rsid w:val="3BD31E2F"/>
    <w:rsid w:val="3BF15831"/>
    <w:rsid w:val="3C105946"/>
    <w:rsid w:val="3C273E47"/>
    <w:rsid w:val="3C471448"/>
    <w:rsid w:val="3C5F759A"/>
    <w:rsid w:val="3C6C525A"/>
    <w:rsid w:val="3C864A3D"/>
    <w:rsid w:val="3CCE23CB"/>
    <w:rsid w:val="3CD17D17"/>
    <w:rsid w:val="3CDB2409"/>
    <w:rsid w:val="3D177D9A"/>
    <w:rsid w:val="3D3C7F39"/>
    <w:rsid w:val="3D440F09"/>
    <w:rsid w:val="3D443DD7"/>
    <w:rsid w:val="3D4504A0"/>
    <w:rsid w:val="3D7D543E"/>
    <w:rsid w:val="3D8734BB"/>
    <w:rsid w:val="3D9A11D4"/>
    <w:rsid w:val="3DA16D89"/>
    <w:rsid w:val="3DA364BE"/>
    <w:rsid w:val="3DE041CB"/>
    <w:rsid w:val="3DE17E3A"/>
    <w:rsid w:val="3E0D48F6"/>
    <w:rsid w:val="3E1868B4"/>
    <w:rsid w:val="3E377251"/>
    <w:rsid w:val="3E42664B"/>
    <w:rsid w:val="3E573E64"/>
    <w:rsid w:val="3E5A7334"/>
    <w:rsid w:val="3E7B5D6B"/>
    <w:rsid w:val="3E843E66"/>
    <w:rsid w:val="3E8F51FE"/>
    <w:rsid w:val="3E926F87"/>
    <w:rsid w:val="3E9A59DE"/>
    <w:rsid w:val="3EAF4836"/>
    <w:rsid w:val="3EC33DFA"/>
    <w:rsid w:val="3F060E16"/>
    <w:rsid w:val="3F107CDB"/>
    <w:rsid w:val="3F1D1096"/>
    <w:rsid w:val="3F2F0234"/>
    <w:rsid w:val="3F375A43"/>
    <w:rsid w:val="3F4F6CE7"/>
    <w:rsid w:val="3F6363FE"/>
    <w:rsid w:val="3F756B8F"/>
    <w:rsid w:val="3F95482B"/>
    <w:rsid w:val="40155D85"/>
    <w:rsid w:val="4019356B"/>
    <w:rsid w:val="404843AC"/>
    <w:rsid w:val="40592157"/>
    <w:rsid w:val="406E1CAE"/>
    <w:rsid w:val="40A0133A"/>
    <w:rsid w:val="40C31A53"/>
    <w:rsid w:val="40DB3CF1"/>
    <w:rsid w:val="40FF545D"/>
    <w:rsid w:val="410067C8"/>
    <w:rsid w:val="410274C9"/>
    <w:rsid w:val="410F54D0"/>
    <w:rsid w:val="418F0D2A"/>
    <w:rsid w:val="419C4365"/>
    <w:rsid w:val="41D01505"/>
    <w:rsid w:val="42417A6A"/>
    <w:rsid w:val="42474939"/>
    <w:rsid w:val="424C3C57"/>
    <w:rsid w:val="42613FF3"/>
    <w:rsid w:val="42660D96"/>
    <w:rsid w:val="428667D2"/>
    <w:rsid w:val="428C60A6"/>
    <w:rsid w:val="42BF46CD"/>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A5F21"/>
    <w:rsid w:val="45317DFB"/>
    <w:rsid w:val="455B7E6F"/>
    <w:rsid w:val="456D3CE4"/>
    <w:rsid w:val="4579042C"/>
    <w:rsid w:val="457D4F56"/>
    <w:rsid w:val="457F0571"/>
    <w:rsid w:val="45851176"/>
    <w:rsid w:val="45C63B94"/>
    <w:rsid w:val="45D55AA5"/>
    <w:rsid w:val="460E7DA5"/>
    <w:rsid w:val="461C5C6C"/>
    <w:rsid w:val="46422483"/>
    <w:rsid w:val="4659254A"/>
    <w:rsid w:val="465B0637"/>
    <w:rsid w:val="465E3F0D"/>
    <w:rsid w:val="466A16E6"/>
    <w:rsid w:val="46893F2B"/>
    <w:rsid w:val="46C4686E"/>
    <w:rsid w:val="477B778F"/>
    <w:rsid w:val="478203EC"/>
    <w:rsid w:val="47B025FA"/>
    <w:rsid w:val="4809698F"/>
    <w:rsid w:val="4811697D"/>
    <w:rsid w:val="4851401A"/>
    <w:rsid w:val="487A3E25"/>
    <w:rsid w:val="488B5503"/>
    <w:rsid w:val="48937E21"/>
    <w:rsid w:val="489A0361"/>
    <w:rsid w:val="48B94FF3"/>
    <w:rsid w:val="48E37AAB"/>
    <w:rsid w:val="48FD4B4C"/>
    <w:rsid w:val="490A68E0"/>
    <w:rsid w:val="491055FE"/>
    <w:rsid w:val="495F5B3E"/>
    <w:rsid w:val="496F77D7"/>
    <w:rsid w:val="49704970"/>
    <w:rsid w:val="497654FD"/>
    <w:rsid w:val="49777AB0"/>
    <w:rsid w:val="49A3405C"/>
    <w:rsid w:val="49B64211"/>
    <w:rsid w:val="49B96AE6"/>
    <w:rsid w:val="49F6167F"/>
    <w:rsid w:val="4A064FA0"/>
    <w:rsid w:val="4A121587"/>
    <w:rsid w:val="4A16615C"/>
    <w:rsid w:val="4A4424D7"/>
    <w:rsid w:val="4AB82D0F"/>
    <w:rsid w:val="4AB92DFF"/>
    <w:rsid w:val="4AEB7664"/>
    <w:rsid w:val="4AFD7C19"/>
    <w:rsid w:val="4B0567D1"/>
    <w:rsid w:val="4B236AAE"/>
    <w:rsid w:val="4B707271"/>
    <w:rsid w:val="4B7F0D0E"/>
    <w:rsid w:val="4B9739F7"/>
    <w:rsid w:val="4BEE2503"/>
    <w:rsid w:val="4C245A30"/>
    <w:rsid w:val="4C563755"/>
    <w:rsid w:val="4CA26BF2"/>
    <w:rsid w:val="4CB6685F"/>
    <w:rsid w:val="4CC367FE"/>
    <w:rsid w:val="4CFC1CAF"/>
    <w:rsid w:val="4CFD2040"/>
    <w:rsid w:val="4D077F3C"/>
    <w:rsid w:val="4D123355"/>
    <w:rsid w:val="4D2A3B31"/>
    <w:rsid w:val="4D312C52"/>
    <w:rsid w:val="4D6420F9"/>
    <w:rsid w:val="4D905305"/>
    <w:rsid w:val="4D964A72"/>
    <w:rsid w:val="4D9C1254"/>
    <w:rsid w:val="4DEE6F1B"/>
    <w:rsid w:val="4E1974DC"/>
    <w:rsid w:val="4E1C6E78"/>
    <w:rsid w:val="4E4A4FCE"/>
    <w:rsid w:val="4E6A7BE3"/>
    <w:rsid w:val="4E793892"/>
    <w:rsid w:val="4E800872"/>
    <w:rsid w:val="4EC569ED"/>
    <w:rsid w:val="4ED50EA1"/>
    <w:rsid w:val="4EEC050C"/>
    <w:rsid w:val="4F104EC3"/>
    <w:rsid w:val="4F2159BA"/>
    <w:rsid w:val="4F47354A"/>
    <w:rsid w:val="4F911C54"/>
    <w:rsid w:val="4FD74670"/>
    <w:rsid w:val="4FE625E0"/>
    <w:rsid w:val="5021480F"/>
    <w:rsid w:val="50302767"/>
    <w:rsid w:val="50962ECB"/>
    <w:rsid w:val="50A42E38"/>
    <w:rsid w:val="50A4577F"/>
    <w:rsid w:val="50B73D1F"/>
    <w:rsid w:val="50BD5BC9"/>
    <w:rsid w:val="50C11EEE"/>
    <w:rsid w:val="50E97CFC"/>
    <w:rsid w:val="50F71E44"/>
    <w:rsid w:val="50FA4028"/>
    <w:rsid w:val="510D65B7"/>
    <w:rsid w:val="511157AB"/>
    <w:rsid w:val="5142540C"/>
    <w:rsid w:val="518832C8"/>
    <w:rsid w:val="519D3C50"/>
    <w:rsid w:val="51A0432A"/>
    <w:rsid w:val="51A86090"/>
    <w:rsid w:val="51B7396D"/>
    <w:rsid w:val="521340EE"/>
    <w:rsid w:val="522E4CC3"/>
    <w:rsid w:val="5244713B"/>
    <w:rsid w:val="52592E31"/>
    <w:rsid w:val="52615633"/>
    <w:rsid w:val="526F4DE4"/>
    <w:rsid w:val="52977FD4"/>
    <w:rsid w:val="52A25790"/>
    <w:rsid w:val="52A96B6F"/>
    <w:rsid w:val="52B45975"/>
    <w:rsid w:val="52D94AA4"/>
    <w:rsid w:val="52EA3A62"/>
    <w:rsid w:val="52F50BB8"/>
    <w:rsid w:val="53097272"/>
    <w:rsid w:val="53210083"/>
    <w:rsid w:val="53544462"/>
    <w:rsid w:val="5397158E"/>
    <w:rsid w:val="53D8114B"/>
    <w:rsid w:val="54013861"/>
    <w:rsid w:val="541747D0"/>
    <w:rsid w:val="54487265"/>
    <w:rsid w:val="544D6070"/>
    <w:rsid w:val="54605E1E"/>
    <w:rsid w:val="549C486F"/>
    <w:rsid w:val="54B3506A"/>
    <w:rsid w:val="54CA0D16"/>
    <w:rsid w:val="54DD4057"/>
    <w:rsid w:val="54E7490F"/>
    <w:rsid w:val="550764A4"/>
    <w:rsid w:val="550B2BF6"/>
    <w:rsid w:val="55214EB5"/>
    <w:rsid w:val="55364EFD"/>
    <w:rsid w:val="555D4828"/>
    <w:rsid w:val="557A4C8B"/>
    <w:rsid w:val="558931E1"/>
    <w:rsid w:val="558D41B7"/>
    <w:rsid w:val="55923347"/>
    <w:rsid w:val="55925180"/>
    <w:rsid w:val="55983B1B"/>
    <w:rsid w:val="55A8376B"/>
    <w:rsid w:val="55D8078C"/>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249E9"/>
    <w:rsid w:val="580601E4"/>
    <w:rsid w:val="587871FA"/>
    <w:rsid w:val="58917D2F"/>
    <w:rsid w:val="5894085C"/>
    <w:rsid w:val="58AE4F0C"/>
    <w:rsid w:val="58B85899"/>
    <w:rsid w:val="58BD6097"/>
    <w:rsid w:val="58E363A9"/>
    <w:rsid w:val="59166304"/>
    <w:rsid w:val="595E1678"/>
    <w:rsid w:val="596D5BD4"/>
    <w:rsid w:val="597E3DD8"/>
    <w:rsid w:val="59B352CD"/>
    <w:rsid w:val="59CA3E31"/>
    <w:rsid w:val="59F80043"/>
    <w:rsid w:val="5A09252F"/>
    <w:rsid w:val="5A0B2778"/>
    <w:rsid w:val="5A1844DE"/>
    <w:rsid w:val="5A2A7C7B"/>
    <w:rsid w:val="5A3E2560"/>
    <w:rsid w:val="5A5D3B6E"/>
    <w:rsid w:val="5A637A76"/>
    <w:rsid w:val="5A6D33BA"/>
    <w:rsid w:val="5A792B1F"/>
    <w:rsid w:val="5A874767"/>
    <w:rsid w:val="5A901DA8"/>
    <w:rsid w:val="5AA85BE2"/>
    <w:rsid w:val="5AAD6F28"/>
    <w:rsid w:val="5AD63A24"/>
    <w:rsid w:val="5AF26A3E"/>
    <w:rsid w:val="5B2E1A1D"/>
    <w:rsid w:val="5B4F744D"/>
    <w:rsid w:val="5B843A1C"/>
    <w:rsid w:val="5B873E3F"/>
    <w:rsid w:val="5C02690E"/>
    <w:rsid w:val="5C196DA7"/>
    <w:rsid w:val="5C2A048C"/>
    <w:rsid w:val="5C425CFC"/>
    <w:rsid w:val="5C80234E"/>
    <w:rsid w:val="5C806824"/>
    <w:rsid w:val="5C8A680C"/>
    <w:rsid w:val="5CAB1AF3"/>
    <w:rsid w:val="5CF10941"/>
    <w:rsid w:val="5D0C4701"/>
    <w:rsid w:val="5D0F0395"/>
    <w:rsid w:val="5D221076"/>
    <w:rsid w:val="5D397964"/>
    <w:rsid w:val="5D5A391C"/>
    <w:rsid w:val="5D5F10C0"/>
    <w:rsid w:val="5D6D4FFA"/>
    <w:rsid w:val="5D891B7B"/>
    <w:rsid w:val="5DAD38EE"/>
    <w:rsid w:val="5DB20E44"/>
    <w:rsid w:val="5E006862"/>
    <w:rsid w:val="5E0207B9"/>
    <w:rsid w:val="5E1834A1"/>
    <w:rsid w:val="5E261785"/>
    <w:rsid w:val="5E2F0501"/>
    <w:rsid w:val="5E4A7017"/>
    <w:rsid w:val="5E552BBA"/>
    <w:rsid w:val="5E611C10"/>
    <w:rsid w:val="5E762B94"/>
    <w:rsid w:val="5E7A0F3F"/>
    <w:rsid w:val="5E8C75FF"/>
    <w:rsid w:val="5EFC7377"/>
    <w:rsid w:val="5F06174D"/>
    <w:rsid w:val="5F3A3602"/>
    <w:rsid w:val="5F45733B"/>
    <w:rsid w:val="5F6277C6"/>
    <w:rsid w:val="5F6D0B1D"/>
    <w:rsid w:val="5F750196"/>
    <w:rsid w:val="5F8D0B82"/>
    <w:rsid w:val="5FA73682"/>
    <w:rsid w:val="5FBD00E0"/>
    <w:rsid w:val="5FCC5339"/>
    <w:rsid w:val="5FE34A5B"/>
    <w:rsid w:val="5FFE1E36"/>
    <w:rsid w:val="60232584"/>
    <w:rsid w:val="607330CE"/>
    <w:rsid w:val="60825176"/>
    <w:rsid w:val="609F2AC4"/>
    <w:rsid w:val="60FA2EE8"/>
    <w:rsid w:val="61054A27"/>
    <w:rsid w:val="610A52BC"/>
    <w:rsid w:val="611D2366"/>
    <w:rsid w:val="61421856"/>
    <w:rsid w:val="615227C4"/>
    <w:rsid w:val="61526536"/>
    <w:rsid w:val="61654E3F"/>
    <w:rsid w:val="6182292A"/>
    <w:rsid w:val="61886A0F"/>
    <w:rsid w:val="618E487F"/>
    <w:rsid w:val="619F7F92"/>
    <w:rsid w:val="61E81EE3"/>
    <w:rsid w:val="61F94C26"/>
    <w:rsid w:val="62000E56"/>
    <w:rsid w:val="621E68C3"/>
    <w:rsid w:val="62456545"/>
    <w:rsid w:val="624F3E49"/>
    <w:rsid w:val="62632286"/>
    <w:rsid w:val="62885958"/>
    <w:rsid w:val="62F40B65"/>
    <w:rsid w:val="62FC2CFE"/>
    <w:rsid w:val="63024505"/>
    <w:rsid w:val="633A00D5"/>
    <w:rsid w:val="635600A5"/>
    <w:rsid w:val="635B1DB5"/>
    <w:rsid w:val="63711FED"/>
    <w:rsid w:val="63880DDC"/>
    <w:rsid w:val="638D750D"/>
    <w:rsid w:val="63AC6CC0"/>
    <w:rsid w:val="64055776"/>
    <w:rsid w:val="64240056"/>
    <w:rsid w:val="643979E4"/>
    <w:rsid w:val="643E143A"/>
    <w:rsid w:val="64491666"/>
    <w:rsid w:val="64651BF7"/>
    <w:rsid w:val="64895837"/>
    <w:rsid w:val="648B6EEF"/>
    <w:rsid w:val="64B82FFF"/>
    <w:rsid w:val="64C158BF"/>
    <w:rsid w:val="64CE2EAA"/>
    <w:rsid w:val="64E35BA2"/>
    <w:rsid w:val="64E85052"/>
    <w:rsid w:val="65293EFC"/>
    <w:rsid w:val="652F1BCA"/>
    <w:rsid w:val="653C3090"/>
    <w:rsid w:val="654E27A4"/>
    <w:rsid w:val="65854376"/>
    <w:rsid w:val="658767BE"/>
    <w:rsid w:val="65892531"/>
    <w:rsid w:val="659C776A"/>
    <w:rsid w:val="66195831"/>
    <w:rsid w:val="662E75B1"/>
    <w:rsid w:val="66342C2E"/>
    <w:rsid w:val="663E784C"/>
    <w:rsid w:val="664A297F"/>
    <w:rsid w:val="668B6A45"/>
    <w:rsid w:val="66F52EE0"/>
    <w:rsid w:val="671B5AC7"/>
    <w:rsid w:val="672F3F24"/>
    <w:rsid w:val="673E055F"/>
    <w:rsid w:val="67551CE3"/>
    <w:rsid w:val="677E3BBF"/>
    <w:rsid w:val="67A22552"/>
    <w:rsid w:val="67B22DCC"/>
    <w:rsid w:val="67BE71AA"/>
    <w:rsid w:val="67D90273"/>
    <w:rsid w:val="67DE5875"/>
    <w:rsid w:val="67E55852"/>
    <w:rsid w:val="67E84A2B"/>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9E4A45"/>
    <w:rsid w:val="6AA04EF4"/>
    <w:rsid w:val="6ADE0BD1"/>
    <w:rsid w:val="6AE96859"/>
    <w:rsid w:val="6B147746"/>
    <w:rsid w:val="6B24787C"/>
    <w:rsid w:val="6B573233"/>
    <w:rsid w:val="6B5B335E"/>
    <w:rsid w:val="6B5B6274"/>
    <w:rsid w:val="6B625A72"/>
    <w:rsid w:val="6B935D53"/>
    <w:rsid w:val="6C196F71"/>
    <w:rsid w:val="6C226FCB"/>
    <w:rsid w:val="6C31226F"/>
    <w:rsid w:val="6C552F0B"/>
    <w:rsid w:val="6C8C67B7"/>
    <w:rsid w:val="6C991584"/>
    <w:rsid w:val="6C9D744C"/>
    <w:rsid w:val="6CD504C6"/>
    <w:rsid w:val="6D167928"/>
    <w:rsid w:val="6D26299B"/>
    <w:rsid w:val="6D4772EC"/>
    <w:rsid w:val="6D9078AF"/>
    <w:rsid w:val="6DAA3FEF"/>
    <w:rsid w:val="6DB8406F"/>
    <w:rsid w:val="6DC0172B"/>
    <w:rsid w:val="6DCB690C"/>
    <w:rsid w:val="6DD41A5B"/>
    <w:rsid w:val="6DF43C2E"/>
    <w:rsid w:val="6DF51CA3"/>
    <w:rsid w:val="6E5F273D"/>
    <w:rsid w:val="6E761835"/>
    <w:rsid w:val="6E8335BD"/>
    <w:rsid w:val="6E8E12EF"/>
    <w:rsid w:val="6E972936"/>
    <w:rsid w:val="6EC95E08"/>
    <w:rsid w:val="6ED446C5"/>
    <w:rsid w:val="6F2A7D94"/>
    <w:rsid w:val="6F7A5081"/>
    <w:rsid w:val="6F8331F1"/>
    <w:rsid w:val="6FAE1A09"/>
    <w:rsid w:val="6FD75BF8"/>
    <w:rsid w:val="701E7C49"/>
    <w:rsid w:val="70425E72"/>
    <w:rsid w:val="706B6255"/>
    <w:rsid w:val="707723D0"/>
    <w:rsid w:val="70E811ED"/>
    <w:rsid w:val="70F5661B"/>
    <w:rsid w:val="711A75B4"/>
    <w:rsid w:val="71360107"/>
    <w:rsid w:val="713B688E"/>
    <w:rsid w:val="71594B6E"/>
    <w:rsid w:val="71D43752"/>
    <w:rsid w:val="71F1796A"/>
    <w:rsid w:val="72154626"/>
    <w:rsid w:val="72262B5D"/>
    <w:rsid w:val="72283FF7"/>
    <w:rsid w:val="722E7212"/>
    <w:rsid w:val="723A0474"/>
    <w:rsid w:val="725923E4"/>
    <w:rsid w:val="72864BF7"/>
    <w:rsid w:val="729023FC"/>
    <w:rsid w:val="72B06D00"/>
    <w:rsid w:val="72D60AF4"/>
    <w:rsid w:val="72D6649A"/>
    <w:rsid w:val="73406681"/>
    <w:rsid w:val="73A35498"/>
    <w:rsid w:val="73C0646E"/>
    <w:rsid w:val="73DD4641"/>
    <w:rsid w:val="742222F5"/>
    <w:rsid w:val="74476126"/>
    <w:rsid w:val="74706664"/>
    <w:rsid w:val="747F3682"/>
    <w:rsid w:val="74930F19"/>
    <w:rsid w:val="749C4185"/>
    <w:rsid w:val="74A72014"/>
    <w:rsid w:val="75067759"/>
    <w:rsid w:val="752E6DCD"/>
    <w:rsid w:val="75504B8E"/>
    <w:rsid w:val="7551380D"/>
    <w:rsid w:val="75600BE5"/>
    <w:rsid w:val="7564475C"/>
    <w:rsid w:val="7583797F"/>
    <w:rsid w:val="759E3B4B"/>
    <w:rsid w:val="75AD6F9A"/>
    <w:rsid w:val="75CB4B5C"/>
    <w:rsid w:val="75D20F1D"/>
    <w:rsid w:val="75DA2C18"/>
    <w:rsid w:val="75F54412"/>
    <w:rsid w:val="761D08E0"/>
    <w:rsid w:val="765D347C"/>
    <w:rsid w:val="7668722A"/>
    <w:rsid w:val="76826699"/>
    <w:rsid w:val="768D3BBF"/>
    <w:rsid w:val="769E103B"/>
    <w:rsid w:val="76C87133"/>
    <w:rsid w:val="76CD08D5"/>
    <w:rsid w:val="76DB4B92"/>
    <w:rsid w:val="77052AA4"/>
    <w:rsid w:val="77136511"/>
    <w:rsid w:val="77340A39"/>
    <w:rsid w:val="77351FD0"/>
    <w:rsid w:val="77472422"/>
    <w:rsid w:val="777F31F2"/>
    <w:rsid w:val="77D1700D"/>
    <w:rsid w:val="77D32348"/>
    <w:rsid w:val="77EC04CC"/>
    <w:rsid w:val="78406527"/>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D5935"/>
    <w:rsid w:val="7AA2777D"/>
    <w:rsid w:val="7AAB1D04"/>
    <w:rsid w:val="7ABA4368"/>
    <w:rsid w:val="7ACE4ED2"/>
    <w:rsid w:val="7AD05746"/>
    <w:rsid w:val="7B257FFD"/>
    <w:rsid w:val="7B343476"/>
    <w:rsid w:val="7B5A2978"/>
    <w:rsid w:val="7B5A7E4C"/>
    <w:rsid w:val="7B667AF9"/>
    <w:rsid w:val="7B7468F8"/>
    <w:rsid w:val="7B9259AF"/>
    <w:rsid w:val="7BEE0103"/>
    <w:rsid w:val="7C0A0FE4"/>
    <w:rsid w:val="7C254906"/>
    <w:rsid w:val="7C51266C"/>
    <w:rsid w:val="7C590818"/>
    <w:rsid w:val="7C7C10F6"/>
    <w:rsid w:val="7C853BEA"/>
    <w:rsid w:val="7C881368"/>
    <w:rsid w:val="7CE27788"/>
    <w:rsid w:val="7CFC5F60"/>
    <w:rsid w:val="7D0C32F1"/>
    <w:rsid w:val="7D0F408D"/>
    <w:rsid w:val="7D491C6C"/>
    <w:rsid w:val="7D5429C0"/>
    <w:rsid w:val="7D6E6D43"/>
    <w:rsid w:val="7DB57A34"/>
    <w:rsid w:val="7DE60973"/>
    <w:rsid w:val="7DEF0916"/>
    <w:rsid w:val="7E081E91"/>
    <w:rsid w:val="7E1E5218"/>
    <w:rsid w:val="7E9A4E1F"/>
    <w:rsid w:val="7EA7723A"/>
    <w:rsid w:val="7EE230FA"/>
    <w:rsid w:val="7EF56FBB"/>
    <w:rsid w:val="7F0768EB"/>
    <w:rsid w:val="7F143BEC"/>
    <w:rsid w:val="7F715AF2"/>
    <w:rsid w:val="7F886E69"/>
    <w:rsid w:val="7FB64187"/>
    <w:rsid w:val="7FF151B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autoRedefine/>
    <w:qFormat/>
    <w:uiPriority w:val="0"/>
    <w:pPr>
      <w:ind w:firstLine="420"/>
    </w:pPr>
    <w:rPr>
      <w:rFonts w:hAnsi="Calibri" w:cs="Times New Roman"/>
      <w:snapToGrid/>
      <w:szCs w:val="20"/>
    </w:rPr>
  </w:style>
  <w:style w:type="paragraph" w:styleId="26">
    <w:name w:val="Body Text Indent"/>
    <w:basedOn w:val="1"/>
    <w:next w:val="27"/>
    <w:link w:val="264"/>
    <w:autoRedefine/>
    <w:qFormat/>
    <w:uiPriority w:val="0"/>
    <w:pPr>
      <w:spacing w:line="480" w:lineRule="exact"/>
      <w:ind w:firstLine="480" w:firstLineChars="200"/>
    </w:pPr>
    <w:rPr>
      <w:rFonts w:ascii="宋体" w:hAnsi="宋体"/>
      <w:sz w:val="24"/>
    </w:rPr>
  </w:style>
  <w:style w:type="paragraph" w:styleId="27">
    <w:name w:val="Body Text First Indent 2"/>
    <w:basedOn w:val="26"/>
    <w:next w:val="28"/>
    <w:link w:val="120"/>
    <w:autoRedefine/>
    <w:qFormat/>
    <w:uiPriority w:val="0"/>
    <w:pPr>
      <w:adjustRightInd/>
      <w:spacing w:after="120" w:line="240" w:lineRule="auto"/>
      <w:ind w:left="420" w:leftChars="200" w:firstLine="210"/>
    </w:pPr>
    <w:rPr>
      <w:sz w:val="21"/>
    </w:rPr>
  </w:style>
  <w:style w:type="paragraph" w:styleId="28">
    <w:name w:val="toc 2"/>
    <w:basedOn w:val="1"/>
    <w:next w:val="1"/>
    <w:autoRedefine/>
    <w:qFormat/>
    <w:uiPriority w:val="0"/>
    <w:pPr>
      <w:ind w:left="420" w:leftChars="200"/>
    </w:p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4"/>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0"/>
    <w:autoRedefine/>
    <w:qFormat/>
    <w:uiPriority w:val="0"/>
    <w:pPr>
      <w:ind w:left="100" w:leftChars="2500"/>
    </w:pPr>
    <w:rPr>
      <w:rFonts w:ascii="宋体"/>
      <w:sz w:val="24"/>
      <w:szCs w:val="21"/>
      <w:lang w:val="zh-CN"/>
    </w:rPr>
  </w:style>
  <w:style w:type="paragraph" w:styleId="40">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29"/>
    <w:autoRedefine/>
    <w:qFormat/>
    <w:uiPriority w:val="0"/>
    <w:rPr>
      <w:lang w:val="zh-CN"/>
    </w:rPr>
  </w:style>
  <w:style w:type="paragraph" w:styleId="42">
    <w:name w:val="Balloon Text"/>
    <w:basedOn w:val="1"/>
    <w:link w:val="187"/>
    <w:autoRedefine/>
    <w:qFormat/>
    <w:uiPriority w:val="0"/>
    <w:rPr>
      <w:sz w:val="18"/>
      <w:szCs w:val="18"/>
    </w:rPr>
  </w:style>
  <w:style w:type="paragraph" w:styleId="43">
    <w:name w:val="footer"/>
    <w:basedOn w:val="1"/>
    <w:link w:val="382"/>
    <w:autoRedefine/>
    <w:qFormat/>
    <w:uiPriority w:val="99"/>
    <w:pPr>
      <w:tabs>
        <w:tab w:val="center" w:pos="4153"/>
        <w:tab w:val="right" w:pos="8306"/>
      </w:tabs>
      <w:snapToGrid w:val="0"/>
      <w:jc w:val="left"/>
    </w:pPr>
    <w:rPr>
      <w:sz w:val="18"/>
      <w:szCs w:val="18"/>
    </w:rPr>
  </w:style>
  <w:style w:type="paragraph" w:styleId="44">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4"/>
    <w:autoRedefine/>
    <w:qFormat/>
    <w:uiPriority w:val="0"/>
    <w:pPr>
      <w:spacing w:line="360" w:lineRule="auto"/>
      <w:ind w:firstLine="420"/>
    </w:pPr>
    <w:rPr>
      <w:sz w:val="24"/>
      <w:szCs w:val="20"/>
    </w:rPr>
  </w:style>
  <w:style w:type="paragraph" w:styleId="57">
    <w:name w:val="toc 9"/>
    <w:basedOn w:val="1"/>
    <w:next w:val="1"/>
    <w:autoRedefine/>
    <w:qFormat/>
    <w:uiPriority w:val="0"/>
    <w:pPr>
      <w:ind w:left="3360" w:leftChars="1600"/>
    </w:pPr>
  </w:style>
  <w:style w:type="paragraph" w:styleId="58">
    <w:name w:val="Body Text 2"/>
    <w:basedOn w:val="1"/>
    <w:link w:val="301"/>
    <w:autoRedefine/>
    <w:qFormat/>
    <w:uiPriority w:val="0"/>
    <w:pPr>
      <w:spacing w:after="120" w:line="480" w:lineRule="auto"/>
    </w:pPr>
  </w:style>
  <w:style w:type="paragraph" w:styleId="59">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annotation subject"/>
    <w:basedOn w:val="20"/>
    <w:next w:val="20"/>
    <w:link w:val="95"/>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_Style 3"/>
    <w:basedOn w:val="1"/>
    <w:autoRedefine/>
    <w:qFormat/>
    <w:uiPriority w:val="0"/>
    <w:pPr>
      <w:adjustRightInd/>
      <w:ind w:firstLine="420" w:firstLineChars="200"/>
    </w:pPr>
    <w:rPr>
      <w:rFonts w:eastAsia="仿宋_GB2312"/>
      <w:sz w:val="28"/>
    </w:rPr>
  </w:style>
  <w:style w:type="paragraph" w:customStyle="1" w:styleId="80">
    <w:name w:val="样式3"/>
    <w:basedOn w:val="36"/>
    <w:next w:val="1"/>
    <w:autoRedefine/>
    <w:qFormat/>
    <w:uiPriority w:val="0"/>
    <w:pPr>
      <w:tabs>
        <w:tab w:val="left" w:pos="2790"/>
        <w:tab w:val="left" w:pos="4230"/>
      </w:tabs>
      <w:spacing w:before="312" w:beforeLines="100"/>
      <w:jc w:val="left"/>
    </w:p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27"/>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50"/>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9"/>
    <w:autoRedefine/>
    <w:qFormat/>
    <w:uiPriority w:val="0"/>
    <w:rPr>
      <w:rFonts w:ascii="宋体"/>
      <w:kern w:val="2"/>
      <w:sz w:val="24"/>
      <w:szCs w:val="21"/>
      <w:lang w:val="zh-CN"/>
    </w:rPr>
  </w:style>
  <w:style w:type="character" w:customStyle="1" w:styleId="181">
    <w:name w:val="标题 9 Char"/>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2"/>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3"/>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2"/>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9"/>
    <w:autoRedefine/>
    <w:qFormat/>
    <w:uiPriority w:val="0"/>
    <w:rPr>
      <w:rFonts w:ascii="黑体" w:hAnsi="Courier New" w:eastAsia="黑体"/>
    </w:rPr>
  </w:style>
  <w:style w:type="character" w:customStyle="1" w:styleId="301">
    <w:name w:val="正文文本 2 Char1"/>
    <w:link w:val="58"/>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0"/>
    <w:autoRedefine/>
    <w:qFormat/>
    <w:uiPriority w:val="0"/>
    <w:rPr>
      <w:b/>
      <w:bCs/>
      <w:kern w:val="2"/>
      <w:sz w:val="24"/>
      <w:szCs w:val="24"/>
    </w:rPr>
  </w:style>
  <w:style w:type="character" w:customStyle="1" w:styleId="307">
    <w:name w:val="正文文本缩进 2 Char"/>
    <w:link w:val="40"/>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3"/>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5"/>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0"/>
    <w:rPr>
      <w:kern w:val="2"/>
      <w:sz w:val="21"/>
      <w:szCs w:val="24"/>
    </w:rPr>
  </w:style>
  <w:style w:type="character" w:customStyle="1" w:styleId="344">
    <w:name w:val="签名 Char"/>
    <w:link w:val="45"/>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6"/>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3"/>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4"/>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4"/>
    <w:next w:val="234"/>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4"/>
    <w:next w:val="234"/>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8"/>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40"/>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5"/>
    <w:next w:val="56"/>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2"/>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41"/>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7"/>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3">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5459</Words>
  <Characters>5904</Characters>
  <Lines>279</Lines>
  <Paragraphs>78</Paragraphs>
  <TotalTime>14</TotalTime>
  <ScaleCrop>false</ScaleCrop>
  <LinksUpToDate>false</LinksUpToDate>
  <CharactersWithSpaces>6069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dc:creator>
  <cp:lastModifiedBy>小姐姐</cp:lastModifiedBy>
  <cp:lastPrinted>2025-04-23T01:35:00Z</cp:lastPrinted>
  <dcterms:modified xsi:type="dcterms:W3CDTF">2025-05-12T07:57:32Z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1DA325AF4F1C450688FE7FF0DD399E3A_13</vt:lpwstr>
  </property>
  <property fmtid="{D5CDD505-2E9C-101B-9397-08002B2CF9AE}" pid="5" name="KSOTemplateDocerSaveRecord">
    <vt:lpwstr>eyJoZGlkIjoiOTU2MjA2OTVjM2VkMGQ0MjBlYjEwNGU0MzQ5MmU4N2MiLCJ1c2VySWQiOiIzMTY1NDcxMDgifQ==</vt:lpwstr>
  </property>
</Properties>
</file>