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cs="微软雅黑"/>
          <w:i w:val="0"/>
          <w:iCs w:val="0"/>
          <w:caps w:val="0"/>
          <w:color w:val="232323"/>
          <w:spacing w:val="0"/>
          <w:sz w:val="21"/>
          <w:szCs w:val="21"/>
          <w:shd w:val="clear" w:fill="EBF4FF"/>
        </w:rPr>
        <w:t>配合街道完成零直排改造等相关项目的检测、检查等工作，出具相关评估报告，对雨污水排水管道等进行日常巡查养护、对辖区内河道排出口和辖区内所有管道及检查井设施设备的日常巡视检查等内容；每月提供小区养护台账、管网排查巡查、清掏记录等。开展辖区内城市管理运维服务、市政河道工程施工建设以及抢险救灾、防汛抗台、防雪抗冻和重大活动保障等应急服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0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2025-02-10T01:40:26Z</dcterms:created>
  <dc:creator>Administrator</dc:creator>
  <cp:lastModifiedBy>Lynn_issing</cp:lastModifiedBy>
  <dcterms:modified xsi:type="dcterms:W3CDTF">2025-02-10T01:40:43Z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0F741AB0D9CD42469DF4F9D022EDAAAA</vt:lpwstr>
  </property>
</Properties>
</file>