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微软雅黑" w:hAnsi="微软雅黑" w:eastAsia="微软雅黑" w:cs="微软雅黑"/>
          <w:i w:val="0"/>
          <w:iCs w:val="0"/>
          <w:caps w:val="0"/>
          <w:color w:val="232323"/>
          <w:spacing w:val="0"/>
          <w:sz w:val="21"/>
          <w:szCs w:val="21"/>
          <w:shd w:val="clear" w:fill="EBF4FF"/>
        </w:rPr>
        <w:t>根据《2024年“美丽杭州”城市侧环境品质长效管理工作实施意见》对潮鸣街道域范围内实施生活环境整治的责任主体实施考核进行全覆盖巡检，并将巡检情况汇总形成报表（含表格和巡检图片）。客观评价潮鸣街道生活环境整治状况，同时开展环境整治指导培训，为潮鸣街道环境整治绩效评估、工作实效提供参考依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B14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2025-02-11T02:20:18Z</dcterms:created>
  <dc:creator>Administrator</dc:creator>
  <cp:lastModifiedBy>Lynn_issing</cp:lastModifiedBy>
  <dcterms:modified xsi:type="dcterms:W3CDTF">2025-02-11T02:20:29Z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BAEED54E390A4957B0998D002AF548A0</vt:lpwstr>
  </property>
</Properties>
</file>