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63C1C">
      <w:pPr>
        <w:tabs>
          <w:tab w:val="left" w:pos="1276"/>
        </w:tabs>
        <w:spacing w:line="1000" w:lineRule="exact"/>
        <w:jc w:val="center"/>
        <w:rPr>
          <w:rFonts w:hint="eastAsia" w:ascii="微软雅黑" w:hAnsi="微软雅黑" w:eastAsia="微软雅黑" w:cs="微软雅黑"/>
          <w:b/>
          <w:bCs/>
          <w:sz w:val="44"/>
          <w:szCs w:val="44"/>
          <w:lang w:eastAsia="zh-CN"/>
        </w:rPr>
      </w:pPr>
      <w:r>
        <w:rPr>
          <w:rFonts w:hint="eastAsia" w:ascii="微软雅黑" w:hAnsi="微软雅黑" w:eastAsia="微软雅黑" w:cs="微软雅黑"/>
          <w:b/>
          <w:bCs/>
          <w:sz w:val="44"/>
          <w:szCs w:val="44"/>
          <w:lang w:eastAsia="zh-CN"/>
        </w:rPr>
        <w:t>环卫小型设施设备养护及保障服务项目</w:t>
      </w:r>
    </w:p>
    <w:p w14:paraId="3C78385F">
      <w:pPr>
        <w:pStyle w:val="2"/>
        <w:jc w:val="center"/>
        <w:rPr>
          <w:rFonts w:hint="eastAsia" w:eastAsia="宋体"/>
          <w:highlight w:val="none"/>
          <w:lang w:val="en-US" w:eastAsia="zh-CN"/>
        </w:rPr>
      </w:pPr>
      <w:r>
        <w:rPr>
          <w:rFonts w:hint="eastAsia" w:ascii="宋体" w:hAnsi="宋体" w:cs="宋体"/>
          <w:snapToGrid w:val="0"/>
          <w:sz w:val="24"/>
          <w:lang w:val="en-US" w:eastAsia="zh-CN"/>
        </w:rPr>
        <w:t>财政审批</w:t>
      </w:r>
      <w:r>
        <w:rPr>
          <w:rFonts w:hint="eastAsia" w:ascii="宋体" w:hAnsi="宋体" w:cs="宋体"/>
          <w:snapToGrid w:val="0"/>
          <w:sz w:val="24"/>
          <w:highlight w:val="none"/>
        </w:rPr>
        <w:t>编号：湖财采确临[2025]4426</w:t>
      </w:r>
      <w:r>
        <w:rPr>
          <w:rFonts w:hint="eastAsia" w:ascii="宋体" w:hAnsi="宋体" w:cs="宋体"/>
          <w:snapToGrid w:val="0"/>
          <w:sz w:val="24"/>
          <w:highlight w:val="none"/>
          <w:lang w:eastAsia="zh-CN"/>
        </w:rPr>
        <w:t>、</w:t>
      </w:r>
      <w:r>
        <w:rPr>
          <w:rFonts w:hint="eastAsia" w:ascii="宋体" w:hAnsi="宋体" w:cs="宋体"/>
          <w:snapToGrid w:val="0"/>
          <w:sz w:val="24"/>
          <w:highlight w:val="none"/>
          <w:lang w:val="en-US" w:eastAsia="zh-CN"/>
        </w:rPr>
        <w:t>4427</w:t>
      </w:r>
      <w:r>
        <w:rPr>
          <w:rFonts w:hint="eastAsia" w:ascii="宋体" w:hAnsi="宋体" w:cs="宋体"/>
          <w:snapToGrid w:val="0"/>
          <w:sz w:val="24"/>
          <w:highlight w:val="none"/>
        </w:rPr>
        <w:t>号</w:t>
      </w:r>
      <w:r>
        <w:rPr>
          <w:rFonts w:hint="eastAsia" w:ascii="宋体" w:hAnsi="宋体" w:cs="宋体"/>
          <w:snapToGrid w:val="0"/>
          <w:sz w:val="24"/>
          <w:highlight w:val="none"/>
          <w:lang w:val="en-US" w:eastAsia="zh-CN"/>
        </w:rPr>
        <w:t xml:space="preserve">     </w:t>
      </w:r>
    </w:p>
    <w:p w14:paraId="304C444A">
      <w:pPr>
        <w:tabs>
          <w:tab w:val="left" w:pos="1276"/>
        </w:tabs>
        <w:spacing w:line="1000" w:lineRule="exact"/>
        <w:jc w:val="both"/>
        <w:rPr>
          <w:rFonts w:hint="eastAsia" w:ascii="微软雅黑" w:hAnsi="微软雅黑" w:eastAsia="微软雅黑"/>
          <w:b/>
          <w:sz w:val="72"/>
          <w:szCs w:val="72"/>
        </w:rPr>
      </w:pPr>
    </w:p>
    <w:p w14:paraId="4042ABD2">
      <w:pPr>
        <w:tabs>
          <w:tab w:val="left" w:pos="1276"/>
        </w:tabs>
        <w:spacing w:line="1000" w:lineRule="exact"/>
        <w:jc w:val="both"/>
        <w:rPr>
          <w:rFonts w:hint="eastAsia" w:ascii="微软雅黑" w:hAnsi="微软雅黑" w:eastAsia="微软雅黑"/>
          <w:b/>
          <w:sz w:val="72"/>
          <w:szCs w:val="72"/>
        </w:rPr>
      </w:pPr>
    </w:p>
    <w:p w14:paraId="63F1754D">
      <w:pPr>
        <w:tabs>
          <w:tab w:val="left" w:pos="1276"/>
        </w:tabs>
        <w:spacing w:line="1000" w:lineRule="exact"/>
        <w:ind w:firstLine="2161" w:firstLineChars="300"/>
        <w:jc w:val="both"/>
        <w:rPr>
          <w:rFonts w:ascii="微软雅黑" w:hAnsi="微软雅黑" w:eastAsia="微软雅黑"/>
          <w:b/>
          <w:sz w:val="72"/>
          <w:szCs w:val="72"/>
        </w:rPr>
      </w:pPr>
      <w:r>
        <w:rPr>
          <w:rFonts w:hint="eastAsia" w:ascii="微软雅黑" w:hAnsi="微软雅黑" w:eastAsia="微软雅黑"/>
          <w:b/>
          <w:sz w:val="72"/>
          <w:szCs w:val="72"/>
        </w:rPr>
        <w:t>竞争性磋商文件</w:t>
      </w:r>
    </w:p>
    <w:p w14:paraId="668496AB">
      <w:pPr>
        <w:tabs>
          <w:tab w:val="left" w:pos="1276"/>
        </w:tabs>
        <w:spacing w:line="1000" w:lineRule="exact"/>
        <w:jc w:val="center"/>
        <w:rPr>
          <w:rFonts w:ascii="微软雅黑" w:hAnsi="微软雅黑" w:eastAsia="微软雅黑"/>
          <w:b/>
          <w:sz w:val="72"/>
          <w:szCs w:val="72"/>
        </w:rPr>
      </w:pPr>
    </w:p>
    <w:p w14:paraId="435A9AC0">
      <w:pPr>
        <w:spacing w:line="360" w:lineRule="exact"/>
        <w:rPr>
          <w:rFonts w:ascii="微软雅黑" w:hAnsi="微软雅黑" w:eastAsia="微软雅黑"/>
          <w:sz w:val="24"/>
        </w:rPr>
      </w:pPr>
    </w:p>
    <w:p w14:paraId="17A90572">
      <w:pPr>
        <w:pStyle w:val="3"/>
      </w:pPr>
    </w:p>
    <w:p w14:paraId="3F457DF5">
      <w:pPr>
        <w:spacing w:line="520" w:lineRule="exact"/>
        <w:jc w:val="center"/>
        <w:rPr>
          <w:rFonts w:hint="eastAsia"/>
        </w:rPr>
      </w:pPr>
      <w:r>
        <w:rPr>
          <w:rFonts w:hint="eastAsia" w:ascii="微软雅黑" w:hAnsi="微软雅黑" w:eastAsia="微软雅黑"/>
          <w:sz w:val="28"/>
          <w:szCs w:val="28"/>
        </w:rPr>
        <w:t>项目编号：</w:t>
      </w:r>
      <w:r>
        <w:rPr>
          <w:rFonts w:hint="eastAsia" w:ascii="微软雅黑" w:hAnsi="微软雅黑" w:eastAsia="微软雅黑"/>
          <w:sz w:val="28"/>
          <w:szCs w:val="28"/>
          <w:lang w:eastAsia="zh-CN"/>
        </w:rPr>
        <w:t>浙华采字【2025】hzf-6007号</w:t>
      </w:r>
    </w:p>
    <w:p w14:paraId="68FB5C83">
      <w:pPr>
        <w:spacing w:line="520" w:lineRule="exact"/>
        <w:ind w:firstLine="0" w:firstLineChars="0"/>
        <w:jc w:val="center"/>
        <w:rPr>
          <w:rFonts w:hint="eastAsia"/>
          <w:lang w:eastAsia="zh-CN"/>
        </w:rPr>
      </w:pPr>
      <w:r>
        <w:rPr>
          <w:rFonts w:hint="eastAsia" w:ascii="微软雅黑" w:hAnsi="微软雅黑" w:eastAsia="微软雅黑"/>
          <w:bCs/>
          <w:sz w:val="28"/>
          <w:szCs w:val="28"/>
        </w:rPr>
        <w:t>采购</w:t>
      </w:r>
      <w:r>
        <w:rPr>
          <w:rFonts w:hint="eastAsia" w:ascii="微软雅黑" w:hAnsi="微软雅黑" w:eastAsia="微软雅黑"/>
          <w:sz w:val="28"/>
          <w:szCs w:val="28"/>
        </w:rPr>
        <w:t>单位：</w:t>
      </w:r>
      <w:r>
        <w:rPr>
          <w:rFonts w:hint="eastAsia" w:ascii="微软雅黑" w:hAnsi="微软雅黑" w:eastAsia="微软雅黑"/>
          <w:sz w:val="28"/>
          <w:szCs w:val="28"/>
          <w:lang w:eastAsia="zh-CN"/>
        </w:rPr>
        <w:t xml:space="preserve">湖州市市容环境卫生管理中心 </w:t>
      </w:r>
    </w:p>
    <w:p w14:paraId="00983F9A">
      <w:pPr>
        <w:spacing w:line="520" w:lineRule="exact"/>
        <w:jc w:val="center"/>
        <w:rPr>
          <w:rFonts w:ascii="微软雅黑" w:hAnsi="微软雅黑" w:eastAsia="微软雅黑"/>
          <w:sz w:val="28"/>
          <w:szCs w:val="28"/>
        </w:rPr>
      </w:pPr>
      <w:r>
        <w:rPr>
          <w:rFonts w:hint="eastAsia" w:ascii="微软雅黑" w:hAnsi="微软雅黑" w:eastAsia="微软雅黑"/>
          <w:sz w:val="28"/>
          <w:szCs w:val="28"/>
        </w:rPr>
        <w:t>采购代理机构：浙江华夏工程管理有限公司</w:t>
      </w:r>
    </w:p>
    <w:p w14:paraId="45A0093C">
      <w:pPr>
        <w:spacing w:line="520" w:lineRule="exact"/>
        <w:jc w:val="center"/>
        <w:rPr>
          <w:rFonts w:hint="eastAsia" w:ascii="微软雅黑" w:hAnsi="微软雅黑" w:eastAsia="微软雅黑"/>
          <w:sz w:val="28"/>
          <w:szCs w:val="28"/>
        </w:rPr>
      </w:pPr>
    </w:p>
    <w:p w14:paraId="044EB191">
      <w:pPr>
        <w:spacing w:line="520" w:lineRule="exact"/>
        <w:jc w:val="center"/>
        <w:rPr>
          <w:rFonts w:hint="eastAsia" w:ascii="微软雅黑" w:hAnsi="微软雅黑" w:eastAsia="微软雅黑"/>
          <w:sz w:val="28"/>
          <w:szCs w:val="28"/>
        </w:rPr>
      </w:pPr>
    </w:p>
    <w:p w14:paraId="10199CAD">
      <w:pPr>
        <w:spacing w:line="520" w:lineRule="exact"/>
        <w:jc w:val="center"/>
        <w:rPr>
          <w:rFonts w:hint="eastAsia" w:ascii="微软雅黑" w:hAnsi="微软雅黑" w:eastAsia="微软雅黑"/>
          <w:sz w:val="28"/>
          <w:szCs w:val="28"/>
        </w:rPr>
      </w:pPr>
    </w:p>
    <w:p w14:paraId="0FCF896F">
      <w:pPr>
        <w:spacing w:line="520" w:lineRule="exact"/>
        <w:jc w:val="center"/>
        <w:rPr>
          <w:rFonts w:ascii="微软雅黑" w:hAnsi="微软雅黑" w:eastAsia="微软雅黑"/>
          <w:sz w:val="28"/>
          <w:szCs w:val="28"/>
        </w:rPr>
      </w:pPr>
      <w:r>
        <w:rPr>
          <w:rFonts w:hint="eastAsia" w:ascii="微软雅黑" w:hAnsi="微软雅黑" w:eastAsia="微软雅黑"/>
          <w:sz w:val="28"/>
          <w:szCs w:val="28"/>
          <w:lang w:eastAsia="zh-CN"/>
        </w:rPr>
        <w:t>2025</w:t>
      </w:r>
      <w:r>
        <w:rPr>
          <w:rFonts w:hint="eastAsia" w:ascii="微软雅黑" w:hAnsi="微软雅黑" w:eastAsia="微软雅黑"/>
          <w:sz w:val="28"/>
          <w:szCs w:val="28"/>
        </w:rPr>
        <w:t>年</w:t>
      </w:r>
      <w:r>
        <w:rPr>
          <w:rFonts w:hint="eastAsia" w:ascii="微软雅黑" w:hAnsi="微软雅黑" w:eastAsia="微软雅黑"/>
          <w:sz w:val="28"/>
          <w:szCs w:val="28"/>
          <w:lang w:val="en-US" w:eastAsia="zh-CN"/>
        </w:rPr>
        <w:t>4</w:t>
      </w:r>
      <w:r>
        <w:rPr>
          <w:rFonts w:hint="eastAsia" w:ascii="微软雅黑" w:hAnsi="微软雅黑" w:eastAsia="微软雅黑"/>
          <w:sz w:val="28"/>
          <w:szCs w:val="28"/>
        </w:rPr>
        <w:t>月</w:t>
      </w:r>
    </w:p>
    <w:p w14:paraId="107D7EC9">
      <w:pPr>
        <w:spacing w:line="360" w:lineRule="exact"/>
        <w:rPr>
          <w:rFonts w:ascii="微软雅黑" w:hAnsi="微软雅黑" w:eastAsia="微软雅黑"/>
          <w:sz w:val="24"/>
        </w:rPr>
      </w:pPr>
    </w:p>
    <w:p w14:paraId="3375064A">
      <w:pPr>
        <w:spacing w:line="360" w:lineRule="exact"/>
        <w:rPr>
          <w:rFonts w:ascii="微软雅黑" w:hAnsi="微软雅黑" w:eastAsia="微软雅黑"/>
          <w:sz w:val="24"/>
        </w:rPr>
        <w:sectPr>
          <w:headerReference r:id="rId3" w:type="default"/>
          <w:footerReference r:id="rId4" w:type="default"/>
          <w:pgSz w:w="11906" w:h="16838"/>
          <w:pgMar w:top="1134" w:right="1134" w:bottom="1134" w:left="1134" w:header="567" w:footer="567" w:gutter="0"/>
          <w:pgNumType w:start="1"/>
          <w:cols w:space="720" w:num="1"/>
          <w:docGrid w:type="lines" w:linePitch="312" w:charSpace="0"/>
        </w:sectPr>
      </w:pPr>
    </w:p>
    <w:p w14:paraId="60226242">
      <w:pPr>
        <w:spacing w:line="360" w:lineRule="exact"/>
        <w:rPr>
          <w:rFonts w:ascii="微软雅黑" w:hAnsi="微软雅黑" w:eastAsia="微软雅黑"/>
          <w:sz w:val="24"/>
        </w:rPr>
      </w:pPr>
    </w:p>
    <w:p w14:paraId="7D5A4731">
      <w:pPr>
        <w:spacing w:line="360" w:lineRule="auto"/>
        <w:jc w:val="center"/>
        <w:rPr>
          <w:rFonts w:ascii="微软雅黑" w:hAnsi="微软雅黑" w:eastAsia="微软雅黑"/>
          <w:b/>
          <w:sz w:val="44"/>
          <w:szCs w:val="44"/>
        </w:rPr>
      </w:pPr>
      <w:r>
        <w:rPr>
          <w:rFonts w:hint="eastAsia" w:ascii="微软雅黑" w:hAnsi="微软雅黑" w:eastAsia="微软雅黑"/>
          <w:b/>
          <w:sz w:val="44"/>
          <w:szCs w:val="44"/>
        </w:rPr>
        <w:t>目</w:t>
      </w:r>
      <w:r>
        <w:rPr>
          <w:rFonts w:ascii="微软雅黑" w:hAnsi="微软雅黑" w:eastAsia="微软雅黑"/>
          <w:b/>
          <w:sz w:val="44"/>
          <w:szCs w:val="44"/>
        </w:rPr>
        <w:t xml:space="preserve">   录</w:t>
      </w:r>
    </w:p>
    <w:p w14:paraId="70467F6F">
      <w:pPr>
        <w:pStyle w:val="21"/>
        <w:spacing w:line="480" w:lineRule="auto"/>
        <w:rPr>
          <w:rFonts w:ascii="Calibri" w:hAnsi="Calibri"/>
          <w:sz w:val="21"/>
          <w:szCs w:val="22"/>
        </w:rPr>
      </w:pPr>
      <w:r>
        <w:rPr>
          <w:rFonts w:hint="eastAsia" w:cs="宋体"/>
          <w:sz w:val="28"/>
          <w:szCs w:val="28"/>
        </w:rPr>
        <w:fldChar w:fldCharType="begin"/>
      </w:r>
      <w:r>
        <w:rPr>
          <w:rFonts w:hint="eastAsia" w:cs="宋体"/>
          <w:sz w:val="28"/>
          <w:szCs w:val="28"/>
        </w:rPr>
        <w:instrText xml:space="preserve"> TOC \o "1-3" \h \z \u </w:instrText>
      </w:r>
      <w:r>
        <w:rPr>
          <w:rFonts w:hint="eastAsia" w:cs="宋体"/>
          <w:sz w:val="28"/>
          <w:szCs w:val="28"/>
        </w:rPr>
        <w:fldChar w:fldCharType="separate"/>
      </w:r>
      <w:r>
        <w:fldChar w:fldCharType="begin"/>
      </w:r>
      <w:r>
        <w:instrText xml:space="preserve"> HYPERLINK \l "_Toc34746014" </w:instrText>
      </w:r>
      <w:r>
        <w:fldChar w:fldCharType="separate"/>
      </w:r>
      <w:r>
        <w:rPr>
          <w:rStyle w:val="28"/>
          <w:rFonts w:hint="eastAsia" w:cs="宋体"/>
        </w:rPr>
        <w:t>第一章</w:t>
      </w:r>
      <w:r>
        <w:rPr>
          <w:rStyle w:val="28"/>
          <w:rFonts w:cs="宋体"/>
        </w:rPr>
        <w:t xml:space="preserve"> </w:t>
      </w:r>
      <w:r>
        <w:rPr>
          <w:rStyle w:val="28"/>
          <w:rFonts w:hint="eastAsia" w:cs="宋体"/>
        </w:rPr>
        <w:t xml:space="preserve"> 竞争性磋商公告</w:t>
      </w:r>
      <w:r>
        <w:tab/>
      </w:r>
      <w:r>
        <w:fldChar w:fldCharType="begin"/>
      </w:r>
      <w:r>
        <w:instrText xml:space="preserve"> PAGEREF _Toc34746014 \h </w:instrText>
      </w:r>
      <w:r>
        <w:fldChar w:fldCharType="separate"/>
      </w:r>
      <w:r>
        <w:t>1</w:t>
      </w:r>
      <w:r>
        <w:fldChar w:fldCharType="end"/>
      </w:r>
      <w:r>
        <w:fldChar w:fldCharType="end"/>
      </w:r>
    </w:p>
    <w:p w14:paraId="011B7600">
      <w:pPr>
        <w:pStyle w:val="21"/>
        <w:spacing w:line="480" w:lineRule="auto"/>
        <w:rPr>
          <w:rFonts w:ascii="Calibri" w:hAnsi="Calibri"/>
          <w:sz w:val="21"/>
          <w:szCs w:val="22"/>
        </w:rPr>
      </w:pPr>
      <w:r>
        <w:fldChar w:fldCharType="begin"/>
      </w:r>
      <w:r>
        <w:instrText xml:space="preserve"> HYPERLINK \l "_Toc34746015" </w:instrText>
      </w:r>
      <w:r>
        <w:fldChar w:fldCharType="separate"/>
      </w:r>
      <w:r>
        <w:rPr>
          <w:rStyle w:val="28"/>
          <w:rFonts w:hint="eastAsia" w:cs="宋体"/>
        </w:rPr>
        <w:t>第二章</w:t>
      </w:r>
      <w:r>
        <w:rPr>
          <w:rStyle w:val="28"/>
          <w:rFonts w:cs="宋体"/>
        </w:rPr>
        <w:t xml:space="preserve">  </w:t>
      </w:r>
      <w:r>
        <w:rPr>
          <w:rStyle w:val="28"/>
          <w:rFonts w:hint="eastAsia" w:cs="宋体"/>
        </w:rPr>
        <w:t>供应商须知</w:t>
      </w:r>
      <w:r>
        <w:tab/>
      </w:r>
      <w:r>
        <w:fldChar w:fldCharType="begin"/>
      </w:r>
      <w:r>
        <w:instrText xml:space="preserve"> PAGEREF _Toc34746015 \h </w:instrText>
      </w:r>
      <w:r>
        <w:fldChar w:fldCharType="separate"/>
      </w:r>
      <w:r>
        <w:t>5</w:t>
      </w:r>
      <w:r>
        <w:fldChar w:fldCharType="end"/>
      </w:r>
      <w:r>
        <w:fldChar w:fldCharType="end"/>
      </w:r>
    </w:p>
    <w:p w14:paraId="44AAE787">
      <w:pPr>
        <w:pStyle w:val="21"/>
        <w:spacing w:line="480" w:lineRule="auto"/>
        <w:rPr>
          <w:rFonts w:hint="default" w:ascii="Calibri" w:hAnsi="Calibri" w:eastAsia="宋体"/>
          <w:sz w:val="21"/>
          <w:szCs w:val="22"/>
          <w:lang w:val="en-US" w:eastAsia="zh-CN"/>
        </w:rPr>
      </w:pPr>
      <w:r>
        <w:fldChar w:fldCharType="begin"/>
      </w:r>
      <w:r>
        <w:instrText xml:space="preserve"> HYPERLINK \l "_Toc34746016" </w:instrText>
      </w:r>
      <w:r>
        <w:fldChar w:fldCharType="separate"/>
      </w:r>
      <w:r>
        <w:rPr>
          <w:rStyle w:val="28"/>
          <w:rFonts w:hint="eastAsia" w:cs="宋体"/>
        </w:rPr>
        <w:t>第三章</w:t>
      </w:r>
      <w:r>
        <w:rPr>
          <w:rStyle w:val="28"/>
          <w:rFonts w:cs="宋体"/>
        </w:rPr>
        <w:t xml:space="preserve">  </w:t>
      </w:r>
      <w:r>
        <w:rPr>
          <w:rStyle w:val="28"/>
          <w:rFonts w:hint="eastAsia" w:cs="宋体"/>
        </w:rPr>
        <w:t>采购需求</w:t>
      </w:r>
      <w:r>
        <w:tab/>
      </w:r>
      <w:r>
        <w:fldChar w:fldCharType="end"/>
      </w:r>
      <w:r>
        <w:rPr>
          <w:rFonts w:hint="eastAsia"/>
          <w:lang w:val="en-US" w:eastAsia="zh-CN"/>
        </w:rPr>
        <w:t>17</w:t>
      </w:r>
    </w:p>
    <w:p w14:paraId="14CC2F1C">
      <w:pPr>
        <w:pStyle w:val="21"/>
        <w:spacing w:line="480" w:lineRule="auto"/>
        <w:rPr>
          <w:rFonts w:hint="eastAsia" w:ascii="Calibri" w:hAnsi="Calibri" w:eastAsia="宋体"/>
          <w:sz w:val="21"/>
          <w:szCs w:val="22"/>
          <w:lang w:eastAsia="zh-CN"/>
        </w:rPr>
      </w:pPr>
      <w:r>
        <w:fldChar w:fldCharType="begin"/>
      </w:r>
      <w:r>
        <w:instrText xml:space="preserve"> HYPERLINK \l "_Toc34746017" </w:instrText>
      </w:r>
      <w:r>
        <w:fldChar w:fldCharType="separate"/>
      </w:r>
      <w:r>
        <w:rPr>
          <w:rStyle w:val="28"/>
          <w:rFonts w:hint="eastAsia" w:cs="宋体"/>
        </w:rPr>
        <w:t>第四章</w:t>
      </w:r>
      <w:r>
        <w:rPr>
          <w:rStyle w:val="28"/>
          <w:rFonts w:cs="宋体"/>
        </w:rPr>
        <w:t xml:space="preserve">  </w:t>
      </w:r>
      <w:r>
        <w:rPr>
          <w:rStyle w:val="28"/>
          <w:rFonts w:hint="eastAsia" w:cs="宋体"/>
        </w:rPr>
        <w:t>磋商办法及评分标准</w:t>
      </w:r>
      <w:r>
        <w:tab/>
      </w:r>
      <w:r>
        <w:fldChar w:fldCharType="end"/>
      </w:r>
      <w:r>
        <w:rPr>
          <w:rFonts w:hint="eastAsia"/>
        </w:rPr>
        <w:t>2</w:t>
      </w:r>
      <w:r>
        <w:rPr>
          <w:rFonts w:hint="eastAsia"/>
          <w:lang w:val="en-US" w:eastAsia="zh-CN"/>
        </w:rPr>
        <w:t>2</w:t>
      </w:r>
    </w:p>
    <w:p w14:paraId="63645481">
      <w:pPr>
        <w:pStyle w:val="21"/>
        <w:spacing w:line="480" w:lineRule="auto"/>
        <w:rPr>
          <w:rFonts w:hint="eastAsia" w:ascii="Calibri" w:hAnsi="Calibri" w:eastAsia="宋体"/>
          <w:sz w:val="21"/>
          <w:szCs w:val="22"/>
          <w:lang w:eastAsia="zh-CN"/>
        </w:rPr>
      </w:pPr>
      <w:r>
        <w:fldChar w:fldCharType="begin"/>
      </w:r>
      <w:r>
        <w:instrText xml:space="preserve"> HYPERLINK \l "_Toc34746018" </w:instrText>
      </w:r>
      <w:r>
        <w:fldChar w:fldCharType="separate"/>
      </w:r>
      <w:r>
        <w:rPr>
          <w:rStyle w:val="28"/>
          <w:rFonts w:hint="eastAsia" w:cs="宋体"/>
        </w:rPr>
        <w:t>第五章</w:t>
      </w:r>
      <w:r>
        <w:rPr>
          <w:rStyle w:val="28"/>
          <w:rFonts w:cs="宋体"/>
        </w:rPr>
        <w:t xml:space="preserve"> </w:t>
      </w:r>
      <w:r>
        <w:rPr>
          <w:rStyle w:val="28"/>
          <w:rFonts w:hint="eastAsia" w:cs="宋体"/>
        </w:rPr>
        <w:t xml:space="preserve"> 合同主要条款</w:t>
      </w:r>
      <w:r>
        <w:tab/>
      </w:r>
      <w:r>
        <w:fldChar w:fldCharType="end"/>
      </w:r>
      <w:r>
        <w:rPr>
          <w:rFonts w:hint="eastAsia"/>
        </w:rPr>
        <w:t>2</w:t>
      </w:r>
      <w:r>
        <w:rPr>
          <w:rFonts w:hint="eastAsia"/>
          <w:lang w:val="en-US" w:eastAsia="zh-CN"/>
        </w:rPr>
        <w:t>5</w:t>
      </w:r>
    </w:p>
    <w:p w14:paraId="294850A9">
      <w:pPr>
        <w:pStyle w:val="21"/>
        <w:spacing w:line="480" w:lineRule="auto"/>
        <w:rPr>
          <w:rFonts w:hint="default" w:ascii="Calibri" w:hAnsi="Calibri" w:eastAsia="宋体"/>
          <w:sz w:val="21"/>
          <w:szCs w:val="22"/>
          <w:lang w:val="en-US" w:eastAsia="zh-CN"/>
        </w:rPr>
      </w:pPr>
      <w:r>
        <w:fldChar w:fldCharType="begin"/>
      </w:r>
      <w:r>
        <w:instrText xml:space="preserve"> HYPERLINK \l "_Toc34746019" </w:instrText>
      </w:r>
      <w:r>
        <w:fldChar w:fldCharType="separate"/>
      </w:r>
      <w:r>
        <w:rPr>
          <w:rStyle w:val="28"/>
          <w:rFonts w:hint="eastAsia" w:cs="宋体"/>
        </w:rPr>
        <w:t>第六章</w:t>
      </w:r>
      <w:r>
        <w:rPr>
          <w:rStyle w:val="28"/>
          <w:rFonts w:cs="宋体"/>
        </w:rPr>
        <w:t xml:space="preserve">  </w:t>
      </w:r>
      <w:r>
        <w:rPr>
          <w:rStyle w:val="28"/>
          <w:rFonts w:hint="eastAsia" w:cs="宋体"/>
        </w:rPr>
        <w:t>响应文件格式</w:t>
      </w:r>
      <w:r>
        <w:tab/>
      </w:r>
      <w:r>
        <w:fldChar w:fldCharType="end"/>
      </w:r>
      <w:r>
        <w:rPr>
          <w:rFonts w:hint="eastAsia"/>
          <w:lang w:val="en-US" w:eastAsia="zh-CN"/>
        </w:rPr>
        <w:t>29</w:t>
      </w:r>
    </w:p>
    <w:p w14:paraId="1C9F1262">
      <w:pPr>
        <w:spacing w:line="480" w:lineRule="auto"/>
        <w:ind w:firstLine="105"/>
      </w:pPr>
      <w:r>
        <w:rPr>
          <w:rFonts w:hint="eastAsia" w:ascii="宋体" w:hAnsi="宋体" w:cs="宋体"/>
          <w:sz w:val="28"/>
          <w:szCs w:val="28"/>
        </w:rPr>
        <w:fldChar w:fldCharType="end"/>
      </w:r>
    </w:p>
    <w:p w14:paraId="3B190D03">
      <w:pPr>
        <w:pStyle w:val="21"/>
        <w:spacing w:line="260" w:lineRule="exact"/>
        <w:rPr>
          <w:rFonts w:ascii="微软雅黑" w:hAnsi="微软雅黑" w:eastAsia="微软雅黑"/>
          <w:sz w:val="21"/>
          <w:szCs w:val="21"/>
        </w:rPr>
      </w:pPr>
      <w:r>
        <w:rPr>
          <w:rFonts w:hint="eastAsia" w:ascii="微软雅黑" w:hAnsi="微软雅黑" w:eastAsia="微软雅黑"/>
          <w:sz w:val="21"/>
          <w:szCs w:val="21"/>
        </w:rPr>
        <w:fldChar w:fldCharType="begin"/>
      </w:r>
      <w:r>
        <w:rPr>
          <w:rFonts w:hint="eastAsia" w:ascii="微软雅黑" w:hAnsi="微软雅黑" w:eastAsia="微软雅黑"/>
          <w:sz w:val="21"/>
          <w:szCs w:val="21"/>
        </w:rPr>
        <w:instrText xml:space="preserve"> TOC \o "1-3" \h \z \u </w:instrText>
      </w:r>
      <w:r>
        <w:rPr>
          <w:rFonts w:hint="eastAsia" w:ascii="微软雅黑" w:hAnsi="微软雅黑" w:eastAsia="微软雅黑"/>
          <w:sz w:val="21"/>
          <w:szCs w:val="21"/>
        </w:rPr>
        <w:fldChar w:fldCharType="separate"/>
      </w:r>
    </w:p>
    <w:p w14:paraId="694255BC">
      <w:pPr>
        <w:pStyle w:val="21"/>
        <w:spacing w:line="260" w:lineRule="exact"/>
        <w:ind w:firstLine="105"/>
        <w:rPr>
          <w:rFonts w:ascii="微软雅黑" w:hAnsi="微软雅黑" w:eastAsia="微软雅黑"/>
          <w:sz w:val="21"/>
          <w:szCs w:val="21"/>
        </w:rPr>
      </w:pPr>
    </w:p>
    <w:p w14:paraId="11B8D5F8">
      <w:pPr>
        <w:spacing w:line="360" w:lineRule="exact"/>
        <w:rPr>
          <w:rFonts w:ascii="微软雅黑" w:hAnsi="微软雅黑" w:eastAsia="微软雅黑"/>
          <w:szCs w:val="21"/>
        </w:rPr>
      </w:pPr>
      <w:r>
        <w:rPr>
          <w:rFonts w:hint="eastAsia" w:ascii="微软雅黑" w:hAnsi="微软雅黑" w:eastAsia="微软雅黑"/>
          <w:szCs w:val="21"/>
        </w:rPr>
        <w:fldChar w:fldCharType="end"/>
      </w:r>
    </w:p>
    <w:p w14:paraId="3AD78581">
      <w:pPr>
        <w:spacing w:line="360" w:lineRule="exact"/>
        <w:rPr>
          <w:rFonts w:ascii="微软雅黑" w:hAnsi="微软雅黑" w:eastAsia="微软雅黑"/>
          <w:szCs w:val="21"/>
        </w:rPr>
      </w:pPr>
    </w:p>
    <w:p w14:paraId="5C685144"/>
    <w:p w14:paraId="6364C79B">
      <w:pPr>
        <w:pStyle w:val="2"/>
        <w:pageBreakBefore/>
        <w:spacing w:line="360" w:lineRule="exact"/>
        <w:jc w:val="center"/>
        <w:rPr>
          <w:rFonts w:hint="eastAsia" w:ascii="宋体" w:hAnsi="宋体" w:cs="宋体"/>
          <w:sz w:val="32"/>
          <w:szCs w:val="32"/>
        </w:rPr>
        <w:sectPr>
          <w:footerReference r:id="rId5" w:type="default"/>
          <w:type w:val="continuous"/>
          <w:pgSz w:w="11900" w:h="16838"/>
          <w:pgMar w:top="1365" w:right="1440" w:bottom="198" w:left="1440" w:header="0" w:footer="0" w:gutter="0"/>
          <w:pgNumType w:start="1"/>
          <w:cols w:space="720" w:num="1"/>
        </w:sectPr>
      </w:pPr>
      <w:bookmarkStart w:id="0" w:name="_Toc34746014"/>
    </w:p>
    <w:p w14:paraId="462BF912">
      <w:pPr>
        <w:pStyle w:val="2"/>
        <w:pageBreakBefore/>
        <w:spacing w:line="360" w:lineRule="exact"/>
        <w:jc w:val="center"/>
        <w:rPr>
          <w:rFonts w:ascii="宋体" w:hAnsi="宋体" w:cs="宋体"/>
          <w:sz w:val="32"/>
          <w:szCs w:val="32"/>
        </w:rPr>
      </w:pPr>
      <w:r>
        <w:rPr>
          <w:rFonts w:hint="eastAsia" w:ascii="宋体" w:hAnsi="宋体" w:cs="宋体"/>
          <w:sz w:val="32"/>
          <w:szCs w:val="32"/>
        </w:rPr>
        <w:t>第一章 竞争性磋商公告</w:t>
      </w:r>
      <w:bookmarkEnd w:id="0"/>
    </w:p>
    <w:p w14:paraId="6C3F5E9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Arial"/>
          <w:kern w:val="0"/>
          <w:sz w:val="24"/>
        </w:rPr>
      </w:pPr>
      <w:r>
        <w:rPr>
          <w:rFonts w:hint="eastAsia" w:ascii="宋体" w:hAnsi="宋体" w:cs="Arial"/>
          <w:kern w:val="0"/>
          <w:sz w:val="24"/>
        </w:rPr>
        <w:t>根据《中华人民共和国政府采购法》</w:t>
      </w:r>
      <w:r>
        <w:rPr>
          <w:rFonts w:hint="eastAsia" w:ascii="宋体" w:hAnsi="宋体" w:cs="宋体"/>
          <w:kern w:val="0"/>
          <w:sz w:val="24"/>
        </w:rPr>
        <w:t>、《政府采购竞争性磋商采购方式管理暂行办法》</w:t>
      </w:r>
      <w:r>
        <w:rPr>
          <w:rFonts w:hint="eastAsia" w:ascii="宋体" w:hAnsi="宋体" w:cs="Arial"/>
          <w:kern w:val="0"/>
          <w:sz w:val="24"/>
        </w:rPr>
        <w:t>等有关规定，经</w:t>
      </w:r>
      <w:r>
        <w:rPr>
          <w:rFonts w:hint="eastAsia" w:ascii="宋体" w:hAnsi="宋体" w:cs="宋体"/>
          <w:kern w:val="0"/>
          <w:sz w:val="24"/>
          <w:lang w:eastAsia="zh-CN"/>
        </w:rPr>
        <w:t>湖州市</w:t>
      </w:r>
      <w:r>
        <w:rPr>
          <w:rFonts w:hint="eastAsia" w:ascii="宋体" w:hAnsi="宋体" w:cs="宋体"/>
          <w:kern w:val="0"/>
          <w:sz w:val="24"/>
        </w:rPr>
        <w:t>财政局政府采购监管处（财政审批编号：湖财采确临[2025]4426、4427号</w:t>
      </w:r>
      <w:r>
        <w:rPr>
          <w:rFonts w:hint="eastAsia" w:ascii="宋体" w:hAnsi="宋体" w:cs="宋体"/>
          <w:b/>
          <w:bCs/>
          <w:snapToGrid w:val="0"/>
          <w:sz w:val="24"/>
        </w:rPr>
        <w:t>）</w:t>
      </w:r>
      <w:r>
        <w:rPr>
          <w:rFonts w:hint="eastAsia" w:ascii="宋体" w:hAnsi="宋体" w:cs="宋体"/>
          <w:kern w:val="0"/>
          <w:sz w:val="24"/>
        </w:rPr>
        <w:t>批准</w:t>
      </w:r>
      <w:r>
        <w:rPr>
          <w:rFonts w:hint="eastAsia" w:ascii="宋体" w:hAnsi="宋体" w:cs="Arial"/>
          <w:kern w:val="0"/>
          <w:sz w:val="24"/>
        </w:rPr>
        <w:t>，</w:t>
      </w:r>
      <w:r>
        <w:rPr>
          <w:rFonts w:hint="eastAsia" w:ascii="宋体" w:hAnsi="宋体" w:cs="宋体"/>
          <w:kern w:val="0"/>
          <w:sz w:val="24"/>
        </w:rPr>
        <w:t>浙江华夏工程管理有限公司受</w:t>
      </w:r>
      <w:r>
        <w:rPr>
          <w:rFonts w:hint="eastAsia" w:ascii="宋体" w:hAnsi="宋体" w:cs="宋体"/>
          <w:kern w:val="0"/>
          <w:sz w:val="24"/>
          <w:lang w:eastAsia="zh-CN"/>
        </w:rPr>
        <w:t>湖州市市容环境卫生管理中心</w:t>
      </w:r>
      <w:r>
        <w:rPr>
          <w:rFonts w:hint="eastAsia" w:ascii="宋体" w:hAnsi="宋体" w:cs="宋体"/>
          <w:kern w:val="0"/>
          <w:sz w:val="24"/>
        </w:rPr>
        <w:t>的委托，就其所需</w:t>
      </w:r>
      <w:r>
        <w:rPr>
          <w:rFonts w:hint="eastAsia" w:ascii="宋体" w:hAnsi="宋体" w:cs="宋体"/>
          <w:kern w:val="0"/>
          <w:sz w:val="24"/>
          <w:lang w:eastAsia="zh-CN"/>
        </w:rPr>
        <w:t>环卫小型设施设备养护及保障服务项目</w:t>
      </w:r>
      <w:r>
        <w:rPr>
          <w:rFonts w:hint="eastAsia" w:ascii="宋体" w:hAnsi="宋体" w:cs="宋体"/>
          <w:kern w:val="0"/>
          <w:sz w:val="24"/>
        </w:rPr>
        <w:t>进行竞争性磋商，</w:t>
      </w:r>
      <w:r>
        <w:rPr>
          <w:rFonts w:hint="eastAsia" w:ascii="宋体" w:hAnsi="宋体" w:cs="Arial"/>
          <w:kern w:val="0"/>
          <w:sz w:val="24"/>
        </w:rPr>
        <w:t>欢迎国内合格的供应商前来磋商。</w:t>
      </w:r>
    </w:p>
    <w:p w14:paraId="373C1C86">
      <w:pPr>
        <w:keepNext w:val="0"/>
        <w:keepLines w:val="0"/>
        <w:pageBreakBefore w:val="0"/>
        <w:widowControl w:val="0"/>
        <w:kinsoku/>
        <w:wordWrap/>
        <w:overflowPunct/>
        <w:topLinePunct w:val="0"/>
        <w:autoSpaceDE/>
        <w:autoSpaceDN/>
        <w:bidi w:val="0"/>
        <w:adjustRightInd/>
        <w:snapToGrid/>
        <w:spacing w:line="480" w:lineRule="exact"/>
        <w:textAlignment w:val="auto"/>
        <w:outlineLvl w:val="1"/>
        <w:rPr>
          <w:rFonts w:ascii="宋体" w:hAnsi="宋体" w:cs="Arial"/>
          <w:color w:val="000000" w:themeColor="text1"/>
          <w:kern w:val="0"/>
          <w:sz w:val="24"/>
          <w:highlight w:val="none"/>
          <w14:textFill>
            <w14:solidFill>
              <w14:schemeClr w14:val="tx1"/>
            </w14:solidFill>
          </w14:textFill>
        </w:rPr>
      </w:pPr>
      <w:r>
        <w:rPr>
          <w:rFonts w:hint="eastAsia" w:ascii="宋体" w:hAnsi="宋体" w:cs="Arial"/>
          <w:b/>
          <w:bCs/>
          <w:color w:val="000000" w:themeColor="text1"/>
          <w:kern w:val="0"/>
          <w:sz w:val="24"/>
          <w14:textFill>
            <w14:solidFill>
              <w14:schemeClr w14:val="tx1"/>
            </w14:solidFill>
          </w14:textFill>
        </w:rPr>
        <w:t>一．项目编号</w:t>
      </w:r>
      <w:r>
        <w:rPr>
          <w:rFonts w:hint="eastAsia" w:ascii="宋体" w:hAnsi="宋体" w:cs="Arial"/>
          <w:color w:val="000000" w:themeColor="text1"/>
          <w:kern w:val="0"/>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浙华采字【2025】hzf-6007号</w:t>
      </w:r>
    </w:p>
    <w:p w14:paraId="0E826B7A">
      <w:pPr>
        <w:keepNext w:val="0"/>
        <w:keepLines w:val="0"/>
        <w:pageBreakBefore w:val="0"/>
        <w:widowControl w:val="0"/>
        <w:kinsoku/>
        <w:wordWrap/>
        <w:overflowPunct/>
        <w:topLinePunct w:val="0"/>
        <w:autoSpaceDE/>
        <w:autoSpaceDN/>
        <w:bidi w:val="0"/>
        <w:adjustRightInd/>
        <w:snapToGrid/>
        <w:spacing w:line="480" w:lineRule="exact"/>
        <w:textAlignment w:val="auto"/>
        <w:outlineLvl w:val="1"/>
        <w:rPr>
          <w:rFonts w:ascii="宋体" w:hAnsi="宋体" w:cs="Arial"/>
          <w:color w:val="000000" w:themeColor="text1"/>
          <w:kern w:val="0"/>
          <w:sz w:val="24"/>
          <w:highlight w:val="none"/>
          <w14:textFill>
            <w14:solidFill>
              <w14:schemeClr w14:val="tx1"/>
            </w14:solidFill>
          </w14:textFill>
        </w:rPr>
      </w:pPr>
      <w:r>
        <w:rPr>
          <w:rFonts w:hint="eastAsia" w:ascii="宋体" w:hAnsi="宋体" w:cs="Arial"/>
          <w:b/>
          <w:bCs/>
          <w:color w:val="000000" w:themeColor="text1"/>
          <w:kern w:val="0"/>
          <w:sz w:val="24"/>
          <w:highlight w:val="none"/>
          <w14:textFill>
            <w14:solidFill>
              <w14:schemeClr w14:val="tx1"/>
            </w14:solidFill>
          </w14:textFill>
        </w:rPr>
        <w:t>二．组织类型：</w:t>
      </w:r>
      <w:r>
        <w:rPr>
          <w:rFonts w:ascii="宋体" w:hAnsi="宋体" w:cs="Arial"/>
          <w:color w:val="000000" w:themeColor="text1"/>
          <w:kern w:val="0"/>
          <w:sz w:val="24"/>
          <w:highlight w:val="none"/>
          <w14:textFill>
            <w14:solidFill>
              <w14:schemeClr w14:val="tx1"/>
            </w14:solidFill>
          </w14:textFill>
        </w:rPr>
        <w:t>分散采购委托代理</w:t>
      </w:r>
    </w:p>
    <w:p w14:paraId="0C041066">
      <w:pPr>
        <w:keepNext w:val="0"/>
        <w:keepLines w:val="0"/>
        <w:pageBreakBefore w:val="0"/>
        <w:widowControl w:val="0"/>
        <w:kinsoku/>
        <w:wordWrap/>
        <w:overflowPunct/>
        <w:topLinePunct w:val="0"/>
        <w:autoSpaceDE/>
        <w:autoSpaceDN/>
        <w:bidi w:val="0"/>
        <w:adjustRightInd/>
        <w:snapToGrid/>
        <w:spacing w:line="480" w:lineRule="exact"/>
        <w:textAlignment w:val="auto"/>
        <w:outlineLvl w:val="1"/>
        <w:rPr>
          <w:rFonts w:ascii="宋体" w:hAnsi="宋体" w:cs="Arial"/>
          <w:color w:val="000000" w:themeColor="text1"/>
          <w:kern w:val="0"/>
          <w:sz w:val="24"/>
          <w:highlight w:val="none"/>
          <w14:textFill>
            <w14:solidFill>
              <w14:schemeClr w14:val="tx1"/>
            </w14:solidFill>
          </w14:textFill>
        </w:rPr>
      </w:pPr>
      <w:r>
        <w:rPr>
          <w:rFonts w:hint="eastAsia" w:ascii="宋体" w:hAnsi="宋体" w:cs="Arial"/>
          <w:b/>
          <w:bCs/>
          <w:color w:val="000000" w:themeColor="text1"/>
          <w:kern w:val="0"/>
          <w:sz w:val="24"/>
          <w:highlight w:val="none"/>
          <w14:textFill>
            <w14:solidFill>
              <w14:schemeClr w14:val="tx1"/>
            </w14:solidFill>
          </w14:textFill>
        </w:rPr>
        <w:t>三．项目概况：</w:t>
      </w:r>
    </w:p>
    <w:tbl>
      <w:tblPr>
        <w:tblStyle w:val="25"/>
        <w:tblW w:w="89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2672"/>
        <w:gridCol w:w="1500"/>
        <w:gridCol w:w="1785"/>
        <w:gridCol w:w="2186"/>
      </w:tblGrid>
      <w:tr w14:paraId="2FD3F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2A9F6586">
            <w:pPr>
              <w:snapToGrid w:val="0"/>
              <w:spacing w:line="240" w:lineRule="auto"/>
              <w:jc w:val="center"/>
              <w:rPr>
                <w:rStyle w:val="56"/>
                <w:rFonts w:hint="eastAsia" w:ascii="宋体" w:hAnsi="宋体" w:eastAsia="宋体" w:cs="宋体"/>
                <w:color w:val="auto"/>
                <w:sz w:val="22"/>
                <w:szCs w:val="24"/>
                <w:lang w:eastAsia="zh-CN"/>
              </w:rPr>
            </w:pPr>
            <w:r>
              <w:rPr>
                <w:rStyle w:val="56"/>
                <w:rFonts w:hint="eastAsia" w:ascii="宋体" w:hAnsi="宋体" w:eastAsia="宋体" w:cs="宋体"/>
                <w:color w:val="auto"/>
                <w:sz w:val="22"/>
                <w:szCs w:val="24"/>
                <w:lang w:eastAsia="zh-CN"/>
              </w:rPr>
              <w:t>序号</w:t>
            </w:r>
          </w:p>
        </w:tc>
        <w:tc>
          <w:tcPr>
            <w:tcW w:w="2672" w:type="dxa"/>
            <w:tcBorders>
              <w:top w:val="single" w:color="auto" w:sz="4" w:space="0"/>
              <w:left w:val="single" w:color="auto" w:sz="4" w:space="0"/>
              <w:bottom w:val="single" w:color="auto" w:sz="4" w:space="0"/>
              <w:right w:val="single" w:color="auto" w:sz="4" w:space="0"/>
            </w:tcBorders>
            <w:noWrap w:val="0"/>
            <w:vAlign w:val="center"/>
          </w:tcPr>
          <w:p w14:paraId="547A6EAC">
            <w:pPr>
              <w:snapToGrid w:val="0"/>
              <w:spacing w:line="240" w:lineRule="auto"/>
              <w:jc w:val="center"/>
              <w:rPr>
                <w:rStyle w:val="56"/>
                <w:rFonts w:hint="eastAsia" w:ascii="宋体" w:hAnsi="宋体" w:eastAsia="宋体" w:cs="宋体"/>
                <w:color w:val="auto"/>
                <w:sz w:val="22"/>
                <w:szCs w:val="24"/>
              </w:rPr>
            </w:pPr>
            <w:r>
              <w:rPr>
                <w:rStyle w:val="56"/>
                <w:rFonts w:hint="eastAsia" w:ascii="宋体" w:hAnsi="宋体" w:eastAsia="宋体" w:cs="宋体"/>
                <w:color w:val="auto"/>
                <w:sz w:val="22"/>
                <w:szCs w:val="24"/>
              </w:rPr>
              <w:t>采购内容</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A274123">
            <w:pPr>
              <w:snapToGrid w:val="0"/>
              <w:spacing w:line="240" w:lineRule="auto"/>
              <w:jc w:val="center"/>
              <w:rPr>
                <w:rStyle w:val="56"/>
                <w:rFonts w:hint="eastAsia" w:ascii="宋体" w:hAnsi="宋体" w:eastAsia="宋体" w:cs="宋体"/>
                <w:color w:val="auto"/>
                <w:sz w:val="22"/>
                <w:szCs w:val="24"/>
              </w:rPr>
            </w:pPr>
            <w:r>
              <w:rPr>
                <w:rStyle w:val="56"/>
                <w:rFonts w:hint="eastAsia" w:ascii="宋体" w:hAnsi="宋体" w:eastAsia="宋体" w:cs="宋体"/>
                <w:color w:val="auto"/>
                <w:sz w:val="22"/>
                <w:szCs w:val="24"/>
              </w:rPr>
              <w:t>单位及数量</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71239A2">
            <w:pPr>
              <w:snapToGrid w:val="0"/>
              <w:spacing w:line="240" w:lineRule="auto"/>
              <w:jc w:val="center"/>
              <w:rPr>
                <w:rStyle w:val="56"/>
                <w:rFonts w:hint="eastAsia" w:ascii="宋体" w:hAnsi="宋体" w:eastAsia="宋体" w:cs="宋体"/>
                <w:color w:val="auto"/>
                <w:sz w:val="22"/>
                <w:szCs w:val="24"/>
              </w:rPr>
            </w:pPr>
            <w:r>
              <w:rPr>
                <w:rStyle w:val="56"/>
                <w:rFonts w:hint="eastAsia" w:ascii="宋体" w:hAnsi="宋体" w:eastAsia="宋体" w:cs="宋体"/>
                <w:color w:val="auto"/>
                <w:sz w:val="22"/>
                <w:szCs w:val="24"/>
              </w:rPr>
              <w:t>采购预算</w:t>
            </w:r>
          </w:p>
          <w:p w14:paraId="3C929616">
            <w:pPr>
              <w:snapToGrid w:val="0"/>
              <w:spacing w:line="240" w:lineRule="auto"/>
              <w:jc w:val="center"/>
              <w:rPr>
                <w:rStyle w:val="56"/>
                <w:rFonts w:hint="eastAsia" w:ascii="宋体" w:hAnsi="宋体" w:eastAsia="宋体" w:cs="宋体"/>
                <w:color w:val="auto"/>
                <w:sz w:val="22"/>
                <w:szCs w:val="24"/>
              </w:rPr>
            </w:pPr>
            <w:r>
              <w:rPr>
                <w:rStyle w:val="56"/>
                <w:rFonts w:hint="eastAsia" w:ascii="宋体" w:hAnsi="宋体" w:eastAsia="宋体" w:cs="宋体"/>
                <w:color w:val="auto"/>
                <w:sz w:val="22"/>
                <w:szCs w:val="24"/>
              </w:rPr>
              <w:t>(最高限价)</w:t>
            </w:r>
          </w:p>
        </w:tc>
        <w:tc>
          <w:tcPr>
            <w:tcW w:w="2186" w:type="dxa"/>
            <w:tcBorders>
              <w:top w:val="single" w:color="auto" w:sz="4" w:space="0"/>
              <w:left w:val="single" w:color="auto" w:sz="4" w:space="0"/>
              <w:bottom w:val="single" w:color="auto" w:sz="4" w:space="0"/>
              <w:right w:val="single" w:color="auto" w:sz="4" w:space="0"/>
            </w:tcBorders>
            <w:noWrap w:val="0"/>
            <w:vAlign w:val="center"/>
          </w:tcPr>
          <w:p w14:paraId="523620F2">
            <w:pPr>
              <w:snapToGrid w:val="0"/>
              <w:spacing w:line="240" w:lineRule="auto"/>
              <w:jc w:val="center"/>
              <w:rPr>
                <w:rStyle w:val="56"/>
                <w:rFonts w:hint="eastAsia" w:ascii="宋体" w:hAnsi="宋体" w:eastAsia="宋体" w:cs="宋体"/>
                <w:color w:val="auto"/>
                <w:sz w:val="22"/>
                <w:szCs w:val="24"/>
              </w:rPr>
            </w:pPr>
            <w:r>
              <w:rPr>
                <w:rStyle w:val="56"/>
                <w:rFonts w:hint="eastAsia" w:ascii="宋体" w:hAnsi="宋体" w:eastAsia="宋体" w:cs="宋体"/>
                <w:color w:val="auto"/>
                <w:sz w:val="22"/>
                <w:szCs w:val="24"/>
              </w:rPr>
              <w:t>服务内容及要求</w:t>
            </w:r>
          </w:p>
        </w:tc>
      </w:tr>
      <w:tr w14:paraId="6F876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5ACFB365">
            <w:pPr>
              <w:widowControl/>
              <w:snapToGrid w:val="0"/>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p>
        </w:tc>
        <w:tc>
          <w:tcPr>
            <w:tcW w:w="2672" w:type="dxa"/>
            <w:tcBorders>
              <w:top w:val="single" w:color="auto" w:sz="4" w:space="0"/>
              <w:left w:val="single" w:color="auto" w:sz="4" w:space="0"/>
              <w:bottom w:val="single" w:color="auto" w:sz="4" w:space="0"/>
              <w:right w:val="single" w:color="auto" w:sz="4" w:space="0"/>
            </w:tcBorders>
            <w:noWrap w:val="0"/>
            <w:vAlign w:val="center"/>
          </w:tcPr>
          <w:p w14:paraId="4D9E7C34">
            <w:pPr>
              <w:widowControl/>
              <w:snapToGrid w:val="0"/>
              <w:spacing w:line="240" w:lineRule="auto"/>
              <w:jc w:val="left"/>
              <w:rPr>
                <w:rFonts w:hint="eastAsia" w:ascii="宋体" w:hAnsi="宋体" w:eastAsia="宋体" w:cs="宋体"/>
                <w:kern w:val="0"/>
                <w:sz w:val="22"/>
                <w:szCs w:val="22"/>
                <w:lang w:eastAsia="zh-CN"/>
              </w:rPr>
            </w:pPr>
            <w:r>
              <w:rPr>
                <w:rFonts w:hint="eastAsia" w:ascii="宋体" w:hAnsi="宋体" w:cs="宋体"/>
                <w:sz w:val="22"/>
                <w:szCs w:val="22"/>
                <w:lang w:eastAsia="zh-CN"/>
              </w:rPr>
              <w:t>环卫小型设施设备养护及保障服务</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D4F88DB">
            <w:pPr>
              <w:widowControl/>
              <w:snapToGrid w:val="0"/>
              <w:spacing w:line="24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1项</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D622117">
            <w:pPr>
              <w:widowControl/>
              <w:snapToGrid w:val="0"/>
              <w:spacing w:line="240" w:lineRule="auto"/>
              <w:jc w:val="center"/>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lang w:val="en-US" w:eastAsia="zh-CN"/>
              </w:rPr>
              <w:t>65万</w:t>
            </w:r>
            <w:r>
              <w:rPr>
                <w:rFonts w:hint="eastAsia" w:ascii="宋体" w:hAnsi="宋体" w:eastAsia="宋体" w:cs="宋体"/>
                <w:kern w:val="0"/>
                <w:sz w:val="22"/>
                <w:szCs w:val="22"/>
                <w:highlight w:val="none"/>
                <w:lang w:val="en-US" w:eastAsia="zh-CN"/>
              </w:rPr>
              <w:t xml:space="preserve"> </w:t>
            </w:r>
          </w:p>
        </w:tc>
        <w:tc>
          <w:tcPr>
            <w:tcW w:w="2186" w:type="dxa"/>
            <w:tcBorders>
              <w:top w:val="single" w:color="auto" w:sz="4" w:space="0"/>
              <w:left w:val="single" w:color="auto" w:sz="4" w:space="0"/>
              <w:bottom w:val="single" w:color="auto" w:sz="4" w:space="0"/>
              <w:right w:val="single" w:color="auto" w:sz="4" w:space="0"/>
            </w:tcBorders>
            <w:noWrap w:val="0"/>
            <w:vAlign w:val="center"/>
          </w:tcPr>
          <w:p w14:paraId="2907852D">
            <w:pPr>
              <w:widowControl/>
              <w:snapToGrid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详见</w:t>
            </w:r>
            <w:r>
              <w:rPr>
                <w:rFonts w:hint="eastAsia" w:ascii="宋体" w:hAnsi="宋体" w:eastAsia="宋体" w:cs="宋体"/>
                <w:sz w:val="22"/>
                <w:szCs w:val="22"/>
                <w:lang w:eastAsia="zh-CN"/>
              </w:rPr>
              <w:t>采购</w:t>
            </w:r>
            <w:r>
              <w:rPr>
                <w:rFonts w:hint="eastAsia" w:ascii="宋体" w:hAnsi="宋体" w:eastAsia="宋体" w:cs="宋体"/>
                <w:sz w:val="22"/>
                <w:szCs w:val="22"/>
              </w:rPr>
              <w:t>需求</w:t>
            </w:r>
          </w:p>
        </w:tc>
      </w:tr>
      <w:tr w14:paraId="6BEE6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8903" w:type="dxa"/>
            <w:gridSpan w:val="5"/>
            <w:tcBorders>
              <w:top w:val="single" w:color="auto" w:sz="4" w:space="0"/>
              <w:left w:val="single" w:color="auto" w:sz="4" w:space="0"/>
              <w:bottom w:val="single" w:color="auto" w:sz="4" w:space="0"/>
              <w:right w:val="single" w:color="auto" w:sz="4" w:space="0"/>
            </w:tcBorders>
            <w:noWrap w:val="0"/>
            <w:vAlign w:val="center"/>
          </w:tcPr>
          <w:p w14:paraId="1C64D1F6">
            <w:pPr>
              <w:widowControl/>
              <w:snapToGrid w:val="0"/>
              <w:spacing w:line="240" w:lineRule="auto"/>
              <w:jc w:val="left"/>
              <w:rPr>
                <w:rFonts w:hint="eastAsia" w:ascii="宋体" w:hAnsi="宋体" w:eastAsia="宋体" w:cs="宋体"/>
                <w:sz w:val="24"/>
              </w:rPr>
            </w:pPr>
            <w:r>
              <w:rPr>
                <w:rFonts w:hint="eastAsia" w:ascii="宋体" w:hAnsi="宋体" w:eastAsia="宋体" w:cs="宋体"/>
                <w:b/>
                <w:bCs/>
                <w:kern w:val="0"/>
                <w:sz w:val="21"/>
                <w:szCs w:val="18"/>
              </w:rPr>
              <w:t>注：</w:t>
            </w:r>
            <w:r>
              <w:rPr>
                <w:rFonts w:hint="eastAsia" w:ascii="宋体" w:hAnsi="宋体" w:eastAsia="宋体" w:cs="宋体"/>
                <w:b/>
                <w:bCs/>
                <w:sz w:val="21"/>
                <w:szCs w:val="18"/>
                <w:lang w:val="en-US" w:eastAsia="zh-CN"/>
              </w:rPr>
              <w:t>磋商</w:t>
            </w:r>
            <w:r>
              <w:rPr>
                <w:rFonts w:hint="eastAsia" w:ascii="宋体" w:hAnsi="宋体" w:eastAsia="宋体" w:cs="宋体"/>
                <w:b/>
                <w:bCs/>
                <w:sz w:val="21"/>
                <w:szCs w:val="18"/>
              </w:rPr>
              <w:t>报价超最高限价为无效</w:t>
            </w:r>
          </w:p>
        </w:tc>
      </w:tr>
    </w:tbl>
    <w:p w14:paraId="16265482">
      <w:pPr>
        <w:keepNext w:val="0"/>
        <w:keepLines w:val="0"/>
        <w:pageBreakBefore w:val="0"/>
        <w:kinsoku/>
        <w:overflowPunct/>
        <w:topLinePunct w:val="0"/>
        <w:autoSpaceDE/>
        <w:autoSpaceDN/>
        <w:bidi w:val="0"/>
        <w:spacing w:line="480" w:lineRule="exact"/>
        <w:outlineLvl w:val="1"/>
        <w:rPr>
          <w:rFonts w:ascii="宋体" w:hAnsi="宋体" w:cs="Arial"/>
          <w:kern w:val="0"/>
          <w:sz w:val="24"/>
          <w:highlight w:val="none"/>
        </w:rPr>
      </w:pPr>
      <w:r>
        <w:rPr>
          <w:rFonts w:hint="eastAsia" w:ascii="宋体" w:hAnsi="宋体" w:cs="Arial"/>
          <w:b/>
          <w:bCs/>
          <w:color w:val="000000" w:themeColor="text1"/>
          <w:kern w:val="0"/>
          <w:sz w:val="24"/>
          <w:highlight w:val="none"/>
          <w14:textFill>
            <w14:solidFill>
              <w14:schemeClr w14:val="tx1"/>
            </w14:solidFill>
          </w14:textFill>
        </w:rPr>
        <w:t>四．磋商供应商资格要</w:t>
      </w:r>
      <w:r>
        <w:rPr>
          <w:rFonts w:hint="eastAsia" w:ascii="宋体" w:hAnsi="宋体" w:cs="Arial"/>
          <w:b/>
          <w:bCs/>
          <w:kern w:val="0"/>
          <w:sz w:val="24"/>
          <w:highlight w:val="none"/>
        </w:rPr>
        <w:t>求</w:t>
      </w:r>
      <w:r>
        <w:rPr>
          <w:rFonts w:hint="eastAsia" w:ascii="宋体" w:hAnsi="宋体" w:cs="Arial"/>
          <w:kern w:val="0"/>
          <w:sz w:val="24"/>
          <w:highlight w:val="none"/>
        </w:rPr>
        <w:t>：</w:t>
      </w:r>
    </w:p>
    <w:p w14:paraId="51352A4D">
      <w:pPr>
        <w:keepNext w:val="0"/>
        <w:keepLines w:val="0"/>
        <w:pageBreakBefore w:val="0"/>
        <w:numPr>
          <w:ilvl w:val="-1"/>
          <w:numId w:val="0"/>
        </w:numPr>
        <w:kinsoku/>
        <w:overflowPunct/>
        <w:topLinePunct w:val="0"/>
        <w:autoSpaceDE/>
        <w:autoSpaceDN/>
        <w:bidi w:val="0"/>
        <w:spacing w:line="480" w:lineRule="exact"/>
        <w:ind w:left="0"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符合《中华人民共和国政府采购法》第二十二条的规定：具有独立承担民事责任的能力；具有良好的商业信誉和健全的财务会计制度；具有履行合同所必需的设备和专业技术能力；有依法缴纳税收和社会保障资金的良好记录；在参加政府采购活动前三年内，在经营活动中没有重大违法记录；</w:t>
      </w:r>
    </w:p>
    <w:p w14:paraId="5A906BB9">
      <w:pPr>
        <w:keepNext w:val="0"/>
        <w:keepLines w:val="0"/>
        <w:pageBreakBefore w:val="0"/>
        <w:numPr>
          <w:ilvl w:val="-1"/>
          <w:numId w:val="0"/>
        </w:numPr>
        <w:kinsoku/>
        <w:overflowPunct/>
        <w:topLinePunct w:val="0"/>
        <w:autoSpaceDE/>
        <w:autoSpaceDN/>
        <w:bidi w:val="0"/>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至本项目开标截止时间前，供应商未列入失信被执行人、重大税收违法案件当事人名单、政府采购严重违法失信行为记录名单的（以“信用中国”网站www.creditchina.gov.cn、“中国政府采购网”www.ccgp.gov.cn查询结果为准）；</w:t>
      </w:r>
    </w:p>
    <w:p w14:paraId="11D3D29C">
      <w:pPr>
        <w:keepNext w:val="0"/>
        <w:keepLines w:val="0"/>
        <w:pageBreakBefore w:val="0"/>
        <w:numPr>
          <w:ilvl w:val="-1"/>
          <w:numId w:val="0"/>
        </w:numPr>
        <w:kinsoku/>
        <w:overflowPunct/>
        <w:topLinePunct w:val="0"/>
        <w:autoSpaceDE/>
        <w:autoSpaceDN/>
        <w:bidi w:val="0"/>
        <w:spacing w:line="480" w:lineRule="exact"/>
        <w:ind w:left="0"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eastAsia="zh-CN"/>
        </w:rPr>
        <w:t>3</w:t>
      </w:r>
      <w:r>
        <w:rPr>
          <w:rFonts w:hint="eastAsia" w:ascii="宋体" w:hAnsi="宋体" w:eastAsia="宋体" w:cs="Times New Roman"/>
          <w:sz w:val="24"/>
          <w:highlight w:val="none"/>
          <w:lang w:val="en-US" w:eastAsia="zh-CN"/>
        </w:rPr>
        <w:t>.</w:t>
      </w:r>
      <w:r>
        <w:rPr>
          <w:rFonts w:hint="eastAsia" w:ascii="宋体" w:hAnsi="宋体" w:eastAsia="宋体" w:cs="Times New Roman"/>
          <w:kern w:val="2"/>
          <w:sz w:val="24"/>
          <w:highlight w:val="none"/>
        </w:rPr>
        <w:t>本项目专门面向中小企业采购, 供应商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14:paraId="161B5C14">
      <w:pPr>
        <w:keepNext w:val="0"/>
        <w:keepLines w:val="0"/>
        <w:pageBreakBefore w:val="0"/>
        <w:numPr>
          <w:ilvl w:val="-1"/>
          <w:numId w:val="0"/>
        </w:numPr>
        <w:kinsoku/>
        <w:overflowPunct/>
        <w:topLinePunct w:val="0"/>
        <w:autoSpaceDE/>
        <w:autoSpaceDN/>
        <w:bidi w:val="0"/>
        <w:spacing w:line="480" w:lineRule="exact"/>
        <w:ind w:firstLine="480" w:firstLineChars="200"/>
        <w:rPr>
          <w:rFonts w:hint="eastAsia" w:ascii="宋体" w:hAnsi="宋体" w:eastAsia="宋体" w:cs="Times New Roman"/>
          <w:kern w:val="2"/>
          <w:sz w:val="24"/>
          <w:highlight w:val="none"/>
        </w:rPr>
      </w:pPr>
      <w:r>
        <w:rPr>
          <w:rFonts w:hint="eastAsia" w:ascii="宋体" w:hAnsi="宋体" w:eastAsia="宋体" w:cs="Times New Roman"/>
          <w:kern w:val="2"/>
          <w:sz w:val="24"/>
          <w:highlight w:val="none"/>
          <w:lang w:eastAsia="zh-CN"/>
        </w:rPr>
        <w:t>4</w:t>
      </w:r>
      <w:r>
        <w:rPr>
          <w:rFonts w:hint="eastAsia" w:ascii="宋体" w:hAnsi="宋体" w:eastAsia="宋体" w:cs="Times New Roman"/>
          <w:sz w:val="24"/>
          <w:highlight w:val="none"/>
          <w:lang w:val="en-US" w:eastAsia="zh-CN"/>
        </w:rPr>
        <w:t>.</w:t>
      </w:r>
      <w:r>
        <w:rPr>
          <w:rFonts w:hint="eastAsia" w:ascii="宋体" w:hAnsi="宋体" w:eastAsia="宋体" w:cs="Times New Roman"/>
          <w:kern w:val="2"/>
          <w:sz w:val="24"/>
          <w:highlight w:val="none"/>
        </w:rPr>
        <w:t>单位负责人为同一人或者存在控股、管理关系的不同单位，不得参加同一标段投标；</w:t>
      </w:r>
    </w:p>
    <w:p w14:paraId="2F210CCA">
      <w:pPr>
        <w:keepNext w:val="0"/>
        <w:keepLines w:val="0"/>
        <w:pageBreakBefore w:val="0"/>
        <w:kinsoku/>
        <w:overflowPunct/>
        <w:topLinePunct w:val="0"/>
        <w:autoSpaceDE/>
        <w:autoSpaceDN/>
        <w:bidi w:val="0"/>
        <w:spacing w:line="480" w:lineRule="exact"/>
        <w:ind w:firstLine="480" w:firstLineChars="200"/>
        <w:rPr>
          <w:rFonts w:hint="eastAsia" w:ascii="宋体" w:hAnsi="宋体" w:eastAsia="宋体"/>
          <w:sz w:val="24"/>
          <w:highlight w:val="none"/>
          <w:lang w:eastAsia="zh-CN"/>
        </w:rPr>
      </w:pPr>
      <w:r>
        <w:rPr>
          <w:rFonts w:hint="eastAsia" w:ascii="宋体" w:hAnsi="宋体"/>
          <w:sz w:val="24"/>
          <w:highlight w:val="none"/>
          <w:lang w:val="en-US" w:eastAsia="zh-CN"/>
        </w:rPr>
        <w:t>5.</w:t>
      </w:r>
      <w:r>
        <w:rPr>
          <w:rFonts w:hint="eastAsia" w:ascii="宋体" w:hAnsi="宋体"/>
          <w:sz w:val="24"/>
          <w:highlight w:val="none"/>
        </w:rPr>
        <w:t>本项目不接受联合体磋商，不允许转包</w:t>
      </w:r>
      <w:r>
        <w:rPr>
          <w:rFonts w:hint="eastAsia" w:ascii="宋体" w:hAnsi="宋体"/>
          <w:sz w:val="24"/>
          <w:highlight w:val="none"/>
          <w:lang w:eastAsia="zh-CN"/>
        </w:rPr>
        <w:t>。</w:t>
      </w:r>
    </w:p>
    <w:p w14:paraId="52EB304D">
      <w:pPr>
        <w:keepNext w:val="0"/>
        <w:keepLines w:val="0"/>
        <w:pageBreakBefore w:val="0"/>
        <w:kinsoku/>
        <w:overflowPunct/>
        <w:topLinePunct w:val="0"/>
        <w:autoSpaceDE/>
        <w:autoSpaceDN/>
        <w:bidi w:val="0"/>
        <w:spacing w:line="480" w:lineRule="exact"/>
        <w:outlineLvl w:val="1"/>
        <w:rPr>
          <w:rFonts w:hint="eastAsia" w:ascii="宋体" w:hAnsi="宋体" w:cs="Arial"/>
          <w:b/>
          <w:bCs/>
          <w:kern w:val="0"/>
          <w:sz w:val="24"/>
          <w:highlight w:val="none"/>
        </w:rPr>
      </w:pPr>
    </w:p>
    <w:p w14:paraId="2F2BF7C2">
      <w:pPr>
        <w:keepNext w:val="0"/>
        <w:keepLines w:val="0"/>
        <w:pageBreakBefore w:val="0"/>
        <w:kinsoku/>
        <w:overflowPunct/>
        <w:topLinePunct w:val="0"/>
        <w:autoSpaceDE/>
        <w:autoSpaceDN/>
        <w:bidi w:val="0"/>
        <w:spacing w:line="480" w:lineRule="exact"/>
        <w:outlineLvl w:val="1"/>
        <w:rPr>
          <w:rFonts w:ascii="宋体" w:hAnsi="宋体" w:cs="Arial"/>
          <w:b/>
          <w:bCs/>
          <w:kern w:val="0"/>
          <w:sz w:val="24"/>
          <w:highlight w:val="none"/>
        </w:rPr>
      </w:pPr>
      <w:r>
        <w:rPr>
          <w:rFonts w:hint="eastAsia" w:ascii="宋体" w:hAnsi="宋体" w:cs="Arial"/>
          <w:b/>
          <w:bCs/>
          <w:kern w:val="0"/>
          <w:sz w:val="24"/>
          <w:highlight w:val="none"/>
        </w:rPr>
        <w:t>五．竞争性磋商文件的获取：</w:t>
      </w:r>
    </w:p>
    <w:p w14:paraId="08B5352D">
      <w:pPr>
        <w:pStyle w:val="10"/>
        <w:keepNext w:val="0"/>
        <w:keepLines w:val="0"/>
        <w:pageBreakBefore w:val="0"/>
        <w:numPr>
          <w:ilvl w:val="0"/>
          <w:numId w:val="5"/>
        </w:numPr>
        <w:kinsoku/>
        <w:overflowPunct/>
        <w:topLinePunct w:val="0"/>
        <w:autoSpaceDE/>
        <w:autoSpaceDN/>
        <w:bidi w:val="0"/>
        <w:spacing w:line="480" w:lineRule="exact"/>
        <w:rPr>
          <w:rFonts w:ascii="宋体" w:hAnsi="宋体" w:cs="宋体"/>
          <w:kern w:val="0"/>
          <w:sz w:val="24"/>
          <w:highlight w:val="none"/>
        </w:rPr>
      </w:pPr>
      <w:r>
        <w:rPr>
          <w:rFonts w:hint="eastAsia" w:ascii="宋体" w:hAnsi="宋体" w:cs="宋体"/>
          <w:kern w:val="0"/>
          <w:sz w:val="24"/>
          <w:highlight w:val="none"/>
        </w:rPr>
        <w:t>本项目磋商文件实行网上免费获取采购文件。</w:t>
      </w:r>
    </w:p>
    <w:p w14:paraId="52BBFA99">
      <w:pPr>
        <w:pStyle w:val="10"/>
        <w:keepNext w:val="0"/>
        <w:keepLines w:val="0"/>
        <w:pageBreakBefore w:val="0"/>
        <w:numPr>
          <w:ilvl w:val="0"/>
          <w:numId w:val="5"/>
        </w:numPr>
        <w:kinsoku/>
        <w:overflowPunct/>
        <w:topLinePunct w:val="0"/>
        <w:autoSpaceDE/>
        <w:autoSpaceDN/>
        <w:bidi w:val="0"/>
        <w:spacing w:line="480" w:lineRule="exact"/>
        <w:rPr>
          <w:rFonts w:ascii="宋体" w:hAnsi="宋体" w:cs="宋体"/>
          <w:kern w:val="0"/>
          <w:sz w:val="24"/>
          <w:highlight w:val="none"/>
        </w:rPr>
      </w:pPr>
      <w:r>
        <w:rPr>
          <w:rFonts w:hint="eastAsia" w:ascii="宋体" w:hAnsi="宋体" w:cs="宋体"/>
          <w:kern w:val="0"/>
          <w:sz w:val="24"/>
          <w:highlight w:val="none"/>
        </w:rPr>
        <w:t>获取采购文件网址：浙江省政府采购网www.zjzfcg.gov.cn（用“政采云”注册账号、密码登录系统后获取采购文件）</w:t>
      </w:r>
      <w:r>
        <w:rPr>
          <w:rFonts w:hint="eastAsia" w:ascii="宋体" w:hAnsi="宋体" w:cs="宋体"/>
          <w:kern w:val="0"/>
          <w:sz w:val="24"/>
          <w:highlight w:val="none"/>
          <w:lang w:eastAsia="zh-CN"/>
        </w:rPr>
        <w:t>。</w:t>
      </w:r>
    </w:p>
    <w:p w14:paraId="65E7EBD1">
      <w:pPr>
        <w:pStyle w:val="10"/>
        <w:keepNext w:val="0"/>
        <w:keepLines w:val="0"/>
        <w:pageBreakBefore w:val="0"/>
        <w:numPr>
          <w:ilvl w:val="0"/>
          <w:numId w:val="5"/>
        </w:numPr>
        <w:kinsoku/>
        <w:overflowPunct/>
        <w:topLinePunct w:val="0"/>
        <w:autoSpaceDE/>
        <w:autoSpaceDN/>
        <w:bidi w:val="0"/>
        <w:spacing w:line="480" w:lineRule="exact"/>
        <w:rPr>
          <w:rFonts w:hint="eastAsia" w:ascii="宋体" w:hAnsi="宋体" w:cs="宋体"/>
          <w:kern w:val="0"/>
          <w:sz w:val="24"/>
          <w:highlight w:val="none"/>
        </w:rPr>
      </w:pPr>
      <w:r>
        <w:rPr>
          <w:rFonts w:hint="eastAsia" w:ascii="宋体" w:hAnsi="宋体" w:cs="宋体"/>
          <w:kern w:val="0"/>
          <w:sz w:val="24"/>
          <w:highlight w:val="none"/>
        </w:rPr>
        <w:t>免费注册网址：浙江政府采购网（供应商注册页面）：https://middle.zcygov.cn/settle-front/#/registry“政采云”，已经注册成功的供应商无需重复注册，本项目实行电子投标。供应商在使用系统进行投标的过程中涉及平台使用的任何问题可致电政采云平台技术支持热线：</w:t>
      </w:r>
      <w:r>
        <w:rPr>
          <w:rFonts w:hint="eastAsia" w:ascii="宋体" w:hAnsi="宋体" w:cs="宋体"/>
          <w:kern w:val="0"/>
          <w:sz w:val="24"/>
          <w:highlight w:val="none"/>
          <w:lang w:eastAsia="zh-CN"/>
        </w:rPr>
        <w:t>95763</w:t>
      </w:r>
      <w:r>
        <w:rPr>
          <w:rFonts w:hint="eastAsia" w:ascii="宋体" w:hAnsi="宋体" w:cs="宋体"/>
          <w:kern w:val="0"/>
          <w:sz w:val="24"/>
          <w:highlight w:val="none"/>
        </w:rPr>
        <w:t>。</w:t>
      </w:r>
    </w:p>
    <w:p w14:paraId="3146C009">
      <w:pPr>
        <w:pStyle w:val="10"/>
        <w:keepNext w:val="0"/>
        <w:keepLines w:val="0"/>
        <w:pageBreakBefore w:val="0"/>
        <w:numPr>
          <w:ilvl w:val="0"/>
          <w:numId w:val="5"/>
        </w:numPr>
        <w:kinsoku/>
        <w:overflowPunct/>
        <w:topLinePunct w:val="0"/>
        <w:autoSpaceDE/>
        <w:autoSpaceDN/>
        <w:bidi w:val="0"/>
        <w:spacing w:line="480" w:lineRule="exact"/>
        <w:rPr>
          <w:rFonts w:hint="eastAsia" w:ascii="宋体" w:hAnsi="宋体" w:cs="宋体"/>
          <w:kern w:val="0"/>
          <w:sz w:val="24"/>
          <w:highlight w:val="none"/>
        </w:rPr>
      </w:pPr>
      <w:r>
        <w:rPr>
          <w:rFonts w:hint="eastAsia" w:ascii="宋体" w:hAnsi="宋体" w:cs="宋体"/>
          <w:kern w:val="0"/>
          <w:sz w:val="24"/>
          <w:highlight w:val="none"/>
        </w:rPr>
        <w:t>获取采购文件时间：</w:t>
      </w:r>
      <w:r>
        <w:rPr>
          <w:rFonts w:hint="eastAsia" w:ascii="宋体" w:hAnsi="宋体" w:cs="宋体"/>
          <w:kern w:val="0"/>
          <w:sz w:val="24"/>
          <w:highlight w:val="none"/>
          <w:lang w:eastAsia="zh-CN"/>
        </w:rPr>
        <w:t>采购公告挂出</w:t>
      </w:r>
      <w:r>
        <w:rPr>
          <w:rFonts w:hint="eastAsia" w:ascii="宋体" w:hAnsi="宋体" w:cs="宋体"/>
          <w:kern w:val="0"/>
          <w:sz w:val="24"/>
          <w:highlight w:val="none"/>
        </w:rPr>
        <w:t>至磋商响应截止时间（潜在供应商获取采购文件前应当在电子交易平台上注册账号并登录,截止时间后不再接受潜在供应商获取采购文件）</w:t>
      </w:r>
      <w:r>
        <w:rPr>
          <w:rFonts w:hint="eastAsia" w:ascii="宋体" w:hAnsi="宋体" w:cs="宋体"/>
          <w:kern w:val="0"/>
          <w:sz w:val="24"/>
          <w:highlight w:val="none"/>
          <w:lang w:eastAsia="zh-CN"/>
        </w:rPr>
        <w:t>。</w:t>
      </w:r>
    </w:p>
    <w:p w14:paraId="374AEDD6">
      <w:pPr>
        <w:pStyle w:val="30"/>
        <w:keepNext w:val="0"/>
        <w:keepLines w:val="0"/>
        <w:pageBreakBefore w:val="0"/>
        <w:kinsoku/>
        <w:overflowPunct/>
        <w:topLinePunct w:val="0"/>
        <w:autoSpaceDE/>
        <w:autoSpaceDN/>
        <w:bidi w:val="0"/>
        <w:spacing w:line="480" w:lineRule="exact"/>
        <w:outlineLvl w:val="1"/>
        <w:rPr>
          <w:rFonts w:ascii="宋体" w:hAnsi="宋体" w:cs="宋体"/>
          <w:b/>
          <w:bCs/>
          <w:sz w:val="24"/>
          <w:highlight w:val="none"/>
        </w:rPr>
      </w:pPr>
      <w:r>
        <w:rPr>
          <w:rFonts w:hint="eastAsia" w:ascii="宋体" w:hAnsi="宋体" w:cs="宋体"/>
          <w:b/>
          <w:bCs/>
          <w:sz w:val="24"/>
          <w:highlight w:val="none"/>
        </w:rPr>
        <w:t>六.磋商响应文件的制作及递交相关事宜</w:t>
      </w:r>
    </w:p>
    <w:p w14:paraId="4D8B26DB">
      <w:pPr>
        <w:pStyle w:val="23"/>
        <w:keepNext w:val="0"/>
        <w:keepLines w:val="0"/>
        <w:pageBreakBefore w:val="0"/>
        <w:widowControl/>
        <w:numPr>
          <w:ilvl w:val="0"/>
          <w:numId w:val="6"/>
        </w:numPr>
        <w:shd w:val="clear" w:color="auto" w:fill="FFFFFF"/>
        <w:kinsoku/>
        <w:overflowPunct/>
        <w:topLinePunct w:val="0"/>
        <w:autoSpaceDE/>
        <w:autoSpaceDN/>
        <w:bidi w:val="0"/>
        <w:spacing w:before="0" w:beforeAutospacing="0" w:after="0" w:afterAutospacing="0" w:line="480" w:lineRule="exact"/>
        <w:rPr>
          <w:rFonts w:ascii="宋体" w:hAnsi="宋体" w:cs="宋体"/>
          <w:b w:val="0"/>
          <w:bCs w:val="0"/>
          <w:color w:val="auto"/>
          <w:kern w:val="0"/>
          <w:highlight w:val="none"/>
        </w:rPr>
      </w:pPr>
      <w:r>
        <w:rPr>
          <w:rFonts w:hint="eastAsia" w:ascii="宋体" w:hAnsi="宋体" w:cs="宋体"/>
          <w:b w:val="0"/>
          <w:bCs w:val="0"/>
          <w:color w:val="auto"/>
          <w:kern w:val="0"/>
          <w:highlight w:val="none"/>
        </w:rPr>
        <w:t>磋商响应截止时间：</w:t>
      </w:r>
      <w:r>
        <w:rPr>
          <w:rFonts w:hint="eastAsia" w:ascii="宋体" w:hAnsi="宋体" w:eastAsia="宋体" w:cs="宋体"/>
          <w:b w:val="0"/>
          <w:bCs w:val="0"/>
          <w:color w:val="auto"/>
          <w:kern w:val="0"/>
          <w:highlight w:val="none"/>
          <w:lang w:eastAsia="zh-CN"/>
        </w:rPr>
        <w:t>2025</w:t>
      </w:r>
      <w:r>
        <w:rPr>
          <w:rFonts w:hint="eastAsia" w:ascii="宋体" w:hAnsi="宋体" w:cs="宋体"/>
          <w:b w:val="0"/>
          <w:bCs w:val="0"/>
          <w:color w:val="auto"/>
          <w:kern w:val="0"/>
          <w:highlight w:val="none"/>
        </w:rPr>
        <w:t>年</w:t>
      </w:r>
      <w:r>
        <w:rPr>
          <w:rFonts w:hint="eastAsia" w:ascii="宋体" w:hAnsi="宋体" w:eastAsia="宋体" w:cs="宋体"/>
          <w:b w:val="0"/>
          <w:bCs w:val="0"/>
          <w:color w:val="auto"/>
          <w:kern w:val="0"/>
          <w:highlight w:val="none"/>
          <w:lang w:val="en-US" w:eastAsia="zh-CN"/>
        </w:rPr>
        <w:t xml:space="preserve">  </w:t>
      </w:r>
      <w:r>
        <w:rPr>
          <w:rFonts w:hint="eastAsia" w:ascii="宋体" w:hAnsi="宋体" w:cs="宋体"/>
          <w:b w:val="0"/>
          <w:bCs w:val="0"/>
          <w:color w:val="auto"/>
          <w:kern w:val="0"/>
          <w:highlight w:val="none"/>
        </w:rPr>
        <w:t>月</w:t>
      </w:r>
      <w:r>
        <w:rPr>
          <w:rFonts w:hint="eastAsia" w:ascii="宋体" w:hAnsi="宋体" w:eastAsia="宋体" w:cs="宋体"/>
          <w:b w:val="0"/>
          <w:bCs w:val="0"/>
          <w:color w:val="auto"/>
          <w:kern w:val="0"/>
          <w:highlight w:val="none"/>
          <w:lang w:val="en-US" w:eastAsia="zh-CN"/>
        </w:rPr>
        <w:t xml:space="preserve">  </w:t>
      </w:r>
      <w:r>
        <w:rPr>
          <w:rFonts w:hint="eastAsia" w:ascii="宋体" w:hAnsi="宋体" w:cs="宋体"/>
          <w:b w:val="0"/>
          <w:bCs w:val="0"/>
          <w:color w:val="auto"/>
          <w:kern w:val="0"/>
          <w:highlight w:val="none"/>
        </w:rPr>
        <w:t>日</w:t>
      </w:r>
      <w:r>
        <w:rPr>
          <w:rFonts w:hint="eastAsia" w:ascii="宋体" w:hAnsi="宋体" w:eastAsia="宋体" w:cs="宋体"/>
          <w:b w:val="0"/>
          <w:bCs w:val="0"/>
          <w:color w:val="auto"/>
          <w:kern w:val="0"/>
          <w:highlight w:val="none"/>
          <w:lang w:val="en-US" w:eastAsia="zh-CN"/>
        </w:rPr>
        <w:t>14</w:t>
      </w:r>
      <w:r>
        <w:rPr>
          <w:rFonts w:hint="eastAsia" w:ascii="宋体" w:hAnsi="宋体" w:cs="宋体"/>
          <w:b w:val="0"/>
          <w:bCs w:val="0"/>
          <w:color w:val="auto"/>
          <w:kern w:val="0"/>
          <w:highlight w:val="none"/>
        </w:rPr>
        <w:t>：</w:t>
      </w:r>
      <w:r>
        <w:rPr>
          <w:rFonts w:hint="eastAsia" w:ascii="宋体" w:hAnsi="宋体" w:eastAsia="宋体" w:cs="宋体"/>
          <w:b w:val="0"/>
          <w:bCs w:val="0"/>
          <w:color w:val="auto"/>
          <w:kern w:val="0"/>
          <w:highlight w:val="none"/>
          <w:lang w:val="en-US" w:eastAsia="zh-CN"/>
        </w:rPr>
        <w:t>00</w:t>
      </w:r>
    </w:p>
    <w:p w14:paraId="53A019DA">
      <w:pPr>
        <w:pStyle w:val="23"/>
        <w:keepNext w:val="0"/>
        <w:keepLines w:val="0"/>
        <w:pageBreakBefore w:val="0"/>
        <w:widowControl/>
        <w:numPr>
          <w:ilvl w:val="0"/>
          <w:numId w:val="6"/>
        </w:numPr>
        <w:shd w:val="clear" w:color="auto" w:fill="FFFFFF"/>
        <w:kinsoku/>
        <w:overflowPunct/>
        <w:topLinePunct w:val="0"/>
        <w:autoSpaceDE/>
        <w:autoSpaceDN/>
        <w:bidi w:val="0"/>
        <w:spacing w:before="0" w:beforeAutospacing="0" w:after="0" w:afterAutospacing="0" w:line="480" w:lineRule="exact"/>
        <w:rPr>
          <w:rFonts w:ascii="宋体" w:hAnsi="宋体" w:cs="宋体"/>
          <w:b w:val="0"/>
          <w:bCs w:val="0"/>
          <w:color w:val="auto"/>
          <w:kern w:val="0"/>
          <w:highlight w:val="none"/>
        </w:rPr>
      </w:pPr>
      <w:r>
        <w:rPr>
          <w:rFonts w:hint="eastAsia" w:ascii="宋体" w:hAnsi="宋体" w:cs="宋体"/>
          <w:b w:val="0"/>
          <w:bCs w:val="0"/>
          <w:color w:val="auto"/>
          <w:kern w:val="0"/>
          <w:highlight w:val="none"/>
        </w:rPr>
        <w:t>响应文件：</w:t>
      </w:r>
    </w:p>
    <w:p w14:paraId="07DEA8BA">
      <w:pPr>
        <w:pStyle w:val="23"/>
        <w:keepNext w:val="0"/>
        <w:keepLines w:val="0"/>
        <w:pageBreakBefore w:val="0"/>
        <w:widowControl/>
        <w:shd w:val="clear" w:color="auto" w:fill="FFFFFF"/>
        <w:kinsoku/>
        <w:overflowPunct/>
        <w:topLinePunct w:val="0"/>
        <w:autoSpaceDE/>
        <w:autoSpaceDN/>
        <w:bidi w:val="0"/>
        <w:spacing w:before="0" w:beforeAutospacing="0" w:after="0" w:afterAutospacing="0" w:line="480" w:lineRule="exact"/>
        <w:rPr>
          <w:rFonts w:ascii="宋体" w:hAnsi="宋体" w:cs="宋体"/>
          <w:color w:val="auto"/>
          <w:kern w:val="0"/>
          <w:highlight w:val="none"/>
        </w:rPr>
      </w:pPr>
      <w:r>
        <w:rPr>
          <w:rFonts w:hint="eastAsia" w:ascii="宋体" w:hAnsi="宋体" w:cs="宋体"/>
          <w:color w:val="auto"/>
          <w:kern w:val="0"/>
          <w:highlight w:val="none"/>
        </w:rPr>
        <w:t>2.1 供应商须在线获取CA数字证书（完成CA数字证书办理预计一周左右，建议各供应商自行把握时间），并</w:t>
      </w:r>
      <w:r>
        <w:rPr>
          <w:rFonts w:hint="eastAsia" w:ascii="宋体" w:hAnsi="宋体" w:eastAsia="宋体" w:cs="宋体"/>
          <w:color w:val="auto"/>
          <w:kern w:val="0"/>
          <w:highlight w:val="none"/>
          <w:lang w:eastAsia="zh-CN"/>
        </w:rPr>
        <w:t>登录</w:t>
      </w:r>
      <w:r>
        <w:rPr>
          <w:rFonts w:hint="eastAsia" w:ascii="宋体" w:hAnsi="宋体" w:cs="宋体"/>
          <w:color w:val="auto"/>
          <w:kern w:val="0"/>
          <w:highlight w:val="none"/>
        </w:rPr>
        <w:t>“浙江省政府采购网”（www.zjzfcg.gov.cn ），进入“下载专区”下载“电子交易客户端”，制作响应文件。</w:t>
      </w:r>
    </w:p>
    <w:p w14:paraId="1D3F3A59">
      <w:pPr>
        <w:pStyle w:val="23"/>
        <w:keepNext w:val="0"/>
        <w:keepLines w:val="0"/>
        <w:pageBreakBefore w:val="0"/>
        <w:widowControl/>
        <w:shd w:val="clear" w:color="auto" w:fill="FFFFFF"/>
        <w:kinsoku/>
        <w:overflowPunct/>
        <w:topLinePunct w:val="0"/>
        <w:autoSpaceDE/>
        <w:autoSpaceDN/>
        <w:bidi w:val="0"/>
        <w:spacing w:before="0" w:beforeAutospacing="0" w:after="0" w:afterAutospacing="0" w:line="480" w:lineRule="exact"/>
        <w:rPr>
          <w:rFonts w:ascii="宋体" w:hAnsi="宋体" w:cs="宋体"/>
          <w:color w:val="auto"/>
          <w:kern w:val="0"/>
          <w:highlight w:val="none"/>
        </w:rPr>
      </w:pPr>
      <w:r>
        <w:rPr>
          <w:rFonts w:hint="eastAsia" w:ascii="宋体" w:hAnsi="宋体" w:cs="宋体"/>
          <w:color w:val="auto"/>
          <w:kern w:val="0"/>
          <w:highlight w:val="none"/>
        </w:rPr>
        <w:t>2.2 供应商将加密的电子版响应文件于磋商响应截止时间前上传到政采云系统中。</w:t>
      </w:r>
    </w:p>
    <w:p w14:paraId="7ED63619">
      <w:pPr>
        <w:pStyle w:val="23"/>
        <w:keepNext w:val="0"/>
        <w:keepLines w:val="0"/>
        <w:pageBreakBefore w:val="0"/>
        <w:widowControl/>
        <w:shd w:val="clear" w:color="auto" w:fill="FFFFFF"/>
        <w:kinsoku/>
        <w:overflowPunct/>
        <w:topLinePunct w:val="0"/>
        <w:autoSpaceDE/>
        <w:autoSpaceDN/>
        <w:bidi w:val="0"/>
        <w:spacing w:before="0" w:beforeAutospacing="0" w:after="0" w:afterAutospacing="0" w:line="480" w:lineRule="exact"/>
        <w:rPr>
          <w:rFonts w:ascii="宋体" w:hAnsi="宋体" w:cs="宋体"/>
          <w:color w:val="auto"/>
          <w:kern w:val="0"/>
          <w:highlight w:val="none"/>
        </w:rPr>
      </w:pPr>
      <w:r>
        <w:rPr>
          <w:rFonts w:hint="eastAsia" w:ascii="宋体" w:hAnsi="宋体" w:cs="宋体"/>
          <w:color w:val="auto"/>
          <w:kern w:val="0"/>
          <w:highlight w:val="none"/>
        </w:rPr>
        <w:t>2.3 具体的响应文件加密上传等操作详见政采云平台操作指南。https://edu.zcygov.cn/luban/e-biding?utm=a0004.2ef5001f.0001.0109.da8b35e0da8611e98d8937b7ef8a3544</w:t>
      </w:r>
    </w:p>
    <w:p w14:paraId="7A461E4C">
      <w:pPr>
        <w:pStyle w:val="23"/>
        <w:keepNext w:val="0"/>
        <w:keepLines w:val="0"/>
        <w:pageBreakBefore w:val="0"/>
        <w:widowControl/>
        <w:shd w:val="clear" w:color="auto" w:fill="FFFFFF"/>
        <w:kinsoku/>
        <w:overflowPunct/>
        <w:topLinePunct w:val="0"/>
        <w:autoSpaceDE/>
        <w:autoSpaceDN/>
        <w:bidi w:val="0"/>
        <w:spacing w:before="0" w:beforeAutospacing="0" w:after="0" w:afterAutospacing="0" w:line="480" w:lineRule="exact"/>
        <w:rPr>
          <w:rFonts w:ascii="宋体" w:hAnsi="宋体" w:cs="宋体"/>
          <w:color w:val="auto"/>
          <w:kern w:val="0"/>
          <w:highlight w:val="none"/>
        </w:rPr>
      </w:pPr>
      <w:r>
        <w:rPr>
          <w:rFonts w:hint="eastAsia" w:ascii="宋体" w:hAnsi="宋体" w:cs="宋体"/>
          <w:color w:val="auto"/>
          <w:kern w:val="0"/>
          <w:highlight w:val="none"/>
        </w:rPr>
        <w:t>2.4 根据《浙江省政府采购项目电子交易管理暂行办法》第二十条规定，本次投标允许供应商递交备份响应文件，仅提交备份响应文件的，投标无效。</w:t>
      </w:r>
    </w:p>
    <w:p w14:paraId="1FC03971">
      <w:pPr>
        <w:pStyle w:val="23"/>
        <w:keepNext w:val="0"/>
        <w:keepLines w:val="0"/>
        <w:pageBreakBefore w:val="0"/>
        <w:widowControl/>
        <w:shd w:val="clear" w:color="auto" w:fill="FFFFFF"/>
        <w:kinsoku/>
        <w:overflowPunct/>
        <w:topLinePunct w:val="0"/>
        <w:autoSpaceDE/>
        <w:autoSpaceDN/>
        <w:bidi w:val="0"/>
        <w:spacing w:before="0" w:beforeAutospacing="0" w:after="0" w:afterAutospacing="0" w:line="480" w:lineRule="exact"/>
        <w:rPr>
          <w:rFonts w:ascii="宋体" w:hAnsi="宋体" w:cs="宋体"/>
          <w:color w:val="auto"/>
          <w:kern w:val="0"/>
          <w:highlight w:val="none"/>
        </w:rPr>
      </w:pPr>
      <w:r>
        <w:rPr>
          <w:rFonts w:hint="eastAsia" w:ascii="宋体" w:hAnsi="宋体" w:cs="宋体"/>
          <w:b/>
          <w:bCs/>
          <w:color w:val="auto"/>
          <w:kern w:val="0"/>
          <w:highlight w:val="none"/>
        </w:rPr>
        <w:t>2.5备份响应文件</w:t>
      </w:r>
    </w:p>
    <w:p w14:paraId="5FC15CD7">
      <w:pPr>
        <w:pStyle w:val="23"/>
        <w:keepNext w:val="0"/>
        <w:keepLines w:val="0"/>
        <w:pageBreakBefore w:val="0"/>
        <w:widowControl/>
        <w:shd w:val="clear" w:color="auto" w:fill="FFFFFF"/>
        <w:kinsoku/>
        <w:overflowPunct/>
        <w:topLinePunct w:val="0"/>
        <w:autoSpaceDE/>
        <w:autoSpaceDN/>
        <w:bidi w:val="0"/>
        <w:spacing w:before="0" w:beforeAutospacing="0" w:after="0" w:afterAutospacing="0" w:line="480" w:lineRule="exact"/>
        <w:rPr>
          <w:rFonts w:ascii="宋体" w:hAnsi="宋体" w:cs="宋体"/>
          <w:color w:val="auto"/>
          <w:kern w:val="0"/>
          <w:highlight w:val="none"/>
        </w:rPr>
      </w:pPr>
      <w:r>
        <w:rPr>
          <w:rFonts w:hint="eastAsia" w:ascii="宋体" w:hAnsi="宋体" w:cs="宋体"/>
          <w:color w:val="auto"/>
          <w:kern w:val="0"/>
          <w:highlight w:val="none"/>
        </w:rPr>
        <w:t>（1）本项目不强制要求供应商提交备份响应文件，但由于未提交备份响应文件而造成项目开评标活动无法进行下去的，投标无效的，相关风险由供应商自行承担。</w:t>
      </w:r>
    </w:p>
    <w:p w14:paraId="2F088B50">
      <w:pPr>
        <w:pStyle w:val="23"/>
        <w:keepNext w:val="0"/>
        <w:keepLines w:val="0"/>
        <w:pageBreakBefore w:val="0"/>
        <w:widowControl/>
        <w:shd w:val="clear" w:color="auto" w:fill="FFFFFF"/>
        <w:kinsoku/>
        <w:overflowPunct/>
        <w:topLinePunct w:val="0"/>
        <w:autoSpaceDE/>
        <w:autoSpaceDN/>
        <w:bidi w:val="0"/>
        <w:spacing w:before="0" w:beforeAutospacing="0" w:after="0" w:afterAutospacing="0" w:line="480" w:lineRule="exac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eastAsia="宋体" w:cs="宋体"/>
          <w:color w:val="auto"/>
          <w:kern w:val="0"/>
          <w:highlight w:val="none"/>
        </w:rPr>
        <w:t>如提供备份文件的：提供</w:t>
      </w:r>
      <w:r>
        <w:rPr>
          <w:rFonts w:hint="eastAsia" w:ascii="宋体" w:hAnsi="宋体" w:cs="宋体"/>
          <w:color w:val="auto"/>
          <w:kern w:val="0"/>
          <w:highlight w:val="none"/>
        </w:rPr>
        <w:t>以介质存储的数据电文形式，按政采云供应商项目采购-电子招投标操作指南中制作的电子</w:t>
      </w:r>
      <w:r>
        <w:rPr>
          <w:rFonts w:hint="eastAsia" w:ascii="宋体" w:hAnsi="宋体" w:eastAsia="宋体" w:cs="宋体"/>
          <w:color w:val="auto"/>
          <w:kern w:val="0"/>
          <w:highlight w:val="none"/>
        </w:rPr>
        <w:t>备份</w:t>
      </w:r>
      <w:r>
        <w:rPr>
          <w:rFonts w:hint="eastAsia" w:ascii="宋体" w:hAnsi="宋体" w:cs="宋体"/>
          <w:color w:val="auto"/>
          <w:kern w:val="0"/>
          <w:highlight w:val="none"/>
        </w:rPr>
        <w:t>响应文件</w:t>
      </w:r>
      <w:r>
        <w:rPr>
          <w:rFonts w:hint="eastAsia" w:ascii="宋体" w:hAnsi="宋体" w:eastAsia="宋体" w:cs="宋体"/>
          <w:color w:val="auto"/>
          <w:kern w:val="0"/>
          <w:highlight w:val="none"/>
        </w:rPr>
        <w:t>1份（以U盘形式提供）</w:t>
      </w:r>
      <w:r>
        <w:rPr>
          <w:rFonts w:hint="eastAsia" w:ascii="宋体" w:hAnsi="宋体" w:cs="宋体"/>
          <w:color w:val="auto"/>
          <w:kern w:val="0"/>
          <w:highlight w:val="none"/>
        </w:rPr>
        <w:t>。备份响应文件通过邮寄方式递交，电子流程正常进行时，备份响应文件不予开启。</w:t>
      </w:r>
    </w:p>
    <w:p w14:paraId="759BABA3">
      <w:pPr>
        <w:pStyle w:val="23"/>
        <w:keepNext w:val="0"/>
        <w:keepLines w:val="0"/>
        <w:pageBreakBefore w:val="0"/>
        <w:widowControl/>
        <w:shd w:val="clear" w:color="auto" w:fill="FFFFFF"/>
        <w:kinsoku/>
        <w:overflowPunct/>
        <w:topLinePunct w:val="0"/>
        <w:autoSpaceDE/>
        <w:autoSpaceDN/>
        <w:bidi w:val="0"/>
        <w:spacing w:before="0" w:beforeAutospacing="0" w:after="0" w:afterAutospacing="0" w:line="480" w:lineRule="exact"/>
        <w:rPr>
          <w:rFonts w:ascii="宋体" w:hAnsi="宋体" w:cs="宋体"/>
          <w:b/>
          <w:bCs/>
          <w:color w:val="auto"/>
          <w:kern w:val="0"/>
          <w:highlight w:val="none"/>
        </w:rPr>
      </w:pPr>
      <w:r>
        <w:rPr>
          <w:rFonts w:hint="eastAsia" w:ascii="宋体" w:hAnsi="宋体" w:cs="宋体"/>
          <w:color w:val="auto"/>
          <w:kern w:val="0"/>
          <w:highlight w:val="none"/>
        </w:rPr>
        <w:t>备份</w:t>
      </w:r>
      <w:r>
        <w:rPr>
          <w:rFonts w:hint="eastAsia" w:ascii="宋体" w:hAnsi="宋体" w:cs="宋体"/>
          <w:b w:val="0"/>
          <w:bCs w:val="0"/>
          <w:color w:val="auto"/>
          <w:kern w:val="0"/>
          <w:highlight w:val="none"/>
        </w:rPr>
        <w:t>响应文件邮寄地址：湖州市</w:t>
      </w:r>
      <w:r>
        <w:rPr>
          <w:rFonts w:hint="eastAsia" w:ascii="宋体" w:hAnsi="宋体" w:eastAsia="宋体" w:cs="宋体"/>
          <w:b w:val="0"/>
          <w:bCs w:val="0"/>
          <w:color w:val="auto"/>
          <w:kern w:val="0"/>
          <w:highlight w:val="none"/>
        </w:rPr>
        <w:t>星洲国际10幢5楼</w:t>
      </w:r>
      <w:r>
        <w:rPr>
          <w:rFonts w:hint="eastAsia" w:ascii="宋体" w:hAnsi="宋体" w:cs="宋体"/>
          <w:b w:val="0"/>
          <w:bCs w:val="0"/>
          <w:color w:val="auto"/>
          <w:kern w:val="0"/>
          <w:highlight w:val="none"/>
        </w:rPr>
        <w:t>，联系人：</w:t>
      </w:r>
      <w:r>
        <w:rPr>
          <w:rFonts w:hint="eastAsia" w:ascii="宋体" w:hAnsi="宋体" w:eastAsia="宋体" w:cs="宋体"/>
          <w:b w:val="0"/>
          <w:bCs w:val="0"/>
          <w:color w:val="auto"/>
          <w:kern w:val="0"/>
          <w:highlight w:val="none"/>
        </w:rPr>
        <w:t>杨女士</w:t>
      </w:r>
      <w:r>
        <w:rPr>
          <w:rFonts w:hint="eastAsia" w:ascii="宋体" w:hAnsi="宋体" w:cs="宋体"/>
          <w:b w:val="0"/>
          <w:bCs w:val="0"/>
          <w:color w:val="auto"/>
          <w:kern w:val="0"/>
          <w:highlight w:val="none"/>
        </w:rPr>
        <w:t>；联系电话：</w:t>
      </w:r>
      <w:r>
        <w:rPr>
          <w:rFonts w:hint="eastAsia" w:ascii="宋体" w:hAnsi="宋体" w:eastAsia="宋体" w:cs="宋体"/>
          <w:b w:val="0"/>
          <w:bCs w:val="0"/>
          <w:color w:val="auto"/>
          <w:kern w:val="0"/>
          <w:highlight w:val="none"/>
        </w:rPr>
        <w:t>0572-2567859</w:t>
      </w:r>
      <w:r>
        <w:rPr>
          <w:rFonts w:hint="eastAsia" w:ascii="宋体" w:hAnsi="宋体" w:cs="宋体"/>
          <w:b w:val="0"/>
          <w:bCs w:val="0"/>
          <w:color w:val="auto"/>
          <w:kern w:val="0"/>
          <w:highlight w:val="none"/>
        </w:rPr>
        <w:t>，注明投标单位的联系人、联系电话及投标项目名称。</w:t>
      </w:r>
    </w:p>
    <w:p w14:paraId="44C6D691">
      <w:pPr>
        <w:pStyle w:val="23"/>
        <w:keepNext w:val="0"/>
        <w:keepLines w:val="0"/>
        <w:pageBreakBefore w:val="0"/>
        <w:widowControl/>
        <w:numPr>
          <w:ilvl w:val="0"/>
          <w:numId w:val="0"/>
        </w:numPr>
        <w:shd w:val="clear" w:color="auto" w:fill="FFFFFF"/>
        <w:kinsoku/>
        <w:overflowPunct/>
        <w:topLinePunct w:val="0"/>
        <w:autoSpaceDE/>
        <w:autoSpaceDN/>
        <w:bidi w:val="0"/>
        <w:spacing w:before="0" w:beforeAutospacing="0" w:after="0" w:afterAutospacing="0" w:line="480" w:lineRule="exact"/>
        <w:ind w:leftChars="0"/>
        <w:rPr>
          <w:rFonts w:ascii="宋体" w:hAnsi="宋体" w:cs="宋体"/>
          <w:color w:val="auto"/>
          <w:kern w:val="0"/>
          <w:highlight w:val="none"/>
        </w:rPr>
      </w:pP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eastAsia="zh-CN"/>
        </w:rPr>
        <w:t>）</w:t>
      </w:r>
      <w:r>
        <w:rPr>
          <w:rFonts w:hint="eastAsia" w:ascii="宋体" w:hAnsi="宋体" w:cs="宋体"/>
          <w:color w:val="auto"/>
          <w:kern w:val="0"/>
          <w:highlight w:val="none"/>
        </w:rPr>
        <w:t>CA锁解密时间为开标当日</w:t>
      </w:r>
      <w:r>
        <w:rPr>
          <w:rFonts w:hint="eastAsia" w:ascii="宋体" w:hAnsi="宋体" w:eastAsia="宋体" w:cs="宋体"/>
          <w:color w:val="auto"/>
          <w:kern w:val="0"/>
          <w:highlight w:val="none"/>
        </w:rPr>
        <w:t>磋商响应截止</w:t>
      </w:r>
      <w:r>
        <w:rPr>
          <w:rFonts w:hint="eastAsia" w:ascii="宋体" w:hAnsi="宋体" w:eastAsia="宋体" w:cs="宋体"/>
          <w:color w:val="auto"/>
          <w:kern w:val="0"/>
          <w:highlight w:val="none"/>
          <w:lang w:eastAsia="zh-CN"/>
        </w:rPr>
        <w:t>后系统</w:t>
      </w:r>
      <w:r>
        <w:rPr>
          <w:rFonts w:hint="eastAsia" w:ascii="宋体" w:hAnsi="宋体" w:eastAsia="宋体" w:cs="宋体"/>
          <w:color w:val="auto"/>
          <w:kern w:val="0"/>
          <w:highlight w:val="none"/>
        </w:rPr>
        <w:t>开始</w:t>
      </w:r>
      <w:r>
        <w:rPr>
          <w:rFonts w:hint="eastAsia" w:ascii="宋体" w:hAnsi="宋体" w:eastAsia="宋体" w:cs="宋体"/>
          <w:color w:val="auto"/>
          <w:kern w:val="0"/>
          <w:highlight w:val="none"/>
          <w:lang w:eastAsia="zh-CN"/>
        </w:rPr>
        <w:t>解密</w:t>
      </w:r>
      <w:r>
        <w:rPr>
          <w:rFonts w:hint="eastAsia" w:ascii="宋体" w:hAnsi="宋体" w:eastAsia="宋体" w:cs="宋体"/>
          <w:color w:val="auto"/>
          <w:kern w:val="0"/>
          <w:highlight w:val="none"/>
        </w:rPr>
        <w:t>的30分钟内</w:t>
      </w:r>
      <w:r>
        <w:rPr>
          <w:rFonts w:hint="eastAsia" w:ascii="宋体" w:hAnsi="宋体" w:cs="宋体"/>
          <w:color w:val="auto"/>
          <w:kern w:val="0"/>
          <w:highlight w:val="none"/>
        </w:rPr>
        <w:t>。超过磋商响应截止时间未完成上传的磋商响应文件或未按规定时间递交备份磋商响应文件的，采购人不予受理。</w:t>
      </w:r>
    </w:p>
    <w:p w14:paraId="7E611DB6">
      <w:pPr>
        <w:pStyle w:val="23"/>
        <w:keepNext w:val="0"/>
        <w:keepLines w:val="0"/>
        <w:pageBreakBefore w:val="0"/>
        <w:widowControl/>
        <w:numPr>
          <w:ilvl w:val="0"/>
          <w:numId w:val="6"/>
        </w:numPr>
        <w:shd w:val="clear" w:color="auto" w:fill="FFFFFF"/>
        <w:kinsoku/>
        <w:overflowPunct/>
        <w:topLinePunct w:val="0"/>
        <w:autoSpaceDE/>
        <w:autoSpaceDN/>
        <w:bidi w:val="0"/>
        <w:spacing w:before="0" w:beforeAutospacing="0" w:after="0" w:afterAutospacing="0" w:line="480" w:lineRule="exact"/>
        <w:rPr>
          <w:rFonts w:ascii="宋体" w:hAnsi="宋体" w:cs="Arial"/>
          <w:kern w:val="0"/>
          <w:sz w:val="24"/>
          <w:highlight w:val="none"/>
        </w:rPr>
      </w:pPr>
      <w:r>
        <w:rPr>
          <w:rFonts w:hint="eastAsia" w:ascii="宋体" w:hAnsi="宋体" w:cs="Arial"/>
          <w:b/>
          <w:bCs/>
          <w:kern w:val="0"/>
          <w:sz w:val="24"/>
          <w:highlight w:val="none"/>
        </w:rPr>
        <w:t>七．磋商开始时间：</w:t>
      </w:r>
      <w:r>
        <w:rPr>
          <w:rFonts w:hint="eastAsia" w:ascii="宋体" w:hAnsi="宋体" w:eastAsia="宋体" w:cs="宋体"/>
          <w:b w:val="0"/>
          <w:bCs w:val="0"/>
          <w:color w:val="auto"/>
          <w:kern w:val="0"/>
          <w:highlight w:val="none"/>
          <w:lang w:eastAsia="zh-CN"/>
        </w:rPr>
        <w:t>2025年</w:t>
      </w:r>
      <w:r>
        <w:rPr>
          <w:rFonts w:hint="eastAsia" w:ascii="宋体" w:hAnsi="宋体" w:eastAsia="宋体" w:cs="宋体"/>
          <w:b w:val="0"/>
          <w:bCs w:val="0"/>
          <w:color w:val="auto"/>
          <w:kern w:val="0"/>
          <w:highlight w:val="none"/>
          <w:lang w:val="en-US" w:eastAsia="zh-CN"/>
        </w:rPr>
        <w:t xml:space="preserve">  </w:t>
      </w:r>
      <w:r>
        <w:rPr>
          <w:rFonts w:hint="eastAsia" w:ascii="宋体" w:hAnsi="宋体" w:eastAsia="宋体" w:cs="宋体"/>
          <w:b w:val="0"/>
          <w:bCs w:val="0"/>
          <w:color w:val="auto"/>
          <w:kern w:val="0"/>
          <w:highlight w:val="none"/>
          <w:lang w:eastAsia="zh-CN"/>
        </w:rPr>
        <w:t>月</w:t>
      </w:r>
      <w:r>
        <w:rPr>
          <w:rFonts w:hint="eastAsia" w:ascii="宋体" w:hAnsi="宋体" w:eastAsia="宋体" w:cs="宋体"/>
          <w:b w:val="0"/>
          <w:bCs w:val="0"/>
          <w:color w:val="auto"/>
          <w:kern w:val="0"/>
          <w:highlight w:val="none"/>
          <w:lang w:val="en-US" w:eastAsia="zh-CN"/>
        </w:rPr>
        <w:t xml:space="preserve">  </w:t>
      </w:r>
      <w:r>
        <w:rPr>
          <w:rFonts w:hint="eastAsia" w:ascii="宋体" w:hAnsi="宋体" w:eastAsia="宋体" w:cs="宋体"/>
          <w:b w:val="0"/>
          <w:bCs w:val="0"/>
          <w:color w:val="auto"/>
          <w:kern w:val="0"/>
          <w:highlight w:val="none"/>
          <w:lang w:eastAsia="zh-CN"/>
        </w:rPr>
        <w:t>日</w:t>
      </w:r>
      <w:r>
        <w:rPr>
          <w:rFonts w:hint="eastAsia" w:ascii="宋体" w:hAnsi="宋体" w:eastAsia="宋体" w:cs="宋体"/>
          <w:b w:val="0"/>
          <w:bCs w:val="0"/>
          <w:color w:val="auto"/>
          <w:kern w:val="0"/>
          <w:highlight w:val="none"/>
          <w:lang w:val="en-US" w:eastAsia="zh-CN"/>
        </w:rPr>
        <w:t>14</w:t>
      </w:r>
      <w:r>
        <w:rPr>
          <w:rFonts w:hint="eastAsia" w:ascii="宋体" w:hAnsi="宋体" w:eastAsia="宋体" w:cs="宋体"/>
          <w:b w:val="0"/>
          <w:bCs w:val="0"/>
          <w:color w:val="auto"/>
          <w:kern w:val="0"/>
          <w:highlight w:val="none"/>
          <w:lang w:eastAsia="zh-CN"/>
        </w:rPr>
        <w:t>：</w:t>
      </w:r>
      <w:r>
        <w:rPr>
          <w:rFonts w:hint="eastAsia" w:ascii="宋体" w:hAnsi="宋体" w:eastAsia="宋体" w:cs="宋体"/>
          <w:b w:val="0"/>
          <w:bCs w:val="0"/>
          <w:color w:val="auto"/>
          <w:kern w:val="0"/>
          <w:highlight w:val="none"/>
          <w:lang w:val="en-US" w:eastAsia="zh-CN"/>
        </w:rPr>
        <w:t>00</w:t>
      </w:r>
      <w:r>
        <w:rPr>
          <w:rFonts w:hint="eastAsia" w:ascii="宋体" w:hAnsi="宋体" w:cs="Arial"/>
          <w:kern w:val="0"/>
          <w:sz w:val="24"/>
          <w:highlight w:val="none"/>
        </w:rPr>
        <w:t>(北京时间)</w:t>
      </w:r>
    </w:p>
    <w:p w14:paraId="57FC7373">
      <w:pPr>
        <w:keepNext w:val="0"/>
        <w:keepLines w:val="0"/>
        <w:pageBreakBefore w:val="0"/>
        <w:kinsoku/>
        <w:overflowPunct/>
        <w:topLinePunct w:val="0"/>
        <w:autoSpaceDE/>
        <w:autoSpaceDN/>
        <w:bidi w:val="0"/>
        <w:spacing w:line="480" w:lineRule="exact"/>
        <w:rPr>
          <w:rFonts w:ascii="宋体" w:hAnsi="宋体" w:cs="Arial"/>
          <w:bCs/>
          <w:kern w:val="0"/>
          <w:sz w:val="24"/>
          <w:highlight w:val="none"/>
        </w:rPr>
      </w:pPr>
      <w:r>
        <w:rPr>
          <w:rFonts w:hint="eastAsia" w:ascii="宋体" w:hAnsi="宋体" w:cs="Arial"/>
          <w:b/>
          <w:bCs/>
          <w:kern w:val="0"/>
          <w:sz w:val="24"/>
          <w:highlight w:val="none"/>
        </w:rPr>
        <w:t>八．磋商地址：</w:t>
      </w:r>
      <w:r>
        <w:rPr>
          <w:rFonts w:hint="eastAsia" w:ascii="宋体" w:hAnsi="宋体" w:cs="Arial"/>
          <w:bCs/>
          <w:kern w:val="0"/>
          <w:sz w:val="24"/>
          <w:highlight w:val="none"/>
        </w:rPr>
        <w:t>湖州市公共资源交易中心 2 号楼二楼开标室（湖州市仁皇山片区金盖山路66号2号楼）。截止时间后递交的响应文件，电子交易平台（“政府采购云平台（www.zcygov.cn）”）将予以拒收。</w:t>
      </w:r>
    </w:p>
    <w:p w14:paraId="6EFD444A">
      <w:pPr>
        <w:keepNext w:val="0"/>
        <w:keepLines w:val="0"/>
        <w:pageBreakBefore w:val="0"/>
        <w:numPr>
          <w:ilvl w:val="0"/>
          <w:numId w:val="7"/>
        </w:numPr>
        <w:kinsoku/>
        <w:overflowPunct/>
        <w:topLinePunct w:val="0"/>
        <w:autoSpaceDE/>
        <w:autoSpaceDN/>
        <w:bidi w:val="0"/>
        <w:spacing w:line="480" w:lineRule="exact"/>
        <w:rPr>
          <w:rFonts w:ascii="宋体" w:hAnsi="宋体" w:cs="Arial"/>
          <w:b/>
          <w:bCs/>
          <w:kern w:val="0"/>
          <w:sz w:val="24"/>
          <w:highlight w:val="none"/>
        </w:rPr>
      </w:pPr>
      <w:r>
        <w:rPr>
          <w:rFonts w:hint="eastAsia" w:ascii="宋体" w:hAnsi="宋体" w:cs="Arial"/>
          <w:b/>
          <w:bCs/>
          <w:kern w:val="0"/>
          <w:sz w:val="24"/>
          <w:highlight w:val="none"/>
        </w:rPr>
        <w:t>其他事项：</w:t>
      </w:r>
    </w:p>
    <w:p w14:paraId="2E44332C">
      <w:pPr>
        <w:pStyle w:val="17"/>
        <w:keepNext w:val="0"/>
        <w:keepLines w:val="0"/>
        <w:pageBreakBefore w:val="0"/>
        <w:numPr>
          <w:ilvl w:val="0"/>
          <w:numId w:val="8"/>
        </w:numPr>
        <w:kinsoku/>
        <w:overflowPunct/>
        <w:topLinePunct w:val="0"/>
        <w:autoSpaceDE/>
        <w:autoSpaceDN/>
        <w:bidi w:val="0"/>
        <w:adjustRightInd w:val="0"/>
        <w:snapToGrid w:val="0"/>
        <w:spacing w:line="480" w:lineRule="exact"/>
        <w:ind w:leftChars="0"/>
        <w:rPr>
          <w:rFonts w:ascii="宋体" w:hAnsi="宋体" w:cs="宋体"/>
          <w:b/>
          <w:bCs/>
          <w:sz w:val="24"/>
          <w:szCs w:val="24"/>
          <w:highlight w:val="none"/>
        </w:rPr>
      </w:pPr>
      <w:r>
        <w:rPr>
          <w:rFonts w:hint="eastAsia" w:ascii="宋体" w:hAnsi="宋体" w:cs="宋体"/>
          <w:sz w:val="24"/>
          <w:szCs w:val="24"/>
          <w:highlight w:val="none"/>
        </w:rPr>
        <w:t>本项目为电子招投标项目，实行网上投标，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w:t>
      </w:r>
      <w:r>
        <w:rPr>
          <w:rFonts w:hint="eastAsia" w:ascii="宋体" w:hAnsi="宋体" w:cs="宋体"/>
          <w:b/>
          <w:bCs/>
          <w:kern w:val="0"/>
          <w:sz w:val="24"/>
          <w:szCs w:val="24"/>
          <w:highlight w:val="none"/>
        </w:rPr>
        <w:t>（</w:t>
      </w:r>
      <w:r>
        <w:rPr>
          <w:rFonts w:hint="eastAsia" w:ascii="宋体" w:hAnsi="宋体" w:cs="Arial"/>
          <w:bCs/>
          <w:kern w:val="0"/>
          <w:sz w:val="24"/>
          <w:szCs w:val="24"/>
          <w:highlight w:val="none"/>
        </w:rPr>
        <w:t>“政府采购云平台（www.zcygov.cn）”</w:t>
      </w:r>
      <w:r>
        <w:rPr>
          <w:rFonts w:hint="eastAsia" w:ascii="宋体" w:hAnsi="宋体" w:cs="宋体"/>
          <w:b/>
          <w:bCs/>
          <w:kern w:val="0"/>
          <w:sz w:val="24"/>
          <w:szCs w:val="24"/>
          <w:highlight w:val="none"/>
        </w:rPr>
        <w:t>）</w:t>
      </w:r>
      <w:r>
        <w:rPr>
          <w:rFonts w:hint="eastAsia" w:ascii="宋体" w:hAnsi="宋体" w:cs="宋体"/>
          <w:sz w:val="24"/>
          <w:szCs w:val="24"/>
          <w:highlight w:val="none"/>
        </w:rPr>
        <w:t>将予以拒收。备份响应文件按磋商文件相关要求通过邮寄方式递交。采购组织机构按照采购文件规定的时间通过电子交易平台</w:t>
      </w:r>
      <w:r>
        <w:rPr>
          <w:rFonts w:hint="eastAsia" w:ascii="宋体" w:hAnsi="宋体" w:cs="宋体"/>
          <w:b/>
          <w:bCs/>
          <w:kern w:val="0"/>
          <w:sz w:val="24"/>
          <w:szCs w:val="24"/>
          <w:highlight w:val="none"/>
        </w:rPr>
        <w:t>（</w:t>
      </w:r>
      <w:r>
        <w:rPr>
          <w:rFonts w:hint="eastAsia" w:ascii="宋体" w:hAnsi="宋体" w:cs="Arial"/>
          <w:bCs/>
          <w:kern w:val="0"/>
          <w:sz w:val="24"/>
          <w:szCs w:val="24"/>
          <w:highlight w:val="none"/>
        </w:rPr>
        <w:t>“政府采购云平台（www.zcygov.cn）”</w:t>
      </w:r>
      <w:r>
        <w:rPr>
          <w:rFonts w:hint="eastAsia" w:ascii="宋体" w:hAnsi="宋体" w:cs="宋体"/>
          <w:b/>
          <w:bCs/>
          <w:kern w:val="0"/>
          <w:sz w:val="24"/>
          <w:szCs w:val="24"/>
          <w:highlight w:val="none"/>
        </w:rPr>
        <w:t>）</w:t>
      </w:r>
      <w:r>
        <w:rPr>
          <w:rFonts w:hint="eastAsia" w:ascii="宋体" w:hAnsi="宋体" w:cs="宋体"/>
          <w:sz w:val="24"/>
          <w:szCs w:val="24"/>
          <w:highlight w:val="none"/>
        </w:rPr>
        <w:t>组织开启响应文件，所有供应商均应当准时在线参加。</w:t>
      </w:r>
    </w:p>
    <w:p w14:paraId="5B835773">
      <w:pPr>
        <w:pStyle w:val="17"/>
        <w:keepNext w:val="0"/>
        <w:keepLines w:val="0"/>
        <w:pageBreakBefore w:val="0"/>
        <w:numPr>
          <w:ilvl w:val="0"/>
          <w:numId w:val="8"/>
        </w:numPr>
        <w:kinsoku/>
        <w:overflowPunct/>
        <w:topLinePunct w:val="0"/>
        <w:autoSpaceDE/>
        <w:autoSpaceDN/>
        <w:bidi w:val="0"/>
        <w:adjustRightInd w:val="0"/>
        <w:snapToGrid w:val="0"/>
        <w:spacing w:line="480" w:lineRule="exact"/>
        <w:ind w:leftChars="0"/>
        <w:rPr>
          <w:rFonts w:ascii="宋体" w:hAnsi="宋体" w:cs="宋体"/>
          <w:b/>
          <w:bCs/>
          <w:sz w:val="24"/>
          <w:szCs w:val="24"/>
          <w:highlight w:val="none"/>
        </w:rPr>
      </w:pPr>
      <w:r>
        <w:rPr>
          <w:rFonts w:hint="eastAsia" w:ascii="宋体" w:hAnsi="宋体" w:cs="宋体"/>
          <w:b/>
          <w:bCs/>
          <w:kern w:val="0"/>
          <w:sz w:val="24"/>
          <w:szCs w:val="24"/>
          <w:highlight w:val="none"/>
        </w:rPr>
        <w:t>本项目采取“不见面”形式进行开评标活动，法定代表人或其授权委托人无须到场，在线响应（</w:t>
      </w:r>
      <w:r>
        <w:rPr>
          <w:rFonts w:hint="eastAsia" w:ascii="宋体" w:hAnsi="宋体" w:cs="Arial"/>
          <w:bCs/>
          <w:kern w:val="0"/>
          <w:sz w:val="24"/>
          <w:szCs w:val="24"/>
          <w:highlight w:val="none"/>
        </w:rPr>
        <w:t>“政府采购云平台（www.zcygov.cn）”</w:t>
      </w:r>
      <w:r>
        <w:rPr>
          <w:rFonts w:hint="eastAsia" w:ascii="宋体" w:hAnsi="宋体" w:cs="宋体"/>
          <w:b/>
          <w:bCs/>
          <w:kern w:val="0"/>
          <w:sz w:val="24"/>
          <w:szCs w:val="24"/>
          <w:highlight w:val="none"/>
        </w:rPr>
        <w:t>）</w:t>
      </w:r>
      <w:r>
        <w:rPr>
          <w:rFonts w:hint="eastAsia" w:ascii="宋体" w:hAnsi="宋体" w:cs="宋体"/>
          <w:kern w:val="0"/>
          <w:sz w:val="24"/>
          <w:szCs w:val="24"/>
          <w:highlight w:val="none"/>
        </w:rPr>
        <w:t>。</w:t>
      </w:r>
    </w:p>
    <w:p w14:paraId="1076A5A2">
      <w:pPr>
        <w:pStyle w:val="11"/>
        <w:keepNext w:val="0"/>
        <w:keepLines w:val="0"/>
        <w:pageBreakBefore w:val="0"/>
        <w:numPr>
          <w:ilvl w:val="0"/>
          <w:numId w:val="8"/>
        </w:numPr>
        <w:kinsoku/>
        <w:wordWrap w:val="0"/>
        <w:overflowPunct/>
        <w:topLinePunct w:val="0"/>
        <w:autoSpaceDE/>
        <w:autoSpaceDN/>
        <w:bidi w:val="0"/>
        <w:spacing w:line="480" w:lineRule="exact"/>
        <w:ind w:firstLine="403" w:firstLineChars="0"/>
        <w:rPr>
          <w:sz w:val="24"/>
          <w:szCs w:val="24"/>
          <w:highlight w:val="none"/>
        </w:rPr>
      </w:pPr>
      <w:r>
        <w:rPr>
          <w:rFonts w:hint="eastAsia" w:ascii="宋体" w:hAnsi="宋体" w:cs="宋体"/>
          <w:sz w:val="24"/>
          <w:szCs w:val="24"/>
          <w:highlight w:val="none"/>
        </w:rPr>
        <w:t>供应商按照规定方式获取磋商文件的，可以自获取磋商文件之日或者磋商文件公告期限届满之日（公告发布后的第6个工作日）起7个工作日内且在提交响应文件截止时间当天之前，以书面形式向采购人或采购代理机构提出质疑。质疑供应商对采购人、采购代理机构的答复不满意，或者采购人、采购代理机构未在规定时间内作出答复的，可以在答复期满后15个工作日内向同级财政部门提起投诉。“规定方式获取磋商文件”是指：供应商按本项目磋商公告要求申请获取磋商文件通过后下载磋商文件</w:t>
      </w:r>
      <w:r>
        <w:rPr>
          <w:rFonts w:hint="eastAsia"/>
          <w:sz w:val="24"/>
          <w:szCs w:val="24"/>
          <w:highlight w:val="none"/>
        </w:rPr>
        <w:t>。</w:t>
      </w:r>
    </w:p>
    <w:p w14:paraId="132BB8F9">
      <w:pPr>
        <w:pStyle w:val="11"/>
        <w:keepNext w:val="0"/>
        <w:keepLines w:val="0"/>
        <w:pageBreakBefore w:val="0"/>
        <w:numPr>
          <w:ilvl w:val="0"/>
          <w:numId w:val="8"/>
        </w:numPr>
        <w:kinsoku/>
        <w:overflowPunct/>
        <w:topLinePunct w:val="0"/>
        <w:autoSpaceDE/>
        <w:autoSpaceDN/>
        <w:bidi w:val="0"/>
        <w:spacing w:line="480" w:lineRule="exact"/>
        <w:ind w:firstLineChars="0"/>
        <w:rPr>
          <w:sz w:val="24"/>
          <w:szCs w:val="24"/>
          <w:highlight w:val="none"/>
        </w:rPr>
      </w:pPr>
      <w:r>
        <w:rPr>
          <w:rFonts w:hint="eastAsia"/>
          <w:sz w:val="24"/>
          <w:szCs w:val="24"/>
          <w:highlight w:val="none"/>
        </w:rPr>
        <w:t>磋商公告附件中电子版磋商文件及其他仅供阅览使用，具体以报名时提供的磋商文件为准。潜在供应商已依法获取（依法获取指：供应商按本项目磋商公告要求向采购代理机构报名成功后获取的磋商文件）其可质疑的磋商文件的，可以对该文件提出质疑。</w:t>
      </w:r>
    </w:p>
    <w:p w14:paraId="67C8EA29">
      <w:pPr>
        <w:keepNext w:val="0"/>
        <w:keepLines w:val="0"/>
        <w:pageBreakBefore w:val="0"/>
        <w:numPr>
          <w:ilvl w:val="0"/>
          <w:numId w:val="8"/>
        </w:numPr>
        <w:kinsoku/>
        <w:overflowPunct/>
        <w:topLinePunct w:val="0"/>
        <w:autoSpaceDE/>
        <w:autoSpaceDN/>
        <w:bidi w:val="0"/>
        <w:spacing w:line="480" w:lineRule="exact"/>
        <w:ind w:firstLine="400" w:firstLineChars="0"/>
        <w:rPr>
          <w:rFonts w:hint="eastAsia" w:eastAsia="宋体" w:cs="Times New Roman"/>
          <w:bCs/>
          <w:sz w:val="24"/>
          <w:szCs w:val="24"/>
          <w:highlight w:val="none"/>
          <w:lang w:val="en-US" w:eastAsia="zh-CN"/>
        </w:rPr>
      </w:pPr>
      <w:r>
        <w:rPr>
          <w:rFonts w:hint="eastAsia" w:eastAsia="宋体" w:cs="Times New Roman"/>
          <w:bCs/>
          <w:sz w:val="24"/>
          <w:szCs w:val="24"/>
          <w:highlight w:val="none"/>
        </w:rPr>
        <w:t>本项目采购标的对应的中小企业划分标准所属行业为：</w:t>
      </w:r>
      <w:r>
        <w:rPr>
          <w:rFonts w:hint="eastAsia" w:cs="Times New Roman"/>
          <w:bCs/>
          <w:sz w:val="24"/>
          <w:szCs w:val="24"/>
          <w:highlight w:val="none"/>
          <w:lang w:val="en-US" w:eastAsia="zh-CN"/>
        </w:rPr>
        <w:t>其他未列明行业</w:t>
      </w:r>
      <w:r>
        <w:rPr>
          <w:rFonts w:hint="eastAsia" w:eastAsia="宋体" w:cs="Times New Roman"/>
          <w:bCs/>
          <w:sz w:val="24"/>
          <w:szCs w:val="24"/>
          <w:highlight w:val="none"/>
        </w:rPr>
        <w:t>。</w:t>
      </w:r>
    </w:p>
    <w:p w14:paraId="37ED563A">
      <w:pPr>
        <w:keepNext w:val="0"/>
        <w:keepLines w:val="0"/>
        <w:pageBreakBefore w:val="0"/>
        <w:numPr>
          <w:ilvl w:val="0"/>
          <w:numId w:val="8"/>
        </w:numPr>
        <w:kinsoku/>
        <w:overflowPunct/>
        <w:topLinePunct w:val="0"/>
        <w:autoSpaceDE/>
        <w:autoSpaceDN/>
        <w:bidi w:val="0"/>
        <w:spacing w:line="480" w:lineRule="exact"/>
        <w:ind w:firstLine="400" w:firstLineChars="0"/>
        <w:rPr>
          <w:rFonts w:hint="eastAsia"/>
          <w:sz w:val="24"/>
          <w:szCs w:val="24"/>
          <w:lang w:val="en-US" w:eastAsia="zh-CN"/>
        </w:rPr>
      </w:pPr>
      <w:r>
        <w:rPr>
          <w:rFonts w:hint="eastAsia" w:eastAsia="宋体" w:cs="Times New Roman"/>
          <w:bCs/>
          <w:sz w:val="24"/>
          <w:szCs w:val="24"/>
          <w:highlight w:val="none"/>
        </w:rPr>
        <w:t>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23D5BE8">
      <w:pPr>
        <w:keepNext w:val="0"/>
        <w:keepLines w:val="0"/>
        <w:pageBreakBefore w:val="0"/>
        <w:kinsoku/>
        <w:overflowPunct/>
        <w:topLinePunct w:val="0"/>
        <w:autoSpaceDE/>
        <w:autoSpaceDN/>
        <w:bidi w:val="0"/>
        <w:spacing w:line="480" w:lineRule="exact"/>
        <w:rPr>
          <w:rFonts w:ascii="宋体" w:hAnsi="宋体" w:cs="Arial"/>
          <w:b/>
          <w:bCs/>
          <w:kern w:val="0"/>
          <w:sz w:val="24"/>
          <w:highlight w:val="none"/>
        </w:rPr>
      </w:pPr>
      <w:r>
        <w:rPr>
          <w:rFonts w:hint="eastAsia" w:ascii="宋体" w:hAnsi="宋体" w:cs="Arial"/>
          <w:b/>
          <w:bCs/>
          <w:kern w:val="0"/>
          <w:sz w:val="24"/>
          <w:highlight w:val="none"/>
        </w:rPr>
        <w:t>十、本次磋商有关信息刊登在</w:t>
      </w:r>
    </w:p>
    <w:p w14:paraId="74842BA6">
      <w:pPr>
        <w:keepNext w:val="0"/>
        <w:keepLines w:val="0"/>
        <w:pageBreakBefore w:val="0"/>
        <w:kinsoku/>
        <w:overflowPunct/>
        <w:topLinePunct w:val="0"/>
        <w:autoSpaceDE/>
        <w:autoSpaceDN/>
        <w:bidi w:val="0"/>
        <w:snapToGrid w:val="0"/>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浙江政府采购网 （</w:t>
      </w:r>
      <w:r>
        <w:rPr>
          <w:rFonts w:hint="eastAsia" w:ascii="宋体" w:hAnsi="宋体" w:cs="宋体"/>
          <w:sz w:val="24"/>
          <w:highlight w:val="none"/>
          <w:lang w:eastAsia="zh-CN"/>
        </w:rPr>
        <w:t>https://zfcg.czt.zj.gov.cn/</w:t>
      </w:r>
      <w:r>
        <w:rPr>
          <w:rFonts w:hint="eastAsia" w:ascii="宋体" w:hAnsi="宋体" w:cs="宋体"/>
          <w:sz w:val="24"/>
          <w:highlight w:val="none"/>
        </w:rPr>
        <w:t>）；</w:t>
      </w:r>
    </w:p>
    <w:p w14:paraId="09AE3D9C">
      <w:pPr>
        <w:keepNext w:val="0"/>
        <w:keepLines w:val="0"/>
        <w:pageBreakBefore w:val="0"/>
        <w:kinsoku/>
        <w:overflowPunct/>
        <w:topLinePunct w:val="0"/>
        <w:autoSpaceDE/>
        <w:autoSpaceDN/>
        <w:bidi w:val="0"/>
        <w:snapToGrid w:val="0"/>
        <w:spacing w:line="48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湖州市公共资源交易信息网（</w:t>
      </w:r>
      <w:r>
        <w:rPr>
          <w:rFonts w:hint="eastAsia" w:ascii="宋体" w:hAnsi="宋体" w:cs="宋体"/>
          <w:sz w:val="24"/>
          <w:highlight w:val="none"/>
          <w:lang w:eastAsia="zh-CN"/>
        </w:rPr>
        <w:t>http://ggzyjy.huzhou.gov.cn/</w:t>
      </w:r>
      <w:r>
        <w:rPr>
          <w:rFonts w:hint="eastAsia" w:ascii="宋体" w:hAnsi="宋体" w:cs="宋体"/>
          <w:sz w:val="24"/>
          <w:highlight w:val="none"/>
        </w:rPr>
        <w:t>）</w:t>
      </w:r>
      <w:r>
        <w:rPr>
          <w:rFonts w:hint="eastAsia" w:ascii="宋体" w:hAnsi="宋体" w:cs="宋体"/>
          <w:sz w:val="24"/>
          <w:highlight w:val="none"/>
          <w:lang w:eastAsia="zh-CN"/>
        </w:rPr>
        <w:t>。</w:t>
      </w:r>
    </w:p>
    <w:p w14:paraId="46BBFAAC">
      <w:pPr>
        <w:keepNext w:val="0"/>
        <w:keepLines w:val="0"/>
        <w:pageBreakBefore w:val="0"/>
        <w:kinsoku/>
        <w:overflowPunct/>
        <w:topLinePunct w:val="0"/>
        <w:autoSpaceDE/>
        <w:autoSpaceDN/>
        <w:bidi w:val="0"/>
        <w:spacing w:line="480" w:lineRule="exact"/>
        <w:rPr>
          <w:rFonts w:ascii="宋体" w:hAnsi="宋体" w:cs="Arial"/>
          <w:kern w:val="0"/>
          <w:sz w:val="24"/>
          <w:highlight w:val="none"/>
        </w:rPr>
      </w:pPr>
      <w:r>
        <w:rPr>
          <w:rFonts w:hint="eastAsia" w:ascii="宋体" w:hAnsi="宋体" w:cs="Arial"/>
          <w:b/>
          <w:bCs/>
          <w:kern w:val="0"/>
          <w:sz w:val="24"/>
          <w:highlight w:val="none"/>
        </w:rPr>
        <w:t>十一 、联系方式</w:t>
      </w:r>
    </w:p>
    <w:p w14:paraId="28F58E4B">
      <w:pPr>
        <w:keepNext w:val="0"/>
        <w:keepLines w:val="0"/>
        <w:pageBreakBefore w:val="0"/>
        <w:kinsoku/>
        <w:overflowPunct/>
        <w:topLinePunct w:val="0"/>
        <w:autoSpaceDE/>
        <w:autoSpaceDN/>
        <w:bidi w:val="0"/>
        <w:spacing w:line="480" w:lineRule="exact"/>
        <w:ind w:left="420" w:leftChars="200"/>
        <w:jc w:val="left"/>
        <w:rPr>
          <w:rFonts w:hint="eastAsia"/>
          <w:lang w:eastAsia="zh-CN"/>
        </w:rPr>
      </w:pPr>
      <w:r>
        <w:rPr>
          <w:rFonts w:hint="eastAsia" w:ascii="宋体" w:hAnsi="宋体"/>
          <w:bCs/>
          <w:sz w:val="24"/>
          <w:highlight w:val="none"/>
        </w:rPr>
        <w:t>1、</w:t>
      </w:r>
      <w:r>
        <w:rPr>
          <w:rFonts w:hint="eastAsia" w:ascii="宋体" w:hAnsi="宋体"/>
          <w:bCs/>
          <w:sz w:val="24"/>
          <w:highlight w:val="none"/>
          <w:lang w:val="en-US" w:eastAsia="zh-CN"/>
        </w:rPr>
        <w:t>采购</w:t>
      </w:r>
      <w:r>
        <w:rPr>
          <w:rFonts w:hint="eastAsia" w:ascii="宋体" w:hAnsi="宋体"/>
          <w:bCs/>
          <w:sz w:val="24"/>
          <w:highlight w:val="none"/>
        </w:rPr>
        <w:t>人：</w:t>
      </w:r>
      <w:r>
        <w:rPr>
          <w:rFonts w:hint="eastAsia" w:ascii="宋体" w:hAnsi="宋体"/>
          <w:bCs/>
          <w:sz w:val="24"/>
          <w:highlight w:val="none"/>
          <w:lang w:eastAsia="zh-CN"/>
        </w:rPr>
        <w:t xml:space="preserve">湖州市市容环境卫生管理中心 </w:t>
      </w:r>
    </w:p>
    <w:p w14:paraId="28233ECF">
      <w:pPr>
        <w:keepNext w:val="0"/>
        <w:keepLines w:val="0"/>
        <w:pageBreakBefore w:val="0"/>
        <w:kinsoku/>
        <w:overflowPunct/>
        <w:topLinePunct w:val="0"/>
        <w:autoSpaceDE/>
        <w:autoSpaceDN/>
        <w:bidi w:val="0"/>
        <w:spacing w:line="480" w:lineRule="exact"/>
        <w:ind w:left="420" w:leftChars="200"/>
        <w:jc w:val="left"/>
        <w:rPr>
          <w:rFonts w:hint="eastAsia" w:ascii="宋体" w:hAnsi="宋体"/>
          <w:bCs/>
          <w:sz w:val="24"/>
          <w:highlight w:val="none"/>
        </w:rPr>
      </w:pPr>
      <w:r>
        <w:rPr>
          <w:rFonts w:hint="eastAsia" w:ascii="宋体" w:hAnsi="宋体"/>
          <w:bCs/>
          <w:sz w:val="24"/>
          <w:highlight w:val="none"/>
        </w:rPr>
        <w:t xml:space="preserve">联 系 人：沈先生     联系电话：0572-2506626     </w:t>
      </w:r>
    </w:p>
    <w:p w14:paraId="5DEF3A0B">
      <w:pPr>
        <w:keepNext w:val="0"/>
        <w:keepLines w:val="0"/>
        <w:pageBreakBefore w:val="0"/>
        <w:kinsoku/>
        <w:overflowPunct/>
        <w:topLinePunct w:val="0"/>
        <w:autoSpaceDE/>
        <w:autoSpaceDN/>
        <w:bidi w:val="0"/>
        <w:spacing w:line="480" w:lineRule="exact"/>
        <w:ind w:left="420" w:leftChars="200"/>
        <w:jc w:val="left"/>
        <w:rPr>
          <w:rFonts w:hint="eastAsia" w:ascii="宋体" w:hAnsi="宋体"/>
          <w:bCs/>
          <w:sz w:val="24"/>
          <w:highlight w:val="none"/>
        </w:rPr>
      </w:pPr>
      <w:r>
        <w:rPr>
          <w:rFonts w:hint="eastAsia" w:ascii="宋体" w:hAnsi="宋体"/>
          <w:bCs/>
          <w:sz w:val="24"/>
          <w:highlight w:val="none"/>
        </w:rPr>
        <w:t>地址：湖州市吴兴区环城西路319号</w:t>
      </w:r>
    </w:p>
    <w:p w14:paraId="04DA8520">
      <w:pPr>
        <w:keepNext w:val="0"/>
        <w:keepLines w:val="0"/>
        <w:pageBreakBefore w:val="0"/>
        <w:kinsoku/>
        <w:overflowPunct/>
        <w:topLinePunct w:val="0"/>
        <w:autoSpaceDE/>
        <w:autoSpaceDN/>
        <w:bidi w:val="0"/>
        <w:spacing w:line="480" w:lineRule="exact"/>
        <w:ind w:left="420" w:leftChars="200"/>
        <w:jc w:val="left"/>
        <w:rPr>
          <w:rFonts w:hint="eastAsia" w:ascii="宋体" w:hAnsi="宋体"/>
          <w:bCs/>
          <w:sz w:val="24"/>
          <w:highlight w:val="none"/>
        </w:rPr>
      </w:pPr>
      <w:r>
        <w:rPr>
          <w:rFonts w:hint="eastAsia" w:ascii="宋体" w:hAnsi="宋体"/>
          <w:bCs/>
          <w:sz w:val="24"/>
          <w:highlight w:val="none"/>
        </w:rPr>
        <w:t>2、招标代理机构：浙江华夏工程管理有限公司</w:t>
      </w:r>
    </w:p>
    <w:p w14:paraId="61D4D0AC">
      <w:pPr>
        <w:keepNext w:val="0"/>
        <w:keepLines w:val="0"/>
        <w:pageBreakBefore w:val="0"/>
        <w:kinsoku/>
        <w:overflowPunct/>
        <w:topLinePunct w:val="0"/>
        <w:autoSpaceDE/>
        <w:autoSpaceDN/>
        <w:bidi w:val="0"/>
        <w:spacing w:line="480" w:lineRule="exact"/>
        <w:ind w:left="420" w:leftChars="200"/>
        <w:jc w:val="left"/>
        <w:rPr>
          <w:rFonts w:hint="eastAsia" w:ascii="宋体" w:hAnsi="宋体"/>
          <w:bCs/>
          <w:sz w:val="24"/>
          <w:highlight w:val="none"/>
        </w:rPr>
      </w:pPr>
      <w:r>
        <w:rPr>
          <w:rFonts w:hint="eastAsia" w:ascii="宋体" w:hAnsi="宋体"/>
          <w:bCs/>
          <w:sz w:val="24"/>
          <w:highlight w:val="none"/>
        </w:rPr>
        <w:t>联系人：蔡伟洪       联系电话：0572-2567837</w:t>
      </w:r>
    </w:p>
    <w:p w14:paraId="669A6494">
      <w:pPr>
        <w:keepNext w:val="0"/>
        <w:keepLines w:val="0"/>
        <w:pageBreakBefore w:val="0"/>
        <w:kinsoku/>
        <w:overflowPunct/>
        <w:topLinePunct w:val="0"/>
        <w:autoSpaceDE/>
        <w:autoSpaceDN/>
        <w:bidi w:val="0"/>
        <w:spacing w:line="480" w:lineRule="exact"/>
        <w:ind w:left="420" w:leftChars="200"/>
        <w:jc w:val="left"/>
        <w:rPr>
          <w:rFonts w:hint="eastAsia" w:ascii="宋体" w:hAnsi="宋体"/>
          <w:bCs/>
          <w:sz w:val="24"/>
          <w:highlight w:val="none"/>
        </w:rPr>
      </w:pPr>
      <w:r>
        <w:rPr>
          <w:rFonts w:hint="eastAsia" w:ascii="宋体" w:hAnsi="宋体"/>
          <w:bCs/>
          <w:sz w:val="24"/>
          <w:highlight w:val="none"/>
        </w:rPr>
        <w:t>质疑函接收人：</w:t>
      </w:r>
      <w:r>
        <w:rPr>
          <w:rFonts w:hint="eastAsia" w:ascii="宋体" w:hAnsi="宋体"/>
          <w:bCs/>
          <w:sz w:val="24"/>
          <w:highlight w:val="none"/>
          <w:lang w:eastAsia="zh-CN"/>
        </w:rPr>
        <w:t>丁</w:t>
      </w:r>
      <w:r>
        <w:rPr>
          <w:rFonts w:hint="eastAsia" w:ascii="宋体" w:hAnsi="宋体"/>
          <w:bCs/>
          <w:sz w:val="24"/>
          <w:highlight w:val="none"/>
        </w:rPr>
        <w:t xml:space="preserve">女士  </w:t>
      </w:r>
      <w:r>
        <w:rPr>
          <w:rFonts w:hint="eastAsia" w:ascii="宋体" w:hAnsi="宋体"/>
          <w:bCs/>
          <w:sz w:val="24"/>
          <w:highlight w:val="none"/>
          <w:lang w:val="en-US" w:eastAsia="zh-CN"/>
        </w:rPr>
        <w:t xml:space="preserve">  </w:t>
      </w:r>
      <w:r>
        <w:rPr>
          <w:rFonts w:hint="eastAsia" w:ascii="宋体" w:hAnsi="宋体"/>
          <w:bCs/>
          <w:sz w:val="24"/>
          <w:highlight w:val="none"/>
        </w:rPr>
        <w:t xml:space="preserve">联系电话：0572-2567859   </w:t>
      </w:r>
    </w:p>
    <w:p w14:paraId="5DB70D92">
      <w:pPr>
        <w:keepNext w:val="0"/>
        <w:keepLines w:val="0"/>
        <w:pageBreakBefore w:val="0"/>
        <w:kinsoku/>
        <w:overflowPunct/>
        <w:topLinePunct w:val="0"/>
        <w:autoSpaceDE/>
        <w:autoSpaceDN/>
        <w:bidi w:val="0"/>
        <w:spacing w:line="480" w:lineRule="exact"/>
        <w:ind w:left="420" w:leftChars="200"/>
        <w:jc w:val="left"/>
        <w:rPr>
          <w:rFonts w:hint="eastAsia" w:ascii="宋体" w:hAnsi="宋体"/>
          <w:bCs/>
          <w:sz w:val="24"/>
          <w:highlight w:val="none"/>
        </w:rPr>
      </w:pPr>
      <w:r>
        <w:rPr>
          <w:rFonts w:hint="eastAsia" w:ascii="宋体" w:hAnsi="宋体"/>
          <w:bCs/>
          <w:sz w:val="24"/>
          <w:highlight w:val="none"/>
        </w:rPr>
        <w:t>地 址：湖州市星洲国际10幢5楼</w:t>
      </w:r>
    </w:p>
    <w:p w14:paraId="74D680C5">
      <w:pPr>
        <w:keepNext w:val="0"/>
        <w:keepLines w:val="0"/>
        <w:pageBreakBefore w:val="0"/>
        <w:kinsoku/>
        <w:overflowPunct/>
        <w:topLinePunct w:val="0"/>
        <w:autoSpaceDE/>
        <w:autoSpaceDN/>
        <w:bidi w:val="0"/>
        <w:spacing w:line="480" w:lineRule="exact"/>
        <w:ind w:left="420" w:leftChars="200"/>
        <w:jc w:val="left"/>
        <w:rPr>
          <w:rFonts w:hint="eastAsia" w:ascii="宋体" w:hAnsi="宋体"/>
          <w:bCs/>
          <w:sz w:val="24"/>
          <w:highlight w:val="none"/>
        </w:rPr>
      </w:pPr>
      <w:r>
        <w:rPr>
          <w:rFonts w:hint="eastAsia" w:ascii="宋体" w:hAnsi="宋体"/>
          <w:bCs/>
          <w:sz w:val="24"/>
          <w:highlight w:val="none"/>
        </w:rPr>
        <w:t>3、政府采购行政监管及投诉受理部门：</w:t>
      </w:r>
    </w:p>
    <w:p w14:paraId="6910F6CA">
      <w:pPr>
        <w:keepNext w:val="0"/>
        <w:keepLines w:val="0"/>
        <w:pageBreakBefore w:val="0"/>
        <w:kinsoku/>
        <w:overflowPunct/>
        <w:topLinePunct w:val="0"/>
        <w:autoSpaceDE/>
        <w:autoSpaceDN/>
        <w:bidi w:val="0"/>
        <w:spacing w:line="480" w:lineRule="exact"/>
        <w:ind w:left="420" w:leftChars="200"/>
        <w:jc w:val="left"/>
        <w:rPr>
          <w:rFonts w:hint="eastAsia" w:ascii="宋体" w:hAnsi="宋体" w:eastAsia="宋体"/>
          <w:bCs/>
          <w:sz w:val="24"/>
          <w:highlight w:val="none"/>
          <w:lang w:eastAsia="zh-CN"/>
        </w:rPr>
      </w:pPr>
      <w:r>
        <w:rPr>
          <w:rFonts w:hint="eastAsia" w:ascii="宋体" w:hAnsi="宋体"/>
          <w:bCs/>
          <w:sz w:val="24"/>
          <w:highlight w:val="none"/>
        </w:rPr>
        <w:t>湖州市财政局政府采购监管处  联系人：</w:t>
      </w:r>
      <w:r>
        <w:rPr>
          <w:rFonts w:hint="eastAsia" w:ascii="宋体" w:hAnsi="宋体"/>
          <w:bCs/>
          <w:sz w:val="24"/>
          <w:highlight w:val="none"/>
          <w:lang w:val="en-US" w:eastAsia="zh-CN"/>
        </w:rPr>
        <w:t>程先生</w:t>
      </w:r>
    </w:p>
    <w:p w14:paraId="78E87A20">
      <w:pPr>
        <w:keepNext w:val="0"/>
        <w:keepLines w:val="0"/>
        <w:pageBreakBefore w:val="0"/>
        <w:kinsoku/>
        <w:overflowPunct/>
        <w:topLinePunct w:val="0"/>
        <w:autoSpaceDE/>
        <w:autoSpaceDN/>
        <w:bidi w:val="0"/>
        <w:spacing w:line="480" w:lineRule="exact"/>
        <w:ind w:left="420" w:leftChars="200"/>
        <w:rPr>
          <w:rFonts w:ascii="宋体" w:hAnsi="宋体" w:cs="Arial"/>
          <w:kern w:val="0"/>
          <w:sz w:val="24"/>
          <w:highlight w:val="none"/>
        </w:rPr>
      </w:pPr>
      <w:r>
        <w:rPr>
          <w:rFonts w:hint="eastAsia" w:ascii="宋体" w:hAnsi="宋体"/>
          <w:bCs/>
          <w:sz w:val="24"/>
          <w:highlight w:val="none"/>
        </w:rPr>
        <w:t>监督投诉电话：0572-</w:t>
      </w:r>
      <w:r>
        <w:rPr>
          <w:rFonts w:hint="eastAsia" w:ascii="宋体" w:hAnsi="宋体"/>
          <w:bCs/>
          <w:sz w:val="24"/>
          <w:highlight w:val="none"/>
          <w:lang w:eastAsia="zh-CN"/>
        </w:rPr>
        <w:t>2150216</w:t>
      </w:r>
      <w:r>
        <w:rPr>
          <w:rFonts w:hint="eastAsia" w:ascii="宋体" w:hAnsi="宋体"/>
          <w:bCs/>
          <w:sz w:val="24"/>
          <w:highlight w:val="none"/>
        </w:rPr>
        <w:t xml:space="preserve">      地址：湖州市吴兴区龙王山路518号</w:t>
      </w:r>
      <w:r>
        <w:rPr>
          <w:rFonts w:hint="eastAsia" w:ascii="宋体" w:hAnsi="宋体" w:cs="Arial"/>
          <w:kern w:val="0"/>
          <w:sz w:val="24"/>
          <w:highlight w:val="none"/>
        </w:rPr>
        <w:t xml:space="preserve">      </w:t>
      </w:r>
    </w:p>
    <w:p w14:paraId="5EDF9C13">
      <w:pPr>
        <w:spacing w:line="380" w:lineRule="exact"/>
        <w:rPr>
          <w:rFonts w:ascii="宋体" w:hAnsi="宋体" w:cs="宋体"/>
          <w:kern w:val="0"/>
          <w:sz w:val="24"/>
          <w:highlight w:val="none"/>
        </w:rPr>
      </w:pPr>
    </w:p>
    <w:p w14:paraId="3F09CDC2">
      <w:pPr>
        <w:pStyle w:val="2"/>
        <w:pageBreakBefore/>
        <w:spacing w:before="0" w:after="0" w:line="500" w:lineRule="exact"/>
        <w:jc w:val="center"/>
        <w:rPr>
          <w:rFonts w:ascii="宋体" w:hAnsi="宋体" w:cs="宋体"/>
          <w:sz w:val="32"/>
          <w:szCs w:val="32"/>
          <w:highlight w:val="none"/>
        </w:rPr>
      </w:pPr>
      <w:bookmarkStart w:id="1" w:name="_Toc34746015"/>
      <w:r>
        <w:rPr>
          <w:rFonts w:hint="eastAsia" w:ascii="宋体" w:hAnsi="宋体" w:cs="宋体"/>
          <w:sz w:val="32"/>
          <w:szCs w:val="32"/>
          <w:highlight w:val="none"/>
        </w:rPr>
        <w:t>第二章  供应商须知</w:t>
      </w:r>
      <w:bookmarkEnd w:id="1"/>
    </w:p>
    <w:p w14:paraId="7258A533">
      <w:pPr>
        <w:jc w:val="center"/>
        <w:outlineLvl w:val="1"/>
        <w:rPr>
          <w:rFonts w:ascii="宋体" w:hAnsi="宋体" w:cs="宋体"/>
          <w:sz w:val="30"/>
          <w:szCs w:val="30"/>
          <w:highlight w:val="none"/>
        </w:rPr>
      </w:pPr>
      <w:bookmarkStart w:id="2" w:name="_Toc32234"/>
      <w:bookmarkStart w:id="3" w:name="_Toc30213"/>
      <w:r>
        <w:rPr>
          <w:rFonts w:hint="eastAsia" w:ascii="宋体" w:hAnsi="宋体" w:cs="宋体"/>
          <w:sz w:val="30"/>
          <w:szCs w:val="30"/>
          <w:highlight w:val="none"/>
        </w:rPr>
        <w:t>前 附 表</w:t>
      </w:r>
      <w:bookmarkEnd w:id="2"/>
      <w:bookmarkEnd w:id="3"/>
    </w:p>
    <w:tbl>
      <w:tblPr>
        <w:tblStyle w:val="25"/>
        <w:tblW w:w="10276"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09"/>
        <w:gridCol w:w="1547"/>
        <w:gridCol w:w="8020"/>
      </w:tblGrid>
      <w:tr w14:paraId="077E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21B3F00C">
            <w:pPr>
              <w:spacing w:line="300" w:lineRule="auto"/>
              <w:jc w:val="center"/>
              <w:rPr>
                <w:rFonts w:ascii="宋体" w:hAnsi="宋体" w:cs="宋体"/>
                <w:b/>
                <w:sz w:val="24"/>
                <w:highlight w:val="none"/>
              </w:rPr>
            </w:pPr>
            <w:bookmarkStart w:id="4" w:name="_Toc23399"/>
            <w:bookmarkStart w:id="5" w:name="_Toc282640696"/>
            <w:bookmarkStart w:id="6" w:name="_Toc15998"/>
            <w:r>
              <w:rPr>
                <w:rFonts w:hint="eastAsia" w:ascii="宋体" w:hAnsi="宋体" w:cs="宋体"/>
                <w:b/>
                <w:sz w:val="24"/>
                <w:highlight w:val="none"/>
              </w:rPr>
              <w:t>序号</w:t>
            </w:r>
          </w:p>
        </w:tc>
        <w:tc>
          <w:tcPr>
            <w:tcW w:w="9546" w:type="dxa"/>
            <w:gridSpan w:val="2"/>
            <w:tcBorders>
              <w:tl2br w:val="nil"/>
              <w:tr2bl w:val="nil"/>
            </w:tcBorders>
            <w:shd w:val="clear" w:color="auto" w:fill="auto"/>
            <w:vAlign w:val="center"/>
          </w:tcPr>
          <w:p w14:paraId="6D1EC90B">
            <w:pPr>
              <w:spacing w:line="300" w:lineRule="auto"/>
              <w:jc w:val="center"/>
              <w:rPr>
                <w:rFonts w:ascii="宋体" w:hAnsi="宋体" w:cs="宋体"/>
                <w:b/>
                <w:sz w:val="24"/>
                <w:highlight w:val="none"/>
              </w:rPr>
            </w:pPr>
            <w:r>
              <w:rPr>
                <w:rFonts w:hint="eastAsia" w:ascii="宋体" w:hAnsi="宋体" w:cs="宋体"/>
                <w:b/>
                <w:sz w:val="24"/>
                <w:highlight w:val="none"/>
              </w:rPr>
              <w:t>内容说明及要求</w:t>
            </w:r>
          </w:p>
        </w:tc>
      </w:tr>
      <w:tr w14:paraId="45C1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5E9C865F">
            <w:pPr>
              <w:spacing w:line="300" w:lineRule="auto"/>
              <w:jc w:val="center"/>
              <w:rPr>
                <w:rFonts w:ascii="宋体" w:hAnsi="宋体" w:cs="宋体"/>
                <w:b/>
                <w:sz w:val="24"/>
                <w:highlight w:val="none"/>
              </w:rPr>
            </w:pPr>
            <w:r>
              <w:rPr>
                <w:rFonts w:hint="eastAsia" w:ascii="宋体" w:hAnsi="宋体" w:cs="宋体"/>
                <w:b/>
                <w:sz w:val="24"/>
                <w:highlight w:val="none"/>
              </w:rPr>
              <w:t>1</w:t>
            </w:r>
          </w:p>
        </w:tc>
        <w:tc>
          <w:tcPr>
            <w:tcW w:w="1533" w:type="dxa"/>
            <w:tcBorders>
              <w:tl2br w:val="nil"/>
              <w:tr2bl w:val="nil"/>
            </w:tcBorders>
            <w:shd w:val="clear" w:color="auto" w:fill="auto"/>
            <w:vAlign w:val="center"/>
          </w:tcPr>
          <w:p w14:paraId="53A6B7AA">
            <w:pPr>
              <w:spacing w:line="300" w:lineRule="auto"/>
              <w:jc w:val="center"/>
              <w:rPr>
                <w:rFonts w:ascii="宋体" w:hAnsi="宋体" w:cs="宋体"/>
                <w:b/>
                <w:sz w:val="24"/>
                <w:highlight w:val="none"/>
              </w:rPr>
            </w:pPr>
            <w:r>
              <w:rPr>
                <w:rFonts w:hint="eastAsia" w:ascii="宋体" w:hAnsi="宋体" w:cs="宋体"/>
                <w:b/>
                <w:sz w:val="24"/>
                <w:highlight w:val="none"/>
              </w:rPr>
              <w:t>项目名称</w:t>
            </w:r>
          </w:p>
        </w:tc>
        <w:tc>
          <w:tcPr>
            <w:tcW w:w="7999" w:type="dxa"/>
            <w:tcBorders>
              <w:tl2br w:val="nil"/>
              <w:tr2bl w:val="nil"/>
            </w:tcBorders>
            <w:shd w:val="clear" w:color="auto" w:fill="auto"/>
            <w:vAlign w:val="center"/>
          </w:tcPr>
          <w:p w14:paraId="55D691CB">
            <w:pPr>
              <w:spacing w:line="300" w:lineRule="auto"/>
              <w:rPr>
                <w:rFonts w:hint="eastAsia" w:ascii="宋体" w:hAnsi="宋体" w:eastAsia="宋体" w:cs="宋体"/>
                <w:sz w:val="24"/>
                <w:highlight w:val="none"/>
                <w:lang w:eastAsia="zh-CN"/>
              </w:rPr>
            </w:pPr>
            <w:r>
              <w:rPr>
                <w:rFonts w:hint="eastAsia" w:ascii="宋体" w:hAnsi="宋体" w:cs="宋体"/>
                <w:kern w:val="0"/>
                <w:sz w:val="24"/>
                <w:highlight w:val="none"/>
                <w:lang w:eastAsia="zh-CN"/>
              </w:rPr>
              <w:t>环卫小型设施设备养护及保障服务项目</w:t>
            </w:r>
          </w:p>
        </w:tc>
      </w:tr>
      <w:tr w14:paraId="249F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13595C52">
            <w:pPr>
              <w:spacing w:line="300" w:lineRule="auto"/>
              <w:jc w:val="center"/>
              <w:rPr>
                <w:rFonts w:ascii="宋体" w:hAnsi="宋体" w:cs="宋体"/>
                <w:b/>
                <w:sz w:val="24"/>
                <w:highlight w:val="none"/>
              </w:rPr>
            </w:pPr>
            <w:r>
              <w:rPr>
                <w:rFonts w:hint="eastAsia" w:ascii="宋体" w:hAnsi="宋体" w:cs="宋体"/>
                <w:b/>
                <w:sz w:val="24"/>
                <w:highlight w:val="none"/>
              </w:rPr>
              <w:t>2</w:t>
            </w:r>
          </w:p>
        </w:tc>
        <w:tc>
          <w:tcPr>
            <w:tcW w:w="1533" w:type="dxa"/>
            <w:tcBorders>
              <w:tl2br w:val="nil"/>
              <w:tr2bl w:val="nil"/>
            </w:tcBorders>
            <w:shd w:val="clear" w:color="auto" w:fill="auto"/>
            <w:vAlign w:val="center"/>
          </w:tcPr>
          <w:p w14:paraId="0B56FE93">
            <w:pPr>
              <w:jc w:val="center"/>
              <w:rPr>
                <w:rFonts w:ascii="宋体" w:hAnsi="宋体" w:cs="宋体"/>
                <w:b/>
                <w:sz w:val="24"/>
                <w:highlight w:val="none"/>
              </w:rPr>
            </w:pPr>
            <w:r>
              <w:rPr>
                <w:rFonts w:hint="eastAsia" w:ascii="宋体" w:hAnsi="宋体" w:cs="宋体"/>
                <w:b/>
                <w:sz w:val="24"/>
                <w:highlight w:val="none"/>
              </w:rPr>
              <w:t>项目编号</w:t>
            </w:r>
          </w:p>
        </w:tc>
        <w:tc>
          <w:tcPr>
            <w:tcW w:w="7999" w:type="dxa"/>
            <w:tcBorders>
              <w:tl2br w:val="nil"/>
              <w:tr2bl w:val="nil"/>
            </w:tcBorders>
            <w:shd w:val="clear" w:color="auto" w:fill="auto"/>
            <w:vAlign w:val="center"/>
          </w:tcPr>
          <w:p w14:paraId="4346590C">
            <w:pPr>
              <w:rPr>
                <w:rFonts w:hint="default" w:ascii="宋体" w:hAnsi="宋体" w:eastAsia="宋体" w:cs="宋体"/>
                <w:bCs/>
                <w:color w:val="000000"/>
                <w:spacing w:val="-4"/>
                <w:sz w:val="24"/>
                <w:highlight w:val="none"/>
                <w:lang w:val="en-US" w:eastAsia="zh-CN"/>
              </w:rPr>
            </w:pPr>
            <w:r>
              <w:rPr>
                <w:rFonts w:hint="eastAsia" w:ascii="宋体" w:hAnsi="宋体" w:cs="宋体"/>
                <w:bCs/>
                <w:color w:val="000000"/>
                <w:spacing w:val="-4"/>
                <w:sz w:val="24"/>
                <w:highlight w:val="none"/>
              </w:rPr>
              <w:t>财政审批编号：湖财采确临[2025]4426、4427号</w:t>
            </w:r>
            <w:r>
              <w:rPr>
                <w:rFonts w:hint="eastAsia" w:ascii="宋体" w:hAnsi="宋体" w:cs="宋体"/>
                <w:bCs/>
                <w:color w:val="000000"/>
                <w:spacing w:val="-4"/>
                <w:sz w:val="24"/>
                <w:highlight w:val="none"/>
                <w:lang w:val="en-US" w:eastAsia="zh-CN"/>
              </w:rPr>
              <w:t xml:space="preserve">       </w:t>
            </w:r>
          </w:p>
          <w:p w14:paraId="09ED1C4A">
            <w:r>
              <w:rPr>
                <w:rFonts w:hint="eastAsia" w:ascii="宋体" w:hAnsi="宋体" w:cs="宋体"/>
                <w:bCs/>
                <w:color w:val="000000"/>
                <w:spacing w:val="-4"/>
                <w:sz w:val="24"/>
                <w:highlight w:val="none"/>
              </w:rPr>
              <w:t>磋商文件编号：</w:t>
            </w:r>
            <w:r>
              <w:rPr>
                <w:rFonts w:hint="eastAsia" w:ascii="宋体" w:hAnsi="宋体" w:cs="宋体"/>
                <w:color w:val="000000"/>
                <w:sz w:val="24"/>
                <w:highlight w:val="none"/>
                <w:lang w:eastAsia="zh-CN"/>
              </w:rPr>
              <w:t>浙华采字【2025】hzf-6007号</w:t>
            </w:r>
          </w:p>
        </w:tc>
      </w:tr>
      <w:tr w14:paraId="316E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7C098156">
            <w:pPr>
              <w:spacing w:line="300" w:lineRule="auto"/>
              <w:jc w:val="center"/>
              <w:rPr>
                <w:rFonts w:ascii="宋体" w:hAnsi="宋体" w:cs="宋体"/>
                <w:b/>
                <w:sz w:val="24"/>
                <w:highlight w:val="none"/>
              </w:rPr>
            </w:pPr>
            <w:r>
              <w:rPr>
                <w:rFonts w:hint="eastAsia" w:ascii="宋体" w:hAnsi="宋体" w:cs="宋体"/>
                <w:b/>
                <w:sz w:val="24"/>
                <w:highlight w:val="none"/>
              </w:rPr>
              <w:t>3</w:t>
            </w:r>
          </w:p>
        </w:tc>
        <w:tc>
          <w:tcPr>
            <w:tcW w:w="1533" w:type="dxa"/>
            <w:tcBorders>
              <w:tl2br w:val="nil"/>
              <w:tr2bl w:val="nil"/>
            </w:tcBorders>
            <w:shd w:val="clear" w:color="auto" w:fill="auto"/>
            <w:vAlign w:val="center"/>
          </w:tcPr>
          <w:p w14:paraId="0CB7AB4A">
            <w:pPr>
              <w:spacing w:line="300" w:lineRule="auto"/>
              <w:jc w:val="center"/>
              <w:rPr>
                <w:rFonts w:ascii="宋体" w:hAnsi="宋体" w:cs="宋体"/>
                <w:b/>
                <w:sz w:val="24"/>
                <w:highlight w:val="none"/>
              </w:rPr>
            </w:pPr>
            <w:r>
              <w:rPr>
                <w:rFonts w:hint="eastAsia" w:ascii="宋体" w:hAnsi="宋体" w:cs="宋体"/>
                <w:b/>
                <w:sz w:val="24"/>
                <w:highlight w:val="none"/>
              </w:rPr>
              <w:t>采购人名称</w:t>
            </w:r>
          </w:p>
        </w:tc>
        <w:tc>
          <w:tcPr>
            <w:tcW w:w="7999" w:type="dxa"/>
            <w:tcBorders>
              <w:tl2br w:val="nil"/>
              <w:tr2bl w:val="nil"/>
            </w:tcBorders>
            <w:shd w:val="clear" w:color="auto" w:fill="auto"/>
            <w:vAlign w:val="center"/>
          </w:tcPr>
          <w:p w14:paraId="20ED3F1F">
            <w:pPr>
              <w:spacing w:line="300" w:lineRule="auto"/>
              <w:rPr>
                <w:rFonts w:hint="eastAsia"/>
                <w:lang w:eastAsia="zh-CN"/>
              </w:rPr>
            </w:pPr>
            <w:r>
              <w:rPr>
                <w:rFonts w:hint="eastAsia" w:ascii="宋体" w:hAnsi="宋体" w:cs="宋体"/>
                <w:kern w:val="0"/>
                <w:sz w:val="24"/>
                <w:highlight w:val="none"/>
                <w:lang w:eastAsia="zh-CN"/>
              </w:rPr>
              <w:t xml:space="preserve">湖州市市容环境卫生管理中心 </w:t>
            </w:r>
          </w:p>
        </w:tc>
      </w:tr>
      <w:tr w14:paraId="3074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0B024D48">
            <w:pPr>
              <w:spacing w:line="300" w:lineRule="auto"/>
              <w:jc w:val="center"/>
              <w:rPr>
                <w:rFonts w:ascii="宋体" w:hAnsi="宋体" w:cs="宋体"/>
                <w:b/>
                <w:sz w:val="24"/>
                <w:highlight w:val="none"/>
              </w:rPr>
            </w:pPr>
            <w:r>
              <w:rPr>
                <w:rFonts w:hint="eastAsia" w:ascii="宋体" w:hAnsi="宋体" w:cs="宋体"/>
                <w:b/>
                <w:sz w:val="24"/>
                <w:highlight w:val="none"/>
              </w:rPr>
              <w:t>4</w:t>
            </w:r>
          </w:p>
        </w:tc>
        <w:tc>
          <w:tcPr>
            <w:tcW w:w="1533" w:type="dxa"/>
            <w:tcBorders>
              <w:tl2br w:val="nil"/>
              <w:tr2bl w:val="nil"/>
            </w:tcBorders>
            <w:shd w:val="clear" w:color="auto" w:fill="auto"/>
            <w:vAlign w:val="center"/>
          </w:tcPr>
          <w:p w14:paraId="5ADC97DE">
            <w:pPr>
              <w:spacing w:line="300" w:lineRule="auto"/>
              <w:jc w:val="center"/>
              <w:rPr>
                <w:rFonts w:ascii="宋体" w:hAnsi="宋体" w:cs="宋体"/>
                <w:b/>
                <w:sz w:val="24"/>
                <w:highlight w:val="none"/>
              </w:rPr>
            </w:pPr>
            <w:r>
              <w:rPr>
                <w:rFonts w:hint="eastAsia" w:ascii="宋体" w:hAnsi="宋体" w:cs="宋体"/>
                <w:b/>
                <w:sz w:val="24"/>
                <w:highlight w:val="none"/>
              </w:rPr>
              <w:t>采购内容</w:t>
            </w:r>
          </w:p>
        </w:tc>
        <w:tc>
          <w:tcPr>
            <w:tcW w:w="7999" w:type="dxa"/>
            <w:tcBorders>
              <w:tl2br w:val="nil"/>
              <w:tr2bl w:val="nil"/>
            </w:tcBorders>
            <w:shd w:val="clear" w:color="auto" w:fill="auto"/>
            <w:vAlign w:val="center"/>
          </w:tcPr>
          <w:p w14:paraId="02E4A0BD">
            <w:pPr>
              <w:spacing w:line="300" w:lineRule="auto"/>
              <w:rPr>
                <w:rFonts w:ascii="宋体" w:hAnsi="宋体" w:cs="宋体"/>
                <w:sz w:val="24"/>
                <w:highlight w:val="none"/>
              </w:rPr>
            </w:pPr>
            <w:r>
              <w:rPr>
                <w:rFonts w:hint="eastAsia" w:ascii="宋体" w:hAnsi="宋体" w:cs="宋体"/>
                <w:kern w:val="0"/>
                <w:sz w:val="24"/>
                <w:highlight w:val="none"/>
                <w:lang w:eastAsia="zh-CN"/>
              </w:rPr>
              <w:t>环卫小型设施设备养护及保障服务</w:t>
            </w:r>
            <w:r>
              <w:rPr>
                <w:rFonts w:hint="eastAsia" w:ascii="宋体" w:hAnsi="宋体" w:cs="宋体"/>
                <w:sz w:val="24"/>
                <w:highlight w:val="none"/>
              </w:rPr>
              <w:t>（详见采购需求）</w:t>
            </w:r>
          </w:p>
        </w:tc>
      </w:tr>
      <w:tr w14:paraId="1A0E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57FE5F4B">
            <w:pPr>
              <w:spacing w:line="300" w:lineRule="auto"/>
              <w:jc w:val="center"/>
              <w:rPr>
                <w:rFonts w:ascii="宋体" w:hAnsi="宋体" w:cs="宋体"/>
                <w:b/>
                <w:sz w:val="24"/>
                <w:highlight w:val="none"/>
              </w:rPr>
            </w:pPr>
            <w:r>
              <w:rPr>
                <w:rFonts w:hint="eastAsia" w:ascii="宋体" w:hAnsi="宋体" w:cs="宋体"/>
                <w:b/>
                <w:sz w:val="24"/>
                <w:highlight w:val="none"/>
              </w:rPr>
              <w:t>5</w:t>
            </w:r>
          </w:p>
        </w:tc>
        <w:tc>
          <w:tcPr>
            <w:tcW w:w="1533" w:type="dxa"/>
            <w:tcBorders>
              <w:tl2br w:val="nil"/>
              <w:tr2bl w:val="nil"/>
            </w:tcBorders>
            <w:shd w:val="clear" w:color="auto" w:fill="auto"/>
            <w:vAlign w:val="center"/>
          </w:tcPr>
          <w:p w14:paraId="47F8B76D">
            <w:pPr>
              <w:spacing w:line="300" w:lineRule="auto"/>
              <w:jc w:val="center"/>
              <w:rPr>
                <w:rFonts w:ascii="宋体" w:hAnsi="宋体" w:cs="宋体"/>
                <w:b/>
                <w:sz w:val="24"/>
                <w:highlight w:val="none"/>
              </w:rPr>
            </w:pPr>
            <w:r>
              <w:rPr>
                <w:rFonts w:hint="eastAsia" w:ascii="宋体" w:hAnsi="宋体" w:cs="宋体"/>
                <w:b/>
                <w:sz w:val="24"/>
                <w:highlight w:val="none"/>
              </w:rPr>
              <w:t>预算金额</w:t>
            </w:r>
          </w:p>
        </w:tc>
        <w:tc>
          <w:tcPr>
            <w:tcW w:w="7999" w:type="dxa"/>
            <w:tcBorders>
              <w:tl2br w:val="nil"/>
              <w:tr2bl w:val="nil"/>
            </w:tcBorders>
            <w:shd w:val="clear" w:color="auto" w:fill="auto"/>
            <w:vAlign w:val="center"/>
          </w:tcPr>
          <w:p w14:paraId="19C09A25">
            <w:pPr>
              <w:spacing w:line="300" w:lineRule="auto"/>
              <w:rPr>
                <w:rFonts w:ascii="宋体" w:hAnsi="宋体" w:cs="宋体"/>
                <w:sz w:val="24"/>
                <w:highlight w:val="none"/>
              </w:rPr>
            </w:pPr>
            <w:r>
              <w:rPr>
                <w:rFonts w:hint="eastAsia" w:ascii="宋体" w:hAnsi="宋体" w:cs="宋体"/>
                <w:sz w:val="24"/>
                <w:highlight w:val="none"/>
                <w:lang w:val="en-US" w:eastAsia="zh-CN"/>
              </w:rPr>
              <w:t>65万元</w:t>
            </w:r>
          </w:p>
        </w:tc>
      </w:tr>
      <w:tr w14:paraId="02C2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632CEE59">
            <w:pPr>
              <w:spacing w:line="300" w:lineRule="auto"/>
              <w:jc w:val="center"/>
              <w:rPr>
                <w:rFonts w:ascii="宋体" w:hAnsi="宋体" w:cs="宋体"/>
                <w:b/>
                <w:sz w:val="24"/>
                <w:highlight w:val="none"/>
              </w:rPr>
            </w:pPr>
            <w:r>
              <w:rPr>
                <w:rFonts w:hint="eastAsia" w:ascii="宋体" w:hAnsi="宋体" w:cs="宋体"/>
                <w:b/>
                <w:sz w:val="24"/>
                <w:highlight w:val="none"/>
              </w:rPr>
              <w:t>6</w:t>
            </w:r>
          </w:p>
        </w:tc>
        <w:tc>
          <w:tcPr>
            <w:tcW w:w="1533" w:type="dxa"/>
            <w:tcBorders>
              <w:tl2br w:val="nil"/>
              <w:tr2bl w:val="nil"/>
            </w:tcBorders>
            <w:shd w:val="clear" w:color="auto" w:fill="auto"/>
            <w:vAlign w:val="center"/>
          </w:tcPr>
          <w:p w14:paraId="6830D3DB">
            <w:pPr>
              <w:spacing w:line="300" w:lineRule="auto"/>
              <w:jc w:val="center"/>
              <w:rPr>
                <w:rFonts w:ascii="宋体" w:hAnsi="宋体" w:cs="宋体"/>
                <w:b/>
                <w:sz w:val="24"/>
                <w:highlight w:val="none"/>
              </w:rPr>
            </w:pPr>
            <w:r>
              <w:rPr>
                <w:rFonts w:hint="eastAsia" w:ascii="宋体" w:hAnsi="宋体" w:cs="宋体"/>
                <w:b/>
                <w:sz w:val="24"/>
                <w:highlight w:val="none"/>
              </w:rPr>
              <w:t>磋商有效期</w:t>
            </w:r>
          </w:p>
        </w:tc>
        <w:tc>
          <w:tcPr>
            <w:tcW w:w="7999" w:type="dxa"/>
            <w:tcBorders>
              <w:tl2br w:val="nil"/>
              <w:tr2bl w:val="nil"/>
            </w:tcBorders>
            <w:shd w:val="clear" w:color="auto" w:fill="auto"/>
            <w:vAlign w:val="center"/>
          </w:tcPr>
          <w:p w14:paraId="0601BA45">
            <w:pPr>
              <w:spacing w:line="300" w:lineRule="auto"/>
              <w:rPr>
                <w:rFonts w:ascii="宋体" w:hAnsi="宋体" w:cs="宋体"/>
                <w:sz w:val="24"/>
                <w:highlight w:val="none"/>
              </w:rPr>
            </w:pPr>
            <w:r>
              <w:rPr>
                <w:rFonts w:hint="eastAsia" w:ascii="宋体" w:hAnsi="宋体" w:cs="宋体"/>
                <w:sz w:val="24"/>
                <w:highlight w:val="none"/>
                <w:u w:val="single"/>
              </w:rPr>
              <w:t>60</w:t>
            </w:r>
            <w:r>
              <w:rPr>
                <w:rFonts w:hint="eastAsia" w:ascii="宋体" w:hAnsi="宋体" w:cs="宋体"/>
                <w:sz w:val="24"/>
                <w:highlight w:val="none"/>
                <w:u w:val="none"/>
              </w:rPr>
              <w:t>日</w:t>
            </w:r>
            <w:r>
              <w:rPr>
                <w:rFonts w:hint="eastAsia" w:ascii="宋体" w:hAnsi="宋体" w:cs="宋体"/>
                <w:sz w:val="24"/>
                <w:highlight w:val="none"/>
              </w:rPr>
              <w:t>历天。</w:t>
            </w:r>
          </w:p>
        </w:tc>
      </w:tr>
      <w:tr w14:paraId="3636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6A9AEBA7">
            <w:pPr>
              <w:spacing w:line="300" w:lineRule="auto"/>
              <w:jc w:val="center"/>
              <w:rPr>
                <w:rFonts w:ascii="宋体" w:hAnsi="宋体" w:cs="宋体"/>
                <w:b/>
                <w:sz w:val="24"/>
                <w:highlight w:val="none"/>
              </w:rPr>
            </w:pPr>
            <w:r>
              <w:rPr>
                <w:rFonts w:hint="eastAsia" w:ascii="宋体" w:hAnsi="宋体" w:cs="宋体"/>
                <w:b/>
                <w:sz w:val="24"/>
                <w:highlight w:val="none"/>
              </w:rPr>
              <w:t>7</w:t>
            </w:r>
          </w:p>
        </w:tc>
        <w:tc>
          <w:tcPr>
            <w:tcW w:w="1533" w:type="dxa"/>
            <w:tcBorders>
              <w:tl2br w:val="nil"/>
              <w:tr2bl w:val="nil"/>
            </w:tcBorders>
            <w:shd w:val="clear" w:color="auto" w:fill="auto"/>
            <w:vAlign w:val="center"/>
          </w:tcPr>
          <w:p w14:paraId="7A0E575A">
            <w:pPr>
              <w:spacing w:line="300" w:lineRule="auto"/>
              <w:jc w:val="center"/>
              <w:rPr>
                <w:rFonts w:ascii="宋体" w:hAnsi="宋体" w:cs="宋体"/>
                <w:b/>
                <w:sz w:val="24"/>
                <w:highlight w:val="none"/>
              </w:rPr>
            </w:pPr>
            <w:r>
              <w:rPr>
                <w:rFonts w:hint="eastAsia" w:ascii="宋体" w:hAnsi="宋体" w:cs="宋体"/>
                <w:b/>
                <w:sz w:val="24"/>
                <w:highlight w:val="none"/>
              </w:rPr>
              <w:t>投标报价</w:t>
            </w:r>
          </w:p>
          <w:p w14:paraId="69ED894B">
            <w:pPr>
              <w:spacing w:line="300" w:lineRule="auto"/>
              <w:jc w:val="center"/>
              <w:rPr>
                <w:rFonts w:ascii="宋体" w:hAnsi="宋体" w:cs="宋体"/>
                <w:b/>
                <w:sz w:val="24"/>
                <w:highlight w:val="none"/>
              </w:rPr>
            </w:pPr>
            <w:r>
              <w:rPr>
                <w:rFonts w:hint="eastAsia" w:ascii="宋体" w:hAnsi="宋体" w:cs="宋体"/>
                <w:b/>
                <w:sz w:val="24"/>
                <w:highlight w:val="none"/>
              </w:rPr>
              <w:t>与费用</w:t>
            </w:r>
          </w:p>
        </w:tc>
        <w:tc>
          <w:tcPr>
            <w:tcW w:w="7999" w:type="dxa"/>
            <w:tcBorders>
              <w:tl2br w:val="nil"/>
              <w:tr2bl w:val="nil"/>
            </w:tcBorders>
            <w:shd w:val="clear" w:color="auto" w:fill="auto"/>
            <w:vAlign w:val="center"/>
          </w:tcPr>
          <w:p w14:paraId="67A2312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highlight w:val="none"/>
                <w:u w:val="single"/>
              </w:rPr>
            </w:pPr>
            <w:r>
              <w:rPr>
                <w:rFonts w:hint="eastAsia" w:ascii="宋体" w:hAnsi="宋体" w:cs="宋体"/>
                <w:sz w:val="24"/>
                <w:highlight w:val="none"/>
              </w:rPr>
              <w:t>1、本项目磋商应以人民币报价；2、不论磋商结果如何，供应商均应自行承担所有与磋商有关的全部费用；3、本项目</w:t>
            </w:r>
            <w:r>
              <w:rPr>
                <w:rFonts w:hint="eastAsia" w:ascii="宋体" w:hAnsi="宋体"/>
                <w:color w:val="000000"/>
                <w:sz w:val="24"/>
                <w:highlight w:val="none"/>
              </w:rPr>
              <w:t>代理服务费</w:t>
            </w:r>
            <w:r>
              <w:rPr>
                <w:rFonts w:hint="eastAsia" w:ascii="宋体" w:hAnsi="宋体" w:cs="宋体"/>
                <w:sz w:val="24"/>
                <w:highlight w:val="none"/>
                <w:lang w:val="en-US" w:eastAsia="zh-CN"/>
              </w:rPr>
              <w:t>5800</w:t>
            </w:r>
            <w:r>
              <w:rPr>
                <w:rFonts w:hint="eastAsia" w:ascii="宋体" w:hAnsi="宋体" w:cs="宋体"/>
                <w:sz w:val="24"/>
                <w:highlight w:val="none"/>
              </w:rPr>
              <w:t>元整，由成交供应商支付</w:t>
            </w:r>
            <w:r>
              <w:rPr>
                <w:rFonts w:hint="eastAsia" w:ascii="宋体" w:hAnsi="宋体" w:cs="宋体"/>
                <w:sz w:val="24"/>
                <w:highlight w:val="none"/>
                <w:lang w:eastAsia="zh-CN"/>
              </w:rPr>
              <w:t>，</w:t>
            </w:r>
            <w:r>
              <w:rPr>
                <w:rFonts w:hint="eastAsia" w:ascii="宋体" w:hAnsi="宋体"/>
                <w:color w:val="000000"/>
                <w:sz w:val="24"/>
                <w:highlight w:val="none"/>
              </w:rPr>
              <w:t>报价</w:t>
            </w:r>
            <w:r>
              <w:rPr>
                <w:rFonts w:hint="eastAsia" w:ascii="宋体" w:hAnsi="宋体"/>
                <w:color w:val="000000"/>
                <w:sz w:val="24"/>
                <w:highlight w:val="none"/>
                <w:lang w:eastAsia="zh-CN"/>
              </w:rPr>
              <w:t>时</w:t>
            </w:r>
            <w:r>
              <w:rPr>
                <w:rFonts w:hint="eastAsia" w:ascii="宋体" w:hAnsi="宋体"/>
                <w:color w:val="000000"/>
                <w:sz w:val="24"/>
                <w:highlight w:val="none"/>
              </w:rPr>
              <w:t>自行考虑列入</w:t>
            </w:r>
            <w:r>
              <w:rPr>
                <w:rFonts w:hint="eastAsia" w:ascii="宋体" w:hAnsi="宋体" w:cs="宋体"/>
                <w:sz w:val="24"/>
                <w:highlight w:val="none"/>
              </w:rPr>
              <w:t>。</w:t>
            </w:r>
          </w:p>
        </w:tc>
      </w:tr>
      <w:tr w14:paraId="4DBC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18" w:hRule="atLeast"/>
          <w:tblCellSpacing w:w="7" w:type="dxa"/>
          <w:jc w:val="center"/>
        </w:trPr>
        <w:tc>
          <w:tcPr>
            <w:tcW w:w="688" w:type="dxa"/>
            <w:tcBorders>
              <w:tl2br w:val="nil"/>
              <w:tr2bl w:val="nil"/>
            </w:tcBorders>
            <w:shd w:val="clear" w:color="auto" w:fill="auto"/>
            <w:vAlign w:val="center"/>
          </w:tcPr>
          <w:p w14:paraId="5C6136AE">
            <w:pPr>
              <w:spacing w:line="300" w:lineRule="auto"/>
              <w:jc w:val="center"/>
              <w:rPr>
                <w:rFonts w:ascii="宋体" w:hAnsi="宋体" w:cs="宋体"/>
                <w:b/>
                <w:sz w:val="24"/>
                <w:highlight w:val="none"/>
              </w:rPr>
            </w:pPr>
            <w:r>
              <w:rPr>
                <w:rFonts w:hint="eastAsia" w:ascii="宋体" w:hAnsi="宋体" w:cs="宋体"/>
                <w:b/>
                <w:sz w:val="24"/>
                <w:highlight w:val="none"/>
              </w:rPr>
              <w:t>8</w:t>
            </w:r>
          </w:p>
        </w:tc>
        <w:tc>
          <w:tcPr>
            <w:tcW w:w="1533" w:type="dxa"/>
            <w:tcBorders>
              <w:tl2br w:val="nil"/>
              <w:tr2bl w:val="nil"/>
            </w:tcBorders>
            <w:shd w:val="clear" w:color="auto" w:fill="auto"/>
            <w:vAlign w:val="center"/>
          </w:tcPr>
          <w:p w14:paraId="56B22E8B">
            <w:pPr>
              <w:jc w:val="center"/>
              <w:rPr>
                <w:rFonts w:ascii="宋体" w:hAnsi="宋体" w:cs="宋体"/>
                <w:b/>
                <w:sz w:val="24"/>
                <w:highlight w:val="none"/>
              </w:rPr>
            </w:pPr>
            <w:r>
              <w:rPr>
                <w:rFonts w:hint="eastAsia" w:ascii="宋体" w:hAnsi="宋体" w:cs="宋体"/>
                <w:b/>
                <w:sz w:val="24"/>
                <w:highlight w:val="none"/>
              </w:rPr>
              <w:t>磋商答疑时间</w:t>
            </w:r>
          </w:p>
        </w:tc>
        <w:tc>
          <w:tcPr>
            <w:tcW w:w="7999" w:type="dxa"/>
            <w:tcBorders>
              <w:tl2br w:val="nil"/>
              <w:tr2bl w:val="nil"/>
            </w:tcBorders>
            <w:shd w:val="clear" w:color="auto" w:fill="auto"/>
            <w:vAlign w:val="center"/>
          </w:tcPr>
          <w:p w14:paraId="403D7F8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highlight w:val="none"/>
                <w:u w:val="single"/>
              </w:rPr>
            </w:pPr>
            <w:r>
              <w:rPr>
                <w:rFonts w:hint="eastAsia" w:ascii="宋体" w:hAnsi="宋体" w:cs="宋体"/>
                <w:color w:val="000000"/>
                <w:sz w:val="24"/>
                <w:highlight w:val="none"/>
              </w:rPr>
              <w:t>供应商按照规定方式获取磋商文件的，可以自获取磋商文件之日或者磋商文件公告期限届满之日（公告发布后的第6个工作日）起7个工作日内且在提交响应文件截止时间当天之前，以书面形式向采购人或采购代理机构提出质疑。质疑供应商对采购人、采购代理机构的答复不满意，或者采购人、采购代理机构未在规定时间内作出答复的，可以在答复期满后15个工作日内向同级财政部门提起投诉。“规定方式获取磋商文件”是指：供应商按本项目磋商公告要求申请获取磋商文件通过后下载磋商文件。</w:t>
            </w:r>
          </w:p>
        </w:tc>
      </w:tr>
      <w:tr w14:paraId="7E12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00FA1FE8">
            <w:pPr>
              <w:spacing w:line="300" w:lineRule="auto"/>
              <w:jc w:val="center"/>
              <w:rPr>
                <w:rFonts w:ascii="宋体" w:hAnsi="宋体" w:cs="宋体"/>
                <w:b/>
                <w:sz w:val="24"/>
                <w:highlight w:val="none"/>
              </w:rPr>
            </w:pPr>
            <w:r>
              <w:rPr>
                <w:rFonts w:hint="eastAsia" w:ascii="宋体" w:hAnsi="宋体" w:cs="宋体"/>
                <w:b/>
                <w:sz w:val="24"/>
                <w:highlight w:val="none"/>
              </w:rPr>
              <w:t>9</w:t>
            </w:r>
          </w:p>
        </w:tc>
        <w:tc>
          <w:tcPr>
            <w:tcW w:w="1533" w:type="dxa"/>
            <w:tcBorders>
              <w:tl2br w:val="nil"/>
              <w:tr2bl w:val="nil"/>
            </w:tcBorders>
            <w:shd w:val="clear" w:color="auto" w:fill="auto"/>
            <w:vAlign w:val="center"/>
          </w:tcPr>
          <w:p w14:paraId="757FF5C7">
            <w:pPr>
              <w:spacing w:line="300" w:lineRule="auto"/>
              <w:jc w:val="center"/>
              <w:rPr>
                <w:rFonts w:ascii="宋体" w:hAnsi="宋体" w:cs="宋体"/>
                <w:b/>
                <w:sz w:val="24"/>
                <w:highlight w:val="none"/>
              </w:rPr>
            </w:pPr>
            <w:r>
              <w:rPr>
                <w:rFonts w:hint="eastAsia" w:ascii="宋体" w:hAnsi="宋体" w:cs="宋体"/>
                <w:b/>
                <w:sz w:val="24"/>
                <w:highlight w:val="none"/>
                <w:lang w:bidi="ar"/>
              </w:rPr>
              <w:t>响应文件的组成</w:t>
            </w:r>
          </w:p>
        </w:tc>
        <w:tc>
          <w:tcPr>
            <w:tcW w:w="7999" w:type="dxa"/>
            <w:tcBorders>
              <w:tl2br w:val="nil"/>
              <w:tr2bl w:val="nil"/>
            </w:tcBorders>
            <w:shd w:val="clear" w:color="auto" w:fill="auto"/>
            <w:vAlign w:val="center"/>
          </w:tcPr>
          <w:p w14:paraId="28EFE689">
            <w:pPr>
              <w:spacing w:line="300" w:lineRule="auto"/>
              <w:rPr>
                <w:rFonts w:ascii="宋体" w:hAnsi="宋体" w:cs="宋体"/>
                <w:sz w:val="24"/>
                <w:highlight w:val="none"/>
              </w:rPr>
            </w:pPr>
            <w:r>
              <w:rPr>
                <w:rFonts w:hint="eastAsia" w:ascii="宋体" w:hAnsi="宋体" w:cs="宋体"/>
                <w:sz w:val="24"/>
                <w:highlight w:val="none"/>
              </w:rPr>
              <w:t>本项目实行全流程电子招投标。</w:t>
            </w:r>
          </w:p>
          <w:p w14:paraId="2D14FAA9">
            <w:pPr>
              <w:spacing w:line="300" w:lineRule="auto"/>
              <w:rPr>
                <w:rFonts w:ascii="宋体" w:hAnsi="宋体" w:cs="宋体"/>
                <w:sz w:val="24"/>
                <w:highlight w:val="none"/>
              </w:rPr>
            </w:pPr>
            <w:r>
              <w:rPr>
                <w:rFonts w:hint="eastAsia" w:ascii="宋体" w:hAnsi="宋体" w:cs="宋体"/>
                <w:sz w:val="24"/>
                <w:highlight w:val="none"/>
              </w:rPr>
              <w:t>供应商应准备电子响应文件，以介质存储的数据电文形式备份响应文件：</w:t>
            </w:r>
          </w:p>
          <w:p w14:paraId="56ED5FC8">
            <w:pPr>
              <w:numPr>
                <w:ilvl w:val="0"/>
                <w:numId w:val="9"/>
              </w:numPr>
              <w:spacing w:line="300" w:lineRule="auto"/>
              <w:rPr>
                <w:rFonts w:ascii="宋体" w:hAnsi="宋体" w:cs="宋体"/>
                <w:sz w:val="24"/>
                <w:highlight w:val="none"/>
              </w:rPr>
            </w:pPr>
            <w:r>
              <w:rPr>
                <w:rFonts w:hint="eastAsia" w:ascii="宋体" w:hAnsi="宋体" w:cs="宋体"/>
                <w:sz w:val="24"/>
                <w:highlight w:val="none"/>
              </w:rPr>
              <w:t>电子响应文件，按政采云供应商项目采购-电子招投标操作指南及本磋商文件要求制作，加密并递交。</w:t>
            </w:r>
          </w:p>
          <w:p w14:paraId="69E3DDA1">
            <w:pPr>
              <w:spacing w:line="300" w:lineRule="auto"/>
              <w:rPr>
                <w:rFonts w:ascii="宋体" w:hAnsi="宋体" w:cs="宋体"/>
                <w:sz w:val="24"/>
                <w:highlight w:val="none"/>
              </w:rPr>
            </w:pPr>
            <w:r>
              <w:rPr>
                <w:rFonts w:hint="eastAsia" w:ascii="宋体" w:hAnsi="宋体" w:cs="宋体"/>
                <w:sz w:val="24"/>
                <w:highlight w:val="none"/>
              </w:rPr>
              <w:t>（2）如提供备份文件的：以介质存储的数据电文形式的备份响应文件，按政采云供应商项目采购-电子招投标操作指南中制作的电子响应文件，以U盘形式提供数量为1份。</w:t>
            </w:r>
          </w:p>
          <w:p w14:paraId="038F2208">
            <w:pPr>
              <w:pStyle w:val="11"/>
              <w:ind w:firstLine="0" w:firstLineChars="0"/>
              <w:rPr>
                <w:rFonts w:ascii="宋体" w:hAnsi="宋体" w:cs="宋体"/>
                <w:b/>
                <w:highlight w:val="none"/>
                <w:u w:val="single"/>
              </w:rPr>
            </w:pPr>
            <w:r>
              <w:rPr>
                <w:rFonts w:hint="eastAsia" w:ascii="宋体" w:hAnsi="宋体" w:cs="宋体"/>
                <w:b/>
                <w:highlight w:val="none"/>
                <w:u w:val="single"/>
              </w:rPr>
              <w:t>响应文件均由《资格文件》、《商务技术文件》、《报价文件》三部分组成。</w:t>
            </w:r>
          </w:p>
          <w:p w14:paraId="079CF840">
            <w:pPr>
              <w:rPr>
                <w:rFonts w:ascii="宋体" w:hAnsi="宋体" w:cs="宋体"/>
                <w:sz w:val="24"/>
                <w:highlight w:val="none"/>
              </w:rPr>
            </w:pPr>
            <w:r>
              <w:rPr>
                <w:rFonts w:hint="eastAsia" w:ascii="宋体" w:hAnsi="宋体" w:cs="宋体"/>
                <w:sz w:val="24"/>
                <w:highlight w:val="none"/>
              </w:rPr>
              <w:t>备份响应文件以邮寄方式递交</w:t>
            </w:r>
          </w:p>
          <w:p w14:paraId="13E23870">
            <w:pPr>
              <w:snapToGrid w:val="0"/>
              <w:spacing w:line="273" w:lineRule="auto"/>
              <w:rPr>
                <w:rFonts w:ascii="宋体" w:hAnsi="宋体" w:cs="宋体"/>
                <w:highlight w:val="none"/>
              </w:rPr>
            </w:pPr>
            <w:r>
              <w:rPr>
                <w:rFonts w:hint="eastAsia" w:ascii="宋体" w:hAnsi="宋体" w:cs="宋体"/>
                <w:sz w:val="24"/>
                <w:highlight w:val="none"/>
              </w:rPr>
              <w:t>仅提供备份响应文件的，投标无效。</w:t>
            </w:r>
          </w:p>
        </w:tc>
      </w:tr>
      <w:tr w14:paraId="0B5C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623103FD">
            <w:pPr>
              <w:spacing w:line="300" w:lineRule="auto"/>
              <w:jc w:val="center"/>
              <w:rPr>
                <w:rFonts w:ascii="宋体" w:hAnsi="宋体" w:cs="宋体"/>
                <w:b/>
                <w:sz w:val="24"/>
                <w:highlight w:val="none"/>
              </w:rPr>
            </w:pPr>
            <w:r>
              <w:rPr>
                <w:rFonts w:hint="eastAsia" w:ascii="宋体" w:hAnsi="宋体" w:cs="宋体"/>
                <w:b/>
                <w:sz w:val="24"/>
                <w:highlight w:val="none"/>
              </w:rPr>
              <w:t>10</w:t>
            </w:r>
          </w:p>
        </w:tc>
        <w:tc>
          <w:tcPr>
            <w:tcW w:w="1533" w:type="dxa"/>
            <w:tcBorders>
              <w:tl2br w:val="nil"/>
              <w:tr2bl w:val="nil"/>
            </w:tcBorders>
            <w:shd w:val="clear" w:color="auto" w:fill="auto"/>
            <w:vAlign w:val="center"/>
          </w:tcPr>
          <w:p w14:paraId="639474BA">
            <w:pPr>
              <w:spacing w:line="300" w:lineRule="auto"/>
              <w:jc w:val="center"/>
              <w:rPr>
                <w:rFonts w:ascii="宋体" w:hAnsi="宋体" w:cs="宋体"/>
                <w:b/>
                <w:color w:val="00B050"/>
                <w:sz w:val="24"/>
                <w:highlight w:val="none"/>
                <w:lang w:bidi="ar"/>
              </w:rPr>
            </w:pPr>
            <w:r>
              <w:rPr>
                <w:rFonts w:hint="eastAsia" w:ascii="宋体" w:hAnsi="宋体" w:cs="宋体"/>
                <w:b/>
                <w:sz w:val="24"/>
                <w:highlight w:val="none"/>
                <w:lang w:bidi="ar"/>
              </w:rPr>
              <w:t>响应文件的上传、解密及澄清说明</w:t>
            </w:r>
          </w:p>
        </w:tc>
        <w:tc>
          <w:tcPr>
            <w:tcW w:w="7999" w:type="dxa"/>
            <w:tcBorders>
              <w:tl2br w:val="nil"/>
              <w:tr2bl w:val="nil"/>
            </w:tcBorders>
            <w:shd w:val="clear" w:color="auto" w:fill="auto"/>
            <w:vAlign w:val="center"/>
          </w:tcPr>
          <w:p w14:paraId="475A3636">
            <w:pPr>
              <w:pStyle w:val="11"/>
              <w:ind w:firstLine="0" w:firstLineChars="0"/>
              <w:rPr>
                <w:rFonts w:ascii="宋体" w:hAnsi="宋体" w:cs="宋体"/>
                <w:bCs w:val="0"/>
                <w:highlight w:val="none"/>
              </w:rPr>
            </w:pPr>
            <w:r>
              <w:rPr>
                <w:rFonts w:hint="eastAsia" w:ascii="宋体" w:hAnsi="宋体" w:cs="宋体"/>
                <w:highlight w:val="none"/>
              </w:rPr>
              <w:t>1</w:t>
            </w:r>
            <w:r>
              <w:rPr>
                <w:rFonts w:hint="eastAsia" w:ascii="宋体" w:hAnsi="宋体" w:cs="宋体"/>
                <w:bCs w:val="0"/>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政府采购云平台（www.zcygov.cn）”）将予以拒收。</w:t>
            </w:r>
          </w:p>
          <w:p w14:paraId="6613AE3C">
            <w:pPr>
              <w:pStyle w:val="11"/>
              <w:ind w:firstLine="0" w:firstLineChars="0"/>
              <w:rPr>
                <w:rFonts w:ascii="宋体" w:hAnsi="宋体" w:cs="宋体"/>
                <w:bCs w:val="0"/>
                <w:highlight w:val="none"/>
              </w:rPr>
            </w:pPr>
            <w:r>
              <w:rPr>
                <w:rFonts w:hint="eastAsia" w:ascii="宋体" w:hAnsi="宋体" w:cs="宋体"/>
                <w:bCs w:val="0"/>
                <w:highlight w:val="none"/>
              </w:rPr>
              <w:t>2、采购组织机构按照采购文件规定的时间通过电子交易平台（“政府采购云平台（www.zcygov.cn）”）组织开启响应文件，所有供应商均应当准时在线参加。</w:t>
            </w:r>
          </w:p>
          <w:p w14:paraId="04E9173E">
            <w:pPr>
              <w:pStyle w:val="11"/>
              <w:ind w:firstLine="0" w:firstLineChars="0"/>
              <w:rPr>
                <w:rFonts w:ascii="宋体" w:hAnsi="宋体" w:cs="宋体"/>
                <w:bCs w:val="0"/>
                <w:highlight w:val="none"/>
              </w:rPr>
            </w:pPr>
            <w:r>
              <w:rPr>
                <w:rFonts w:hint="eastAsia" w:ascii="宋体" w:hAnsi="宋体" w:cs="宋体"/>
                <w:bCs w:val="0"/>
                <w:highlight w:val="none"/>
              </w:rPr>
              <w:t>3、开启响应文件时，电子交易平台自动提取所有响应文件，提示采购组织机构和供应商按采购文件规定的方式和时间在线解密。给予供应商在线解密的时间为30分钟。</w:t>
            </w:r>
          </w:p>
          <w:p w14:paraId="6984608A">
            <w:pPr>
              <w:pStyle w:val="11"/>
              <w:ind w:firstLine="0" w:firstLineChars="0"/>
              <w:rPr>
                <w:rFonts w:ascii="宋体" w:hAnsi="宋体" w:cs="宋体"/>
                <w:bCs w:val="0"/>
                <w:highlight w:val="none"/>
              </w:rPr>
            </w:pPr>
            <w:r>
              <w:rPr>
                <w:rFonts w:hint="eastAsia" w:ascii="宋体" w:hAnsi="宋体" w:cs="宋体"/>
                <w:bCs w:val="0"/>
                <w:highlight w:val="none"/>
              </w:rPr>
              <w:t>4、响应文件未按时解密，供应商提供了备份响应文件的，以备份响应文件作为依据，否则视为响应文件撤回。响应文件已按时解密的，备份响应文件自动失效。</w:t>
            </w:r>
          </w:p>
          <w:p w14:paraId="5FBF93E8">
            <w:pPr>
              <w:pStyle w:val="11"/>
              <w:ind w:firstLine="0" w:firstLineChars="0"/>
              <w:rPr>
                <w:rFonts w:ascii="宋体" w:hAnsi="宋体" w:cs="宋体"/>
                <w:highlight w:val="none"/>
              </w:rPr>
            </w:pPr>
            <w:r>
              <w:rPr>
                <w:rFonts w:hint="eastAsia" w:ascii="宋体" w:hAnsi="宋体" w:cs="宋体"/>
                <w:bCs w:val="0"/>
                <w:highlight w:val="none"/>
              </w:rPr>
              <w:t>5、评审中需要供应商对响应文件作出澄清、说明或者补正的，评审小组和供应商应当通过电子交易平台交换数据电文。给予供应商提交澄清说明或补正的时间为30分钟，供应商已经明确表示澄清说明或补正完毕的除外。</w:t>
            </w:r>
          </w:p>
        </w:tc>
      </w:tr>
      <w:tr w14:paraId="630A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1FF2CB7F">
            <w:pPr>
              <w:spacing w:line="300" w:lineRule="auto"/>
              <w:jc w:val="center"/>
              <w:rPr>
                <w:rFonts w:ascii="宋体" w:hAnsi="宋体" w:cs="宋体"/>
                <w:b/>
                <w:sz w:val="24"/>
                <w:highlight w:val="none"/>
              </w:rPr>
            </w:pPr>
            <w:r>
              <w:rPr>
                <w:rFonts w:hint="eastAsia" w:ascii="宋体" w:hAnsi="宋体" w:cs="宋体"/>
                <w:b/>
                <w:sz w:val="24"/>
                <w:highlight w:val="none"/>
              </w:rPr>
              <w:t>11</w:t>
            </w:r>
          </w:p>
        </w:tc>
        <w:tc>
          <w:tcPr>
            <w:tcW w:w="1533" w:type="dxa"/>
            <w:tcBorders>
              <w:tl2br w:val="nil"/>
              <w:tr2bl w:val="nil"/>
            </w:tcBorders>
            <w:shd w:val="clear" w:color="auto" w:fill="auto"/>
            <w:vAlign w:val="center"/>
          </w:tcPr>
          <w:p w14:paraId="3A1C5B2C">
            <w:pPr>
              <w:spacing w:line="300" w:lineRule="auto"/>
              <w:jc w:val="center"/>
              <w:rPr>
                <w:rFonts w:ascii="宋体" w:hAnsi="宋体" w:cs="宋体"/>
                <w:b/>
                <w:sz w:val="24"/>
                <w:highlight w:val="none"/>
              </w:rPr>
            </w:pPr>
            <w:r>
              <w:rPr>
                <w:rFonts w:hint="eastAsia" w:ascii="宋体" w:hAnsi="宋体" w:cs="宋体"/>
                <w:b/>
                <w:sz w:val="24"/>
                <w:highlight w:val="none"/>
                <w:lang w:bidi="ar"/>
              </w:rPr>
              <w:t>备份</w:t>
            </w:r>
            <w:r>
              <w:rPr>
                <w:rFonts w:hint="eastAsia" w:ascii="宋体" w:hAnsi="宋体" w:cs="宋体"/>
                <w:b/>
                <w:sz w:val="24"/>
                <w:highlight w:val="none"/>
              </w:rPr>
              <w:t>响应文件</w:t>
            </w:r>
          </w:p>
          <w:p w14:paraId="17A01BC8">
            <w:pPr>
              <w:spacing w:line="300" w:lineRule="auto"/>
              <w:jc w:val="center"/>
              <w:rPr>
                <w:rFonts w:ascii="宋体" w:hAnsi="宋体" w:cs="宋体"/>
                <w:b/>
                <w:color w:val="00B050"/>
                <w:sz w:val="24"/>
                <w:highlight w:val="none"/>
                <w:lang w:bidi="ar"/>
              </w:rPr>
            </w:pPr>
            <w:r>
              <w:rPr>
                <w:rFonts w:hint="eastAsia" w:ascii="宋体" w:hAnsi="宋体" w:cs="宋体"/>
                <w:b/>
                <w:sz w:val="24"/>
                <w:highlight w:val="none"/>
              </w:rPr>
              <w:t>的包装</w:t>
            </w:r>
          </w:p>
        </w:tc>
        <w:tc>
          <w:tcPr>
            <w:tcW w:w="7999" w:type="dxa"/>
            <w:tcBorders>
              <w:tl2br w:val="nil"/>
              <w:tr2bl w:val="nil"/>
            </w:tcBorders>
            <w:shd w:val="clear" w:color="auto" w:fill="auto"/>
            <w:vAlign w:val="center"/>
          </w:tcPr>
          <w:p w14:paraId="3E47F205">
            <w:pPr>
              <w:pStyle w:val="11"/>
              <w:ind w:firstLine="0" w:firstLineChars="0"/>
              <w:rPr>
                <w:rFonts w:ascii="宋体" w:hAnsi="宋体" w:cs="宋体"/>
                <w:bCs w:val="0"/>
                <w:highlight w:val="none"/>
              </w:rPr>
            </w:pPr>
            <w:r>
              <w:rPr>
                <w:rFonts w:hint="eastAsia" w:ascii="宋体" w:hAnsi="宋体" w:cs="宋体"/>
                <w:bCs w:val="0"/>
                <w:highlight w:val="none"/>
              </w:rPr>
              <w:t>备份响应文件（如有）应按照本文件要求包装、密封后在开标前邮寄送达，U盘（以介质存储的数据电文形式的备份响应文件）（如有）装入包封袋中进行邮寄。邮寄时，总的外包封袋上可不注明投标单位名称，但应注明投标单位的联系人、联系电话及投标项目名称。</w:t>
            </w:r>
          </w:p>
        </w:tc>
      </w:tr>
      <w:tr w14:paraId="7336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647E8FA4">
            <w:pPr>
              <w:spacing w:line="300" w:lineRule="auto"/>
              <w:jc w:val="center"/>
              <w:rPr>
                <w:rFonts w:ascii="宋体" w:hAnsi="宋体" w:cs="宋体"/>
                <w:b/>
                <w:sz w:val="24"/>
                <w:highlight w:val="none"/>
              </w:rPr>
            </w:pPr>
            <w:r>
              <w:rPr>
                <w:rFonts w:hint="eastAsia" w:ascii="宋体" w:hAnsi="宋体" w:cs="宋体"/>
                <w:b/>
                <w:sz w:val="24"/>
                <w:highlight w:val="none"/>
              </w:rPr>
              <w:t>12</w:t>
            </w:r>
          </w:p>
        </w:tc>
        <w:tc>
          <w:tcPr>
            <w:tcW w:w="1533" w:type="dxa"/>
            <w:tcBorders>
              <w:tl2br w:val="nil"/>
              <w:tr2bl w:val="nil"/>
            </w:tcBorders>
            <w:shd w:val="clear" w:color="auto" w:fill="auto"/>
            <w:vAlign w:val="center"/>
          </w:tcPr>
          <w:p w14:paraId="19F179D9">
            <w:pPr>
              <w:spacing w:line="300" w:lineRule="auto"/>
              <w:jc w:val="center"/>
              <w:rPr>
                <w:rFonts w:ascii="宋体" w:hAnsi="宋体" w:cs="宋体"/>
                <w:b/>
                <w:sz w:val="24"/>
                <w:highlight w:val="none"/>
              </w:rPr>
            </w:pPr>
            <w:r>
              <w:rPr>
                <w:rFonts w:hint="eastAsia" w:ascii="宋体" w:hAnsi="宋体" w:cs="宋体"/>
                <w:b/>
                <w:sz w:val="24"/>
                <w:highlight w:val="none"/>
                <w:lang w:bidi="ar"/>
              </w:rPr>
              <w:t>响应文件的递交</w:t>
            </w:r>
          </w:p>
        </w:tc>
        <w:tc>
          <w:tcPr>
            <w:tcW w:w="7999" w:type="dxa"/>
            <w:tcBorders>
              <w:tl2br w:val="nil"/>
              <w:tr2bl w:val="nil"/>
            </w:tcBorders>
            <w:shd w:val="clear" w:color="auto" w:fill="auto"/>
            <w:vAlign w:val="center"/>
          </w:tcPr>
          <w:p w14:paraId="6EA56AC0">
            <w:pPr>
              <w:adjustRightInd w:val="0"/>
              <w:snapToGrid w:val="0"/>
              <w:spacing w:before="120" w:beforeLines="50" w:after="120" w:afterLines="50" w:line="300" w:lineRule="auto"/>
              <w:ind w:firstLine="480" w:firstLineChars="200"/>
              <w:rPr>
                <w:rFonts w:ascii="宋体" w:hAnsi="宋体" w:cs="宋体"/>
                <w:sz w:val="24"/>
                <w:highlight w:val="none"/>
              </w:rPr>
            </w:pPr>
            <w:r>
              <w:rPr>
                <w:rFonts w:hint="eastAsia" w:ascii="宋体" w:hAnsi="宋体" w:cs="宋体"/>
                <w:sz w:val="24"/>
                <w:highlight w:val="none"/>
                <w:lang w:bidi="ar"/>
              </w:rPr>
              <w:t>供应商如果提供备份响应文件的，应当在磋商响应截止时间前将备份响应文件密封通过邮寄方式送交到湖州市星洲国际10幢5楼，联系人：杨女士；联系电话：0572-2567859，采购人由二名人员（一名接收人、一名监督人员）统一负责接收磋商响应文件至专门的监控室，二人均在接收记录单上对响应文件快递包裹的相关情况签字确认，与投标资料一并归档，接收文件全过程将录音录像。逾期送达或未按磋商文件递交的将被拒收。</w:t>
            </w:r>
          </w:p>
          <w:p w14:paraId="5824490C">
            <w:pPr>
              <w:snapToGrid w:val="0"/>
              <w:spacing w:line="300" w:lineRule="auto"/>
              <w:ind w:firstLine="480" w:firstLineChars="200"/>
              <w:jc w:val="left"/>
              <w:rPr>
                <w:rFonts w:ascii="宋体" w:hAnsi="宋体" w:cs="宋体"/>
                <w:sz w:val="24"/>
                <w:highlight w:val="none"/>
              </w:rPr>
            </w:pPr>
            <w:r>
              <w:rPr>
                <w:rFonts w:hint="eastAsia" w:ascii="宋体" w:hAnsi="宋体" w:cs="宋体"/>
                <w:sz w:val="24"/>
                <w:highlight w:val="none"/>
                <w:lang w:bidi="ar"/>
              </w:rPr>
              <w:t>供应商递交备份响应文件时，如出现下列情况之一的，将被拒收：</w:t>
            </w:r>
          </w:p>
          <w:p w14:paraId="1406A25D">
            <w:pPr>
              <w:snapToGrid w:val="0"/>
              <w:spacing w:line="300" w:lineRule="auto"/>
              <w:ind w:firstLine="480" w:firstLineChars="200"/>
              <w:jc w:val="left"/>
              <w:rPr>
                <w:rFonts w:ascii="宋体" w:hAnsi="宋体" w:cs="宋体"/>
                <w:sz w:val="24"/>
                <w:highlight w:val="none"/>
              </w:rPr>
            </w:pPr>
            <w:r>
              <w:rPr>
                <w:rFonts w:hint="eastAsia" w:ascii="宋体" w:hAnsi="宋体" w:cs="宋体"/>
                <w:sz w:val="24"/>
                <w:highlight w:val="none"/>
                <w:lang w:bidi="ar"/>
              </w:rPr>
              <w:t>1、未按规定密封或标记的响应文件；</w:t>
            </w:r>
          </w:p>
          <w:p w14:paraId="47192380">
            <w:pPr>
              <w:snapToGrid w:val="0"/>
              <w:spacing w:line="300" w:lineRule="auto"/>
              <w:ind w:firstLine="480" w:firstLineChars="200"/>
              <w:jc w:val="left"/>
              <w:rPr>
                <w:rFonts w:ascii="宋体" w:hAnsi="宋体" w:cs="宋体"/>
                <w:sz w:val="24"/>
                <w:highlight w:val="none"/>
              </w:rPr>
            </w:pPr>
            <w:r>
              <w:rPr>
                <w:rFonts w:hint="eastAsia" w:ascii="宋体" w:hAnsi="宋体" w:cs="宋体"/>
                <w:sz w:val="24"/>
                <w:highlight w:val="none"/>
                <w:lang w:bidi="ar"/>
              </w:rPr>
              <w:t>2、由于包装不妥，在送交途中严重破损或失散的；</w:t>
            </w:r>
          </w:p>
          <w:p w14:paraId="2F8508B8">
            <w:pPr>
              <w:snapToGrid w:val="0"/>
              <w:spacing w:line="300" w:lineRule="auto"/>
              <w:ind w:firstLine="480" w:firstLineChars="200"/>
              <w:jc w:val="left"/>
              <w:rPr>
                <w:rFonts w:ascii="宋体" w:hAnsi="宋体" w:cs="宋体"/>
                <w:sz w:val="24"/>
                <w:highlight w:val="none"/>
              </w:rPr>
            </w:pPr>
            <w:r>
              <w:rPr>
                <w:rFonts w:hint="eastAsia" w:ascii="宋体" w:hAnsi="宋体" w:cs="宋体"/>
                <w:sz w:val="24"/>
                <w:highlight w:val="none"/>
                <w:lang w:bidi="ar"/>
              </w:rPr>
              <w:t>3、超过磋商响应截止时间送达的。</w:t>
            </w:r>
          </w:p>
          <w:p w14:paraId="4AD85DFC">
            <w:pPr>
              <w:autoSpaceDE w:val="0"/>
              <w:autoSpaceDN w:val="0"/>
              <w:snapToGrid w:val="0"/>
              <w:spacing w:line="300" w:lineRule="auto"/>
              <w:ind w:firstLine="480" w:firstLineChars="200"/>
              <w:jc w:val="left"/>
              <w:textAlignment w:val="bottom"/>
              <w:rPr>
                <w:rFonts w:ascii="宋体" w:hAnsi="宋体" w:cs="宋体"/>
                <w:sz w:val="24"/>
                <w:highlight w:val="none"/>
              </w:rPr>
            </w:pPr>
            <w:r>
              <w:rPr>
                <w:rFonts w:hint="eastAsia" w:ascii="宋体" w:hAnsi="宋体" w:cs="宋体"/>
                <w:sz w:val="24"/>
                <w:highlight w:val="none"/>
                <w:lang w:bidi="ar"/>
              </w:rPr>
              <w:t>4、仅提供备份响应文件的。</w:t>
            </w:r>
          </w:p>
          <w:p w14:paraId="20F000B7">
            <w:pPr>
              <w:spacing w:line="300" w:lineRule="auto"/>
              <w:ind w:firstLine="480" w:firstLineChars="200"/>
              <w:rPr>
                <w:rFonts w:ascii="宋体" w:hAnsi="宋体" w:cs="宋体"/>
                <w:sz w:val="24"/>
                <w:highlight w:val="none"/>
              </w:rPr>
            </w:pPr>
            <w:r>
              <w:rPr>
                <w:rFonts w:hint="eastAsia" w:ascii="宋体" w:hAnsi="宋体" w:cs="宋体"/>
                <w:sz w:val="24"/>
                <w:highlight w:val="none"/>
                <w:lang w:bidi="ar"/>
              </w:rPr>
              <w:t>当发生解密失败或未按时解密的，供应商提供了备份响应文件的，以备份响应文件为依据，否则视为响应文件撤回。响应文件已按时解密的，备份响应文件自动失效。</w:t>
            </w:r>
          </w:p>
        </w:tc>
      </w:tr>
      <w:tr w14:paraId="54C3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06059923">
            <w:pPr>
              <w:spacing w:line="300" w:lineRule="auto"/>
              <w:jc w:val="center"/>
              <w:rPr>
                <w:rFonts w:ascii="宋体" w:hAnsi="宋体" w:cs="宋体"/>
                <w:b/>
                <w:sz w:val="24"/>
                <w:highlight w:val="none"/>
              </w:rPr>
            </w:pPr>
            <w:r>
              <w:rPr>
                <w:rFonts w:hint="eastAsia" w:ascii="宋体" w:hAnsi="宋体" w:cs="宋体"/>
                <w:b/>
                <w:sz w:val="24"/>
                <w:highlight w:val="none"/>
              </w:rPr>
              <w:t>13</w:t>
            </w:r>
          </w:p>
        </w:tc>
        <w:tc>
          <w:tcPr>
            <w:tcW w:w="1533" w:type="dxa"/>
            <w:tcBorders>
              <w:tl2br w:val="nil"/>
              <w:tr2bl w:val="nil"/>
            </w:tcBorders>
            <w:shd w:val="clear" w:color="auto" w:fill="auto"/>
            <w:vAlign w:val="center"/>
          </w:tcPr>
          <w:p w14:paraId="17360A85">
            <w:pPr>
              <w:spacing w:line="300" w:lineRule="auto"/>
              <w:jc w:val="center"/>
              <w:rPr>
                <w:rFonts w:ascii="宋体" w:hAnsi="宋体" w:cs="宋体"/>
                <w:b/>
                <w:sz w:val="24"/>
                <w:highlight w:val="none"/>
              </w:rPr>
            </w:pPr>
            <w:r>
              <w:rPr>
                <w:rFonts w:hint="eastAsia" w:ascii="宋体" w:hAnsi="宋体" w:cs="宋体"/>
                <w:b/>
                <w:sz w:val="24"/>
                <w:highlight w:val="none"/>
              </w:rPr>
              <w:t>评标办法</w:t>
            </w:r>
          </w:p>
        </w:tc>
        <w:tc>
          <w:tcPr>
            <w:tcW w:w="7999" w:type="dxa"/>
            <w:tcBorders>
              <w:tl2br w:val="nil"/>
              <w:tr2bl w:val="nil"/>
            </w:tcBorders>
            <w:shd w:val="clear" w:color="auto" w:fill="auto"/>
            <w:vAlign w:val="center"/>
          </w:tcPr>
          <w:p w14:paraId="1A816124">
            <w:pPr>
              <w:spacing w:line="300" w:lineRule="auto"/>
              <w:rPr>
                <w:rFonts w:ascii="宋体" w:hAnsi="宋体" w:cs="宋体"/>
                <w:sz w:val="24"/>
                <w:highlight w:val="none"/>
              </w:rPr>
            </w:pPr>
            <w:r>
              <w:rPr>
                <w:rFonts w:hint="eastAsia" w:ascii="宋体" w:hAnsi="宋体" w:cs="宋体"/>
                <w:sz w:val="24"/>
                <w:highlight w:val="none"/>
              </w:rPr>
              <w:t>综合评分法</w:t>
            </w:r>
          </w:p>
        </w:tc>
      </w:tr>
      <w:tr w14:paraId="2C7F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161C135E">
            <w:pPr>
              <w:spacing w:line="300" w:lineRule="auto"/>
              <w:jc w:val="center"/>
              <w:rPr>
                <w:rFonts w:ascii="宋体" w:hAnsi="宋体" w:cs="宋体"/>
                <w:b/>
                <w:sz w:val="24"/>
                <w:highlight w:val="none"/>
              </w:rPr>
            </w:pPr>
            <w:r>
              <w:rPr>
                <w:rFonts w:hint="eastAsia" w:ascii="宋体" w:hAnsi="宋体" w:cs="宋体"/>
                <w:b/>
                <w:sz w:val="24"/>
                <w:highlight w:val="none"/>
              </w:rPr>
              <w:t>14</w:t>
            </w:r>
          </w:p>
        </w:tc>
        <w:tc>
          <w:tcPr>
            <w:tcW w:w="1533" w:type="dxa"/>
            <w:tcBorders>
              <w:tl2br w:val="nil"/>
              <w:tr2bl w:val="nil"/>
            </w:tcBorders>
            <w:shd w:val="clear" w:color="auto" w:fill="auto"/>
            <w:vAlign w:val="center"/>
          </w:tcPr>
          <w:p w14:paraId="4DBD47F6">
            <w:pPr>
              <w:spacing w:line="300" w:lineRule="auto"/>
              <w:jc w:val="center"/>
              <w:rPr>
                <w:rFonts w:ascii="宋体" w:hAnsi="宋体" w:cs="宋体"/>
                <w:b/>
                <w:sz w:val="24"/>
                <w:highlight w:val="none"/>
              </w:rPr>
            </w:pPr>
            <w:r>
              <w:rPr>
                <w:rFonts w:hint="eastAsia" w:ascii="宋体" w:hAnsi="宋体" w:cs="宋体"/>
                <w:b/>
                <w:sz w:val="24"/>
                <w:highlight w:val="none"/>
              </w:rPr>
              <w:t>付款方式</w:t>
            </w:r>
          </w:p>
        </w:tc>
        <w:tc>
          <w:tcPr>
            <w:tcW w:w="7999" w:type="dxa"/>
            <w:tcBorders>
              <w:tl2br w:val="nil"/>
              <w:tr2bl w:val="nil"/>
            </w:tcBorders>
            <w:shd w:val="clear" w:color="auto" w:fill="auto"/>
            <w:vAlign w:val="center"/>
          </w:tcPr>
          <w:p w14:paraId="43AEBCB7">
            <w:pPr>
              <w:spacing w:line="300" w:lineRule="auto"/>
              <w:rPr>
                <w:rFonts w:ascii="宋体" w:hAnsi="宋体" w:cs="宋体"/>
                <w:sz w:val="24"/>
                <w:highlight w:val="none"/>
              </w:rPr>
            </w:pPr>
            <w:r>
              <w:rPr>
                <w:rFonts w:hint="eastAsia" w:ascii="宋体" w:hAnsi="宋体" w:cs="宋体"/>
                <w:sz w:val="24"/>
                <w:highlight w:val="none"/>
                <w:lang w:eastAsia="zh-CN"/>
              </w:rPr>
              <w:t>合同签订之日后七个工作日内(预付款)</w:t>
            </w:r>
            <w:r>
              <w:rPr>
                <w:rFonts w:hint="eastAsia" w:ascii="宋体" w:hAnsi="宋体" w:cs="宋体"/>
                <w:sz w:val="24"/>
                <w:highlight w:val="none"/>
                <w:lang w:eastAsia="zh-CN"/>
              </w:rPr>
              <w:tab/>
            </w:r>
            <w:r>
              <w:rPr>
                <w:rFonts w:hint="eastAsia" w:ascii="宋体" w:hAnsi="宋体" w:cs="宋体"/>
                <w:sz w:val="24"/>
                <w:highlight w:val="none"/>
                <w:lang w:eastAsia="zh-CN"/>
              </w:rPr>
              <w:t>合同金额的70%</w:t>
            </w:r>
            <w:r>
              <w:rPr>
                <w:rFonts w:hint="eastAsia" w:ascii="宋体" w:hAnsi="宋体" w:cs="宋体"/>
                <w:sz w:val="24"/>
                <w:highlight w:val="none"/>
                <w:lang w:eastAsia="zh-CN"/>
              </w:rPr>
              <w:tab/>
            </w:r>
            <w:r>
              <w:rPr>
                <w:rFonts w:hint="eastAsia" w:ascii="宋体" w:hAnsi="宋体" w:cs="宋体"/>
                <w:sz w:val="24"/>
                <w:highlight w:val="none"/>
                <w:lang w:eastAsia="zh-CN"/>
              </w:rPr>
              <w:t>；2025年11月30日前，支付合同金额的30%（</w:t>
            </w:r>
            <w:r>
              <w:rPr>
                <w:rFonts w:hint="eastAsia" w:ascii="宋体" w:hAnsi="宋体" w:cs="宋体"/>
                <w:sz w:val="24"/>
                <w:highlight w:val="none"/>
              </w:rPr>
              <w:t>扣除考核处罚金等相关费用后结算</w:t>
            </w:r>
            <w:r>
              <w:rPr>
                <w:rFonts w:hint="eastAsia" w:ascii="宋体" w:hAnsi="宋体" w:cs="宋体"/>
                <w:sz w:val="24"/>
                <w:highlight w:val="none"/>
                <w:lang w:eastAsia="zh-CN"/>
              </w:rPr>
              <w:t>）。</w:t>
            </w:r>
            <w:r>
              <w:rPr>
                <w:rFonts w:hint="eastAsia" w:ascii="宋体" w:hAnsi="宋体" w:cs="宋体"/>
                <w:sz w:val="24"/>
                <w:highlight w:val="none"/>
              </w:rPr>
              <w:t>（在签订合同时，供应商明确表示无需预付款或者主动要求降低预付款比例的，采购合同可不适用前述规定）</w:t>
            </w:r>
          </w:p>
        </w:tc>
      </w:tr>
      <w:tr w14:paraId="7858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769AEBD7">
            <w:pPr>
              <w:spacing w:line="300" w:lineRule="auto"/>
              <w:jc w:val="center"/>
              <w:rPr>
                <w:rFonts w:ascii="宋体" w:hAnsi="宋体" w:cs="宋体"/>
                <w:b/>
                <w:sz w:val="24"/>
                <w:highlight w:val="none"/>
              </w:rPr>
            </w:pPr>
            <w:r>
              <w:rPr>
                <w:rFonts w:hint="eastAsia" w:ascii="宋体" w:hAnsi="宋体" w:cs="宋体"/>
                <w:b/>
                <w:sz w:val="24"/>
                <w:highlight w:val="none"/>
                <w:lang w:eastAsia="zh-CN"/>
              </w:rPr>
              <w:t xml:space="preserve"> </w:t>
            </w:r>
            <w:r>
              <w:rPr>
                <w:rFonts w:hint="eastAsia" w:ascii="宋体" w:hAnsi="宋体" w:cs="宋体"/>
                <w:b/>
                <w:sz w:val="24"/>
                <w:highlight w:val="none"/>
              </w:rPr>
              <w:t>15</w:t>
            </w:r>
          </w:p>
        </w:tc>
        <w:tc>
          <w:tcPr>
            <w:tcW w:w="1533" w:type="dxa"/>
            <w:tcBorders>
              <w:tl2br w:val="nil"/>
              <w:tr2bl w:val="nil"/>
            </w:tcBorders>
            <w:shd w:val="clear" w:color="auto" w:fill="auto"/>
            <w:vAlign w:val="center"/>
          </w:tcPr>
          <w:p w14:paraId="4EDAB905">
            <w:pPr>
              <w:spacing w:line="300" w:lineRule="auto"/>
              <w:jc w:val="center"/>
              <w:rPr>
                <w:rFonts w:ascii="宋体" w:hAnsi="宋体" w:cs="宋体"/>
                <w:b/>
                <w:sz w:val="24"/>
                <w:highlight w:val="none"/>
              </w:rPr>
            </w:pPr>
            <w:r>
              <w:rPr>
                <w:rFonts w:hint="eastAsia" w:ascii="宋体" w:hAnsi="宋体" w:cs="宋体"/>
                <w:b/>
                <w:sz w:val="24"/>
                <w:highlight w:val="none"/>
              </w:rPr>
              <w:t>磋商响应文件提交截止时间以及开标时间</w:t>
            </w:r>
          </w:p>
        </w:tc>
        <w:tc>
          <w:tcPr>
            <w:tcW w:w="7999" w:type="dxa"/>
            <w:tcBorders>
              <w:tl2br w:val="nil"/>
              <w:tr2bl w:val="nil"/>
            </w:tcBorders>
            <w:shd w:val="clear" w:color="auto" w:fill="auto"/>
            <w:vAlign w:val="center"/>
          </w:tcPr>
          <w:p w14:paraId="2A6D392E">
            <w:pPr>
              <w:spacing w:line="300" w:lineRule="auto"/>
              <w:jc w:val="left"/>
              <w:rPr>
                <w:rFonts w:ascii="宋体" w:hAnsi="宋体" w:cs="宋体"/>
                <w:b/>
                <w:sz w:val="24"/>
                <w:highlight w:val="none"/>
              </w:rPr>
            </w:pPr>
            <w:r>
              <w:rPr>
                <w:rFonts w:hint="eastAsia" w:ascii="宋体" w:hAnsi="宋体" w:cs="宋体"/>
                <w:b/>
                <w:sz w:val="24"/>
                <w:highlight w:val="none"/>
                <w:lang w:eastAsia="zh-CN"/>
              </w:rPr>
              <w:t>2025年</w:t>
            </w:r>
            <w:r>
              <w:rPr>
                <w:rFonts w:hint="eastAsia" w:ascii="宋体" w:hAnsi="宋体" w:cs="宋体"/>
                <w:b/>
                <w:sz w:val="24"/>
                <w:highlight w:val="none"/>
                <w:lang w:val="en-US" w:eastAsia="zh-CN"/>
              </w:rPr>
              <w:t xml:space="preserve">  </w:t>
            </w:r>
            <w:r>
              <w:rPr>
                <w:rFonts w:hint="eastAsia" w:ascii="宋体" w:hAnsi="宋体" w:cs="宋体"/>
                <w:b/>
                <w:sz w:val="24"/>
                <w:highlight w:val="none"/>
                <w:lang w:eastAsia="zh-CN"/>
              </w:rPr>
              <w:t>月</w:t>
            </w:r>
            <w:r>
              <w:rPr>
                <w:rFonts w:hint="eastAsia" w:ascii="宋体" w:hAnsi="宋体" w:cs="宋体"/>
                <w:b/>
                <w:sz w:val="24"/>
                <w:highlight w:val="none"/>
                <w:lang w:val="en-US" w:eastAsia="zh-CN"/>
              </w:rPr>
              <w:t xml:space="preserve">  </w:t>
            </w:r>
            <w:r>
              <w:rPr>
                <w:rFonts w:hint="eastAsia" w:ascii="宋体" w:hAnsi="宋体" w:cs="宋体"/>
                <w:b/>
                <w:sz w:val="24"/>
                <w:highlight w:val="none"/>
                <w:lang w:eastAsia="zh-CN"/>
              </w:rPr>
              <w:t>日14：00</w:t>
            </w:r>
            <w:r>
              <w:rPr>
                <w:rFonts w:hint="eastAsia" w:ascii="宋体" w:hAnsi="宋体" w:cs="宋体"/>
                <w:b/>
                <w:sz w:val="24"/>
                <w:highlight w:val="none"/>
              </w:rPr>
              <w:t>（北京时间）</w:t>
            </w:r>
          </w:p>
        </w:tc>
      </w:tr>
      <w:tr w14:paraId="400E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06862963">
            <w:pPr>
              <w:spacing w:line="300" w:lineRule="auto"/>
              <w:jc w:val="center"/>
              <w:rPr>
                <w:rFonts w:ascii="宋体" w:hAnsi="宋体" w:cs="宋体"/>
                <w:b/>
                <w:sz w:val="24"/>
                <w:highlight w:val="none"/>
              </w:rPr>
            </w:pPr>
            <w:r>
              <w:rPr>
                <w:rFonts w:hint="eastAsia" w:ascii="宋体" w:hAnsi="宋体" w:cs="宋体"/>
                <w:b/>
                <w:sz w:val="24"/>
                <w:highlight w:val="none"/>
              </w:rPr>
              <w:t>16</w:t>
            </w:r>
          </w:p>
        </w:tc>
        <w:tc>
          <w:tcPr>
            <w:tcW w:w="1533" w:type="dxa"/>
            <w:tcBorders>
              <w:tl2br w:val="nil"/>
              <w:tr2bl w:val="nil"/>
            </w:tcBorders>
            <w:shd w:val="clear" w:color="auto" w:fill="auto"/>
            <w:vAlign w:val="center"/>
          </w:tcPr>
          <w:p w14:paraId="74F55A6C">
            <w:pPr>
              <w:spacing w:line="300" w:lineRule="auto"/>
              <w:jc w:val="center"/>
              <w:rPr>
                <w:rFonts w:ascii="宋体" w:hAnsi="宋体" w:cs="宋体"/>
                <w:b/>
                <w:sz w:val="24"/>
                <w:highlight w:val="none"/>
              </w:rPr>
            </w:pPr>
            <w:r>
              <w:rPr>
                <w:rFonts w:hint="eastAsia" w:ascii="宋体" w:hAnsi="宋体" w:cs="宋体"/>
                <w:b/>
                <w:sz w:val="24"/>
                <w:highlight w:val="none"/>
              </w:rPr>
              <w:t>磋商地点</w:t>
            </w:r>
          </w:p>
        </w:tc>
        <w:tc>
          <w:tcPr>
            <w:tcW w:w="7999" w:type="dxa"/>
            <w:tcBorders>
              <w:tl2br w:val="nil"/>
              <w:tr2bl w:val="nil"/>
            </w:tcBorders>
            <w:shd w:val="clear" w:color="auto" w:fill="auto"/>
            <w:vAlign w:val="center"/>
          </w:tcPr>
          <w:p w14:paraId="488BB192">
            <w:pPr>
              <w:spacing w:line="300" w:lineRule="auto"/>
              <w:jc w:val="left"/>
              <w:rPr>
                <w:rFonts w:hint="eastAsia" w:ascii="宋体" w:hAnsi="宋体" w:eastAsia="宋体" w:cs="宋体"/>
                <w:b/>
                <w:kern w:val="0"/>
                <w:sz w:val="24"/>
                <w:highlight w:val="none"/>
                <w:lang w:eastAsia="zh-CN"/>
              </w:rPr>
            </w:pPr>
            <w:r>
              <w:rPr>
                <w:rFonts w:hint="eastAsia" w:ascii="宋体" w:hAnsi="宋体" w:cs="Arial"/>
                <w:bCs/>
                <w:kern w:val="0"/>
                <w:sz w:val="24"/>
                <w:highlight w:val="none"/>
                <w:lang w:eastAsia="zh-CN"/>
              </w:rPr>
              <w:t>详见竞争性磋商公告</w:t>
            </w:r>
          </w:p>
        </w:tc>
      </w:tr>
      <w:tr w14:paraId="407C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34FDAF2A">
            <w:pPr>
              <w:spacing w:line="300" w:lineRule="auto"/>
              <w:jc w:val="center"/>
              <w:rPr>
                <w:rFonts w:ascii="宋体" w:hAnsi="宋体" w:cs="宋体"/>
                <w:b/>
                <w:sz w:val="24"/>
                <w:highlight w:val="none"/>
              </w:rPr>
            </w:pPr>
            <w:r>
              <w:rPr>
                <w:rFonts w:hint="eastAsia" w:ascii="宋体" w:hAnsi="宋体" w:cs="宋体"/>
                <w:b/>
                <w:sz w:val="24"/>
                <w:highlight w:val="none"/>
              </w:rPr>
              <w:t>17</w:t>
            </w:r>
          </w:p>
        </w:tc>
        <w:tc>
          <w:tcPr>
            <w:tcW w:w="1533" w:type="dxa"/>
            <w:tcBorders>
              <w:tl2br w:val="nil"/>
              <w:tr2bl w:val="nil"/>
            </w:tcBorders>
            <w:shd w:val="clear" w:color="auto" w:fill="auto"/>
            <w:vAlign w:val="center"/>
          </w:tcPr>
          <w:p w14:paraId="5C795B98">
            <w:pPr>
              <w:spacing w:line="300" w:lineRule="auto"/>
              <w:jc w:val="center"/>
              <w:rPr>
                <w:rFonts w:ascii="宋体" w:hAnsi="宋体" w:cs="宋体"/>
                <w:b/>
                <w:sz w:val="24"/>
                <w:highlight w:val="none"/>
              </w:rPr>
            </w:pPr>
            <w:r>
              <w:rPr>
                <w:rFonts w:hint="eastAsia" w:ascii="宋体" w:hAnsi="宋体" w:cs="宋体"/>
                <w:b/>
                <w:sz w:val="24"/>
                <w:highlight w:val="none"/>
              </w:rPr>
              <w:t>成交结果公示</w:t>
            </w:r>
          </w:p>
        </w:tc>
        <w:tc>
          <w:tcPr>
            <w:tcW w:w="7999" w:type="dxa"/>
            <w:tcBorders>
              <w:tl2br w:val="nil"/>
              <w:tr2bl w:val="nil"/>
            </w:tcBorders>
            <w:shd w:val="clear" w:color="auto" w:fill="auto"/>
            <w:vAlign w:val="center"/>
          </w:tcPr>
          <w:p w14:paraId="0F33D53D">
            <w:pPr>
              <w:spacing w:line="300" w:lineRule="auto"/>
              <w:jc w:val="left"/>
              <w:rPr>
                <w:rFonts w:ascii="宋体" w:hAnsi="宋体" w:cs="宋体"/>
                <w:b/>
                <w:sz w:val="24"/>
                <w:highlight w:val="none"/>
              </w:rPr>
            </w:pPr>
            <w:r>
              <w:rPr>
                <w:rFonts w:hint="eastAsia" w:ascii="宋体" w:hAnsi="宋体" w:cs="宋体"/>
                <w:b/>
                <w:sz w:val="24"/>
                <w:highlight w:val="none"/>
              </w:rPr>
              <w:t>评标结束后2天内，成交结果公示发布于</w:t>
            </w:r>
          </w:p>
          <w:p w14:paraId="3FD51AD9">
            <w:pPr>
              <w:spacing w:line="300" w:lineRule="auto"/>
              <w:jc w:val="left"/>
              <w:rPr>
                <w:rFonts w:hint="eastAsia" w:ascii="宋体" w:hAnsi="宋体" w:cs="宋体"/>
                <w:b/>
                <w:sz w:val="24"/>
                <w:highlight w:val="none"/>
              </w:rPr>
            </w:pPr>
            <w:r>
              <w:rPr>
                <w:rFonts w:hint="eastAsia" w:ascii="宋体" w:hAnsi="宋体" w:cs="宋体"/>
                <w:b/>
                <w:sz w:val="24"/>
                <w:highlight w:val="none"/>
              </w:rPr>
              <w:t>浙江政府采购网 （https://zfcg.czt.zj.gov.cn/）；</w:t>
            </w:r>
          </w:p>
          <w:p w14:paraId="21634117">
            <w:pPr>
              <w:spacing w:line="300" w:lineRule="auto"/>
              <w:jc w:val="left"/>
              <w:rPr>
                <w:rFonts w:ascii="宋体" w:hAnsi="宋体" w:cs="宋体"/>
                <w:b/>
                <w:sz w:val="24"/>
                <w:highlight w:val="none"/>
              </w:rPr>
            </w:pPr>
            <w:r>
              <w:rPr>
                <w:rFonts w:hint="eastAsia" w:ascii="宋体" w:hAnsi="宋体" w:cs="宋体"/>
                <w:b/>
                <w:sz w:val="24"/>
                <w:highlight w:val="none"/>
              </w:rPr>
              <w:t>湖州市公共资源交易信息网（http://ggzyjy.huzhou.gov.cn/）</w:t>
            </w:r>
          </w:p>
        </w:tc>
      </w:tr>
      <w:tr w14:paraId="5437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10CE189D">
            <w:pPr>
              <w:spacing w:line="300" w:lineRule="auto"/>
              <w:jc w:val="center"/>
              <w:rPr>
                <w:rFonts w:ascii="宋体" w:hAnsi="宋体" w:cs="宋体"/>
                <w:b/>
                <w:sz w:val="24"/>
                <w:highlight w:val="none"/>
              </w:rPr>
            </w:pPr>
            <w:r>
              <w:rPr>
                <w:rFonts w:hint="eastAsia" w:ascii="宋体" w:hAnsi="宋体" w:cs="宋体"/>
                <w:b/>
                <w:sz w:val="24"/>
                <w:highlight w:val="none"/>
              </w:rPr>
              <w:t>18</w:t>
            </w:r>
          </w:p>
        </w:tc>
        <w:tc>
          <w:tcPr>
            <w:tcW w:w="1533" w:type="dxa"/>
            <w:tcBorders>
              <w:tl2br w:val="nil"/>
              <w:tr2bl w:val="nil"/>
            </w:tcBorders>
            <w:shd w:val="clear" w:color="auto" w:fill="auto"/>
            <w:vAlign w:val="center"/>
          </w:tcPr>
          <w:p w14:paraId="41AC87EA">
            <w:pPr>
              <w:spacing w:line="300" w:lineRule="auto"/>
              <w:jc w:val="center"/>
              <w:rPr>
                <w:rFonts w:ascii="宋体" w:hAnsi="宋体" w:cs="宋体"/>
                <w:b/>
                <w:sz w:val="24"/>
                <w:highlight w:val="none"/>
              </w:rPr>
            </w:pPr>
            <w:r>
              <w:rPr>
                <w:rFonts w:hint="eastAsia" w:ascii="宋体" w:hAnsi="宋体" w:cs="宋体"/>
                <w:b/>
                <w:sz w:val="24"/>
                <w:highlight w:val="none"/>
              </w:rPr>
              <w:t>磋商采购单位</w:t>
            </w:r>
          </w:p>
        </w:tc>
        <w:tc>
          <w:tcPr>
            <w:tcW w:w="7999" w:type="dxa"/>
            <w:tcBorders>
              <w:tl2br w:val="nil"/>
              <w:tr2bl w:val="nil"/>
            </w:tcBorders>
            <w:shd w:val="clear" w:color="auto" w:fill="auto"/>
            <w:vAlign w:val="center"/>
          </w:tcPr>
          <w:p w14:paraId="28DD2B03">
            <w:pPr>
              <w:spacing w:line="300" w:lineRule="auto"/>
              <w:rPr>
                <w:rFonts w:ascii="宋体" w:hAnsi="宋体" w:cs="宋体"/>
                <w:sz w:val="24"/>
                <w:highlight w:val="none"/>
              </w:rPr>
            </w:pPr>
            <w:r>
              <w:rPr>
                <w:rFonts w:hint="eastAsia" w:ascii="宋体" w:hAnsi="宋体" w:cs="宋体"/>
                <w:sz w:val="24"/>
                <w:highlight w:val="none"/>
              </w:rPr>
              <w:t>采购单位与采购代理机构的统称</w:t>
            </w:r>
          </w:p>
        </w:tc>
      </w:tr>
      <w:tr w14:paraId="7287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3" w:hRule="atLeast"/>
          <w:tblCellSpacing w:w="7" w:type="dxa"/>
          <w:jc w:val="center"/>
        </w:trPr>
        <w:tc>
          <w:tcPr>
            <w:tcW w:w="688" w:type="dxa"/>
            <w:tcBorders>
              <w:tl2br w:val="nil"/>
              <w:tr2bl w:val="nil"/>
            </w:tcBorders>
            <w:shd w:val="clear" w:color="auto" w:fill="auto"/>
            <w:vAlign w:val="center"/>
          </w:tcPr>
          <w:p w14:paraId="200D1ECE">
            <w:pPr>
              <w:spacing w:line="300" w:lineRule="auto"/>
              <w:jc w:val="center"/>
              <w:rPr>
                <w:rFonts w:ascii="宋体" w:hAnsi="宋体" w:cs="宋体"/>
                <w:b/>
                <w:sz w:val="24"/>
                <w:highlight w:val="none"/>
              </w:rPr>
            </w:pPr>
            <w:r>
              <w:rPr>
                <w:rFonts w:hint="eastAsia" w:ascii="宋体" w:hAnsi="宋体" w:cs="宋体"/>
                <w:b/>
                <w:sz w:val="24"/>
                <w:highlight w:val="none"/>
              </w:rPr>
              <w:t>19</w:t>
            </w:r>
          </w:p>
        </w:tc>
        <w:tc>
          <w:tcPr>
            <w:tcW w:w="1533" w:type="dxa"/>
            <w:tcBorders>
              <w:tl2br w:val="nil"/>
              <w:tr2bl w:val="nil"/>
            </w:tcBorders>
            <w:shd w:val="clear" w:color="auto" w:fill="auto"/>
            <w:vAlign w:val="center"/>
          </w:tcPr>
          <w:p w14:paraId="0D97C866">
            <w:pPr>
              <w:spacing w:line="300" w:lineRule="auto"/>
              <w:jc w:val="center"/>
              <w:rPr>
                <w:rFonts w:ascii="宋体" w:hAnsi="宋体" w:cs="宋体"/>
                <w:b/>
                <w:sz w:val="24"/>
                <w:highlight w:val="none"/>
              </w:rPr>
            </w:pPr>
            <w:r>
              <w:rPr>
                <w:rFonts w:hint="eastAsia" w:ascii="宋体" w:hAnsi="宋体" w:cs="宋体"/>
                <w:b/>
                <w:sz w:val="24"/>
                <w:highlight w:val="none"/>
              </w:rPr>
              <w:t>履约保证金</w:t>
            </w:r>
          </w:p>
        </w:tc>
        <w:tc>
          <w:tcPr>
            <w:tcW w:w="7999" w:type="dxa"/>
            <w:tcBorders>
              <w:tl2br w:val="nil"/>
              <w:tr2bl w:val="nil"/>
            </w:tcBorders>
            <w:shd w:val="clear" w:color="auto" w:fill="auto"/>
            <w:vAlign w:val="center"/>
          </w:tcPr>
          <w:p w14:paraId="6C86C5A3">
            <w:pPr>
              <w:spacing w:line="300" w:lineRule="auto"/>
              <w:jc w:val="left"/>
              <w:rPr>
                <w:rFonts w:ascii="宋体" w:hAnsi="宋体" w:cs="宋体"/>
                <w:b/>
                <w:sz w:val="24"/>
                <w:highlight w:val="none"/>
              </w:rPr>
            </w:pPr>
            <w:r>
              <w:rPr>
                <w:rFonts w:hint="eastAsia" w:ascii="宋体" w:hAnsi="宋体" w:cs="宋体"/>
                <w:bCs/>
                <w:sz w:val="24"/>
                <w:highlight w:val="none"/>
              </w:rPr>
              <w:t>本项目不设履约保证金</w:t>
            </w:r>
          </w:p>
        </w:tc>
      </w:tr>
      <w:tr w14:paraId="64AD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jc w:val="center"/>
        </w:trPr>
        <w:tc>
          <w:tcPr>
            <w:tcW w:w="688" w:type="dxa"/>
            <w:tcBorders>
              <w:tl2br w:val="nil"/>
              <w:tr2bl w:val="nil"/>
            </w:tcBorders>
            <w:shd w:val="clear" w:color="auto" w:fill="auto"/>
            <w:vAlign w:val="center"/>
          </w:tcPr>
          <w:p w14:paraId="6F384DF2">
            <w:pPr>
              <w:spacing w:line="300" w:lineRule="auto"/>
              <w:jc w:val="center"/>
              <w:rPr>
                <w:rFonts w:ascii="宋体" w:hAnsi="宋体" w:cs="宋体"/>
                <w:b/>
                <w:sz w:val="24"/>
                <w:highlight w:val="none"/>
              </w:rPr>
            </w:pPr>
            <w:r>
              <w:rPr>
                <w:rFonts w:hint="eastAsia" w:ascii="宋体" w:hAnsi="宋体" w:cs="宋体"/>
                <w:b/>
                <w:sz w:val="24"/>
                <w:highlight w:val="none"/>
              </w:rPr>
              <w:t>20</w:t>
            </w:r>
          </w:p>
        </w:tc>
        <w:tc>
          <w:tcPr>
            <w:tcW w:w="1533" w:type="dxa"/>
            <w:tcBorders>
              <w:tl2br w:val="nil"/>
              <w:tr2bl w:val="nil"/>
            </w:tcBorders>
            <w:shd w:val="clear" w:color="auto" w:fill="auto"/>
            <w:vAlign w:val="center"/>
          </w:tcPr>
          <w:p w14:paraId="2CB2C24A">
            <w:pPr>
              <w:spacing w:line="300" w:lineRule="auto"/>
              <w:jc w:val="center"/>
              <w:rPr>
                <w:rFonts w:ascii="宋体" w:hAnsi="宋体" w:cs="宋体"/>
                <w:b/>
                <w:sz w:val="24"/>
                <w:highlight w:val="none"/>
              </w:rPr>
            </w:pPr>
            <w:r>
              <w:rPr>
                <w:rFonts w:hint="eastAsia" w:ascii="宋体" w:hAnsi="宋体" w:cs="宋体"/>
                <w:b/>
                <w:sz w:val="24"/>
                <w:highlight w:val="none"/>
              </w:rPr>
              <w:t>解释</w:t>
            </w:r>
          </w:p>
        </w:tc>
        <w:tc>
          <w:tcPr>
            <w:tcW w:w="7999" w:type="dxa"/>
            <w:tcBorders>
              <w:tl2br w:val="nil"/>
              <w:tr2bl w:val="nil"/>
            </w:tcBorders>
            <w:shd w:val="clear" w:color="auto" w:fill="auto"/>
            <w:vAlign w:val="center"/>
          </w:tcPr>
          <w:p w14:paraId="0DBF3C1F">
            <w:pPr>
              <w:spacing w:line="300" w:lineRule="auto"/>
              <w:rPr>
                <w:rFonts w:ascii="宋体" w:hAnsi="宋体" w:cs="宋体"/>
                <w:sz w:val="24"/>
                <w:highlight w:val="none"/>
              </w:rPr>
            </w:pPr>
            <w:r>
              <w:rPr>
                <w:rFonts w:hint="eastAsia" w:ascii="宋体" w:hAnsi="宋体" w:cs="宋体"/>
                <w:sz w:val="24"/>
                <w:highlight w:val="none"/>
              </w:rPr>
              <w:t>本磋商文件的解释权属于磋商采购单位</w:t>
            </w:r>
          </w:p>
        </w:tc>
      </w:tr>
    </w:tbl>
    <w:p w14:paraId="51BE6273">
      <w:pPr>
        <w:snapToGrid w:val="0"/>
        <w:spacing w:line="276" w:lineRule="auto"/>
        <w:jc w:val="center"/>
        <w:rPr>
          <w:rFonts w:ascii="宋体" w:hAnsi="宋体" w:cs="宋体"/>
          <w:b/>
          <w:sz w:val="28"/>
          <w:szCs w:val="30"/>
          <w:highlight w:val="none"/>
        </w:rPr>
      </w:pPr>
    </w:p>
    <w:p w14:paraId="2A05EC42">
      <w:pPr>
        <w:snapToGrid w:val="0"/>
        <w:spacing w:line="276" w:lineRule="auto"/>
        <w:jc w:val="center"/>
        <w:rPr>
          <w:rFonts w:ascii="宋体" w:hAnsi="宋体" w:cs="宋体"/>
          <w:b/>
          <w:sz w:val="28"/>
          <w:szCs w:val="30"/>
          <w:highlight w:val="none"/>
        </w:rPr>
      </w:pPr>
    </w:p>
    <w:p w14:paraId="23950C8A">
      <w:pPr>
        <w:snapToGrid w:val="0"/>
        <w:spacing w:line="276" w:lineRule="auto"/>
        <w:jc w:val="center"/>
        <w:rPr>
          <w:rFonts w:ascii="宋体" w:hAnsi="宋体" w:cs="宋体"/>
          <w:b/>
          <w:sz w:val="28"/>
          <w:szCs w:val="30"/>
          <w:highlight w:val="none"/>
        </w:rPr>
      </w:pPr>
    </w:p>
    <w:p w14:paraId="1492E472">
      <w:pPr>
        <w:pStyle w:val="14"/>
        <w:ind w:left="0" w:leftChars="0" w:firstLine="0" w:firstLineChars="0"/>
        <w:rPr>
          <w:highlight w:val="none"/>
        </w:rPr>
      </w:pPr>
    </w:p>
    <w:p w14:paraId="09416E90">
      <w:pPr>
        <w:snapToGrid w:val="0"/>
        <w:spacing w:line="276" w:lineRule="auto"/>
        <w:jc w:val="center"/>
        <w:outlineLvl w:val="1"/>
        <w:rPr>
          <w:rFonts w:ascii="宋体" w:hAnsi="宋体" w:cs="宋体"/>
          <w:b/>
          <w:sz w:val="32"/>
          <w:szCs w:val="32"/>
          <w:highlight w:val="none"/>
        </w:rPr>
      </w:pPr>
      <w:r>
        <w:rPr>
          <w:rFonts w:hint="eastAsia" w:ascii="宋体" w:hAnsi="宋体" w:cs="宋体"/>
          <w:b/>
          <w:sz w:val="32"/>
          <w:szCs w:val="32"/>
          <w:highlight w:val="none"/>
        </w:rPr>
        <w:t>一、总  则</w:t>
      </w:r>
      <w:bookmarkEnd w:id="4"/>
      <w:bookmarkEnd w:id="5"/>
      <w:bookmarkEnd w:id="6"/>
    </w:p>
    <w:p w14:paraId="797A16DF">
      <w:pPr>
        <w:spacing w:line="360" w:lineRule="exact"/>
        <w:rPr>
          <w:rFonts w:ascii="宋体" w:hAnsi="宋体" w:cs="宋体"/>
          <w:b/>
          <w:sz w:val="24"/>
          <w:highlight w:val="none"/>
        </w:rPr>
      </w:pPr>
    </w:p>
    <w:p w14:paraId="19679B16">
      <w:pPr>
        <w:spacing w:line="400" w:lineRule="exact"/>
        <w:outlineLvl w:val="2"/>
        <w:rPr>
          <w:rFonts w:ascii="宋体" w:hAnsi="宋体" w:cs="宋体"/>
          <w:b/>
          <w:sz w:val="24"/>
          <w:highlight w:val="none"/>
        </w:rPr>
      </w:pPr>
      <w:bookmarkStart w:id="7" w:name="_Toc282640699"/>
      <w:bookmarkStart w:id="8" w:name="_Toc12662"/>
      <w:bookmarkStart w:id="9" w:name="_Toc19212"/>
      <w:r>
        <w:rPr>
          <w:rFonts w:hint="eastAsia" w:ascii="宋体" w:hAnsi="宋体" w:cs="宋体"/>
          <w:b/>
          <w:sz w:val="24"/>
          <w:highlight w:val="none"/>
        </w:rPr>
        <w:t>（一）适用范围</w:t>
      </w:r>
    </w:p>
    <w:p w14:paraId="2B68E84D">
      <w:pPr>
        <w:spacing w:line="400" w:lineRule="exact"/>
        <w:ind w:firstLine="480" w:firstLineChars="200"/>
        <w:rPr>
          <w:rFonts w:ascii="宋体" w:hAnsi="宋体" w:cs="宋体"/>
          <w:bCs/>
          <w:sz w:val="24"/>
          <w:highlight w:val="none"/>
        </w:rPr>
      </w:pPr>
      <w:r>
        <w:rPr>
          <w:rFonts w:hint="eastAsia" w:ascii="宋体" w:hAnsi="宋体" w:cs="宋体"/>
          <w:bCs/>
          <w:sz w:val="24"/>
          <w:highlight w:val="none"/>
        </w:rPr>
        <w:t>本磋商文件适用于本次项目的评标、定标、验收、合同履约、付款等（法律、法规另有规定的，从其规定）。</w:t>
      </w:r>
    </w:p>
    <w:p w14:paraId="3DC66189">
      <w:pPr>
        <w:numPr>
          <w:ilvl w:val="0"/>
          <w:numId w:val="10"/>
        </w:numPr>
        <w:spacing w:line="400" w:lineRule="exact"/>
        <w:outlineLvl w:val="2"/>
        <w:rPr>
          <w:rFonts w:ascii="宋体" w:hAnsi="宋体" w:cs="宋体"/>
          <w:b/>
          <w:sz w:val="24"/>
          <w:highlight w:val="none"/>
        </w:rPr>
      </w:pPr>
      <w:r>
        <w:rPr>
          <w:rFonts w:hint="eastAsia" w:ascii="宋体" w:hAnsi="宋体" w:cs="宋体"/>
          <w:b/>
          <w:sz w:val="24"/>
          <w:highlight w:val="none"/>
        </w:rPr>
        <w:t>定义</w:t>
      </w:r>
    </w:p>
    <w:p w14:paraId="35E1DA3E">
      <w:pPr>
        <w:spacing w:line="400" w:lineRule="exact"/>
        <w:rPr>
          <w:rFonts w:ascii="宋体" w:hAnsi="宋体" w:cs="宋体"/>
          <w:bCs/>
          <w:sz w:val="24"/>
          <w:highlight w:val="none"/>
        </w:rPr>
      </w:pPr>
      <w:r>
        <w:rPr>
          <w:rFonts w:hint="eastAsia" w:ascii="宋体" w:hAnsi="宋体" w:cs="宋体"/>
          <w:bCs/>
          <w:sz w:val="24"/>
          <w:highlight w:val="none"/>
        </w:rPr>
        <w:t>1、“采购人”系指</w:t>
      </w:r>
      <w:r>
        <w:rPr>
          <w:rFonts w:hint="eastAsia" w:ascii="宋体" w:hAnsi="宋体" w:cs="宋体"/>
          <w:bCs/>
          <w:sz w:val="24"/>
          <w:highlight w:val="none"/>
          <w:lang w:eastAsia="zh-CN"/>
        </w:rPr>
        <w:t xml:space="preserve">湖州市市容环境卫生管理中心 </w:t>
      </w:r>
      <w:r>
        <w:rPr>
          <w:rFonts w:hint="eastAsia" w:ascii="宋体" w:hAnsi="宋体" w:cs="宋体"/>
          <w:bCs/>
          <w:sz w:val="24"/>
          <w:highlight w:val="none"/>
        </w:rPr>
        <w:t>。</w:t>
      </w:r>
    </w:p>
    <w:p w14:paraId="51E2D771">
      <w:pPr>
        <w:spacing w:line="400" w:lineRule="exact"/>
        <w:rPr>
          <w:rFonts w:ascii="宋体" w:hAnsi="宋体" w:cs="宋体"/>
          <w:bCs/>
          <w:sz w:val="24"/>
          <w:highlight w:val="none"/>
        </w:rPr>
      </w:pPr>
      <w:r>
        <w:rPr>
          <w:rFonts w:hint="eastAsia" w:ascii="宋体" w:hAnsi="宋体" w:cs="宋体"/>
          <w:bCs/>
          <w:sz w:val="24"/>
          <w:highlight w:val="none"/>
        </w:rPr>
        <w:t>2、“采购代理机构”系指浙江华夏工程管理有限公司。</w:t>
      </w:r>
    </w:p>
    <w:p w14:paraId="79E37386">
      <w:pPr>
        <w:spacing w:line="400" w:lineRule="exact"/>
        <w:rPr>
          <w:rFonts w:ascii="宋体" w:hAnsi="宋体" w:cs="宋体"/>
          <w:bCs/>
          <w:sz w:val="24"/>
          <w:highlight w:val="none"/>
        </w:rPr>
      </w:pPr>
      <w:r>
        <w:rPr>
          <w:rFonts w:hint="eastAsia" w:ascii="宋体" w:hAnsi="宋体" w:cs="宋体"/>
          <w:bCs/>
          <w:sz w:val="24"/>
          <w:highlight w:val="none"/>
        </w:rPr>
        <w:t>3、“供应商”系指向采购代理机构提交磋商响应文件的供应商。</w:t>
      </w:r>
    </w:p>
    <w:p w14:paraId="2D9F1D4F">
      <w:pPr>
        <w:spacing w:line="400" w:lineRule="exact"/>
        <w:rPr>
          <w:rFonts w:ascii="宋体" w:hAnsi="宋体" w:cs="宋体"/>
          <w:bCs/>
          <w:sz w:val="24"/>
          <w:highlight w:val="none"/>
        </w:rPr>
      </w:pPr>
      <w:r>
        <w:rPr>
          <w:rFonts w:hint="eastAsia" w:ascii="宋体" w:hAnsi="宋体" w:cs="宋体"/>
          <w:bCs/>
          <w:sz w:val="24"/>
          <w:highlight w:val="none"/>
        </w:rPr>
        <w:t>4、“服务”系指按竞争性磋商文件要求提供的本项目所有工作内容。</w:t>
      </w:r>
    </w:p>
    <w:p w14:paraId="04119B80">
      <w:pPr>
        <w:spacing w:line="400" w:lineRule="exact"/>
        <w:rPr>
          <w:rFonts w:ascii="宋体" w:hAnsi="宋体" w:cs="宋体"/>
          <w:bCs/>
          <w:sz w:val="24"/>
          <w:highlight w:val="none"/>
        </w:rPr>
      </w:pPr>
      <w:r>
        <w:rPr>
          <w:rFonts w:hint="eastAsia" w:ascii="宋体" w:hAnsi="宋体" w:cs="宋体"/>
          <w:bCs/>
          <w:sz w:val="24"/>
          <w:highlight w:val="none"/>
        </w:rPr>
        <w:t>5、“磋商采购单位”系指组织本次磋商的“采购代理机构”和“采购人”</w:t>
      </w:r>
    </w:p>
    <w:p w14:paraId="44C1A565">
      <w:pPr>
        <w:spacing w:line="400" w:lineRule="exact"/>
        <w:outlineLvl w:val="2"/>
        <w:rPr>
          <w:rFonts w:ascii="宋体" w:hAnsi="宋体" w:cs="宋体"/>
          <w:b/>
          <w:sz w:val="24"/>
          <w:highlight w:val="none"/>
        </w:rPr>
      </w:pPr>
      <w:bookmarkStart w:id="10" w:name="_Toc2086"/>
      <w:bookmarkStart w:id="11" w:name="_Toc31441"/>
      <w:bookmarkStart w:id="12" w:name="_Toc282640698"/>
      <w:r>
        <w:rPr>
          <w:rFonts w:hint="eastAsia" w:ascii="宋体" w:hAnsi="宋体" w:cs="宋体"/>
          <w:b/>
          <w:sz w:val="24"/>
          <w:highlight w:val="none"/>
        </w:rPr>
        <w:t>（三）采购方式</w:t>
      </w:r>
    </w:p>
    <w:p w14:paraId="225AD240">
      <w:pPr>
        <w:spacing w:line="400" w:lineRule="exact"/>
        <w:rPr>
          <w:rFonts w:ascii="宋体" w:hAnsi="宋体" w:cs="宋体"/>
          <w:bCs/>
          <w:sz w:val="24"/>
          <w:highlight w:val="none"/>
        </w:rPr>
      </w:pPr>
      <w:r>
        <w:rPr>
          <w:rFonts w:hint="eastAsia" w:ascii="宋体" w:hAnsi="宋体" w:cs="宋体"/>
          <w:bCs/>
          <w:sz w:val="24"/>
          <w:highlight w:val="none"/>
        </w:rPr>
        <w:t>本次采用竞争性磋商方式进行。</w:t>
      </w:r>
    </w:p>
    <w:p w14:paraId="703B8D3F">
      <w:pPr>
        <w:spacing w:line="400" w:lineRule="exact"/>
        <w:outlineLvl w:val="2"/>
        <w:rPr>
          <w:rFonts w:ascii="宋体" w:hAnsi="宋体" w:cs="宋体"/>
          <w:b/>
          <w:sz w:val="24"/>
          <w:highlight w:val="none"/>
        </w:rPr>
      </w:pPr>
      <w:r>
        <w:rPr>
          <w:rFonts w:hint="eastAsia" w:ascii="宋体" w:hAnsi="宋体" w:cs="宋体"/>
          <w:b/>
          <w:sz w:val="24"/>
          <w:highlight w:val="none"/>
        </w:rPr>
        <w:t>（四）供应商的资格要求</w:t>
      </w:r>
    </w:p>
    <w:p w14:paraId="7AE427BD">
      <w:pPr>
        <w:spacing w:line="400" w:lineRule="exact"/>
        <w:rPr>
          <w:rFonts w:ascii="宋体" w:hAnsi="宋体" w:cs="宋体"/>
          <w:bCs/>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 xml:space="preserve"> 符合竞争性磋商公告第四条供应商资格要求。</w:t>
      </w:r>
    </w:p>
    <w:p w14:paraId="15FE800A">
      <w:pPr>
        <w:spacing w:line="400" w:lineRule="exact"/>
        <w:outlineLvl w:val="2"/>
        <w:rPr>
          <w:rFonts w:ascii="宋体" w:hAnsi="宋体" w:cs="宋体"/>
          <w:b/>
          <w:sz w:val="24"/>
          <w:highlight w:val="none"/>
        </w:rPr>
      </w:pPr>
      <w:r>
        <w:rPr>
          <w:rFonts w:hint="eastAsia" w:ascii="宋体" w:hAnsi="宋体" w:cs="宋体"/>
          <w:b/>
          <w:sz w:val="24"/>
          <w:highlight w:val="none"/>
        </w:rPr>
        <w:t>（五）联合体投标</w:t>
      </w:r>
    </w:p>
    <w:p w14:paraId="3EFD5697">
      <w:pPr>
        <w:spacing w:line="400" w:lineRule="exact"/>
        <w:ind w:firstLine="240" w:firstLineChars="100"/>
        <w:rPr>
          <w:rFonts w:ascii="宋体" w:hAnsi="宋体" w:cs="宋体"/>
          <w:bCs/>
          <w:sz w:val="24"/>
          <w:highlight w:val="none"/>
        </w:rPr>
      </w:pPr>
      <w:r>
        <w:rPr>
          <w:rFonts w:hint="eastAsia" w:ascii="宋体" w:hAnsi="宋体" w:cs="宋体"/>
          <w:bCs/>
          <w:sz w:val="24"/>
          <w:highlight w:val="none"/>
        </w:rPr>
        <w:t>不接受联合体投标。</w:t>
      </w:r>
    </w:p>
    <w:p w14:paraId="73229749">
      <w:pPr>
        <w:spacing w:line="400" w:lineRule="exact"/>
        <w:outlineLvl w:val="2"/>
        <w:rPr>
          <w:rFonts w:ascii="宋体" w:hAnsi="宋体" w:cs="宋体"/>
          <w:b/>
          <w:sz w:val="24"/>
          <w:highlight w:val="none"/>
        </w:rPr>
      </w:pPr>
      <w:r>
        <w:rPr>
          <w:rFonts w:hint="eastAsia" w:ascii="宋体" w:hAnsi="宋体" w:cs="宋体"/>
          <w:b/>
          <w:sz w:val="24"/>
          <w:highlight w:val="none"/>
        </w:rPr>
        <w:t>（六）转包</w:t>
      </w:r>
    </w:p>
    <w:p w14:paraId="3BEC3E98">
      <w:pPr>
        <w:spacing w:line="400" w:lineRule="exact"/>
        <w:rPr>
          <w:rFonts w:ascii="宋体" w:hAnsi="宋体" w:cs="宋体"/>
          <w:bCs/>
          <w:sz w:val="24"/>
          <w:highlight w:val="none"/>
        </w:rPr>
      </w:pPr>
      <w:r>
        <w:rPr>
          <w:rFonts w:hint="eastAsia" w:ascii="宋体" w:hAnsi="宋体" w:cs="宋体"/>
          <w:bCs/>
          <w:sz w:val="24"/>
          <w:highlight w:val="none"/>
        </w:rPr>
        <w:t>本项目不允许转包。</w:t>
      </w:r>
    </w:p>
    <w:p w14:paraId="7206DA9A">
      <w:pPr>
        <w:spacing w:line="400" w:lineRule="exact"/>
        <w:outlineLvl w:val="2"/>
        <w:rPr>
          <w:rFonts w:ascii="宋体" w:hAnsi="宋体" w:cs="宋体"/>
          <w:b/>
          <w:sz w:val="24"/>
          <w:highlight w:val="none"/>
        </w:rPr>
      </w:pPr>
      <w:r>
        <w:rPr>
          <w:rFonts w:hint="eastAsia" w:ascii="宋体" w:hAnsi="宋体" w:cs="宋体"/>
          <w:b/>
          <w:sz w:val="24"/>
          <w:highlight w:val="none"/>
        </w:rPr>
        <w:t>（七）投标费用</w:t>
      </w:r>
    </w:p>
    <w:p w14:paraId="6AFA4492">
      <w:pPr>
        <w:spacing w:line="400" w:lineRule="exact"/>
        <w:rPr>
          <w:rFonts w:ascii="宋体" w:hAnsi="宋体" w:cs="宋体"/>
          <w:bCs/>
          <w:sz w:val="24"/>
          <w:highlight w:val="none"/>
        </w:rPr>
      </w:pPr>
      <w:r>
        <w:rPr>
          <w:rFonts w:hint="eastAsia" w:ascii="宋体" w:hAnsi="宋体" w:cs="宋体"/>
          <w:bCs/>
          <w:sz w:val="24"/>
          <w:highlight w:val="none"/>
        </w:rPr>
        <w:t>不论投标结果如何，供应商均应自行承担所有与投标有关的全部费用。</w:t>
      </w:r>
      <w:bookmarkEnd w:id="7"/>
      <w:bookmarkEnd w:id="8"/>
      <w:bookmarkEnd w:id="9"/>
      <w:bookmarkEnd w:id="10"/>
      <w:bookmarkEnd w:id="11"/>
      <w:bookmarkEnd w:id="12"/>
    </w:p>
    <w:p w14:paraId="02ACF2C7">
      <w:pPr>
        <w:snapToGrid w:val="0"/>
        <w:spacing w:line="276" w:lineRule="auto"/>
        <w:rPr>
          <w:rFonts w:ascii="宋体" w:hAnsi="宋体" w:cs="宋体"/>
          <w:b/>
          <w:sz w:val="28"/>
          <w:szCs w:val="30"/>
          <w:highlight w:val="none"/>
        </w:rPr>
      </w:pPr>
      <w:bookmarkStart w:id="13" w:name="_Toc269397669"/>
      <w:bookmarkStart w:id="14" w:name="_Toc182125819"/>
      <w:bookmarkStart w:id="15" w:name="_Toc182125896"/>
    </w:p>
    <w:p w14:paraId="3E6025B2">
      <w:pPr>
        <w:snapToGrid w:val="0"/>
        <w:spacing w:line="276" w:lineRule="auto"/>
        <w:jc w:val="center"/>
        <w:outlineLvl w:val="1"/>
        <w:rPr>
          <w:rFonts w:ascii="宋体" w:hAnsi="宋体" w:cs="宋体"/>
          <w:b/>
          <w:sz w:val="32"/>
          <w:szCs w:val="32"/>
          <w:highlight w:val="none"/>
        </w:rPr>
      </w:pPr>
      <w:r>
        <w:rPr>
          <w:rFonts w:hint="eastAsia" w:ascii="宋体" w:hAnsi="宋体" w:cs="宋体"/>
          <w:b/>
          <w:sz w:val="32"/>
          <w:szCs w:val="32"/>
          <w:highlight w:val="none"/>
        </w:rPr>
        <w:t>二、竞争性磋商文件</w:t>
      </w:r>
      <w:bookmarkEnd w:id="13"/>
      <w:bookmarkEnd w:id="14"/>
      <w:bookmarkEnd w:id="15"/>
    </w:p>
    <w:p w14:paraId="5938266C">
      <w:pPr>
        <w:spacing w:line="400" w:lineRule="exact"/>
        <w:outlineLvl w:val="2"/>
        <w:rPr>
          <w:rFonts w:ascii="宋体" w:hAnsi="宋体" w:cs="宋体"/>
          <w:b/>
          <w:sz w:val="24"/>
          <w:highlight w:val="none"/>
        </w:rPr>
      </w:pPr>
      <w:r>
        <w:rPr>
          <w:rFonts w:hint="eastAsia" w:ascii="宋体" w:hAnsi="宋体" w:cs="宋体"/>
          <w:b/>
          <w:sz w:val="24"/>
          <w:highlight w:val="none"/>
        </w:rPr>
        <w:t>（一）</w:t>
      </w:r>
      <w:r>
        <w:rPr>
          <w:rFonts w:hint="eastAsia" w:ascii="宋体" w:hAnsi="宋体" w:cs="宋体"/>
          <w:b/>
          <w:sz w:val="24"/>
          <w:highlight w:val="none"/>
          <w:lang w:val="zh-CN"/>
        </w:rPr>
        <w:t>竞争性磋商</w:t>
      </w:r>
      <w:r>
        <w:rPr>
          <w:rFonts w:hint="eastAsia" w:ascii="宋体" w:hAnsi="宋体" w:cs="宋体"/>
          <w:b/>
          <w:sz w:val="24"/>
          <w:highlight w:val="none"/>
        </w:rPr>
        <w:t>文件组成</w:t>
      </w:r>
    </w:p>
    <w:p w14:paraId="364035A2">
      <w:pPr>
        <w:spacing w:line="400" w:lineRule="exact"/>
        <w:ind w:firstLine="480" w:firstLineChars="200"/>
        <w:rPr>
          <w:rFonts w:ascii="宋体" w:hAnsi="宋体"/>
          <w:sz w:val="24"/>
          <w:highlight w:val="none"/>
        </w:rPr>
      </w:pPr>
      <w:r>
        <w:rPr>
          <w:rFonts w:hint="eastAsia" w:ascii="宋体"/>
          <w:sz w:val="24"/>
          <w:highlight w:val="none"/>
          <w:lang w:val="zh-CN"/>
        </w:rPr>
        <w:t>竞争性磋商</w:t>
      </w:r>
      <w:r>
        <w:rPr>
          <w:rFonts w:hint="eastAsia" w:ascii="宋体" w:hAnsi="宋体"/>
          <w:sz w:val="24"/>
          <w:highlight w:val="none"/>
        </w:rPr>
        <w:t>文件由</w:t>
      </w:r>
      <w:r>
        <w:rPr>
          <w:rFonts w:hint="eastAsia" w:ascii="宋体"/>
          <w:sz w:val="24"/>
          <w:highlight w:val="none"/>
          <w:lang w:val="zh-CN"/>
        </w:rPr>
        <w:t>总目录所列内容组成。</w:t>
      </w:r>
    </w:p>
    <w:p w14:paraId="3018CBDE">
      <w:pPr>
        <w:spacing w:line="400" w:lineRule="exact"/>
        <w:outlineLvl w:val="2"/>
        <w:rPr>
          <w:rFonts w:ascii="宋体" w:hAnsi="宋体" w:cs="宋体"/>
          <w:b/>
          <w:sz w:val="24"/>
          <w:highlight w:val="none"/>
        </w:rPr>
      </w:pPr>
      <w:r>
        <w:rPr>
          <w:rFonts w:hint="eastAsia" w:ascii="宋体" w:hAnsi="宋体" w:cs="宋体"/>
          <w:b/>
          <w:sz w:val="24"/>
          <w:highlight w:val="none"/>
        </w:rPr>
        <w:t>（二）</w:t>
      </w:r>
      <w:r>
        <w:rPr>
          <w:rFonts w:hint="eastAsia" w:ascii="宋体" w:hAnsi="宋体" w:cs="宋体"/>
          <w:b/>
          <w:sz w:val="24"/>
          <w:highlight w:val="none"/>
          <w:lang w:val="zh-CN"/>
        </w:rPr>
        <w:t>竞争性磋商</w:t>
      </w:r>
      <w:r>
        <w:rPr>
          <w:rFonts w:hint="eastAsia" w:ascii="宋体" w:hAnsi="宋体" w:cs="宋体"/>
          <w:b/>
          <w:sz w:val="24"/>
          <w:highlight w:val="none"/>
        </w:rPr>
        <w:t>文件的澄清</w:t>
      </w:r>
    </w:p>
    <w:p w14:paraId="471540DB">
      <w:pPr>
        <w:autoSpaceDE w:val="0"/>
        <w:autoSpaceDN w:val="0"/>
        <w:adjustRightInd w:val="0"/>
        <w:spacing w:line="400" w:lineRule="exact"/>
        <w:ind w:firstLine="480" w:firstLineChars="200"/>
        <w:rPr>
          <w:rFonts w:ascii="宋体"/>
          <w:sz w:val="24"/>
          <w:highlight w:val="none"/>
          <w:lang w:val="zh-CN"/>
        </w:rPr>
      </w:pPr>
      <w:r>
        <w:rPr>
          <w:rFonts w:hint="eastAsia" w:ascii="宋体" w:hAnsi="宋体"/>
          <w:sz w:val="24"/>
          <w:highlight w:val="none"/>
          <w:lang w:val="zh-CN"/>
        </w:rPr>
        <w:t>供应商</w:t>
      </w:r>
      <w:r>
        <w:rPr>
          <w:rFonts w:hint="eastAsia" w:ascii="宋体"/>
          <w:sz w:val="24"/>
          <w:highlight w:val="none"/>
          <w:lang w:val="zh-CN"/>
        </w:rPr>
        <w:t>如发现竞争性磋商文件中内容存在含糊不清、相互矛盾、多种含义以及歧视性不公正条款或违法、违规等有疑点要求澄清的，</w:t>
      </w:r>
      <w:r>
        <w:rPr>
          <w:rFonts w:hint="eastAsia" w:ascii="宋体"/>
          <w:bCs/>
          <w:sz w:val="24"/>
          <w:highlight w:val="none"/>
          <w:lang w:val="zh-CN"/>
        </w:rPr>
        <w:t>请在</w:t>
      </w:r>
      <w:r>
        <w:rPr>
          <w:rFonts w:hint="eastAsia"/>
          <w:bCs/>
          <w:sz w:val="24"/>
          <w:highlight w:val="none"/>
        </w:rPr>
        <w:t>“磋商须知”规定的时间内</w:t>
      </w:r>
      <w:r>
        <w:rPr>
          <w:rFonts w:hint="eastAsia" w:ascii="宋体"/>
          <w:bCs/>
          <w:sz w:val="24"/>
          <w:highlight w:val="none"/>
          <w:lang w:val="zh-CN"/>
        </w:rPr>
        <w:t>把所需答疑的问题以书面形式（盖单位公章）提交至招标代理机构，逾期不得再对竞争性磋商文件的条款提出疑问，由</w:t>
      </w:r>
      <w:r>
        <w:rPr>
          <w:rFonts w:hint="eastAsia" w:ascii="宋体"/>
          <w:sz w:val="24"/>
          <w:highlight w:val="none"/>
          <w:lang w:val="zh-CN"/>
        </w:rPr>
        <w:t>此而导致</w:t>
      </w:r>
      <w:r>
        <w:rPr>
          <w:rFonts w:hint="eastAsia" w:ascii="宋体" w:hAnsi="宋体"/>
          <w:sz w:val="24"/>
          <w:highlight w:val="none"/>
          <w:lang w:val="zh-CN"/>
        </w:rPr>
        <w:t>供应商</w:t>
      </w:r>
      <w:r>
        <w:rPr>
          <w:rFonts w:hint="eastAsia" w:ascii="宋体"/>
          <w:sz w:val="24"/>
          <w:highlight w:val="none"/>
          <w:lang w:val="zh-CN"/>
        </w:rPr>
        <w:t>不成交或成交后产生不利因素的，责任由</w:t>
      </w:r>
      <w:r>
        <w:rPr>
          <w:rFonts w:hint="eastAsia" w:ascii="宋体" w:hAnsi="宋体"/>
          <w:sz w:val="24"/>
          <w:highlight w:val="none"/>
          <w:lang w:val="zh-CN"/>
        </w:rPr>
        <w:t>供应商</w:t>
      </w:r>
      <w:r>
        <w:rPr>
          <w:rFonts w:hint="eastAsia" w:ascii="宋体"/>
          <w:sz w:val="24"/>
          <w:highlight w:val="none"/>
          <w:lang w:val="zh-CN"/>
        </w:rPr>
        <w:t>自负。</w:t>
      </w:r>
    </w:p>
    <w:p w14:paraId="43E1ED94">
      <w:pPr>
        <w:spacing w:line="400" w:lineRule="exact"/>
        <w:outlineLvl w:val="2"/>
        <w:rPr>
          <w:rFonts w:ascii="宋体" w:hAnsi="宋体" w:cs="宋体"/>
          <w:b/>
          <w:sz w:val="24"/>
          <w:highlight w:val="none"/>
          <w:lang w:val="zh-CN"/>
        </w:rPr>
      </w:pPr>
      <w:r>
        <w:rPr>
          <w:rFonts w:hint="eastAsia" w:ascii="宋体" w:hAnsi="宋体" w:cs="宋体"/>
          <w:b/>
          <w:sz w:val="24"/>
          <w:highlight w:val="none"/>
          <w:lang w:val="zh-CN"/>
        </w:rPr>
        <w:t>（三）竞争性磋商文件的修改</w:t>
      </w:r>
    </w:p>
    <w:p w14:paraId="60C898F6">
      <w:pPr>
        <w:autoSpaceDE w:val="0"/>
        <w:autoSpaceDN w:val="0"/>
        <w:adjustRightInd w:val="0"/>
        <w:spacing w:line="400" w:lineRule="exact"/>
        <w:ind w:firstLine="480" w:firstLineChars="200"/>
        <w:rPr>
          <w:rFonts w:ascii="宋体"/>
          <w:sz w:val="24"/>
          <w:highlight w:val="none"/>
          <w:lang w:val="zh-CN"/>
        </w:rPr>
      </w:pPr>
      <w:r>
        <w:rPr>
          <w:rFonts w:hint="eastAsia" w:ascii="宋体"/>
          <w:sz w:val="24"/>
          <w:highlight w:val="none"/>
          <w:lang w:val="zh-CN"/>
        </w:rPr>
        <w:t>1、在竞争性磋商文件提交截止时间前，招标采购单位有权修改竞争性磋商文件，并以书面形式通知所有参加磋商的</w:t>
      </w:r>
      <w:r>
        <w:rPr>
          <w:rFonts w:hint="eastAsia" w:ascii="宋体" w:hAnsi="宋体"/>
          <w:sz w:val="24"/>
          <w:highlight w:val="none"/>
          <w:lang w:val="zh-CN"/>
        </w:rPr>
        <w:t>供应商</w:t>
      </w:r>
      <w:r>
        <w:rPr>
          <w:rFonts w:hint="eastAsia" w:ascii="宋体"/>
          <w:sz w:val="24"/>
          <w:highlight w:val="none"/>
          <w:lang w:val="zh-CN"/>
        </w:rPr>
        <w:t>。修改文件作为竞争性磋商文件的补充和组成部分，对所有</w:t>
      </w:r>
      <w:r>
        <w:rPr>
          <w:rFonts w:hint="eastAsia" w:ascii="宋体" w:hAnsi="宋体"/>
          <w:sz w:val="24"/>
          <w:highlight w:val="none"/>
          <w:lang w:val="zh-CN"/>
        </w:rPr>
        <w:t>供应商</w:t>
      </w:r>
      <w:r>
        <w:rPr>
          <w:rFonts w:hint="eastAsia" w:ascii="宋体"/>
          <w:sz w:val="24"/>
          <w:highlight w:val="none"/>
          <w:lang w:val="zh-CN"/>
        </w:rPr>
        <w:t>均有约束力。</w:t>
      </w:r>
    </w:p>
    <w:p w14:paraId="346E63A1">
      <w:pPr>
        <w:autoSpaceDE w:val="0"/>
        <w:autoSpaceDN w:val="0"/>
        <w:adjustRightInd w:val="0"/>
        <w:spacing w:line="400" w:lineRule="exact"/>
        <w:ind w:firstLine="480" w:firstLineChars="200"/>
        <w:rPr>
          <w:rFonts w:ascii="宋体"/>
          <w:sz w:val="24"/>
          <w:highlight w:val="none"/>
          <w:lang w:val="zh-CN"/>
        </w:rPr>
      </w:pPr>
      <w:r>
        <w:rPr>
          <w:rFonts w:hint="eastAsia" w:ascii="宋体"/>
          <w:sz w:val="24"/>
          <w:highlight w:val="none"/>
          <w:lang w:val="zh-CN"/>
        </w:rPr>
        <w:t>2、为使</w:t>
      </w:r>
      <w:r>
        <w:rPr>
          <w:rFonts w:hint="eastAsia" w:ascii="宋体" w:hAnsi="宋体"/>
          <w:sz w:val="24"/>
          <w:highlight w:val="none"/>
          <w:lang w:val="zh-CN"/>
        </w:rPr>
        <w:t>供应商</w:t>
      </w:r>
      <w:r>
        <w:rPr>
          <w:rFonts w:hint="eastAsia" w:ascii="宋体"/>
          <w:sz w:val="24"/>
          <w:highlight w:val="none"/>
          <w:lang w:val="zh-CN"/>
        </w:rPr>
        <w:t>有足够的时间按修改文件要求修正</w:t>
      </w:r>
      <w:r>
        <w:rPr>
          <w:rFonts w:hint="eastAsia" w:ascii="宋体" w:hAnsi="宋体"/>
          <w:sz w:val="24"/>
          <w:highlight w:val="none"/>
          <w:lang w:val="zh-CN"/>
        </w:rPr>
        <w:t>供应商</w:t>
      </w:r>
      <w:r>
        <w:rPr>
          <w:rFonts w:hint="eastAsia" w:ascii="宋体"/>
          <w:sz w:val="24"/>
          <w:highlight w:val="none"/>
          <w:lang w:val="zh-CN"/>
        </w:rPr>
        <w:t>竞争性磋商响应文件，招标采购单位可视情推迟</w:t>
      </w:r>
      <w:r>
        <w:rPr>
          <w:rFonts w:hint="eastAsia" w:ascii="宋体" w:hAnsi="宋体"/>
          <w:sz w:val="24"/>
          <w:highlight w:val="none"/>
          <w:lang w:val="zh-CN"/>
        </w:rPr>
        <w:t>供应商</w:t>
      </w:r>
      <w:r>
        <w:rPr>
          <w:rFonts w:hint="eastAsia" w:ascii="宋体"/>
          <w:sz w:val="24"/>
          <w:highlight w:val="none"/>
          <w:lang w:val="zh-CN"/>
        </w:rPr>
        <w:t>竞争性磋商文件提交截止时间和磋商时间，并将此变更通知各</w:t>
      </w:r>
      <w:r>
        <w:rPr>
          <w:rFonts w:hint="eastAsia" w:ascii="宋体" w:hAnsi="宋体"/>
          <w:sz w:val="24"/>
          <w:highlight w:val="none"/>
          <w:lang w:val="zh-CN"/>
        </w:rPr>
        <w:t>供应商</w:t>
      </w:r>
      <w:r>
        <w:rPr>
          <w:rFonts w:hint="eastAsia" w:ascii="宋体"/>
          <w:sz w:val="24"/>
          <w:highlight w:val="none"/>
          <w:lang w:val="zh-CN"/>
        </w:rPr>
        <w:t>。</w:t>
      </w:r>
    </w:p>
    <w:p w14:paraId="0936CC2F">
      <w:pPr>
        <w:spacing w:line="400" w:lineRule="exact"/>
        <w:ind w:firstLine="480" w:firstLineChars="200"/>
        <w:rPr>
          <w:rFonts w:ascii="宋体" w:hAnsi="宋体"/>
          <w:sz w:val="24"/>
          <w:highlight w:val="none"/>
        </w:rPr>
      </w:pPr>
      <w:r>
        <w:rPr>
          <w:rFonts w:hint="eastAsia" w:ascii="宋体"/>
          <w:sz w:val="24"/>
          <w:highlight w:val="none"/>
          <w:lang w:val="zh-CN"/>
        </w:rPr>
        <w:t>3、竞争性磋商</w:t>
      </w:r>
      <w:r>
        <w:rPr>
          <w:rFonts w:ascii="宋体" w:hAnsi="宋体"/>
          <w:sz w:val="24"/>
          <w:highlight w:val="none"/>
        </w:rPr>
        <w:t>文件的澄清、修改、补充等内容均以书面明确的内容为准。当</w:t>
      </w:r>
      <w:r>
        <w:rPr>
          <w:rFonts w:hint="eastAsia" w:ascii="宋体"/>
          <w:sz w:val="24"/>
          <w:highlight w:val="none"/>
          <w:lang w:val="zh-CN"/>
        </w:rPr>
        <w:t>竞争性磋商</w:t>
      </w:r>
      <w:r>
        <w:rPr>
          <w:rFonts w:ascii="宋体" w:hAnsi="宋体"/>
          <w:sz w:val="24"/>
          <w:highlight w:val="none"/>
        </w:rPr>
        <w:t>文件</w:t>
      </w:r>
      <w:r>
        <w:rPr>
          <w:rFonts w:hint="eastAsia" w:ascii="宋体" w:hAnsi="宋体"/>
          <w:sz w:val="24"/>
          <w:highlight w:val="none"/>
        </w:rPr>
        <w:t>与</w:t>
      </w:r>
      <w:r>
        <w:rPr>
          <w:rFonts w:hint="eastAsia" w:ascii="宋体"/>
          <w:sz w:val="24"/>
          <w:highlight w:val="none"/>
          <w:lang w:val="zh-CN"/>
        </w:rPr>
        <w:t>竞争性磋商</w:t>
      </w:r>
      <w:r>
        <w:rPr>
          <w:rFonts w:ascii="宋体" w:hAnsi="宋体"/>
          <w:sz w:val="24"/>
          <w:highlight w:val="none"/>
        </w:rPr>
        <w:t>文件的澄清、修改、补充等在同一内容的表述上不一致时，以最后发出的书面文件为准。</w:t>
      </w:r>
    </w:p>
    <w:p w14:paraId="65AE4443">
      <w:pPr>
        <w:snapToGrid w:val="0"/>
        <w:spacing w:line="276" w:lineRule="auto"/>
        <w:jc w:val="center"/>
        <w:rPr>
          <w:rFonts w:ascii="宋体" w:hAnsi="宋体" w:cs="宋体"/>
          <w:b/>
          <w:sz w:val="32"/>
          <w:szCs w:val="32"/>
          <w:highlight w:val="none"/>
        </w:rPr>
      </w:pPr>
    </w:p>
    <w:p w14:paraId="4561DF4B">
      <w:pPr>
        <w:snapToGrid w:val="0"/>
        <w:spacing w:line="276" w:lineRule="auto"/>
        <w:jc w:val="center"/>
        <w:outlineLvl w:val="1"/>
        <w:rPr>
          <w:rFonts w:ascii="宋体" w:hAnsi="宋体" w:cs="宋体"/>
          <w:b/>
          <w:sz w:val="32"/>
          <w:szCs w:val="32"/>
          <w:highlight w:val="none"/>
        </w:rPr>
      </w:pPr>
      <w:r>
        <w:rPr>
          <w:rFonts w:hint="eastAsia" w:ascii="宋体" w:hAnsi="宋体" w:cs="宋体"/>
          <w:b/>
          <w:sz w:val="32"/>
          <w:szCs w:val="32"/>
          <w:highlight w:val="none"/>
        </w:rPr>
        <w:t>三、响应文件的编制</w:t>
      </w:r>
    </w:p>
    <w:p w14:paraId="5BF71FD3">
      <w:pPr>
        <w:spacing w:line="360" w:lineRule="exact"/>
        <w:rPr>
          <w:rFonts w:ascii="宋体" w:hAnsi="宋体" w:cs="宋体"/>
          <w:bCs/>
          <w:sz w:val="24"/>
          <w:highlight w:val="none"/>
        </w:rPr>
      </w:pPr>
    </w:p>
    <w:p w14:paraId="6E4A14BB">
      <w:pPr>
        <w:spacing w:line="400" w:lineRule="exact"/>
        <w:ind w:firstLine="480" w:firstLineChars="200"/>
        <w:rPr>
          <w:rFonts w:ascii="宋体" w:hAnsi="宋体" w:cs="宋体"/>
          <w:bCs/>
          <w:sz w:val="24"/>
          <w:highlight w:val="none"/>
        </w:rPr>
      </w:pPr>
      <w:r>
        <w:rPr>
          <w:rFonts w:hint="eastAsia" w:ascii="宋体" w:hAnsi="宋体" w:cs="宋体"/>
          <w:bCs/>
          <w:sz w:val="24"/>
          <w:highlight w:val="none"/>
        </w:rPr>
        <w:t>供应商应仔细阅读竞争性磋商文件中的所有内容，按照磋商文件及采购服务要求，详细编制响应文件。</w:t>
      </w:r>
    </w:p>
    <w:p w14:paraId="3C5A342F">
      <w:pPr>
        <w:snapToGrid w:val="0"/>
        <w:spacing w:line="400" w:lineRule="exact"/>
        <w:ind w:firstLine="472" w:firstLineChars="196"/>
        <w:jc w:val="left"/>
        <w:rPr>
          <w:rFonts w:ascii="宋体" w:hAnsi="宋体" w:cs="宋体"/>
          <w:b/>
          <w:sz w:val="24"/>
          <w:highlight w:val="none"/>
        </w:rPr>
      </w:pPr>
      <w:r>
        <w:rPr>
          <w:rFonts w:hint="eastAsia" w:ascii="宋体" w:hAnsi="宋体" w:cs="宋体"/>
          <w:b/>
          <w:sz w:val="24"/>
          <w:highlight w:val="none"/>
          <w:lang w:bidi="ar"/>
        </w:rPr>
        <w:t>（一）响应文件的形式和效力</w:t>
      </w:r>
    </w:p>
    <w:p w14:paraId="2D584BFD">
      <w:pPr>
        <w:adjustRightInd w:val="0"/>
        <w:snapToGrid w:val="0"/>
        <w:spacing w:line="400" w:lineRule="exact"/>
        <w:ind w:firstLine="480" w:firstLineChars="200"/>
        <w:rPr>
          <w:rFonts w:ascii="宋体" w:hAnsi="宋体" w:cs="宋体"/>
          <w:bCs/>
          <w:sz w:val="24"/>
          <w:highlight w:val="none"/>
        </w:rPr>
      </w:pPr>
      <w:r>
        <w:rPr>
          <w:rFonts w:hint="eastAsia" w:ascii="宋体" w:hAnsi="宋体" w:cs="宋体"/>
          <w:bCs/>
          <w:sz w:val="24"/>
          <w:highlight w:val="none"/>
          <w:lang w:bidi="ar"/>
        </w:rPr>
        <w:t>响应文件分为电子响应文件。供应商还可以提供备份响应文件，备份文件为以介质存储的数据电文形式的响应文件。</w:t>
      </w:r>
    </w:p>
    <w:p w14:paraId="28477346">
      <w:pPr>
        <w:adjustRightInd w:val="0"/>
        <w:snapToGrid w:val="0"/>
        <w:spacing w:line="400" w:lineRule="exact"/>
        <w:ind w:firstLine="480" w:firstLineChars="200"/>
        <w:rPr>
          <w:rFonts w:ascii="宋体" w:hAnsi="宋体" w:cs="宋体"/>
          <w:bCs/>
          <w:sz w:val="24"/>
          <w:highlight w:val="none"/>
        </w:rPr>
      </w:pPr>
      <w:r>
        <w:rPr>
          <w:rFonts w:hint="eastAsia" w:ascii="宋体" w:hAnsi="宋体" w:cs="宋体"/>
          <w:bCs/>
          <w:sz w:val="24"/>
          <w:highlight w:val="none"/>
          <w:lang w:bidi="ar"/>
        </w:rPr>
        <w:t>1、电子响应文件，按“政采云供应商项目采购-电子招投标操作指南”及本磋商文件要求制作、加密并递交。</w:t>
      </w:r>
    </w:p>
    <w:p w14:paraId="7EDF2FF2">
      <w:pPr>
        <w:adjustRightInd w:val="0"/>
        <w:snapToGrid w:val="0"/>
        <w:spacing w:line="400" w:lineRule="exact"/>
        <w:ind w:firstLine="480" w:firstLineChars="200"/>
        <w:rPr>
          <w:rFonts w:ascii="宋体" w:hAnsi="宋体" w:cs="宋体"/>
          <w:bCs/>
          <w:sz w:val="24"/>
          <w:highlight w:val="none"/>
        </w:rPr>
      </w:pPr>
      <w:r>
        <w:rPr>
          <w:rFonts w:hint="eastAsia" w:ascii="宋体" w:hAnsi="宋体" w:cs="宋体"/>
          <w:bCs/>
          <w:sz w:val="24"/>
          <w:highlight w:val="none"/>
          <w:lang w:bidi="ar"/>
        </w:rPr>
        <w:t>2、以介质存储的数据电文形式的备份响应文件，按政采云供应商项目采购-电子招投标操作指南中制作的电子响应文件和未加密的响应文件。</w:t>
      </w:r>
    </w:p>
    <w:p w14:paraId="00E85B7A">
      <w:pPr>
        <w:adjustRightInd w:val="0"/>
        <w:snapToGrid w:val="0"/>
        <w:spacing w:line="400" w:lineRule="exact"/>
        <w:ind w:firstLine="480" w:firstLineChars="200"/>
        <w:rPr>
          <w:rFonts w:ascii="宋体" w:hAnsi="宋体" w:cs="宋体"/>
          <w:bCs/>
          <w:sz w:val="24"/>
          <w:highlight w:val="none"/>
        </w:rPr>
      </w:pPr>
      <w:r>
        <w:rPr>
          <w:rFonts w:hint="eastAsia" w:ascii="宋体" w:hAnsi="宋体" w:cs="宋体"/>
          <w:bCs/>
          <w:sz w:val="24"/>
          <w:highlight w:val="none"/>
          <w:lang w:bidi="ar"/>
        </w:rPr>
        <w:t>3、响应文件按“第六章 响应文件的编制”编制。</w:t>
      </w:r>
    </w:p>
    <w:p w14:paraId="2D966BBE">
      <w:pPr>
        <w:spacing w:line="400" w:lineRule="exact"/>
        <w:ind w:firstLine="240" w:firstLineChars="100"/>
        <w:rPr>
          <w:rFonts w:ascii="宋体" w:hAnsi="宋体" w:cs="宋体"/>
          <w:sz w:val="24"/>
          <w:highlight w:val="none"/>
        </w:rPr>
      </w:pPr>
      <w:r>
        <w:rPr>
          <w:rFonts w:hint="eastAsia" w:ascii="宋体" w:hAnsi="宋体" w:cs="宋体"/>
          <w:color w:val="000000"/>
          <w:sz w:val="24"/>
          <w:highlight w:val="none"/>
          <w:shd w:val="clear" w:color="auto" w:fill="FFFFFF"/>
        </w:rPr>
        <w:t>磋商响应文件未按时解密，供应商提供了备份响应文件的，以备份响应文件作为依据，否则视为响应文件撤回。响应文件已按时解密的，备份响应文件自动失效。</w:t>
      </w:r>
    </w:p>
    <w:p w14:paraId="053A80A3">
      <w:pPr>
        <w:snapToGrid w:val="0"/>
        <w:spacing w:line="400" w:lineRule="exact"/>
        <w:ind w:firstLine="472" w:firstLineChars="196"/>
        <w:jc w:val="left"/>
        <w:outlineLvl w:val="0"/>
        <w:rPr>
          <w:rFonts w:ascii="宋体" w:hAnsi="宋体" w:cs="宋体"/>
          <w:b/>
          <w:sz w:val="24"/>
          <w:highlight w:val="none"/>
        </w:rPr>
      </w:pPr>
      <w:r>
        <w:rPr>
          <w:rFonts w:hint="eastAsia" w:ascii="宋体" w:hAnsi="宋体" w:cs="宋体"/>
          <w:b/>
          <w:sz w:val="24"/>
          <w:highlight w:val="none"/>
          <w:lang w:bidi="ar"/>
        </w:rPr>
        <w:t>（二）响应文件的组成</w:t>
      </w:r>
    </w:p>
    <w:p w14:paraId="23A86D75">
      <w:pPr>
        <w:pStyle w:val="23"/>
        <w:snapToGrid w:val="0"/>
        <w:spacing w:before="0" w:beforeAutospacing="0" w:after="0" w:afterAutospacing="0" w:line="400" w:lineRule="exact"/>
        <w:ind w:firstLine="475" w:firstLineChars="198"/>
        <w:rPr>
          <w:rFonts w:ascii="宋体" w:hAnsi="宋体" w:eastAsia="宋体" w:cs="宋体"/>
          <w:color w:val="auto"/>
          <w:highlight w:val="none"/>
        </w:rPr>
      </w:pPr>
      <w:r>
        <w:rPr>
          <w:rFonts w:hint="eastAsia" w:ascii="宋体" w:hAnsi="宋体" w:eastAsia="宋体" w:cs="宋体"/>
          <w:highlight w:val="none"/>
          <w:lang w:bidi="ar"/>
        </w:rPr>
        <w:t>响应文件由《资格文件》、《商务技术文件》、《报价文件》</w:t>
      </w:r>
      <w:r>
        <w:rPr>
          <w:rFonts w:hint="eastAsia" w:ascii="宋体" w:hAnsi="宋体" w:eastAsia="宋体" w:cs="宋体"/>
          <w:color w:val="auto"/>
          <w:highlight w:val="none"/>
          <w:lang w:bidi="ar"/>
        </w:rPr>
        <w:t>组成，其中电子响应文件中所须加盖公章部分均采用CA签章。（具体要求详见第六章 响应文件编制）</w:t>
      </w:r>
    </w:p>
    <w:p w14:paraId="3F81EE82">
      <w:pPr>
        <w:snapToGrid w:val="0"/>
        <w:spacing w:line="400" w:lineRule="exact"/>
        <w:ind w:firstLine="472" w:firstLineChars="196"/>
        <w:jc w:val="left"/>
        <w:rPr>
          <w:rFonts w:ascii="宋体" w:hAnsi="宋体" w:cs="宋体"/>
          <w:b/>
          <w:sz w:val="24"/>
          <w:highlight w:val="none"/>
          <w:lang w:bidi="ar"/>
        </w:rPr>
      </w:pPr>
      <w:r>
        <w:rPr>
          <w:rFonts w:hint="eastAsia" w:ascii="宋体" w:hAnsi="宋体" w:cs="宋体"/>
          <w:b/>
          <w:sz w:val="24"/>
          <w:highlight w:val="none"/>
          <w:lang w:bidi="ar"/>
        </w:rPr>
        <w:t>（三）响应文件的语言及计量</w:t>
      </w:r>
    </w:p>
    <w:p w14:paraId="367CA5E6">
      <w:pPr>
        <w:spacing w:line="400" w:lineRule="exact"/>
        <w:ind w:firstLine="470" w:firstLineChars="196"/>
        <w:outlineLvl w:val="0"/>
        <w:rPr>
          <w:rFonts w:ascii="宋体" w:hAnsi="宋体" w:cs="宋体"/>
          <w:sz w:val="24"/>
          <w:highlight w:val="none"/>
        </w:rPr>
      </w:pPr>
      <w:r>
        <w:rPr>
          <w:rFonts w:hint="eastAsia" w:ascii="宋体" w:hAnsi="宋体" w:cs="宋体"/>
          <w:sz w:val="24"/>
          <w:highlight w:val="none"/>
        </w:rPr>
        <w:t>1、响应文件以及供应商与采购代理机构就有关投标事宜的所有来往函电，均应以中文汉语书写。除签名、盖章、专用名称、特殊证明材料等情形外，以中文汉语以外的文字表述的响应文件视同未提供。</w:t>
      </w:r>
    </w:p>
    <w:p w14:paraId="04AC8771">
      <w:pPr>
        <w:spacing w:line="400" w:lineRule="exact"/>
        <w:ind w:firstLine="470" w:firstLineChars="196"/>
        <w:outlineLvl w:val="0"/>
        <w:rPr>
          <w:rFonts w:ascii="宋体" w:hAnsi="宋体" w:cs="宋体"/>
          <w:sz w:val="24"/>
          <w:highlight w:val="none"/>
        </w:rPr>
      </w:pPr>
      <w:r>
        <w:rPr>
          <w:rFonts w:hint="eastAsia" w:ascii="宋体" w:hAnsi="宋体" w:cs="宋体"/>
          <w:sz w:val="24"/>
          <w:highlight w:val="none"/>
        </w:rPr>
        <w:t>2、投标计量单位，应采用中华人民共和国法定计量单位（货币单位：人民币元），否则视同未响应。</w:t>
      </w:r>
    </w:p>
    <w:p w14:paraId="05563058">
      <w:pPr>
        <w:snapToGrid w:val="0"/>
        <w:spacing w:line="400" w:lineRule="exact"/>
        <w:ind w:firstLine="472" w:firstLineChars="196"/>
        <w:jc w:val="left"/>
        <w:outlineLvl w:val="0"/>
        <w:rPr>
          <w:rFonts w:ascii="宋体" w:hAnsi="宋体" w:cs="宋体"/>
          <w:b/>
          <w:sz w:val="24"/>
          <w:highlight w:val="none"/>
        </w:rPr>
      </w:pPr>
      <w:r>
        <w:rPr>
          <w:rFonts w:hint="eastAsia" w:ascii="宋体" w:hAnsi="宋体" w:cs="宋体"/>
          <w:b/>
          <w:sz w:val="24"/>
          <w:highlight w:val="none"/>
        </w:rPr>
        <w:t>（四）投标报价</w:t>
      </w:r>
    </w:p>
    <w:p w14:paraId="58AA0F68">
      <w:pPr>
        <w:numPr>
          <w:ilvl w:val="0"/>
          <w:numId w:val="11"/>
        </w:numPr>
        <w:spacing w:line="400" w:lineRule="exact"/>
        <w:ind w:firstLine="470" w:firstLineChars="196"/>
        <w:outlineLvl w:val="0"/>
        <w:rPr>
          <w:rFonts w:ascii="宋体" w:hAnsi="宋体" w:cs="宋体"/>
          <w:sz w:val="24"/>
          <w:highlight w:val="none"/>
        </w:rPr>
      </w:pPr>
      <w:r>
        <w:rPr>
          <w:rFonts w:hint="eastAsia" w:ascii="宋体" w:hAnsi="宋体" w:cs="宋体"/>
          <w:sz w:val="24"/>
          <w:highlight w:val="none"/>
        </w:rPr>
        <w:t>在实际采购中招标人可对实际需求进行调整，可采用高、优于磋商文件的数量及参数要求并相应增、减项目费用。</w:t>
      </w:r>
    </w:p>
    <w:p w14:paraId="5F6339A8">
      <w:pPr>
        <w:numPr>
          <w:ilvl w:val="0"/>
          <w:numId w:val="11"/>
        </w:numPr>
        <w:spacing w:line="400" w:lineRule="exact"/>
        <w:ind w:firstLine="470" w:firstLineChars="196"/>
        <w:outlineLvl w:val="0"/>
        <w:rPr>
          <w:rFonts w:ascii="宋体" w:hAnsi="宋体" w:cs="宋体"/>
          <w:sz w:val="24"/>
          <w:highlight w:val="none"/>
        </w:rPr>
      </w:pPr>
      <w:r>
        <w:rPr>
          <w:rFonts w:hint="eastAsia" w:ascii="宋体" w:hAnsi="宋体" w:cs="宋体"/>
          <w:sz w:val="24"/>
          <w:highlight w:val="none"/>
        </w:rPr>
        <w:t>供应商最终承诺的磋商报价为供应商所能承受的项目对应的一次性最终最低合同总价，包括完成本项目工作内容所需的一切费用。合同总价不得超过本项目对应的预算采购金额。</w:t>
      </w:r>
    </w:p>
    <w:p w14:paraId="3FA62B21">
      <w:pPr>
        <w:numPr>
          <w:ilvl w:val="0"/>
          <w:numId w:val="11"/>
        </w:numPr>
        <w:spacing w:line="400" w:lineRule="exact"/>
        <w:ind w:firstLine="470" w:firstLineChars="196"/>
        <w:outlineLvl w:val="0"/>
        <w:rPr>
          <w:rFonts w:ascii="宋体" w:hAnsi="宋体" w:cs="宋体"/>
          <w:sz w:val="24"/>
          <w:highlight w:val="none"/>
        </w:rPr>
      </w:pPr>
      <w:r>
        <w:rPr>
          <w:rFonts w:hint="eastAsia" w:ascii="宋体" w:hAnsi="宋体" w:cs="宋体"/>
          <w:sz w:val="24"/>
          <w:highlight w:val="none"/>
        </w:rPr>
        <w:t>按国家规定由成交人缴纳的各种税收已包含在投标总价内，由成交人向税务机关缴纳相关费用。</w:t>
      </w:r>
    </w:p>
    <w:p w14:paraId="44883F1A">
      <w:pPr>
        <w:numPr>
          <w:ilvl w:val="0"/>
          <w:numId w:val="11"/>
        </w:numPr>
        <w:spacing w:line="400" w:lineRule="exact"/>
        <w:ind w:firstLine="470" w:firstLineChars="196"/>
        <w:outlineLvl w:val="0"/>
        <w:rPr>
          <w:rFonts w:ascii="宋体" w:hAnsi="宋体" w:cs="宋体"/>
          <w:sz w:val="24"/>
          <w:highlight w:val="none"/>
        </w:rPr>
      </w:pPr>
      <w:r>
        <w:rPr>
          <w:rFonts w:hint="eastAsia" w:ascii="宋体" w:hAnsi="宋体" w:cs="宋体"/>
          <w:sz w:val="24"/>
          <w:highlight w:val="none"/>
        </w:rPr>
        <w:t>成交人须缴纳招标代理服务费。</w:t>
      </w:r>
    </w:p>
    <w:p w14:paraId="6EFD8FAA">
      <w:pPr>
        <w:spacing w:line="400" w:lineRule="exact"/>
        <w:ind w:firstLine="472" w:firstLineChars="196"/>
        <w:jc w:val="left"/>
        <w:outlineLvl w:val="0"/>
        <w:rPr>
          <w:rFonts w:ascii="宋体" w:hAnsi="宋体" w:cs="宋体"/>
          <w:b/>
          <w:sz w:val="24"/>
          <w:highlight w:val="none"/>
        </w:rPr>
      </w:pPr>
      <w:r>
        <w:rPr>
          <w:rFonts w:hint="eastAsia" w:ascii="宋体" w:hAnsi="宋体" w:cs="宋体"/>
          <w:b/>
          <w:sz w:val="24"/>
          <w:highlight w:val="none"/>
        </w:rPr>
        <w:t>（五）响应文件的有效期</w:t>
      </w:r>
    </w:p>
    <w:p w14:paraId="52463B0E">
      <w:pPr>
        <w:numPr>
          <w:ilvl w:val="255"/>
          <w:numId w:val="0"/>
        </w:numPr>
        <w:spacing w:line="400" w:lineRule="exact"/>
        <w:ind w:firstLine="470" w:firstLineChars="196"/>
        <w:outlineLvl w:val="0"/>
        <w:rPr>
          <w:rFonts w:ascii="宋体" w:hAnsi="宋体" w:cs="宋体"/>
          <w:sz w:val="24"/>
          <w:highlight w:val="none"/>
        </w:rPr>
      </w:pPr>
      <w:r>
        <w:rPr>
          <w:rFonts w:hint="eastAsia" w:ascii="宋体" w:hAnsi="宋体" w:cs="宋体"/>
          <w:sz w:val="24"/>
          <w:highlight w:val="none"/>
        </w:rPr>
        <w:t>▲1、自投标截止日起60天响应文件应保持有效。有效期不足的响应文件将被拒绝。</w:t>
      </w:r>
    </w:p>
    <w:p w14:paraId="4D3BA17C">
      <w:pPr>
        <w:numPr>
          <w:ilvl w:val="255"/>
          <w:numId w:val="0"/>
        </w:numPr>
        <w:spacing w:line="400" w:lineRule="exact"/>
        <w:ind w:firstLine="470" w:firstLineChars="196"/>
        <w:outlineLvl w:val="0"/>
        <w:rPr>
          <w:rFonts w:ascii="宋体" w:hAnsi="宋体" w:cs="宋体"/>
          <w:color w:val="auto"/>
          <w:sz w:val="24"/>
          <w:highlight w:val="none"/>
        </w:rPr>
      </w:pPr>
      <w:r>
        <w:rPr>
          <w:rFonts w:hint="eastAsia" w:ascii="宋体" w:hAnsi="宋体" w:cs="宋体"/>
          <w:sz w:val="24"/>
          <w:highlight w:val="none"/>
        </w:rPr>
        <w:t>2、在特殊情况下，采购人可与供应商协商延长响应文件的有效期，这种要求和答复均以书面形式</w:t>
      </w:r>
      <w:r>
        <w:rPr>
          <w:rFonts w:hint="eastAsia" w:ascii="宋体" w:hAnsi="宋体" w:cs="宋体"/>
          <w:color w:val="auto"/>
          <w:sz w:val="24"/>
          <w:highlight w:val="none"/>
        </w:rPr>
        <w:t>进行。</w:t>
      </w:r>
    </w:p>
    <w:p w14:paraId="730019B8">
      <w:pPr>
        <w:numPr>
          <w:ilvl w:val="255"/>
          <w:numId w:val="0"/>
        </w:numPr>
        <w:spacing w:line="400" w:lineRule="exact"/>
        <w:ind w:firstLine="470" w:firstLineChars="196"/>
        <w:outlineLvl w:val="0"/>
        <w:rPr>
          <w:rFonts w:ascii="宋体" w:hAnsi="宋体" w:cs="宋体"/>
          <w:color w:val="auto"/>
          <w:sz w:val="24"/>
          <w:highlight w:val="none"/>
        </w:rPr>
      </w:pPr>
      <w:r>
        <w:rPr>
          <w:rFonts w:hint="eastAsia" w:ascii="宋体" w:hAnsi="宋体" w:cs="宋体"/>
          <w:color w:val="auto"/>
          <w:sz w:val="24"/>
          <w:highlight w:val="none"/>
        </w:rPr>
        <w:t>3、成交人的响应文件自开标之日起至合同履行完毕止均应保持有效。</w:t>
      </w:r>
    </w:p>
    <w:p w14:paraId="0A2B66B3">
      <w:pPr>
        <w:snapToGrid w:val="0"/>
        <w:spacing w:line="400" w:lineRule="exact"/>
        <w:ind w:firstLine="472" w:firstLineChars="196"/>
        <w:jc w:val="left"/>
        <w:outlineLvl w:val="0"/>
        <w:rPr>
          <w:rFonts w:ascii="宋体" w:hAnsi="宋体" w:cs="宋体"/>
          <w:b/>
          <w:color w:val="auto"/>
          <w:sz w:val="24"/>
          <w:highlight w:val="none"/>
        </w:rPr>
      </w:pPr>
      <w:r>
        <w:rPr>
          <w:rFonts w:hint="eastAsia" w:ascii="宋体" w:hAnsi="宋体" w:cs="宋体"/>
          <w:b/>
          <w:color w:val="auto"/>
          <w:sz w:val="24"/>
          <w:highlight w:val="none"/>
        </w:rPr>
        <w:t>（六）响应文件的签署和编制</w:t>
      </w:r>
    </w:p>
    <w:p w14:paraId="58343CF0">
      <w:pPr>
        <w:adjustRightInd w:val="0"/>
        <w:snapToGrid w:val="0"/>
        <w:spacing w:line="400" w:lineRule="exact"/>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lang w:bidi="ar"/>
        </w:rPr>
        <w:t>1、电子响应文件部分：</w:t>
      </w:r>
    </w:p>
    <w:p w14:paraId="1F5A0986">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lang w:bidi="ar"/>
        </w:rPr>
        <w:t>供应商应根据“政采云供应商项目采购-电子招投标操作指南”及本磋商文件规定的格式和顺序编制电子响应文件并进行关联定位。</w:t>
      </w:r>
    </w:p>
    <w:p w14:paraId="4E614258">
      <w:pPr>
        <w:adjustRightInd w:val="0"/>
        <w:snapToGrid w:val="0"/>
        <w:spacing w:line="400" w:lineRule="exact"/>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lang w:bidi="ar"/>
        </w:rPr>
        <w:t>2、如提供以介质存储的数据电文形式的备份响应文件的：</w:t>
      </w:r>
    </w:p>
    <w:p w14:paraId="13EBFCF1">
      <w:pPr>
        <w:adjustRightInd w:val="0"/>
        <w:snapToGrid w:val="0"/>
        <w:spacing w:line="400" w:lineRule="exact"/>
        <w:ind w:firstLine="482" w:firstLineChars="200"/>
        <w:rPr>
          <w:rFonts w:ascii="宋体" w:hAnsi="宋体" w:cs="宋体"/>
          <w:sz w:val="24"/>
          <w:highlight w:val="none"/>
        </w:rPr>
      </w:pPr>
      <w:r>
        <w:rPr>
          <w:rFonts w:hint="eastAsia" w:ascii="宋体" w:hAnsi="宋体" w:cs="宋体"/>
          <w:b/>
          <w:color w:val="auto"/>
          <w:sz w:val="24"/>
          <w:highlight w:val="none"/>
          <w:lang w:bidi="ar"/>
        </w:rPr>
        <w:t>备份电子响应文件，以U盘形式存储。</w:t>
      </w:r>
    </w:p>
    <w:p w14:paraId="73EDC2A5">
      <w:pPr>
        <w:numPr>
          <w:ilvl w:val="255"/>
          <w:numId w:val="0"/>
        </w:numPr>
        <w:snapToGrid w:val="0"/>
        <w:spacing w:line="400" w:lineRule="exact"/>
        <w:ind w:firstLine="472" w:firstLineChars="196"/>
        <w:jc w:val="left"/>
        <w:outlineLvl w:val="0"/>
        <w:rPr>
          <w:rFonts w:ascii="宋体" w:hAnsi="宋体" w:cs="宋体"/>
          <w:b/>
          <w:sz w:val="24"/>
          <w:highlight w:val="none"/>
        </w:rPr>
      </w:pPr>
      <w:r>
        <w:rPr>
          <w:rFonts w:hint="eastAsia" w:ascii="宋体" w:hAnsi="宋体" w:cs="宋体"/>
          <w:b/>
          <w:sz w:val="24"/>
          <w:highlight w:val="none"/>
        </w:rPr>
        <w:t>（七）备份响应文件的修改和撤回</w:t>
      </w:r>
    </w:p>
    <w:p w14:paraId="7E94F127">
      <w:pPr>
        <w:numPr>
          <w:ilvl w:val="255"/>
          <w:numId w:val="0"/>
        </w:numPr>
        <w:spacing w:line="400" w:lineRule="exact"/>
        <w:ind w:firstLine="480" w:firstLineChars="200"/>
        <w:outlineLvl w:val="0"/>
        <w:rPr>
          <w:rFonts w:ascii="宋体" w:hAnsi="宋体" w:cs="宋体"/>
          <w:sz w:val="24"/>
          <w:highlight w:val="none"/>
        </w:rPr>
      </w:pPr>
      <w:r>
        <w:rPr>
          <w:rFonts w:hint="eastAsia" w:ascii="宋体" w:hAnsi="宋体" w:cs="宋体"/>
          <w:sz w:val="24"/>
          <w:highlight w:val="none"/>
        </w:rPr>
        <w:t>供应商在磋商响应截止时间之前，可以对已提交的响应文件进行修改或撤回，并书面形式（供应商代表签字）通知采购代理机构；投标截止时间后，供应商不得撤回、修改响应文件。修改后重新递交的响应文件应当按本磋商文件的要求密封和签字。</w:t>
      </w:r>
    </w:p>
    <w:p w14:paraId="3748E665">
      <w:pPr>
        <w:snapToGrid w:val="0"/>
        <w:spacing w:line="400" w:lineRule="exact"/>
        <w:ind w:firstLine="482" w:firstLineChars="200"/>
        <w:outlineLvl w:val="2"/>
        <w:rPr>
          <w:rFonts w:ascii="宋体" w:hAnsi="宋体" w:cs="宋体"/>
          <w:b/>
          <w:sz w:val="24"/>
          <w:highlight w:val="none"/>
        </w:rPr>
      </w:pPr>
      <w:r>
        <w:rPr>
          <w:rFonts w:hint="eastAsia" w:ascii="宋体" w:hAnsi="宋体" w:cs="宋体"/>
          <w:b/>
          <w:sz w:val="24"/>
          <w:highlight w:val="none"/>
        </w:rPr>
        <w:t>（八）投标无效的情形</w:t>
      </w:r>
    </w:p>
    <w:p w14:paraId="127AD1D4">
      <w:pPr>
        <w:adjustRightInd w:val="0"/>
        <w:spacing w:line="400" w:lineRule="exact"/>
        <w:ind w:firstLine="480" w:firstLineChars="200"/>
        <w:rPr>
          <w:rFonts w:ascii="宋体" w:hAnsi="宋体" w:cs="宋体"/>
          <w:bCs/>
          <w:sz w:val="24"/>
          <w:highlight w:val="none"/>
          <w:lang w:bidi="ar"/>
        </w:rPr>
      </w:pPr>
      <w:r>
        <w:rPr>
          <w:rFonts w:hint="eastAsia" w:ascii="宋体" w:hAnsi="宋体" w:cs="宋体"/>
          <w:sz w:val="24"/>
          <w:highlight w:val="none"/>
        </w:rPr>
        <w:t>实质上没有响应磋商文件要求的投标将被视为无效投标。供应商不得通过修正或</w:t>
      </w:r>
      <w:r>
        <w:rPr>
          <w:rFonts w:hint="eastAsia" w:ascii="宋体" w:hAnsi="宋体" w:cs="宋体"/>
          <w:sz w:val="24"/>
          <w:highlight w:val="none"/>
          <w:lang w:eastAsia="zh-CN"/>
        </w:rPr>
        <w:t>撤销</w:t>
      </w:r>
      <w:r>
        <w:rPr>
          <w:rFonts w:hint="eastAsia" w:ascii="宋体" w:hAnsi="宋体" w:cs="宋体"/>
          <w:sz w:val="24"/>
          <w:highlight w:val="none"/>
        </w:rPr>
        <w:t>不合要求的偏离或保留从而使其投标成为实质上响应的投标。经评审小组认定属于供应商</w:t>
      </w:r>
      <w:r>
        <w:rPr>
          <w:rFonts w:hint="eastAsia" w:ascii="宋体" w:hAnsi="宋体" w:cs="宋体"/>
          <w:bCs/>
          <w:sz w:val="24"/>
          <w:highlight w:val="none"/>
          <w:lang w:bidi="ar"/>
        </w:rPr>
        <w:t>笔误所造成的差错，应当允许其在评标结束之前进行修改或者补正（可以是复印件、传真件等）。修改或者补正响应文件必须以书面形式进行，并应在中标或成交结果公告之前查核原件。限期内不补正或经补正后仍不符合磋商文件要求的，应认定其投标无效。供应商修改、补正响应文件后，不影响评审小组对其响应文件所作的评价和评分结果。</w:t>
      </w:r>
    </w:p>
    <w:p w14:paraId="016C21E2">
      <w:pPr>
        <w:adjustRightInd w:val="0"/>
        <w:spacing w:line="400" w:lineRule="exact"/>
        <w:ind w:firstLine="480" w:firstLineChars="200"/>
        <w:outlineLvl w:val="2"/>
        <w:rPr>
          <w:rFonts w:ascii="宋体" w:hAnsi="宋体" w:cs="宋体"/>
          <w:bCs/>
          <w:sz w:val="24"/>
          <w:highlight w:val="none"/>
          <w:lang w:bidi="ar"/>
        </w:rPr>
      </w:pPr>
      <w:r>
        <w:rPr>
          <w:rFonts w:hint="eastAsia" w:ascii="宋体" w:hAnsi="宋体" w:cs="宋体"/>
          <w:bCs/>
          <w:sz w:val="24"/>
          <w:highlight w:val="none"/>
          <w:lang w:bidi="ar"/>
        </w:rPr>
        <w:t>1、在符合性审查和商务评审时，如发现下列情形之一的，响应文件将被视为无效投标：</w:t>
      </w:r>
    </w:p>
    <w:p w14:paraId="2EFE5AB4">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1.1电子响应文件解密失败的，且未在规定时间内提交备份响应文件的；</w:t>
      </w:r>
    </w:p>
    <w:p w14:paraId="7FFE239C">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1.2未按磋商文件要求密封、签字、盖章的；</w:t>
      </w:r>
    </w:p>
    <w:p w14:paraId="7179F42C">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1.3资格证明文件不全的，或者不符合磋商文件标明的资格要求的；</w:t>
      </w:r>
    </w:p>
    <w:p w14:paraId="610FE9D5">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1.4响应文件组成不全的；</w:t>
      </w:r>
    </w:p>
    <w:p w14:paraId="326DB06F">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1.5响应文件的实质性内容未使用中文表述、意思表述不明确、前后矛盾或者使用计量单位不符合磋商文件要求的；（经评审小组认定允许其当场更正的笔误除外）</w:t>
      </w:r>
    </w:p>
    <w:p w14:paraId="381B90B9">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1.6响应文件的关键内容字迹模糊、无法辨认的，或者响应文件中经修正的内容字迹模糊</w:t>
      </w:r>
      <w:r>
        <w:rPr>
          <w:rFonts w:hint="eastAsia" w:ascii="宋体" w:hAnsi="宋体" w:cs="宋体"/>
          <w:bCs/>
          <w:sz w:val="24"/>
          <w:highlight w:val="none"/>
          <w:lang w:eastAsia="zh-CN" w:bidi="ar"/>
        </w:rPr>
        <w:t>难以辨认</w:t>
      </w:r>
      <w:r>
        <w:rPr>
          <w:rFonts w:hint="eastAsia" w:ascii="宋体" w:hAnsi="宋体" w:cs="宋体"/>
          <w:bCs/>
          <w:sz w:val="24"/>
          <w:highlight w:val="none"/>
          <w:lang w:bidi="ar"/>
        </w:rPr>
        <w:t>或者修改处未按规定签名盖章的；</w:t>
      </w:r>
    </w:p>
    <w:p w14:paraId="2398A7F5">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1.7商务条款不能满足磋商文件要求的；</w:t>
      </w:r>
    </w:p>
    <w:p w14:paraId="78B13862">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1.8不响应磋商文件要求或者响应文件有采购人不能接受的附加条件的；</w:t>
      </w:r>
    </w:p>
    <w:p w14:paraId="22B4E4AB">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1.9响应文件没有按磋商文件要求提供有标“▲”的条款的资料和材料的；</w:t>
      </w:r>
    </w:p>
    <w:p w14:paraId="08FFA17A">
      <w:pPr>
        <w:adjustRightInd w:val="0"/>
        <w:spacing w:line="400" w:lineRule="exact"/>
        <w:ind w:firstLine="480" w:firstLineChars="200"/>
        <w:outlineLvl w:val="2"/>
        <w:rPr>
          <w:rFonts w:ascii="宋体" w:hAnsi="宋体" w:cs="宋体"/>
          <w:bCs/>
          <w:sz w:val="24"/>
          <w:highlight w:val="none"/>
          <w:lang w:bidi="ar"/>
        </w:rPr>
      </w:pPr>
      <w:r>
        <w:rPr>
          <w:rFonts w:hint="eastAsia" w:ascii="宋体" w:hAnsi="宋体" w:cs="宋体"/>
          <w:bCs/>
          <w:sz w:val="24"/>
          <w:highlight w:val="none"/>
          <w:lang w:bidi="ar"/>
        </w:rPr>
        <w:t>2、在技术评审时，如发现下列情形之一的，响应文件将被视为无效投标：</w:t>
      </w:r>
    </w:p>
    <w:p w14:paraId="0A7636D5">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2.1响应文件标明的响应或偏离与事实不符或虚假投标的；</w:t>
      </w:r>
    </w:p>
    <w:p w14:paraId="732FB3B0">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2.2磋商文件中的标“▲”的技术参数等发生实质性偏离的；</w:t>
      </w:r>
    </w:p>
    <w:p w14:paraId="56A263D6">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2.3投标技术方案不明确，存在一个或一个以上备选（替代）投标的；</w:t>
      </w:r>
    </w:p>
    <w:p w14:paraId="28E5E42E">
      <w:pPr>
        <w:adjustRightInd w:val="0"/>
        <w:spacing w:line="400" w:lineRule="exact"/>
        <w:ind w:firstLine="480" w:firstLineChars="200"/>
        <w:outlineLvl w:val="2"/>
        <w:rPr>
          <w:rFonts w:ascii="宋体" w:hAnsi="宋体" w:cs="宋体"/>
          <w:bCs/>
          <w:sz w:val="24"/>
          <w:highlight w:val="none"/>
          <w:lang w:bidi="ar"/>
        </w:rPr>
      </w:pPr>
      <w:r>
        <w:rPr>
          <w:rFonts w:hint="eastAsia" w:ascii="宋体" w:hAnsi="宋体" w:cs="宋体"/>
          <w:bCs/>
          <w:sz w:val="24"/>
          <w:highlight w:val="none"/>
          <w:lang w:bidi="ar"/>
        </w:rPr>
        <w:t>3、在投标磋商报价评审时，如发现下列情形之一的，响应文件将被视为无效投标：</w:t>
      </w:r>
    </w:p>
    <w:p w14:paraId="08F8E84E">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3.1超过项目的采购预算的；</w:t>
      </w:r>
    </w:p>
    <w:p w14:paraId="76602302">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3.2有选择或有条件的报价的；</w:t>
      </w:r>
    </w:p>
    <w:p w14:paraId="65D3BCC4">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（九）出现以下情形，导致电子交易平台无法正常运行，或者无法保证电子交易的公平、公正和安全时，中止电子交易活动：</w:t>
      </w:r>
    </w:p>
    <w:p w14:paraId="31C80605">
      <w:pPr>
        <w:adjustRightInd w:val="0"/>
        <w:spacing w:line="400" w:lineRule="exact"/>
        <w:ind w:firstLine="482"/>
        <w:rPr>
          <w:rFonts w:ascii="宋体" w:hAnsi="宋体" w:cs="宋体"/>
          <w:bCs/>
          <w:sz w:val="24"/>
          <w:highlight w:val="none"/>
          <w:lang w:bidi="ar"/>
        </w:rPr>
      </w:pPr>
      <w:r>
        <w:rPr>
          <w:rFonts w:hint="eastAsia" w:ascii="宋体" w:hAnsi="宋体" w:cs="宋体"/>
          <w:bCs/>
          <w:sz w:val="24"/>
          <w:highlight w:val="none"/>
          <w:lang w:bidi="ar"/>
        </w:rPr>
        <w:t>1、电子交易平台发生故障而无法登录访问的；</w:t>
      </w:r>
    </w:p>
    <w:p w14:paraId="31F3AC73">
      <w:pPr>
        <w:adjustRightInd w:val="0"/>
        <w:spacing w:line="400" w:lineRule="exact"/>
        <w:ind w:firstLine="482"/>
        <w:rPr>
          <w:rFonts w:ascii="宋体" w:hAnsi="宋体" w:cs="宋体"/>
          <w:bCs/>
          <w:sz w:val="24"/>
          <w:highlight w:val="none"/>
          <w:lang w:bidi="ar"/>
        </w:rPr>
      </w:pPr>
      <w:r>
        <w:rPr>
          <w:rFonts w:hint="eastAsia" w:ascii="宋体" w:hAnsi="宋体" w:cs="宋体"/>
          <w:bCs/>
          <w:sz w:val="24"/>
          <w:highlight w:val="none"/>
          <w:lang w:bidi="ar"/>
        </w:rPr>
        <w:t>2、电子交易平台应用或数据库出现错误，不能进行正常操作的；</w:t>
      </w:r>
    </w:p>
    <w:p w14:paraId="31875DEF">
      <w:pPr>
        <w:adjustRightInd w:val="0"/>
        <w:spacing w:line="400" w:lineRule="exact"/>
        <w:ind w:firstLine="482"/>
        <w:rPr>
          <w:rFonts w:ascii="宋体" w:hAnsi="宋体" w:cs="宋体"/>
          <w:bCs/>
          <w:sz w:val="24"/>
          <w:highlight w:val="none"/>
          <w:lang w:bidi="ar"/>
        </w:rPr>
      </w:pPr>
      <w:r>
        <w:rPr>
          <w:rFonts w:hint="eastAsia" w:ascii="宋体" w:hAnsi="宋体" w:cs="宋体"/>
          <w:bCs/>
          <w:sz w:val="24"/>
          <w:highlight w:val="none"/>
          <w:lang w:bidi="ar"/>
        </w:rPr>
        <w:t>3、电子交易平台发现严重安全漏洞，有潜在泄密危险的；</w:t>
      </w:r>
    </w:p>
    <w:p w14:paraId="5CE3464F">
      <w:pPr>
        <w:adjustRightInd w:val="0"/>
        <w:spacing w:line="400" w:lineRule="exact"/>
        <w:ind w:firstLine="482"/>
        <w:rPr>
          <w:rFonts w:ascii="宋体" w:hAnsi="宋体" w:cs="宋体"/>
          <w:bCs/>
          <w:sz w:val="24"/>
          <w:highlight w:val="none"/>
          <w:lang w:bidi="ar"/>
        </w:rPr>
      </w:pPr>
      <w:r>
        <w:rPr>
          <w:rFonts w:hint="eastAsia" w:ascii="宋体" w:hAnsi="宋体" w:cs="宋体"/>
          <w:bCs/>
          <w:sz w:val="24"/>
          <w:highlight w:val="none"/>
          <w:lang w:bidi="ar"/>
        </w:rPr>
        <w:t>4、病毒发作导致不能进行正常操作的；</w:t>
      </w:r>
    </w:p>
    <w:p w14:paraId="20303980">
      <w:pPr>
        <w:adjustRightInd w:val="0"/>
        <w:spacing w:line="400" w:lineRule="exact"/>
        <w:ind w:firstLine="482"/>
        <w:rPr>
          <w:rFonts w:ascii="宋体" w:hAnsi="宋体" w:cs="宋体"/>
          <w:bCs/>
          <w:sz w:val="24"/>
          <w:highlight w:val="none"/>
          <w:lang w:bidi="ar"/>
        </w:rPr>
      </w:pPr>
      <w:r>
        <w:rPr>
          <w:rFonts w:hint="eastAsia" w:ascii="宋体" w:hAnsi="宋体" w:cs="宋体"/>
          <w:bCs/>
          <w:sz w:val="24"/>
          <w:highlight w:val="none"/>
          <w:lang w:bidi="ar"/>
        </w:rPr>
        <w:t>5、其他无法保证电子交易的公平、公正和安全的情况。</w:t>
      </w:r>
    </w:p>
    <w:p w14:paraId="7A8C7299">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出现前款规定情形，不影响采购公平、公正性的，采购代理机构可以待上述情形消除后继续组织电子交易活动，也可以决定某些环节以纸质形式进行；影响或可能影响采购公平、公正性的，重新采购。</w:t>
      </w:r>
    </w:p>
    <w:p w14:paraId="4F232BA8">
      <w:pPr>
        <w:pStyle w:val="23"/>
        <w:snapToGrid w:val="0"/>
        <w:spacing w:before="0" w:after="0" w:line="360" w:lineRule="auto"/>
        <w:ind w:firstLine="0" w:firstLineChars="0"/>
        <w:rPr>
          <w:rFonts w:ascii="宋体" w:hAnsi="宋体" w:eastAsia="宋体" w:cs="宋体"/>
          <w:highlight w:val="none"/>
        </w:rPr>
      </w:pPr>
    </w:p>
    <w:p w14:paraId="59B24C85">
      <w:pPr>
        <w:snapToGrid w:val="0"/>
        <w:spacing w:line="276" w:lineRule="auto"/>
        <w:jc w:val="center"/>
        <w:outlineLvl w:val="1"/>
        <w:rPr>
          <w:rFonts w:ascii="宋体" w:hAnsi="宋体" w:cs="宋体"/>
          <w:b/>
          <w:sz w:val="32"/>
          <w:szCs w:val="32"/>
          <w:highlight w:val="none"/>
        </w:rPr>
      </w:pPr>
      <w:r>
        <w:rPr>
          <w:rFonts w:hint="eastAsia" w:ascii="宋体" w:hAnsi="宋体" w:cs="宋体"/>
          <w:b/>
          <w:sz w:val="32"/>
          <w:szCs w:val="32"/>
          <w:highlight w:val="none"/>
        </w:rPr>
        <w:t>四、开标</w:t>
      </w:r>
    </w:p>
    <w:p w14:paraId="64288216">
      <w:pPr>
        <w:pStyle w:val="16"/>
        <w:snapToGrid w:val="0"/>
        <w:spacing w:line="400" w:lineRule="exact"/>
        <w:ind w:firstLine="482" w:firstLineChars="200"/>
        <w:outlineLvl w:val="2"/>
        <w:rPr>
          <w:rFonts w:cs="宋体"/>
          <w:b/>
          <w:highlight w:val="none"/>
        </w:rPr>
      </w:pPr>
      <w:r>
        <w:rPr>
          <w:rFonts w:hint="eastAsia" w:cs="宋体"/>
          <w:b/>
          <w:highlight w:val="none"/>
        </w:rPr>
        <w:t>（一）开标准备</w:t>
      </w:r>
    </w:p>
    <w:p w14:paraId="6E254B63">
      <w:pPr>
        <w:pStyle w:val="23"/>
        <w:spacing w:before="0" w:beforeAutospacing="0" w:after="0" w:afterAutospacing="0" w:line="400" w:lineRule="exact"/>
        <w:ind w:firstLine="476"/>
        <w:rPr>
          <w:rFonts w:ascii="宋体" w:hAnsi="宋体" w:eastAsia="宋体" w:cs="宋体"/>
          <w:color w:val="auto"/>
          <w:highlight w:val="none"/>
          <w:lang w:bidi="ar"/>
        </w:rPr>
      </w:pPr>
      <w:r>
        <w:rPr>
          <w:rFonts w:hint="eastAsia" w:ascii="宋体" w:hAnsi="宋体" w:eastAsia="宋体" w:cs="宋体"/>
          <w:color w:val="auto"/>
          <w:highlight w:val="none"/>
          <w:lang w:bidi="ar"/>
        </w:rPr>
        <w:t>1、采购代理机构将在规定的时间和地点进行开标。</w:t>
      </w:r>
    </w:p>
    <w:p w14:paraId="6624CDFD">
      <w:pPr>
        <w:pStyle w:val="23"/>
        <w:spacing w:before="0" w:beforeAutospacing="0" w:after="0" w:afterAutospacing="0" w:line="400" w:lineRule="exact"/>
        <w:ind w:firstLine="476"/>
        <w:rPr>
          <w:rFonts w:ascii="宋体" w:hAnsi="宋体" w:eastAsia="宋体" w:cs="宋体"/>
          <w:color w:val="auto"/>
          <w:highlight w:val="none"/>
          <w:lang w:bidi="ar"/>
        </w:rPr>
      </w:pPr>
      <w:r>
        <w:rPr>
          <w:rFonts w:hint="eastAsia" w:ascii="宋体" w:hAnsi="宋体" w:eastAsia="宋体" w:cs="宋体"/>
          <w:color w:val="auto"/>
          <w:highlight w:val="none"/>
          <w:lang w:bidi="ar"/>
        </w:rPr>
        <w:t>2、本项目采取“不见面”形式进行开评标活动，法定代表人或其授权委托人无须到场，在线响应（“政府采购云平台（www.zcygov.cn）”）。</w:t>
      </w:r>
    </w:p>
    <w:p w14:paraId="274AE825">
      <w:pPr>
        <w:pStyle w:val="16"/>
        <w:snapToGrid w:val="0"/>
        <w:spacing w:beforeAutospacing="0" w:afterAutospacing="0" w:line="400" w:lineRule="exact"/>
        <w:ind w:firstLine="477" w:firstLineChars="198"/>
        <w:outlineLvl w:val="2"/>
        <w:rPr>
          <w:rFonts w:cs="宋体"/>
          <w:highlight w:val="none"/>
        </w:rPr>
      </w:pPr>
      <w:r>
        <w:rPr>
          <w:rFonts w:hint="eastAsia" w:cs="宋体"/>
          <w:b/>
          <w:highlight w:val="none"/>
        </w:rPr>
        <w:t>（二）开标程序</w:t>
      </w:r>
    </w:p>
    <w:p w14:paraId="21B0F349">
      <w:pPr>
        <w:pStyle w:val="23"/>
        <w:snapToGrid w:val="0"/>
        <w:spacing w:before="0" w:beforeAutospacing="0" w:after="0" w:afterAutospacing="0" w:line="400" w:lineRule="exact"/>
        <w:ind w:firstLine="475" w:firstLineChars="198"/>
        <w:rPr>
          <w:rFonts w:ascii="宋体" w:hAnsi="宋体" w:eastAsia="宋体" w:cs="宋体"/>
          <w:color w:val="auto"/>
          <w:highlight w:val="none"/>
        </w:rPr>
      </w:pPr>
      <w:r>
        <w:rPr>
          <w:rFonts w:hint="eastAsia" w:ascii="宋体" w:hAnsi="宋体" w:eastAsia="宋体" w:cs="宋体"/>
          <w:color w:val="auto"/>
          <w:highlight w:val="none"/>
          <w:lang w:bidi="ar"/>
        </w:rPr>
        <w:t>1、开标会由采购代理机构相关工作人员主持，主持人宣布开标会议开始。</w:t>
      </w:r>
    </w:p>
    <w:p w14:paraId="39750614">
      <w:pPr>
        <w:pStyle w:val="23"/>
        <w:snapToGrid w:val="0"/>
        <w:spacing w:before="0" w:beforeAutospacing="0" w:after="0" w:afterAutospacing="0"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lang w:bidi="ar"/>
        </w:rPr>
        <w:t>2、介绍参加开标会的人员名单。</w:t>
      </w:r>
    </w:p>
    <w:p w14:paraId="00AAB586">
      <w:pPr>
        <w:pStyle w:val="23"/>
        <w:snapToGrid w:val="0"/>
        <w:spacing w:before="0" w:beforeAutospacing="0" w:after="0" w:afterAutospacing="0"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lang w:bidi="ar"/>
        </w:rPr>
        <w:t>3、宣布开标纪律和有关事项，告知应当回避的情形，提请有关人员回避。</w:t>
      </w:r>
    </w:p>
    <w:p w14:paraId="74223D33">
      <w:pPr>
        <w:pStyle w:val="23"/>
        <w:snapToGrid w:val="0"/>
        <w:spacing w:before="0" w:beforeAutospacing="0" w:after="0" w:afterAutospacing="0"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lang w:bidi="ar"/>
        </w:rPr>
        <w:t>4、请供应商签署《政府采购活动现场确认声明书》，对有无影响公平竞争的情况予以确认。</w:t>
      </w:r>
    </w:p>
    <w:p w14:paraId="7BDA761B">
      <w:pPr>
        <w:pStyle w:val="23"/>
        <w:snapToGrid w:val="0"/>
        <w:spacing w:before="0" w:beforeAutospacing="0" w:after="0" w:afterAutospacing="0" w:line="360" w:lineRule="auto"/>
        <w:ind w:firstLine="477" w:firstLineChars="198"/>
        <w:rPr>
          <w:rFonts w:ascii="宋体" w:hAnsi="宋体" w:eastAsia="宋体" w:cs="宋体"/>
          <w:b/>
          <w:color w:val="auto"/>
          <w:highlight w:val="none"/>
          <w:lang w:bidi="ar"/>
        </w:rPr>
      </w:pPr>
      <w:r>
        <w:rPr>
          <w:rFonts w:hint="eastAsia" w:ascii="宋体" w:hAnsi="宋体" w:eastAsia="宋体" w:cs="宋体"/>
          <w:b/>
          <w:color w:val="auto"/>
          <w:highlight w:val="none"/>
          <w:lang w:bidi="ar"/>
        </w:rPr>
        <w:t>5、电子招投标开标及评审程序</w:t>
      </w:r>
    </w:p>
    <w:p w14:paraId="2E6F1483">
      <w:pPr>
        <w:pStyle w:val="23"/>
        <w:snapToGrid w:val="0"/>
        <w:spacing w:before="0" w:beforeAutospacing="0" w:after="0" w:afterAutospacing="0" w:line="360" w:lineRule="auto"/>
        <w:ind w:firstLine="475" w:firstLineChars="198"/>
        <w:rPr>
          <w:rFonts w:ascii="宋体" w:hAnsi="宋体" w:eastAsia="宋体" w:cs="宋体"/>
          <w:color w:val="auto"/>
          <w:highlight w:val="none"/>
          <w:lang w:bidi="ar"/>
        </w:rPr>
      </w:pPr>
      <w:r>
        <w:rPr>
          <w:rFonts w:hint="eastAsia" w:ascii="宋体" w:hAnsi="宋体" w:eastAsia="宋体" w:cs="宋体"/>
          <w:color w:val="auto"/>
          <w:highlight w:val="none"/>
          <w:lang w:bidi="ar"/>
        </w:rPr>
        <w:t>5.1投标截止时间后，供应商登录政采云平台，用“项目采购-开标评标”功能对电子响应文件进行在线解密。</w:t>
      </w:r>
    </w:p>
    <w:p w14:paraId="00B43A87">
      <w:pPr>
        <w:pStyle w:val="23"/>
        <w:snapToGrid w:val="0"/>
        <w:spacing w:before="0" w:beforeAutospacing="0" w:after="0" w:afterAutospacing="0" w:line="360" w:lineRule="auto"/>
        <w:ind w:firstLine="475" w:firstLineChars="198"/>
        <w:rPr>
          <w:rFonts w:ascii="宋体" w:hAnsi="宋体" w:eastAsia="宋体" w:cs="宋体"/>
          <w:color w:val="auto"/>
          <w:highlight w:val="none"/>
          <w:lang w:bidi="ar"/>
        </w:rPr>
      </w:pPr>
      <w:r>
        <w:rPr>
          <w:rFonts w:hint="eastAsia" w:ascii="宋体" w:hAnsi="宋体" w:eastAsia="宋体" w:cs="宋体"/>
          <w:color w:val="auto"/>
          <w:highlight w:val="none"/>
          <w:lang w:bidi="ar"/>
        </w:rPr>
        <w:t>5.2各供应商的资格由采购代理机构人员负责初审；</w:t>
      </w:r>
    </w:p>
    <w:p w14:paraId="1765662D">
      <w:pPr>
        <w:pStyle w:val="23"/>
        <w:snapToGrid w:val="0"/>
        <w:spacing w:before="0" w:beforeAutospacing="0" w:after="0" w:afterAutospacing="0" w:line="360" w:lineRule="auto"/>
        <w:ind w:firstLine="475" w:firstLineChars="198"/>
        <w:rPr>
          <w:rFonts w:ascii="宋体" w:hAnsi="宋体" w:eastAsia="宋体" w:cs="宋体"/>
          <w:color w:val="auto"/>
          <w:highlight w:val="none"/>
          <w:lang w:bidi="ar"/>
        </w:rPr>
      </w:pPr>
      <w:r>
        <w:rPr>
          <w:rFonts w:hint="eastAsia" w:ascii="宋体" w:hAnsi="宋体" w:eastAsia="宋体" w:cs="宋体"/>
          <w:color w:val="auto"/>
          <w:highlight w:val="none"/>
          <w:lang w:bidi="ar"/>
        </w:rPr>
        <w:t>5.3评标委员会对资格和商务技术响应文件进行评审；</w:t>
      </w:r>
    </w:p>
    <w:p w14:paraId="5F8844B8">
      <w:pPr>
        <w:pStyle w:val="23"/>
        <w:snapToGrid w:val="0"/>
        <w:spacing w:before="0" w:beforeAutospacing="0" w:after="0" w:afterAutospacing="0" w:line="360" w:lineRule="auto"/>
        <w:ind w:firstLine="475" w:firstLineChars="198"/>
        <w:rPr>
          <w:rFonts w:ascii="宋体" w:hAnsi="宋体" w:eastAsia="宋体" w:cs="宋体"/>
          <w:color w:val="auto"/>
          <w:highlight w:val="none"/>
          <w:lang w:bidi="ar"/>
        </w:rPr>
      </w:pPr>
      <w:r>
        <w:rPr>
          <w:rFonts w:hint="eastAsia" w:ascii="宋体" w:hAnsi="宋体" w:eastAsia="宋体" w:cs="宋体"/>
          <w:color w:val="auto"/>
          <w:highlight w:val="none"/>
          <w:lang w:bidi="ar"/>
        </w:rPr>
        <w:t>5.4供应商按签到的前后顺序决定磋商的顺序，就价格、服务等认为需要磋商的内容进行磋商，供应商作出最终承诺和最终报价。</w:t>
      </w:r>
    </w:p>
    <w:p w14:paraId="26651931">
      <w:pPr>
        <w:pStyle w:val="23"/>
        <w:snapToGrid w:val="0"/>
        <w:spacing w:before="0" w:beforeAutospacing="0" w:after="0" w:afterAutospacing="0" w:line="360" w:lineRule="auto"/>
        <w:ind w:firstLine="475" w:firstLineChars="198"/>
        <w:rPr>
          <w:rFonts w:ascii="宋体" w:hAnsi="宋体" w:eastAsia="宋体" w:cs="宋体"/>
          <w:color w:val="auto"/>
          <w:highlight w:val="none"/>
          <w:lang w:bidi="ar"/>
        </w:rPr>
      </w:pPr>
      <w:r>
        <w:rPr>
          <w:rFonts w:hint="eastAsia" w:ascii="宋体" w:hAnsi="宋体" w:eastAsia="宋体" w:cs="宋体"/>
          <w:color w:val="auto"/>
          <w:highlight w:val="none"/>
          <w:lang w:bidi="ar"/>
        </w:rPr>
        <w:t>5.5在系统上公开资格和商务技术评审结果；</w:t>
      </w:r>
    </w:p>
    <w:p w14:paraId="72FE540F">
      <w:pPr>
        <w:pStyle w:val="23"/>
        <w:snapToGrid w:val="0"/>
        <w:spacing w:before="0" w:beforeAutospacing="0" w:after="0" w:afterAutospacing="0" w:line="360" w:lineRule="auto"/>
        <w:ind w:firstLine="475" w:firstLineChars="198"/>
        <w:rPr>
          <w:rFonts w:ascii="宋体" w:hAnsi="宋体" w:eastAsia="宋体" w:cs="宋体"/>
          <w:color w:val="auto"/>
          <w:highlight w:val="none"/>
          <w:lang w:bidi="ar"/>
        </w:rPr>
      </w:pPr>
      <w:r>
        <w:rPr>
          <w:rFonts w:hint="eastAsia" w:ascii="宋体" w:hAnsi="宋体" w:eastAsia="宋体" w:cs="宋体"/>
          <w:color w:val="auto"/>
          <w:highlight w:val="none"/>
          <w:lang w:bidi="ar"/>
        </w:rPr>
        <w:t>5.6在系统上录入最终报价情况；</w:t>
      </w:r>
    </w:p>
    <w:p w14:paraId="46A8CB1F">
      <w:pPr>
        <w:pStyle w:val="23"/>
        <w:snapToGrid w:val="0"/>
        <w:spacing w:before="0" w:beforeAutospacing="0" w:after="0" w:afterAutospacing="0" w:line="360" w:lineRule="auto"/>
        <w:ind w:firstLine="475" w:firstLineChars="198"/>
        <w:rPr>
          <w:rFonts w:ascii="宋体" w:hAnsi="宋体" w:eastAsia="宋体" w:cs="宋体"/>
          <w:color w:val="auto"/>
          <w:highlight w:val="none"/>
          <w:lang w:bidi="ar"/>
        </w:rPr>
      </w:pPr>
      <w:r>
        <w:rPr>
          <w:rFonts w:hint="eastAsia" w:ascii="宋体" w:hAnsi="宋体" w:eastAsia="宋体" w:cs="宋体"/>
          <w:color w:val="auto"/>
          <w:highlight w:val="none"/>
          <w:lang w:bidi="ar"/>
        </w:rPr>
        <w:t>5.7评标委员会对报价情况进行评审；</w:t>
      </w:r>
    </w:p>
    <w:p w14:paraId="6469C28A">
      <w:pPr>
        <w:pStyle w:val="23"/>
        <w:snapToGrid w:val="0"/>
        <w:spacing w:before="0" w:beforeAutospacing="0" w:after="0" w:afterAutospacing="0" w:line="360" w:lineRule="auto"/>
        <w:ind w:firstLine="475" w:firstLineChars="198"/>
        <w:rPr>
          <w:rFonts w:ascii="宋体" w:hAnsi="宋体" w:eastAsia="宋体" w:cs="宋体"/>
          <w:color w:val="auto"/>
          <w:highlight w:val="none"/>
          <w:lang w:bidi="ar"/>
        </w:rPr>
      </w:pPr>
      <w:r>
        <w:rPr>
          <w:rFonts w:hint="eastAsia" w:ascii="宋体" w:hAnsi="宋体" w:eastAsia="宋体" w:cs="宋体"/>
          <w:color w:val="auto"/>
          <w:highlight w:val="none"/>
          <w:lang w:bidi="ar"/>
        </w:rPr>
        <w:t>5.8在系统上公布评审结果。</w:t>
      </w:r>
    </w:p>
    <w:p w14:paraId="31C8B8C6">
      <w:pPr>
        <w:pStyle w:val="23"/>
        <w:snapToGrid w:val="0"/>
        <w:spacing w:before="0" w:beforeAutospacing="0" w:after="0" w:afterAutospacing="0" w:line="360" w:lineRule="auto"/>
        <w:ind w:firstLine="475" w:firstLineChars="198"/>
        <w:rPr>
          <w:rFonts w:ascii="宋体" w:hAnsi="宋体" w:eastAsia="宋体" w:cs="宋体"/>
          <w:color w:val="auto"/>
          <w:highlight w:val="none"/>
          <w:lang w:bidi="ar"/>
        </w:rPr>
      </w:pPr>
      <w:r>
        <w:rPr>
          <w:rFonts w:hint="eastAsia" w:ascii="宋体" w:hAnsi="宋体" w:eastAsia="宋体" w:cs="宋体"/>
          <w:color w:val="auto"/>
          <w:highlight w:val="none"/>
          <w:lang w:bidi="ar"/>
        </w:rPr>
        <w:t>特别说明：（1）磋商分二轮或多轮（最多不超过三轮）进行，首次报价在响应文件中体现； 最后报价在磋商结束后由所有现场参加磋商的供应商在规定的时间内提供，每轮报价时限为30分钟，供应商应及时在线响应，如相关供应商未按照最终报价通知，在规定的时间内用指定方式进行报价的，视为没有提交最终报价。成交公示结束后，成交供应商须提供与政采云系统内最终报价金额一致的报价明细表，并经采购单位确认签字后方可签订合同。</w:t>
      </w:r>
    </w:p>
    <w:p w14:paraId="2E385E6B">
      <w:pPr>
        <w:pStyle w:val="23"/>
        <w:snapToGrid w:val="0"/>
        <w:spacing w:before="0" w:beforeAutospacing="0" w:after="0" w:afterAutospacing="0" w:line="360" w:lineRule="auto"/>
        <w:ind w:firstLine="475" w:firstLineChars="198"/>
        <w:rPr>
          <w:rFonts w:ascii="宋体" w:hAnsi="宋体" w:eastAsia="宋体" w:cs="宋体"/>
          <w:color w:val="auto"/>
          <w:highlight w:val="none"/>
          <w:lang w:bidi="ar"/>
        </w:rPr>
      </w:pPr>
      <w:r>
        <w:rPr>
          <w:rFonts w:hint="eastAsia" w:ascii="宋体" w:hAnsi="宋体" w:eastAsia="宋体" w:cs="宋体"/>
          <w:color w:val="auto"/>
          <w:highlight w:val="none"/>
          <w:lang w:bidi="ar"/>
        </w:rPr>
        <w:t>（2）政采云公司如对电子化开标及评审程序有调整的，按调整后的程序操作。</w:t>
      </w:r>
    </w:p>
    <w:p w14:paraId="124B94A7">
      <w:pPr>
        <w:adjustRightInd w:val="0"/>
        <w:spacing w:line="400" w:lineRule="exact"/>
        <w:ind w:firstLine="482" w:firstLineChars="200"/>
        <w:rPr>
          <w:rFonts w:ascii="宋体" w:hAnsi="宋体" w:cs="宋体"/>
          <w:b/>
          <w:sz w:val="24"/>
          <w:highlight w:val="none"/>
          <w:lang w:bidi="ar"/>
        </w:rPr>
      </w:pPr>
      <w:r>
        <w:rPr>
          <w:rFonts w:hint="eastAsia" w:ascii="宋体" w:hAnsi="宋体" w:cs="宋体"/>
          <w:b/>
          <w:sz w:val="24"/>
          <w:highlight w:val="none"/>
          <w:lang w:val="en-US" w:eastAsia="zh-CN" w:bidi="ar"/>
        </w:rPr>
        <w:t>6</w:t>
      </w:r>
      <w:r>
        <w:rPr>
          <w:rFonts w:hint="eastAsia" w:ascii="宋体" w:hAnsi="宋体" w:cs="宋体"/>
          <w:b/>
          <w:sz w:val="24"/>
          <w:highlight w:val="none"/>
          <w:lang w:bidi="ar"/>
        </w:rPr>
        <w:t>.本项目原则上采用政采云电子招投标开标及评审程序，但若供应商在规定时间内无法解密或解密失败，采购代理机构将开启未能在规定时间内解密的供应商递交的备份响应文件。</w:t>
      </w:r>
    </w:p>
    <w:p w14:paraId="44FD4D22">
      <w:pPr>
        <w:spacing w:line="360" w:lineRule="auto"/>
        <w:jc w:val="center"/>
        <w:outlineLvl w:val="0"/>
        <w:rPr>
          <w:rFonts w:ascii="宋体" w:hAnsi="宋体" w:cs="宋体"/>
          <w:b/>
          <w:sz w:val="24"/>
          <w:highlight w:val="none"/>
        </w:rPr>
      </w:pPr>
    </w:p>
    <w:p w14:paraId="52D99DDD">
      <w:pPr>
        <w:snapToGrid w:val="0"/>
        <w:spacing w:line="276" w:lineRule="auto"/>
        <w:jc w:val="center"/>
        <w:outlineLvl w:val="1"/>
        <w:rPr>
          <w:rFonts w:ascii="宋体" w:hAnsi="宋体" w:cs="宋体"/>
          <w:b/>
          <w:sz w:val="32"/>
          <w:szCs w:val="32"/>
          <w:highlight w:val="none"/>
        </w:rPr>
      </w:pPr>
      <w:r>
        <w:rPr>
          <w:rFonts w:hint="eastAsia" w:ascii="宋体" w:hAnsi="宋体" w:cs="宋体"/>
          <w:b/>
          <w:sz w:val="32"/>
          <w:szCs w:val="32"/>
          <w:highlight w:val="none"/>
        </w:rPr>
        <w:t>五、评标</w:t>
      </w:r>
    </w:p>
    <w:p w14:paraId="6D42C447">
      <w:pPr>
        <w:pStyle w:val="16"/>
        <w:snapToGrid w:val="0"/>
        <w:spacing w:line="400" w:lineRule="exact"/>
        <w:ind w:firstLine="482" w:firstLineChars="200"/>
        <w:outlineLvl w:val="2"/>
        <w:rPr>
          <w:rFonts w:cs="宋体"/>
          <w:b/>
          <w:highlight w:val="none"/>
        </w:rPr>
      </w:pPr>
      <w:r>
        <w:rPr>
          <w:rFonts w:hint="eastAsia" w:cs="宋体"/>
          <w:b/>
          <w:highlight w:val="none"/>
        </w:rPr>
        <w:t>（一）组建评审小组</w:t>
      </w:r>
    </w:p>
    <w:p w14:paraId="0E197FB4">
      <w:pPr>
        <w:pStyle w:val="16"/>
        <w:snapToGrid w:val="0"/>
        <w:spacing w:line="400" w:lineRule="exact"/>
        <w:ind w:firstLine="480" w:firstLineChars="200"/>
        <w:rPr>
          <w:rFonts w:cs="宋体"/>
          <w:highlight w:val="none"/>
        </w:rPr>
      </w:pPr>
      <w:r>
        <w:rPr>
          <w:rFonts w:hint="eastAsia" w:cs="宋体"/>
          <w:highlight w:val="none"/>
        </w:rPr>
        <w:t>本项目磋商小组由政府采购评审专家及采购人代表3人组成。</w:t>
      </w:r>
    </w:p>
    <w:p w14:paraId="01B4D19A">
      <w:pPr>
        <w:pStyle w:val="16"/>
        <w:snapToGrid w:val="0"/>
        <w:spacing w:line="400" w:lineRule="exact"/>
        <w:ind w:firstLine="482" w:firstLineChars="200"/>
        <w:outlineLvl w:val="2"/>
        <w:rPr>
          <w:rFonts w:cs="宋体"/>
          <w:b/>
          <w:highlight w:val="none"/>
        </w:rPr>
      </w:pPr>
      <w:r>
        <w:rPr>
          <w:rFonts w:hint="eastAsia" w:cs="宋体"/>
          <w:b/>
          <w:highlight w:val="none"/>
        </w:rPr>
        <w:t>（二）评标程序</w:t>
      </w:r>
    </w:p>
    <w:p w14:paraId="34751CA1">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1、资格审查</w:t>
      </w:r>
    </w:p>
    <w:p w14:paraId="151DF99D">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代理机构协助磋商小组对供应商的资格进行审查。</w:t>
      </w:r>
    </w:p>
    <w:p w14:paraId="234C3FC9">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2、实质审查与比较</w:t>
      </w:r>
    </w:p>
    <w:p w14:paraId="1D941DA3">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2.1磋商小组审查投标文件的实质性内容是否符合投标报价的实质性要求。</w:t>
      </w:r>
    </w:p>
    <w:p w14:paraId="45270CAE">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2.2磋商小组将根据供应商的投标文件进行审查、核对，如有疑问，将对供应商进行在线询标，供应商要向磋商小组澄清有关问题，并最终以书面形式在线进行答复。</w:t>
      </w:r>
    </w:p>
    <w:p w14:paraId="0659FC10">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2.3供应商代表未到场或者拒绝澄清或者澄清的内容改变了投标文件的实质性内容的，磋商小组有权对该投标文件作出不利于供应商的评判。</w:t>
      </w:r>
    </w:p>
    <w:p w14:paraId="5EF9F4F3">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2.4各供应商的商务、技术得分由专家评审小组计算复核。</w:t>
      </w:r>
    </w:p>
    <w:p w14:paraId="7B2B633B">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2.5各供应商的报价得分根据评分标准计算。</w:t>
      </w:r>
    </w:p>
    <w:p w14:paraId="0C39CD81">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2.6磋商小组完成评标后，对各部分得分汇总，得出本项目综合评估分，磋商小组按评标原则推荐成交候选人同时起草评审报告。</w:t>
      </w:r>
    </w:p>
    <w:p w14:paraId="4F05F97E">
      <w:pPr>
        <w:snapToGrid w:val="0"/>
        <w:spacing w:line="400" w:lineRule="exact"/>
        <w:ind w:firstLine="482" w:firstLineChars="200"/>
        <w:outlineLvl w:val="2"/>
        <w:rPr>
          <w:rFonts w:ascii="宋体" w:hAnsi="宋体" w:cs="宋体"/>
          <w:b/>
          <w:sz w:val="24"/>
          <w:highlight w:val="none"/>
        </w:rPr>
      </w:pPr>
      <w:r>
        <w:rPr>
          <w:rFonts w:hint="eastAsia" w:ascii="宋体" w:hAnsi="宋体" w:cs="宋体"/>
          <w:b/>
          <w:sz w:val="24"/>
          <w:highlight w:val="none"/>
        </w:rPr>
        <w:t>（三）澄清问题的形式</w:t>
      </w:r>
    </w:p>
    <w:p w14:paraId="21A0A760">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对投标文件中含义不明确、同类问题表述不一致或者有明显文字和计算错误的内容，评审小组可要求供应商作出必要的澄清、说明或者纠正。供应商的澄清、说明或者补正应当采用书面形式，由其全权代表签字或盖章确认，并不得超出投标文件的范围或者改变投标文件的实质性内容。</w:t>
      </w:r>
    </w:p>
    <w:p w14:paraId="0A973AB2">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评审中需要供应商对响应文件作出澄清、说明或者补正的，评审小组和供应商应当通过电子交易平台交换数据电文。给予供应商提交澄清说明或补正的时间为30分钟，供应商已经明确表示澄清说明或补正完毕的除外。</w:t>
      </w:r>
    </w:p>
    <w:p w14:paraId="0AB50B21">
      <w:pPr>
        <w:pStyle w:val="16"/>
        <w:snapToGrid w:val="0"/>
        <w:spacing w:line="400" w:lineRule="exact"/>
        <w:ind w:firstLine="479" w:firstLineChars="199"/>
        <w:outlineLvl w:val="2"/>
        <w:rPr>
          <w:rFonts w:cs="宋体"/>
          <w:b/>
          <w:highlight w:val="none"/>
        </w:rPr>
      </w:pPr>
      <w:r>
        <w:rPr>
          <w:rFonts w:hint="eastAsia" w:cs="宋体"/>
          <w:b/>
          <w:highlight w:val="none"/>
        </w:rPr>
        <w:t>（四）错误修正</w:t>
      </w:r>
    </w:p>
    <w:p w14:paraId="000C11A6">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投标文件如果出现计算或表达上的错误，修正错误的原则如下：</w:t>
      </w:r>
    </w:p>
    <w:p w14:paraId="5636768B">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1、如果用数字表示的数额与文字表示的数额不一致的，以文字数额为准；</w:t>
      </w:r>
    </w:p>
    <w:p w14:paraId="0FC3C8E2">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2、当单价和数量的乘积与合价不一致时，通常以标出的单价为准。除非评审小组认为单价属明显的小数点错误，此时应以标出的合价为准，并修改单价。</w:t>
      </w:r>
    </w:p>
    <w:p w14:paraId="2BE264F3">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3、按上述修改错误的方法，调整投标文件中的磋商报价，经供应商确认后，调整后的磋商报价对供应商起约束作用。</w:t>
      </w:r>
    </w:p>
    <w:p w14:paraId="09AB4A92">
      <w:pPr>
        <w:pStyle w:val="16"/>
        <w:snapToGrid w:val="0"/>
        <w:spacing w:line="400" w:lineRule="exact"/>
        <w:ind w:firstLine="477" w:firstLineChars="198"/>
        <w:rPr>
          <w:rFonts w:cs="宋体"/>
          <w:b/>
          <w:highlight w:val="none"/>
        </w:rPr>
      </w:pPr>
      <w:r>
        <w:rPr>
          <w:rFonts w:hint="eastAsia" w:cs="宋体"/>
          <w:b/>
          <w:highlight w:val="none"/>
        </w:rPr>
        <w:t>按上述修正错误的原则及方法调整或修正的磋商报价，供应商同意并签字确认后，调整后的磋商报价对供应商具有约束作用。如果供应商不接受修正后的报价，则其投标将作为无效投标处理。</w:t>
      </w:r>
    </w:p>
    <w:p w14:paraId="31CEDAF2">
      <w:pPr>
        <w:pStyle w:val="16"/>
        <w:snapToGrid w:val="0"/>
        <w:spacing w:line="400" w:lineRule="exact"/>
        <w:ind w:firstLine="477" w:firstLineChars="198"/>
        <w:outlineLvl w:val="2"/>
        <w:rPr>
          <w:rFonts w:cs="宋体"/>
          <w:b/>
          <w:highlight w:val="none"/>
        </w:rPr>
      </w:pPr>
      <w:r>
        <w:rPr>
          <w:rFonts w:hint="eastAsia" w:cs="宋体"/>
          <w:b/>
          <w:highlight w:val="none"/>
        </w:rPr>
        <w:t>（五）评标原则和评标办法</w:t>
      </w:r>
    </w:p>
    <w:p w14:paraId="1CA154E6">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1、评审小组必须公平、公正、客观，不带任何倾向性和启发性；不得向外界透露任何与评标有关的内容；任何单位和个人不得干扰、影响评标的正常进行；评审小组及有关工作人员不得私下与供应商接触。</w:t>
      </w:r>
    </w:p>
    <w:p w14:paraId="53CAAC2D">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2、评标办法。本项目评标办法是综合评分法，具体评标内容及评分标准等详见《第四章：评标办法及标准》。</w:t>
      </w:r>
    </w:p>
    <w:p w14:paraId="14F47675">
      <w:pPr>
        <w:pStyle w:val="16"/>
        <w:snapToGrid w:val="0"/>
        <w:spacing w:line="400" w:lineRule="exact"/>
        <w:ind w:firstLine="477" w:firstLineChars="198"/>
        <w:outlineLvl w:val="2"/>
        <w:rPr>
          <w:rFonts w:cs="宋体"/>
          <w:b/>
          <w:highlight w:val="none"/>
        </w:rPr>
      </w:pPr>
      <w:r>
        <w:rPr>
          <w:rFonts w:hint="eastAsia" w:cs="宋体"/>
          <w:b/>
          <w:highlight w:val="none"/>
        </w:rPr>
        <w:t>（六）评标过程的监控</w:t>
      </w:r>
    </w:p>
    <w:p w14:paraId="5E078E98">
      <w:pPr>
        <w:pStyle w:val="16"/>
        <w:snapToGrid w:val="0"/>
        <w:spacing w:line="400" w:lineRule="exact"/>
        <w:ind w:firstLine="475" w:firstLineChars="198"/>
        <w:rPr>
          <w:rFonts w:cs="宋体"/>
          <w:highlight w:val="none"/>
        </w:rPr>
      </w:pPr>
      <w:r>
        <w:rPr>
          <w:rFonts w:hint="eastAsia" w:cs="宋体"/>
          <w:highlight w:val="none"/>
        </w:rPr>
        <w:t>本项目评标过程实行全程录音、录像监控，供应商在评标过程中所进行的试图影响评标结果的不公正活动，可能导致其投标被拒绝。</w:t>
      </w:r>
    </w:p>
    <w:p w14:paraId="25AC9E19">
      <w:pPr>
        <w:snapToGrid w:val="0"/>
        <w:spacing w:line="276" w:lineRule="auto"/>
        <w:jc w:val="center"/>
        <w:outlineLvl w:val="1"/>
        <w:rPr>
          <w:rFonts w:ascii="宋体" w:hAnsi="宋体" w:cs="宋体"/>
          <w:b/>
          <w:sz w:val="32"/>
          <w:szCs w:val="32"/>
          <w:highlight w:val="none"/>
        </w:rPr>
      </w:pPr>
      <w:r>
        <w:rPr>
          <w:rFonts w:hint="eastAsia" w:ascii="宋体" w:hAnsi="宋体" w:cs="宋体"/>
          <w:b/>
          <w:sz w:val="32"/>
          <w:szCs w:val="32"/>
          <w:highlight w:val="none"/>
        </w:rPr>
        <w:t>六、废标</w:t>
      </w:r>
    </w:p>
    <w:p w14:paraId="5B4EAD13">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在磋商中，出现下列情形之一的，应予废标：</w:t>
      </w:r>
    </w:p>
    <w:p w14:paraId="3947CD61">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符合专业条件的供应商或者对磋商文件作实质响应的供应商不足三家的（特殊情况经审批同意的除外）；</w:t>
      </w:r>
    </w:p>
    <w:p w14:paraId="45C5398A">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1）出现影响采购公正的违法、违规行为的；</w:t>
      </w:r>
    </w:p>
    <w:p w14:paraId="5AB95A76">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2）因重大变故，采购任务取消的；</w:t>
      </w:r>
    </w:p>
    <w:p w14:paraId="3294040B">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3）供应商的报价均</w:t>
      </w:r>
      <w:r>
        <w:rPr>
          <w:rFonts w:hint="eastAsia" w:ascii="宋体" w:hAnsi="宋体" w:cs="宋体"/>
          <w:bCs/>
          <w:sz w:val="24"/>
          <w:highlight w:val="none"/>
          <w:lang w:eastAsia="zh-CN" w:bidi="ar"/>
        </w:rPr>
        <w:t>超出</w:t>
      </w:r>
      <w:r>
        <w:rPr>
          <w:rFonts w:hint="eastAsia" w:ascii="宋体" w:hAnsi="宋体" w:cs="宋体"/>
          <w:bCs/>
          <w:sz w:val="24"/>
          <w:highlight w:val="none"/>
          <w:lang w:bidi="ar"/>
        </w:rPr>
        <w:t>采购预算的，采购人不能支付的；</w:t>
      </w:r>
    </w:p>
    <w:p w14:paraId="31EDF3AF">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4）法律、法规、规章等规定的其他情形除外；</w:t>
      </w:r>
    </w:p>
    <w:p w14:paraId="2B0AC1C1">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5）废标后，招标采购单位将废标理由通知所有供应商。</w:t>
      </w:r>
    </w:p>
    <w:p w14:paraId="0342EA83">
      <w:pPr>
        <w:snapToGrid w:val="0"/>
        <w:spacing w:line="276" w:lineRule="auto"/>
        <w:jc w:val="center"/>
        <w:rPr>
          <w:rFonts w:ascii="宋体" w:hAnsi="宋体" w:cs="宋体"/>
          <w:b/>
          <w:sz w:val="32"/>
          <w:szCs w:val="32"/>
          <w:highlight w:val="none"/>
        </w:rPr>
      </w:pPr>
    </w:p>
    <w:p w14:paraId="5F9E71C8">
      <w:pPr>
        <w:snapToGrid w:val="0"/>
        <w:spacing w:line="276" w:lineRule="auto"/>
        <w:jc w:val="center"/>
        <w:outlineLvl w:val="1"/>
        <w:rPr>
          <w:rFonts w:ascii="宋体" w:hAnsi="宋体" w:cs="宋体"/>
          <w:b/>
          <w:sz w:val="32"/>
          <w:szCs w:val="32"/>
          <w:highlight w:val="none"/>
        </w:rPr>
      </w:pPr>
      <w:r>
        <w:rPr>
          <w:rFonts w:hint="eastAsia" w:ascii="宋体" w:hAnsi="宋体" w:cs="宋体"/>
          <w:b/>
          <w:sz w:val="32"/>
          <w:szCs w:val="32"/>
          <w:highlight w:val="none"/>
        </w:rPr>
        <w:t>七、定标</w:t>
      </w:r>
    </w:p>
    <w:p w14:paraId="76D19433">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（一）确定成交人。本项目由采购人事先授权评审小组确定成交候选人3名。推荐第一名成交候选人为成交人，经采购人确认后，确定项目成交人，同时发布采购结果公告，发出成交通知书。</w:t>
      </w:r>
    </w:p>
    <w:p w14:paraId="19A0D128">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1.采购代理机构在评标结束后在2个工作日内将评审报告交采购人确认。</w:t>
      </w:r>
    </w:p>
    <w:p w14:paraId="0559AA8D">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2.供应商对评审结果无异议的，采购人应在收到评审报告后5个工作日内对评审结果进行确认。如有供应商对评审结果提出质疑的，采购人可在质疑处理完毕后确定成交人。</w:t>
      </w:r>
    </w:p>
    <w:p w14:paraId="2890615C">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3.采购人依法确定成交人后2个工作日内，采购代理机构以书面形式发出《成交通知书》,并同时在相关网站上发布采购结果公告。</w:t>
      </w:r>
    </w:p>
    <w:p w14:paraId="0D597B20">
      <w:pPr>
        <w:adjustRightInd w:val="0"/>
        <w:snapToGrid/>
        <w:spacing w:line="400" w:lineRule="exact"/>
        <w:ind w:firstLine="480" w:firstLineChars="200"/>
        <w:jc w:val="left"/>
        <w:rPr>
          <w:rFonts w:ascii="宋体" w:hAnsi="宋体" w:cs="宋体"/>
          <w:b/>
          <w:sz w:val="32"/>
          <w:szCs w:val="32"/>
          <w:highlight w:val="none"/>
        </w:rPr>
      </w:pPr>
      <w:r>
        <w:rPr>
          <w:rFonts w:hint="eastAsia" w:ascii="宋体" w:hAnsi="宋体" w:cs="宋体"/>
          <w:bCs/>
          <w:sz w:val="24"/>
          <w:highlight w:val="none"/>
          <w:lang w:bidi="ar"/>
        </w:rPr>
        <w:t>（二）成交人因自身原因放弃中标或因不可抗力不能履行合同的；经质疑，采购代理机构审查确认因成交人在本次采购活动中存在违法违规行为或其他原因使质疑成立的，如发生上述两种情况的，采购人可以与排位在成交人之后第一位的成交候选人签订采购合同，以此类推</w:t>
      </w:r>
      <w:r>
        <w:rPr>
          <w:rFonts w:hint="eastAsia" w:ascii="宋体" w:hAnsi="宋体" w:cs="宋体"/>
          <w:bCs/>
          <w:sz w:val="24"/>
          <w:highlight w:val="none"/>
          <w:lang w:eastAsia="zh-CN" w:bidi="ar"/>
        </w:rPr>
        <w:t>；也可以重新组织采购</w:t>
      </w:r>
      <w:r>
        <w:rPr>
          <w:rFonts w:hint="eastAsia" w:ascii="宋体" w:hAnsi="宋体" w:cs="宋体"/>
          <w:bCs/>
          <w:sz w:val="24"/>
          <w:highlight w:val="none"/>
          <w:lang w:val="en-US" w:eastAsia="zh-CN" w:bidi="ar"/>
        </w:rPr>
        <w:t>。</w:t>
      </w:r>
    </w:p>
    <w:p w14:paraId="35F9FDC4">
      <w:pPr>
        <w:snapToGrid w:val="0"/>
        <w:spacing w:line="276" w:lineRule="auto"/>
        <w:jc w:val="center"/>
        <w:rPr>
          <w:rFonts w:hint="eastAsia" w:ascii="宋体" w:hAnsi="宋体" w:cs="宋体"/>
          <w:b/>
          <w:sz w:val="32"/>
          <w:szCs w:val="32"/>
          <w:highlight w:val="none"/>
        </w:rPr>
      </w:pPr>
    </w:p>
    <w:p w14:paraId="71DEB5F5">
      <w:pPr>
        <w:snapToGrid w:val="0"/>
        <w:spacing w:line="276" w:lineRule="auto"/>
        <w:jc w:val="center"/>
        <w:outlineLvl w:val="1"/>
        <w:rPr>
          <w:rFonts w:ascii="宋体" w:hAnsi="宋体" w:cs="宋体"/>
          <w:b/>
          <w:sz w:val="32"/>
          <w:szCs w:val="32"/>
          <w:highlight w:val="none"/>
        </w:rPr>
      </w:pPr>
      <w:r>
        <w:rPr>
          <w:rFonts w:hint="eastAsia" w:ascii="宋体" w:hAnsi="宋体" w:cs="宋体"/>
          <w:b/>
          <w:sz w:val="32"/>
          <w:szCs w:val="32"/>
          <w:highlight w:val="none"/>
        </w:rPr>
        <w:t>八、合同授予</w:t>
      </w:r>
    </w:p>
    <w:p w14:paraId="7892CC7F">
      <w:pPr>
        <w:adjustRightInd w:val="0"/>
        <w:spacing w:line="400" w:lineRule="exact"/>
        <w:ind w:firstLine="480" w:firstLineChars="200"/>
        <w:outlineLvl w:val="2"/>
        <w:rPr>
          <w:rFonts w:ascii="宋体" w:hAnsi="宋体" w:cs="宋体"/>
          <w:bCs/>
          <w:sz w:val="24"/>
          <w:highlight w:val="none"/>
          <w:lang w:bidi="ar"/>
        </w:rPr>
      </w:pPr>
      <w:r>
        <w:rPr>
          <w:rFonts w:hint="eastAsia" w:ascii="宋体" w:hAnsi="宋体" w:cs="宋体"/>
          <w:bCs/>
          <w:sz w:val="24"/>
          <w:highlight w:val="none"/>
          <w:lang w:bidi="ar"/>
        </w:rPr>
        <w:t>（一）签订合同</w:t>
      </w:r>
    </w:p>
    <w:p w14:paraId="695E7AB8">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1、成交人应自接到成交通知书后30日内与采购人</w:t>
      </w:r>
      <w:r>
        <w:rPr>
          <w:rFonts w:hint="eastAsia" w:ascii="宋体" w:hAnsi="宋体" w:cs="宋体"/>
          <w:bCs/>
          <w:sz w:val="24"/>
          <w:highlight w:val="none"/>
          <w:lang w:eastAsia="zh-CN" w:bidi="ar"/>
        </w:rPr>
        <w:t>签订合同</w:t>
      </w:r>
      <w:r>
        <w:rPr>
          <w:rFonts w:hint="eastAsia" w:ascii="宋体" w:hAnsi="宋体" w:cs="宋体"/>
          <w:bCs/>
          <w:sz w:val="24"/>
          <w:highlight w:val="none"/>
          <w:lang w:bidi="ar"/>
        </w:rPr>
        <w:t>。同时，采购代理机构对合同内容进行审查，如发现与采购结果和投标承诺内容不一致的，应予以纠正。</w:t>
      </w:r>
    </w:p>
    <w:p w14:paraId="1B08A5DC">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2、成交人拖延、拒签合同的，将上报监管部门并取消成交资格。</w:t>
      </w:r>
    </w:p>
    <w:p w14:paraId="32D98C24">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3、成交人和采购人签订合同，按合同规定的供货时间供货并安装调试完毕。</w:t>
      </w:r>
    </w:p>
    <w:p w14:paraId="3BD47DF5">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58FE5A12">
      <w:pPr>
        <w:adjustRightInd w:val="0"/>
        <w:spacing w:line="400" w:lineRule="exact"/>
        <w:ind w:firstLine="480" w:firstLineChars="200"/>
        <w:outlineLvl w:val="2"/>
        <w:rPr>
          <w:rFonts w:ascii="宋体" w:hAnsi="宋体" w:cs="宋体"/>
          <w:bCs/>
          <w:sz w:val="24"/>
          <w:highlight w:val="none"/>
          <w:lang w:bidi="ar"/>
        </w:rPr>
      </w:pPr>
      <w:r>
        <w:rPr>
          <w:rFonts w:hint="eastAsia" w:ascii="宋体" w:hAnsi="宋体" w:cs="宋体"/>
          <w:bCs/>
          <w:sz w:val="24"/>
          <w:highlight w:val="none"/>
          <w:lang w:bidi="ar"/>
        </w:rPr>
        <w:t>（二）合同公告</w:t>
      </w:r>
    </w:p>
    <w:p w14:paraId="39E9F986">
      <w:pPr>
        <w:adjustRightInd w:val="0"/>
        <w:spacing w:line="400" w:lineRule="exact"/>
        <w:ind w:firstLine="480" w:firstLineChars="200"/>
        <w:rPr>
          <w:rFonts w:ascii="宋体" w:hAnsi="宋体" w:cs="宋体"/>
          <w:bCs/>
          <w:sz w:val="24"/>
          <w:highlight w:val="none"/>
          <w:lang w:bidi="ar"/>
        </w:rPr>
      </w:pPr>
      <w:r>
        <w:rPr>
          <w:rFonts w:hint="eastAsia" w:ascii="宋体" w:hAnsi="宋体" w:cs="宋体"/>
          <w:bCs/>
          <w:sz w:val="24"/>
          <w:highlight w:val="none"/>
          <w:lang w:bidi="ar"/>
        </w:rPr>
        <w:t>采购人应当自政府采购合同签订之日起2个工作日内，将政府采购合同在省级以上人民政府财政部门指定的媒体上公告，但政府采购合同中涉及国家秘密、商业秘密的内容除外。</w:t>
      </w:r>
    </w:p>
    <w:p w14:paraId="46F9B823">
      <w:pPr>
        <w:pStyle w:val="2"/>
        <w:pageBreakBefore/>
        <w:numPr>
          <w:ilvl w:val="0"/>
          <w:numId w:val="12"/>
        </w:numPr>
        <w:spacing w:before="0" w:after="0" w:line="400" w:lineRule="exact"/>
        <w:jc w:val="center"/>
        <w:rPr>
          <w:rFonts w:hint="eastAsia" w:ascii="宋体" w:hAnsi="宋体" w:eastAsia="宋体" w:cs="宋体"/>
          <w:sz w:val="32"/>
          <w:szCs w:val="32"/>
          <w:highlight w:val="none"/>
        </w:rPr>
      </w:pPr>
      <w:bookmarkStart w:id="16" w:name="_Toc34746016"/>
      <w:r>
        <w:rPr>
          <w:rFonts w:hint="eastAsia" w:ascii="宋体" w:hAnsi="宋体" w:eastAsia="宋体" w:cs="宋体"/>
          <w:sz w:val="32"/>
          <w:szCs w:val="32"/>
          <w:highlight w:val="none"/>
        </w:rPr>
        <w:t xml:space="preserve"> </w:t>
      </w:r>
      <w:bookmarkEnd w:id="16"/>
      <w:r>
        <w:rPr>
          <w:rFonts w:hint="eastAsia" w:ascii="宋体" w:hAnsi="宋体" w:eastAsia="宋体" w:cs="宋体"/>
          <w:sz w:val="32"/>
          <w:szCs w:val="32"/>
          <w:highlight w:val="none"/>
        </w:rPr>
        <w:t>采购需求</w:t>
      </w:r>
    </w:p>
    <w:p w14:paraId="12FE4B5A">
      <w:pPr>
        <w:rPr>
          <w:rFonts w:hint="eastAsia" w:ascii="宋体" w:hAnsi="宋体" w:eastAsia="宋体" w:cs="宋体"/>
          <w:highlight w:val="none"/>
        </w:rPr>
      </w:pPr>
    </w:p>
    <w:p w14:paraId="09413245">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宋体" w:hAnsi="宋体" w:eastAsia="宋体" w:cs="宋体"/>
          <w:b/>
          <w:bCs/>
          <w:sz w:val="24"/>
          <w:szCs w:val="24"/>
          <w:lang w:val="en-US" w:eastAsia="zh-CN"/>
        </w:rPr>
      </w:pPr>
      <w:bookmarkStart w:id="17" w:name="_Toc521333802"/>
      <w:r>
        <w:rPr>
          <w:rFonts w:hint="eastAsia" w:ascii="宋体" w:hAnsi="宋体" w:eastAsia="宋体" w:cs="宋体"/>
          <w:b/>
          <w:bCs/>
          <w:sz w:val="24"/>
          <w:szCs w:val="24"/>
          <w:lang w:val="en-US" w:eastAsia="zh-CN"/>
        </w:rPr>
        <w:t>一、项目背景</w:t>
      </w:r>
    </w:p>
    <w:p w14:paraId="276F1FC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rPr>
        <w:t>湖州市市容环境卫生管理中心各项目环卫设施发展迅速，更新迭代频繁，养护及</w:t>
      </w:r>
      <w:r>
        <w:rPr>
          <w:rFonts w:hint="eastAsia" w:ascii="宋体" w:hAnsi="宋体" w:cs="宋体"/>
          <w:sz w:val="24"/>
          <w:lang w:eastAsia="zh-CN"/>
        </w:rPr>
        <w:t>保障</w:t>
      </w:r>
      <w:r>
        <w:rPr>
          <w:rFonts w:hint="eastAsia" w:ascii="宋体" w:hAnsi="宋体" w:eastAsia="宋体" w:cs="宋体"/>
          <w:sz w:val="24"/>
          <w:lang w:val="en-US" w:eastAsia="zh-CN"/>
        </w:rPr>
        <w:t>需要</w:t>
      </w:r>
      <w:r>
        <w:rPr>
          <w:rFonts w:hint="eastAsia" w:ascii="宋体" w:hAnsi="宋体" w:eastAsia="宋体" w:cs="宋体"/>
          <w:sz w:val="24"/>
        </w:rPr>
        <w:t>高标准完成，</w:t>
      </w:r>
      <w:r>
        <w:rPr>
          <w:rFonts w:hint="eastAsia" w:ascii="宋体" w:hAnsi="宋体" w:eastAsia="宋体" w:cs="宋体"/>
          <w:sz w:val="24"/>
          <w:lang w:val="en-US" w:eastAsia="zh-CN"/>
        </w:rPr>
        <w:t>从而确保</w:t>
      </w:r>
      <w:r>
        <w:rPr>
          <w:rFonts w:hint="eastAsia" w:ascii="宋体" w:hAnsi="宋体" w:eastAsia="宋体" w:cs="宋体"/>
          <w:sz w:val="24"/>
        </w:rPr>
        <w:t>业务外包符合环卫业务市场化和社会发展的整体要求</w:t>
      </w:r>
      <w:r>
        <w:rPr>
          <w:rFonts w:hint="eastAsia" w:ascii="宋体" w:hAnsi="宋体" w:eastAsia="宋体" w:cs="宋体"/>
          <w:sz w:val="24"/>
          <w:lang w:eastAsia="zh-CN"/>
        </w:rPr>
        <w:t>。</w:t>
      </w:r>
      <w:r>
        <w:rPr>
          <w:rFonts w:hint="eastAsia" w:ascii="宋体" w:hAnsi="宋体" w:eastAsia="宋体" w:cs="宋体"/>
          <w:sz w:val="24"/>
        </w:rPr>
        <w:t>各类环卫小型设施设备作为业务必不可少的硬件配置，保证其稳定使用、及时维修是确保业务正常开展的关键，而以环卫中心原负责此业务的人员或退休或即将退休，按目前的工作标准和时效性要求，环卫自身已不能满足专业操作需求</w:t>
      </w:r>
      <w:r>
        <w:rPr>
          <w:rFonts w:hint="eastAsia" w:ascii="宋体" w:hAnsi="宋体" w:eastAsia="宋体" w:cs="宋体"/>
          <w:sz w:val="24"/>
          <w:lang w:eastAsia="zh-CN"/>
        </w:rPr>
        <w:t>，</w:t>
      </w:r>
      <w:r>
        <w:rPr>
          <w:rFonts w:hint="eastAsia" w:ascii="宋体" w:hAnsi="宋体" w:eastAsia="宋体" w:cs="宋体"/>
          <w:sz w:val="24"/>
        </w:rPr>
        <w:t>为确保</w:t>
      </w:r>
      <w:r>
        <w:rPr>
          <w:rFonts w:hint="eastAsia" w:ascii="宋体" w:hAnsi="宋体" w:eastAsia="宋体" w:cs="宋体"/>
          <w:sz w:val="24"/>
          <w:lang w:val="en-US" w:eastAsia="zh-CN"/>
        </w:rPr>
        <w:t>各项目中</w:t>
      </w:r>
      <w:r>
        <w:rPr>
          <w:rFonts w:hint="eastAsia" w:ascii="宋体" w:hAnsi="宋体" w:eastAsia="宋体" w:cs="宋体"/>
          <w:sz w:val="24"/>
          <w:lang w:eastAsia="zh-CN"/>
        </w:rPr>
        <w:t>环卫小型设施设备养护及</w:t>
      </w:r>
      <w:r>
        <w:rPr>
          <w:rFonts w:hint="eastAsia" w:ascii="宋体" w:hAnsi="宋体" w:cs="宋体"/>
          <w:sz w:val="24"/>
          <w:lang w:eastAsia="zh-CN"/>
        </w:rPr>
        <w:t>保障</w:t>
      </w:r>
      <w:r>
        <w:rPr>
          <w:rFonts w:hint="eastAsia" w:ascii="宋体" w:hAnsi="宋体" w:eastAsia="宋体" w:cs="宋体"/>
          <w:sz w:val="24"/>
          <w:lang w:val="en-US" w:eastAsia="zh-CN"/>
        </w:rPr>
        <w:t>的高标准完成，保证各项业务</w:t>
      </w:r>
      <w:r>
        <w:rPr>
          <w:rFonts w:hint="eastAsia" w:ascii="宋体" w:hAnsi="宋体" w:eastAsia="宋体" w:cs="宋体"/>
          <w:sz w:val="24"/>
        </w:rPr>
        <w:t>的正常</w:t>
      </w:r>
      <w:r>
        <w:rPr>
          <w:rFonts w:hint="eastAsia" w:ascii="宋体" w:hAnsi="宋体" w:eastAsia="宋体" w:cs="宋体"/>
          <w:sz w:val="24"/>
          <w:lang w:eastAsia="zh-CN"/>
        </w:rPr>
        <w:t>运行</w:t>
      </w:r>
      <w:r>
        <w:rPr>
          <w:rFonts w:hint="eastAsia" w:ascii="宋体" w:hAnsi="宋体" w:eastAsia="宋体" w:cs="宋体"/>
          <w:sz w:val="24"/>
        </w:rPr>
        <w:t>，</w:t>
      </w:r>
      <w:r>
        <w:rPr>
          <w:rFonts w:hint="eastAsia" w:ascii="宋体" w:hAnsi="宋体" w:eastAsia="宋体" w:cs="宋体"/>
          <w:sz w:val="24"/>
          <w:lang w:val="en-US" w:eastAsia="zh-CN"/>
        </w:rPr>
        <w:t>现选取</w:t>
      </w:r>
      <w:r>
        <w:rPr>
          <w:rFonts w:hint="eastAsia" w:ascii="宋体" w:hAnsi="宋体" w:eastAsia="宋体" w:cs="宋体"/>
          <w:sz w:val="24"/>
        </w:rPr>
        <w:t>1家有专业的维修队伍和专用的车辆设备</w:t>
      </w:r>
      <w:r>
        <w:rPr>
          <w:rFonts w:hint="eastAsia" w:ascii="宋体" w:hAnsi="宋体" w:eastAsia="宋体" w:cs="宋体"/>
          <w:sz w:val="24"/>
          <w:lang w:val="en-US" w:eastAsia="zh-CN"/>
        </w:rPr>
        <w:t>的</w:t>
      </w:r>
      <w:r>
        <w:rPr>
          <w:rFonts w:hint="eastAsia" w:ascii="宋体" w:hAnsi="宋体" w:eastAsia="宋体" w:cs="宋体"/>
          <w:sz w:val="24"/>
        </w:rPr>
        <w:t>服务单位</w:t>
      </w:r>
      <w:r>
        <w:rPr>
          <w:rFonts w:hint="eastAsia" w:ascii="宋体" w:hAnsi="宋体" w:eastAsia="宋体" w:cs="宋体"/>
          <w:sz w:val="24"/>
          <w:lang w:eastAsia="zh-CN"/>
        </w:rPr>
        <w:t>。</w:t>
      </w:r>
    </w:p>
    <w:p w14:paraId="0F307EB6">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二、服务内容</w:t>
      </w:r>
    </w:p>
    <w:tbl>
      <w:tblPr>
        <w:tblStyle w:val="58"/>
        <w:tblW w:w="501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8"/>
        <w:gridCol w:w="1317"/>
        <w:gridCol w:w="7052"/>
      </w:tblGrid>
      <w:tr w14:paraId="6B1A8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5000" w:type="pct"/>
            <w:gridSpan w:val="3"/>
            <w:vAlign w:val="center"/>
          </w:tcPr>
          <w:p w14:paraId="4720DB0E">
            <w:pPr>
              <w:pStyle w:val="57"/>
              <w:spacing w:before="97" w:line="212" w:lineRule="auto"/>
              <w:ind w:left="0"/>
              <w:jc w:val="center"/>
              <w:rPr>
                <w:rFonts w:hint="eastAsia" w:ascii="宋体" w:hAnsi="宋体" w:eastAsia="宋体" w:cs="宋体"/>
                <w:sz w:val="45"/>
                <w:szCs w:val="45"/>
              </w:rPr>
            </w:pPr>
            <w:r>
              <w:rPr>
                <w:rFonts w:hint="eastAsia" w:ascii="宋体" w:hAnsi="宋体" w:eastAsia="宋体" w:cs="宋体"/>
                <w:b/>
                <w:bCs/>
                <w:spacing w:val="-2"/>
                <w:sz w:val="24"/>
                <w:szCs w:val="24"/>
              </w:rPr>
              <w:t>环卫小型设施设备日常养护及</w:t>
            </w:r>
            <w:r>
              <w:rPr>
                <w:rFonts w:hint="eastAsia" w:ascii="宋体" w:hAnsi="宋体" w:cs="宋体"/>
                <w:b/>
                <w:bCs/>
                <w:spacing w:val="-2"/>
                <w:sz w:val="24"/>
                <w:szCs w:val="24"/>
                <w:lang w:eastAsia="zh-CN"/>
              </w:rPr>
              <w:t>保障</w:t>
            </w:r>
            <w:r>
              <w:rPr>
                <w:rFonts w:hint="eastAsia" w:ascii="宋体" w:hAnsi="宋体" w:eastAsia="宋体" w:cs="宋体"/>
                <w:b/>
                <w:bCs/>
                <w:spacing w:val="-2"/>
                <w:sz w:val="24"/>
                <w:szCs w:val="24"/>
              </w:rPr>
              <w:t>服务项目</w:t>
            </w:r>
          </w:p>
        </w:tc>
      </w:tr>
      <w:tr w14:paraId="5EA0F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380" w:type="pct"/>
            <w:vAlign w:val="center"/>
          </w:tcPr>
          <w:p w14:paraId="29A64C21">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序号</w:t>
            </w:r>
          </w:p>
        </w:tc>
        <w:tc>
          <w:tcPr>
            <w:tcW w:w="727" w:type="pct"/>
            <w:vAlign w:val="center"/>
          </w:tcPr>
          <w:p w14:paraId="2C87FB65">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服务内容</w:t>
            </w:r>
          </w:p>
        </w:tc>
        <w:tc>
          <w:tcPr>
            <w:tcW w:w="3891" w:type="pct"/>
            <w:vAlign w:val="center"/>
          </w:tcPr>
          <w:p w14:paraId="2803E9B6">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具体内容</w:t>
            </w:r>
          </w:p>
        </w:tc>
      </w:tr>
      <w:tr w14:paraId="40C5E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380" w:type="pct"/>
            <w:vAlign w:val="center"/>
          </w:tcPr>
          <w:p w14:paraId="51499DD7">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1</w:t>
            </w:r>
          </w:p>
        </w:tc>
        <w:tc>
          <w:tcPr>
            <w:tcW w:w="727" w:type="pct"/>
            <w:vAlign w:val="center"/>
          </w:tcPr>
          <w:p w14:paraId="36B068C5">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日常养护</w:t>
            </w:r>
          </w:p>
        </w:tc>
        <w:tc>
          <w:tcPr>
            <w:tcW w:w="3891" w:type="pct"/>
            <w:vAlign w:val="center"/>
          </w:tcPr>
          <w:p w14:paraId="16C66441">
            <w:pPr>
              <w:keepNext w:val="0"/>
              <w:keepLines w:val="0"/>
              <w:pageBreakBefore w:val="0"/>
              <w:widowControl w:val="0"/>
              <w:kinsoku/>
              <w:wordWrap/>
              <w:overflowPunct/>
              <w:topLinePunct w:val="0"/>
              <w:autoSpaceDE/>
              <w:autoSpaceDN/>
              <w:bidi w:val="0"/>
              <w:snapToGrid/>
              <w:jc w:val="left"/>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各部门小型设施设备日常巡检，保洁养护和小型以上及复杂维修的报修等</w:t>
            </w:r>
          </w:p>
        </w:tc>
      </w:tr>
      <w:tr w14:paraId="3C0C1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380" w:type="pct"/>
            <w:vAlign w:val="center"/>
          </w:tcPr>
          <w:p w14:paraId="4A1CD00B">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p>
          <w:p w14:paraId="00CD93F5">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2</w:t>
            </w:r>
          </w:p>
        </w:tc>
        <w:tc>
          <w:tcPr>
            <w:tcW w:w="727" w:type="pct"/>
            <w:vAlign w:val="center"/>
          </w:tcPr>
          <w:p w14:paraId="2624F28B">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小型设备</w:t>
            </w:r>
          </w:p>
          <w:p w14:paraId="67773D1E">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cs="宋体"/>
                <w:kern w:val="0"/>
                <w:sz w:val="24"/>
                <w:szCs w:val="22"/>
                <w:lang w:val="en-US" w:eastAsia="zh-CN" w:bidi="en-US"/>
              </w:rPr>
              <w:t>保障</w:t>
            </w:r>
          </w:p>
        </w:tc>
        <w:tc>
          <w:tcPr>
            <w:tcW w:w="3891" w:type="pct"/>
            <w:vAlign w:val="center"/>
          </w:tcPr>
          <w:p w14:paraId="227F7F05">
            <w:pPr>
              <w:keepNext w:val="0"/>
              <w:keepLines w:val="0"/>
              <w:pageBreakBefore w:val="0"/>
              <w:widowControl w:val="0"/>
              <w:kinsoku/>
              <w:wordWrap/>
              <w:overflowPunct/>
              <w:topLinePunct w:val="0"/>
              <w:autoSpaceDE/>
              <w:autoSpaceDN/>
              <w:bidi w:val="0"/>
              <w:snapToGrid/>
              <w:jc w:val="left"/>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各部门的雾炮机、清洗机维修(更换水管、水枪、上水阀、出水管和更换机油等),道闸小修(加固、更换道杆等),设备更换液压油管、设备马达准修，设备电焊加固维修，设备移位；其他维修(包括门、锁、拉手手、窗户，加装、修补遮阳网，地面石子回填等)</w:t>
            </w:r>
          </w:p>
        </w:tc>
      </w:tr>
      <w:tr w14:paraId="1130E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380" w:type="pct"/>
            <w:vAlign w:val="center"/>
          </w:tcPr>
          <w:p w14:paraId="5958DD08">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p>
          <w:p w14:paraId="07D01F13">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3</w:t>
            </w:r>
          </w:p>
        </w:tc>
        <w:tc>
          <w:tcPr>
            <w:tcW w:w="727" w:type="pct"/>
            <w:vAlign w:val="center"/>
          </w:tcPr>
          <w:p w14:paraId="2B10BB99">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中小水电</w:t>
            </w:r>
          </w:p>
          <w:p w14:paraId="36DD97D8">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cs="宋体"/>
                <w:kern w:val="0"/>
                <w:sz w:val="24"/>
                <w:szCs w:val="22"/>
                <w:lang w:val="en-US" w:eastAsia="zh-CN" w:bidi="en-US"/>
              </w:rPr>
              <w:t>保障</w:t>
            </w:r>
          </w:p>
        </w:tc>
        <w:tc>
          <w:tcPr>
            <w:tcW w:w="3891" w:type="pct"/>
            <w:vAlign w:val="center"/>
          </w:tcPr>
          <w:p w14:paraId="3F0E7AB0">
            <w:pPr>
              <w:keepNext w:val="0"/>
              <w:keepLines w:val="0"/>
              <w:pageBreakBefore w:val="0"/>
              <w:widowControl w:val="0"/>
              <w:kinsoku/>
              <w:wordWrap/>
              <w:overflowPunct/>
              <w:topLinePunct w:val="0"/>
              <w:autoSpaceDE/>
              <w:autoSpaceDN/>
              <w:bidi w:val="0"/>
              <w:snapToGrid/>
              <w:jc w:val="left"/>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各部门水电维修(更换插座、灯、水头、大小便阀、电池、上下水管、空气开 关、电箱、放电线装水管、接水泵等)</w:t>
            </w:r>
          </w:p>
        </w:tc>
      </w:tr>
      <w:tr w14:paraId="543CC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380" w:type="pct"/>
            <w:vAlign w:val="center"/>
          </w:tcPr>
          <w:p w14:paraId="057F925D">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highlight w:val="none"/>
                <w:lang w:val="en-US" w:eastAsia="zh-CN" w:bidi="en-US"/>
              </w:rPr>
            </w:pPr>
            <w:r>
              <w:rPr>
                <w:rFonts w:hint="eastAsia" w:ascii="宋体" w:hAnsi="宋体" w:eastAsia="宋体" w:cs="宋体"/>
                <w:kern w:val="0"/>
                <w:sz w:val="24"/>
                <w:szCs w:val="22"/>
                <w:highlight w:val="none"/>
                <w:lang w:val="en-US" w:eastAsia="zh-CN" w:bidi="en-US"/>
              </w:rPr>
              <w:t>4</w:t>
            </w:r>
          </w:p>
        </w:tc>
        <w:tc>
          <w:tcPr>
            <w:tcW w:w="727" w:type="pct"/>
            <w:vAlign w:val="center"/>
          </w:tcPr>
          <w:p w14:paraId="54A104A8">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highlight w:val="none"/>
                <w:lang w:val="en-US" w:eastAsia="zh-CN" w:bidi="en-US"/>
              </w:rPr>
            </w:pPr>
            <w:r>
              <w:rPr>
                <w:rFonts w:hint="eastAsia" w:ascii="宋体" w:hAnsi="宋体" w:eastAsia="宋体" w:cs="宋体"/>
                <w:kern w:val="0"/>
                <w:sz w:val="24"/>
                <w:szCs w:val="22"/>
                <w:highlight w:val="none"/>
                <w:lang w:val="en-US" w:eastAsia="zh-CN" w:bidi="en-US"/>
              </w:rPr>
              <w:t>其他</w:t>
            </w:r>
          </w:p>
        </w:tc>
        <w:tc>
          <w:tcPr>
            <w:tcW w:w="3891" w:type="pct"/>
            <w:vAlign w:val="center"/>
          </w:tcPr>
          <w:p w14:paraId="36996797">
            <w:pPr>
              <w:keepNext w:val="0"/>
              <w:keepLines w:val="0"/>
              <w:pageBreakBefore w:val="0"/>
              <w:widowControl w:val="0"/>
              <w:kinsoku/>
              <w:wordWrap/>
              <w:overflowPunct/>
              <w:topLinePunct w:val="0"/>
              <w:autoSpaceDE/>
              <w:autoSpaceDN/>
              <w:bidi w:val="0"/>
              <w:snapToGrid/>
              <w:jc w:val="left"/>
              <w:rPr>
                <w:rFonts w:hint="default" w:ascii="宋体" w:hAnsi="宋体" w:eastAsia="宋体" w:cs="宋体"/>
                <w:kern w:val="0"/>
                <w:sz w:val="24"/>
                <w:szCs w:val="22"/>
                <w:highlight w:val="none"/>
                <w:lang w:val="en-US" w:eastAsia="zh-CN" w:bidi="en-US"/>
              </w:rPr>
            </w:pPr>
            <w:r>
              <w:rPr>
                <w:rFonts w:hint="eastAsia" w:ascii="宋体" w:hAnsi="宋体" w:cs="宋体"/>
                <w:kern w:val="0"/>
                <w:sz w:val="24"/>
                <w:szCs w:val="22"/>
                <w:highlight w:val="none"/>
                <w:lang w:val="en-US" w:eastAsia="zh-CN" w:bidi="en-US"/>
              </w:rPr>
              <w:t>与</w:t>
            </w:r>
            <w:r>
              <w:rPr>
                <w:rFonts w:hint="eastAsia" w:ascii="宋体" w:hAnsi="宋体" w:eastAsia="宋体" w:cs="宋体"/>
                <w:kern w:val="0"/>
                <w:sz w:val="24"/>
                <w:szCs w:val="22"/>
                <w:highlight w:val="none"/>
                <w:lang w:val="en-US" w:eastAsia="zh-CN" w:bidi="en-US"/>
              </w:rPr>
              <w:t>日常养护及</w:t>
            </w:r>
            <w:r>
              <w:rPr>
                <w:rFonts w:hint="eastAsia" w:ascii="宋体" w:hAnsi="宋体" w:cs="宋体"/>
                <w:kern w:val="0"/>
                <w:sz w:val="24"/>
                <w:szCs w:val="22"/>
                <w:highlight w:val="none"/>
                <w:lang w:val="en-US" w:eastAsia="zh-CN" w:bidi="en-US"/>
              </w:rPr>
              <w:t>保障相关的辅助措施，如扬尘控制，雨、污水收集池降水清池等</w:t>
            </w:r>
          </w:p>
        </w:tc>
      </w:tr>
    </w:tbl>
    <w:p w14:paraId="2B17C13C">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firstLine="0" w:firstLineChars="0"/>
        <w:textAlignment w:val="auto"/>
        <w:outlineLvl w:val="1"/>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岗位</w:t>
      </w:r>
      <w:r>
        <w:rPr>
          <w:rFonts w:hint="eastAsia" w:ascii="宋体" w:hAnsi="宋体" w:eastAsia="宋体" w:cs="宋体"/>
          <w:b/>
          <w:bCs/>
          <w:sz w:val="24"/>
          <w:szCs w:val="24"/>
          <w:lang w:val="en-US" w:eastAsia="zh-CN"/>
        </w:rPr>
        <w:t>要求</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3690"/>
        <w:gridCol w:w="1882"/>
        <w:gridCol w:w="2897"/>
      </w:tblGrid>
      <w:tr w14:paraId="3CF5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67" w:type="dxa"/>
            <w:vAlign w:val="center"/>
          </w:tcPr>
          <w:p w14:paraId="62890E47">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en-US" w:bidi="en-US"/>
              </w:rPr>
              <w:t>序号</w:t>
            </w:r>
          </w:p>
        </w:tc>
        <w:tc>
          <w:tcPr>
            <w:tcW w:w="3690" w:type="dxa"/>
            <w:vAlign w:val="center"/>
          </w:tcPr>
          <w:p w14:paraId="7A81EA98">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岗位</w:t>
            </w:r>
            <w:r>
              <w:rPr>
                <w:rFonts w:hint="eastAsia" w:ascii="宋体" w:hAnsi="宋体" w:eastAsia="宋体" w:cs="宋体"/>
                <w:kern w:val="0"/>
                <w:sz w:val="24"/>
                <w:szCs w:val="22"/>
                <w:lang w:val="en-US" w:eastAsia="en-US" w:bidi="en-US"/>
              </w:rPr>
              <w:t>组成</w:t>
            </w:r>
          </w:p>
        </w:tc>
        <w:tc>
          <w:tcPr>
            <w:tcW w:w="1882" w:type="dxa"/>
            <w:vAlign w:val="center"/>
          </w:tcPr>
          <w:p w14:paraId="4C9EEDE4">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en-US" w:bidi="en-US"/>
              </w:rPr>
              <w:t>数量</w:t>
            </w:r>
          </w:p>
        </w:tc>
        <w:tc>
          <w:tcPr>
            <w:tcW w:w="2897" w:type="dxa"/>
            <w:vAlign w:val="center"/>
          </w:tcPr>
          <w:p w14:paraId="0925C666">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备注</w:t>
            </w:r>
          </w:p>
        </w:tc>
      </w:tr>
      <w:tr w14:paraId="7C06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67" w:type="dxa"/>
            <w:shd w:val="clear" w:color="auto" w:fill="auto"/>
            <w:vAlign w:val="center"/>
          </w:tcPr>
          <w:p w14:paraId="0F9F78E8">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en-US" w:bidi="en-US"/>
              </w:rPr>
              <w:t>1</w:t>
            </w:r>
          </w:p>
        </w:tc>
        <w:tc>
          <w:tcPr>
            <w:tcW w:w="3690" w:type="dxa"/>
            <w:shd w:val="clear" w:color="auto" w:fill="auto"/>
            <w:vAlign w:val="center"/>
          </w:tcPr>
          <w:p w14:paraId="1CEFEC5B">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普通工作人员</w:t>
            </w:r>
          </w:p>
        </w:tc>
        <w:tc>
          <w:tcPr>
            <w:tcW w:w="1882" w:type="dxa"/>
            <w:shd w:val="clear" w:color="auto" w:fill="auto"/>
            <w:vAlign w:val="center"/>
          </w:tcPr>
          <w:p w14:paraId="1664FD05">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6</w:t>
            </w:r>
          </w:p>
        </w:tc>
        <w:tc>
          <w:tcPr>
            <w:tcW w:w="2897" w:type="dxa"/>
            <w:shd w:val="clear" w:color="auto" w:fill="auto"/>
            <w:vAlign w:val="center"/>
          </w:tcPr>
          <w:p w14:paraId="2EB396F9">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p>
        </w:tc>
      </w:tr>
      <w:tr w14:paraId="6D29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67" w:type="dxa"/>
            <w:shd w:val="clear" w:color="auto" w:fill="auto"/>
            <w:vAlign w:val="center"/>
          </w:tcPr>
          <w:p w14:paraId="158B395D">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en-US" w:bidi="en-US"/>
              </w:rPr>
              <w:t>2</w:t>
            </w:r>
          </w:p>
        </w:tc>
        <w:tc>
          <w:tcPr>
            <w:tcW w:w="3690" w:type="dxa"/>
            <w:shd w:val="clear" w:color="auto" w:fill="auto"/>
            <w:vAlign w:val="center"/>
          </w:tcPr>
          <w:p w14:paraId="3BAE96A7">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驾驶员</w:t>
            </w:r>
          </w:p>
        </w:tc>
        <w:tc>
          <w:tcPr>
            <w:tcW w:w="1882" w:type="dxa"/>
            <w:shd w:val="clear" w:color="auto" w:fill="auto"/>
            <w:vAlign w:val="center"/>
          </w:tcPr>
          <w:p w14:paraId="0B759A69">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1</w:t>
            </w:r>
          </w:p>
        </w:tc>
        <w:tc>
          <w:tcPr>
            <w:tcW w:w="2897" w:type="dxa"/>
            <w:shd w:val="clear" w:color="auto" w:fill="auto"/>
            <w:vAlign w:val="center"/>
          </w:tcPr>
          <w:p w14:paraId="16F3CBCA">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B照及以上</w:t>
            </w:r>
          </w:p>
        </w:tc>
      </w:tr>
    </w:tbl>
    <w:p w14:paraId="30DBCDAF">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0" w:leftChars="0" w:firstLine="0" w:firstLineChars="0"/>
        <w:textAlignment w:val="auto"/>
        <w:outlineLvl w:val="1"/>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设备要求</w:t>
      </w:r>
    </w:p>
    <w:tbl>
      <w:tblPr>
        <w:tblStyle w:val="25"/>
        <w:tblpPr w:leftFromText="180" w:rightFromText="180" w:vertAnchor="text" w:horzAnchor="page" w:tblpXSpec="center" w:tblpY="386"/>
        <w:tblOverlap w:val="never"/>
        <w:tblW w:w="9080" w:type="dxa"/>
        <w:jc w:val="center"/>
        <w:tblLayout w:type="fixed"/>
        <w:tblCellMar>
          <w:top w:w="0" w:type="dxa"/>
          <w:left w:w="108" w:type="dxa"/>
          <w:bottom w:w="0" w:type="dxa"/>
          <w:right w:w="108" w:type="dxa"/>
        </w:tblCellMar>
      </w:tblPr>
      <w:tblGrid>
        <w:gridCol w:w="826"/>
        <w:gridCol w:w="2104"/>
        <w:gridCol w:w="2227"/>
        <w:gridCol w:w="3923"/>
      </w:tblGrid>
      <w:tr w14:paraId="0ECC6560">
        <w:tblPrEx>
          <w:tblCellMar>
            <w:top w:w="0" w:type="dxa"/>
            <w:left w:w="108" w:type="dxa"/>
            <w:bottom w:w="0" w:type="dxa"/>
            <w:right w:w="108" w:type="dxa"/>
          </w:tblCellMar>
        </w:tblPrEx>
        <w:trPr>
          <w:trHeight w:val="624" w:hRule="atLeast"/>
          <w:jc w:val="center"/>
        </w:trPr>
        <w:tc>
          <w:tcPr>
            <w:tcW w:w="826" w:type="dxa"/>
            <w:tcBorders>
              <w:top w:val="nil"/>
              <w:left w:val="single" w:color="auto" w:sz="4" w:space="0"/>
              <w:bottom w:val="single" w:color="auto" w:sz="4" w:space="0"/>
              <w:right w:val="single" w:color="auto" w:sz="4" w:space="0"/>
            </w:tcBorders>
            <w:noWrap/>
            <w:vAlign w:val="center"/>
          </w:tcPr>
          <w:p w14:paraId="3D7DD76E">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en-US" w:bidi="en-US"/>
              </w:rPr>
            </w:pPr>
            <w:r>
              <w:rPr>
                <w:rFonts w:hint="eastAsia" w:ascii="宋体" w:hAnsi="宋体" w:eastAsia="宋体" w:cs="宋体"/>
                <w:kern w:val="0"/>
                <w:sz w:val="24"/>
                <w:szCs w:val="22"/>
                <w:lang w:val="en-US" w:eastAsia="en-US" w:bidi="en-US"/>
              </w:rPr>
              <w:t>序号</w:t>
            </w:r>
          </w:p>
        </w:tc>
        <w:tc>
          <w:tcPr>
            <w:tcW w:w="2104" w:type="dxa"/>
            <w:tcBorders>
              <w:top w:val="nil"/>
              <w:left w:val="nil"/>
              <w:bottom w:val="single" w:color="auto" w:sz="4" w:space="0"/>
              <w:right w:val="single" w:color="auto" w:sz="4" w:space="0"/>
            </w:tcBorders>
            <w:noWrap/>
            <w:vAlign w:val="center"/>
          </w:tcPr>
          <w:p w14:paraId="5B2FCD5B">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en-US" w:bidi="en-US"/>
              </w:rPr>
            </w:pPr>
            <w:r>
              <w:rPr>
                <w:rFonts w:hint="eastAsia" w:ascii="宋体" w:hAnsi="宋体" w:eastAsia="宋体" w:cs="宋体"/>
                <w:kern w:val="0"/>
                <w:sz w:val="24"/>
                <w:szCs w:val="22"/>
                <w:lang w:val="en-US" w:eastAsia="en-US" w:bidi="en-US"/>
              </w:rPr>
              <w:t>设备组成</w:t>
            </w:r>
          </w:p>
        </w:tc>
        <w:tc>
          <w:tcPr>
            <w:tcW w:w="2227" w:type="dxa"/>
            <w:tcBorders>
              <w:top w:val="nil"/>
              <w:left w:val="nil"/>
              <w:bottom w:val="single" w:color="auto" w:sz="4" w:space="0"/>
              <w:right w:val="single" w:color="auto" w:sz="4" w:space="0"/>
            </w:tcBorders>
            <w:noWrap/>
            <w:vAlign w:val="center"/>
          </w:tcPr>
          <w:p w14:paraId="73823909">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en-US" w:bidi="en-US"/>
              </w:rPr>
            </w:pPr>
            <w:r>
              <w:rPr>
                <w:rFonts w:hint="eastAsia" w:ascii="宋体" w:hAnsi="宋体" w:eastAsia="宋体" w:cs="宋体"/>
                <w:kern w:val="0"/>
                <w:sz w:val="24"/>
                <w:szCs w:val="22"/>
                <w:lang w:val="en-US" w:eastAsia="en-US" w:bidi="en-US"/>
              </w:rPr>
              <w:t>数量</w:t>
            </w:r>
          </w:p>
        </w:tc>
        <w:tc>
          <w:tcPr>
            <w:tcW w:w="3923" w:type="dxa"/>
            <w:tcBorders>
              <w:top w:val="nil"/>
              <w:left w:val="nil"/>
              <w:bottom w:val="single" w:color="auto" w:sz="4" w:space="0"/>
              <w:right w:val="single" w:color="000000" w:sz="4" w:space="0"/>
            </w:tcBorders>
            <w:noWrap/>
            <w:vAlign w:val="center"/>
          </w:tcPr>
          <w:p w14:paraId="05B77E51">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cs="宋体"/>
                <w:kern w:val="0"/>
                <w:sz w:val="24"/>
                <w:szCs w:val="22"/>
                <w:lang w:val="en-US" w:eastAsia="zh-CN" w:bidi="en-US"/>
              </w:rPr>
              <w:t>备注</w:t>
            </w:r>
          </w:p>
        </w:tc>
      </w:tr>
      <w:tr w14:paraId="1F2DF1C1">
        <w:tblPrEx>
          <w:tblCellMar>
            <w:top w:w="0" w:type="dxa"/>
            <w:left w:w="108" w:type="dxa"/>
            <w:bottom w:w="0" w:type="dxa"/>
            <w:right w:w="108" w:type="dxa"/>
          </w:tblCellMar>
        </w:tblPrEx>
        <w:trPr>
          <w:trHeight w:val="624" w:hRule="atLeast"/>
          <w:jc w:val="center"/>
        </w:trPr>
        <w:tc>
          <w:tcPr>
            <w:tcW w:w="826" w:type="dxa"/>
            <w:tcBorders>
              <w:top w:val="single" w:color="auto" w:sz="4" w:space="0"/>
              <w:left w:val="single" w:color="auto" w:sz="4" w:space="0"/>
              <w:bottom w:val="single" w:color="auto" w:sz="4" w:space="0"/>
              <w:right w:val="single" w:color="auto" w:sz="4" w:space="0"/>
            </w:tcBorders>
            <w:noWrap/>
            <w:vAlign w:val="center"/>
          </w:tcPr>
          <w:p w14:paraId="000D4D7D">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en-US" w:bidi="en-US"/>
              </w:rPr>
            </w:pPr>
            <w:r>
              <w:rPr>
                <w:rFonts w:hint="eastAsia" w:ascii="宋体" w:hAnsi="宋体" w:eastAsia="宋体" w:cs="宋体"/>
                <w:kern w:val="0"/>
                <w:sz w:val="24"/>
                <w:szCs w:val="22"/>
                <w:lang w:val="en-US" w:eastAsia="en-US" w:bidi="en-US"/>
              </w:rPr>
              <w:t>1</w:t>
            </w:r>
          </w:p>
        </w:tc>
        <w:tc>
          <w:tcPr>
            <w:tcW w:w="2104" w:type="dxa"/>
            <w:tcBorders>
              <w:top w:val="single" w:color="auto" w:sz="4" w:space="0"/>
              <w:left w:val="nil"/>
              <w:bottom w:val="single" w:color="auto" w:sz="4" w:space="0"/>
              <w:right w:val="single" w:color="auto" w:sz="4" w:space="0"/>
            </w:tcBorders>
            <w:noWrap/>
            <w:vAlign w:val="center"/>
          </w:tcPr>
          <w:p w14:paraId="108CAC89">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en-US" w:bidi="en-US"/>
              </w:rPr>
            </w:pPr>
            <w:r>
              <w:rPr>
                <w:rFonts w:hint="eastAsia" w:ascii="宋体" w:hAnsi="宋体" w:eastAsia="宋体" w:cs="宋体"/>
                <w:kern w:val="0"/>
                <w:sz w:val="24"/>
                <w:szCs w:val="22"/>
                <w:lang w:val="en-US" w:eastAsia="en-US" w:bidi="en-US"/>
              </w:rPr>
              <w:t>小型汽车</w:t>
            </w:r>
          </w:p>
        </w:tc>
        <w:tc>
          <w:tcPr>
            <w:tcW w:w="2227" w:type="dxa"/>
            <w:tcBorders>
              <w:top w:val="single" w:color="auto" w:sz="4" w:space="0"/>
              <w:left w:val="nil"/>
              <w:bottom w:val="single" w:color="auto" w:sz="4" w:space="0"/>
              <w:right w:val="single" w:color="auto" w:sz="4" w:space="0"/>
            </w:tcBorders>
            <w:noWrap/>
            <w:vAlign w:val="center"/>
          </w:tcPr>
          <w:p w14:paraId="79290F43">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1</w:t>
            </w:r>
          </w:p>
        </w:tc>
        <w:tc>
          <w:tcPr>
            <w:tcW w:w="3923" w:type="dxa"/>
            <w:vMerge w:val="restart"/>
            <w:tcBorders>
              <w:top w:val="single" w:color="auto" w:sz="4" w:space="0"/>
              <w:left w:val="single" w:color="auto" w:sz="4" w:space="0"/>
              <w:right w:val="single" w:color="auto" w:sz="4" w:space="0"/>
            </w:tcBorders>
            <w:noWrap/>
            <w:vAlign w:val="center"/>
          </w:tcPr>
          <w:p w14:paraId="593498C5">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en-US" w:bidi="en-US"/>
              </w:rPr>
            </w:pPr>
            <w:r>
              <w:rPr>
                <w:rFonts w:hint="eastAsia" w:ascii="宋体" w:hAnsi="宋体" w:eastAsia="宋体" w:cs="宋体"/>
                <w:kern w:val="0"/>
                <w:sz w:val="24"/>
                <w:szCs w:val="22"/>
                <w:lang w:val="en-US" w:eastAsia="en-US" w:bidi="en-US"/>
              </w:rPr>
              <w:t>设备费用包含折旧、能耗、维修、保养等使用设备的一切费用</w:t>
            </w:r>
          </w:p>
        </w:tc>
      </w:tr>
      <w:tr w14:paraId="49FA0036">
        <w:tblPrEx>
          <w:tblCellMar>
            <w:top w:w="0" w:type="dxa"/>
            <w:left w:w="108" w:type="dxa"/>
            <w:bottom w:w="0" w:type="dxa"/>
            <w:right w:w="108" w:type="dxa"/>
          </w:tblCellMar>
        </w:tblPrEx>
        <w:trPr>
          <w:trHeight w:val="624" w:hRule="atLeast"/>
          <w:jc w:val="center"/>
        </w:trPr>
        <w:tc>
          <w:tcPr>
            <w:tcW w:w="826" w:type="dxa"/>
            <w:tcBorders>
              <w:top w:val="single" w:color="auto" w:sz="4" w:space="0"/>
              <w:left w:val="single" w:color="auto" w:sz="4" w:space="0"/>
              <w:bottom w:val="single" w:color="auto" w:sz="4" w:space="0"/>
              <w:right w:val="single" w:color="auto" w:sz="4" w:space="0"/>
            </w:tcBorders>
            <w:noWrap/>
            <w:vAlign w:val="center"/>
          </w:tcPr>
          <w:p w14:paraId="08D9E6E4">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en-US" w:bidi="en-US"/>
              </w:rPr>
            </w:pPr>
            <w:r>
              <w:rPr>
                <w:rFonts w:hint="eastAsia" w:ascii="宋体" w:hAnsi="宋体" w:eastAsia="宋体" w:cs="宋体"/>
                <w:kern w:val="0"/>
                <w:sz w:val="24"/>
                <w:szCs w:val="22"/>
                <w:lang w:val="en-US" w:eastAsia="en-US" w:bidi="en-US"/>
              </w:rPr>
              <w:t>2</w:t>
            </w:r>
          </w:p>
        </w:tc>
        <w:tc>
          <w:tcPr>
            <w:tcW w:w="2104" w:type="dxa"/>
            <w:tcBorders>
              <w:top w:val="single" w:color="auto" w:sz="4" w:space="0"/>
              <w:left w:val="nil"/>
              <w:bottom w:val="single" w:color="auto" w:sz="4" w:space="0"/>
              <w:right w:val="single" w:color="auto" w:sz="4" w:space="0"/>
            </w:tcBorders>
            <w:noWrap/>
            <w:vAlign w:val="center"/>
          </w:tcPr>
          <w:p w14:paraId="116EEE00">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电瓶车</w:t>
            </w:r>
          </w:p>
        </w:tc>
        <w:tc>
          <w:tcPr>
            <w:tcW w:w="2227" w:type="dxa"/>
            <w:tcBorders>
              <w:top w:val="single" w:color="auto" w:sz="4" w:space="0"/>
              <w:left w:val="nil"/>
              <w:bottom w:val="single" w:color="auto" w:sz="4" w:space="0"/>
              <w:right w:val="single" w:color="auto" w:sz="4" w:space="0"/>
            </w:tcBorders>
            <w:noWrap/>
            <w:vAlign w:val="center"/>
          </w:tcPr>
          <w:p w14:paraId="3C5EE5E9">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zh-CN" w:bidi="en-US"/>
              </w:rPr>
            </w:pPr>
            <w:r>
              <w:rPr>
                <w:rFonts w:hint="eastAsia" w:ascii="宋体" w:hAnsi="宋体" w:eastAsia="宋体" w:cs="宋体"/>
                <w:kern w:val="0"/>
                <w:sz w:val="24"/>
                <w:szCs w:val="22"/>
                <w:lang w:val="en-US" w:eastAsia="zh-CN" w:bidi="en-US"/>
              </w:rPr>
              <w:t>2</w:t>
            </w:r>
          </w:p>
        </w:tc>
        <w:tc>
          <w:tcPr>
            <w:tcW w:w="3923" w:type="dxa"/>
            <w:vMerge w:val="continue"/>
            <w:tcBorders>
              <w:left w:val="single" w:color="auto" w:sz="4" w:space="0"/>
              <w:bottom w:val="single" w:color="auto" w:sz="4" w:space="0"/>
              <w:right w:val="single" w:color="auto" w:sz="4" w:space="0"/>
            </w:tcBorders>
            <w:noWrap/>
            <w:vAlign w:val="center"/>
          </w:tcPr>
          <w:p w14:paraId="6A99789C">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lang w:val="en-US" w:eastAsia="en-US" w:bidi="en-US"/>
              </w:rPr>
            </w:pPr>
          </w:p>
        </w:tc>
      </w:tr>
      <w:tr w14:paraId="79D7CF5C">
        <w:tblPrEx>
          <w:tblCellMar>
            <w:top w:w="0" w:type="dxa"/>
            <w:left w:w="108" w:type="dxa"/>
            <w:bottom w:w="0" w:type="dxa"/>
            <w:right w:w="108" w:type="dxa"/>
          </w:tblCellMar>
        </w:tblPrEx>
        <w:trPr>
          <w:trHeight w:val="624" w:hRule="atLeast"/>
          <w:jc w:val="center"/>
        </w:trPr>
        <w:tc>
          <w:tcPr>
            <w:tcW w:w="826" w:type="dxa"/>
            <w:tcBorders>
              <w:top w:val="single" w:color="auto" w:sz="4" w:space="0"/>
              <w:left w:val="single" w:color="auto" w:sz="4" w:space="0"/>
              <w:bottom w:val="single" w:color="auto" w:sz="4" w:space="0"/>
              <w:right w:val="single" w:color="auto" w:sz="4" w:space="0"/>
            </w:tcBorders>
            <w:noWrap/>
            <w:vAlign w:val="center"/>
          </w:tcPr>
          <w:p w14:paraId="78C08CC0">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highlight w:val="none"/>
                <w:lang w:val="en-US" w:eastAsia="zh-CN" w:bidi="en-US"/>
              </w:rPr>
            </w:pPr>
            <w:r>
              <w:rPr>
                <w:rFonts w:hint="eastAsia" w:ascii="宋体" w:hAnsi="宋体" w:eastAsia="宋体" w:cs="宋体"/>
                <w:kern w:val="0"/>
                <w:sz w:val="24"/>
                <w:szCs w:val="22"/>
                <w:highlight w:val="none"/>
                <w:lang w:val="en-US" w:eastAsia="zh-CN" w:bidi="en-US"/>
              </w:rPr>
              <w:t>3</w:t>
            </w:r>
          </w:p>
        </w:tc>
        <w:tc>
          <w:tcPr>
            <w:tcW w:w="2104" w:type="dxa"/>
            <w:tcBorders>
              <w:top w:val="single" w:color="auto" w:sz="4" w:space="0"/>
              <w:left w:val="nil"/>
              <w:bottom w:val="single" w:color="auto" w:sz="4" w:space="0"/>
              <w:right w:val="single" w:color="auto" w:sz="4" w:space="0"/>
            </w:tcBorders>
            <w:noWrap/>
            <w:vAlign w:val="center"/>
          </w:tcPr>
          <w:p w14:paraId="23497A7B">
            <w:pPr>
              <w:keepNext w:val="0"/>
              <w:keepLines w:val="0"/>
              <w:pageBreakBefore w:val="0"/>
              <w:widowControl w:val="0"/>
              <w:kinsoku/>
              <w:wordWrap/>
              <w:overflowPunct/>
              <w:topLinePunct w:val="0"/>
              <w:autoSpaceDE/>
              <w:autoSpaceDN/>
              <w:bidi w:val="0"/>
              <w:snapToGrid/>
              <w:jc w:val="center"/>
              <w:rPr>
                <w:rFonts w:hint="default" w:ascii="宋体" w:hAnsi="宋体" w:eastAsia="宋体" w:cs="宋体"/>
                <w:kern w:val="0"/>
                <w:sz w:val="24"/>
                <w:szCs w:val="22"/>
                <w:highlight w:val="none"/>
                <w:lang w:val="en-US" w:eastAsia="zh-CN" w:bidi="en-US"/>
              </w:rPr>
            </w:pPr>
            <w:r>
              <w:rPr>
                <w:rFonts w:hint="eastAsia" w:ascii="宋体" w:hAnsi="宋体" w:eastAsia="宋体" w:cs="宋体"/>
                <w:kern w:val="0"/>
                <w:sz w:val="24"/>
                <w:szCs w:val="22"/>
                <w:highlight w:val="none"/>
                <w:lang w:val="en-US" w:eastAsia="zh-CN" w:bidi="en-US"/>
              </w:rPr>
              <w:t>吸污清洁车</w:t>
            </w:r>
          </w:p>
        </w:tc>
        <w:tc>
          <w:tcPr>
            <w:tcW w:w="2227" w:type="dxa"/>
            <w:tcBorders>
              <w:top w:val="single" w:color="auto" w:sz="4" w:space="0"/>
              <w:left w:val="nil"/>
              <w:bottom w:val="single" w:color="auto" w:sz="4" w:space="0"/>
              <w:right w:val="single" w:color="auto" w:sz="4" w:space="0"/>
            </w:tcBorders>
            <w:noWrap/>
            <w:vAlign w:val="center"/>
          </w:tcPr>
          <w:p w14:paraId="72027793">
            <w:pPr>
              <w:keepNext w:val="0"/>
              <w:keepLines w:val="0"/>
              <w:pageBreakBefore w:val="0"/>
              <w:widowControl w:val="0"/>
              <w:kinsoku/>
              <w:wordWrap/>
              <w:overflowPunct/>
              <w:topLinePunct w:val="0"/>
              <w:autoSpaceDE/>
              <w:autoSpaceDN/>
              <w:bidi w:val="0"/>
              <w:snapToGrid/>
              <w:jc w:val="center"/>
              <w:rPr>
                <w:rFonts w:hint="default" w:ascii="宋体" w:hAnsi="宋体" w:eastAsia="宋体" w:cs="宋体"/>
                <w:kern w:val="0"/>
                <w:sz w:val="24"/>
                <w:szCs w:val="22"/>
                <w:highlight w:val="none"/>
                <w:lang w:val="en-US" w:eastAsia="zh-CN" w:bidi="en-US"/>
              </w:rPr>
            </w:pPr>
            <w:r>
              <w:rPr>
                <w:rFonts w:hint="eastAsia" w:ascii="宋体" w:hAnsi="宋体" w:cs="宋体"/>
                <w:kern w:val="0"/>
                <w:sz w:val="24"/>
                <w:szCs w:val="22"/>
                <w:highlight w:val="none"/>
                <w:lang w:val="en-US" w:eastAsia="zh-CN" w:bidi="en-US"/>
              </w:rPr>
              <w:t>4</w:t>
            </w:r>
          </w:p>
        </w:tc>
        <w:tc>
          <w:tcPr>
            <w:tcW w:w="3923" w:type="dxa"/>
            <w:tcBorders>
              <w:left w:val="single" w:color="auto" w:sz="4" w:space="0"/>
              <w:bottom w:val="single" w:color="auto" w:sz="4" w:space="0"/>
              <w:right w:val="single" w:color="auto" w:sz="4" w:space="0"/>
            </w:tcBorders>
            <w:noWrap/>
            <w:vAlign w:val="center"/>
          </w:tcPr>
          <w:p w14:paraId="4E3FDF5E">
            <w:pPr>
              <w:keepNext w:val="0"/>
              <w:keepLines w:val="0"/>
              <w:pageBreakBefore w:val="0"/>
              <w:widowControl w:val="0"/>
              <w:kinsoku/>
              <w:wordWrap/>
              <w:overflowPunct/>
              <w:topLinePunct w:val="0"/>
              <w:autoSpaceDE/>
              <w:autoSpaceDN/>
              <w:bidi w:val="0"/>
              <w:snapToGrid/>
              <w:jc w:val="center"/>
              <w:rPr>
                <w:rFonts w:hint="default" w:ascii="宋体" w:hAnsi="宋体" w:eastAsia="宋体" w:cs="宋体"/>
                <w:kern w:val="0"/>
                <w:sz w:val="24"/>
                <w:szCs w:val="22"/>
                <w:highlight w:val="none"/>
                <w:lang w:val="en-US" w:eastAsia="zh-CN" w:bidi="en-US"/>
              </w:rPr>
            </w:pPr>
            <w:r>
              <w:rPr>
                <w:rFonts w:hint="eastAsia" w:ascii="宋体" w:hAnsi="宋体" w:eastAsia="宋体" w:cs="宋体"/>
                <w:kern w:val="0"/>
                <w:sz w:val="24"/>
                <w:szCs w:val="22"/>
                <w:highlight w:val="none"/>
                <w:lang w:val="en-US" w:eastAsia="zh-CN" w:bidi="en-US"/>
              </w:rPr>
              <w:t>设备甲供</w:t>
            </w:r>
          </w:p>
        </w:tc>
      </w:tr>
      <w:tr w14:paraId="5B1C2A98">
        <w:tblPrEx>
          <w:tblCellMar>
            <w:top w:w="0" w:type="dxa"/>
            <w:left w:w="108" w:type="dxa"/>
            <w:bottom w:w="0" w:type="dxa"/>
            <w:right w:w="108" w:type="dxa"/>
          </w:tblCellMar>
        </w:tblPrEx>
        <w:trPr>
          <w:trHeight w:val="624" w:hRule="atLeast"/>
          <w:jc w:val="center"/>
        </w:trPr>
        <w:tc>
          <w:tcPr>
            <w:tcW w:w="826" w:type="dxa"/>
            <w:tcBorders>
              <w:top w:val="single" w:color="auto" w:sz="4" w:space="0"/>
              <w:left w:val="single" w:color="auto" w:sz="4" w:space="0"/>
              <w:bottom w:val="single" w:color="auto" w:sz="4" w:space="0"/>
              <w:right w:val="single" w:color="auto" w:sz="4" w:space="0"/>
            </w:tcBorders>
            <w:noWrap/>
            <w:vAlign w:val="center"/>
          </w:tcPr>
          <w:p w14:paraId="1DD31E22">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highlight w:val="none"/>
                <w:lang w:val="en-US" w:eastAsia="zh-CN" w:bidi="en-US"/>
              </w:rPr>
            </w:pPr>
            <w:r>
              <w:rPr>
                <w:rFonts w:hint="eastAsia" w:ascii="宋体" w:hAnsi="宋体" w:eastAsia="宋体" w:cs="宋体"/>
                <w:kern w:val="0"/>
                <w:sz w:val="24"/>
                <w:szCs w:val="22"/>
                <w:highlight w:val="none"/>
                <w:lang w:val="en-US" w:eastAsia="zh-CN" w:bidi="en-US"/>
              </w:rPr>
              <w:t>4</w:t>
            </w:r>
          </w:p>
        </w:tc>
        <w:tc>
          <w:tcPr>
            <w:tcW w:w="2104" w:type="dxa"/>
            <w:tcBorders>
              <w:top w:val="single" w:color="auto" w:sz="4" w:space="0"/>
              <w:left w:val="nil"/>
              <w:bottom w:val="single" w:color="auto" w:sz="4" w:space="0"/>
              <w:right w:val="single" w:color="auto" w:sz="4" w:space="0"/>
            </w:tcBorders>
            <w:noWrap/>
            <w:vAlign w:val="center"/>
          </w:tcPr>
          <w:p w14:paraId="4038C2AC">
            <w:pPr>
              <w:keepNext w:val="0"/>
              <w:keepLines w:val="0"/>
              <w:pageBreakBefore w:val="0"/>
              <w:widowControl w:val="0"/>
              <w:kinsoku/>
              <w:wordWrap/>
              <w:overflowPunct/>
              <w:topLinePunct w:val="0"/>
              <w:autoSpaceDE/>
              <w:autoSpaceDN/>
              <w:bidi w:val="0"/>
              <w:snapToGrid/>
              <w:jc w:val="center"/>
              <w:rPr>
                <w:rFonts w:hint="default" w:ascii="宋体" w:hAnsi="宋体" w:eastAsia="宋体" w:cs="宋体"/>
                <w:kern w:val="0"/>
                <w:sz w:val="24"/>
                <w:szCs w:val="22"/>
                <w:highlight w:val="none"/>
                <w:lang w:val="en-US" w:eastAsia="zh-CN" w:bidi="en-US"/>
              </w:rPr>
            </w:pPr>
            <w:r>
              <w:rPr>
                <w:rFonts w:hint="eastAsia" w:ascii="宋体" w:hAnsi="宋体" w:cs="宋体"/>
                <w:kern w:val="0"/>
                <w:sz w:val="24"/>
                <w:szCs w:val="22"/>
                <w:highlight w:val="none"/>
                <w:lang w:val="en-US" w:eastAsia="zh-CN" w:bidi="en-US"/>
              </w:rPr>
              <w:t>多功能</w:t>
            </w:r>
            <w:r>
              <w:rPr>
                <w:rFonts w:hint="eastAsia" w:ascii="宋体" w:hAnsi="宋体" w:eastAsia="宋体" w:cs="宋体"/>
                <w:kern w:val="0"/>
                <w:sz w:val="24"/>
                <w:szCs w:val="22"/>
                <w:highlight w:val="none"/>
                <w:lang w:val="en-US" w:eastAsia="zh-CN" w:bidi="en-US"/>
              </w:rPr>
              <w:t>扫地机</w:t>
            </w:r>
          </w:p>
        </w:tc>
        <w:tc>
          <w:tcPr>
            <w:tcW w:w="2227" w:type="dxa"/>
            <w:tcBorders>
              <w:top w:val="single" w:color="auto" w:sz="4" w:space="0"/>
              <w:left w:val="nil"/>
              <w:bottom w:val="single" w:color="auto" w:sz="4" w:space="0"/>
              <w:right w:val="single" w:color="auto" w:sz="4" w:space="0"/>
            </w:tcBorders>
            <w:noWrap/>
            <w:vAlign w:val="center"/>
          </w:tcPr>
          <w:p w14:paraId="63D1FF11">
            <w:pPr>
              <w:keepNext w:val="0"/>
              <w:keepLines w:val="0"/>
              <w:pageBreakBefore w:val="0"/>
              <w:widowControl w:val="0"/>
              <w:kinsoku/>
              <w:wordWrap/>
              <w:overflowPunct/>
              <w:topLinePunct w:val="0"/>
              <w:autoSpaceDE/>
              <w:autoSpaceDN/>
              <w:bidi w:val="0"/>
              <w:snapToGrid/>
              <w:jc w:val="center"/>
              <w:rPr>
                <w:rFonts w:hint="default" w:ascii="宋体" w:hAnsi="宋体" w:eastAsia="宋体" w:cs="宋体"/>
                <w:kern w:val="0"/>
                <w:sz w:val="24"/>
                <w:szCs w:val="22"/>
                <w:highlight w:val="none"/>
                <w:lang w:val="en-US" w:eastAsia="zh-CN" w:bidi="en-US"/>
              </w:rPr>
            </w:pPr>
            <w:r>
              <w:rPr>
                <w:rFonts w:hint="eastAsia" w:ascii="宋体" w:hAnsi="宋体" w:eastAsia="宋体" w:cs="宋体"/>
                <w:kern w:val="0"/>
                <w:sz w:val="24"/>
                <w:szCs w:val="22"/>
                <w:highlight w:val="none"/>
                <w:lang w:val="en-US" w:eastAsia="zh-CN" w:bidi="en-US"/>
              </w:rPr>
              <w:t>2</w:t>
            </w:r>
          </w:p>
        </w:tc>
        <w:tc>
          <w:tcPr>
            <w:tcW w:w="3923" w:type="dxa"/>
            <w:tcBorders>
              <w:left w:val="single" w:color="auto" w:sz="4" w:space="0"/>
              <w:bottom w:val="single" w:color="auto" w:sz="4" w:space="0"/>
              <w:right w:val="single" w:color="auto" w:sz="4" w:space="0"/>
            </w:tcBorders>
            <w:noWrap/>
            <w:vAlign w:val="center"/>
          </w:tcPr>
          <w:p w14:paraId="63C4C487">
            <w:pPr>
              <w:keepNext w:val="0"/>
              <w:keepLines w:val="0"/>
              <w:pageBreakBefore w:val="0"/>
              <w:widowControl w:val="0"/>
              <w:kinsoku/>
              <w:wordWrap/>
              <w:overflowPunct/>
              <w:topLinePunct w:val="0"/>
              <w:autoSpaceDE/>
              <w:autoSpaceDN/>
              <w:bidi w:val="0"/>
              <w:snapToGrid/>
              <w:jc w:val="center"/>
              <w:rPr>
                <w:rFonts w:hint="eastAsia" w:ascii="宋体" w:hAnsi="宋体" w:eastAsia="宋体" w:cs="宋体"/>
                <w:kern w:val="0"/>
                <w:sz w:val="24"/>
                <w:szCs w:val="22"/>
                <w:highlight w:val="none"/>
                <w:lang w:val="en-US" w:eastAsia="en-US" w:bidi="en-US"/>
              </w:rPr>
            </w:pPr>
            <w:r>
              <w:rPr>
                <w:rFonts w:hint="eastAsia" w:ascii="宋体" w:hAnsi="宋体" w:eastAsia="宋体" w:cs="宋体"/>
                <w:kern w:val="0"/>
                <w:sz w:val="24"/>
                <w:szCs w:val="22"/>
                <w:highlight w:val="none"/>
                <w:lang w:val="en-US" w:eastAsia="zh-CN" w:bidi="en-US"/>
              </w:rPr>
              <w:t>设备甲供</w:t>
            </w:r>
          </w:p>
        </w:tc>
      </w:tr>
    </w:tbl>
    <w:p w14:paraId="7B8CD780">
      <w:pPr>
        <w:numPr>
          <w:ilvl w:val="0"/>
          <w:numId w:val="0"/>
        </w:numPr>
        <w:spacing w:line="520" w:lineRule="exact"/>
        <w:outlineLvl w:val="0"/>
        <w:rPr>
          <w:rFonts w:hint="eastAsia" w:ascii="宋体" w:hAnsi="宋体" w:eastAsia="宋体" w:cs="宋体"/>
          <w:b/>
          <w:bCs/>
          <w:sz w:val="24"/>
          <w:szCs w:val="24"/>
          <w:highlight w:val="none"/>
          <w:lang w:val="en-US" w:eastAsia="zh-CN"/>
        </w:rPr>
      </w:pPr>
      <w:r>
        <w:rPr>
          <w:rFonts w:hint="eastAsia" w:ascii="宋体" w:hAnsi="宋体" w:eastAsia="宋体" w:cs="宋体"/>
          <w:kern w:val="0"/>
          <w:sz w:val="24"/>
          <w:szCs w:val="22"/>
          <w:highlight w:val="none"/>
          <w:lang w:val="en-US" w:eastAsia="zh-CN" w:bidi="en-US"/>
        </w:rPr>
        <w:t>注：本表中岗位和设备组成中数量均为最低配置，其中甲供设备优先保障本项目，甲方如安排乙方类似新增</w:t>
      </w:r>
      <w:r>
        <w:rPr>
          <w:rFonts w:hint="eastAsia" w:ascii="宋体" w:hAnsi="宋体" w:cs="宋体"/>
          <w:kern w:val="0"/>
          <w:sz w:val="24"/>
          <w:szCs w:val="22"/>
          <w:highlight w:val="none"/>
          <w:lang w:val="en-US" w:eastAsia="zh-CN" w:bidi="en-US"/>
        </w:rPr>
        <w:t>服务</w:t>
      </w:r>
      <w:r>
        <w:rPr>
          <w:rFonts w:hint="eastAsia" w:ascii="宋体" w:hAnsi="宋体" w:eastAsia="宋体" w:cs="宋体"/>
          <w:kern w:val="0"/>
          <w:sz w:val="24"/>
          <w:szCs w:val="22"/>
          <w:highlight w:val="none"/>
          <w:lang w:val="en-US" w:eastAsia="zh-CN" w:bidi="en-US"/>
        </w:rPr>
        <w:t>，乙方应无条件服从安排，</w:t>
      </w:r>
      <w:r>
        <w:rPr>
          <w:rFonts w:hint="eastAsia" w:ascii="宋体" w:hAnsi="宋体" w:cs="宋体"/>
          <w:kern w:val="0"/>
          <w:sz w:val="24"/>
          <w:szCs w:val="22"/>
          <w:highlight w:val="none"/>
          <w:lang w:val="en-US" w:eastAsia="zh-CN" w:bidi="en-US"/>
        </w:rPr>
        <w:t>允许乙方可利用甲供设备自筹费用，本项目合同费不做增加</w:t>
      </w:r>
      <w:r>
        <w:rPr>
          <w:rFonts w:hint="eastAsia" w:ascii="宋体" w:hAnsi="宋体" w:eastAsia="宋体" w:cs="宋体"/>
          <w:kern w:val="0"/>
          <w:sz w:val="24"/>
          <w:szCs w:val="22"/>
          <w:highlight w:val="none"/>
          <w:lang w:val="en-US" w:eastAsia="zh-CN" w:bidi="en-US"/>
        </w:rPr>
        <w:t>。</w:t>
      </w:r>
    </w:p>
    <w:p w14:paraId="6284C0E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五、商务要求</w:t>
      </w:r>
    </w:p>
    <w:p w14:paraId="227FF26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1、服务期：</w:t>
      </w:r>
      <w:r>
        <w:rPr>
          <w:rFonts w:hint="eastAsia" w:ascii="宋体" w:hAnsi="宋体" w:cs="宋体"/>
          <w:sz w:val="24"/>
          <w:szCs w:val="24"/>
          <w:highlight w:val="none"/>
          <w:lang w:val="en-US" w:eastAsia="zh-CN"/>
        </w:rPr>
        <w:t>合同签订生效并满足进场条件起1年</w:t>
      </w:r>
      <w:r>
        <w:rPr>
          <w:rFonts w:hint="eastAsia" w:ascii="宋体" w:hAnsi="宋体" w:eastAsia="宋体" w:cs="宋体"/>
          <w:sz w:val="24"/>
          <w:szCs w:val="24"/>
          <w:highlight w:val="none"/>
          <w:lang w:val="en-US" w:eastAsia="zh-CN"/>
        </w:rPr>
        <w:t>。</w:t>
      </w:r>
    </w:p>
    <w:p w14:paraId="7C95193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napToGrid w:val="0"/>
          <w:color w:val="auto"/>
          <w:kern w:val="0"/>
          <w:sz w:val="24"/>
          <w:szCs w:val="24"/>
          <w:highlight w:val="none"/>
          <w:shd w:val="clear" w:color="auto" w:fill="auto"/>
          <w:lang w:val="en-US" w:eastAsia="zh-CN" w:bidi="ar-SA"/>
        </w:rPr>
      </w:pPr>
      <w:r>
        <w:rPr>
          <w:rFonts w:hint="eastAsia" w:ascii="宋体" w:hAnsi="宋体" w:eastAsia="宋体" w:cs="宋体"/>
          <w:sz w:val="24"/>
          <w:szCs w:val="24"/>
          <w:lang w:val="en-US" w:eastAsia="zh-CN"/>
        </w:rPr>
        <w:t>2、</w:t>
      </w:r>
      <w:bookmarkStart w:id="18" w:name="_Toc501972603"/>
      <w:r>
        <w:rPr>
          <w:rFonts w:hint="eastAsia" w:ascii="宋体" w:hAnsi="宋体" w:eastAsia="宋体" w:cs="宋体"/>
          <w:sz w:val="24"/>
          <w:szCs w:val="24"/>
          <w:lang w:val="en-US" w:eastAsia="zh-CN"/>
        </w:rPr>
        <w:t>付款方式</w:t>
      </w:r>
      <w:bookmarkEnd w:id="18"/>
      <w:r>
        <w:rPr>
          <w:rFonts w:hint="eastAsia" w:ascii="宋体" w:hAnsi="宋体" w:eastAsia="宋体" w:cs="宋体"/>
          <w:sz w:val="24"/>
          <w:szCs w:val="24"/>
          <w:lang w:val="en-US" w:eastAsia="zh-CN"/>
        </w:rPr>
        <w:t>：合同生效及具备实施条件后7个工作日内支付项目合同金额的70%为预付款，服务期结束经釆购人验收合格后完成尾款支付。</w:t>
      </w:r>
      <w:r>
        <w:rPr>
          <w:rFonts w:hint="eastAsia" w:ascii="宋体" w:hAnsi="宋体" w:eastAsia="宋体" w:cs="宋体"/>
          <w:snapToGrid w:val="0"/>
          <w:color w:val="auto"/>
          <w:kern w:val="0"/>
          <w:sz w:val="24"/>
          <w:szCs w:val="24"/>
          <w:highlight w:val="none"/>
          <w:shd w:val="clear" w:color="auto" w:fill="auto"/>
          <w:lang w:val="en-US" w:eastAsia="zh-CN" w:bidi="ar-SA"/>
        </w:rPr>
        <w:t>注：成交供应商明确表示无需预付款或者主动要求降低预付款比例的，采购人可不适用前述规定。</w:t>
      </w:r>
    </w:p>
    <w:p w14:paraId="4C1A1C5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napToGrid w:val="0"/>
          <w:kern w:val="0"/>
          <w:sz w:val="24"/>
          <w:szCs w:val="24"/>
          <w:lang w:val="en-US" w:eastAsia="zh-CN" w:bidi="ar-SA"/>
        </w:rPr>
      </w:pPr>
      <w:r>
        <w:rPr>
          <w:rFonts w:hint="eastAsia" w:ascii="宋体" w:hAnsi="宋体" w:cs="宋体"/>
          <w:snapToGrid w:val="0"/>
          <w:kern w:val="0"/>
          <w:sz w:val="24"/>
          <w:szCs w:val="24"/>
          <w:lang w:val="en-US" w:eastAsia="zh-CN" w:bidi="ar-SA"/>
        </w:rPr>
        <w:t>3、</w:t>
      </w:r>
      <w:r>
        <w:rPr>
          <w:rFonts w:hint="eastAsia" w:ascii="宋体" w:hAnsi="宋体" w:eastAsia="宋体" w:cs="宋体"/>
          <w:snapToGrid w:val="0"/>
          <w:kern w:val="0"/>
          <w:sz w:val="24"/>
          <w:szCs w:val="24"/>
          <w:lang w:val="en-US" w:eastAsia="zh-CN" w:bidi="ar-SA"/>
        </w:rPr>
        <w:t>本项目投标总价包括设备、劳务、管理、材料（含运输费、装卸费、运输保险费）、维护、税金等一切所有费用，以及供应商应承担的所有责任、义务和一切风险。</w:t>
      </w:r>
    </w:p>
    <w:p w14:paraId="626E442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4、履约保证金：无。</w:t>
      </w:r>
    </w:p>
    <w:p w14:paraId="3B3E2FF3">
      <w:pPr>
        <w:autoSpaceDE w:val="0"/>
        <w:autoSpaceDN w:val="0"/>
        <w:adjustRightInd w:val="0"/>
        <w:snapToGrid w:val="0"/>
        <w:spacing w:line="380" w:lineRule="exact"/>
        <w:ind w:firstLine="0" w:firstLineChars="0"/>
        <w:textAlignment w:val="bottom"/>
        <w:rPr>
          <w:rFonts w:hint="eastAsia" w:ascii="宋体" w:hAnsi="宋体" w:eastAsia="宋体" w:cs="宋体"/>
          <w:b/>
          <w:bCs/>
          <w:i/>
          <w:color w:val="000000" w:themeColor="text1"/>
          <w:sz w:val="24"/>
          <w:u w:val="single"/>
          <w14:textFill>
            <w14:solidFill>
              <w14:schemeClr w14:val="tx1"/>
            </w14:solidFill>
          </w14:textFill>
        </w:rPr>
      </w:pPr>
    </w:p>
    <w:p w14:paraId="1323F228">
      <w:pPr>
        <w:autoSpaceDE w:val="0"/>
        <w:autoSpaceDN w:val="0"/>
        <w:adjustRightInd w:val="0"/>
        <w:snapToGrid w:val="0"/>
        <w:spacing w:line="380" w:lineRule="exact"/>
        <w:ind w:firstLine="482" w:firstLineChars="200"/>
        <w:textAlignment w:val="bottom"/>
        <w:rPr>
          <w:rFonts w:hint="eastAsia" w:ascii="宋体" w:hAnsi="宋体" w:eastAsia="宋体" w:cs="宋体"/>
          <w:b/>
          <w:bCs/>
          <w:i/>
          <w:color w:val="000000" w:themeColor="text1"/>
          <w:sz w:val="24"/>
          <w:u w:val="single"/>
          <w14:textFill>
            <w14:solidFill>
              <w14:schemeClr w14:val="tx1"/>
            </w14:solidFill>
          </w14:textFill>
        </w:rPr>
      </w:pPr>
      <w:r>
        <w:rPr>
          <w:rFonts w:hint="eastAsia" w:ascii="宋体" w:hAnsi="宋体" w:eastAsia="宋体" w:cs="宋体"/>
          <w:b/>
          <w:bCs/>
          <w:i/>
          <w:color w:val="000000" w:themeColor="text1"/>
          <w:sz w:val="24"/>
          <w:u w:val="single"/>
          <w14:textFill>
            <w14:solidFill>
              <w14:schemeClr w14:val="tx1"/>
            </w14:solidFill>
          </w14:textFill>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p>
    <w:bookmarkEnd w:id="17"/>
    <w:p w14:paraId="2433BBB2">
      <w:pPr>
        <w:pStyle w:val="32"/>
        <w:spacing w:before="120"/>
      </w:pPr>
      <w:bookmarkStart w:id="19" w:name="_Toc452995905"/>
    </w:p>
    <w:p w14:paraId="5E2BA596">
      <w:pPr>
        <w:pStyle w:val="32"/>
        <w:spacing w:before="120"/>
      </w:pPr>
    </w:p>
    <w:p w14:paraId="4A20D24A">
      <w:pPr>
        <w:pStyle w:val="32"/>
        <w:spacing w:before="120"/>
      </w:pPr>
    </w:p>
    <w:p w14:paraId="54078AF3">
      <w:pPr>
        <w:pStyle w:val="32"/>
        <w:spacing w:before="120"/>
      </w:pPr>
    </w:p>
    <w:p w14:paraId="691D4CCE">
      <w:pPr>
        <w:pStyle w:val="32"/>
        <w:spacing w:before="120"/>
      </w:pPr>
    </w:p>
    <w:p w14:paraId="23A872B8">
      <w:pPr>
        <w:pStyle w:val="32"/>
        <w:spacing w:before="120"/>
      </w:pPr>
    </w:p>
    <w:p w14:paraId="6A36F157">
      <w:pPr>
        <w:pStyle w:val="32"/>
        <w:spacing w:before="120"/>
      </w:pPr>
    </w:p>
    <w:p w14:paraId="7E1DC7E2">
      <w:pPr>
        <w:pStyle w:val="32"/>
        <w:spacing w:before="120"/>
      </w:pPr>
    </w:p>
    <w:p w14:paraId="1D3A1D9F">
      <w:pPr>
        <w:pStyle w:val="32"/>
        <w:spacing w:before="120"/>
      </w:pPr>
    </w:p>
    <w:p w14:paraId="69E5C044">
      <w:pPr>
        <w:pStyle w:val="32"/>
        <w:spacing w:before="120"/>
      </w:pPr>
    </w:p>
    <w:p w14:paraId="2B2B1E01">
      <w:pPr>
        <w:pStyle w:val="11"/>
        <w:ind w:left="0" w:leftChars="0" w:firstLine="0" w:firstLineChars="0"/>
      </w:pPr>
    </w:p>
    <w:p w14:paraId="4DE884FD">
      <w:pPr>
        <w:pStyle w:val="2"/>
        <w:spacing w:before="0" w:after="0" w:line="520" w:lineRule="exact"/>
        <w:jc w:val="center"/>
        <w:rPr>
          <w:rFonts w:ascii="宋体" w:hAnsi="宋体" w:cs="宋体"/>
          <w:sz w:val="36"/>
          <w:szCs w:val="36"/>
        </w:rPr>
      </w:pPr>
      <w:r>
        <w:rPr>
          <w:rFonts w:hint="eastAsia" w:ascii="宋体" w:hAnsi="宋体" w:cs="宋体"/>
          <w:kern w:val="2"/>
          <w:sz w:val="36"/>
          <w:szCs w:val="36"/>
        </w:rPr>
        <w:t>第四章 磋商办法及评分标准</w:t>
      </w:r>
      <w:bookmarkEnd w:id="19"/>
    </w:p>
    <w:p w14:paraId="6A9D7AE7">
      <w:pPr>
        <w:spacing w:line="440" w:lineRule="exact"/>
        <w:ind w:firstLine="420"/>
        <w:rPr>
          <w:rFonts w:ascii="宋体" w:hAnsi="宋体" w:cs="宋体"/>
          <w:b/>
          <w:bCs/>
          <w:sz w:val="24"/>
        </w:rPr>
      </w:pPr>
      <w:r>
        <w:rPr>
          <w:rFonts w:hint="eastAsia" w:ascii="宋体" w:hAnsi="宋体" w:cs="宋体"/>
          <w:b/>
          <w:bCs/>
          <w:sz w:val="24"/>
        </w:rPr>
        <w:t>为公正、公平、科学地选择成交人，根据《中华人民共和国政府采购法》、</w:t>
      </w:r>
      <w:r>
        <w:rPr>
          <w:rFonts w:hint="eastAsia" w:ascii="宋体" w:hAnsi="宋体"/>
          <w:b/>
          <w:sz w:val="24"/>
        </w:rPr>
        <w:t>《政府采购竞争性磋商采购方式管理暂行办法》</w:t>
      </w:r>
      <w:r>
        <w:rPr>
          <w:rFonts w:hint="eastAsia" w:ascii="宋体" w:hAnsi="宋体" w:cs="宋体"/>
          <w:b/>
          <w:bCs/>
          <w:sz w:val="24"/>
        </w:rPr>
        <w:t>等有关法律法规的规定，并结合本项目的实际，制定本办法。</w:t>
      </w:r>
    </w:p>
    <w:p w14:paraId="6723773A">
      <w:pPr>
        <w:spacing w:line="440" w:lineRule="exact"/>
        <w:ind w:firstLine="472" w:firstLineChars="196"/>
        <w:outlineLvl w:val="1"/>
        <w:rPr>
          <w:rFonts w:ascii="宋体" w:hAnsi="宋体" w:cs="宋体"/>
          <w:b/>
          <w:bCs/>
          <w:sz w:val="24"/>
        </w:rPr>
      </w:pPr>
      <w:r>
        <w:rPr>
          <w:rFonts w:hint="eastAsia" w:ascii="宋体" w:hAnsi="宋体" w:cs="宋体"/>
          <w:b/>
          <w:bCs/>
          <w:sz w:val="24"/>
        </w:rPr>
        <w:t>一、总则</w:t>
      </w:r>
    </w:p>
    <w:p w14:paraId="1B721EEB">
      <w:pPr>
        <w:numPr>
          <w:ilvl w:val="0"/>
          <w:numId w:val="14"/>
        </w:numPr>
        <w:spacing w:line="440" w:lineRule="exact"/>
        <w:rPr>
          <w:rFonts w:ascii="宋体" w:hAnsi="宋体" w:cs="宋体"/>
          <w:sz w:val="24"/>
        </w:rPr>
      </w:pPr>
      <w:r>
        <w:rPr>
          <w:rFonts w:hint="eastAsia" w:ascii="宋体" w:hAnsi="宋体" w:cs="宋体"/>
          <w:sz w:val="24"/>
        </w:rPr>
        <w:t>磋商小组遵循公开、公平、公正、科学合理、竞争择优的原则；</w:t>
      </w:r>
    </w:p>
    <w:p w14:paraId="10E4D220">
      <w:pPr>
        <w:numPr>
          <w:ilvl w:val="0"/>
          <w:numId w:val="14"/>
        </w:numPr>
        <w:spacing w:line="440" w:lineRule="exact"/>
        <w:rPr>
          <w:rFonts w:ascii="宋体" w:hAnsi="宋体" w:cs="宋体"/>
          <w:sz w:val="24"/>
        </w:rPr>
      </w:pPr>
      <w:r>
        <w:rPr>
          <w:rFonts w:hint="eastAsia" w:ascii="宋体" w:hAnsi="宋体" w:cs="宋体"/>
          <w:sz w:val="24"/>
        </w:rPr>
        <w:t>磋商由磋商小组负责，磋商小组由技术、经济等方面的专家共3人组成</w:t>
      </w:r>
      <w:r>
        <w:rPr>
          <w:rFonts w:hint="eastAsia" w:ascii="宋体" w:hAnsi="宋体" w:cs="宋体"/>
          <w:sz w:val="24"/>
          <w:lang w:eastAsia="zh-CN"/>
        </w:rPr>
        <w:t>；</w:t>
      </w:r>
    </w:p>
    <w:p w14:paraId="6DF7E4B6">
      <w:pPr>
        <w:numPr>
          <w:ilvl w:val="255"/>
          <w:numId w:val="0"/>
        </w:numPr>
        <w:spacing w:line="440" w:lineRule="exact"/>
        <w:rPr>
          <w:rFonts w:ascii="宋体" w:hAnsi="宋体" w:cs="宋体"/>
          <w:sz w:val="24"/>
        </w:rPr>
      </w:pPr>
      <w:r>
        <w:rPr>
          <w:rFonts w:hint="eastAsia" w:ascii="宋体" w:hAnsi="宋体" w:cs="宋体"/>
          <w:sz w:val="24"/>
        </w:rPr>
        <w:t xml:space="preserve">   3.磋商小组成员及参加磋商的其他相关人员应严格遵守国家有关保密的法律、法规和规定，并接受有关部门的监督；</w:t>
      </w:r>
    </w:p>
    <w:p w14:paraId="213B6C03">
      <w:pPr>
        <w:numPr>
          <w:ilvl w:val="255"/>
          <w:numId w:val="0"/>
        </w:numPr>
        <w:spacing w:line="440" w:lineRule="exact"/>
        <w:ind w:left="400"/>
        <w:rPr>
          <w:rFonts w:ascii="宋体" w:hAnsi="宋体" w:cs="宋体"/>
          <w:sz w:val="24"/>
        </w:rPr>
      </w:pPr>
      <w:r>
        <w:rPr>
          <w:rFonts w:hint="eastAsia" w:ascii="宋体" w:hAnsi="宋体" w:cs="宋体"/>
          <w:sz w:val="24"/>
        </w:rPr>
        <w:t>4.磋商小组应按磋商文件规定的程序进行磋商；</w:t>
      </w:r>
    </w:p>
    <w:p w14:paraId="1AB0CCC5">
      <w:pPr>
        <w:numPr>
          <w:ilvl w:val="255"/>
          <w:numId w:val="0"/>
        </w:numPr>
        <w:spacing w:line="440" w:lineRule="exact"/>
        <w:ind w:left="400"/>
        <w:rPr>
          <w:rFonts w:ascii="宋体" w:hAnsi="宋体" w:cs="宋体"/>
          <w:sz w:val="24"/>
        </w:rPr>
      </w:pPr>
      <w:r>
        <w:rPr>
          <w:rFonts w:hint="eastAsia" w:ascii="宋体" w:hAnsi="宋体" w:cs="宋体"/>
          <w:bCs/>
          <w:sz w:val="24"/>
        </w:rPr>
        <w:t>5.采购组织机构按照响应文件规定的时间通过“政府采购云平台”组织开启响应文件，所有供应商均应当准时在线参加。因未及时在线响应导致无法按时解密等一切</w:t>
      </w:r>
      <w:r>
        <w:rPr>
          <w:rFonts w:hint="eastAsia" w:ascii="宋体" w:hAnsi="宋体" w:cs="宋体"/>
          <w:sz w:val="24"/>
        </w:rPr>
        <w:t>后果由供应商自行承担。</w:t>
      </w:r>
      <w:r>
        <w:rPr>
          <w:rFonts w:ascii="宋体" w:hAnsi="宋体" w:cs="宋体"/>
          <w:sz w:val="24"/>
        </w:rPr>
        <w:tab/>
      </w:r>
    </w:p>
    <w:p w14:paraId="5FF7DF89">
      <w:pPr>
        <w:numPr>
          <w:ilvl w:val="255"/>
          <w:numId w:val="0"/>
        </w:numPr>
        <w:spacing w:line="440" w:lineRule="exact"/>
        <w:ind w:left="400"/>
        <w:rPr>
          <w:rFonts w:ascii="宋体" w:hAnsi="宋体" w:cs="宋体"/>
          <w:sz w:val="24"/>
        </w:rPr>
      </w:pPr>
      <w:r>
        <w:rPr>
          <w:rFonts w:hint="eastAsia" w:ascii="宋体" w:hAnsi="宋体" w:cs="宋体"/>
          <w:sz w:val="24"/>
        </w:rPr>
        <w:t>6.所有磋商流程，均为线上响应，时限为30分钟内，请供应商自行留意。（如有问题，致电</w:t>
      </w:r>
      <w:r>
        <w:rPr>
          <w:rFonts w:hint="eastAsia" w:ascii="宋体" w:hAnsi="宋体" w:cs="宋体"/>
          <w:sz w:val="24"/>
          <w:lang w:eastAsia="zh-CN"/>
        </w:rPr>
        <w:t>95763</w:t>
      </w:r>
      <w:r>
        <w:rPr>
          <w:rFonts w:hint="eastAsia" w:ascii="宋体" w:hAnsi="宋体" w:cs="宋体"/>
          <w:sz w:val="24"/>
        </w:rPr>
        <w:t>）。</w:t>
      </w:r>
    </w:p>
    <w:p w14:paraId="247ECF78">
      <w:pPr>
        <w:numPr>
          <w:ilvl w:val="255"/>
          <w:numId w:val="0"/>
        </w:numPr>
        <w:ind w:left="400"/>
        <w:rPr>
          <w:rFonts w:ascii="宋体" w:hAnsi="宋体" w:cs="宋体"/>
          <w:sz w:val="24"/>
        </w:rPr>
      </w:pPr>
      <w:r>
        <w:rPr>
          <w:rFonts w:hint="eastAsia" w:ascii="宋体" w:hAnsi="宋体" w:cs="宋体"/>
          <w:sz w:val="24"/>
        </w:rPr>
        <w:t>7.通讯工具管理：在磋商期间，磋商小组每个成员的手机都必须关机。</w:t>
      </w:r>
    </w:p>
    <w:p w14:paraId="1A23043E">
      <w:pPr>
        <w:numPr>
          <w:ilvl w:val="255"/>
          <w:numId w:val="0"/>
        </w:numPr>
        <w:spacing w:line="440" w:lineRule="exact"/>
        <w:ind w:left="400"/>
        <w:rPr>
          <w:rFonts w:ascii="宋体" w:hAnsi="宋体" w:cs="宋体"/>
          <w:sz w:val="24"/>
          <w:highlight w:val="none"/>
        </w:rPr>
      </w:pPr>
      <w:r>
        <w:rPr>
          <w:rFonts w:hint="eastAsia" w:ascii="宋体" w:hAnsi="宋体" w:cs="宋体"/>
          <w:sz w:val="24"/>
        </w:rPr>
        <w:t>8.在磋商期间，磋商小组各成员不得随意离开规定的磋商地点，所有资料由采购代理机构工作人</w:t>
      </w:r>
      <w:bookmarkStart w:id="30" w:name="_GoBack"/>
      <w:r>
        <w:rPr>
          <w:rFonts w:hint="eastAsia" w:ascii="宋体" w:hAnsi="宋体" w:cs="宋体"/>
          <w:sz w:val="24"/>
          <w:highlight w:val="none"/>
        </w:rPr>
        <w:t>员专门保管和发放。磋商小组成员完成评标时应如数、及时归还，任何与本项目有关的资料不得带离磋商现场。</w:t>
      </w:r>
    </w:p>
    <w:p w14:paraId="79EFB0FB">
      <w:pPr>
        <w:numPr>
          <w:ilvl w:val="255"/>
          <w:numId w:val="0"/>
        </w:numPr>
        <w:spacing w:line="440" w:lineRule="exact"/>
        <w:ind w:firstLine="480" w:firstLineChars="200"/>
        <w:rPr>
          <w:highlight w:val="none"/>
        </w:rPr>
      </w:pPr>
      <w:r>
        <w:rPr>
          <w:rFonts w:hint="eastAsia" w:ascii="宋体" w:hAnsi="宋体" w:cs="宋体"/>
          <w:sz w:val="24"/>
          <w:highlight w:val="none"/>
        </w:rPr>
        <w:t>本次采购采用综合评分法，总分为</w:t>
      </w:r>
      <w:r>
        <w:rPr>
          <w:rFonts w:hint="eastAsia" w:ascii="宋体" w:hAnsi="宋体" w:cs="宋体"/>
          <w:bCs/>
          <w:sz w:val="24"/>
          <w:highlight w:val="none"/>
        </w:rPr>
        <w:t>100分，其中价格分</w:t>
      </w:r>
      <w:r>
        <w:rPr>
          <w:rFonts w:hint="eastAsia" w:ascii="宋体" w:hAnsi="宋体" w:cs="宋体"/>
          <w:bCs/>
          <w:sz w:val="24"/>
          <w:highlight w:val="none"/>
          <w:lang w:val="en-US" w:eastAsia="zh-CN"/>
        </w:rPr>
        <w:t>10</w:t>
      </w:r>
      <w:r>
        <w:rPr>
          <w:rFonts w:hint="eastAsia" w:ascii="宋体" w:hAnsi="宋体" w:cs="宋体"/>
          <w:bCs/>
          <w:sz w:val="24"/>
          <w:highlight w:val="none"/>
        </w:rPr>
        <w:t>分、商务技术分</w:t>
      </w:r>
      <w:r>
        <w:rPr>
          <w:rFonts w:hint="eastAsia" w:ascii="宋体" w:hAnsi="宋体" w:cs="宋体"/>
          <w:bCs/>
          <w:sz w:val="24"/>
          <w:highlight w:val="none"/>
          <w:lang w:val="en-US" w:eastAsia="zh-CN"/>
        </w:rPr>
        <w:t>90</w:t>
      </w:r>
      <w:r>
        <w:rPr>
          <w:rFonts w:hint="eastAsia" w:ascii="宋体" w:hAnsi="宋体" w:cs="宋体"/>
          <w:bCs/>
          <w:sz w:val="24"/>
          <w:highlight w:val="none"/>
        </w:rPr>
        <w:t>分。合格供应商的评标得分为各项目汇总得分，成交候选资格按评标得分由高到低顺序排列，得分相同的，按磋商报价由低到高顺序排列；得分且磋商报价相同的，按技术得分由高到低顺序排列。排名第一</w:t>
      </w:r>
      <w:r>
        <w:rPr>
          <w:rFonts w:hint="eastAsia" w:ascii="宋体" w:hAnsi="宋体" w:cs="宋体"/>
          <w:bCs/>
          <w:sz w:val="24"/>
          <w:highlight w:val="none"/>
          <w:lang w:eastAsia="zh-CN"/>
        </w:rPr>
        <w:t>的</w:t>
      </w:r>
      <w:r>
        <w:rPr>
          <w:rFonts w:hint="eastAsia" w:ascii="宋体" w:hAnsi="宋体" w:cs="宋体"/>
          <w:bCs/>
          <w:sz w:val="24"/>
          <w:highlight w:val="none"/>
        </w:rPr>
        <w:t>供应商为成交候选人。评分过程中采用四舍五入法，并保留小数2位。</w:t>
      </w:r>
    </w:p>
    <w:p w14:paraId="376F2230">
      <w:pPr>
        <w:tabs>
          <w:tab w:val="left" w:pos="3870"/>
          <w:tab w:val="left" w:pos="4085"/>
        </w:tabs>
        <w:snapToGrid w:val="0"/>
        <w:spacing w:line="440" w:lineRule="exact"/>
        <w:ind w:firstLine="482" w:firstLineChars="200"/>
        <w:jc w:val="left"/>
        <w:outlineLvl w:val="1"/>
        <w:rPr>
          <w:rFonts w:ascii="宋体" w:hAnsi="宋体" w:cs="宋体"/>
          <w:b/>
          <w:bCs/>
          <w:sz w:val="24"/>
          <w:highlight w:val="none"/>
        </w:rPr>
      </w:pPr>
      <w:r>
        <w:rPr>
          <w:rFonts w:hint="eastAsia" w:ascii="宋体" w:hAnsi="宋体" w:cs="宋体"/>
          <w:b/>
          <w:bCs/>
          <w:sz w:val="24"/>
          <w:highlight w:val="none"/>
        </w:rPr>
        <w:t>二、计算方法：</w:t>
      </w:r>
    </w:p>
    <w:p w14:paraId="735612AD">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价格部分：</w:t>
      </w:r>
      <w:r>
        <w:rPr>
          <w:rFonts w:hint="eastAsia" w:ascii="宋体" w:hAnsi="宋体" w:cs="宋体"/>
          <w:bCs/>
          <w:sz w:val="24"/>
          <w:highlight w:val="none"/>
          <w:lang w:val="en-US" w:eastAsia="zh-CN"/>
        </w:rPr>
        <w:t>10</w:t>
      </w:r>
      <w:r>
        <w:rPr>
          <w:rFonts w:hint="eastAsia" w:ascii="宋体" w:hAnsi="宋体" w:cs="宋体"/>
          <w:bCs/>
          <w:sz w:val="24"/>
          <w:highlight w:val="none"/>
        </w:rPr>
        <w:t>分</w:t>
      </w:r>
    </w:p>
    <w:p w14:paraId="57A93150">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1、本项目预算价</w:t>
      </w:r>
      <w:r>
        <w:rPr>
          <w:rFonts w:hint="eastAsia" w:ascii="宋体" w:hAnsi="宋体" w:cs="宋体"/>
          <w:bCs/>
          <w:sz w:val="24"/>
          <w:highlight w:val="none"/>
          <w:lang w:val="en-US" w:eastAsia="zh-CN"/>
        </w:rPr>
        <w:t>65万元</w:t>
      </w:r>
      <w:r>
        <w:rPr>
          <w:rFonts w:hint="eastAsia" w:ascii="宋体" w:hAnsi="宋体" w:cs="宋体"/>
          <w:bCs/>
          <w:sz w:val="24"/>
          <w:highlight w:val="none"/>
        </w:rPr>
        <w:t>，报价超过</w:t>
      </w:r>
      <w:r>
        <w:rPr>
          <w:rFonts w:hint="eastAsia" w:ascii="宋体" w:hAnsi="宋体" w:cs="宋体"/>
          <w:bCs/>
          <w:sz w:val="24"/>
          <w:highlight w:val="none"/>
          <w:lang w:eastAsia="zh-CN"/>
        </w:rPr>
        <w:t>预算</w:t>
      </w:r>
      <w:r>
        <w:rPr>
          <w:rFonts w:hint="eastAsia" w:ascii="宋体" w:hAnsi="宋体" w:cs="宋体"/>
          <w:bCs/>
          <w:sz w:val="24"/>
          <w:highlight w:val="none"/>
        </w:rPr>
        <w:t>价的作无效报价处理。</w:t>
      </w:r>
    </w:p>
    <w:p w14:paraId="10EE3576">
      <w:pPr>
        <w:widowControl/>
        <w:spacing w:line="360" w:lineRule="atLeast"/>
        <w:ind w:firstLine="480"/>
        <w:jc w:val="left"/>
        <w:rPr>
          <w:rFonts w:ascii="宋体-简" w:hAnsi="宋体-简" w:eastAsia="宋体-简" w:cs="Arial"/>
          <w:color w:val="333333"/>
          <w:kern w:val="0"/>
          <w:sz w:val="24"/>
          <w:highlight w:val="none"/>
        </w:rPr>
      </w:pPr>
      <w:r>
        <w:rPr>
          <w:rFonts w:hint="eastAsia" w:ascii="宋体-简" w:hAnsi="宋体-简" w:eastAsia="宋体-简" w:cs="Arial"/>
          <w:color w:val="333333"/>
          <w:sz w:val="24"/>
          <w:highlight w:val="none"/>
        </w:rPr>
        <w:t>以</w:t>
      </w:r>
      <w:r>
        <w:rPr>
          <w:rFonts w:ascii="宋体-简" w:hAnsi="宋体-简" w:eastAsia="宋体-简" w:cs="Arial"/>
          <w:color w:val="333333"/>
          <w:sz w:val="24"/>
          <w:highlight w:val="none"/>
        </w:rPr>
        <w:t>满足磋商文件要求且最后报价最低的供应商的价格为磋商基准价，其价格分为</w:t>
      </w:r>
      <w:r>
        <w:rPr>
          <w:rFonts w:hint="eastAsia" w:ascii="宋体-简" w:hAnsi="宋体-简" w:eastAsia="宋体-简" w:cs="Arial"/>
          <w:color w:val="333333"/>
          <w:sz w:val="24"/>
          <w:highlight w:val="none"/>
          <w:lang w:val="en-US" w:eastAsia="zh-CN"/>
        </w:rPr>
        <w:t>10</w:t>
      </w:r>
      <w:r>
        <w:rPr>
          <w:rFonts w:ascii="宋体-简" w:hAnsi="宋体-简" w:eastAsia="宋体-简" w:cs="Arial"/>
          <w:color w:val="333333"/>
          <w:sz w:val="24"/>
          <w:highlight w:val="none"/>
        </w:rPr>
        <w:t>分。其他供应商的价格分统一按照下列公式计算：</w:t>
      </w:r>
    </w:p>
    <w:p w14:paraId="2ADD2662">
      <w:pPr>
        <w:spacing w:line="360" w:lineRule="atLeast"/>
        <w:ind w:firstLine="480"/>
        <w:rPr>
          <w:rFonts w:ascii="宋体-简" w:hAnsi="宋体-简" w:eastAsia="宋体-简" w:cs="Arial"/>
          <w:color w:val="333333"/>
          <w:sz w:val="24"/>
          <w:highlight w:val="none"/>
        </w:rPr>
      </w:pPr>
      <w:r>
        <w:rPr>
          <w:rFonts w:ascii="宋体-简" w:hAnsi="宋体-简" w:eastAsia="宋体-简" w:cs="Arial"/>
          <w:color w:val="333333"/>
          <w:sz w:val="24"/>
          <w:highlight w:val="none"/>
        </w:rPr>
        <w:t>磋商报价得分=（磋商基准价/最</w:t>
      </w:r>
      <w:r>
        <w:rPr>
          <w:rFonts w:hint="eastAsia" w:ascii="宋体-简" w:hAnsi="宋体-简" w:eastAsia="宋体-简" w:cs="Arial"/>
          <w:color w:val="333333"/>
          <w:sz w:val="24"/>
          <w:highlight w:val="none"/>
        </w:rPr>
        <w:t>终</w:t>
      </w:r>
      <w:r>
        <w:rPr>
          <w:rFonts w:ascii="宋体-简" w:hAnsi="宋体-简" w:eastAsia="宋体-简" w:cs="Arial"/>
          <w:color w:val="333333"/>
          <w:sz w:val="24"/>
          <w:highlight w:val="none"/>
        </w:rPr>
        <w:t>磋商报价）×</w:t>
      </w:r>
      <w:r>
        <w:rPr>
          <w:rFonts w:hint="eastAsia" w:ascii="宋体-简" w:hAnsi="宋体-简" w:eastAsia="宋体-简" w:cs="Arial"/>
          <w:color w:val="333333"/>
          <w:sz w:val="24"/>
          <w:highlight w:val="none"/>
          <w:lang w:val="en-US" w:eastAsia="zh-CN"/>
        </w:rPr>
        <w:t>10</w:t>
      </w:r>
      <w:r>
        <w:rPr>
          <w:rFonts w:ascii="宋体-简" w:hAnsi="宋体-简" w:eastAsia="宋体-简" w:cs="Arial"/>
          <w:color w:val="333333"/>
          <w:sz w:val="24"/>
          <w:highlight w:val="none"/>
        </w:rPr>
        <w:t>%×100</w:t>
      </w:r>
    </w:p>
    <w:p w14:paraId="30A19F37">
      <w:pPr>
        <w:spacing w:line="360" w:lineRule="atLeast"/>
        <w:ind w:firstLine="480"/>
        <w:rPr>
          <w:rFonts w:ascii="宋体-简" w:hAnsi="宋体-简" w:eastAsia="宋体-简" w:cs="Arial"/>
          <w:color w:val="333333"/>
          <w:sz w:val="24"/>
          <w:highlight w:val="none"/>
        </w:rPr>
      </w:pPr>
      <w:r>
        <w:rPr>
          <w:rFonts w:ascii="宋体-简" w:hAnsi="宋体-简" w:eastAsia="宋体-简" w:cs="Arial"/>
          <w:color w:val="333333"/>
          <w:sz w:val="24"/>
          <w:highlight w:val="none"/>
        </w:rPr>
        <w:t>项目评审过程中，不得去掉最后报价中的最高报价和最低报价。</w:t>
      </w:r>
    </w:p>
    <w:p w14:paraId="5BC3DEF5">
      <w:pPr>
        <w:tabs>
          <w:tab w:val="left" w:pos="8280"/>
        </w:tabs>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磋商小组在评审时发现供应商的报价明显低于其市场报价的，应当要求供应商书面说明并提供相关证明材料。供应商不能当场合理说明原因并提供证明材料的，磋商小组应将该供应商的响应文件作无效处理，并在磋商报告中说明。</w:t>
      </w:r>
    </w:p>
    <w:p w14:paraId="31CDB9B5">
      <w:pPr>
        <w:spacing w:line="360" w:lineRule="atLeast"/>
        <w:ind w:firstLine="480"/>
        <w:rPr>
          <w:rFonts w:ascii="宋体-简" w:hAnsi="宋体-简" w:eastAsia="宋体-简" w:cs="Arial"/>
          <w:color w:val="333333"/>
          <w:sz w:val="24"/>
          <w:highlight w:val="none"/>
        </w:rPr>
      </w:pPr>
      <w:r>
        <w:rPr>
          <w:rFonts w:hint="eastAsia" w:ascii="宋体-简" w:hAnsi="宋体-简" w:eastAsia="宋体-简" w:cs="Arial"/>
          <w:color w:val="333333"/>
          <w:sz w:val="24"/>
          <w:highlight w:val="none"/>
        </w:rPr>
        <w:t xml:space="preserve">二分之一以上的评委认为供应商报价明显低于市场平均价的将作为无效投标处理； </w:t>
      </w:r>
    </w:p>
    <w:p w14:paraId="46373CAC">
      <w:pPr>
        <w:spacing w:line="360" w:lineRule="atLeast"/>
        <w:ind w:firstLine="480"/>
        <w:rPr>
          <w:rFonts w:ascii="宋体-简" w:hAnsi="宋体-简" w:eastAsia="宋体-简" w:cs="Arial"/>
          <w:color w:val="333333"/>
          <w:sz w:val="24"/>
          <w:highlight w:val="none"/>
        </w:rPr>
      </w:pPr>
      <w:r>
        <w:rPr>
          <w:rFonts w:hint="eastAsia" w:ascii="宋体-简" w:hAnsi="宋体-简" w:eastAsia="宋体-简" w:cs="Arial"/>
          <w:color w:val="333333"/>
          <w:sz w:val="24"/>
          <w:highlight w:val="none"/>
        </w:rPr>
        <w:t xml:space="preserve">磋商报价超出采购控制价的，作为无效投标处理。 </w:t>
      </w:r>
    </w:p>
    <w:p w14:paraId="3DFA9D42">
      <w:pPr>
        <w:spacing w:line="360" w:lineRule="atLeast"/>
        <w:ind w:firstLine="480"/>
        <w:rPr>
          <w:rFonts w:ascii="宋体-简" w:hAnsi="宋体-简" w:eastAsia="宋体-简" w:cs="Arial"/>
          <w:b/>
          <w:bCs/>
          <w:color w:val="333333"/>
          <w:sz w:val="24"/>
          <w:highlight w:val="none"/>
        </w:rPr>
      </w:pPr>
      <w:r>
        <w:rPr>
          <w:rFonts w:hint="eastAsia" w:ascii="宋体-简" w:hAnsi="宋体-简" w:eastAsia="宋体-简" w:cs="Arial"/>
          <w:b/>
          <w:bCs/>
          <w:color w:val="333333"/>
          <w:sz w:val="24"/>
          <w:highlight w:val="none"/>
        </w:rPr>
        <w:t>商务技术文件部分：</w:t>
      </w:r>
      <w:r>
        <w:rPr>
          <w:rFonts w:hint="eastAsia" w:ascii="宋体-简" w:hAnsi="宋体-简" w:eastAsia="宋体-简" w:cs="Arial"/>
          <w:b/>
          <w:bCs/>
          <w:color w:val="333333"/>
          <w:sz w:val="24"/>
          <w:highlight w:val="none"/>
          <w:lang w:val="en-US" w:eastAsia="zh-CN"/>
        </w:rPr>
        <w:t>90</w:t>
      </w:r>
      <w:r>
        <w:rPr>
          <w:rFonts w:hint="eastAsia" w:ascii="宋体-简" w:hAnsi="宋体-简" w:eastAsia="宋体-简" w:cs="Arial"/>
          <w:b/>
          <w:bCs/>
          <w:color w:val="333333"/>
          <w:sz w:val="24"/>
          <w:highlight w:val="none"/>
        </w:rPr>
        <w:t>分</w:t>
      </w:r>
    </w:p>
    <w:p w14:paraId="1A9C5E37">
      <w:pPr>
        <w:spacing w:line="360" w:lineRule="atLeast"/>
        <w:ind w:firstLine="480"/>
        <w:rPr>
          <w:rFonts w:hint="eastAsia" w:ascii="宋体-简" w:hAnsi="宋体-简" w:eastAsia="宋体-简" w:cs="Arial"/>
          <w:color w:val="333333"/>
          <w:sz w:val="24"/>
          <w:highlight w:val="none"/>
        </w:rPr>
      </w:pPr>
      <w:r>
        <w:rPr>
          <w:rFonts w:hint="eastAsia" w:ascii="宋体-简" w:hAnsi="宋体-简" w:eastAsia="宋体-简" w:cs="Arial"/>
          <w:color w:val="333333"/>
          <w:sz w:val="24"/>
          <w:highlight w:val="none"/>
        </w:rPr>
        <w:t>技术、商务、资信及其他分按照评标委员会成员的独立评分结果汇总数的算术平均分计算，计算公式为：技术商务资信分=（评标委员会所有成员评分合计数）/（评标委员会组成人员数）</w:t>
      </w:r>
    </w:p>
    <w:tbl>
      <w:tblPr>
        <w:tblStyle w:val="25"/>
        <w:tblW w:w="516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52"/>
        <w:gridCol w:w="1112"/>
        <w:gridCol w:w="6918"/>
        <w:gridCol w:w="853"/>
      </w:tblGrid>
      <w:tr w14:paraId="1FDC8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30269F5E">
            <w:pPr>
              <w:widowControl/>
              <w:spacing w:line="440" w:lineRule="exact"/>
              <w:jc w:val="center"/>
              <w:rPr>
                <w:rFonts w:hint="eastAsia" w:ascii="宋体" w:hAnsi="宋体" w:eastAsia="宋体" w:cs="宋体"/>
                <w:b/>
                <w:bCs/>
                <w:sz w:val="24"/>
                <w:highlight w:val="none"/>
              </w:rPr>
            </w:pPr>
            <w:r>
              <w:rPr>
                <w:rFonts w:hint="eastAsia" w:ascii="宋体" w:hAnsi="宋体" w:eastAsia="宋体" w:cs="宋体"/>
                <w:b/>
                <w:sz w:val="24"/>
                <w:highlight w:val="none"/>
              </w:rPr>
              <w:t>序号</w:t>
            </w:r>
          </w:p>
        </w:tc>
        <w:tc>
          <w:tcPr>
            <w:tcW w:w="583" w:type="pct"/>
            <w:tcBorders>
              <w:top w:val="single" w:color="auto" w:sz="4" w:space="0"/>
              <w:left w:val="single" w:color="auto" w:sz="4" w:space="0"/>
              <w:bottom w:val="single" w:color="auto" w:sz="4" w:space="0"/>
              <w:right w:val="single" w:color="auto" w:sz="4" w:space="0"/>
            </w:tcBorders>
            <w:noWrap w:val="0"/>
            <w:vAlign w:val="center"/>
          </w:tcPr>
          <w:p w14:paraId="275A22AD">
            <w:pPr>
              <w:widowControl/>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评审内容</w:t>
            </w:r>
          </w:p>
        </w:tc>
        <w:tc>
          <w:tcPr>
            <w:tcW w:w="3626" w:type="pct"/>
            <w:tcBorders>
              <w:top w:val="single" w:color="auto" w:sz="4" w:space="0"/>
              <w:left w:val="single" w:color="auto" w:sz="4" w:space="0"/>
              <w:bottom w:val="single" w:color="auto" w:sz="4" w:space="0"/>
              <w:right w:val="single" w:color="auto" w:sz="4" w:space="0"/>
            </w:tcBorders>
            <w:noWrap w:val="0"/>
            <w:vAlign w:val="center"/>
          </w:tcPr>
          <w:p w14:paraId="2B649509">
            <w:pPr>
              <w:widowControl/>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评分标准</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7D2687C7">
            <w:pPr>
              <w:widowControl/>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分值</w:t>
            </w:r>
          </w:p>
        </w:tc>
      </w:tr>
      <w:tr w14:paraId="4C597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2B2A4BA1">
            <w:pPr>
              <w:widowControl/>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一</w:t>
            </w:r>
          </w:p>
        </w:tc>
        <w:tc>
          <w:tcPr>
            <w:tcW w:w="583" w:type="pct"/>
            <w:tcBorders>
              <w:top w:val="single" w:color="auto" w:sz="4" w:space="0"/>
              <w:left w:val="single" w:color="auto" w:sz="4" w:space="0"/>
              <w:bottom w:val="single" w:color="auto" w:sz="4" w:space="0"/>
              <w:right w:val="single" w:color="auto" w:sz="4" w:space="0"/>
            </w:tcBorders>
            <w:noWrap w:val="0"/>
            <w:vAlign w:val="center"/>
          </w:tcPr>
          <w:p w14:paraId="79CED02E">
            <w:pPr>
              <w:widowControl/>
              <w:spacing w:line="440" w:lineRule="exact"/>
              <w:jc w:val="center"/>
              <w:rPr>
                <w:rFonts w:hint="eastAsia" w:ascii="宋体" w:hAnsi="宋体" w:eastAsia="宋体" w:cs="宋体"/>
                <w:b/>
                <w:sz w:val="24"/>
                <w:highlight w:val="none"/>
              </w:rPr>
            </w:pPr>
          </w:p>
        </w:tc>
        <w:tc>
          <w:tcPr>
            <w:tcW w:w="3626" w:type="pct"/>
            <w:tcBorders>
              <w:top w:val="single" w:color="auto" w:sz="4" w:space="0"/>
              <w:left w:val="single" w:color="auto" w:sz="4" w:space="0"/>
              <w:bottom w:val="single" w:color="auto" w:sz="4" w:space="0"/>
              <w:right w:val="single" w:color="auto" w:sz="4" w:space="0"/>
            </w:tcBorders>
            <w:noWrap w:val="0"/>
            <w:vAlign w:val="center"/>
          </w:tcPr>
          <w:p w14:paraId="0A618D41">
            <w:pPr>
              <w:widowControl/>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技术分</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658BAC03">
            <w:pPr>
              <w:widowControl/>
              <w:spacing w:line="440" w:lineRule="exact"/>
              <w:jc w:val="center"/>
              <w:rPr>
                <w:rFonts w:hint="eastAsia" w:ascii="宋体" w:hAnsi="宋体" w:eastAsia="宋体" w:cs="宋体"/>
                <w:b/>
                <w:sz w:val="24"/>
                <w:highlight w:val="none"/>
              </w:rPr>
            </w:pPr>
            <w:r>
              <w:rPr>
                <w:rFonts w:hint="eastAsia" w:ascii="宋体" w:hAnsi="宋体" w:cs="宋体"/>
                <w:b/>
                <w:sz w:val="24"/>
                <w:highlight w:val="none"/>
                <w:lang w:val="en-US" w:eastAsia="zh-CN"/>
              </w:rPr>
              <w:t>6</w:t>
            </w:r>
            <w:r>
              <w:rPr>
                <w:rFonts w:hint="eastAsia" w:ascii="宋体" w:hAnsi="宋体" w:eastAsia="宋体" w:cs="宋体"/>
                <w:b/>
                <w:sz w:val="24"/>
                <w:highlight w:val="none"/>
              </w:rPr>
              <w:t>5分</w:t>
            </w:r>
          </w:p>
        </w:tc>
      </w:tr>
      <w:tr w14:paraId="217A5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73C38ED1">
            <w:pPr>
              <w:widowControl/>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583" w:type="pct"/>
            <w:tcBorders>
              <w:top w:val="single" w:color="auto" w:sz="4" w:space="0"/>
              <w:left w:val="single" w:color="auto" w:sz="4" w:space="0"/>
              <w:bottom w:val="single" w:color="auto" w:sz="4" w:space="0"/>
              <w:right w:val="single" w:color="auto" w:sz="4" w:space="0"/>
            </w:tcBorders>
            <w:noWrap w:val="0"/>
            <w:vAlign w:val="center"/>
          </w:tcPr>
          <w:p w14:paraId="67E905CB">
            <w:pPr>
              <w:pStyle w:val="10"/>
              <w:spacing w:after="0" w:line="440" w:lineRule="exact"/>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项目</w:t>
            </w:r>
          </w:p>
          <w:p w14:paraId="74C5697E">
            <w:pPr>
              <w:pStyle w:val="10"/>
              <w:spacing w:after="0" w:line="440" w:lineRule="exact"/>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实施</w:t>
            </w:r>
          </w:p>
          <w:p w14:paraId="677A0322">
            <w:pPr>
              <w:widowControl/>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方案</w:t>
            </w:r>
          </w:p>
        </w:tc>
        <w:tc>
          <w:tcPr>
            <w:tcW w:w="3626" w:type="pct"/>
            <w:tcBorders>
              <w:top w:val="single" w:color="auto" w:sz="4" w:space="0"/>
              <w:left w:val="single" w:color="auto" w:sz="4" w:space="0"/>
              <w:bottom w:val="single" w:color="auto" w:sz="4" w:space="0"/>
              <w:right w:val="single" w:color="auto" w:sz="4" w:space="0"/>
            </w:tcBorders>
            <w:noWrap w:val="0"/>
            <w:vAlign w:val="center"/>
          </w:tcPr>
          <w:p w14:paraId="374A0BDD">
            <w:pPr>
              <w:widowControl/>
              <w:spacing w:line="40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1、供应商对</w:t>
            </w:r>
            <w:r>
              <w:rPr>
                <w:rFonts w:hint="eastAsia" w:ascii="宋体" w:hAnsi="宋体" w:eastAsia="宋体" w:cs="宋体"/>
                <w:sz w:val="24"/>
                <w:highlight w:val="none"/>
                <w:lang w:val="en-US" w:eastAsia="zh-CN"/>
              </w:rPr>
              <w:t>设备养护</w:t>
            </w:r>
            <w:r>
              <w:rPr>
                <w:rFonts w:hint="eastAsia" w:ascii="宋体" w:hAnsi="宋体" w:eastAsia="宋体" w:cs="宋体"/>
                <w:sz w:val="24"/>
                <w:highlight w:val="none"/>
              </w:rPr>
              <w:t>的实施方案：方案合理可行、执行有保障，监督管理制度到位，能保证项目实施质量，具有针对性、操作性强，计划安排科学合理的得</w:t>
            </w:r>
            <w:r>
              <w:rPr>
                <w:rFonts w:hint="eastAsia" w:ascii="宋体" w:hAnsi="宋体" w:cs="宋体"/>
                <w:sz w:val="24"/>
                <w:highlight w:val="none"/>
                <w:lang w:val="en-US" w:eastAsia="zh-CN"/>
              </w:rPr>
              <w:t>9</w:t>
            </w:r>
            <w:r>
              <w:rPr>
                <w:rFonts w:hint="eastAsia" w:ascii="宋体" w:hAnsi="宋体" w:eastAsia="宋体" w:cs="宋体"/>
                <w:sz w:val="24"/>
                <w:highlight w:val="none"/>
              </w:rPr>
              <w:t>分；方案操作性</w:t>
            </w:r>
            <w:r>
              <w:rPr>
                <w:rFonts w:hint="eastAsia" w:ascii="宋体" w:hAnsi="宋体" w:cs="宋体"/>
                <w:sz w:val="24"/>
                <w:highlight w:val="none"/>
                <w:lang w:val="en-US" w:eastAsia="zh-CN"/>
              </w:rPr>
              <w:t>较</w:t>
            </w:r>
            <w:r>
              <w:rPr>
                <w:rFonts w:hint="eastAsia" w:ascii="宋体" w:hAnsi="宋体" w:eastAsia="宋体" w:cs="宋体"/>
                <w:sz w:val="24"/>
                <w:highlight w:val="none"/>
              </w:rPr>
              <w:t>强，计划安排</w:t>
            </w:r>
            <w:r>
              <w:rPr>
                <w:rFonts w:hint="eastAsia" w:ascii="宋体" w:hAnsi="宋体" w:cs="宋体"/>
                <w:sz w:val="24"/>
                <w:highlight w:val="none"/>
                <w:lang w:val="en-US" w:eastAsia="zh-CN"/>
              </w:rPr>
              <w:t>较为</w:t>
            </w:r>
            <w:r>
              <w:rPr>
                <w:rFonts w:hint="eastAsia" w:ascii="宋体" w:hAnsi="宋体" w:eastAsia="宋体" w:cs="宋体"/>
                <w:sz w:val="24"/>
                <w:highlight w:val="none"/>
              </w:rPr>
              <w:t>合理的得</w:t>
            </w:r>
            <w:r>
              <w:rPr>
                <w:rFonts w:hint="eastAsia" w:ascii="宋体" w:hAnsi="宋体" w:cs="宋体"/>
                <w:sz w:val="24"/>
                <w:highlight w:val="none"/>
                <w:lang w:val="en-US" w:eastAsia="zh-CN"/>
              </w:rPr>
              <w:t>7</w:t>
            </w:r>
            <w:r>
              <w:rPr>
                <w:rFonts w:hint="eastAsia" w:ascii="宋体" w:hAnsi="宋体" w:eastAsia="宋体" w:cs="宋体"/>
                <w:sz w:val="24"/>
                <w:highlight w:val="none"/>
              </w:rPr>
              <w:t>分</w:t>
            </w:r>
            <w:r>
              <w:rPr>
                <w:rFonts w:hint="eastAsia" w:ascii="宋体" w:hAnsi="宋体" w:cs="宋体"/>
                <w:sz w:val="24"/>
                <w:highlight w:val="none"/>
                <w:lang w:eastAsia="zh-CN"/>
              </w:rPr>
              <w:t>；</w:t>
            </w:r>
            <w:r>
              <w:rPr>
                <w:rFonts w:hint="eastAsia" w:ascii="宋体" w:hAnsi="宋体" w:eastAsia="宋体" w:cs="宋体"/>
                <w:sz w:val="24"/>
                <w:highlight w:val="none"/>
              </w:rPr>
              <w:t>实施方案可行、保障一般、有监督管理制度的得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分；实施方案</w:t>
            </w:r>
            <w:r>
              <w:rPr>
                <w:rFonts w:hint="eastAsia" w:ascii="宋体" w:hAnsi="宋体" w:cs="宋体"/>
                <w:sz w:val="24"/>
                <w:highlight w:val="none"/>
                <w:lang w:val="en-US" w:eastAsia="zh-CN"/>
              </w:rPr>
              <w:t>混乱</w:t>
            </w:r>
            <w:r>
              <w:rPr>
                <w:rFonts w:hint="eastAsia" w:ascii="宋体" w:hAnsi="宋体" w:cs="宋体"/>
                <w:sz w:val="24"/>
                <w:highlight w:val="none"/>
                <w:lang w:eastAsia="zh-CN"/>
              </w:rPr>
              <w:t>、</w:t>
            </w:r>
            <w:r>
              <w:rPr>
                <w:rFonts w:hint="eastAsia" w:ascii="宋体" w:hAnsi="宋体" w:eastAsia="宋体" w:cs="宋体"/>
                <w:sz w:val="24"/>
                <w:highlight w:val="none"/>
              </w:rPr>
              <w:t>监督管理制度</w:t>
            </w:r>
            <w:r>
              <w:rPr>
                <w:rFonts w:hint="eastAsia" w:ascii="宋体" w:hAnsi="宋体" w:cs="宋体"/>
                <w:sz w:val="24"/>
                <w:highlight w:val="none"/>
                <w:lang w:val="en-US" w:eastAsia="zh-CN"/>
              </w:rPr>
              <w:t>松散</w:t>
            </w:r>
            <w:r>
              <w:rPr>
                <w:rFonts w:hint="eastAsia" w:ascii="宋体" w:hAnsi="宋体" w:eastAsia="宋体" w:cs="宋体"/>
                <w:sz w:val="24"/>
                <w:highlight w:val="none"/>
              </w:rPr>
              <w:t>的</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ascii="宋体" w:hAnsi="宋体" w:cs="宋体"/>
                <w:sz w:val="24"/>
                <w:highlight w:val="none"/>
                <w:lang w:val="en-US" w:eastAsia="zh-CN"/>
              </w:rPr>
              <w:t>照搬照抄、套用</w:t>
            </w:r>
            <w:r>
              <w:rPr>
                <w:rFonts w:hint="eastAsia" w:ascii="宋体" w:hAnsi="宋体" w:eastAsia="宋体" w:cs="宋体"/>
                <w:sz w:val="24"/>
                <w:highlight w:val="none"/>
              </w:rPr>
              <w:t>实施方案</w:t>
            </w:r>
            <w:r>
              <w:rPr>
                <w:rFonts w:hint="eastAsia" w:ascii="宋体" w:hAnsi="宋体" w:cs="宋体"/>
                <w:sz w:val="24"/>
                <w:highlight w:val="none"/>
                <w:lang w:val="en-US" w:eastAsia="zh-CN"/>
              </w:rPr>
              <w:t>的得1分；本项</w:t>
            </w:r>
            <w:r>
              <w:rPr>
                <w:rFonts w:hint="eastAsia" w:ascii="宋体" w:hAnsi="宋体" w:eastAsia="宋体" w:cs="宋体"/>
                <w:sz w:val="24"/>
                <w:highlight w:val="none"/>
              </w:rPr>
              <w:t>最高得</w:t>
            </w:r>
            <w:r>
              <w:rPr>
                <w:rFonts w:hint="eastAsia" w:ascii="宋体" w:hAnsi="宋体" w:cs="宋体"/>
                <w:sz w:val="24"/>
                <w:highlight w:val="none"/>
                <w:lang w:val="en-US" w:eastAsia="zh-CN"/>
              </w:rPr>
              <w:t>9</w:t>
            </w:r>
            <w:r>
              <w:rPr>
                <w:rFonts w:hint="eastAsia" w:ascii="宋体" w:hAnsi="宋体" w:eastAsia="宋体" w:cs="宋体"/>
                <w:sz w:val="24"/>
                <w:highlight w:val="none"/>
              </w:rPr>
              <w:t>分。</w:t>
            </w:r>
          </w:p>
          <w:p w14:paraId="2C435494">
            <w:pPr>
              <w:widowControl/>
              <w:spacing w:line="40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2、内部管理方案：方案完善，执行有力，能快速发现不足并加以弥补，有能力保证项目顺利实施的得</w:t>
            </w:r>
            <w:r>
              <w:rPr>
                <w:rFonts w:hint="eastAsia" w:ascii="宋体" w:hAnsi="宋体" w:cs="宋体"/>
                <w:sz w:val="24"/>
                <w:highlight w:val="none"/>
                <w:lang w:val="en-US" w:eastAsia="zh-CN"/>
              </w:rPr>
              <w:t>9</w:t>
            </w:r>
            <w:r>
              <w:rPr>
                <w:rFonts w:hint="eastAsia" w:ascii="宋体" w:hAnsi="宋体" w:eastAsia="宋体" w:cs="宋体"/>
                <w:sz w:val="24"/>
                <w:highlight w:val="none"/>
              </w:rPr>
              <w:t>分；方案较完善，执行较有力，能较快的发现不足并加以弥补的得</w:t>
            </w:r>
            <w:r>
              <w:rPr>
                <w:rFonts w:hint="eastAsia" w:ascii="宋体" w:hAnsi="宋体" w:cs="宋体"/>
                <w:sz w:val="24"/>
                <w:highlight w:val="none"/>
                <w:lang w:val="en-US" w:eastAsia="zh-CN"/>
              </w:rPr>
              <w:t>7</w:t>
            </w:r>
            <w:r>
              <w:rPr>
                <w:rFonts w:hint="eastAsia" w:ascii="宋体" w:hAnsi="宋体" w:eastAsia="宋体" w:cs="宋体"/>
                <w:sz w:val="24"/>
                <w:highlight w:val="none"/>
              </w:rPr>
              <w:t>分；</w:t>
            </w:r>
            <w:r>
              <w:rPr>
                <w:rFonts w:hint="eastAsia" w:ascii="宋体" w:hAnsi="宋体" w:cs="宋体"/>
                <w:sz w:val="24"/>
                <w:highlight w:val="none"/>
                <w:lang w:val="en-US" w:eastAsia="zh-CN"/>
              </w:rPr>
              <w:t>方案一般的得5分；</w:t>
            </w:r>
            <w:r>
              <w:rPr>
                <w:rFonts w:hint="eastAsia" w:ascii="宋体" w:hAnsi="宋体" w:eastAsia="宋体" w:cs="宋体"/>
                <w:sz w:val="24"/>
                <w:highlight w:val="none"/>
              </w:rPr>
              <w:t>方案不完善，执行力缺乏，不能快速发现不足并加以弥补的得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ascii="宋体" w:hAnsi="宋体" w:cs="宋体"/>
                <w:sz w:val="24"/>
                <w:highlight w:val="none"/>
                <w:lang w:val="en-US" w:eastAsia="zh-CN"/>
              </w:rPr>
              <w:t>照搬照抄、套用</w:t>
            </w:r>
            <w:r>
              <w:rPr>
                <w:rFonts w:hint="eastAsia" w:ascii="宋体" w:hAnsi="宋体" w:eastAsia="宋体" w:cs="宋体"/>
                <w:sz w:val="24"/>
                <w:highlight w:val="none"/>
              </w:rPr>
              <w:t>实施方案</w:t>
            </w:r>
            <w:r>
              <w:rPr>
                <w:rFonts w:hint="eastAsia" w:ascii="宋体" w:hAnsi="宋体" w:cs="宋体"/>
                <w:sz w:val="24"/>
                <w:highlight w:val="none"/>
                <w:lang w:val="en-US" w:eastAsia="zh-CN"/>
              </w:rPr>
              <w:t>的得1分；</w:t>
            </w:r>
            <w:r>
              <w:rPr>
                <w:rFonts w:hint="eastAsia" w:ascii="宋体" w:hAnsi="宋体" w:eastAsia="宋体" w:cs="宋体"/>
                <w:sz w:val="24"/>
                <w:highlight w:val="none"/>
              </w:rPr>
              <w:t>最高得</w:t>
            </w:r>
            <w:r>
              <w:rPr>
                <w:rFonts w:hint="eastAsia" w:ascii="宋体" w:hAnsi="宋体" w:cs="宋体"/>
                <w:sz w:val="24"/>
                <w:highlight w:val="none"/>
                <w:lang w:val="en-US" w:eastAsia="zh-CN"/>
              </w:rPr>
              <w:t>9</w:t>
            </w:r>
            <w:r>
              <w:rPr>
                <w:rFonts w:hint="eastAsia" w:ascii="宋体" w:hAnsi="宋体" w:eastAsia="宋体" w:cs="宋体"/>
                <w:sz w:val="24"/>
                <w:highlight w:val="none"/>
              </w:rPr>
              <w:t>分。</w:t>
            </w:r>
          </w:p>
          <w:p w14:paraId="24E9ECFB">
            <w:pPr>
              <w:widowControl/>
              <w:spacing w:line="40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cs="宋体"/>
                <w:sz w:val="24"/>
                <w:highlight w:val="none"/>
                <w:lang w:eastAsia="zh-CN"/>
              </w:rPr>
              <w:t>保障</w:t>
            </w:r>
            <w:r>
              <w:rPr>
                <w:rFonts w:hint="eastAsia" w:ascii="宋体" w:hAnsi="宋体" w:eastAsia="宋体" w:cs="宋体"/>
                <w:sz w:val="24"/>
                <w:highlight w:val="none"/>
              </w:rPr>
              <w:t>方案：对于临时、突发性、特殊性、急件等服务项目有科学、合理、完善的风险管控方案的得</w:t>
            </w:r>
            <w:r>
              <w:rPr>
                <w:rFonts w:hint="eastAsia" w:ascii="宋体" w:hAnsi="宋体" w:cs="宋体"/>
                <w:sz w:val="24"/>
                <w:highlight w:val="none"/>
                <w:lang w:val="en-US" w:eastAsia="zh-CN"/>
              </w:rPr>
              <w:t>8</w:t>
            </w:r>
            <w:r>
              <w:rPr>
                <w:rFonts w:hint="eastAsia" w:ascii="宋体" w:hAnsi="宋体" w:eastAsia="宋体" w:cs="宋体"/>
                <w:sz w:val="24"/>
                <w:highlight w:val="none"/>
              </w:rPr>
              <w:t>分；对于临时性、突发性等服务项目考虑</w:t>
            </w:r>
            <w:r>
              <w:rPr>
                <w:rFonts w:hint="eastAsia" w:ascii="宋体" w:hAnsi="宋体" w:cs="宋体"/>
                <w:sz w:val="24"/>
                <w:highlight w:val="none"/>
                <w:lang w:val="en-US" w:eastAsia="zh-CN"/>
              </w:rPr>
              <w:t>较</w:t>
            </w:r>
            <w:r>
              <w:rPr>
                <w:rFonts w:hint="eastAsia" w:ascii="宋体" w:hAnsi="宋体" w:eastAsia="宋体" w:cs="宋体"/>
                <w:sz w:val="24"/>
                <w:highlight w:val="none"/>
              </w:rPr>
              <w:t>全面，有一定的风险管控措施的得</w:t>
            </w:r>
            <w:r>
              <w:rPr>
                <w:rFonts w:hint="eastAsia" w:ascii="宋体" w:hAnsi="宋体" w:cs="宋体"/>
                <w:sz w:val="24"/>
                <w:highlight w:val="none"/>
                <w:lang w:val="en-US" w:eastAsia="zh-CN"/>
              </w:rPr>
              <w:t>6</w:t>
            </w:r>
            <w:r>
              <w:rPr>
                <w:rFonts w:hint="eastAsia" w:ascii="宋体" w:hAnsi="宋体" w:eastAsia="宋体" w:cs="宋体"/>
                <w:sz w:val="24"/>
                <w:highlight w:val="none"/>
              </w:rPr>
              <w:t>分；方案</w:t>
            </w:r>
            <w:r>
              <w:rPr>
                <w:rFonts w:hint="eastAsia" w:ascii="宋体" w:hAnsi="宋体" w:cs="宋体"/>
                <w:sz w:val="24"/>
                <w:highlight w:val="none"/>
                <w:lang w:val="en-US" w:eastAsia="zh-CN"/>
              </w:rPr>
              <w:t>一般</w:t>
            </w:r>
            <w:r>
              <w:rPr>
                <w:rFonts w:hint="eastAsia" w:ascii="宋体" w:hAnsi="宋体" w:eastAsia="宋体" w:cs="宋体"/>
                <w:sz w:val="24"/>
                <w:highlight w:val="none"/>
              </w:rPr>
              <w:t>的得</w:t>
            </w:r>
            <w:r>
              <w:rPr>
                <w:rFonts w:hint="eastAsia" w:ascii="宋体" w:hAnsi="宋体" w:cs="宋体"/>
                <w:sz w:val="24"/>
                <w:highlight w:val="none"/>
                <w:lang w:val="en-US" w:eastAsia="zh-CN"/>
              </w:rPr>
              <w:t>4</w:t>
            </w:r>
            <w:r>
              <w:rPr>
                <w:rFonts w:hint="eastAsia" w:ascii="宋体" w:hAnsi="宋体" w:eastAsia="宋体" w:cs="宋体"/>
                <w:sz w:val="24"/>
                <w:highlight w:val="none"/>
              </w:rPr>
              <w:t>分；</w:t>
            </w:r>
            <w:r>
              <w:rPr>
                <w:rFonts w:hint="eastAsia" w:ascii="宋体" w:hAnsi="宋体" w:cs="宋体"/>
                <w:sz w:val="24"/>
                <w:highlight w:val="none"/>
                <w:lang w:val="en-US" w:eastAsia="zh-CN"/>
              </w:rPr>
              <w:t>照搬照抄、套用</w:t>
            </w:r>
            <w:r>
              <w:rPr>
                <w:rFonts w:hint="eastAsia" w:ascii="宋体" w:hAnsi="宋体" w:eastAsia="宋体" w:cs="宋体"/>
                <w:sz w:val="24"/>
                <w:highlight w:val="none"/>
              </w:rPr>
              <w:t>方案</w:t>
            </w:r>
            <w:r>
              <w:rPr>
                <w:rFonts w:hint="eastAsia" w:ascii="宋体" w:hAnsi="宋体" w:cs="宋体"/>
                <w:sz w:val="24"/>
                <w:highlight w:val="none"/>
                <w:lang w:val="en-US" w:eastAsia="zh-CN"/>
              </w:rPr>
              <w:t>的得2分；</w:t>
            </w:r>
            <w:r>
              <w:rPr>
                <w:rFonts w:hint="eastAsia" w:ascii="宋体" w:hAnsi="宋体" w:eastAsia="宋体" w:cs="宋体"/>
                <w:sz w:val="24"/>
                <w:highlight w:val="none"/>
              </w:rPr>
              <w:t>最高得</w:t>
            </w:r>
            <w:r>
              <w:rPr>
                <w:rFonts w:hint="eastAsia" w:ascii="宋体" w:hAnsi="宋体" w:cs="宋体"/>
                <w:sz w:val="24"/>
                <w:highlight w:val="none"/>
                <w:lang w:val="en-US" w:eastAsia="zh-CN"/>
              </w:rPr>
              <w:t>8</w:t>
            </w:r>
            <w:r>
              <w:rPr>
                <w:rFonts w:hint="eastAsia" w:ascii="宋体" w:hAnsi="宋体" w:eastAsia="宋体" w:cs="宋体"/>
                <w:sz w:val="24"/>
                <w:highlight w:val="none"/>
              </w:rPr>
              <w:t>分。</w:t>
            </w:r>
          </w:p>
          <w:p w14:paraId="5B276360">
            <w:pPr>
              <w:widowControl/>
              <w:spacing w:line="40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4、建设性意见建议及应对措施方案：表述精确、全面，解决措施具有针对性和可操作性的得</w:t>
            </w:r>
            <w:r>
              <w:rPr>
                <w:rFonts w:hint="eastAsia" w:ascii="宋体" w:hAnsi="宋体" w:cs="宋体"/>
                <w:sz w:val="24"/>
                <w:highlight w:val="none"/>
                <w:lang w:val="en-US" w:eastAsia="zh-CN"/>
              </w:rPr>
              <w:t>8</w:t>
            </w:r>
            <w:r>
              <w:rPr>
                <w:rFonts w:hint="eastAsia" w:ascii="宋体" w:hAnsi="宋体" w:eastAsia="宋体" w:cs="宋体"/>
                <w:sz w:val="24"/>
                <w:highlight w:val="none"/>
              </w:rPr>
              <w:t>分；表述</w:t>
            </w:r>
            <w:r>
              <w:rPr>
                <w:rFonts w:hint="eastAsia" w:ascii="宋体" w:hAnsi="宋体" w:cs="宋体"/>
                <w:sz w:val="24"/>
                <w:highlight w:val="none"/>
                <w:lang w:val="en-US" w:eastAsia="zh-CN"/>
              </w:rPr>
              <w:t>较</w:t>
            </w:r>
            <w:r>
              <w:rPr>
                <w:rFonts w:hint="eastAsia" w:ascii="宋体" w:hAnsi="宋体" w:eastAsia="宋体" w:cs="宋体"/>
                <w:sz w:val="24"/>
                <w:highlight w:val="none"/>
              </w:rPr>
              <w:t>全面，解决措施</w:t>
            </w:r>
            <w:r>
              <w:rPr>
                <w:rFonts w:hint="eastAsia" w:ascii="宋体" w:hAnsi="宋体" w:cs="宋体"/>
                <w:sz w:val="24"/>
                <w:highlight w:val="none"/>
                <w:lang w:val="en-US" w:eastAsia="zh-CN"/>
              </w:rPr>
              <w:t>较</w:t>
            </w:r>
            <w:r>
              <w:rPr>
                <w:rFonts w:hint="eastAsia" w:ascii="宋体" w:hAnsi="宋体" w:eastAsia="宋体" w:cs="宋体"/>
                <w:sz w:val="24"/>
                <w:highlight w:val="none"/>
              </w:rPr>
              <w:t>有针对性和可操作性的得</w:t>
            </w:r>
            <w:r>
              <w:rPr>
                <w:rFonts w:hint="eastAsia" w:ascii="宋体" w:hAnsi="宋体" w:cs="宋体"/>
                <w:sz w:val="24"/>
                <w:highlight w:val="none"/>
                <w:lang w:val="en-US" w:eastAsia="zh-CN"/>
              </w:rPr>
              <w:t>6</w:t>
            </w:r>
            <w:r>
              <w:rPr>
                <w:rFonts w:hint="eastAsia" w:ascii="宋体" w:hAnsi="宋体" w:eastAsia="宋体" w:cs="宋体"/>
                <w:sz w:val="24"/>
                <w:highlight w:val="none"/>
              </w:rPr>
              <w:t>分；表述不够全面，但解决措施具有针对性和可操作性的一般的得4分</w:t>
            </w:r>
            <w:r>
              <w:rPr>
                <w:rFonts w:hint="eastAsia" w:ascii="宋体" w:hAnsi="宋体" w:cs="宋体"/>
                <w:sz w:val="24"/>
                <w:highlight w:val="none"/>
                <w:lang w:eastAsia="zh-CN"/>
              </w:rPr>
              <w:t>；</w:t>
            </w:r>
            <w:r>
              <w:rPr>
                <w:rFonts w:hint="eastAsia" w:ascii="宋体" w:hAnsi="宋体" w:eastAsia="宋体" w:cs="宋体"/>
                <w:sz w:val="24"/>
                <w:highlight w:val="none"/>
              </w:rPr>
              <w:t>表述简单，针对性和可操作性不强的得2分；最高得</w:t>
            </w:r>
            <w:r>
              <w:rPr>
                <w:rFonts w:hint="eastAsia" w:ascii="宋体" w:hAnsi="宋体" w:cs="宋体"/>
                <w:sz w:val="24"/>
                <w:highlight w:val="none"/>
                <w:lang w:val="en-US" w:eastAsia="zh-CN"/>
              </w:rPr>
              <w:t>8</w:t>
            </w:r>
            <w:r>
              <w:rPr>
                <w:rFonts w:hint="eastAsia" w:ascii="宋体" w:hAnsi="宋体" w:eastAsia="宋体" w:cs="宋体"/>
                <w:sz w:val="24"/>
                <w:highlight w:val="none"/>
              </w:rPr>
              <w:t>分。</w:t>
            </w:r>
          </w:p>
          <w:p w14:paraId="777B430D">
            <w:pPr>
              <w:widowControl/>
              <w:spacing w:line="40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5、项目重点、难点的分析和解决方案：分析精确、全面，解决方案具有针对性和可操作性强的得</w:t>
            </w:r>
            <w:r>
              <w:rPr>
                <w:rFonts w:hint="eastAsia" w:ascii="宋体" w:hAnsi="宋体" w:cs="宋体"/>
                <w:sz w:val="24"/>
                <w:highlight w:val="none"/>
                <w:lang w:val="en-US" w:eastAsia="zh-CN"/>
              </w:rPr>
              <w:t>8</w:t>
            </w:r>
            <w:r>
              <w:rPr>
                <w:rFonts w:hint="eastAsia" w:ascii="宋体" w:hAnsi="宋体" w:eastAsia="宋体" w:cs="宋体"/>
                <w:sz w:val="24"/>
                <w:highlight w:val="none"/>
              </w:rPr>
              <w:t>分；分析</w:t>
            </w:r>
            <w:r>
              <w:rPr>
                <w:rFonts w:hint="eastAsia" w:ascii="宋体" w:hAnsi="宋体" w:cs="宋体"/>
                <w:sz w:val="24"/>
                <w:highlight w:val="none"/>
                <w:lang w:val="en-US" w:eastAsia="zh-CN"/>
              </w:rPr>
              <w:t>较</w:t>
            </w:r>
            <w:r>
              <w:rPr>
                <w:rFonts w:hint="eastAsia" w:ascii="宋体" w:hAnsi="宋体" w:eastAsia="宋体" w:cs="宋体"/>
                <w:sz w:val="24"/>
                <w:highlight w:val="none"/>
              </w:rPr>
              <w:t>全面，解决方案</w:t>
            </w:r>
            <w:r>
              <w:rPr>
                <w:rFonts w:hint="eastAsia" w:ascii="宋体" w:hAnsi="宋体" w:cs="宋体"/>
                <w:sz w:val="24"/>
                <w:highlight w:val="none"/>
                <w:lang w:val="en-US" w:eastAsia="zh-CN"/>
              </w:rPr>
              <w:t>较</w:t>
            </w:r>
            <w:r>
              <w:rPr>
                <w:rFonts w:hint="eastAsia" w:ascii="宋体" w:hAnsi="宋体" w:eastAsia="宋体" w:cs="宋体"/>
                <w:sz w:val="24"/>
                <w:highlight w:val="none"/>
              </w:rPr>
              <w:t>有针对性和可操作性强的得</w:t>
            </w:r>
            <w:r>
              <w:rPr>
                <w:rFonts w:hint="eastAsia" w:ascii="宋体" w:hAnsi="宋体" w:cs="宋体"/>
                <w:sz w:val="24"/>
                <w:highlight w:val="none"/>
                <w:lang w:val="en-US" w:eastAsia="zh-CN"/>
              </w:rPr>
              <w:t>6</w:t>
            </w:r>
            <w:r>
              <w:rPr>
                <w:rFonts w:hint="eastAsia" w:ascii="宋体" w:hAnsi="宋体" w:eastAsia="宋体" w:cs="宋体"/>
                <w:sz w:val="24"/>
                <w:highlight w:val="none"/>
              </w:rPr>
              <w:t>分；分析</w:t>
            </w:r>
            <w:r>
              <w:rPr>
                <w:rFonts w:hint="eastAsia" w:ascii="宋体" w:hAnsi="宋体" w:cs="宋体"/>
                <w:sz w:val="24"/>
                <w:highlight w:val="none"/>
                <w:lang w:val="en-US" w:eastAsia="zh-CN"/>
              </w:rPr>
              <w:t>及</w:t>
            </w:r>
            <w:r>
              <w:rPr>
                <w:rFonts w:hint="eastAsia" w:ascii="宋体" w:hAnsi="宋体" w:eastAsia="宋体" w:cs="宋体"/>
                <w:sz w:val="24"/>
                <w:highlight w:val="none"/>
              </w:rPr>
              <w:t>解决方案的针对性和可操作性一般的得4分；</w:t>
            </w:r>
            <w:r>
              <w:rPr>
                <w:rFonts w:hint="eastAsia" w:ascii="宋体" w:hAnsi="宋体" w:cs="宋体"/>
                <w:sz w:val="24"/>
                <w:highlight w:val="none"/>
                <w:lang w:val="en-US" w:eastAsia="zh-CN"/>
              </w:rPr>
              <w:t>照搬照抄、套用</w:t>
            </w:r>
            <w:r>
              <w:rPr>
                <w:rFonts w:hint="eastAsia" w:ascii="宋体" w:hAnsi="宋体" w:eastAsia="宋体" w:cs="宋体"/>
                <w:sz w:val="24"/>
                <w:highlight w:val="none"/>
              </w:rPr>
              <w:t>方案</w:t>
            </w:r>
            <w:r>
              <w:rPr>
                <w:rFonts w:hint="eastAsia" w:ascii="宋体" w:hAnsi="宋体" w:cs="宋体"/>
                <w:sz w:val="24"/>
                <w:highlight w:val="none"/>
                <w:lang w:val="en-US" w:eastAsia="zh-CN"/>
              </w:rPr>
              <w:t>的得2分；</w:t>
            </w:r>
            <w:r>
              <w:rPr>
                <w:rFonts w:hint="eastAsia" w:ascii="宋体" w:hAnsi="宋体" w:eastAsia="宋体" w:cs="宋体"/>
                <w:sz w:val="24"/>
                <w:highlight w:val="none"/>
              </w:rPr>
              <w:t>最高得</w:t>
            </w:r>
            <w:r>
              <w:rPr>
                <w:rFonts w:hint="eastAsia" w:ascii="宋体" w:hAnsi="宋体" w:cs="宋体"/>
                <w:sz w:val="24"/>
                <w:highlight w:val="none"/>
                <w:lang w:val="en-US" w:eastAsia="zh-CN"/>
              </w:rPr>
              <w:t>8</w:t>
            </w:r>
            <w:r>
              <w:rPr>
                <w:rFonts w:hint="eastAsia" w:ascii="宋体" w:hAnsi="宋体" w:eastAsia="宋体" w:cs="宋体"/>
                <w:sz w:val="24"/>
                <w:highlight w:val="none"/>
              </w:rPr>
              <w:t>分。</w:t>
            </w:r>
          </w:p>
          <w:p w14:paraId="180883F8">
            <w:pPr>
              <w:widowControl/>
              <w:spacing w:line="440" w:lineRule="exact"/>
              <w:ind w:firstLine="240" w:firstLineChars="100"/>
              <w:rPr>
                <w:rFonts w:hint="eastAsia" w:ascii="宋体" w:hAnsi="宋体" w:eastAsia="宋体" w:cs="宋体"/>
                <w:color w:val="000000"/>
                <w:sz w:val="24"/>
                <w:highlight w:val="none"/>
              </w:rPr>
            </w:pPr>
            <w:r>
              <w:rPr>
                <w:rFonts w:hint="eastAsia" w:ascii="宋体" w:hAnsi="宋体" w:eastAsia="宋体" w:cs="宋体"/>
                <w:sz w:val="24"/>
                <w:highlight w:val="none"/>
              </w:rPr>
              <w:t>6、保证项目进度和完成的方案及措施：有明确的项目进度安排，时间节点明确，任务分解清晰具体，保障措施有</w:t>
            </w:r>
            <w:r>
              <w:rPr>
                <w:rFonts w:hint="eastAsia" w:ascii="宋体" w:hAnsi="宋体" w:cs="宋体"/>
                <w:sz w:val="24"/>
                <w:highlight w:val="none"/>
                <w:lang w:val="en-US" w:eastAsia="zh-CN"/>
              </w:rPr>
              <w:t>力</w:t>
            </w:r>
            <w:r>
              <w:rPr>
                <w:rFonts w:hint="eastAsia" w:ascii="宋体" w:hAnsi="宋体" w:eastAsia="宋体" w:cs="宋体"/>
                <w:sz w:val="24"/>
                <w:highlight w:val="none"/>
              </w:rPr>
              <w:t>的得</w:t>
            </w:r>
            <w:r>
              <w:rPr>
                <w:rFonts w:hint="eastAsia" w:ascii="宋体" w:hAnsi="宋体" w:cs="宋体"/>
                <w:sz w:val="24"/>
                <w:highlight w:val="none"/>
                <w:lang w:val="en-US" w:eastAsia="zh-CN"/>
              </w:rPr>
              <w:t>8</w:t>
            </w:r>
            <w:r>
              <w:rPr>
                <w:rFonts w:hint="eastAsia" w:ascii="宋体" w:hAnsi="宋体" w:eastAsia="宋体" w:cs="宋体"/>
                <w:sz w:val="24"/>
                <w:highlight w:val="none"/>
              </w:rPr>
              <w:t>分；有项目进度安排，时间节点</w:t>
            </w:r>
            <w:r>
              <w:rPr>
                <w:rFonts w:hint="eastAsia" w:ascii="宋体" w:hAnsi="宋体" w:cs="宋体"/>
                <w:sz w:val="24"/>
                <w:highlight w:val="none"/>
                <w:lang w:val="en-US" w:eastAsia="zh-CN"/>
              </w:rPr>
              <w:t>较为</w:t>
            </w:r>
            <w:r>
              <w:rPr>
                <w:rFonts w:hint="eastAsia" w:ascii="宋体" w:hAnsi="宋体" w:eastAsia="宋体" w:cs="宋体"/>
                <w:sz w:val="24"/>
                <w:highlight w:val="none"/>
              </w:rPr>
              <w:t>明确，任务分解</w:t>
            </w:r>
            <w:r>
              <w:rPr>
                <w:rFonts w:hint="eastAsia" w:ascii="宋体" w:hAnsi="宋体" w:cs="宋体"/>
                <w:sz w:val="24"/>
                <w:highlight w:val="none"/>
                <w:lang w:val="en-US" w:eastAsia="zh-CN"/>
              </w:rPr>
              <w:t>较为</w:t>
            </w:r>
            <w:r>
              <w:rPr>
                <w:rFonts w:hint="eastAsia" w:ascii="宋体" w:hAnsi="宋体" w:eastAsia="宋体" w:cs="宋体"/>
                <w:sz w:val="24"/>
                <w:highlight w:val="none"/>
              </w:rPr>
              <w:t>具体，保障措施有效的得</w:t>
            </w:r>
            <w:r>
              <w:rPr>
                <w:rFonts w:hint="eastAsia" w:ascii="宋体" w:hAnsi="宋体" w:cs="宋体"/>
                <w:sz w:val="24"/>
                <w:highlight w:val="none"/>
                <w:lang w:val="en-US" w:eastAsia="zh-CN"/>
              </w:rPr>
              <w:t>6</w:t>
            </w:r>
            <w:r>
              <w:rPr>
                <w:rFonts w:hint="eastAsia" w:ascii="宋体" w:hAnsi="宋体" w:eastAsia="宋体" w:cs="宋体"/>
                <w:sz w:val="24"/>
                <w:highlight w:val="none"/>
              </w:rPr>
              <w:t>分；有时间进度安排合理，关键节点分解不够清晰的得4分；方案及工作计划等简单，可行性</w:t>
            </w:r>
            <w:r>
              <w:rPr>
                <w:rFonts w:hint="eastAsia" w:ascii="宋体" w:hAnsi="宋体" w:cs="宋体"/>
                <w:sz w:val="24"/>
                <w:highlight w:val="none"/>
                <w:lang w:val="en-US" w:eastAsia="zh-CN"/>
              </w:rPr>
              <w:t>差</w:t>
            </w:r>
            <w:r>
              <w:rPr>
                <w:rFonts w:hint="eastAsia" w:ascii="宋体" w:hAnsi="宋体" w:eastAsia="宋体" w:cs="宋体"/>
                <w:sz w:val="24"/>
                <w:highlight w:val="none"/>
              </w:rPr>
              <w:t>的得2分；最高得</w:t>
            </w:r>
            <w:r>
              <w:rPr>
                <w:rFonts w:hint="eastAsia" w:ascii="宋体" w:hAnsi="宋体" w:cs="宋体"/>
                <w:sz w:val="24"/>
                <w:highlight w:val="none"/>
                <w:lang w:val="en-US" w:eastAsia="zh-CN"/>
              </w:rPr>
              <w:t>8</w:t>
            </w:r>
            <w:r>
              <w:rPr>
                <w:rFonts w:hint="eastAsia" w:ascii="宋体" w:hAnsi="宋体" w:eastAsia="宋体" w:cs="宋体"/>
                <w:sz w:val="24"/>
                <w:highlight w:val="none"/>
              </w:rPr>
              <w:t>分。</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52FF14A3">
            <w:pPr>
              <w:widowControl/>
              <w:spacing w:line="440" w:lineRule="exact"/>
              <w:jc w:val="center"/>
              <w:rPr>
                <w:rFonts w:hint="eastAsia" w:ascii="宋体" w:hAnsi="宋体" w:eastAsia="宋体" w:cs="宋体"/>
                <w:sz w:val="24"/>
                <w:highlight w:val="none"/>
              </w:rPr>
            </w:pPr>
            <w:r>
              <w:rPr>
                <w:rFonts w:hint="eastAsia" w:ascii="宋体" w:hAnsi="宋体" w:cs="宋体"/>
                <w:sz w:val="24"/>
                <w:highlight w:val="none"/>
                <w:lang w:val="en-US" w:eastAsia="zh-CN"/>
              </w:rPr>
              <w:t>50</w:t>
            </w:r>
            <w:r>
              <w:rPr>
                <w:rFonts w:hint="eastAsia" w:ascii="宋体" w:hAnsi="宋体" w:eastAsia="宋体" w:cs="宋体"/>
                <w:sz w:val="24"/>
                <w:highlight w:val="none"/>
              </w:rPr>
              <w:t>分</w:t>
            </w:r>
          </w:p>
        </w:tc>
      </w:tr>
      <w:tr w14:paraId="5D724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31549C5A">
            <w:pPr>
              <w:widowControl/>
              <w:spacing w:line="440" w:lineRule="exact"/>
              <w:jc w:val="center"/>
              <w:rPr>
                <w:rFonts w:hint="eastAsia" w:ascii="宋体" w:hAnsi="宋体" w:eastAsia="宋体" w:cs="宋体"/>
                <w:b/>
                <w:sz w:val="24"/>
                <w:highlight w:val="none"/>
              </w:rPr>
            </w:pPr>
            <w:r>
              <w:rPr>
                <w:rFonts w:hint="eastAsia" w:ascii="宋体" w:hAnsi="宋体" w:eastAsia="宋体" w:cs="宋体"/>
                <w:sz w:val="24"/>
                <w:highlight w:val="none"/>
              </w:rPr>
              <w:t>2</w:t>
            </w:r>
          </w:p>
        </w:tc>
        <w:tc>
          <w:tcPr>
            <w:tcW w:w="583" w:type="pct"/>
            <w:tcBorders>
              <w:top w:val="single" w:color="auto" w:sz="4" w:space="0"/>
              <w:left w:val="single" w:color="auto" w:sz="4" w:space="0"/>
              <w:bottom w:val="single" w:color="auto" w:sz="4" w:space="0"/>
              <w:right w:val="single" w:color="auto" w:sz="4" w:space="0"/>
            </w:tcBorders>
            <w:noWrap w:val="0"/>
            <w:vAlign w:val="center"/>
          </w:tcPr>
          <w:p w14:paraId="32605049">
            <w:pPr>
              <w:widowControl/>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人员配备</w:t>
            </w:r>
          </w:p>
        </w:tc>
        <w:tc>
          <w:tcPr>
            <w:tcW w:w="3626" w:type="pct"/>
            <w:tcBorders>
              <w:top w:val="single" w:color="auto" w:sz="4" w:space="0"/>
              <w:left w:val="single" w:color="auto" w:sz="4" w:space="0"/>
              <w:bottom w:val="single" w:color="auto" w:sz="4" w:space="0"/>
              <w:right w:val="single" w:color="auto" w:sz="4" w:space="0"/>
            </w:tcBorders>
            <w:noWrap w:val="0"/>
            <w:vAlign w:val="center"/>
          </w:tcPr>
          <w:p w14:paraId="17BDA012">
            <w:pPr>
              <w:spacing w:line="42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根据供应商拟投入本项目的服务团队人员情况评分：</w:t>
            </w:r>
          </w:p>
          <w:p w14:paraId="37FA8E33">
            <w:pPr>
              <w:spacing w:line="42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1、满足招标需求中人员要求的得1分，每增加1人加1分，最高得3分。</w:t>
            </w:r>
          </w:p>
          <w:p w14:paraId="12C3FDCB">
            <w:pPr>
              <w:spacing w:line="42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2、承诺拟投入本项目的项目经理人员具有大学本科及以上学历人员，并具有相关工作经验3年及以上的得2分。（须提供工作简历、合同/</w:t>
            </w:r>
            <w:r>
              <w:rPr>
                <w:rFonts w:hint="eastAsia" w:ascii="宋体" w:hAnsi="宋体" w:eastAsia="宋体" w:cs="宋体"/>
                <w:color w:val="000000"/>
                <w:sz w:val="24"/>
                <w:highlight w:val="none"/>
              </w:rPr>
              <w:t>协议等证明材料复印件,不提供的不得分）</w:t>
            </w:r>
          </w:p>
          <w:p w14:paraId="29B6413B">
            <w:pPr>
              <w:spacing w:line="42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3、承诺人员配备中拥有B照及以上的驾驶员有1人的得1分，最高得3分。</w:t>
            </w:r>
          </w:p>
          <w:p w14:paraId="1B325F06">
            <w:pPr>
              <w:spacing w:line="420" w:lineRule="exact"/>
              <w:rPr>
                <w:rFonts w:hint="eastAsia" w:ascii="宋体" w:hAnsi="宋体" w:eastAsia="宋体" w:cs="宋体"/>
                <w:sz w:val="24"/>
                <w:highlight w:val="none"/>
                <w:lang w:eastAsia="zh-CN"/>
              </w:rPr>
            </w:pPr>
            <w:r>
              <w:rPr>
                <w:rFonts w:hint="eastAsia" w:ascii="宋体" w:hAnsi="宋体" w:eastAsia="宋体" w:cs="宋体"/>
                <w:color w:val="000000"/>
                <w:sz w:val="24"/>
                <w:highlight w:val="none"/>
              </w:rPr>
              <w:t>4、供应商对服务队伍规模及人员配备结构充足，人员岗位安排有合理方案计划的得3分；人员配备结构充足，但岗位安排方案有所欠缺的得2分；服务队伍规模及人员配备能满足招标文件基本要求，但无岗位安排方案的得1分</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最高得3分</w:t>
            </w:r>
            <w:r>
              <w:rPr>
                <w:rFonts w:hint="eastAsia" w:ascii="宋体" w:hAnsi="宋体" w:eastAsia="宋体" w:cs="宋体"/>
                <w:color w:val="000000"/>
                <w:sz w:val="24"/>
                <w:highlight w:val="none"/>
                <w:lang w:eastAsia="zh-CN"/>
              </w:rPr>
              <w:t>。</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1D903C0E">
            <w:pPr>
              <w:widowControl/>
              <w:spacing w:line="4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分</w:t>
            </w:r>
          </w:p>
        </w:tc>
      </w:tr>
      <w:tr w14:paraId="18E5A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3E335251">
            <w:pPr>
              <w:widowControl/>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583" w:type="pct"/>
            <w:tcBorders>
              <w:top w:val="single" w:color="auto" w:sz="4" w:space="0"/>
              <w:left w:val="single" w:color="auto" w:sz="4" w:space="0"/>
              <w:bottom w:val="single" w:color="auto" w:sz="4" w:space="0"/>
              <w:right w:val="single" w:color="auto" w:sz="4" w:space="0"/>
            </w:tcBorders>
            <w:noWrap w:val="0"/>
            <w:vAlign w:val="center"/>
          </w:tcPr>
          <w:p w14:paraId="2A56CFD4">
            <w:pPr>
              <w:pStyle w:val="10"/>
              <w:spacing w:after="0" w:line="440" w:lineRule="exact"/>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拟投入设备</w:t>
            </w:r>
          </w:p>
        </w:tc>
        <w:tc>
          <w:tcPr>
            <w:tcW w:w="3626" w:type="pct"/>
            <w:tcBorders>
              <w:top w:val="single" w:color="auto" w:sz="4" w:space="0"/>
              <w:left w:val="single" w:color="auto" w:sz="4" w:space="0"/>
              <w:bottom w:val="single" w:color="auto" w:sz="4" w:space="0"/>
              <w:right w:val="single" w:color="auto" w:sz="4" w:space="0"/>
            </w:tcBorders>
            <w:noWrap w:val="0"/>
            <w:vAlign w:val="center"/>
          </w:tcPr>
          <w:p w14:paraId="4F1205A4">
            <w:pPr>
              <w:spacing w:line="440" w:lineRule="exact"/>
              <w:rPr>
                <w:rFonts w:hint="eastAsia" w:ascii="宋体" w:hAnsi="宋体" w:eastAsia="宋体" w:cs="宋体"/>
                <w:color w:val="000000"/>
                <w:sz w:val="24"/>
              </w:rPr>
            </w:pPr>
            <w:r>
              <w:rPr>
                <w:rFonts w:hint="eastAsia" w:ascii="宋体" w:hAnsi="宋体" w:eastAsia="宋体" w:cs="宋体"/>
                <w:color w:val="000000"/>
                <w:sz w:val="24"/>
              </w:rPr>
              <w:t>1、满足招标需求中</w:t>
            </w:r>
            <w:r>
              <w:rPr>
                <w:rFonts w:hint="eastAsia" w:ascii="宋体" w:hAnsi="宋体" w:eastAsia="宋体" w:cs="宋体"/>
                <w:sz w:val="24"/>
              </w:rPr>
              <w:t>有</w:t>
            </w:r>
            <w:r>
              <w:rPr>
                <w:rFonts w:hint="eastAsia" w:ascii="宋体" w:hAnsi="宋体" w:eastAsia="宋体" w:cs="宋体"/>
                <w:sz w:val="24"/>
                <w:lang w:val="en-US" w:eastAsia="zh-CN"/>
              </w:rPr>
              <w:t>小型汽车</w:t>
            </w:r>
            <w:r>
              <w:rPr>
                <w:rFonts w:hint="eastAsia" w:ascii="宋体" w:hAnsi="宋体" w:eastAsia="宋体" w:cs="宋体"/>
                <w:sz w:val="24"/>
              </w:rPr>
              <w:t>1辆</w:t>
            </w:r>
            <w:r>
              <w:rPr>
                <w:rFonts w:hint="eastAsia" w:ascii="宋体" w:hAnsi="宋体" w:eastAsia="宋体" w:cs="宋体"/>
                <w:color w:val="000000"/>
                <w:sz w:val="24"/>
              </w:rPr>
              <w:t>的得1分，每增加1辆加1分，最高得2分。</w:t>
            </w:r>
          </w:p>
          <w:p w14:paraId="190F3D37">
            <w:pPr>
              <w:spacing w:line="440" w:lineRule="exact"/>
              <w:rPr>
                <w:rFonts w:hint="eastAsia" w:ascii="宋体" w:hAnsi="宋体" w:eastAsia="宋体" w:cs="宋体"/>
                <w:color w:val="000000"/>
                <w:sz w:val="24"/>
              </w:rPr>
            </w:pPr>
            <w:r>
              <w:rPr>
                <w:rFonts w:hint="eastAsia" w:ascii="宋体" w:hAnsi="宋体" w:eastAsia="宋体" w:cs="宋体"/>
                <w:color w:val="000000"/>
                <w:sz w:val="24"/>
              </w:rPr>
              <w:t>2、满足招标需求中有</w:t>
            </w:r>
            <w:r>
              <w:rPr>
                <w:rFonts w:hint="eastAsia" w:ascii="宋体" w:hAnsi="宋体" w:eastAsia="宋体" w:cs="宋体"/>
                <w:color w:val="000000"/>
                <w:sz w:val="24"/>
                <w:lang w:val="en-US" w:eastAsia="zh-CN"/>
              </w:rPr>
              <w:t>电瓶车2</w:t>
            </w:r>
            <w:r>
              <w:rPr>
                <w:rFonts w:hint="eastAsia" w:ascii="宋体" w:hAnsi="宋体" w:eastAsia="宋体" w:cs="宋体"/>
                <w:color w:val="000000"/>
                <w:sz w:val="24"/>
              </w:rPr>
              <w:t>辆的得1分，每增加1辆加1分，最高得2分。</w:t>
            </w:r>
          </w:p>
          <w:p w14:paraId="513DBD43">
            <w:pPr>
              <w:spacing w:line="440" w:lineRule="exact"/>
              <w:rPr>
                <w:rFonts w:hint="eastAsia" w:ascii="宋体" w:hAnsi="宋体" w:eastAsia="宋体" w:cs="宋体"/>
                <w:color w:val="000000"/>
                <w:sz w:val="24"/>
              </w:rPr>
            </w:pPr>
            <w:r>
              <w:rPr>
                <w:rFonts w:hint="eastAsia" w:ascii="宋体" w:hAnsi="宋体" w:eastAsia="宋体" w:cs="宋体"/>
                <w:color w:val="000000"/>
                <w:sz w:val="24"/>
              </w:rPr>
              <w:t>以上设备车辆需提供购车发票复印件或车辆租赁协议复印件以及车辆行驶证复印件，租赁协议中的租赁有效期必须在本项目的服务期限之上，否则认定无效。</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6FFAA0E8">
            <w:pPr>
              <w:widowControl/>
              <w:spacing w:line="440" w:lineRule="exact"/>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r>
      <w:tr w14:paraId="353FA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7D795E4D">
            <w:pPr>
              <w:widowControl/>
              <w:spacing w:line="440" w:lineRule="exact"/>
              <w:jc w:val="center"/>
              <w:rPr>
                <w:rFonts w:hint="eastAsia" w:ascii="宋体" w:hAnsi="宋体" w:eastAsia="宋体" w:cs="宋体"/>
                <w:b/>
                <w:sz w:val="24"/>
              </w:rPr>
            </w:pPr>
            <w:r>
              <w:rPr>
                <w:rFonts w:hint="eastAsia" w:ascii="宋体" w:hAnsi="宋体" w:eastAsia="宋体" w:cs="宋体"/>
                <w:b/>
                <w:sz w:val="24"/>
              </w:rPr>
              <w:t>二</w:t>
            </w:r>
          </w:p>
        </w:tc>
        <w:tc>
          <w:tcPr>
            <w:tcW w:w="583" w:type="pct"/>
            <w:tcBorders>
              <w:top w:val="single" w:color="auto" w:sz="4" w:space="0"/>
              <w:left w:val="single" w:color="auto" w:sz="4" w:space="0"/>
              <w:bottom w:val="single" w:color="auto" w:sz="4" w:space="0"/>
              <w:right w:val="single" w:color="auto" w:sz="4" w:space="0"/>
            </w:tcBorders>
            <w:noWrap w:val="0"/>
            <w:vAlign w:val="center"/>
          </w:tcPr>
          <w:p w14:paraId="00F5259C">
            <w:pPr>
              <w:widowControl/>
              <w:spacing w:line="440" w:lineRule="exact"/>
              <w:jc w:val="center"/>
              <w:rPr>
                <w:rFonts w:hint="eastAsia" w:ascii="宋体" w:hAnsi="宋体" w:eastAsia="宋体" w:cs="宋体"/>
                <w:b/>
                <w:sz w:val="24"/>
              </w:rPr>
            </w:pPr>
          </w:p>
        </w:tc>
        <w:tc>
          <w:tcPr>
            <w:tcW w:w="3626" w:type="pct"/>
            <w:tcBorders>
              <w:top w:val="single" w:color="auto" w:sz="4" w:space="0"/>
              <w:left w:val="single" w:color="auto" w:sz="4" w:space="0"/>
              <w:bottom w:val="single" w:color="auto" w:sz="4" w:space="0"/>
              <w:right w:val="single" w:color="auto" w:sz="4" w:space="0"/>
            </w:tcBorders>
            <w:noWrap w:val="0"/>
            <w:vAlign w:val="center"/>
          </w:tcPr>
          <w:p w14:paraId="48B9E54A">
            <w:pPr>
              <w:widowControl/>
              <w:spacing w:line="440" w:lineRule="exact"/>
              <w:jc w:val="center"/>
              <w:rPr>
                <w:rFonts w:hint="eastAsia" w:ascii="宋体" w:hAnsi="宋体" w:eastAsia="宋体" w:cs="宋体"/>
                <w:b/>
                <w:sz w:val="24"/>
              </w:rPr>
            </w:pPr>
            <w:r>
              <w:rPr>
                <w:rFonts w:hint="eastAsia" w:ascii="宋体" w:hAnsi="宋体" w:eastAsia="宋体" w:cs="宋体"/>
                <w:b/>
                <w:sz w:val="24"/>
              </w:rPr>
              <w:t>商务分</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61B932B0">
            <w:pPr>
              <w:widowControl/>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lang w:val="en-US" w:eastAsia="zh-CN"/>
              </w:rPr>
              <w:t>15</w:t>
            </w:r>
            <w:r>
              <w:rPr>
                <w:rFonts w:hint="eastAsia" w:ascii="宋体" w:hAnsi="宋体" w:eastAsia="宋体" w:cs="宋体"/>
                <w:b/>
                <w:sz w:val="24"/>
                <w:highlight w:val="none"/>
              </w:rPr>
              <w:t>分</w:t>
            </w:r>
          </w:p>
        </w:tc>
      </w:tr>
      <w:tr w14:paraId="52A3C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262D5B19">
            <w:pPr>
              <w:widowControl/>
              <w:spacing w:line="440" w:lineRule="exact"/>
              <w:jc w:val="center"/>
              <w:rPr>
                <w:rFonts w:hint="eastAsia" w:ascii="宋体" w:hAnsi="宋体" w:eastAsia="宋体" w:cs="宋体"/>
                <w:b/>
                <w:sz w:val="24"/>
              </w:rPr>
            </w:pPr>
            <w:r>
              <w:rPr>
                <w:rFonts w:hint="eastAsia" w:ascii="宋体" w:hAnsi="宋体" w:eastAsia="宋体" w:cs="宋体"/>
                <w:sz w:val="24"/>
              </w:rPr>
              <w:t>4</w:t>
            </w:r>
          </w:p>
        </w:tc>
        <w:tc>
          <w:tcPr>
            <w:tcW w:w="583" w:type="pct"/>
            <w:tcBorders>
              <w:top w:val="single" w:color="auto" w:sz="4" w:space="0"/>
              <w:left w:val="single" w:color="auto" w:sz="4" w:space="0"/>
              <w:bottom w:val="single" w:color="auto" w:sz="4" w:space="0"/>
              <w:right w:val="single" w:color="auto" w:sz="4" w:space="0"/>
            </w:tcBorders>
            <w:noWrap w:val="0"/>
            <w:vAlign w:val="center"/>
          </w:tcPr>
          <w:p w14:paraId="65226CFD">
            <w:pPr>
              <w:tabs>
                <w:tab w:val="left" w:pos="1080"/>
              </w:tabs>
              <w:spacing w:line="440" w:lineRule="exact"/>
              <w:jc w:val="center"/>
              <w:rPr>
                <w:rFonts w:hint="eastAsia" w:ascii="宋体" w:hAnsi="宋体" w:eastAsia="宋体" w:cs="宋体"/>
                <w:b/>
                <w:sz w:val="24"/>
              </w:rPr>
            </w:pPr>
            <w:r>
              <w:rPr>
                <w:rFonts w:hint="eastAsia" w:ascii="宋体" w:hAnsi="宋体" w:eastAsia="宋体" w:cs="宋体"/>
                <w:b/>
                <w:sz w:val="24"/>
              </w:rPr>
              <w:t>售后服务承诺</w:t>
            </w:r>
          </w:p>
        </w:tc>
        <w:tc>
          <w:tcPr>
            <w:tcW w:w="3626" w:type="pct"/>
            <w:tcBorders>
              <w:top w:val="single" w:color="auto" w:sz="4" w:space="0"/>
              <w:left w:val="single" w:color="auto" w:sz="4" w:space="0"/>
              <w:bottom w:val="single" w:color="auto" w:sz="4" w:space="0"/>
              <w:right w:val="single" w:color="auto" w:sz="4" w:space="0"/>
            </w:tcBorders>
            <w:noWrap w:val="0"/>
            <w:vAlign w:val="center"/>
          </w:tcPr>
          <w:p w14:paraId="445A85C7">
            <w:pPr>
              <w:pStyle w:val="10"/>
              <w:numPr>
                <w:ilvl w:val="0"/>
                <w:numId w:val="15"/>
              </w:numPr>
              <w:spacing w:after="0" w:line="44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售后服务优惠承诺。</w:t>
            </w:r>
          </w:p>
          <w:p w14:paraId="01F7F9EF">
            <w:pPr>
              <w:pStyle w:val="10"/>
              <w:spacing w:line="440" w:lineRule="exact"/>
              <w:ind w:firstLine="120" w:firstLineChars="5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售后服务方案全面周到且优惠幅度大的,得4分，售后服务不全面或优惠不明显的,得2分，除招标文件规定内容外无其他售后服务承诺的，该项不得分。</w:t>
            </w:r>
          </w:p>
          <w:p w14:paraId="224D8A50">
            <w:pPr>
              <w:pStyle w:val="10"/>
              <w:spacing w:after="0" w:line="440" w:lineRule="exact"/>
              <w:ind w:firstLine="120" w:firstLineChars="5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2、响应时间：接到采购人通知（电话、电传等）后2小时到现场响应得1分；承诺1小时现场响应得2分；承诺0.5小时现场响应得3分，无承诺不得分。最高得3分。</w:t>
            </w:r>
          </w:p>
          <w:p w14:paraId="6BB009D7">
            <w:pPr>
              <w:pStyle w:val="10"/>
              <w:spacing w:after="0" w:line="440" w:lineRule="exact"/>
              <w:ind w:firstLine="120" w:firstLineChars="5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3、培训服务：根据本项目制定全面、详尽、科学的员工训练或培训措施等培训计划（培训的方式、地点、人数、时间等实质性内容）等方面，各项内容全面描述的得3分，有缺失一项扣1分，扣完为止。</w:t>
            </w:r>
          </w:p>
          <w:p w14:paraId="4C375312">
            <w:pPr>
              <w:pStyle w:val="10"/>
              <w:spacing w:after="0" w:line="440" w:lineRule="exact"/>
              <w:ind w:firstLine="120" w:firstLineChars="5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4、供应商针对本采购项目的建设性意见，每提供一条可行性的意见得1分，最高得2分。</w:t>
            </w:r>
          </w:p>
          <w:p w14:paraId="5D802628">
            <w:pPr>
              <w:pStyle w:val="10"/>
              <w:spacing w:after="0" w:line="440" w:lineRule="exact"/>
              <w:ind w:firstLine="120" w:firstLineChars="50"/>
              <w:rPr>
                <w:rFonts w:hint="eastAsia" w:ascii="宋体" w:hAnsi="宋体" w:eastAsia="宋体" w:cs="宋体"/>
                <w:bCs/>
                <w:color w:val="000000"/>
                <w:sz w:val="24"/>
                <w:highlight w:val="none"/>
                <w:lang w:val="en-US" w:eastAsia="zh-CN"/>
              </w:rPr>
            </w:pPr>
            <w:r>
              <w:rPr>
                <w:rFonts w:hint="eastAsia" w:ascii="宋体" w:hAnsi="宋体" w:eastAsia="宋体" w:cs="宋体"/>
                <w:sz w:val="24"/>
                <w:highlight w:val="none"/>
                <w:lang w:val="en-US" w:eastAsia="zh-CN"/>
              </w:rPr>
              <w:t>5、</w:t>
            </w:r>
            <w:r>
              <w:rPr>
                <w:rFonts w:hint="eastAsia" w:ascii="宋体" w:hAnsi="宋体" w:eastAsia="宋体" w:cs="宋体"/>
                <w:bCs/>
                <w:color w:val="000000"/>
                <w:sz w:val="24"/>
                <w:highlight w:val="none"/>
                <w:lang w:val="en-US" w:eastAsia="zh-CN"/>
              </w:rPr>
              <w:t>供应商在项目实施地已经配备或承诺合同履行前在项目实施地设立售后服务单位得3分；供应商在浙江省内设立或承诺设立售后服务单位的得1分，其他地区不得分，无承诺不得分。</w:t>
            </w:r>
          </w:p>
          <w:p w14:paraId="09064F3F">
            <w:pPr>
              <w:pStyle w:val="10"/>
              <w:spacing w:after="0" w:line="440" w:lineRule="exact"/>
              <w:ind w:firstLine="120" w:firstLineChars="5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（须提供详细的网点营业执照、地址、联系人、联系方式或承诺书等）未提供的不得分。</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5BD8DA03">
            <w:pPr>
              <w:widowControl/>
              <w:spacing w:line="440" w:lineRule="exact"/>
              <w:jc w:val="center"/>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15</w:t>
            </w:r>
            <w:r>
              <w:rPr>
                <w:rFonts w:hint="eastAsia" w:ascii="宋体" w:hAnsi="宋体" w:eastAsia="宋体" w:cs="宋体"/>
                <w:bCs/>
                <w:sz w:val="24"/>
                <w:highlight w:val="none"/>
              </w:rPr>
              <w:t>分</w:t>
            </w:r>
          </w:p>
        </w:tc>
      </w:tr>
      <w:tr w14:paraId="4E980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30D92DF7">
            <w:pPr>
              <w:widowControl/>
              <w:spacing w:line="440" w:lineRule="exact"/>
              <w:jc w:val="center"/>
              <w:rPr>
                <w:rFonts w:hint="eastAsia" w:ascii="宋体" w:hAnsi="宋体" w:eastAsia="宋体" w:cs="宋体"/>
                <w:b/>
                <w:sz w:val="24"/>
              </w:rPr>
            </w:pPr>
            <w:r>
              <w:rPr>
                <w:rFonts w:hint="eastAsia" w:ascii="宋体" w:hAnsi="宋体" w:eastAsia="宋体" w:cs="宋体"/>
                <w:b/>
                <w:sz w:val="24"/>
              </w:rPr>
              <w:t>三</w:t>
            </w:r>
          </w:p>
        </w:tc>
        <w:tc>
          <w:tcPr>
            <w:tcW w:w="583" w:type="pct"/>
            <w:tcBorders>
              <w:top w:val="single" w:color="auto" w:sz="4" w:space="0"/>
              <w:left w:val="single" w:color="auto" w:sz="4" w:space="0"/>
              <w:bottom w:val="single" w:color="auto" w:sz="4" w:space="0"/>
              <w:right w:val="single" w:color="auto" w:sz="4" w:space="0"/>
            </w:tcBorders>
            <w:noWrap w:val="0"/>
            <w:vAlign w:val="center"/>
          </w:tcPr>
          <w:p w14:paraId="39178B7A">
            <w:pPr>
              <w:widowControl/>
              <w:spacing w:line="440" w:lineRule="exact"/>
              <w:jc w:val="center"/>
              <w:rPr>
                <w:rFonts w:hint="eastAsia" w:ascii="宋体" w:hAnsi="宋体" w:eastAsia="宋体" w:cs="宋体"/>
                <w:b/>
                <w:sz w:val="24"/>
              </w:rPr>
            </w:pPr>
          </w:p>
        </w:tc>
        <w:tc>
          <w:tcPr>
            <w:tcW w:w="3626" w:type="pct"/>
            <w:tcBorders>
              <w:top w:val="single" w:color="auto" w:sz="4" w:space="0"/>
              <w:left w:val="single" w:color="auto" w:sz="4" w:space="0"/>
              <w:bottom w:val="single" w:color="auto" w:sz="4" w:space="0"/>
              <w:right w:val="single" w:color="auto" w:sz="4" w:space="0"/>
            </w:tcBorders>
            <w:noWrap w:val="0"/>
            <w:vAlign w:val="center"/>
          </w:tcPr>
          <w:p w14:paraId="2484F96E">
            <w:pPr>
              <w:widowControl/>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资信及其他分</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7728CF9E">
            <w:pPr>
              <w:widowControl/>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0</w:t>
            </w:r>
            <w:r>
              <w:rPr>
                <w:rFonts w:hint="eastAsia" w:ascii="宋体" w:hAnsi="宋体" w:eastAsia="宋体" w:cs="宋体"/>
                <w:b/>
                <w:sz w:val="24"/>
                <w:highlight w:val="none"/>
              </w:rPr>
              <w:t>分</w:t>
            </w:r>
          </w:p>
        </w:tc>
      </w:tr>
      <w:tr w14:paraId="3B3E7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342" w:type="pct"/>
            <w:tcBorders>
              <w:top w:val="single" w:color="auto" w:sz="4" w:space="0"/>
              <w:left w:val="single" w:color="auto" w:sz="4" w:space="0"/>
              <w:right w:val="single" w:color="auto" w:sz="4" w:space="0"/>
            </w:tcBorders>
            <w:noWrap w:val="0"/>
            <w:vAlign w:val="center"/>
          </w:tcPr>
          <w:p w14:paraId="314FAA3E">
            <w:pPr>
              <w:pStyle w:val="10"/>
              <w:spacing w:after="0"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583" w:type="pct"/>
            <w:tcBorders>
              <w:top w:val="single" w:color="auto" w:sz="4" w:space="0"/>
              <w:left w:val="single" w:color="auto" w:sz="4" w:space="0"/>
              <w:right w:val="single" w:color="auto" w:sz="4" w:space="0"/>
            </w:tcBorders>
            <w:noWrap w:val="0"/>
            <w:vAlign w:val="center"/>
          </w:tcPr>
          <w:p w14:paraId="7216FAE6">
            <w:pPr>
              <w:pStyle w:val="10"/>
              <w:spacing w:after="0" w:line="440" w:lineRule="exact"/>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企业业绩</w:t>
            </w:r>
          </w:p>
        </w:tc>
        <w:tc>
          <w:tcPr>
            <w:tcW w:w="3626" w:type="pct"/>
            <w:tcBorders>
              <w:top w:val="single" w:color="auto" w:sz="4" w:space="0"/>
              <w:left w:val="single" w:color="auto" w:sz="4" w:space="0"/>
              <w:right w:val="single" w:color="auto" w:sz="4" w:space="0"/>
            </w:tcBorders>
            <w:noWrap w:val="0"/>
            <w:vAlign w:val="center"/>
          </w:tcPr>
          <w:p w14:paraId="27AA814B">
            <w:pPr>
              <w:pStyle w:val="10"/>
              <w:spacing w:after="0" w:line="44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bCs/>
                <w:sz w:val="24"/>
                <w:highlight w:val="none"/>
                <w:lang w:val="en-US" w:eastAsia="zh-CN"/>
              </w:rPr>
              <w:t>根据供应商提供的自2022年1月1日起至今（以合同签订时间为准）</w:t>
            </w:r>
            <w:r>
              <w:rPr>
                <w:rFonts w:hint="eastAsia" w:ascii="宋体" w:hAnsi="宋体" w:eastAsia="宋体" w:cs="宋体"/>
                <w:sz w:val="24"/>
                <w:highlight w:val="none"/>
                <w:lang w:val="en-US" w:eastAsia="zh-CN"/>
              </w:rPr>
              <w:t>提供同类项目的成功案例</w:t>
            </w:r>
            <w:r>
              <w:rPr>
                <w:rFonts w:hint="eastAsia" w:ascii="宋体" w:hAnsi="宋体" w:cs="宋体"/>
                <w:sz w:val="24"/>
                <w:highlight w:val="none"/>
                <w:lang w:val="en-US" w:eastAsia="zh-CN"/>
              </w:rPr>
              <w:t>每个</w:t>
            </w:r>
            <w:r>
              <w:rPr>
                <w:rFonts w:hint="eastAsia" w:ascii="宋体" w:hAnsi="宋体" w:eastAsia="宋体" w:cs="宋体"/>
                <w:sz w:val="24"/>
                <w:highlight w:val="none"/>
                <w:lang w:val="en-US" w:eastAsia="zh-CN"/>
              </w:rPr>
              <w:t>得</w:t>
            </w:r>
            <w:r>
              <w:rPr>
                <w:rFonts w:hint="eastAsia" w:ascii="宋体" w:hAnsi="宋体" w:cs="宋体"/>
                <w:sz w:val="24"/>
                <w:highlight w:val="none"/>
                <w:lang w:val="en-US" w:eastAsia="zh-CN"/>
              </w:rPr>
              <w:t>0.5</w:t>
            </w:r>
            <w:r>
              <w:rPr>
                <w:rFonts w:hint="eastAsia" w:ascii="宋体" w:hAnsi="宋体" w:eastAsia="宋体" w:cs="宋体"/>
                <w:sz w:val="24"/>
                <w:highlight w:val="none"/>
                <w:lang w:val="en-US" w:eastAsia="zh-CN"/>
              </w:rPr>
              <w:t>分</w:t>
            </w:r>
            <w:r>
              <w:rPr>
                <w:rFonts w:hint="eastAsia" w:ascii="宋体" w:hAnsi="宋体" w:cs="宋体"/>
                <w:sz w:val="24"/>
                <w:highlight w:val="none"/>
                <w:lang w:val="en-US" w:eastAsia="zh-CN"/>
              </w:rPr>
              <w:t>，最多得1分</w:t>
            </w:r>
            <w:r>
              <w:rPr>
                <w:rFonts w:hint="eastAsia" w:ascii="宋体" w:hAnsi="宋体" w:eastAsia="宋体" w:cs="宋体"/>
                <w:sz w:val="24"/>
                <w:highlight w:val="none"/>
                <w:lang w:val="en-US" w:eastAsia="zh-CN"/>
              </w:rPr>
              <w:t>。</w:t>
            </w:r>
          </w:p>
          <w:p w14:paraId="520AC7F4">
            <w:pPr>
              <w:pStyle w:val="10"/>
              <w:spacing w:after="0" w:line="44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sz w:val="24"/>
                <w:highlight w:val="none"/>
                <w:lang w:val="en-US" w:eastAsia="zh-CN"/>
              </w:rPr>
              <w:t>需</w:t>
            </w:r>
            <w:r>
              <w:rPr>
                <w:rFonts w:hint="eastAsia" w:ascii="宋体" w:hAnsi="宋体" w:eastAsia="宋体" w:cs="宋体"/>
                <w:bCs/>
                <w:sz w:val="24"/>
                <w:highlight w:val="none"/>
                <w:lang w:val="en-US" w:eastAsia="zh-CN"/>
              </w:rPr>
              <w:t>提供合同复印件</w:t>
            </w:r>
            <w:r>
              <w:rPr>
                <w:rFonts w:hint="eastAsia" w:ascii="宋体" w:hAnsi="宋体" w:eastAsia="宋体" w:cs="宋体"/>
                <w:sz w:val="24"/>
                <w:szCs w:val="21"/>
                <w:highlight w:val="none"/>
                <w:lang w:val="en-US" w:eastAsia="zh-CN"/>
              </w:rPr>
              <w:t>（含首页、签字盖章页）并加盖供应商公章</w:t>
            </w:r>
            <w:r>
              <w:rPr>
                <w:rFonts w:hint="eastAsia" w:ascii="宋体" w:hAnsi="宋体" w:eastAsia="宋体" w:cs="宋体"/>
                <w:bCs/>
                <w:sz w:val="24"/>
                <w:highlight w:val="none"/>
                <w:lang w:val="en-US" w:eastAsia="zh-CN"/>
              </w:rPr>
              <w:t>，否则不得分。</w:t>
            </w:r>
          </w:p>
        </w:tc>
        <w:tc>
          <w:tcPr>
            <w:tcW w:w="447" w:type="pct"/>
            <w:tcBorders>
              <w:top w:val="single" w:color="auto" w:sz="4" w:space="0"/>
              <w:left w:val="single" w:color="auto" w:sz="4" w:space="0"/>
              <w:right w:val="single" w:color="auto" w:sz="4" w:space="0"/>
            </w:tcBorders>
            <w:noWrap w:val="0"/>
            <w:vAlign w:val="center"/>
          </w:tcPr>
          <w:p w14:paraId="1A24A3C3">
            <w:pPr>
              <w:pStyle w:val="10"/>
              <w:spacing w:after="0"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1分</w:t>
            </w:r>
          </w:p>
        </w:tc>
      </w:tr>
      <w:tr w14:paraId="7B76E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24050420">
            <w:pPr>
              <w:pStyle w:val="10"/>
              <w:spacing w:after="0"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583" w:type="pct"/>
            <w:tcBorders>
              <w:top w:val="single" w:color="auto" w:sz="4" w:space="0"/>
              <w:left w:val="single" w:color="auto" w:sz="4" w:space="0"/>
              <w:bottom w:val="single" w:color="auto" w:sz="4" w:space="0"/>
              <w:right w:val="single" w:color="auto" w:sz="4" w:space="0"/>
            </w:tcBorders>
            <w:noWrap w:val="0"/>
            <w:vAlign w:val="center"/>
          </w:tcPr>
          <w:p w14:paraId="5E5A3C97">
            <w:pPr>
              <w:widowControl/>
              <w:spacing w:line="440" w:lineRule="exact"/>
              <w:jc w:val="center"/>
              <w:rPr>
                <w:rFonts w:hint="eastAsia" w:ascii="宋体" w:hAnsi="宋体" w:eastAsia="宋体" w:cs="宋体"/>
                <w:b/>
                <w:bCs/>
                <w:sz w:val="24"/>
              </w:rPr>
            </w:pPr>
            <w:r>
              <w:rPr>
                <w:rFonts w:hint="eastAsia" w:ascii="宋体" w:hAnsi="宋体" w:eastAsia="宋体" w:cs="宋体"/>
                <w:b/>
                <w:sz w:val="24"/>
              </w:rPr>
              <w:t>企业认证</w:t>
            </w:r>
          </w:p>
        </w:tc>
        <w:tc>
          <w:tcPr>
            <w:tcW w:w="3626" w:type="pct"/>
            <w:tcBorders>
              <w:top w:val="single" w:color="auto" w:sz="4" w:space="0"/>
              <w:left w:val="single" w:color="auto" w:sz="4" w:space="0"/>
              <w:bottom w:val="single" w:color="auto" w:sz="4" w:space="0"/>
              <w:right w:val="single" w:color="auto" w:sz="4" w:space="0"/>
            </w:tcBorders>
            <w:noWrap w:val="0"/>
            <w:vAlign w:val="top"/>
          </w:tcPr>
          <w:p w14:paraId="3A683F0F">
            <w:pPr>
              <w:pStyle w:val="10"/>
              <w:spacing w:after="0" w:line="440" w:lineRule="exact"/>
              <w:ind w:firstLine="240" w:firstLineChars="1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1、供应商具有有效质量管理体系认证证书得1.5分；</w:t>
            </w:r>
          </w:p>
          <w:p w14:paraId="47AC2B0C">
            <w:pPr>
              <w:pStyle w:val="10"/>
              <w:spacing w:after="0" w:line="440" w:lineRule="exact"/>
              <w:ind w:firstLine="240" w:firstLineChars="1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2、供应商具有有效环境管理体系认证证书得1.5分；</w:t>
            </w:r>
          </w:p>
          <w:p w14:paraId="46E6C5A3">
            <w:pPr>
              <w:pStyle w:val="10"/>
              <w:spacing w:after="0" w:line="440" w:lineRule="exact"/>
              <w:ind w:firstLine="240" w:firstLineChars="1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3、供应商具有有效职业健康与安全管理体系认证证书的得1.5分；</w:t>
            </w:r>
          </w:p>
          <w:p w14:paraId="0AEAFD0C">
            <w:pPr>
              <w:pStyle w:val="10"/>
              <w:spacing w:after="0" w:line="440" w:lineRule="exact"/>
              <w:ind w:firstLine="240" w:firstLineChars="1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4、供应商具有安全生产标准化认证证书的得1.5分；</w:t>
            </w:r>
          </w:p>
          <w:p w14:paraId="6F786951">
            <w:pPr>
              <w:pStyle w:val="10"/>
              <w:spacing w:after="0" w:line="440" w:lineRule="exact"/>
              <w:ind w:firstLine="240" w:firstLineChars="1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5、供应商具有环境卫生作业规范体系认证证书得1.5分；</w:t>
            </w:r>
          </w:p>
          <w:p w14:paraId="6D2FA504">
            <w:pPr>
              <w:pStyle w:val="10"/>
              <w:spacing w:after="0" w:line="440" w:lineRule="exact"/>
              <w:ind w:firstLine="240" w:firstLineChars="1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6、供应商具有企业社会责任管理体系认证证书得1.5分。</w:t>
            </w:r>
          </w:p>
          <w:p w14:paraId="294F868D">
            <w:pPr>
              <w:pStyle w:val="10"/>
              <w:spacing w:after="0" w:line="440" w:lineRule="exact"/>
              <w:ind w:firstLine="240" w:firstLineChars="1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供应商须提供证书扫描件及全国认证认可信息公共服务平台网站截图加盖公章，不提供不得分。</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5864C067">
            <w:pPr>
              <w:pStyle w:val="10"/>
              <w:spacing w:line="440" w:lineRule="exact"/>
              <w:ind w:firstLine="120" w:firstLineChars="5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9分</w:t>
            </w:r>
          </w:p>
        </w:tc>
      </w:tr>
    </w:tbl>
    <w:p w14:paraId="00810F98">
      <w:pPr>
        <w:spacing w:line="360" w:lineRule="auto"/>
        <w:ind w:firstLine="495"/>
        <w:rPr>
          <w:rFonts w:hint="eastAsia" w:ascii="宋体" w:hAnsi="宋体"/>
          <w:sz w:val="24"/>
        </w:rPr>
      </w:pPr>
    </w:p>
    <w:p w14:paraId="4FFB1B44">
      <w:pPr>
        <w:pStyle w:val="2"/>
        <w:pageBreakBefore/>
        <w:spacing w:before="0" w:after="0"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val="0"/>
          <w:sz w:val="24"/>
          <w:szCs w:val="24"/>
        </w:rPr>
        <w:t xml:space="preserve"> </w:t>
      </w:r>
      <w:bookmarkStart w:id="20" w:name="_Toc34746018"/>
      <w:r>
        <w:rPr>
          <w:rFonts w:hint="eastAsia" w:asciiTheme="minorEastAsia" w:hAnsiTheme="minorEastAsia" w:eastAsiaTheme="minorEastAsia" w:cstheme="minorEastAsia"/>
          <w:sz w:val="24"/>
          <w:szCs w:val="24"/>
        </w:rPr>
        <w:t>第五章 合同主要条款</w:t>
      </w:r>
      <w:bookmarkEnd w:id="20"/>
      <w:r>
        <w:rPr>
          <w:rFonts w:hint="eastAsia" w:asciiTheme="minorEastAsia" w:hAnsiTheme="minorEastAsia" w:eastAsiaTheme="minorEastAsia" w:cstheme="minorEastAsia"/>
          <w:b/>
          <w:sz w:val="24"/>
        </w:rPr>
        <w:t>（仅供参考）</w:t>
      </w:r>
    </w:p>
    <w:p w14:paraId="3346F88A">
      <w:pPr>
        <w:spacing w:line="360" w:lineRule="exact"/>
        <w:rPr>
          <w:rFonts w:asciiTheme="minorEastAsia" w:hAnsiTheme="minorEastAsia" w:eastAsiaTheme="minorEastAsia" w:cstheme="minorEastAsia"/>
          <w:sz w:val="24"/>
        </w:rPr>
      </w:pPr>
    </w:p>
    <w:p w14:paraId="61EB18DE">
      <w:pPr>
        <w:spacing w:line="360" w:lineRule="auto"/>
        <w:jc w:val="center"/>
        <w:outlineLvl w:val="1"/>
        <w:rPr>
          <w:rFonts w:hint="eastAsia" w:asciiTheme="minorEastAsia" w:hAnsiTheme="minorEastAsia" w:eastAsiaTheme="minorEastAsia" w:cstheme="minorEastAsia"/>
          <w:b/>
          <w:bCs/>
          <w:spacing w:val="-20"/>
          <w:sz w:val="24"/>
          <w:lang w:eastAsia="zh-CN"/>
        </w:rPr>
      </w:pPr>
      <w:r>
        <w:rPr>
          <w:rFonts w:hint="eastAsia" w:asciiTheme="minorEastAsia" w:hAnsiTheme="minorEastAsia" w:eastAsiaTheme="minorEastAsia" w:cstheme="minorEastAsia"/>
          <w:b/>
          <w:bCs/>
          <w:color w:val="000000"/>
          <w:sz w:val="24"/>
        </w:rPr>
        <w:t>财政审批编号：湖财采确临[2025]4426、4427号</w:t>
      </w:r>
      <w:r>
        <w:rPr>
          <w:rFonts w:hint="eastAsia" w:asciiTheme="minorEastAsia" w:hAnsiTheme="minorEastAsia" w:eastAsiaTheme="minorEastAsia" w:cstheme="minorEastAsia"/>
          <w:b/>
          <w:bCs/>
          <w:spacing w:val="-20"/>
          <w:sz w:val="24"/>
          <w:lang w:val="en-US" w:eastAsia="zh-CN"/>
        </w:rPr>
        <w:t xml:space="preserve">     </w:t>
      </w:r>
      <w:r>
        <w:rPr>
          <w:rFonts w:hint="eastAsia" w:asciiTheme="minorEastAsia" w:hAnsiTheme="minorEastAsia" w:eastAsiaTheme="minorEastAsia" w:cstheme="minorEastAsia"/>
          <w:b/>
          <w:bCs/>
          <w:spacing w:val="-20"/>
          <w:sz w:val="24"/>
        </w:rPr>
        <w:t>磋商文件编号：</w:t>
      </w:r>
      <w:r>
        <w:rPr>
          <w:rFonts w:hint="eastAsia" w:asciiTheme="minorEastAsia" w:hAnsiTheme="minorEastAsia" w:eastAsiaTheme="minorEastAsia" w:cstheme="minorEastAsia"/>
          <w:b/>
          <w:bCs/>
          <w:spacing w:val="-20"/>
          <w:sz w:val="24"/>
          <w:lang w:eastAsia="zh-CN"/>
        </w:rPr>
        <w:t>浙华采字【2025】hzf-6007号</w:t>
      </w:r>
    </w:p>
    <w:p w14:paraId="1CE4DC99">
      <w:pPr>
        <w:pStyle w:val="30"/>
        <w:rPr>
          <w:rFonts w:hint="eastAsia"/>
          <w:lang w:eastAsia="zh-CN"/>
        </w:rPr>
      </w:pPr>
    </w:p>
    <w:p w14:paraId="09839DD3">
      <w:pPr>
        <w:pStyle w:val="30"/>
        <w:rPr>
          <w:rFonts w:hint="eastAsia"/>
          <w:lang w:eastAsia="zh-CN"/>
        </w:rPr>
      </w:pPr>
    </w:p>
    <w:p w14:paraId="0DC08D45">
      <w:pPr>
        <w:spacing w:line="360" w:lineRule="auto"/>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1.定义</w:t>
      </w:r>
    </w:p>
    <w:p w14:paraId="0E2892F2">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本合同中的下列术语应解释为：</w:t>
      </w:r>
    </w:p>
    <w:p w14:paraId="2B88932D">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1.1“合同”系指供需双方签署的、合同格式中载明的供需双方所达成的协议，包括所有的附件、附录和构成合同的所有文件；</w:t>
      </w:r>
    </w:p>
    <w:p w14:paraId="4EB1BAE9">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1.2“合同价”系指根据合同规定，采购人在供应商完全履行合同义务后应付给的价格；</w:t>
      </w:r>
    </w:p>
    <w:p w14:paraId="7608DD81">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1.3“货物”系指供应商根据合同规定向采购人提供的一切货物、质量保证书和其他技术资料及技术参数；</w:t>
      </w:r>
    </w:p>
    <w:p w14:paraId="633B7D9E">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1.4“服务”系指根据合同规定供应商承担与供货有关的辅助服务，如运输、装卸、安装、保险以及其他的服务，例如安装、调试提供技术援助、培训和其他类似的义务；</w:t>
      </w:r>
    </w:p>
    <w:p w14:paraId="7136A12B">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1.5“采购人”系指</w:t>
      </w:r>
      <w:r>
        <w:rPr>
          <w:rFonts w:hint="eastAsia" w:asciiTheme="minorEastAsia" w:hAnsiTheme="minorEastAsia" w:eastAsiaTheme="minorEastAsia" w:cstheme="minorEastAsia"/>
          <w:bCs/>
          <w:sz w:val="24"/>
        </w:rPr>
        <w:t>具体使用货物和接受服务的使用单位；</w:t>
      </w:r>
    </w:p>
    <w:p w14:paraId="5AE539D0">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1.6“供应商”系指根据合同规定提供采购项目货物和服务的具有法人资格的公司、企业或实体；</w:t>
      </w:r>
    </w:p>
    <w:p w14:paraId="647689A3">
      <w:pPr>
        <w:spacing w:line="440" w:lineRule="exact"/>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2.合同项目与内容</w:t>
      </w:r>
    </w:p>
    <w:p w14:paraId="5900BB5D">
      <w:pPr>
        <w:spacing w:line="440" w:lineRule="exact"/>
        <w:ind w:firstLine="840" w:firstLineChars="35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环卫小型设施设备养护及保障服务项目</w:t>
      </w:r>
    </w:p>
    <w:p w14:paraId="773BCA8F">
      <w:pPr>
        <w:spacing w:line="440" w:lineRule="exact"/>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3.服务时间与服务地点</w:t>
      </w:r>
    </w:p>
    <w:p w14:paraId="185C5321">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服务时间：详见磋商文件要求；</w:t>
      </w:r>
    </w:p>
    <w:p w14:paraId="5A113612">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服务地点：由采购单位指定。</w:t>
      </w:r>
    </w:p>
    <w:p w14:paraId="0AB1003F">
      <w:pPr>
        <w:spacing w:line="440" w:lineRule="exact"/>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4.签署合同的要求</w:t>
      </w:r>
    </w:p>
    <w:p w14:paraId="02628EFD">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4.1、供应商必须按照投标文件和询标过程中承诺的条款以及成交通知书中规定的时间、地点与采购人签订合同；</w:t>
      </w:r>
    </w:p>
    <w:p w14:paraId="0CA4C1FE">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4.2、所签订的合同内容不得对招标文件和供应商的投标文件作实质性修改；</w:t>
      </w:r>
    </w:p>
    <w:p w14:paraId="217BB9E2">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4.3、采购人不得向供应商提出任何不合理的要求，作为签订合同的条件，不得与供应商私下订立背离合同实质性内容的协议；</w:t>
      </w:r>
    </w:p>
    <w:p w14:paraId="5F15C3E8">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4.4、自采购合同签订之日起 7个工作日内，将采购合同副本</w:t>
      </w:r>
      <w:r>
        <w:rPr>
          <w:rFonts w:hint="eastAsia" w:asciiTheme="minorEastAsia" w:hAnsiTheme="minorEastAsia" w:eastAsiaTheme="minorEastAsia" w:cstheme="minorEastAsia"/>
          <w:bCs/>
          <w:sz w:val="24"/>
          <w:lang w:val="en-US" w:eastAsia="zh-CN"/>
        </w:rPr>
        <w:t>1</w:t>
      </w:r>
      <w:r>
        <w:rPr>
          <w:rFonts w:hint="eastAsia" w:asciiTheme="minorEastAsia" w:hAnsiTheme="minorEastAsia" w:eastAsiaTheme="minorEastAsia" w:cstheme="minorEastAsia"/>
          <w:bCs/>
          <w:sz w:val="24"/>
        </w:rPr>
        <w:t>份送本项目招标代理机构备案。</w:t>
      </w:r>
    </w:p>
    <w:p w14:paraId="7E13B637">
      <w:pPr>
        <w:spacing w:line="440" w:lineRule="exact"/>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5.技术规范</w:t>
      </w:r>
    </w:p>
    <w:p w14:paraId="48809A97">
      <w:pPr>
        <w:spacing w:line="440" w:lineRule="exact"/>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本合同执行国家及本省、市现行项目实施及验收规范及有关条例、实施办法等。</w:t>
      </w:r>
    </w:p>
    <w:p w14:paraId="679EDACC">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提供和交付的服务技术规范应与招标文件规定的技术规范相一致。</w:t>
      </w:r>
    </w:p>
    <w:p w14:paraId="51300B6B">
      <w:pPr>
        <w:spacing w:line="440" w:lineRule="exact"/>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6.知识产权</w:t>
      </w:r>
    </w:p>
    <w:p w14:paraId="3A3C8B30">
      <w:pPr>
        <w:spacing w:line="44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sz w:val="24"/>
        </w:rPr>
        <w:t>供应</w:t>
      </w:r>
      <w:r>
        <w:rPr>
          <w:rFonts w:hint="eastAsia" w:asciiTheme="minorEastAsia" w:hAnsiTheme="minorEastAsia" w:eastAsiaTheme="minorEastAsia" w:cstheme="minorEastAsia"/>
          <w:color w:val="auto"/>
          <w:sz w:val="24"/>
        </w:rPr>
        <w:t>商保证所提供的服务及货物均不存在知识产权纠纷。供应商应保证采购人在使用时不受第三方提出侵犯其专利权、商标权等知识产权的诉讼。</w:t>
      </w:r>
    </w:p>
    <w:p w14:paraId="284A75FB">
      <w:pPr>
        <w:spacing w:line="440" w:lineRule="exact"/>
        <w:outlineLvl w:val="1"/>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7.</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
          <w:bCs/>
          <w:color w:val="auto"/>
          <w:sz w:val="24"/>
        </w:rPr>
        <w:t>工作考核及付款方式</w:t>
      </w:r>
    </w:p>
    <w:p w14:paraId="46BCF92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 w:val="24"/>
          <w:highlight w:val="none"/>
          <w:lang w:eastAsia="zh-CN"/>
        </w:rPr>
      </w:pPr>
      <w:r>
        <w:rPr>
          <w:rFonts w:hint="eastAsia" w:ascii="宋体" w:hAnsi="宋体" w:cs="宋体"/>
          <w:sz w:val="24"/>
          <w:highlight w:val="none"/>
          <w:lang w:eastAsia="zh-CN"/>
        </w:rPr>
        <w:t>合同签订之日后七个工作日内(预付款)</w:t>
      </w:r>
      <w:r>
        <w:rPr>
          <w:rFonts w:hint="eastAsia" w:ascii="宋体" w:hAnsi="宋体" w:cs="宋体"/>
          <w:sz w:val="24"/>
          <w:highlight w:val="none"/>
          <w:lang w:eastAsia="zh-CN"/>
        </w:rPr>
        <w:tab/>
      </w:r>
      <w:r>
        <w:rPr>
          <w:rFonts w:hint="eastAsia" w:ascii="宋体" w:hAnsi="宋体" w:cs="宋体"/>
          <w:sz w:val="24"/>
          <w:highlight w:val="none"/>
          <w:lang w:eastAsia="zh-CN"/>
        </w:rPr>
        <w:t>合同金额的70%</w:t>
      </w:r>
      <w:r>
        <w:rPr>
          <w:rFonts w:hint="eastAsia" w:ascii="宋体" w:hAnsi="宋体" w:cs="宋体"/>
          <w:sz w:val="24"/>
          <w:highlight w:val="none"/>
          <w:lang w:eastAsia="zh-CN"/>
        </w:rPr>
        <w:tab/>
      </w:r>
      <w:r>
        <w:rPr>
          <w:rFonts w:hint="eastAsia" w:ascii="宋体" w:hAnsi="宋体" w:cs="宋体"/>
          <w:sz w:val="24"/>
          <w:highlight w:val="none"/>
          <w:lang w:eastAsia="zh-CN"/>
        </w:rPr>
        <w:t>；2025年11月30日前，支付合同金额的30%（</w:t>
      </w:r>
      <w:r>
        <w:rPr>
          <w:rFonts w:hint="eastAsia" w:ascii="宋体" w:hAnsi="宋体" w:cs="宋体"/>
          <w:sz w:val="24"/>
          <w:highlight w:val="none"/>
        </w:rPr>
        <w:t>扣除考核处罚金等相关费用后结算</w:t>
      </w:r>
      <w:r>
        <w:rPr>
          <w:rFonts w:hint="eastAsia" w:ascii="宋体" w:hAnsi="宋体" w:cs="宋体"/>
          <w:sz w:val="24"/>
          <w:highlight w:val="none"/>
          <w:lang w:eastAsia="zh-CN"/>
        </w:rPr>
        <w:t>）。</w:t>
      </w:r>
    </w:p>
    <w:p w14:paraId="0799AA9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napToGrid w:val="0"/>
          <w:color w:val="auto"/>
          <w:kern w:val="0"/>
          <w:sz w:val="24"/>
          <w:szCs w:val="24"/>
          <w:highlight w:val="none"/>
          <w:shd w:val="clear" w:color="auto" w:fill="auto"/>
          <w:lang w:val="en-US" w:eastAsia="zh-CN" w:bidi="ar-SA"/>
        </w:rPr>
      </w:pPr>
      <w:r>
        <w:rPr>
          <w:rFonts w:hint="eastAsia" w:ascii="宋体" w:hAnsi="宋体" w:eastAsia="宋体" w:cs="宋体"/>
          <w:snapToGrid w:val="0"/>
          <w:color w:val="auto"/>
          <w:kern w:val="0"/>
          <w:sz w:val="24"/>
          <w:szCs w:val="24"/>
          <w:highlight w:val="none"/>
          <w:shd w:val="clear" w:color="auto" w:fill="auto"/>
          <w:lang w:val="en-US" w:eastAsia="zh-CN" w:bidi="ar-SA"/>
        </w:rPr>
        <w:t>注：成交供应商明确表示无需预付款或者主动要求降低预付款比例的，采购人可不适用前述规定。</w:t>
      </w:r>
    </w:p>
    <w:p w14:paraId="1BE1C778">
      <w:pPr>
        <w:spacing w:line="440" w:lineRule="exact"/>
        <w:outlineLvl w:val="1"/>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highlight w:val="none"/>
        </w:rPr>
        <w:t>8.支付</w:t>
      </w:r>
      <w:r>
        <w:rPr>
          <w:rFonts w:hint="eastAsia" w:asciiTheme="minorEastAsia" w:hAnsiTheme="minorEastAsia" w:eastAsiaTheme="minorEastAsia" w:cstheme="minorEastAsia"/>
          <w:color w:val="auto"/>
          <w:sz w:val="24"/>
          <w:highlight w:val="none"/>
        </w:rPr>
        <w:t>：支付应使用人民</w:t>
      </w:r>
      <w:r>
        <w:rPr>
          <w:rFonts w:hint="eastAsia" w:asciiTheme="minorEastAsia" w:hAnsiTheme="minorEastAsia" w:eastAsiaTheme="minorEastAsia" w:cstheme="minorEastAsia"/>
          <w:color w:val="auto"/>
          <w:sz w:val="24"/>
        </w:rPr>
        <w:t>币；</w:t>
      </w:r>
    </w:p>
    <w:p w14:paraId="4689F2FB">
      <w:pPr>
        <w:spacing w:line="440" w:lineRule="exact"/>
        <w:outlineLvl w:val="1"/>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9.技术服务</w:t>
      </w:r>
    </w:p>
    <w:p w14:paraId="2DB417D7">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供应商应负责安排采购人相关人员进行操作、维修的培训。具体时间及培训内容在投标时由供应商提出建议；</w:t>
      </w:r>
    </w:p>
    <w:p w14:paraId="06724A93">
      <w:pPr>
        <w:spacing w:line="440" w:lineRule="exact"/>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10.售后服务及承诺</w:t>
      </w:r>
    </w:p>
    <w:p w14:paraId="26930510">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10.1供应商应明确承诺售后服务各项内容和措施，提供详细的服务地点、联系人、电话等有关资料；</w:t>
      </w:r>
    </w:p>
    <w:p w14:paraId="48C4E53D">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10.2</w:t>
      </w:r>
      <w:r>
        <w:rPr>
          <w:rFonts w:hint="eastAsia" w:asciiTheme="minorEastAsia" w:hAnsiTheme="minorEastAsia" w:eastAsiaTheme="minorEastAsia" w:cstheme="minorEastAsia"/>
          <w:b/>
          <w:bCs/>
          <w:sz w:val="24"/>
        </w:rPr>
        <w:t>服务期：详见招标文件要求</w:t>
      </w:r>
      <w:r>
        <w:rPr>
          <w:rFonts w:hint="eastAsia" w:asciiTheme="minorEastAsia" w:hAnsiTheme="minorEastAsia" w:eastAsiaTheme="minorEastAsia" w:cstheme="minorEastAsia"/>
          <w:bCs/>
          <w:sz w:val="24"/>
        </w:rPr>
        <w:t>。在服务期内，因服务质量所发生的一切费用均由供应商承担；</w:t>
      </w:r>
    </w:p>
    <w:p w14:paraId="40EF2F19">
      <w:pPr>
        <w:spacing w:line="440" w:lineRule="exact"/>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11.履约保证及后续服务</w:t>
      </w:r>
    </w:p>
    <w:p w14:paraId="3C101387">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11.1 供应商应按招标文件规定的服务标准向采购人提供服务。</w:t>
      </w:r>
    </w:p>
    <w:p w14:paraId="18F23843">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11.2如采购人检查发现供应商提供</w:t>
      </w:r>
      <w:r>
        <w:rPr>
          <w:rFonts w:hint="eastAsia" w:asciiTheme="minorEastAsia" w:hAnsiTheme="minorEastAsia" w:eastAsiaTheme="minorEastAsia" w:cstheme="minorEastAsia"/>
          <w:bCs/>
          <w:sz w:val="24"/>
          <w:lang w:eastAsia="zh-CN"/>
        </w:rPr>
        <w:t>服务</w:t>
      </w:r>
      <w:r>
        <w:rPr>
          <w:rFonts w:hint="eastAsia" w:asciiTheme="minorEastAsia" w:hAnsiTheme="minorEastAsia" w:eastAsiaTheme="minorEastAsia" w:cstheme="minorEastAsia"/>
          <w:bCs/>
          <w:sz w:val="24"/>
        </w:rPr>
        <w:t>务不符合标准要求，供应商应立即进行整改，直到符合要求为止。</w:t>
      </w:r>
    </w:p>
    <w:p w14:paraId="4E42E320">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11.3供应商提供的服务人员不符合本合同约定的数额，供应商应当自接到采购人通知之日起2日内予以补足。</w:t>
      </w:r>
    </w:p>
    <w:p w14:paraId="5CDC812E">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11.4由于供应商服务人员原因在服务工作中给采购人的设施、材料造成损失，供应商应负责赔偿。</w:t>
      </w:r>
    </w:p>
    <w:p w14:paraId="28893246">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11.5 在使用过程中发生问题，供应商在接到采购人通知后在    小时内到达采购人现场。</w:t>
      </w:r>
    </w:p>
    <w:p w14:paraId="59238316">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11.6 在服务质量保证期内，供应商应对出现的服务质量及安全问题负责处理解决并承担一切费用。</w:t>
      </w:r>
    </w:p>
    <w:p w14:paraId="5302A593">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11.7 在本合同履行完毕后，采购人扣除供应商在履约过程中产生的本合同涉及的相关赔偿金额。</w:t>
      </w:r>
    </w:p>
    <w:p w14:paraId="4127671E">
      <w:pPr>
        <w:spacing w:line="440" w:lineRule="exact"/>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12.违约责任</w:t>
      </w:r>
    </w:p>
    <w:p w14:paraId="1C7CD240">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12.1 采购人无正当理由拒收接受服务的，采购人向供应商偿付合同款项百分之五作为违约金。</w:t>
      </w:r>
    </w:p>
    <w:p w14:paraId="316CA6AC">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12.2 采购人无故逾期验收和办理款项支付手续的,采购人应按逾期付款总额每日万分之五向供应商支付违约金。</w:t>
      </w:r>
    </w:p>
    <w:p w14:paraId="732583A2">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5DB5893C">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12.4</w:t>
      </w:r>
      <w:r>
        <w:rPr>
          <w:rFonts w:hint="eastAsia" w:asciiTheme="minorEastAsia" w:hAnsiTheme="minorEastAsia" w:eastAsiaTheme="minorEastAsia" w:cstheme="minorEastAsia"/>
          <w:sz w:val="24"/>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r>
        <w:rPr>
          <w:rFonts w:hint="eastAsia" w:asciiTheme="minorEastAsia" w:hAnsiTheme="minorEastAsia" w:eastAsiaTheme="minorEastAsia" w:cstheme="minorEastAsia"/>
          <w:bCs/>
          <w:sz w:val="24"/>
        </w:rPr>
        <w:t xml:space="preserve"> </w:t>
      </w:r>
    </w:p>
    <w:p w14:paraId="510E55A8">
      <w:pPr>
        <w:spacing w:line="440" w:lineRule="exact"/>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13.不可抗力事件处理</w:t>
      </w:r>
    </w:p>
    <w:p w14:paraId="285D9DB7">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13.1 在合同有效期内，任何一方因不可抗力事件导致不能履行合同，则合同履行期可延长，其延长期与不可抗力影响期相同。</w:t>
      </w:r>
    </w:p>
    <w:p w14:paraId="13BF4249">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13.2 不可抗力事件发生后，应立即通知对方，并寄送有关权威机构出具的证明。</w:t>
      </w:r>
    </w:p>
    <w:p w14:paraId="699B1928">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13.3 不可抗力事件延续120天以上，双方应通过友好协商，确定是否继续履行合同。</w:t>
      </w:r>
    </w:p>
    <w:p w14:paraId="16571488">
      <w:pPr>
        <w:spacing w:line="440" w:lineRule="exact"/>
        <w:outlineLvl w:val="1"/>
        <w:rPr>
          <w:rFonts w:asciiTheme="minorEastAsia" w:hAnsiTheme="minorEastAsia" w:eastAsiaTheme="minorEastAsia" w:cstheme="minorEastAsia"/>
          <w:bCs/>
          <w:sz w:val="24"/>
        </w:rPr>
      </w:pPr>
      <w:r>
        <w:rPr>
          <w:rFonts w:hint="eastAsia" w:asciiTheme="minorEastAsia" w:hAnsiTheme="minorEastAsia" w:eastAsiaTheme="minorEastAsia" w:cstheme="minorEastAsia"/>
          <w:b/>
          <w:bCs/>
          <w:sz w:val="24"/>
        </w:rPr>
        <w:t>14.</w:t>
      </w:r>
      <w:r>
        <w:rPr>
          <w:rFonts w:hint="eastAsia" w:asciiTheme="minorEastAsia" w:hAnsiTheme="minorEastAsia" w:eastAsiaTheme="minorEastAsia" w:cstheme="minorEastAsia"/>
          <w:bCs/>
          <w:sz w:val="24"/>
        </w:rPr>
        <w:t xml:space="preserve"> </w:t>
      </w:r>
      <w:r>
        <w:rPr>
          <w:rFonts w:hint="eastAsia" w:asciiTheme="minorEastAsia" w:hAnsiTheme="minorEastAsia" w:eastAsiaTheme="minorEastAsia" w:cstheme="minorEastAsia"/>
          <w:b/>
          <w:bCs/>
          <w:sz w:val="24"/>
        </w:rPr>
        <w:t>争议解决</w:t>
      </w:r>
    </w:p>
    <w:p w14:paraId="6A573075">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14.1在执行本合同中所发生的或与本合同有关的一切争端，合同双方应通过友好协商解决，经过协商仍不能解决，双方选择通过下列第x种方式解决：</w:t>
      </w:r>
    </w:p>
    <w:p w14:paraId="12A08855">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（1）将争端提交湖州仲裁委员会仲裁</w:t>
      </w:r>
    </w:p>
    <w:p w14:paraId="136E10B0">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（2）直接向采购人所在地有管辖权的人民法院起诉。</w:t>
      </w:r>
    </w:p>
    <w:p w14:paraId="435A0458">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14.2仲裁费用或诉讼费用应由败诉方负担。</w:t>
      </w:r>
    </w:p>
    <w:p w14:paraId="639991B9">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14.3在仲裁或诉讼期间，除进行仲裁或诉讼的部分外，本合同其它部分应继续执行。</w:t>
      </w:r>
    </w:p>
    <w:p w14:paraId="45636FE1">
      <w:pPr>
        <w:spacing w:line="440" w:lineRule="exact"/>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15.转让或分包</w:t>
      </w:r>
    </w:p>
    <w:p w14:paraId="5B7A86B5">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15.1本合同范围的服务，应由供应商提供，不得转让他人供应；</w:t>
      </w:r>
    </w:p>
    <w:p w14:paraId="158A77EB">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4B22ABE1">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15.3本合同全部或部分的分包不能减轻供应商承担的责任，供应商仍须将分包人的任何行动、错误或疏忽当作是自己完成的并负全责；</w:t>
      </w:r>
    </w:p>
    <w:p w14:paraId="605DCEB3">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15.4在任何分包合同中，须注明分包人按分包合同的范围履行，在供应商按本合同的履行终止时（不论任何原因），亦同时一并终止；</w:t>
      </w:r>
    </w:p>
    <w:p w14:paraId="6DB10912">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15.5如有转让和未经采购人同意的分包行为，采购人有权给予终止合同。</w:t>
      </w:r>
    </w:p>
    <w:p w14:paraId="29795FFC">
      <w:pPr>
        <w:spacing w:line="440" w:lineRule="exact"/>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16.适用法律</w:t>
      </w:r>
    </w:p>
    <w:p w14:paraId="571F1C8A">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合同适用法律有《中华人民共和国政府采购法》、《中华人民共和国</w:t>
      </w:r>
      <w:r>
        <w:rPr>
          <w:rFonts w:hint="eastAsia" w:asciiTheme="minorEastAsia" w:hAnsiTheme="minorEastAsia" w:eastAsiaTheme="minorEastAsia" w:cstheme="minorEastAsia"/>
          <w:sz w:val="24"/>
          <w:lang w:eastAsia="zh-CN"/>
        </w:rPr>
        <w:t>民法典</w:t>
      </w:r>
      <w:r>
        <w:rPr>
          <w:rFonts w:hint="eastAsia" w:asciiTheme="minorEastAsia" w:hAnsiTheme="minorEastAsia" w:eastAsiaTheme="minorEastAsia" w:cstheme="minorEastAsia"/>
          <w:sz w:val="24"/>
        </w:rPr>
        <w:t>》和浙江省有关条例等。</w:t>
      </w:r>
    </w:p>
    <w:p w14:paraId="110E26CC">
      <w:pPr>
        <w:spacing w:line="440" w:lineRule="exact"/>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17.合同生效及其他</w:t>
      </w:r>
    </w:p>
    <w:p w14:paraId="0CE663D2">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17.1本合同经双方法人及法定代表人签字盖章生效；</w:t>
      </w:r>
    </w:p>
    <w:p w14:paraId="68526CE6">
      <w:pPr>
        <w:spacing w:line="4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17.2本合同一式</w:t>
      </w:r>
      <w:r>
        <w:rPr>
          <w:rFonts w:hint="eastAsia" w:asciiTheme="minorEastAsia" w:hAnsiTheme="minorEastAsia" w:eastAsiaTheme="minorEastAsia" w:cstheme="minorEastAsia"/>
          <w:bCs/>
          <w:sz w:val="24"/>
          <w:lang w:eastAsia="zh-CN"/>
        </w:rPr>
        <w:t>伍</w:t>
      </w:r>
      <w:r>
        <w:rPr>
          <w:rFonts w:hint="eastAsia" w:asciiTheme="minorEastAsia" w:hAnsiTheme="minorEastAsia" w:eastAsiaTheme="minorEastAsia" w:cstheme="minorEastAsia"/>
          <w:bCs/>
          <w:sz w:val="24"/>
        </w:rPr>
        <w:t>份，供应商、采购人各执贰份；采购</w:t>
      </w:r>
      <w:r>
        <w:rPr>
          <w:rFonts w:hint="eastAsia" w:asciiTheme="minorEastAsia" w:hAnsiTheme="minorEastAsia" w:eastAsiaTheme="minorEastAsia" w:cstheme="minorEastAsia"/>
          <w:bCs/>
          <w:sz w:val="24"/>
          <w:lang w:eastAsia="zh-CN"/>
        </w:rPr>
        <w:t>代理</w:t>
      </w:r>
      <w:r>
        <w:rPr>
          <w:rFonts w:hint="eastAsia" w:asciiTheme="minorEastAsia" w:hAnsiTheme="minorEastAsia" w:eastAsiaTheme="minorEastAsia" w:cstheme="minorEastAsia"/>
          <w:bCs/>
          <w:sz w:val="24"/>
        </w:rPr>
        <w:t>机构一份</w:t>
      </w:r>
      <w:r>
        <w:rPr>
          <w:rFonts w:hint="eastAsia" w:asciiTheme="minorEastAsia" w:hAnsiTheme="minorEastAsia" w:eastAsiaTheme="minorEastAsia" w:cstheme="minorEastAsia"/>
          <w:bCs/>
          <w:sz w:val="24"/>
          <w:lang w:eastAsia="zh-CN"/>
        </w:rPr>
        <w:t>（系统备案）</w:t>
      </w:r>
      <w:r>
        <w:rPr>
          <w:rFonts w:hint="eastAsia" w:asciiTheme="minorEastAsia" w:hAnsiTheme="minorEastAsia" w:eastAsiaTheme="minorEastAsia" w:cstheme="minorEastAsia"/>
          <w:bCs/>
          <w:sz w:val="24"/>
        </w:rPr>
        <w:t>。</w:t>
      </w:r>
    </w:p>
    <w:p w14:paraId="585FF50F">
      <w:pPr>
        <w:spacing w:line="400" w:lineRule="exact"/>
        <w:rPr>
          <w:rFonts w:asciiTheme="minorEastAsia" w:hAnsiTheme="minorEastAsia" w:eastAsiaTheme="minorEastAsia" w:cstheme="minorEastAsia"/>
          <w:bCs/>
          <w:sz w:val="24"/>
        </w:rPr>
      </w:pPr>
    </w:p>
    <w:p w14:paraId="47C222C7">
      <w:pPr>
        <w:spacing w:line="4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采购人：                          供应商： </w:t>
      </w:r>
    </w:p>
    <w:p w14:paraId="1E943682">
      <w:pPr>
        <w:spacing w:line="400" w:lineRule="exact"/>
        <w:ind w:firstLine="480" w:firstLineChars="200"/>
        <w:rPr>
          <w:rFonts w:asciiTheme="minorEastAsia" w:hAnsiTheme="minorEastAsia" w:eastAsiaTheme="minorEastAsia" w:cstheme="minorEastAsia"/>
          <w:bCs/>
          <w:sz w:val="24"/>
        </w:rPr>
      </w:pPr>
    </w:p>
    <w:p w14:paraId="3F366458">
      <w:pPr>
        <w:spacing w:line="4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地址：                            地址： </w:t>
      </w:r>
    </w:p>
    <w:p w14:paraId="37FC1CE6">
      <w:pPr>
        <w:spacing w:line="400" w:lineRule="exact"/>
        <w:ind w:firstLine="480" w:firstLineChars="200"/>
        <w:rPr>
          <w:rFonts w:asciiTheme="minorEastAsia" w:hAnsiTheme="minorEastAsia" w:eastAsiaTheme="minorEastAsia" w:cstheme="minorEastAsia"/>
          <w:bCs/>
          <w:sz w:val="24"/>
        </w:rPr>
      </w:pPr>
    </w:p>
    <w:p w14:paraId="3F62400C">
      <w:pPr>
        <w:spacing w:line="4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法定（或授权）代表人：            法定（或授权）代表人：</w:t>
      </w:r>
    </w:p>
    <w:p w14:paraId="53CA00A6">
      <w:pPr>
        <w:spacing w:line="400" w:lineRule="exact"/>
        <w:ind w:firstLine="56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14:paraId="3A13B129">
      <w:pPr>
        <w:pStyle w:val="2"/>
        <w:spacing w:line="400" w:lineRule="exact"/>
        <w:rPr>
          <w:rFonts w:asciiTheme="minorEastAsia" w:hAnsiTheme="minorEastAsia" w:eastAsiaTheme="minorEastAsia" w:cstheme="minorEastAsia"/>
          <w:b w:val="0"/>
          <w:kern w:val="2"/>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val="0"/>
          <w:kern w:val="2"/>
          <w:sz w:val="24"/>
          <w:szCs w:val="24"/>
        </w:rPr>
        <w:t>开户行：</w:t>
      </w:r>
    </w:p>
    <w:p w14:paraId="365CA03E">
      <w:pPr>
        <w:pStyle w:val="2"/>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val="0"/>
          <w:kern w:val="2"/>
          <w:sz w:val="24"/>
          <w:szCs w:val="24"/>
        </w:rPr>
        <w:t xml:space="preserve">            开户账号：</w:t>
      </w:r>
    </w:p>
    <w:p w14:paraId="557CD446">
      <w:pPr>
        <w:spacing w:line="400" w:lineRule="exact"/>
        <w:ind w:firstLine="56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签字日期：   年  月  日</w:t>
      </w:r>
    </w:p>
    <w:p w14:paraId="6F7F5502">
      <w:pPr>
        <w:jc w:val="right"/>
      </w:pPr>
    </w:p>
    <w:p w14:paraId="40D053F3">
      <w:pPr>
        <w:pStyle w:val="2"/>
        <w:pageBreakBefore/>
        <w:spacing w:line="579" w:lineRule="auto"/>
        <w:jc w:val="center"/>
        <w:rPr>
          <w:rFonts w:ascii="宋体" w:hAnsi="宋体" w:cs="宋体"/>
          <w:sz w:val="32"/>
          <w:szCs w:val="32"/>
        </w:rPr>
      </w:pPr>
      <w:bookmarkStart w:id="21" w:name="_Toc34746019"/>
      <w:r>
        <w:rPr>
          <w:rFonts w:hint="eastAsia" w:ascii="宋体" w:hAnsi="宋体" w:cs="宋体"/>
          <w:sz w:val="32"/>
          <w:szCs w:val="32"/>
        </w:rPr>
        <w:t>第六章  响应文件格式</w:t>
      </w:r>
      <w:bookmarkEnd w:id="21"/>
    </w:p>
    <w:p w14:paraId="4BE606A3">
      <w:pPr>
        <w:widowControl/>
        <w:autoSpaceDE w:val="0"/>
        <w:autoSpaceDN w:val="0"/>
        <w:snapToGrid w:val="0"/>
        <w:spacing w:line="440" w:lineRule="exact"/>
        <w:ind w:firstLine="480" w:firstLineChars="200"/>
        <w:jc w:val="left"/>
        <w:textAlignment w:val="bottom"/>
        <w:rPr>
          <w:rFonts w:ascii="宋体" w:hAnsi="宋体" w:cs="宋体"/>
          <w:bCs/>
          <w:sz w:val="24"/>
        </w:rPr>
      </w:pPr>
      <w:r>
        <w:rPr>
          <w:rFonts w:hint="eastAsia" w:ascii="宋体" w:hAnsi="宋体" w:cs="宋体"/>
          <w:bCs/>
          <w:sz w:val="24"/>
        </w:rPr>
        <w:t>本章节内容提供部分响应文件格式，磋商文件中要求，但未提供格式的，须由供应商自行制作。</w:t>
      </w:r>
    </w:p>
    <w:p w14:paraId="14A2D6F1">
      <w:pPr>
        <w:ind w:firstLine="570"/>
        <w:jc w:val="center"/>
        <w:rPr>
          <w:rFonts w:ascii="宋体" w:hAnsi="宋体" w:cs="宋体"/>
          <w:sz w:val="32"/>
          <w:szCs w:val="32"/>
        </w:rPr>
      </w:pPr>
      <w:r>
        <w:rPr>
          <w:rFonts w:hint="eastAsia" w:ascii="宋体" w:hAnsi="宋体" w:cs="宋体"/>
          <w:b/>
          <w:sz w:val="32"/>
          <w:szCs w:val="32"/>
        </w:rPr>
        <w:t>一、资格证明文件格式</w:t>
      </w:r>
    </w:p>
    <w:p w14:paraId="36C86C94">
      <w:pPr>
        <w:ind w:firstLine="570"/>
        <w:rPr>
          <w:rFonts w:ascii="宋体" w:hAnsi="宋体" w:cs="宋体"/>
          <w:sz w:val="28"/>
          <w:szCs w:val="28"/>
        </w:rPr>
      </w:pPr>
    </w:p>
    <w:p w14:paraId="466AF54A">
      <w:pPr>
        <w:ind w:firstLine="570"/>
        <w:rPr>
          <w:rFonts w:ascii="宋体" w:hAnsi="宋体" w:cs="宋体"/>
          <w:sz w:val="28"/>
          <w:szCs w:val="28"/>
        </w:rPr>
      </w:pPr>
      <w:r>
        <w:rPr>
          <w:rFonts w:hint="eastAsia" w:ascii="宋体" w:hAnsi="宋体" w:cs="宋体"/>
          <w:sz w:val="28"/>
          <w:szCs w:val="28"/>
        </w:rPr>
        <w:t>1、资格证明文件的封面格式：</w:t>
      </w:r>
    </w:p>
    <w:p w14:paraId="26D3E308">
      <w:pPr>
        <w:pStyle w:val="2"/>
      </w:pPr>
    </w:p>
    <w:p w14:paraId="76555EF5">
      <w:pPr>
        <w:ind w:firstLine="570"/>
        <w:jc w:val="center"/>
        <w:rPr>
          <w:rFonts w:ascii="宋体" w:hAnsi="宋体" w:cs="宋体"/>
          <w:b/>
          <w:sz w:val="84"/>
          <w:szCs w:val="84"/>
        </w:rPr>
      </w:pPr>
      <w:r>
        <w:rPr>
          <w:rFonts w:hint="eastAsia" w:ascii="宋体" w:hAnsi="宋体" w:cs="宋体"/>
          <w:b/>
          <w:sz w:val="84"/>
          <w:szCs w:val="84"/>
        </w:rPr>
        <w:t>响应文件</w:t>
      </w:r>
    </w:p>
    <w:p w14:paraId="4A3C6680">
      <w:pPr>
        <w:ind w:firstLine="570"/>
        <w:jc w:val="center"/>
        <w:rPr>
          <w:rFonts w:ascii="宋体" w:hAnsi="宋体" w:cs="宋体"/>
          <w:b/>
          <w:sz w:val="84"/>
          <w:szCs w:val="84"/>
        </w:rPr>
      </w:pPr>
      <w:r>
        <w:rPr>
          <w:rFonts w:hint="eastAsia" w:ascii="宋体" w:hAnsi="宋体" w:cs="宋体"/>
          <w:b/>
          <w:sz w:val="30"/>
          <w:szCs w:val="30"/>
        </w:rPr>
        <w:t>（资格证明文件）</w:t>
      </w:r>
    </w:p>
    <w:p w14:paraId="0296FEE0">
      <w:pPr>
        <w:ind w:firstLine="570"/>
        <w:jc w:val="center"/>
        <w:rPr>
          <w:rFonts w:ascii="宋体" w:hAnsi="宋体" w:cs="宋体"/>
          <w:b/>
          <w:sz w:val="84"/>
          <w:szCs w:val="84"/>
        </w:rPr>
      </w:pPr>
    </w:p>
    <w:p w14:paraId="1A87C2FC">
      <w:pPr>
        <w:spacing w:line="800" w:lineRule="exact"/>
        <w:ind w:firstLine="570"/>
        <w:rPr>
          <w:rFonts w:ascii="宋体" w:hAnsi="宋体" w:cs="宋体"/>
          <w:sz w:val="28"/>
          <w:szCs w:val="28"/>
        </w:rPr>
      </w:pPr>
      <w:r>
        <w:rPr>
          <w:rFonts w:hint="eastAsia" w:ascii="宋体" w:hAnsi="宋体" w:cs="宋体"/>
          <w:sz w:val="28"/>
          <w:szCs w:val="28"/>
        </w:rPr>
        <w:t>项目名称：</w:t>
      </w:r>
    </w:p>
    <w:p w14:paraId="1BE6D625">
      <w:pPr>
        <w:spacing w:line="800" w:lineRule="exact"/>
        <w:ind w:firstLine="570"/>
        <w:rPr>
          <w:rFonts w:ascii="宋体" w:hAnsi="宋体" w:cs="宋体"/>
          <w:sz w:val="28"/>
          <w:szCs w:val="28"/>
        </w:rPr>
      </w:pPr>
      <w:r>
        <w:rPr>
          <w:rFonts w:hint="eastAsia" w:ascii="宋体" w:hAnsi="宋体" w:cs="宋体"/>
          <w:sz w:val="28"/>
          <w:szCs w:val="28"/>
        </w:rPr>
        <w:t>项目编号：</w:t>
      </w:r>
    </w:p>
    <w:p w14:paraId="0ED895C6">
      <w:pPr>
        <w:spacing w:line="800" w:lineRule="exact"/>
        <w:ind w:firstLine="570"/>
        <w:rPr>
          <w:rFonts w:ascii="宋体" w:hAnsi="宋体" w:cs="宋体"/>
          <w:sz w:val="28"/>
          <w:szCs w:val="28"/>
        </w:rPr>
      </w:pPr>
      <w:r>
        <w:rPr>
          <w:rFonts w:hint="eastAsia" w:ascii="宋体" w:hAnsi="宋体" w:cs="宋体"/>
          <w:sz w:val="28"/>
          <w:szCs w:val="28"/>
        </w:rPr>
        <w:t>标项：</w:t>
      </w:r>
    </w:p>
    <w:p w14:paraId="5D59CF8E">
      <w:pPr>
        <w:spacing w:line="800" w:lineRule="exact"/>
        <w:ind w:firstLine="570"/>
        <w:rPr>
          <w:rFonts w:ascii="宋体" w:hAnsi="宋体" w:cs="宋体"/>
          <w:sz w:val="28"/>
          <w:szCs w:val="28"/>
        </w:rPr>
      </w:pPr>
      <w:r>
        <w:rPr>
          <w:rFonts w:hint="eastAsia" w:ascii="宋体" w:hAnsi="宋体" w:cs="宋体"/>
          <w:sz w:val="28"/>
          <w:szCs w:val="28"/>
        </w:rPr>
        <w:t>供应商名称（盖章）：</w:t>
      </w:r>
    </w:p>
    <w:p w14:paraId="672704F1">
      <w:pPr>
        <w:spacing w:line="800" w:lineRule="exact"/>
        <w:ind w:firstLine="570"/>
        <w:rPr>
          <w:rFonts w:ascii="宋体" w:hAnsi="宋体" w:cs="宋体"/>
          <w:sz w:val="28"/>
          <w:szCs w:val="28"/>
        </w:rPr>
      </w:pPr>
      <w:r>
        <w:rPr>
          <w:rFonts w:hint="eastAsia" w:ascii="宋体" w:hAnsi="宋体" w:cs="宋体"/>
          <w:sz w:val="28"/>
          <w:szCs w:val="28"/>
        </w:rPr>
        <w:t>供应商地址：</w:t>
      </w:r>
    </w:p>
    <w:p w14:paraId="44FFF595">
      <w:pPr>
        <w:spacing w:line="800" w:lineRule="exact"/>
        <w:ind w:firstLine="570"/>
        <w:jc w:val="right"/>
        <w:rPr>
          <w:rFonts w:ascii="宋体" w:hAnsi="宋体" w:cs="宋体"/>
          <w:b/>
          <w:sz w:val="24"/>
        </w:rPr>
      </w:pPr>
      <w:r>
        <w:rPr>
          <w:rFonts w:hint="eastAsia" w:ascii="宋体" w:hAnsi="宋体" w:cs="宋体"/>
          <w:b/>
          <w:sz w:val="24"/>
        </w:rPr>
        <w:t xml:space="preserve">  年   月   日</w:t>
      </w:r>
    </w:p>
    <w:p w14:paraId="3A759ADA">
      <w:pPr>
        <w:spacing w:line="400" w:lineRule="exact"/>
        <w:ind w:firstLine="420" w:firstLineChars="200"/>
        <w:jc w:val="left"/>
        <w:rPr>
          <w:rFonts w:ascii="宋体" w:hAnsi="宋体" w:cs="宋体"/>
        </w:rPr>
      </w:pPr>
    </w:p>
    <w:p w14:paraId="55E9939F">
      <w:pPr>
        <w:rPr>
          <w:rFonts w:ascii="宋体" w:hAnsi="宋体" w:cs="宋体"/>
          <w:szCs w:val="21"/>
          <w:u w:val="single"/>
        </w:rPr>
      </w:pPr>
    </w:p>
    <w:p w14:paraId="629654F6">
      <w:pPr>
        <w:ind w:firstLine="570"/>
        <w:rPr>
          <w:rFonts w:ascii="宋体" w:hAnsi="宋体" w:cs="宋体"/>
          <w:sz w:val="28"/>
          <w:szCs w:val="28"/>
        </w:rPr>
      </w:pPr>
    </w:p>
    <w:p w14:paraId="4976EC82">
      <w:pPr>
        <w:ind w:firstLine="570"/>
        <w:rPr>
          <w:rFonts w:ascii="宋体" w:hAnsi="宋体" w:cs="宋体"/>
          <w:sz w:val="28"/>
          <w:szCs w:val="28"/>
        </w:rPr>
      </w:pPr>
    </w:p>
    <w:p w14:paraId="6522313B">
      <w:pPr>
        <w:ind w:firstLine="570"/>
        <w:rPr>
          <w:rFonts w:ascii="宋体" w:hAnsi="宋体" w:cs="宋体"/>
          <w:sz w:val="28"/>
          <w:szCs w:val="28"/>
        </w:rPr>
      </w:pPr>
    </w:p>
    <w:p w14:paraId="716B0880">
      <w:pPr>
        <w:ind w:firstLine="570"/>
        <w:rPr>
          <w:rFonts w:ascii="宋体" w:hAnsi="宋体" w:cs="宋体"/>
          <w:sz w:val="28"/>
          <w:szCs w:val="28"/>
        </w:rPr>
      </w:pPr>
      <w:r>
        <w:rPr>
          <w:rFonts w:hint="eastAsia" w:ascii="宋体" w:hAnsi="宋体" w:cs="宋体"/>
          <w:sz w:val="28"/>
          <w:szCs w:val="28"/>
        </w:rPr>
        <w:t>2、目录及内容</w:t>
      </w:r>
    </w:p>
    <w:p w14:paraId="3FA2ADE5">
      <w:pPr>
        <w:autoSpaceDE w:val="0"/>
        <w:autoSpaceDN w:val="0"/>
        <w:adjustRightInd w:val="0"/>
        <w:snapToGrid w:val="0"/>
        <w:spacing w:line="400" w:lineRule="exact"/>
        <w:ind w:firstLine="487" w:firstLineChars="202"/>
        <w:textAlignment w:val="bottom"/>
        <w:rPr>
          <w:rFonts w:ascii="宋体" w:hAnsi="宋体" w:cs="宋体"/>
          <w:b/>
          <w:sz w:val="24"/>
        </w:rPr>
      </w:pPr>
      <w:r>
        <w:rPr>
          <w:rFonts w:hint="eastAsia" w:ascii="宋体" w:hAnsi="宋体" w:cs="宋体"/>
          <w:b/>
          <w:sz w:val="24"/>
        </w:rPr>
        <w:t>资格证明文件</w:t>
      </w:r>
    </w:p>
    <w:p w14:paraId="5D140032">
      <w:pPr>
        <w:numPr>
          <w:ilvl w:val="0"/>
          <w:numId w:val="16"/>
        </w:numPr>
        <w:autoSpaceDE w:val="0"/>
        <w:autoSpaceDN w:val="0"/>
        <w:snapToGrid w:val="0"/>
        <w:spacing w:line="400" w:lineRule="exact"/>
        <w:textAlignment w:val="bottom"/>
        <w:rPr>
          <w:rFonts w:ascii="宋体" w:hAnsi="宋体" w:cs="宋体"/>
          <w:bCs/>
          <w:sz w:val="24"/>
        </w:rPr>
      </w:pPr>
      <w:r>
        <w:rPr>
          <w:rFonts w:hint="eastAsia" w:ascii="宋体" w:hAnsi="宋体" w:cs="宋体"/>
          <w:bCs/>
          <w:sz w:val="24"/>
        </w:rPr>
        <w:t>磋商申请函 （格式见附件）；</w:t>
      </w:r>
    </w:p>
    <w:p w14:paraId="3D71A8D1">
      <w:pPr>
        <w:numPr>
          <w:ilvl w:val="0"/>
          <w:numId w:val="16"/>
        </w:numPr>
        <w:autoSpaceDE w:val="0"/>
        <w:autoSpaceDN w:val="0"/>
        <w:snapToGrid w:val="0"/>
        <w:spacing w:line="400" w:lineRule="exact"/>
        <w:textAlignment w:val="bottom"/>
        <w:rPr>
          <w:rFonts w:ascii="宋体" w:hAnsi="宋体" w:cs="宋体"/>
          <w:bCs/>
          <w:sz w:val="24"/>
        </w:rPr>
      </w:pPr>
      <w:r>
        <w:rPr>
          <w:rFonts w:hint="eastAsia" w:ascii="宋体" w:hAnsi="宋体" w:cs="宋体"/>
          <w:bCs/>
          <w:sz w:val="24"/>
        </w:rPr>
        <w:t>法人营业执照副本、组织机构代码证副本及税务登记证副本或“三证合一”的营业执照或“五证合一”的营业执照副本复印件；</w:t>
      </w:r>
    </w:p>
    <w:p w14:paraId="4F0B39A2">
      <w:pPr>
        <w:numPr>
          <w:ilvl w:val="0"/>
          <w:numId w:val="16"/>
        </w:numPr>
        <w:autoSpaceDE w:val="0"/>
        <w:autoSpaceDN w:val="0"/>
        <w:snapToGrid w:val="0"/>
        <w:spacing w:line="400" w:lineRule="exact"/>
        <w:textAlignment w:val="bottom"/>
        <w:rPr>
          <w:rFonts w:ascii="宋体" w:hAnsi="宋体" w:cs="宋体"/>
          <w:bCs/>
          <w:sz w:val="24"/>
        </w:rPr>
      </w:pPr>
      <w:r>
        <w:rPr>
          <w:rFonts w:hint="eastAsia" w:ascii="宋体" w:hAnsi="宋体" w:cs="宋体"/>
          <w:bCs/>
          <w:sz w:val="24"/>
        </w:rPr>
        <w:t>法定代表人身份证明书和授权委托书（格式见附件）；</w:t>
      </w:r>
    </w:p>
    <w:p w14:paraId="54A8AFEF">
      <w:pPr>
        <w:numPr>
          <w:ilvl w:val="0"/>
          <w:numId w:val="17"/>
        </w:numPr>
        <w:autoSpaceDE w:val="0"/>
        <w:autoSpaceDN w:val="0"/>
        <w:snapToGrid w:val="0"/>
        <w:spacing w:line="400" w:lineRule="exact"/>
        <w:ind w:firstLine="480" w:firstLineChars="200"/>
        <w:textAlignment w:val="bottom"/>
        <w:rPr>
          <w:rFonts w:hint="eastAsia" w:ascii="宋体" w:hAnsi="宋体" w:cs="宋体"/>
          <w:bCs/>
          <w:sz w:val="24"/>
        </w:rPr>
      </w:pPr>
      <w:r>
        <w:rPr>
          <w:rFonts w:hint="eastAsia" w:ascii="宋体" w:hAnsi="宋体" w:cs="宋体"/>
          <w:bCs/>
          <w:sz w:val="24"/>
        </w:rPr>
        <w:t>中小企业声明函。 (监狱企业参加投标【提供《监狱企业声明函》及其相关的证明材料】、残疾人福利性单位参加投标【提供《残疾人福利性单位声明函》及其相关的证明材料】，视为小型、微型企业，享受小微企业政策扶持)。</w:t>
      </w:r>
    </w:p>
    <w:p w14:paraId="1E9FB144">
      <w:pPr>
        <w:numPr>
          <w:ilvl w:val="0"/>
          <w:numId w:val="17"/>
        </w:numPr>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承诺书（承诺符合参与政府采购活动的资格条件并且没有税收缴纳、社会保障等方面的失信记录）；</w:t>
      </w:r>
    </w:p>
    <w:p w14:paraId="50E8A410">
      <w:pPr>
        <w:numPr>
          <w:ilvl w:val="255"/>
          <w:numId w:val="0"/>
        </w:numPr>
        <w:autoSpaceDE w:val="0"/>
        <w:autoSpaceDN w:val="0"/>
        <w:snapToGrid w:val="0"/>
        <w:spacing w:line="400" w:lineRule="exact"/>
        <w:ind w:firstLine="480" w:firstLineChars="200"/>
        <w:textAlignment w:val="bottom"/>
        <w:rPr>
          <w:rFonts w:hint="eastAsia" w:ascii="宋体" w:hAnsi="宋体" w:cs="宋体"/>
          <w:bCs/>
          <w:sz w:val="24"/>
        </w:rPr>
      </w:pPr>
      <w:r>
        <w:rPr>
          <w:rFonts w:hint="eastAsia" w:ascii="宋体" w:hAnsi="宋体" w:cs="宋体"/>
          <w:bCs/>
          <w:sz w:val="24"/>
          <w:lang w:val="en-US" w:eastAsia="zh-CN"/>
        </w:rPr>
        <w:t>6</w:t>
      </w:r>
      <w:r>
        <w:rPr>
          <w:rFonts w:hint="eastAsia" w:ascii="宋体" w:hAnsi="宋体" w:cs="宋体"/>
          <w:bCs/>
          <w:sz w:val="24"/>
        </w:rPr>
        <w:t>）自磋商公告发布之后任意时间的“信用中国”失信被执行人、重大税收违法案件当事人名单、政府采购严重违法失信行为记录名单查询网页截图；</w:t>
      </w:r>
    </w:p>
    <w:p w14:paraId="0B0E962E">
      <w:pPr>
        <w:numPr>
          <w:ilvl w:val="255"/>
          <w:numId w:val="0"/>
        </w:numPr>
        <w:autoSpaceDE w:val="0"/>
        <w:autoSpaceDN w:val="0"/>
        <w:snapToGrid w:val="0"/>
        <w:spacing w:line="400" w:lineRule="exact"/>
        <w:ind w:firstLine="480" w:firstLineChars="200"/>
        <w:textAlignment w:val="bottom"/>
        <w:rPr>
          <w:rFonts w:hint="eastAsia" w:ascii="宋体" w:hAnsi="宋体" w:cs="宋体"/>
          <w:b w:val="0"/>
          <w:sz w:val="24"/>
          <w:szCs w:val="24"/>
        </w:rPr>
      </w:pPr>
      <w:r>
        <w:rPr>
          <w:rFonts w:hint="eastAsia" w:ascii="宋体" w:hAnsi="宋体" w:cs="宋体"/>
          <w:b w:val="0"/>
          <w:sz w:val="24"/>
          <w:szCs w:val="24"/>
          <w:lang w:val="en-US" w:eastAsia="zh-CN"/>
        </w:rPr>
        <w:t>7）</w:t>
      </w:r>
      <w:r>
        <w:rPr>
          <w:rFonts w:hint="eastAsia" w:ascii="宋体" w:hAnsi="宋体" w:cs="宋体"/>
          <w:b w:val="0"/>
          <w:sz w:val="24"/>
          <w:szCs w:val="24"/>
          <w:lang w:eastAsia="zh-CN"/>
        </w:rPr>
        <w:t>与其他单位无关联承诺；</w:t>
      </w:r>
    </w:p>
    <w:p w14:paraId="739FFE88">
      <w:pPr>
        <w:numPr>
          <w:ilvl w:val="255"/>
          <w:numId w:val="0"/>
        </w:numPr>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lang w:val="en-US" w:eastAsia="zh-CN"/>
        </w:rPr>
        <w:t>8</w:t>
      </w:r>
      <w:r>
        <w:rPr>
          <w:rFonts w:hint="eastAsia" w:ascii="宋体" w:hAnsi="宋体" w:cs="宋体"/>
          <w:bCs/>
          <w:sz w:val="24"/>
        </w:rPr>
        <w:t>）信用承诺书（格式见附件）。</w:t>
      </w:r>
    </w:p>
    <w:p w14:paraId="7AFDD714">
      <w:pPr>
        <w:spacing w:line="280" w:lineRule="exact"/>
        <w:ind w:firstLine="470" w:firstLineChars="196"/>
        <w:rPr>
          <w:rFonts w:ascii="宋体" w:hAnsi="宋体" w:cs="宋体"/>
          <w:sz w:val="24"/>
        </w:rPr>
      </w:pPr>
    </w:p>
    <w:p w14:paraId="6B50C35F">
      <w:pPr>
        <w:spacing w:line="280" w:lineRule="exact"/>
        <w:ind w:firstLine="470" w:firstLineChars="196"/>
        <w:rPr>
          <w:rFonts w:ascii="宋体" w:hAnsi="宋体" w:cs="宋体"/>
          <w:sz w:val="24"/>
        </w:rPr>
      </w:pPr>
    </w:p>
    <w:p w14:paraId="6CA548F8">
      <w:pPr>
        <w:spacing w:line="280" w:lineRule="exact"/>
        <w:ind w:firstLine="470" w:firstLineChars="196"/>
        <w:rPr>
          <w:rFonts w:ascii="宋体" w:hAnsi="宋体" w:cs="宋体"/>
          <w:sz w:val="24"/>
        </w:rPr>
      </w:pPr>
    </w:p>
    <w:p w14:paraId="37135A5B">
      <w:pPr>
        <w:spacing w:line="280" w:lineRule="exact"/>
        <w:ind w:firstLine="470" w:firstLineChars="196"/>
        <w:rPr>
          <w:rFonts w:ascii="宋体" w:hAnsi="宋体" w:cs="宋体"/>
          <w:sz w:val="24"/>
        </w:rPr>
      </w:pPr>
    </w:p>
    <w:p w14:paraId="0965CDE8">
      <w:pPr>
        <w:spacing w:line="280" w:lineRule="exact"/>
        <w:ind w:firstLine="470" w:firstLineChars="196"/>
        <w:rPr>
          <w:rFonts w:ascii="宋体" w:hAnsi="宋体" w:cs="宋体"/>
          <w:sz w:val="24"/>
        </w:rPr>
      </w:pPr>
    </w:p>
    <w:p w14:paraId="69F04DAF">
      <w:pPr>
        <w:spacing w:line="280" w:lineRule="exact"/>
        <w:ind w:firstLine="470" w:firstLineChars="196"/>
        <w:rPr>
          <w:rFonts w:ascii="宋体" w:hAnsi="宋体" w:cs="宋体"/>
          <w:sz w:val="24"/>
        </w:rPr>
      </w:pPr>
    </w:p>
    <w:p w14:paraId="4ADD4508">
      <w:pPr>
        <w:spacing w:line="280" w:lineRule="exact"/>
        <w:ind w:firstLine="470" w:firstLineChars="196"/>
        <w:rPr>
          <w:rFonts w:ascii="宋体" w:hAnsi="宋体" w:cs="宋体"/>
          <w:sz w:val="24"/>
        </w:rPr>
      </w:pPr>
    </w:p>
    <w:p w14:paraId="37D9E1DD">
      <w:pPr>
        <w:spacing w:line="280" w:lineRule="exact"/>
        <w:ind w:firstLine="470" w:firstLineChars="196"/>
        <w:rPr>
          <w:rFonts w:ascii="宋体" w:hAnsi="宋体" w:cs="宋体"/>
          <w:sz w:val="24"/>
        </w:rPr>
      </w:pPr>
    </w:p>
    <w:p w14:paraId="34ACE68F">
      <w:pPr>
        <w:spacing w:line="280" w:lineRule="exact"/>
        <w:ind w:firstLine="470" w:firstLineChars="196"/>
        <w:rPr>
          <w:rFonts w:ascii="宋体" w:hAnsi="宋体" w:cs="宋体"/>
          <w:sz w:val="24"/>
        </w:rPr>
      </w:pPr>
    </w:p>
    <w:p w14:paraId="1927C65E">
      <w:pPr>
        <w:spacing w:line="280" w:lineRule="exact"/>
        <w:ind w:firstLine="470" w:firstLineChars="196"/>
        <w:rPr>
          <w:rFonts w:ascii="宋体" w:hAnsi="宋体" w:cs="宋体"/>
          <w:sz w:val="24"/>
        </w:rPr>
      </w:pPr>
    </w:p>
    <w:p w14:paraId="0F8BBF62">
      <w:pPr>
        <w:spacing w:line="280" w:lineRule="exact"/>
        <w:ind w:firstLine="470" w:firstLineChars="196"/>
        <w:rPr>
          <w:rFonts w:ascii="宋体" w:hAnsi="宋体" w:cs="宋体"/>
          <w:sz w:val="24"/>
        </w:rPr>
      </w:pPr>
    </w:p>
    <w:p w14:paraId="0D8171CB">
      <w:pPr>
        <w:spacing w:line="280" w:lineRule="exact"/>
        <w:ind w:firstLine="470" w:firstLineChars="196"/>
        <w:rPr>
          <w:rFonts w:ascii="宋体" w:hAnsi="宋体" w:cs="宋体"/>
          <w:sz w:val="24"/>
        </w:rPr>
      </w:pPr>
    </w:p>
    <w:p w14:paraId="663A4500">
      <w:pPr>
        <w:spacing w:line="280" w:lineRule="exact"/>
        <w:ind w:firstLine="470" w:firstLineChars="196"/>
        <w:rPr>
          <w:rFonts w:ascii="宋体" w:hAnsi="宋体" w:cs="宋体"/>
          <w:sz w:val="24"/>
        </w:rPr>
      </w:pPr>
    </w:p>
    <w:p w14:paraId="5350851D">
      <w:pPr>
        <w:spacing w:line="280" w:lineRule="exact"/>
        <w:ind w:firstLine="470" w:firstLineChars="196"/>
        <w:rPr>
          <w:rFonts w:ascii="宋体" w:hAnsi="宋体" w:cs="宋体"/>
          <w:sz w:val="24"/>
        </w:rPr>
      </w:pPr>
    </w:p>
    <w:p w14:paraId="6032B631">
      <w:pPr>
        <w:spacing w:line="280" w:lineRule="exact"/>
        <w:ind w:firstLine="470" w:firstLineChars="196"/>
        <w:rPr>
          <w:rFonts w:ascii="宋体" w:hAnsi="宋体" w:cs="宋体"/>
          <w:sz w:val="24"/>
        </w:rPr>
      </w:pPr>
    </w:p>
    <w:p w14:paraId="3AE1E403">
      <w:pPr>
        <w:spacing w:line="280" w:lineRule="exact"/>
        <w:ind w:firstLine="470" w:firstLineChars="196"/>
        <w:rPr>
          <w:rFonts w:ascii="宋体" w:hAnsi="宋体" w:cs="宋体"/>
          <w:sz w:val="24"/>
        </w:rPr>
      </w:pPr>
    </w:p>
    <w:p w14:paraId="7E1EE8BC">
      <w:pPr>
        <w:spacing w:line="280" w:lineRule="exact"/>
        <w:ind w:firstLine="470" w:firstLineChars="196"/>
        <w:rPr>
          <w:rFonts w:ascii="宋体" w:hAnsi="宋体" w:cs="宋体"/>
          <w:sz w:val="24"/>
        </w:rPr>
      </w:pPr>
    </w:p>
    <w:p w14:paraId="5EFC2280">
      <w:pPr>
        <w:spacing w:line="280" w:lineRule="exact"/>
        <w:ind w:firstLine="470" w:firstLineChars="196"/>
        <w:rPr>
          <w:rFonts w:ascii="宋体" w:hAnsi="宋体" w:cs="宋体"/>
          <w:sz w:val="24"/>
        </w:rPr>
      </w:pPr>
    </w:p>
    <w:p w14:paraId="344D948F">
      <w:pPr>
        <w:spacing w:line="280" w:lineRule="exact"/>
        <w:ind w:firstLine="470" w:firstLineChars="196"/>
        <w:rPr>
          <w:rFonts w:ascii="宋体" w:hAnsi="宋体" w:cs="宋体"/>
          <w:sz w:val="24"/>
        </w:rPr>
      </w:pPr>
    </w:p>
    <w:p w14:paraId="7498EEF3">
      <w:pPr>
        <w:spacing w:line="280" w:lineRule="exact"/>
        <w:ind w:firstLine="470" w:firstLineChars="196"/>
        <w:rPr>
          <w:rFonts w:ascii="宋体" w:hAnsi="宋体" w:cs="宋体"/>
          <w:sz w:val="24"/>
        </w:rPr>
      </w:pPr>
    </w:p>
    <w:p w14:paraId="66E10A88">
      <w:pPr>
        <w:spacing w:line="280" w:lineRule="exact"/>
        <w:ind w:firstLine="470" w:firstLineChars="196"/>
        <w:rPr>
          <w:rFonts w:ascii="宋体" w:hAnsi="宋体" w:cs="宋体"/>
          <w:sz w:val="24"/>
        </w:rPr>
      </w:pPr>
    </w:p>
    <w:p w14:paraId="4C74A30B">
      <w:pPr>
        <w:spacing w:line="280" w:lineRule="exact"/>
        <w:ind w:firstLine="470" w:firstLineChars="196"/>
        <w:rPr>
          <w:rFonts w:ascii="宋体" w:hAnsi="宋体" w:cs="宋体"/>
          <w:sz w:val="24"/>
        </w:rPr>
      </w:pPr>
    </w:p>
    <w:p w14:paraId="765B9091">
      <w:pPr>
        <w:spacing w:line="280" w:lineRule="exact"/>
        <w:ind w:firstLine="470" w:firstLineChars="196"/>
        <w:rPr>
          <w:rFonts w:ascii="宋体" w:hAnsi="宋体" w:cs="宋体"/>
          <w:sz w:val="24"/>
        </w:rPr>
      </w:pPr>
    </w:p>
    <w:p w14:paraId="499F8B7D">
      <w:pPr>
        <w:spacing w:line="280" w:lineRule="exact"/>
        <w:ind w:firstLine="470" w:firstLineChars="196"/>
        <w:rPr>
          <w:rFonts w:ascii="宋体" w:hAnsi="宋体" w:cs="宋体"/>
          <w:sz w:val="24"/>
        </w:rPr>
      </w:pPr>
    </w:p>
    <w:p w14:paraId="390A9F10">
      <w:pPr>
        <w:spacing w:line="280" w:lineRule="exact"/>
        <w:ind w:firstLine="470" w:firstLineChars="196"/>
        <w:rPr>
          <w:rFonts w:ascii="宋体" w:hAnsi="宋体" w:cs="宋体"/>
          <w:sz w:val="24"/>
        </w:rPr>
      </w:pPr>
    </w:p>
    <w:p w14:paraId="540338F8">
      <w:pPr>
        <w:spacing w:line="280" w:lineRule="exact"/>
        <w:ind w:firstLine="470" w:firstLineChars="196"/>
        <w:rPr>
          <w:rFonts w:ascii="宋体" w:hAnsi="宋体" w:cs="宋体"/>
          <w:sz w:val="24"/>
        </w:rPr>
      </w:pPr>
    </w:p>
    <w:p w14:paraId="2B89F5F4">
      <w:pPr>
        <w:pStyle w:val="30"/>
      </w:pPr>
    </w:p>
    <w:p w14:paraId="7D937169">
      <w:pPr>
        <w:spacing w:line="280" w:lineRule="exact"/>
        <w:ind w:firstLine="470" w:firstLineChars="196"/>
        <w:rPr>
          <w:rFonts w:ascii="宋体" w:hAnsi="宋体" w:cs="宋体"/>
          <w:sz w:val="24"/>
        </w:rPr>
      </w:pPr>
    </w:p>
    <w:p w14:paraId="00EFD909">
      <w:pPr>
        <w:spacing w:line="280" w:lineRule="exact"/>
        <w:rPr>
          <w:rFonts w:ascii="宋体" w:hAnsi="宋体" w:cs="宋体"/>
          <w:sz w:val="24"/>
        </w:rPr>
      </w:pPr>
    </w:p>
    <w:p w14:paraId="7B49B9E6">
      <w:pPr>
        <w:keepNext/>
        <w:pageBreakBefore/>
        <w:spacing w:line="400" w:lineRule="exact"/>
        <w:jc w:val="left"/>
        <w:rPr>
          <w:rFonts w:ascii="宋体" w:hAnsi="宋体" w:cs="宋体"/>
          <w:color w:val="000000"/>
          <w:sz w:val="28"/>
          <w:szCs w:val="28"/>
        </w:rPr>
      </w:pPr>
      <w:r>
        <w:rPr>
          <w:rFonts w:hint="eastAsia" w:ascii="宋体" w:hAnsi="宋体" w:cs="宋体"/>
          <w:color w:val="000000"/>
          <w:sz w:val="28"/>
          <w:szCs w:val="28"/>
        </w:rPr>
        <w:t>3、磋商申请函</w:t>
      </w:r>
    </w:p>
    <w:p w14:paraId="4D162D5F">
      <w:pPr>
        <w:spacing w:line="360" w:lineRule="auto"/>
        <w:jc w:val="center"/>
        <w:rPr>
          <w:rFonts w:ascii="宋体" w:hAnsi="宋体" w:cs="宋体"/>
          <w:color w:val="000000"/>
          <w:sz w:val="28"/>
          <w:szCs w:val="28"/>
        </w:rPr>
      </w:pPr>
      <w:r>
        <w:rPr>
          <w:rFonts w:hint="eastAsia" w:ascii="宋体" w:hAnsi="宋体" w:cs="宋体"/>
          <w:color w:val="000000"/>
          <w:sz w:val="28"/>
          <w:szCs w:val="28"/>
        </w:rPr>
        <w:t xml:space="preserve">磋 商 申 请 函 </w:t>
      </w:r>
    </w:p>
    <w:p w14:paraId="1D6686DC">
      <w:pPr>
        <w:spacing w:line="400" w:lineRule="exact"/>
        <w:rPr>
          <w:rFonts w:ascii="宋体" w:hAnsi="宋体" w:cs="宋体"/>
          <w:szCs w:val="21"/>
          <w:u w:val="single"/>
        </w:rPr>
      </w:pPr>
      <w:r>
        <w:rPr>
          <w:rFonts w:hint="eastAsia" w:ascii="宋体" w:hAnsi="宋体" w:cs="宋体"/>
          <w:szCs w:val="21"/>
          <w:u w:val="single"/>
        </w:rPr>
        <w:t>致                 ：</w:t>
      </w:r>
    </w:p>
    <w:p w14:paraId="5CF0D110">
      <w:pPr>
        <w:spacing w:line="400" w:lineRule="exact"/>
        <w:ind w:firstLine="420" w:firstLineChars="200"/>
        <w:rPr>
          <w:rFonts w:ascii="宋体" w:hAnsi="宋体" w:cs="宋体"/>
          <w:szCs w:val="21"/>
        </w:rPr>
      </w:pPr>
      <w:r>
        <w:rPr>
          <w:rFonts w:hint="eastAsia" w:ascii="宋体" w:hAnsi="宋体" w:cs="宋体"/>
          <w:szCs w:val="21"/>
          <w:u w:val="single"/>
        </w:rPr>
        <w:t xml:space="preserve">  （供应商全称）  </w:t>
      </w:r>
      <w:r>
        <w:rPr>
          <w:rFonts w:hint="eastAsia" w:ascii="宋体" w:hAnsi="宋体" w:cs="宋体"/>
          <w:szCs w:val="21"/>
        </w:rPr>
        <w:t xml:space="preserve"> 授权 </w:t>
      </w:r>
      <w:r>
        <w:rPr>
          <w:rFonts w:hint="eastAsia" w:ascii="宋体" w:hAnsi="宋体" w:cs="宋体"/>
          <w:szCs w:val="21"/>
          <w:u w:val="single"/>
        </w:rPr>
        <w:t xml:space="preserve">   （授权代表名称、职务、职称）    </w:t>
      </w:r>
      <w:r>
        <w:rPr>
          <w:rFonts w:hint="eastAsia" w:ascii="宋体" w:hAnsi="宋体" w:cs="宋体"/>
          <w:szCs w:val="21"/>
        </w:rPr>
        <w:t xml:space="preserve"> 为本公司授权代表，参加贵方组织的</w:t>
      </w:r>
      <w:r>
        <w:rPr>
          <w:rFonts w:hint="eastAsia" w:ascii="宋体" w:hAnsi="宋体" w:cs="宋体"/>
          <w:szCs w:val="21"/>
          <w:u w:val="single"/>
        </w:rPr>
        <w:t xml:space="preserve">  项目名称（项目编号）  </w:t>
      </w:r>
      <w:r>
        <w:rPr>
          <w:rFonts w:hint="eastAsia" w:ascii="宋体" w:hAnsi="宋体" w:cs="宋体"/>
          <w:szCs w:val="21"/>
        </w:rPr>
        <w:t xml:space="preserve"> 竞争性磋商有关活动，进行磋商。为此</w:t>
      </w:r>
      <w:r>
        <w:rPr>
          <w:rFonts w:hint="eastAsia" w:ascii="宋体" w:hAnsi="宋体" w:cs="宋体"/>
          <w:szCs w:val="21"/>
          <w:lang w:val="zh-CN"/>
        </w:rPr>
        <w:t>承诺如下</w:t>
      </w:r>
      <w:r>
        <w:rPr>
          <w:rFonts w:hint="eastAsia" w:ascii="宋体" w:hAnsi="宋体" w:cs="宋体"/>
          <w:szCs w:val="21"/>
        </w:rPr>
        <w:t xml:space="preserve">：  </w:t>
      </w:r>
    </w:p>
    <w:p w14:paraId="15B46847">
      <w:pPr>
        <w:spacing w:line="400" w:lineRule="exact"/>
        <w:rPr>
          <w:rFonts w:ascii="宋体" w:hAnsi="宋体" w:cs="宋体"/>
          <w:szCs w:val="21"/>
          <w:u w:val="single"/>
        </w:rPr>
      </w:pPr>
      <w:r>
        <w:rPr>
          <w:rFonts w:hint="eastAsia" w:ascii="宋体" w:hAnsi="宋体" w:cs="宋体"/>
          <w:szCs w:val="21"/>
        </w:rPr>
        <w:t xml:space="preserve">    1、 按照磋商文件要求制作并提交规定的电子加密响应文件1份。</w:t>
      </w:r>
    </w:p>
    <w:p w14:paraId="7EF54FD9">
      <w:pPr>
        <w:spacing w:line="400" w:lineRule="exact"/>
        <w:rPr>
          <w:rFonts w:ascii="宋体" w:hAnsi="宋体" w:cs="宋体"/>
          <w:szCs w:val="21"/>
        </w:rPr>
      </w:pPr>
      <w:r>
        <w:rPr>
          <w:rFonts w:hint="eastAsia" w:ascii="宋体" w:hAnsi="宋体" w:cs="宋体"/>
          <w:szCs w:val="21"/>
        </w:rPr>
        <w:t xml:space="preserve">    2、本项目负责人：</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；职称：</w:t>
      </w:r>
      <w:r>
        <w:rPr>
          <w:rFonts w:hint="eastAsia" w:ascii="宋体" w:hAnsi="宋体" w:cs="宋体"/>
          <w:szCs w:val="21"/>
          <w:u w:val="single"/>
        </w:rPr>
        <w:t xml:space="preserve">        </w:t>
      </w:r>
      <w:r>
        <w:rPr>
          <w:rFonts w:hint="eastAsia" w:ascii="宋体" w:hAnsi="宋体" w:cs="宋体"/>
          <w:szCs w:val="21"/>
        </w:rPr>
        <w:t>；联系电话 :</w:t>
      </w:r>
      <w:r>
        <w:rPr>
          <w:rFonts w:hint="eastAsia" w:ascii="宋体" w:hAnsi="宋体" w:cs="宋体"/>
          <w:szCs w:val="21"/>
          <w:u w:val="single"/>
        </w:rPr>
        <w:t xml:space="preserve">                </w:t>
      </w:r>
      <w:r>
        <w:rPr>
          <w:rFonts w:hint="eastAsia" w:ascii="宋体" w:hAnsi="宋体" w:cs="宋体"/>
          <w:szCs w:val="21"/>
        </w:rPr>
        <w:t>。</w:t>
      </w:r>
    </w:p>
    <w:p w14:paraId="35E36158">
      <w:pPr>
        <w:spacing w:line="400" w:lineRule="exact"/>
        <w:ind w:firstLine="210" w:firstLineChars="100"/>
        <w:rPr>
          <w:rFonts w:ascii="宋体" w:hAnsi="宋体" w:cs="宋体"/>
          <w:szCs w:val="21"/>
        </w:rPr>
      </w:pPr>
      <w:r>
        <w:rPr>
          <w:rFonts w:hint="eastAsia" w:ascii="宋体" w:hAnsi="宋体" w:cs="宋体"/>
          <w:szCs w:val="21"/>
        </w:rPr>
        <w:t xml:space="preserve">  3、保证遵守磋商文件中的有关规定和收费标准。</w:t>
      </w:r>
    </w:p>
    <w:p w14:paraId="513D34FD">
      <w:pPr>
        <w:spacing w:line="400" w:lineRule="exact"/>
        <w:rPr>
          <w:rFonts w:ascii="宋体" w:hAnsi="宋体" w:cs="宋体"/>
          <w:szCs w:val="21"/>
        </w:rPr>
      </w:pPr>
      <w:r>
        <w:rPr>
          <w:rFonts w:hint="eastAsia" w:ascii="宋体" w:hAnsi="宋体" w:cs="宋体"/>
          <w:szCs w:val="21"/>
        </w:rPr>
        <w:t xml:space="preserve">    4、保证严格执行甲、乙双方所签的合同，并承担全部规定的责任义务。</w:t>
      </w:r>
    </w:p>
    <w:p w14:paraId="0BF4C420">
      <w:pPr>
        <w:spacing w:line="400" w:lineRule="exact"/>
        <w:rPr>
          <w:rFonts w:ascii="宋体" w:hAnsi="宋体" w:cs="宋体"/>
          <w:szCs w:val="21"/>
        </w:rPr>
      </w:pPr>
      <w:r>
        <w:rPr>
          <w:rFonts w:hint="eastAsia" w:ascii="宋体" w:hAnsi="宋体" w:cs="宋体"/>
          <w:szCs w:val="21"/>
        </w:rPr>
        <w:t xml:space="preserve">    5、我们已详细审查全部磋商文件，包括磋商补充文件（如果有的话）。我们完全理解并同意放弃对这方面有不明及误解的权力。</w:t>
      </w:r>
    </w:p>
    <w:p w14:paraId="7B9E51BE">
      <w:pPr>
        <w:spacing w:line="460" w:lineRule="exact"/>
        <w:ind w:firstLine="210" w:firstLineChars="100"/>
        <w:rPr>
          <w:rFonts w:ascii="宋体" w:hAnsi="宋体" w:cs="宋体"/>
          <w:szCs w:val="21"/>
        </w:rPr>
      </w:pPr>
      <w:r>
        <w:rPr>
          <w:rFonts w:hint="eastAsia" w:ascii="宋体" w:hAnsi="宋体" w:cs="宋体"/>
          <w:szCs w:val="21"/>
        </w:rPr>
        <w:t xml:space="preserve">  6、我们已对项目现场进行实地踏勘，充分了解项目要求。</w:t>
      </w:r>
    </w:p>
    <w:p w14:paraId="3D13161C">
      <w:pPr>
        <w:spacing w:line="460" w:lineRule="exact"/>
        <w:ind w:firstLine="210" w:firstLineChars="100"/>
        <w:rPr>
          <w:rFonts w:ascii="宋体" w:hAnsi="宋体" w:cs="宋体"/>
          <w:szCs w:val="21"/>
        </w:rPr>
      </w:pPr>
      <w:r>
        <w:rPr>
          <w:rFonts w:hint="eastAsia" w:ascii="宋体" w:hAnsi="宋体" w:cs="宋体"/>
          <w:szCs w:val="21"/>
        </w:rPr>
        <w:t xml:space="preserve">  7、愿意向贵方提供任何与该</w:t>
      </w:r>
      <w:r>
        <w:rPr>
          <w:rFonts w:hint="eastAsia" w:ascii="宋体" w:hAnsi="宋体" w:cs="宋体"/>
          <w:szCs w:val="21"/>
          <w:lang w:eastAsia="zh-CN"/>
        </w:rPr>
        <w:t>项目</w:t>
      </w:r>
      <w:r>
        <w:rPr>
          <w:rFonts w:hint="eastAsia" w:ascii="宋体" w:hAnsi="宋体" w:cs="宋体"/>
          <w:szCs w:val="21"/>
        </w:rPr>
        <w:t>有关的数据、情况和技术资料，完全理解贵方不一定接受最低价成交的决定。</w:t>
      </w:r>
    </w:p>
    <w:p w14:paraId="222607E2">
      <w:pPr>
        <w:spacing w:line="400" w:lineRule="exact"/>
        <w:ind w:firstLine="420" w:firstLineChars="200"/>
        <w:rPr>
          <w:rFonts w:ascii="宋体" w:hAnsi="宋体" w:cs="宋体"/>
          <w:szCs w:val="21"/>
        </w:rPr>
      </w:pPr>
      <w:r>
        <w:rPr>
          <w:rFonts w:hint="eastAsia" w:ascii="宋体" w:hAnsi="宋体" w:cs="宋体"/>
          <w:szCs w:val="21"/>
        </w:rPr>
        <w:t>8、我方承诺已经具备招标文件规定的参加本项目政府采购活动的</w:t>
      </w:r>
      <w:r>
        <w:rPr>
          <w:rFonts w:hint="eastAsia" w:ascii="宋体" w:hAnsi="宋体" w:cs="宋体"/>
          <w:szCs w:val="21"/>
          <w:lang w:eastAsia="zh-CN"/>
        </w:rPr>
        <w:t>投标供应商</w:t>
      </w:r>
      <w:r>
        <w:rPr>
          <w:rFonts w:hint="eastAsia" w:ascii="宋体" w:hAnsi="宋体" w:cs="宋体"/>
          <w:szCs w:val="21"/>
        </w:rPr>
        <w:t>应当具备的条件：</w:t>
      </w:r>
    </w:p>
    <w:p w14:paraId="5FFC3DD7">
      <w:pPr>
        <w:spacing w:line="400" w:lineRule="exact"/>
        <w:ind w:firstLine="210" w:firstLineChars="100"/>
        <w:rPr>
          <w:rFonts w:ascii="宋体" w:hAnsi="宋体" w:cs="宋体"/>
          <w:szCs w:val="21"/>
        </w:rPr>
      </w:pPr>
      <w:r>
        <w:rPr>
          <w:rFonts w:hint="eastAsia" w:ascii="宋体" w:hAnsi="宋体" w:cs="宋体"/>
          <w:szCs w:val="21"/>
        </w:rPr>
        <w:t>（1）具有独立承担民事责任的能力；</w:t>
      </w:r>
    </w:p>
    <w:p w14:paraId="39C1615D">
      <w:pPr>
        <w:spacing w:line="400" w:lineRule="exact"/>
        <w:ind w:firstLine="210" w:firstLineChars="100"/>
        <w:rPr>
          <w:rFonts w:ascii="宋体" w:hAnsi="宋体" w:cs="宋体"/>
          <w:szCs w:val="21"/>
        </w:rPr>
      </w:pPr>
      <w:r>
        <w:rPr>
          <w:rFonts w:hint="eastAsia" w:ascii="宋体" w:hAnsi="宋体" w:cs="宋体"/>
          <w:szCs w:val="21"/>
        </w:rPr>
        <w:t>（2）具有良好的商业信誉和健全的财务会计制度；</w:t>
      </w:r>
    </w:p>
    <w:p w14:paraId="40AD7D77">
      <w:pPr>
        <w:spacing w:line="400" w:lineRule="exact"/>
        <w:ind w:firstLine="210" w:firstLineChars="100"/>
        <w:rPr>
          <w:rFonts w:ascii="宋体" w:hAnsi="宋体" w:cs="宋体"/>
          <w:szCs w:val="21"/>
        </w:rPr>
      </w:pPr>
      <w:r>
        <w:rPr>
          <w:rFonts w:hint="eastAsia" w:ascii="宋体" w:hAnsi="宋体" w:cs="宋体"/>
          <w:szCs w:val="21"/>
        </w:rPr>
        <w:t>（3）具有履行合同所必需的设备和专业技术能力；</w:t>
      </w:r>
    </w:p>
    <w:p w14:paraId="49571781">
      <w:pPr>
        <w:spacing w:line="400" w:lineRule="exact"/>
        <w:ind w:firstLine="210" w:firstLineChars="100"/>
        <w:rPr>
          <w:rFonts w:ascii="宋体" w:hAnsi="宋体" w:cs="宋体"/>
          <w:szCs w:val="21"/>
        </w:rPr>
      </w:pPr>
      <w:r>
        <w:rPr>
          <w:rFonts w:hint="eastAsia" w:ascii="宋体" w:hAnsi="宋体" w:cs="宋体"/>
          <w:szCs w:val="21"/>
        </w:rPr>
        <w:t>（4）有依法缴纳税收和社会保障资金的良好记录；</w:t>
      </w:r>
    </w:p>
    <w:p w14:paraId="784B980F">
      <w:pPr>
        <w:spacing w:line="400" w:lineRule="exact"/>
        <w:ind w:firstLine="210" w:firstLineChars="100"/>
        <w:rPr>
          <w:rFonts w:ascii="宋体" w:hAnsi="宋体" w:cs="宋体"/>
          <w:szCs w:val="21"/>
        </w:rPr>
      </w:pPr>
      <w:r>
        <w:rPr>
          <w:rFonts w:hint="eastAsia" w:ascii="宋体" w:hAnsi="宋体" w:cs="宋体"/>
          <w:szCs w:val="21"/>
        </w:rPr>
        <w:t>（5）参加本次政府采购活动前三年内，在经营活动中没有重大违法记录；</w:t>
      </w:r>
    </w:p>
    <w:p w14:paraId="6619A21B">
      <w:pPr>
        <w:spacing w:line="400" w:lineRule="exact"/>
        <w:ind w:firstLine="210" w:firstLineChars="100"/>
        <w:rPr>
          <w:rFonts w:ascii="宋体" w:hAnsi="宋体" w:cs="宋体"/>
          <w:szCs w:val="21"/>
        </w:rPr>
      </w:pPr>
      <w:r>
        <w:rPr>
          <w:rFonts w:hint="eastAsia" w:ascii="宋体" w:hAnsi="宋体" w:cs="宋体"/>
          <w:szCs w:val="21"/>
        </w:rPr>
        <w:t>（6）至本项目投标截止时间前，我方未列入失信被执行人、重大税收违法案件当事人名单、政府采购严重违法失信行为记录名单；</w:t>
      </w:r>
    </w:p>
    <w:p w14:paraId="0485C22A">
      <w:pPr>
        <w:spacing w:line="400" w:lineRule="exact"/>
        <w:ind w:firstLine="420" w:firstLineChars="200"/>
        <w:rPr>
          <w:rFonts w:ascii="宋体" w:hAnsi="宋体" w:cs="宋体"/>
          <w:szCs w:val="21"/>
        </w:rPr>
      </w:pPr>
      <w:r>
        <w:rPr>
          <w:rFonts w:hint="eastAsia" w:ascii="宋体" w:hAnsi="宋体" w:cs="宋体"/>
          <w:szCs w:val="21"/>
        </w:rPr>
        <w:t xml:space="preserve">9、我方承诺：最近三年我方无行贿犯罪行为，若我方成交，愿意接受社会监督和检察院调查。                         </w:t>
      </w:r>
    </w:p>
    <w:p w14:paraId="2773DA77">
      <w:pPr>
        <w:spacing w:line="400" w:lineRule="exact"/>
        <w:ind w:firstLine="210" w:firstLineChars="100"/>
        <w:rPr>
          <w:rFonts w:ascii="宋体" w:hAnsi="宋体" w:cs="宋体"/>
          <w:szCs w:val="21"/>
        </w:rPr>
      </w:pPr>
      <w:r>
        <w:rPr>
          <w:rFonts w:hint="eastAsia" w:ascii="宋体" w:hAnsi="宋体" w:cs="宋体"/>
          <w:szCs w:val="21"/>
        </w:rPr>
        <w:t xml:space="preserve">  10、本文件自磋商之日起 60 天内有效。</w:t>
      </w:r>
    </w:p>
    <w:p w14:paraId="18DF6693">
      <w:pPr>
        <w:spacing w:line="400" w:lineRule="exact"/>
        <w:ind w:firstLine="420" w:firstLineChars="200"/>
        <w:rPr>
          <w:rFonts w:ascii="宋体" w:hAnsi="宋体" w:cs="宋体"/>
          <w:szCs w:val="21"/>
        </w:rPr>
      </w:pPr>
      <w:r>
        <w:rPr>
          <w:rFonts w:hint="eastAsia" w:ascii="宋体" w:hAnsi="宋体" w:cs="宋体"/>
          <w:szCs w:val="21"/>
        </w:rPr>
        <w:t>11、与本项目有关的一切往来通讯请寄：</w:t>
      </w:r>
    </w:p>
    <w:p w14:paraId="732BD027">
      <w:pPr>
        <w:spacing w:line="400" w:lineRule="exact"/>
        <w:ind w:firstLine="840" w:firstLineChars="40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14:paraId="3D59DEA2">
      <w:pPr>
        <w:spacing w:line="400" w:lineRule="exact"/>
        <w:ind w:firstLine="840" w:firstLineChars="400"/>
        <w:rPr>
          <w:rFonts w:ascii="宋体" w:hAnsi="宋体" w:cs="宋体"/>
          <w:szCs w:val="21"/>
        </w:rPr>
      </w:pPr>
      <w:r>
        <w:rPr>
          <w:rFonts w:hint="eastAsia" w:ascii="宋体" w:hAnsi="宋体" w:cs="宋体"/>
          <w:szCs w:val="21"/>
        </w:rPr>
        <w:t>邮编：</w:t>
      </w:r>
      <w:r>
        <w:rPr>
          <w:rFonts w:hint="eastAsia" w:ascii="宋体" w:hAnsi="宋体" w:cs="宋体"/>
          <w:szCs w:val="21"/>
          <w:u w:val="single"/>
        </w:rPr>
        <w:t xml:space="preserve">              </w:t>
      </w: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传真：</w:t>
      </w:r>
      <w:r>
        <w:rPr>
          <w:rFonts w:hint="eastAsia" w:ascii="宋体" w:hAnsi="宋体" w:cs="宋体"/>
          <w:szCs w:val="21"/>
          <w:u w:val="single"/>
        </w:rPr>
        <w:t xml:space="preserve">              </w:t>
      </w:r>
    </w:p>
    <w:p w14:paraId="0DAE239B">
      <w:pPr>
        <w:spacing w:before="120" w:beforeLines="50" w:after="120" w:afterLines="50" w:line="400" w:lineRule="exact"/>
        <w:ind w:right="840"/>
        <w:rPr>
          <w:rFonts w:ascii="宋体" w:hAnsi="宋体" w:cs="宋体"/>
          <w:szCs w:val="21"/>
        </w:rPr>
      </w:pPr>
      <w:r>
        <w:rPr>
          <w:rFonts w:hint="eastAsia" w:ascii="宋体" w:hAnsi="宋体" w:cs="宋体"/>
          <w:szCs w:val="21"/>
        </w:rPr>
        <w:t>供应商（盖章）：</w:t>
      </w:r>
    </w:p>
    <w:p w14:paraId="45C6AC12">
      <w:pPr>
        <w:spacing w:before="120" w:beforeLines="50" w:after="120" w:afterLines="50" w:line="400" w:lineRule="exact"/>
        <w:ind w:right="840"/>
        <w:rPr>
          <w:rFonts w:ascii="宋体" w:hAnsi="宋体" w:cs="宋体"/>
          <w:szCs w:val="21"/>
        </w:rPr>
      </w:pPr>
      <w:r>
        <w:rPr>
          <w:rFonts w:hint="eastAsia" w:ascii="宋体" w:hAnsi="宋体" w:cs="宋体"/>
          <w:szCs w:val="21"/>
        </w:rPr>
        <w:t>授权代表（签字）：</w:t>
      </w:r>
    </w:p>
    <w:p w14:paraId="4284BE06">
      <w:pPr>
        <w:pStyle w:val="16"/>
        <w:ind w:right="840"/>
        <w:rPr>
          <w:rFonts w:cs="宋体"/>
        </w:rPr>
      </w:pPr>
      <w:r>
        <w:rPr>
          <w:rFonts w:hint="eastAsia" w:cs="宋体"/>
          <w:sz w:val="21"/>
          <w:szCs w:val="21"/>
        </w:rPr>
        <w:t>日期：</w:t>
      </w:r>
      <w:r>
        <w:rPr>
          <w:rFonts w:hint="eastAsia" w:cs="宋体"/>
        </w:rPr>
        <w:t xml:space="preserve">     </w:t>
      </w:r>
    </w:p>
    <w:p w14:paraId="74EDC869">
      <w:pPr>
        <w:spacing w:line="400" w:lineRule="exact"/>
        <w:jc w:val="left"/>
        <w:rPr>
          <w:rFonts w:ascii="宋体" w:hAnsi="宋体" w:cs="宋体"/>
          <w:szCs w:val="21"/>
        </w:rPr>
      </w:pPr>
      <w:r>
        <w:rPr>
          <w:rFonts w:hint="eastAsia" w:ascii="宋体" w:hAnsi="宋体" w:cs="宋体"/>
          <w:szCs w:val="21"/>
        </w:rPr>
        <w:br w:type="page"/>
      </w:r>
    </w:p>
    <w:p w14:paraId="1A27F9C8">
      <w:pPr>
        <w:spacing w:line="400" w:lineRule="exact"/>
        <w:jc w:val="left"/>
        <w:rPr>
          <w:rFonts w:ascii="宋体" w:hAnsi="宋体" w:cs="宋体"/>
          <w:color w:val="000000"/>
          <w:sz w:val="28"/>
          <w:szCs w:val="28"/>
        </w:rPr>
      </w:pPr>
      <w:r>
        <w:rPr>
          <w:rFonts w:hint="eastAsia" w:ascii="宋体" w:hAnsi="宋体" w:cs="宋体"/>
          <w:color w:val="000000"/>
          <w:sz w:val="28"/>
          <w:szCs w:val="28"/>
        </w:rPr>
        <w:t>4、法定代表人身份证明书</w:t>
      </w:r>
    </w:p>
    <w:p w14:paraId="1ED07422">
      <w:pPr>
        <w:spacing w:before="120" w:beforeLines="50" w:after="120" w:afterLines="50" w:line="400" w:lineRule="exact"/>
        <w:jc w:val="center"/>
        <w:rPr>
          <w:rFonts w:ascii="宋体" w:hAnsi="宋体" w:cs="宋体"/>
          <w:bCs/>
          <w:sz w:val="30"/>
        </w:rPr>
      </w:pPr>
    </w:p>
    <w:p w14:paraId="4FB40CE5">
      <w:pPr>
        <w:spacing w:before="120" w:beforeLines="50" w:after="120" w:afterLines="50" w:line="400" w:lineRule="exact"/>
        <w:jc w:val="center"/>
        <w:rPr>
          <w:rFonts w:ascii="宋体" w:hAnsi="宋体" w:cs="宋体"/>
          <w:bCs/>
          <w:sz w:val="30"/>
        </w:rPr>
      </w:pPr>
      <w:r>
        <w:rPr>
          <w:rFonts w:hint="eastAsia" w:ascii="宋体" w:hAnsi="宋体" w:cs="宋体"/>
          <w:bCs/>
          <w:sz w:val="30"/>
        </w:rPr>
        <w:t>法定代表人身份证明书</w:t>
      </w:r>
    </w:p>
    <w:p w14:paraId="07743FD2">
      <w:pPr>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lang w:val="zh-CN"/>
        </w:rPr>
        <w:t>：</w:t>
      </w:r>
    </w:p>
    <w:p w14:paraId="3C06BEE7">
      <w:pPr>
        <w:spacing w:before="120" w:beforeLines="50" w:after="120" w:afterLines="50" w:line="400" w:lineRule="exact"/>
        <w:rPr>
          <w:rFonts w:ascii="宋体" w:hAnsi="宋体" w:cs="宋体"/>
          <w:szCs w:val="21"/>
          <w:u w:val="single"/>
        </w:rPr>
      </w:pPr>
      <w:r>
        <w:rPr>
          <w:rFonts w:hint="eastAsia" w:ascii="宋体" w:hAnsi="宋体" w:cs="宋体"/>
          <w:bCs/>
          <w:sz w:val="30"/>
        </w:rPr>
        <w:t xml:space="preserve">    </w:t>
      </w:r>
      <w:r>
        <w:rPr>
          <w:rFonts w:hint="eastAsia" w:ascii="宋体" w:hAnsi="宋体" w:cs="宋体"/>
          <w:szCs w:val="21"/>
          <w:u w:val="single"/>
        </w:rPr>
        <w:t xml:space="preserve">  （法定代表人姓名）   </w:t>
      </w:r>
      <w:r>
        <w:rPr>
          <w:rFonts w:hint="eastAsia" w:ascii="宋体" w:hAnsi="宋体" w:cs="宋体"/>
          <w:szCs w:val="21"/>
        </w:rPr>
        <w:t>系</w:t>
      </w:r>
      <w:r>
        <w:rPr>
          <w:rFonts w:hint="eastAsia" w:ascii="宋体" w:hAnsi="宋体" w:cs="宋体"/>
          <w:szCs w:val="21"/>
          <w:u w:val="single"/>
        </w:rPr>
        <w:t xml:space="preserve">   （供应商名称）  </w:t>
      </w:r>
      <w:r>
        <w:rPr>
          <w:rFonts w:hint="eastAsia" w:ascii="宋体" w:hAnsi="宋体" w:cs="宋体"/>
          <w:szCs w:val="21"/>
        </w:rPr>
        <w:t>的法定代表人，性别</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14:paraId="1EAC064B">
      <w:pPr>
        <w:spacing w:before="120" w:beforeLines="50" w:after="120" w:afterLines="50"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联系电话 </w:t>
      </w:r>
      <w:r>
        <w:rPr>
          <w:rFonts w:hint="eastAsia" w:ascii="宋体" w:hAnsi="宋体" w:cs="宋体"/>
          <w:szCs w:val="21"/>
          <w:u w:val="single"/>
        </w:rPr>
        <w:t xml:space="preserve">         </w:t>
      </w: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,联系地址</w:t>
      </w:r>
      <w:r>
        <w:rPr>
          <w:rFonts w:hint="eastAsia" w:ascii="宋体" w:hAnsi="宋体" w:cs="宋体"/>
          <w:szCs w:val="21"/>
          <w:u w:val="single"/>
        </w:rPr>
        <w:t xml:space="preserve">                 </w:t>
      </w:r>
      <w:r>
        <w:rPr>
          <w:rFonts w:hint="eastAsia" w:ascii="宋体" w:hAnsi="宋体" w:cs="宋体"/>
          <w:szCs w:val="21"/>
        </w:rPr>
        <w:t xml:space="preserve">，邮编  </w:t>
      </w:r>
      <w:r>
        <w:rPr>
          <w:rFonts w:hint="eastAsia" w:ascii="宋体" w:hAnsi="宋体" w:cs="宋体"/>
          <w:szCs w:val="21"/>
          <w:u w:val="single"/>
        </w:rPr>
        <w:t xml:space="preserve">          </w:t>
      </w:r>
      <w:r>
        <w:rPr>
          <w:rFonts w:hint="eastAsia" w:ascii="宋体" w:hAnsi="宋体" w:cs="宋体"/>
          <w:szCs w:val="21"/>
        </w:rPr>
        <w:t xml:space="preserve">  。          </w:t>
      </w:r>
    </w:p>
    <w:p w14:paraId="6EE1DA22">
      <w:pPr>
        <w:spacing w:before="120" w:beforeLines="50" w:after="120" w:afterLines="50" w:line="400" w:lineRule="exact"/>
        <w:rPr>
          <w:rFonts w:ascii="宋体" w:hAnsi="宋体" w:cs="宋体"/>
          <w:szCs w:val="21"/>
        </w:rPr>
      </w:pPr>
    </w:p>
    <w:p w14:paraId="11BA8CDE">
      <w:pPr>
        <w:spacing w:before="120" w:beforeLines="50" w:after="120" w:afterLines="50" w:line="400" w:lineRule="exact"/>
        <w:jc w:val="center"/>
        <w:rPr>
          <w:rFonts w:ascii="宋体" w:hAnsi="宋体" w:cs="宋体"/>
          <w:szCs w:val="21"/>
        </w:rPr>
      </w:pPr>
      <w:r>
        <w:rPr>
          <w:rFonts w:hint="eastAsia" w:ascii="宋体" w:hAnsi="宋体" w:cs="宋体"/>
          <w:szCs w:val="21"/>
        </w:rPr>
        <w:t>特此证明</w:t>
      </w:r>
    </w:p>
    <w:p w14:paraId="4E82624E">
      <w:pPr>
        <w:spacing w:before="120" w:beforeLines="50" w:after="120" w:afterLines="50" w:line="400" w:lineRule="exact"/>
        <w:jc w:val="right"/>
        <w:rPr>
          <w:rFonts w:ascii="宋体" w:hAnsi="宋体" w:cs="宋体"/>
          <w:szCs w:val="21"/>
        </w:rPr>
      </w:pPr>
    </w:p>
    <w:p w14:paraId="328867FF">
      <w:pPr>
        <w:spacing w:before="120" w:beforeLines="50" w:after="120" w:afterLines="50" w:line="400" w:lineRule="exact"/>
        <w:jc w:val="right"/>
        <w:rPr>
          <w:rFonts w:ascii="宋体" w:hAnsi="宋体" w:cs="宋体"/>
          <w:szCs w:val="21"/>
        </w:rPr>
      </w:pPr>
      <w:r>
        <w:rPr>
          <w:rFonts w:hint="eastAsia" w:ascii="宋体" w:hAnsi="宋体" w:cs="宋体"/>
          <w:szCs w:val="21"/>
        </w:rPr>
        <w:t>供应商名称（公章）</w:t>
      </w:r>
    </w:p>
    <w:p w14:paraId="7EE96319">
      <w:pPr>
        <w:wordWrap w:val="0"/>
        <w:spacing w:before="120" w:beforeLines="50" w:after="120" w:afterLines="50" w:line="400" w:lineRule="exact"/>
        <w:jc w:val="right"/>
        <w:rPr>
          <w:rFonts w:ascii="宋体" w:hAnsi="宋体" w:cs="宋体"/>
          <w:szCs w:val="21"/>
        </w:rPr>
      </w:pPr>
      <w:r>
        <w:rPr>
          <w:rFonts w:hint="eastAsia" w:ascii="宋体" w:hAnsi="宋体" w:cs="宋体"/>
          <w:szCs w:val="21"/>
        </w:rPr>
        <w:t>日期：  年   月  日</w:t>
      </w:r>
    </w:p>
    <w:p w14:paraId="52DF4501">
      <w:pPr>
        <w:spacing w:before="120" w:beforeLines="50" w:after="120" w:afterLines="50" w:line="400" w:lineRule="exact"/>
        <w:rPr>
          <w:rFonts w:ascii="宋体" w:hAnsi="宋体" w:cs="宋体"/>
          <w:szCs w:val="21"/>
        </w:rPr>
      </w:pPr>
      <w:r>
        <w:rPr>
          <w:rFonts w:hint="eastAsia" w:ascii="宋体" w:hAnsi="宋体" w:cs="宋体"/>
          <w:szCs w:val="21"/>
        </w:rPr>
        <w:t>-----------------------------------------------------------------------------------------</w:t>
      </w:r>
    </w:p>
    <w:p w14:paraId="4BF81021">
      <w:pPr>
        <w:spacing w:before="120" w:beforeLines="50" w:after="120" w:afterLines="50" w:line="400" w:lineRule="exact"/>
        <w:jc w:val="center"/>
        <w:rPr>
          <w:rFonts w:ascii="宋体" w:hAnsi="宋体" w:cs="宋体"/>
          <w:szCs w:val="21"/>
        </w:rPr>
      </w:pPr>
      <w:r>
        <w:rPr>
          <w:rFonts w:hint="eastAsia" w:ascii="宋体" w:hAnsi="宋体" w:cs="宋体"/>
          <w:szCs w:val="21"/>
        </w:rPr>
        <w:t>附法定代表人身份证复印件</w:t>
      </w:r>
    </w:p>
    <w:p w14:paraId="261DC0C5">
      <w:pPr>
        <w:spacing w:before="120" w:beforeLines="50" w:after="120" w:afterLines="50" w:line="400" w:lineRule="exact"/>
        <w:rPr>
          <w:rFonts w:ascii="宋体" w:hAnsi="宋体" w:cs="宋体"/>
          <w:szCs w:val="21"/>
        </w:rPr>
      </w:pPr>
      <w:r>
        <w:rPr>
          <w:rFonts w:hint="eastAsia" w:ascii="宋体" w:hAnsi="宋体" w:cs="宋体"/>
          <w:szCs w:val="21"/>
        </w:rPr>
        <w:t xml:space="preserve">   </w:t>
      </w:r>
    </w:p>
    <w:p w14:paraId="01FC10F6">
      <w:pPr>
        <w:spacing w:before="120" w:beforeLines="50" w:after="120" w:afterLines="50" w:line="400" w:lineRule="exact"/>
        <w:rPr>
          <w:rFonts w:ascii="宋体" w:hAnsi="宋体" w:cs="宋体"/>
          <w:szCs w:val="21"/>
        </w:rPr>
      </w:pPr>
    </w:p>
    <w:p w14:paraId="0F3FA355">
      <w:pPr>
        <w:spacing w:before="120" w:beforeLines="50" w:after="120" w:afterLines="50" w:line="400" w:lineRule="exact"/>
        <w:rPr>
          <w:rFonts w:ascii="宋体" w:hAnsi="宋体" w:cs="宋体"/>
          <w:szCs w:val="21"/>
        </w:rPr>
      </w:pPr>
    </w:p>
    <w:p w14:paraId="2B9EBC1E">
      <w:pPr>
        <w:spacing w:line="400" w:lineRule="exact"/>
        <w:rPr>
          <w:rFonts w:ascii="宋体" w:hAnsi="宋体" w:cs="宋体"/>
        </w:rPr>
      </w:pPr>
    </w:p>
    <w:p w14:paraId="0ED6CC1B">
      <w:pPr>
        <w:spacing w:line="400" w:lineRule="exact"/>
        <w:rPr>
          <w:rFonts w:ascii="宋体" w:hAnsi="宋体" w:cs="宋体"/>
        </w:rPr>
      </w:pPr>
    </w:p>
    <w:p w14:paraId="6D57C1FA">
      <w:pPr>
        <w:spacing w:line="400" w:lineRule="exact"/>
        <w:rPr>
          <w:rFonts w:ascii="宋体" w:hAnsi="宋体" w:cs="宋体"/>
        </w:rPr>
      </w:pPr>
    </w:p>
    <w:p w14:paraId="08E51D83">
      <w:pPr>
        <w:spacing w:line="400" w:lineRule="exact"/>
        <w:rPr>
          <w:rFonts w:ascii="宋体" w:hAnsi="宋体" w:cs="宋体"/>
        </w:rPr>
      </w:pPr>
    </w:p>
    <w:p w14:paraId="415487C3">
      <w:pPr>
        <w:spacing w:line="400" w:lineRule="exact"/>
        <w:rPr>
          <w:rFonts w:ascii="宋体" w:hAnsi="宋体" w:cs="宋体"/>
        </w:rPr>
      </w:pPr>
    </w:p>
    <w:p w14:paraId="5064B50E">
      <w:pPr>
        <w:spacing w:line="400" w:lineRule="exact"/>
        <w:rPr>
          <w:rFonts w:ascii="宋体" w:hAnsi="宋体" w:cs="宋体"/>
        </w:rPr>
      </w:pPr>
    </w:p>
    <w:p w14:paraId="34426176">
      <w:pPr>
        <w:spacing w:line="400" w:lineRule="exact"/>
        <w:rPr>
          <w:rFonts w:ascii="宋体" w:hAnsi="宋体" w:cs="宋体"/>
        </w:rPr>
      </w:pPr>
    </w:p>
    <w:p w14:paraId="546346DB">
      <w:pPr>
        <w:spacing w:line="400" w:lineRule="exact"/>
        <w:rPr>
          <w:rFonts w:ascii="宋体" w:hAnsi="宋体" w:cs="宋体"/>
        </w:rPr>
      </w:pPr>
    </w:p>
    <w:p w14:paraId="72339EE9">
      <w:pPr>
        <w:pStyle w:val="2"/>
      </w:pPr>
    </w:p>
    <w:p w14:paraId="52A92519"/>
    <w:p w14:paraId="75B33C25">
      <w:pPr>
        <w:spacing w:line="400" w:lineRule="exact"/>
        <w:jc w:val="left"/>
        <w:rPr>
          <w:rFonts w:ascii="宋体" w:hAnsi="宋体" w:cs="宋体"/>
          <w:color w:val="000000"/>
          <w:sz w:val="28"/>
          <w:szCs w:val="28"/>
        </w:rPr>
      </w:pPr>
      <w:r>
        <w:rPr>
          <w:rFonts w:hint="eastAsia" w:ascii="宋体" w:hAnsi="宋体" w:cs="宋体"/>
          <w:color w:val="000000"/>
          <w:sz w:val="28"/>
          <w:szCs w:val="28"/>
        </w:rPr>
        <w:t>5、法定代表人授权委托书格式</w:t>
      </w:r>
    </w:p>
    <w:p w14:paraId="100412A6">
      <w:pPr>
        <w:spacing w:before="120" w:beforeLines="50" w:after="120" w:afterLines="50" w:line="400" w:lineRule="exact"/>
        <w:jc w:val="center"/>
        <w:rPr>
          <w:rFonts w:ascii="宋体" w:hAnsi="宋体" w:cs="宋体"/>
          <w:bCs/>
          <w:sz w:val="30"/>
        </w:rPr>
      </w:pPr>
    </w:p>
    <w:p w14:paraId="0A5D0664">
      <w:pPr>
        <w:spacing w:before="120" w:beforeLines="50" w:after="120" w:afterLines="50" w:line="400" w:lineRule="exact"/>
        <w:jc w:val="center"/>
        <w:rPr>
          <w:rFonts w:ascii="宋体" w:hAnsi="宋体" w:cs="宋体"/>
          <w:bCs/>
          <w:sz w:val="32"/>
        </w:rPr>
      </w:pPr>
      <w:r>
        <w:rPr>
          <w:rFonts w:hint="eastAsia" w:ascii="宋体" w:hAnsi="宋体" w:cs="宋体"/>
          <w:bCs/>
          <w:sz w:val="30"/>
        </w:rPr>
        <w:t>法定代表人授权委托书</w:t>
      </w:r>
    </w:p>
    <w:p w14:paraId="1BF4C2F9">
      <w:pPr>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lang w:val="zh-CN"/>
        </w:rPr>
        <w:t>：</w:t>
      </w:r>
    </w:p>
    <w:p w14:paraId="59333916">
      <w:pPr>
        <w:spacing w:line="360" w:lineRule="auto"/>
        <w:ind w:firstLine="612"/>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（法定代表人姓名）   </w:t>
      </w:r>
      <w:r>
        <w:rPr>
          <w:rFonts w:hint="eastAsia" w:ascii="宋体" w:hAnsi="宋体" w:cs="宋体"/>
          <w:szCs w:val="21"/>
        </w:rPr>
        <w:t>系</w:t>
      </w:r>
      <w:r>
        <w:rPr>
          <w:rFonts w:hint="eastAsia" w:ascii="宋体" w:hAnsi="宋体" w:cs="宋体"/>
          <w:szCs w:val="21"/>
          <w:u w:val="single"/>
        </w:rPr>
        <w:t xml:space="preserve">   （供应商）  </w:t>
      </w:r>
      <w:r>
        <w:rPr>
          <w:rFonts w:hint="eastAsia" w:ascii="宋体" w:hAnsi="宋体" w:cs="宋体"/>
          <w:szCs w:val="21"/>
        </w:rPr>
        <w:t>的法定代表人，现授权委托</w:t>
      </w:r>
      <w:r>
        <w:rPr>
          <w:rFonts w:hint="eastAsia" w:ascii="宋体" w:hAnsi="宋体" w:cs="宋体"/>
          <w:szCs w:val="21"/>
          <w:u w:val="single"/>
        </w:rPr>
        <w:t xml:space="preserve">（授权代表姓名）  </w:t>
      </w:r>
      <w:r>
        <w:rPr>
          <w:rFonts w:hint="eastAsia" w:ascii="宋体" w:hAnsi="宋体" w:cs="宋体"/>
          <w:szCs w:val="21"/>
        </w:rPr>
        <w:t xml:space="preserve">为我公司法定代表人授权代表，参加贵处组织的  </w:t>
      </w:r>
      <w:r>
        <w:rPr>
          <w:rFonts w:hint="eastAsia" w:ascii="宋体" w:hAnsi="宋体" w:cs="宋体"/>
          <w:szCs w:val="21"/>
          <w:u w:val="single"/>
        </w:rPr>
        <w:t xml:space="preserve">项目名称， （项目编号）  </w:t>
      </w:r>
      <w:r>
        <w:rPr>
          <w:rFonts w:hint="eastAsia" w:ascii="宋体" w:hAnsi="宋体" w:cs="宋体"/>
          <w:szCs w:val="21"/>
        </w:rPr>
        <w:t>项目谈判，全权处理本次谈判活动中的一切事宜，我承认授权代表全权代表我所签署的本项目的响应文件的内容。</w:t>
      </w:r>
    </w:p>
    <w:p w14:paraId="13988D39">
      <w:pPr>
        <w:spacing w:line="360" w:lineRule="auto"/>
        <w:jc w:val="center"/>
        <w:rPr>
          <w:rFonts w:ascii="宋体" w:hAnsi="宋体" w:cs="宋体"/>
          <w:szCs w:val="21"/>
        </w:rPr>
      </w:pPr>
      <w:r>
        <w:rPr>
          <w:rFonts w:hint="eastAsia" w:ascii="宋体" w:hAnsi="宋体" w:cs="宋体"/>
          <w:szCs w:val="21"/>
        </w:rPr>
        <w:t>授权代表无转授权，特此授权。</w:t>
      </w:r>
    </w:p>
    <w:p w14:paraId="7DF239A7">
      <w:pPr>
        <w:spacing w:line="360" w:lineRule="auto"/>
        <w:ind w:firstLine="420" w:firstLineChars="200"/>
        <w:rPr>
          <w:rFonts w:ascii="宋体" w:hAnsi="宋体" w:cs="宋体"/>
          <w:szCs w:val="21"/>
        </w:rPr>
      </w:pPr>
    </w:p>
    <w:p w14:paraId="1C214FF7">
      <w:pPr>
        <w:spacing w:line="360" w:lineRule="auto"/>
        <w:ind w:firstLine="420" w:firstLineChars="200"/>
        <w:rPr>
          <w:rFonts w:ascii="宋体" w:hAnsi="宋体" w:cs="宋体"/>
          <w:szCs w:val="21"/>
        </w:rPr>
      </w:pPr>
      <w:r>
        <w:rPr>
          <w:rFonts w:hint="eastAsia" w:ascii="宋体" w:hAnsi="宋体" w:cs="宋体"/>
          <w:szCs w:val="21"/>
        </w:rPr>
        <w:t>授权代表：</w:t>
      </w:r>
      <w:r>
        <w:rPr>
          <w:rFonts w:hint="eastAsia" w:ascii="宋体" w:hAnsi="宋体" w:cs="宋体"/>
          <w:szCs w:val="21"/>
          <w:u w:val="single"/>
        </w:rPr>
        <w:t xml:space="preserve">   （签字）  </w:t>
      </w:r>
      <w:r>
        <w:rPr>
          <w:rFonts w:hint="eastAsia" w:ascii="宋体" w:hAnsi="宋体" w:cs="宋体"/>
          <w:szCs w:val="21"/>
        </w:rPr>
        <w:t xml:space="preserve"> 性别 ：</w:t>
      </w:r>
      <w:r>
        <w:rPr>
          <w:rFonts w:hint="eastAsia" w:ascii="宋体" w:hAnsi="宋体" w:cs="宋体"/>
          <w:szCs w:val="21"/>
          <w:u w:val="single"/>
        </w:rPr>
        <w:t xml:space="preserve">     </w:t>
      </w:r>
      <w:r>
        <w:rPr>
          <w:rFonts w:hint="eastAsia" w:ascii="宋体" w:hAnsi="宋体" w:cs="宋体"/>
          <w:szCs w:val="21"/>
        </w:rPr>
        <w:t xml:space="preserve"> 年龄：</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3866688D">
      <w:pPr>
        <w:spacing w:line="360" w:lineRule="auto"/>
        <w:ind w:firstLine="420" w:firstLineChars="200"/>
        <w:rPr>
          <w:rFonts w:ascii="宋体" w:hAnsi="宋体" w:cs="宋体"/>
          <w:szCs w:val="21"/>
          <w:u w:val="single"/>
        </w:rPr>
      </w:pPr>
      <w:r>
        <w:rPr>
          <w:rFonts w:hint="eastAsia" w:ascii="宋体" w:hAnsi="宋体" w:cs="宋体"/>
          <w:szCs w:val="21"/>
        </w:rPr>
        <w:t>详细通讯地址：</w:t>
      </w:r>
      <w:r>
        <w:rPr>
          <w:rFonts w:hint="eastAsia" w:ascii="宋体" w:hAnsi="宋体" w:cs="宋体"/>
          <w:szCs w:val="21"/>
          <w:u w:val="single"/>
        </w:rPr>
        <w:t xml:space="preserve">                       </w:t>
      </w:r>
      <w:r>
        <w:rPr>
          <w:rFonts w:hint="eastAsia" w:ascii="宋体" w:hAnsi="宋体" w:cs="宋体"/>
          <w:szCs w:val="21"/>
        </w:rPr>
        <w:t xml:space="preserve"> 邮政编码：</w:t>
      </w:r>
      <w:r>
        <w:rPr>
          <w:rFonts w:hint="eastAsia" w:ascii="宋体" w:hAnsi="宋体" w:cs="宋体"/>
          <w:szCs w:val="21"/>
          <w:u w:val="single"/>
        </w:rPr>
        <w:t xml:space="preserve">           </w:t>
      </w:r>
    </w:p>
    <w:p w14:paraId="1458A8A7">
      <w:pPr>
        <w:spacing w:line="360" w:lineRule="auto"/>
        <w:ind w:firstLine="420" w:firstLineChars="200"/>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 xml:space="preserve"> 传真：</w:t>
      </w:r>
      <w:r>
        <w:rPr>
          <w:rFonts w:hint="eastAsia" w:ascii="宋体" w:hAnsi="宋体" w:cs="宋体"/>
          <w:szCs w:val="21"/>
          <w:u w:val="single"/>
        </w:rPr>
        <w:t xml:space="preserve">                      </w:t>
      </w:r>
    </w:p>
    <w:p w14:paraId="32CC4DDC">
      <w:pPr>
        <w:ind w:left="1" w:firstLine="403" w:firstLineChars="192"/>
        <w:rPr>
          <w:rFonts w:ascii="宋体" w:hAnsi="宋体" w:cs="宋体"/>
          <w:szCs w:val="21"/>
        </w:rPr>
      </w:pPr>
      <w:r>
        <w:rPr>
          <w:rFonts w:hint="eastAsia" w:ascii="宋体" w:hAnsi="宋体" w:cs="宋体"/>
          <w:szCs w:val="21"/>
        </w:rPr>
        <w:t xml:space="preserve">   </w:t>
      </w:r>
    </w:p>
    <w:p w14:paraId="0A5923F3">
      <w:pPr>
        <w:spacing w:line="360" w:lineRule="auto"/>
        <w:ind w:left="424" w:right="420"/>
        <w:jc w:val="right"/>
        <w:rPr>
          <w:rFonts w:ascii="宋体" w:hAnsi="宋体" w:cs="宋体"/>
          <w:szCs w:val="21"/>
        </w:rPr>
      </w:pPr>
      <w:r>
        <w:rPr>
          <w:rFonts w:hint="eastAsia" w:ascii="宋体" w:hAnsi="宋体" w:cs="宋体"/>
          <w:szCs w:val="21"/>
        </w:rPr>
        <w:t>供应商名称：（盖章）</w:t>
      </w:r>
      <w:r>
        <w:rPr>
          <w:rFonts w:hint="eastAsia" w:ascii="宋体" w:hAnsi="宋体" w:cs="宋体"/>
          <w:szCs w:val="21"/>
          <w:u w:val="single"/>
        </w:rPr>
        <w:t xml:space="preserve">                                   </w:t>
      </w:r>
    </w:p>
    <w:p w14:paraId="1EC52C2A">
      <w:pPr>
        <w:spacing w:line="360" w:lineRule="auto"/>
        <w:ind w:left="424" w:right="420"/>
        <w:jc w:val="right"/>
        <w:rPr>
          <w:rFonts w:ascii="宋体" w:hAnsi="宋体" w:cs="宋体"/>
          <w:szCs w:val="21"/>
        </w:rPr>
      </w:pPr>
      <w:r>
        <w:rPr>
          <w:rFonts w:hint="eastAsia" w:ascii="宋体" w:hAnsi="宋体" w:cs="宋体"/>
          <w:szCs w:val="21"/>
        </w:rPr>
        <w:t>法定代表人（签字）：</w:t>
      </w:r>
    </w:p>
    <w:p w14:paraId="7589A90A">
      <w:pPr>
        <w:spacing w:line="360" w:lineRule="auto"/>
        <w:ind w:left="424" w:right="420"/>
        <w:jc w:val="righ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7116E11">
      <w:pPr>
        <w:spacing w:line="360" w:lineRule="auto"/>
        <w:rPr>
          <w:rFonts w:ascii="宋体" w:hAnsi="宋体" w:cs="宋体"/>
          <w:sz w:val="24"/>
        </w:rPr>
      </w:pPr>
      <w:r>
        <w:rPr>
          <w:rFonts w:hint="eastAsia" w:ascii="宋体" w:hAnsi="宋体" w:cs="宋体"/>
          <w:sz w:val="24"/>
        </w:rPr>
        <w:t>-----------------------------------------------------------------------------</w:t>
      </w:r>
    </w:p>
    <w:p w14:paraId="2CFC9A65">
      <w:pPr>
        <w:pStyle w:val="17"/>
        <w:ind w:firstLine="420" w:firstLineChars="200"/>
        <w:rPr>
          <w:rFonts w:ascii="宋体" w:hAnsi="宋体" w:cs="宋体"/>
        </w:rPr>
      </w:pPr>
      <w:r>
        <w:rPr>
          <w:rFonts w:hint="eastAsia" w:ascii="宋体" w:hAnsi="宋体" w:cs="宋体"/>
        </w:rPr>
        <w:t>授权代表身份证复印件</w:t>
      </w:r>
    </w:p>
    <w:p w14:paraId="598D1180">
      <w:pPr>
        <w:pStyle w:val="17"/>
        <w:ind w:firstLine="420" w:firstLineChars="200"/>
        <w:rPr>
          <w:rFonts w:ascii="宋体" w:hAnsi="宋体" w:cs="宋体"/>
        </w:rPr>
      </w:pPr>
    </w:p>
    <w:p w14:paraId="661E7BEC">
      <w:pPr>
        <w:spacing w:line="400" w:lineRule="exact"/>
        <w:jc w:val="left"/>
        <w:rPr>
          <w:rFonts w:ascii="宋体" w:hAnsi="宋体" w:cs="宋体"/>
          <w:szCs w:val="21"/>
        </w:rPr>
      </w:pPr>
    </w:p>
    <w:p w14:paraId="5EFF31CB">
      <w:pPr>
        <w:pStyle w:val="14"/>
        <w:rPr>
          <w:rFonts w:ascii="宋体" w:hAnsi="宋体" w:cs="宋体"/>
          <w:szCs w:val="21"/>
        </w:rPr>
      </w:pPr>
    </w:p>
    <w:p w14:paraId="5585F3D8">
      <w:pPr>
        <w:pStyle w:val="14"/>
        <w:rPr>
          <w:rFonts w:ascii="宋体" w:hAnsi="宋体" w:cs="宋体"/>
          <w:szCs w:val="21"/>
        </w:rPr>
      </w:pPr>
    </w:p>
    <w:p w14:paraId="4BAE3B77">
      <w:pPr>
        <w:pStyle w:val="2"/>
      </w:pPr>
    </w:p>
    <w:p w14:paraId="03974E8E"/>
    <w:p w14:paraId="11B16C5B">
      <w:pPr>
        <w:spacing w:line="400" w:lineRule="exact"/>
        <w:jc w:val="left"/>
        <w:rPr>
          <w:rFonts w:ascii="宋体" w:hAnsi="宋体" w:cs="宋体"/>
          <w:szCs w:val="21"/>
        </w:rPr>
      </w:pPr>
    </w:p>
    <w:p w14:paraId="1807CAE5"/>
    <w:p w14:paraId="68A8E065"/>
    <w:p w14:paraId="63C72648">
      <w:pPr>
        <w:rPr>
          <w:rFonts w:ascii="宋体" w:hAnsi="宋体" w:cs="宋体"/>
          <w:b/>
          <w:sz w:val="32"/>
          <w:szCs w:val="32"/>
        </w:rPr>
      </w:pPr>
    </w:p>
    <w:p w14:paraId="1A25700E">
      <w:pPr>
        <w:ind w:firstLine="570"/>
        <w:jc w:val="center"/>
        <w:rPr>
          <w:rFonts w:ascii="宋体" w:hAnsi="宋体" w:cs="宋体"/>
          <w:b/>
          <w:sz w:val="32"/>
          <w:szCs w:val="32"/>
        </w:rPr>
      </w:pPr>
    </w:p>
    <w:p w14:paraId="1D28CC01">
      <w:pPr>
        <w:ind w:firstLine="570"/>
        <w:jc w:val="center"/>
        <w:rPr>
          <w:rFonts w:ascii="宋体" w:hAnsi="宋体" w:cs="宋体"/>
          <w:sz w:val="32"/>
          <w:szCs w:val="32"/>
        </w:rPr>
      </w:pPr>
      <w:r>
        <w:rPr>
          <w:rFonts w:hint="eastAsia" w:ascii="宋体" w:hAnsi="宋体" w:cs="宋体"/>
          <w:b/>
          <w:sz w:val="32"/>
          <w:szCs w:val="32"/>
        </w:rPr>
        <w:t>二、商务、技术文件格式</w:t>
      </w:r>
    </w:p>
    <w:p w14:paraId="0D279CAD">
      <w:pPr>
        <w:ind w:firstLine="570"/>
        <w:rPr>
          <w:rFonts w:ascii="宋体" w:hAnsi="宋体" w:cs="宋体"/>
          <w:sz w:val="28"/>
          <w:szCs w:val="28"/>
        </w:rPr>
      </w:pPr>
    </w:p>
    <w:p w14:paraId="548EC9DF">
      <w:pPr>
        <w:ind w:firstLine="570"/>
        <w:rPr>
          <w:rFonts w:ascii="宋体" w:hAnsi="宋体" w:cs="宋体"/>
          <w:sz w:val="28"/>
          <w:szCs w:val="28"/>
        </w:rPr>
      </w:pPr>
      <w:r>
        <w:rPr>
          <w:rFonts w:hint="eastAsia" w:ascii="宋体" w:hAnsi="宋体" w:cs="宋体"/>
          <w:sz w:val="28"/>
          <w:szCs w:val="28"/>
        </w:rPr>
        <w:t>1、商务、技术文件的封面格式：</w:t>
      </w:r>
    </w:p>
    <w:p w14:paraId="7AB77B79">
      <w:pPr>
        <w:pStyle w:val="2"/>
      </w:pPr>
    </w:p>
    <w:p w14:paraId="58E7AAF7">
      <w:pPr>
        <w:ind w:firstLine="570"/>
        <w:jc w:val="center"/>
        <w:rPr>
          <w:rFonts w:ascii="宋体" w:hAnsi="宋体" w:cs="宋体"/>
          <w:b/>
          <w:sz w:val="84"/>
          <w:szCs w:val="84"/>
        </w:rPr>
      </w:pPr>
      <w:r>
        <w:rPr>
          <w:rFonts w:hint="eastAsia" w:ascii="宋体" w:hAnsi="宋体" w:cs="宋体"/>
          <w:b/>
          <w:sz w:val="84"/>
          <w:szCs w:val="84"/>
        </w:rPr>
        <w:t>响应文件</w:t>
      </w:r>
    </w:p>
    <w:p w14:paraId="66CAFCE9">
      <w:pPr>
        <w:ind w:firstLine="570"/>
        <w:jc w:val="center"/>
        <w:rPr>
          <w:rFonts w:ascii="宋体" w:hAnsi="宋体" w:cs="宋体"/>
          <w:b/>
          <w:sz w:val="84"/>
          <w:szCs w:val="84"/>
        </w:rPr>
      </w:pPr>
      <w:r>
        <w:rPr>
          <w:rFonts w:hint="eastAsia" w:ascii="宋体" w:hAnsi="宋体" w:cs="宋体"/>
          <w:b/>
          <w:sz w:val="30"/>
          <w:szCs w:val="30"/>
        </w:rPr>
        <w:t>（商务、技术文件）</w:t>
      </w:r>
    </w:p>
    <w:p w14:paraId="7AB979F9">
      <w:pPr>
        <w:ind w:firstLine="570"/>
        <w:jc w:val="center"/>
        <w:rPr>
          <w:rFonts w:ascii="宋体" w:hAnsi="宋体" w:cs="宋体"/>
          <w:b/>
          <w:sz w:val="84"/>
          <w:szCs w:val="84"/>
        </w:rPr>
      </w:pPr>
    </w:p>
    <w:p w14:paraId="1ED5C5B9">
      <w:pPr>
        <w:spacing w:line="800" w:lineRule="exact"/>
        <w:ind w:firstLine="570"/>
        <w:rPr>
          <w:rFonts w:ascii="宋体" w:hAnsi="宋体" w:cs="宋体"/>
          <w:sz w:val="28"/>
          <w:szCs w:val="28"/>
        </w:rPr>
      </w:pPr>
      <w:r>
        <w:rPr>
          <w:rFonts w:hint="eastAsia" w:ascii="宋体" w:hAnsi="宋体" w:cs="宋体"/>
          <w:sz w:val="28"/>
          <w:szCs w:val="28"/>
        </w:rPr>
        <w:t>项目名称：</w:t>
      </w:r>
    </w:p>
    <w:p w14:paraId="1572DF79">
      <w:pPr>
        <w:spacing w:line="800" w:lineRule="exact"/>
        <w:ind w:firstLine="570"/>
        <w:rPr>
          <w:rFonts w:ascii="宋体" w:hAnsi="宋体" w:cs="宋体"/>
          <w:sz w:val="28"/>
          <w:szCs w:val="28"/>
        </w:rPr>
      </w:pPr>
      <w:r>
        <w:rPr>
          <w:rFonts w:hint="eastAsia" w:ascii="宋体" w:hAnsi="宋体" w:cs="宋体"/>
          <w:sz w:val="28"/>
          <w:szCs w:val="28"/>
        </w:rPr>
        <w:t>项目编号：</w:t>
      </w:r>
    </w:p>
    <w:p w14:paraId="0EDAE95E">
      <w:pPr>
        <w:spacing w:line="800" w:lineRule="exact"/>
        <w:ind w:firstLine="570"/>
        <w:rPr>
          <w:rFonts w:ascii="宋体" w:hAnsi="宋体" w:cs="宋体"/>
          <w:sz w:val="28"/>
          <w:szCs w:val="28"/>
        </w:rPr>
      </w:pPr>
      <w:r>
        <w:rPr>
          <w:rFonts w:hint="eastAsia" w:ascii="宋体" w:hAnsi="宋体" w:cs="宋体"/>
          <w:sz w:val="28"/>
          <w:szCs w:val="28"/>
        </w:rPr>
        <w:t>标项：</w:t>
      </w:r>
    </w:p>
    <w:p w14:paraId="67991770">
      <w:pPr>
        <w:spacing w:line="800" w:lineRule="exact"/>
        <w:ind w:firstLine="570"/>
        <w:rPr>
          <w:rFonts w:ascii="宋体" w:hAnsi="宋体" w:cs="宋体"/>
          <w:sz w:val="28"/>
          <w:szCs w:val="28"/>
        </w:rPr>
      </w:pPr>
      <w:r>
        <w:rPr>
          <w:rFonts w:hint="eastAsia" w:ascii="宋体" w:hAnsi="宋体" w:cs="宋体"/>
          <w:sz w:val="28"/>
          <w:szCs w:val="28"/>
        </w:rPr>
        <w:t>供应商名称（盖章）：</w:t>
      </w:r>
    </w:p>
    <w:p w14:paraId="4771D8EC">
      <w:pPr>
        <w:spacing w:line="800" w:lineRule="exact"/>
        <w:ind w:firstLine="570"/>
        <w:rPr>
          <w:rFonts w:ascii="宋体" w:hAnsi="宋体" w:cs="宋体"/>
          <w:sz w:val="28"/>
          <w:szCs w:val="28"/>
        </w:rPr>
      </w:pPr>
      <w:r>
        <w:rPr>
          <w:rFonts w:hint="eastAsia" w:ascii="宋体" w:hAnsi="宋体" w:cs="宋体"/>
          <w:sz w:val="28"/>
          <w:szCs w:val="28"/>
        </w:rPr>
        <w:t>供应商地址：</w:t>
      </w:r>
    </w:p>
    <w:p w14:paraId="19E0B2C2">
      <w:pPr>
        <w:spacing w:line="800" w:lineRule="exact"/>
        <w:ind w:firstLine="570"/>
        <w:jc w:val="right"/>
        <w:rPr>
          <w:rFonts w:ascii="宋体" w:hAnsi="宋体" w:cs="宋体"/>
          <w:b/>
          <w:sz w:val="24"/>
        </w:rPr>
      </w:pPr>
      <w:r>
        <w:rPr>
          <w:rFonts w:hint="eastAsia" w:ascii="宋体" w:hAnsi="宋体" w:cs="宋体"/>
          <w:b/>
          <w:sz w:val="24"/>
        </w:rPr>
        <w:t xml:space="preserve">  年   月   日</w:t>
      </w:r>
    </w:p>
    <w:p w14:paraId="26A1129A">
      <w:pPr>
        <w:pStyle w:val="2"/>
        <w:rPr>
          <w:rFonts w:ascii="宋体" w:hAnsi="宋体" w:cs="宋体"/>
          <w:b w:val="0"/>
          <w:bCs w:val="0"/>
          <w:kern w:val="2"/>
          <w:sz w:val="21"/>
          <w:szCs w:val="24"/>
        </w:rPr>
      </w:pPr>
    </w:p>
    <w:p w14:paraId="6DFE2314"/>
    <w:p w14:paraId="2CF24C5D">
      <w:pPr>
        <w:pStyle w:val="2"/>
      </w:pPr>
    </w:p>
    <w:p w14:paraId="3A2BDB9C"/>
    <w:p w14:paraId="3BFCC6BC"/>
    <w:p w14:paraId="71D3EBEA">
      <w:pPr>
        <w:rPr>
          <w:rFonts w:ascii="宋体" w:hAnsi="宋体" w:cs="宋体"/>
          <w:sz w:val="28"/>
          <w:szCs w:val="28"/>
        </w:rPr>
      </w:pPr>
      <w:r>
        <w:rPr>
          <w:rFonts w:hint="eastAsia"/>
        </w:rPr>
        <w:t xml:space="preserve">     </w:t>
      </w:r>
      <w:r>
        <w:rPr>
          <w:rFonts w:hint="eastAsia" w:ascii="宋体" w:hAnsi="宋体" w:cs="宋体"/>
          <w:sz w:val="28"/>
          <w:szCs w:val="28"/>
        </w:rPr>
        <w:t>2、目  录</w:t>
      </w:r>
    </w:p>
    <w:p w14:paraId="516776BF">
      <w:pPr>
        <w:autoSpaceDE w:val="0"/>
        <w:autoSpaceDN w:val="0"/>
        <w:adjustRightInd w:val="0"/>
        <w:snapToGrid w:val="0"/>
        <w:spacing w:line="360" w:lineRule="exact"/>
        <w:ind w:firstLine="484" w:firstLineChars="202"/>
        <w:textAlignment w:val="bottom"/>
        <w:rPr>
          <w:rFonts w:ascii="宋体" w:hAnsi="宋体" w:cs="宋体"/>
          <w:bCs/>
          <w:sz w:val="24"/>
          <w:highlight w:val="none"/>
        </w:rPr>
      </w:pPr>
      <w:r>
        <w:rPr>
          <w:rFonts w:hint="eastAsia" w:ascii="宋体" w:hAnsi="宋体" w:cs="宋体"/>
          <w:bCs/>
          <w:sz w:val="24"/>
          <w:highlight w:val="none"/>
        </w:rPr>
        <w:t>商务</w:t>
      </w:r>
      <w:r>
        <w:rPr>
          <w:rFonts w:hint="eastAsia" w:ascii="宋体" w:hAnsi="宋体" w:cs="宋体"/>
          <w:bCs/>
          <w:sz w:val="24"/>
          <w:highlight w:val="none"/>
          <w:lang w:val="en-US" w:eastAsia="zh-CN"/>
        </w:rPr>
        <w:t>技术</w:t>
      </w:r>
      <w:r>
        <w:rPr>
          <w:rFonts w:hint="eastAsia" w:ascii="宋体" w:hAnsi="宋体" w:cs="宋体"/>
          <w:bCs/>
          <w:sz w:val="24"/>
          <w:highlight w:val="none"/>
        </w:rPr>
        <w:t>文件</w:t>
      </w:r>
    </w:p>
    <w:p w14:paraId="2C2382DF">
      <w:pPr>
        <w:spacing w:line="440" w:lineRule="exact"/>
        <w:ind w:left="424"/>
        <w:rPr>
          <w:rFonts w:hint="eastAsia" w:ascii="宋体" w:hAnsi="宋体" w:cs="宋体"/>
          <w:bCs/>
          <w:sz w:val="24"/>
          <w:highlight w:val="none"/>
          <w:lang w:val="en-US" w:eastAsia="zh-CN"/>
        </w:rPr>
      </w:pPr>
      <w:r>
        <w:rPr>
          <w:rFonts w:hint="eastAsia" w:ascii="宋体" w:hAnsi="宋体" w:cs="宋体"/>
          <w:bCs/>
          <w:sz w:val="24"/>
          <w:highlight w:val="none"/>
          <w:lang w:val="en-US" w:eastAsia="zh-CN"/>
        </w:rPr>
        <w:t>1）供应商自评分索引表；</w:t>
      </w:r>
    </w:p>
    <w:p w14:paraId="57E92BEA">
      <w:pPr>
        <w:spacing w:line="440" w:lineRule="exact"/>
        <w:ind w:left="424"/>
        <w:rPr>
          <w:rFonts w:hint="eastAsia" w:ascii="宋体" w:hAnsi="宋体" w:cs="宋体"/>
          <w:bCs/>
          <w:sz w:val="24"/>
          <w:highlight w:val="none"/>
          <w:lang w:val="en-US" w:eastAsia="zh-CN"/>
        </w:rPr>
      </w:pPr>
      <w:r>
        <w:rPr>
          <w:rFonts w:hint="eastAsia" w:ascii="宋体" w:hAnsi="宋体" w:cs="宋体"/>
          <w:bCs/>
          <w:sz w:val="24"/>
          <w:highlight w:val="none"/>
          <w:lang w:val="en-US" w:eastAsia="zh-CN"/>
        </w:rPr>
        <w:t>2）项目实施方案；</w:t>
      </w:r>
    </w:p>
    <w:p w14:paraId="72840D26">
      <w:pPr>
        <w:spacing w:line="440" w:lineRule="exact"/>
        <w:ind w:left="424"/>
        <w:rPr>
          <w:rFonts w:hint="eastAsia" w:ascii="宋体" w:hAnsi="宋体" w:cs="宋体"/>
          <w:bCs/>
          <w:sz w:val="24"/>
          <w:highlight w:val="none"/>
          <w:lang w:val="en-US" w:eastAsia="zh-CN"/>
        </w:rPr>
      </w:pPr>
      <w:r>
        <w:rPr>
          <w:rFonts w:hint="eastAsia" w:ascii="宋体" w:hAnsi="宋体" w:cs="宋体"/>
          <w:bCs/>
          <w:sz w:val="24"/>
          <w:highlight w:val="none"/>
          <w:lang w:val="en-US" w:eastAsia="zh-CN"/>
        </w:rPr>
        <w:t>3）人员配备；</w:t>
      </w:r>
    </w:p>
    <w:p w14:paraId="70F0D7E8">
      <w:pPr>
        <w:spacing w:line="440" w:lineRule="exact"/>
        <w:ind w:left="424"/>
        <w:rPr>
          <w:rFonts w:hint="eastAsia" w:ascii="宋体" w:hAnsi="宋体" w:cs="宋体"/>
          <w:bCs/>
          <w:sz w:val="24"/>
          <w:highlight w:val="none"/>
          <w:lang w:val="en-US" w:eastAsia="zh-CN"/>
        </w:rPr>
      </w:pPr>
      <w:r>
        <w:rPr>
          <w:rFonts w:hint="eastAsia" w:ascii="宋体" w:hAnsi="宋体" w:cs="宋体"/>
          <w:bCs/>
          <w:sz w:val="24"/>
          <w:highlight w:val="none"/>
          <w:lang w:val="en-US" w:eastAsia="zh-CN"/>
        </w:rPr>
        <w:t>4）拟投入设备；</w:t>
      </w:r>
    </w:p>
    <w:p w14:paraId="606C5E74">
      <w:pPr>
        <w:spacing w:line="440" w:lineRule="exact"/>
        <w:ind w:left="424"/>
        <w:rPr>
          <w:rFonts w:hint="eastAsia" w:ascii="宋体" w:hAnsi="宋体" w:cs="宋体"/>
          <w:bCs/>
          <w:sz w:val="24"/>
          <w:highlight w:val="none"/>
          <w:lang w:val="en-US" w:eastAsia="zh-CN"/>
        </w:rPr>
      </w:pPr>
      <w:r>
        <w:rPr>
          <w:rFonts w:hint="eastAsia" w:ascii="宋体" w:hAnsi="宋体" w:cs="宋体"/>
          <w:bCs/>
          <w:sz w:val="24"/>
          <w:highlight w:val="none"/>
          <w:lang w:val="en-US" w:eastAsia="zh-CN"/>
        </w:rPr>
        <w:t>5）售后服务承诺；</w:t>
      </w:r>
    </w:p>
    <w:p w14:paraId="17B9EDA9">
      <w:pPr>
        <w:spacing w:line="440" w:lineRule="exact"/>
        <w:ind w:left="424"/>
        <w:rPr>
          <w:rFonts w:hint="eastAsia" w:ascii="宋体" w:hAnsi="宋体" w:cs="宋体"/>
          <w:bCs/>
          <w:sz w:val="24"/>
          <w:highlight w:val="none"/>
          <w:lang w:val="en-US" w:eastAsia="zh-CN"/>
        </w:rPr>
      </w:pPr>
      <w:r>
        <w:rPr>
          <w:rFonts w:hint="eastAsia" w:ascii="宋体" w:hAnsi="宋体" w:cs="宋体"/>
          <w:bCs/>
          <w:sz w:val="24"/>
          <w:highlight w:val="none"/>
          <w:lang w:val="en-US" w:eastAsia="zh-CN"/>
        </w:rPr>
        <w:t>6）企业业绩；</w:t>
      </w:r>
    </w:p>
    <w:p w14:paraId="58AF4F77">
      <w:pPr>
        <w:spacing w:line="440" w:lineRule="exact"/>
        <w:ind w:left="424"/>
        <w:rPr>
          <w:rFonts w:hint="eastAsia" w:ascii="宋体" w:hAnsi="宋体" w:cs="宋体"/>
          <w:bCs/>
          <w:sz w:val="24"/>
          <w:highlight w:val="none"/>
          <w:lang w:val="en-US" w:eastAsia="zh-CN"/>
        </w:rPr>
      </w:pPr>
      <w:r>
        <w:rPr>
          <w:rFonts w:hint="eastAsia" w:ascii="宋体" w:hAnsi="宋体" w:cs="宋体"/>
          <w:bCs/>
          <w:sz w:val="24"/>
          <w:highlight w:val="none"/>
          <w:lang w:val="en-US" w:eastAsia="zh-CN"/>
        </w:rPr>
        <w:t>7）企业认证；</w:t>
      </w:r>
    </w:p>
    <w:p w14:paraId="69488885">
      <w:pPr>
        <w:spacing w:line="440" w:lineRule="exact"/>
        <w:ind w:left="424"/>
        <w:rPr>
          <w:rFonts w:hint="eastAsia" w:ascii="宋体" w:hAnsi="宋体" w:cs="宋体"/>
          <w:bCs/>
          <w:sz w:val="24"/>
          <w:highlight w:val="none"/>
          <w:lang w:val="en-US" w:eastAsia="zh-CN"/>
        </w:rPr>
      </w:pPr>
      <w:r>
        <w:rPr>
          <w:rFonts w:hint="eastAsia" w:ascii="宋体" w:hAnsi="宋体" w:cs="宋体"/>
          <w:bCs/>
          <w:sz w:val="24"/>
          <w:highlight w:val="none"/>
          <w:lang w:val="en-US" w:eastAsia="zh-CN"/>
        </w:rPr>
        <w:t>8）商务响应表；</w:t>
      </w:r>
    </w:p>
    <w:p w14:paraId="1E017891">
      <w:pPr>
        <w:spacing w:line="440" w:lineRule="exact"/>
        <w:ind w:left="424"/>
        <w:rPr>
          <w:rFonts w:hint="eastAsia" w:ascii="宋体" w:hAnsi="宋体" w:cs="宋体"/>
          <w:bCs/>
          <w:sz w:val="24"/>
          <w:highlight w:val="none"/>
          <w:lang w:val="en-US" w:eastAsia="zh-CN"/>
        </w:rPr>
      </w:pPr>
      <w:r>
        <w:rPr>
          <w:rFonts w:hint="eastAsia" w:ascii="宋体" w:hAnsi="宋体" w:cs="宋体"/>
          <w:bCs/>
          <w:sz w:val="24"/>
          <w:highlight w:val="none"/>
          <w:lang w:val="en-US" w:eastAsia="zh-CN"/>
        </w:rPr>
        <w:t>9）供应商需要说明的其他文件和说明。</w:t>
      </w:r>
    </w:p>
    <w:p w14:paraId="574BC001">
      <w:pPr>
        <w:spacing w:line="440" w:lineRule="exact"/>
        <w:ind w:left="424"/>
        <w:rPr>
          <w:rFonts w:ascii="宋体" w:hAnsi="宋体" w:cs="宋体"/>
          <w:b/>
          <w:sz w:val="28"/>
          <w:szCs w:val="28"/>
        </w:rPr>
      </w:pPr>
      <w:r>
        <w:rPr>
          <w:rFonts w:hint="eastAsia" w:ascii="宋体" w:hAnsi="宋体" w:cs="宋体"/>
          <w:b/>
          <w:color w:val="000000"/>
          <w:sz w:val="28"/>
          <w:szCs w:val="28"/>
        </w:rPr>
        <w:t>以上磋商响应文件组成内容中的复印件均须CA签章，提供材料不真实、不完整或伪造证明材料的，后果自负。</w:t>
      </w:r>
    </w:p>
    <w:p w14:paraId="67CE444E">
      <w:pPr>
        <w:spacing w:line="400" w:lineRule="exact"/>
        <w:jc w:val="left"/>
        <w:rPr>
          <w:rFonts w:ascii="宋体" w:hAnsi="宋体" w:cs="宋体"/>
          <w:color w:val="000000"/>
          <w:sz w:val="28"/>
          <w:szCs w:val="28"/>
        </w:rPr>
      </w:pPr>
    </w:p>
    <w:p w14:paraId="1C91C9D4">
      <w:pPr>
        <w:spacing w:line="400" w:lineRule="exact"/>
        <w:jc w:val="left"/>
        <w:rPr>
          <w:rFonts w:ascii="宋体" w:hAnsi="宋体" w:cs="宋体"/>
          <w:color w:val="000000"/>
          <w:sz w:val="28"/>
          <w:szCs w:val="28"/>
        </w:rPr>
      </w:pPr>
    </w:p>
    <w:p w14:paraId="304EC5CD">
      <w:pPr>
        <w:spacing w:line="400" w:lineRule="exact"/>
        <w:jc w:val="left"/>
        <w:rPr>
          <w:rFonts w:ascii="宋体" w:hAnsi="宋体" w:cs="宋体"/>
          <w:color w:val="000000"/>
          <w:sz w:val="28"/>
          <w:szCs w:val="28"/>
        </w:rPr>
      </w:pPr>
    </w:p>
    <w:p w14:paraId="5AE971B3">
      <w:pPr>
        <w:spacing w:line="400" w:lineRule="exact"/>
        <w:jc w:val="left"/>
        <w:rPr>
          <w:rFonts w:ascii="宋体" w:hAnsi="宋体" w:cs="宋体"/>
          <w:color w:val="000000"/>
          <w:sz w:val="28"/>
          <w:szCs w:val="28"/>
        </w:rPr>
      </w:pPr>
    </w:p>
    <w:p w14:paraId="7FF965B6">
      <w:pPr>
        <w:spacing w:line="400" w:lineRule="exact"/>
        <w:jc w:val="left"/>
        <w:rPr>
          <w:rFonts w:ascii="宋体" w:hAnsi="宋体" w:cs="宋体"/>
          <w:color w:val="000000"/>
          <w:sz w:val="28"/>
          <w:szCs w:val="28"/>
        </w:rPr>
      </w:pPr>
    </w:p>
    <w:p w14:paraId="4425AFBD">
      <w:pPr>
        <w:spacing w:line="400" w:lineRule="exact"/>
        <w:jc w:val="left"/>
        <w:rPr>
          <w:rFonts w:ascii="宋体" w:hAnsi="宋体" w:cs="宋体"/>
          <w:color w:val="000000"/>
          <w:sz w:val="28"/>
          <w:szCs w:val="28"/>
        </w:rPr>
      </w:pPr>
    </w:p>
    <w:p w14:paraId="229D44B0">
      <w:pPr>
        <w:keepNext/>
        <w:pageBreakBefore/>
        <w:spacing w:line="400" w:lineRule="exact"/>
        <w:jc w:val="left"/>
        <w:rPr>
          <w:rFonts w:ascii="宋体" w:hAnsi="宋体" w:cs="宋体"/>
          <w:color w:val="000000"/>
          <w:sz w:val="28"/>
          <w:szCs w:val="28"/>
        </w:rPr>
      </w:pPr>
      <w:r>
        <w:rPr>
          <w:rFonts w:hint="eastAsia" w:ascii="宋体" w:hAnsi="宋体" w:cs="宋体"/>
          <w:color w:val="000000"/>
          <w:sz w:val="28"/>
          <w:szCs w:val="28"/>
        </w:rPr>
        <w:t>3、磋商声明书</w:t>
      </w:r>
    </w:p>
    <w:p w14:paraId="13897A61">
      <w:pPr>
        <w:spacing w:line="360" w:lineRule="auto"/>
        <w:jc w:val="center"/>
        <w:rPr>
          <w:rFonts w:ascii="宋体" w:hAnsi="宋体" w:cs="宋体"/>
          <w:b/>
          <w:sz w:val="28"/>
          <w:szCs w:val="28"/>
        </w:rPr>
      </w:pPr>
      <w:bookmarkStart w:id="22" w:name="_Toc414960388"/>
      <w:r>
        <w:rPr>
          <w:rFonts w:hint="eastAsia" w:ascii="宋体" w:hAnsi="宋体" w:cs="宋体"/>
          <w:b/>
          <w:sz w:val="28"/>
          <w:szCs w:val="28"/>
        </w:rPr>
        <w:t>磋 商 声 明 书</w:t>
      </w:r>
      <w:bookmarkEnd w:id="22"/>
    </w:p>
    <w:p w14:paraId="69AC2CB6">
      <w:pPr>
        <w:pStyle w:val="16"/>
        <w:spacing w:line="460" w:lineRule="atLeast"/>
        <w:jc w:val="center"/>
        <w:rPr>
          <w:rFonts w:cs="宋体"/>
        </w:rPr>
      </w:pPr>
    </w:p>
    <w:p w14:paraId="23A4C06F">
      <w:pPr>
        <w:adjustRightInd w:val="0"/>
        <w:snapToGrid w:val="0"/>
        <w:spacing w:line="360" w:lineRule="auto"/>
        <w:rPr>
          <w:rFonts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w:t>
      </w:r>
    </w:p>
    <w:p w14:paraId="3D5DB0E2">
      <w:pPr>
        <w:tabs>
          <w:tab w:val="left" w:pos="1418"/>
        </w:tabs>
        <w:snapToGrid w:val="0"/>
        <w:spacing w:before="50" w:after="50" w:line="360" w:lineRule="auto"/>
        <w:ind w:firstLine="420" w:firstLineChars="20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（供应商名称）系中华人民共和国合法企业，经营地址</w:t>
      </w:r>
      <w:r>
        <w:rPr>
          <w:rFonts w:hint="eastAsia" w:ascii="宋体" w:hAnsi="宋体" w:cs="宋体"/>
          <w:color w:val="000000"/>
          <w:szCs w:val="21"/>
          <w:u w:val="single"/>
        </w:rPr>
        <w:t xml:space="preserve">                        </w:t>
      </w:r>
      <w:r>
        <w:rPr>
          <w:rFonts w:hint="eastAsia" w:ascii="宋体" w:hAnsi="宋体" w:cs="宋体"/>
          <w:color w:val="000000"/>
          <w:szCs w:val="21"/>
        </w:rPr>
        <w:t>。</w:t>
      </w:r>
    </w:p>
    <w:p w14:paraId="141EBDB3">
      <w:pPr>
        <w:tabs>
          <w:tab w:val="left" w:pos="1418"/>
        </w:tabs>
        <w:snapToGrid w:val="0"/>
        <w:spacing w:before="50" w:after="50" w:line="360" w:lineRule="auto"/>
        <w:ind w:firstLine="420" w:firstLineChars="200"/>
        <w:rPr>
          <w:rFonts w:ascii="宋体" w:hAnsi="宋体" w:cs="宋体"/>
          <w:color w:val="000000"/>
          <w:szCs w:val="21"/>
        </w:rPr>
      </w:pPr>
      <w:r>
        <w:rPr>
          <w:rFonts w:hint="eastAsia" w:ascii="宋体" w:hAnsi="宋体" w:cs="宋体"/>
          <w:color w:val="000000"/>
          <w:szCs w:val="21"/>
        </w:rPr>
        <w:t>我</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（供应商名称）的法定代表人，我方愿意参加贵方组织的</w:t>
      </w:r>
      <w:r>
        <w:rPr>
          <w:rFonts w:hint="eastAsia" w:ascii="宋体" w:hAnsi="宋体" w:cs="宋体"/>
          <w:color w:val="000000"/>
          <w:szCs w:val="21"/>
          <w:u w:val="single"/>
        </w:rPr>
        <w:t xml:space="preserve">             </w:t>
      </w:r>
      <w:r>
        <w:rPr>
          <w:rFonts w:hint="eastAsia" w:ascii="宋体" w:hAnsi="宋体" w:cs="宋体"/>
          <w:color w:val="000000"/>
          <w:szCs w:val="21"/>
        </w:rPr>
        <w:t>项目的磋商，为便于贵方公正、择优地确定成交供应商及其磋商项目的服务，我方就本次磋商有关事项郑重声明如下：</w:t>
      </w:r>
    </w:p>
    <w:p w14:paraId="4ED2DDAA">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1、我方向贵方提交的所有响应文件、资料都是准确的和真实的；</w:t>
      </w:r>
    </w:p>
    <w:p w14:paraId="67CC7886">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2、我方不是采购人的附属机构；在获知本项目采购信息后，与采购人聘请的为此项目提供咨询服务的公司及其附属机构没有任何联系。</w:t>
      </w:r>
    </w:p>
    <w:p w14:paraId="39109F61">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3、我方此次向贵方提供的服务是</w:t>
      </w:r>
      <w:r>
        <w:rPr>
          <w:rFonts w:hint="eastAsia" w:ascii="宋体" w:hAnsi="宋体" w:cs="宋体"/>
          <w:color w:val="000000"/>
          <w:szCs w:val="21"/>
          <w:u w:val="single"/>
        </w:rPr>
        <w:t xml:space="preserve">         </w:t>
      </w:r>
      <w:r>
        <w:rPr>
          <w:rFonts w:hint="eastAsia" w:ascii="宋体" w:hAnsi="宋体" w:cs="宋体"/>
          <w:color w:val="000000"/>
          <w:szCs w:val="21"/>
        </w:rPr>
        <w:t>。</w:t>
      </w:r>
    </w:p>
    <w:p w14:paraId="0246C103">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4、我方最近三年内的被公开披露或查处的违法违规行为有：</w:t>
      </w:r>
      <w:r>
        <w:rPr>
          <w:rFonts w:hint="eastAsia" w:ascii="宋体" w:hAnsi="宋体" w:cs="宋体"/>
          <w:color w:val="000000"/>
          <w:szCs w:val="21"/>
          <w:u w:val="single"/>
        </w:rPr>
        <w:t xml:space="preserve">　                </w:t>
      </w:r>
    </w:p>
    <w:p w14:paraId="563FD315">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5、我方承诺：最近三年我方无行贿犯罪行为，若我方成交，愿意接受社会监督和检察院调查，若与我方承诺不符，可免除我方成交人资格。                                                  </w:t>
      </w:r>
    </w:p>
    <w:p w14:paraId="743E83A4">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6、以上事项如有虚假或隐瞒，我方愿意承担一切后果和责任。</w:t>
      </w:r>
    </w:p>
    <w:p w14:paraId="322FA59C">
      <w:pPr>
        <w:adjustRightInd w:val="0"/>
        <w:snapToGrid w:val="0"/>
        <w:spacing w:line="360" w:lineRule="auto"/>
        <w:ind w:firstLine="420" w:firstLineChars="200"/>
        <w:rPr>
          <w:rFonts w:ascii="宋体" w:hAnsi="宋体" w:cs="宋体"/>
          <w:color w:val="000000"/>
          <w:szCs w:val="21"/>
          <w:u w:val="single"/>
        </w:rPr>
      </w:pPr>
    </w:p>
    <w:p w14:paraId="15D6F89D">
      <w:pPr>
        <w:adjustRightInd w:val="0"/>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法定代表人签字：</w:t>
      </w:r>
      <w:r>
        <w:rPr>
          <w:rFonts w:hint="eastAsia" w:ascii="宋体" w:hAnsi="宋体" w:cs="宋体"/>
          <w:color w:val="000000"/>
          <w:szCs w:val="21"/>
          <w:u w:val="single"/>
        </w:rPr>
        <w:t xml:space="preserve">             </w:t>
      </w:r>
    </w:p>
    <w:p w14:paraId="7D81E746">
      <w:pPr>
        <w:adjustRightInd w:val="0"/>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供应商盖章：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211A4C43">
      <w:pPr>
        <w:adjustRightInd w:val="0"/>
        <w:snapToGrid w:val="0"/>
        <w:spacing w:line="360" w:lineRule="auto"/>
        <w:ind w:firstLine="210" w:firstLineChars="100"/>
        <w:rPr>
          <w:rFonts w:ascii="宋体" w:hAnsi="宋体" w:cs="宋体"/>
          <w:color w:val="000000"/>
          <w:szCs w:val="21"/>
        </w:rPr>
      </w:pPr>
      <w:r>
        <w:rPr>
          <w:rFonts w:hint="eastAsia" w:ascii="宋体" w:hAnsi="宋体" w:cs="宋体"/>
          <w:color w:val="000000"/>
          <w:szCs w:val="21"/>
        </w:rPr>
        <w:t xml:space="preserve">  年    月    日</w:t>
      </w:r>
    </w:p>
    <w:p w14:paraId="2B4AC0FF">
      <w:pPr>
        <w:ind w:firstLine="315" w:firstLineChars="150"/>
        <w:rPr>
          <w:rFonts w:ascii="宋体" w:hAnsi="宋体" w:cs="宋体"/>
        </w:rPr>
      </w:pPr>
    </w:p>
    <w:p w14:paraId="71363014">
      <w:pPr>
        <w:spacing w:line="400" w:lineRule="exact"/>
        <w:jc w:val="left"/>
        <w:rPr>
          <w:rFonts w:ascii="宋体" w:hAnsi="宋体" w:cs="宋体"/>
          <w:color w:val="000000"/>
          <w:sz w:val="28"/>
          <w:szCs w:val="28"/>
        </w:rPr>
      </w:pPr>
    </w:p>
    <w:p w14:paraId="6753A62B">
      <w:pPr>
        <w:spacing w:line="400" w:lineRule="exact"/>
        <w:jc w:val="left"/>
        <w:rPr>
          <w:rFonts w:ascii="宋体" w:hAnsi="宋体" w:cs="宋体"/>
          <w:color w:val="000000"/>
          <w:sz w:val="28"/>
          <w:szCs w:val="28"/>
        </w:rPr>
      </w:pPr>
    </w:p>
    <w:p w14:paraId="53205379">
      <w:pPr>
        <w:spacing w:line="400" w:lineRule="exact"/>
        <w:jc w:val="left"/>
        <w:rPr>
          <w:rFonts w:ascii="宋体" w:hAnsi="宋体" w:cs="宋体"/>
          <w:color w:val="000000"/>
          <w:sz w:val="28"/>
          <w:szCs w:val="28"/>
        </w:rPr>
      </w:pPr>
    </w:p>
    <w:p w14:paraId="1BC28365">
      <w:pPr>
        <w:spacing w:line="400" w:lineRule="exact"/>
        <w:jc w:val="left"/>
        <w:rPr>
          <w:rFonts w:ascii="宋体" w:hAnsi="宋体" w:cs="宋体"/>
          <w:color w:val="000000"/>
          <w:sz w:val="28"/>
          <w:szCs w:val="28"/>
        </w:rPr>
      </w:pPr>
    </w:p>
    <w:p w14:paraId="67B5E95D">
      <w:pPr>
        <w:spacing w:line="400" w:lineRule="exact"/>
        <w:jc w:val="left"/>
        <w:rPr>
          <w:rFonts w:ascii="宋体" w:hAnsi="宋体" w:cs="宋体"/>
          <w:color w:val="000000"/>
          <w:sz w:val="28"/>
          <w:szCs w:val="28"/>
        </w:rPr>
      </w:pPr>
    </w:p>
    <w:p w14:paraId="71F3EF7B">
      <w:pPr>
        <w:spacing w:line="400" w:lineRule="exact"/>
        <w:jc w:val="left"/>
        <w:rPr>
          <w:rFonts w:ascii="宋体" w:hAnsi="宋体" w:cs="宋体"/>
          <w:color w:val="000000"/>
          <w:sz w:val="28"/>
          <w:szCs w:val="28"/>
        </w:rPr>
      </w:pPr>
    </w:p>
    <w:p w14:paraId="5AFE4664">
      <w:pPr>
        <w:spacing w:line="400" w:lineRule="exact"/>
        <w:jc w:val="left"/>
        <w:rPr>
          <w:rFonts w:ascii="宋体" w:hAnsi="宋体" w:cs="宋体"/>
          <w:color w:val="000000"/>
          <w:sz w:val="28"/>
          <w:szCs w:val="28"/>
        </w:rPr>
      </w:pPr>
    </w:p>
    <w:p w14:paraId="0F6AFF2C">
      <w:pPr>
        <w:spacing w:line="400" w:lineRule="exact"/>
        <w:jc w:val="left"/>
        <w:rPr>
          <w:rFonts w:ascii="宋体" w:hAnsi="宋体" w:cs="宋体"/>
          <w:color w:val="000000"/>
          <w:sz w:val="28"/>
          <w:szCs w:val="28"/>
        </w:rPr>
      </w:pPr>
    </w:p>
    <w:p w14:paraId="15DA0257">
      <w:pPr>
        <w:spacing w:line="400" w:lineRule="exact"/>
        <w:jc w:val="left"/>
        <w:rPr>
          <w:rFonts w:ascii="宋体" w:hAnsi="宋体" w:cs="宋体"/>
          <w:color w:val="000000"/>
          <w:sz w:val="28"/>
          <w:szCs w:val="28"/>
        </w:rPr>
      </w:pPr>
    </w:p>
    <w:p w14:paraId="524168D8">
      <w:pPr>
        <w:spacing w:line="400" w:lineRule="exact"/>
        <w:jc w:val="left"/>
        <w:rPr>
          <w:rFonts w:ascii="宋体" w:hAnsi="宋体" w:cs="宋体"/>
          <w:color w:val="000000"/>
          <w:sz w:val="28"/>
          <w:szCs w:val="28"/>
        </w:rPr>
      </w:pPr>
    </w:p>
    <w:p w14:paraId="4E12EBE2">
      <w:pPr>
        <w:spacing w:line="400" w:lineRule="exact"/>
        <w:jc w:val="left"/>
        <w:rPr>
          <w:rFonts w:ascii="宋体" w:hAnsi="宋体" w:cs="宋体"/>
          <w:color w:val="000000"/>
          <w:sz w:val="28"/>
          <w:szCs w:val="28"/>
        </w:rPr>
      </w:pPr>
    </w:p>
    <w:p w14:paraId="6821EF6B">
      <w:pPr>
        <w:spacing w:line="400" w:lineRule="exact"/>
        <w:jc w:val="left"/>
        <w:rPr>
          <w:rFonts w:ascii="宋体" w:hAnsi="宋体" w:cs="宋体"/>
          <w:color w:val="000000"/>
          <w:sz w:val="28"/>
          <w:szCs w:val="28"/>
        </w:rPr>
      </w:pPr>
    </w:p>
    <w:p w14:paraId="609C7611">
      <w:pPr>
        <w:spacing w:line="400" w:lineRule="exact"/>
        <w:jc w:val="left"/>
        <w:rPr>
          <w:rFonts w:ascii="宋体" w:hAnsi="宋体" w:cs="宋体"/>
          <w:color w:val="000000"/>
          <w:sz w:val="28"/>
          <w:szCs w:val="28"/>
        </w:rPr>
      </w:pPr>
      <w:r>
        <w:rPr>
          <w:rFonts w:hint="eastAsia" w:ascii="宋体" w:hAnsi="宋体" w:cs="宋体"/>
          <w:color w:val="000000"/>
          <w:sz w:val="28"/>
          <w:szCs w:val="28"/>
        </w:rPr>
        <w:t>4、初次报价表格式</w:t>
      </w:r>
    </w:p>
    <w:p w14:paraId="729BCBC1">
      <w:pPr>
        <w:rPr>
          <w:rFonts w:ascii="宋体" w:hAnsi="宋体" w:cs="宋体"/>
          <w:sz w:val="32"/>
        </w:rPr>
      </w:pPr>
    </w:p>
    <w:p w14:paraId="4409F160">
      <w:pPr>
        <w:spacing w:line="360" w:lineRule="auto"/>
        <w:jc w:val="center"/>
        <w:rPr>
          <w:rFonts w:ascii="宋体" w:hAnsi="宋体" w:cs="宋体"/>
          <w:kern w:val="0"/>
          <w:sz w:val="30"/>
          <w:szCs w:val="30"/>
        </w:rPr>
      </w:pPr>
      <w:bookmarkStart w:id="23" w:name="_Toc414960387"/>
      <w:r>
        <w:rPr>
          <w:rFonts w:hint="eastAsia" w:ascii="宋体" w:hAnsi="宋体" w:cs="宋体"/>
          <w:kern w:val="0"/>
          <w:sz w:val="30"/>
          <w:szCs w:val="30"/>
        </w:rPr>
        <w:t>初 次 报 价 表</w:t>
      </w:r>
      <w:bookmarkEnd w:id="23"/>
    </w:p>
    <w:p w14:paraId="42141205">
      <w:pPr>
        <w:pStyle w:val="7"/>
        <w:tabs>
          <w:tab w:val="left" w:pos="4477"/>
        </w:tabs>
        <w:spacing w:line="400" w:lineRule="exact"/>
        <w:ind w:firstLine="0"/>
        <w:rPr>
          <w:rFonts w:ascii="宋体" w:hAnsi="宋体" w:cs="宋体"/>
          <w:szCs w:val="24"/>
        </w:rPr>
      </w:pPr>
      <w:r>
        <w:rPr>
          <w:rFonts w:hint="eastAsia" w:ascii="宋体" w:hAnsi="宋体" w:cs="宋体"/>
          <w:szCs w:val="24"/>
        </w:rPr>
        <w:t xml:space="preserve">                  </w:t>
      </w:r>
    </w:p>
    <w:p w14:paraId="0DEA41E5">
      <w:pPr>
        <w:spacing w:line="360" w:lineRule="auto"/>
        <w:rPr>
          <w:rFonts w:ascii="宋体" w:hAnsi="宋体" w:cs="宋体"/>
          <w:sz w:val="24"/>
        </w:rPr>
      </w:pPr>
      <w:r>
        <w:rPr>
          <w:rFonts w:hint="eastAsia" w:ascii="宋体" w:hAnsi="宋体" w:cs="宋体"/>
          <w:sz w:val="24"/>
        </w:rPr>
        <w:t>项目名称：</w:t>
      </w:r>
      <w:r>
        <w:rPr>
          <w:rFonts w:hint="eastAsia" w:ascii="宋体" w:hAnsi="宋体" w:cs="宋体"/>
          <w:sz w:val="24"/>
          <w:lang w:eastAsia="zh-CN"/>
        </w:rPr>
        <w:t>环卫小型设施设备养护及保障服务项目</w:t>
      </w:r>
      <w:r>
        <w:rPr>
          <w:rFonts w:hint="eastAsia" w:ascii="宋体" w:hAnsi="宋体" w:cs="宋体"/>
          <w:sz w:val="24"/>
        </w:rPr>
        <w:t xml:space="preserve">              </w:t>
      </w:r>
    </w:p>
    <w:p w14:paraId="49647732">
      <w:pPr>
        <w:spacing w:line="360" w:lineRule="auto"/>
        <w:rPr>
          <w:rFonts w:hint="eastAsia"/>
          <w:lang w:eastAsia="zh-CN"/>
        </w:rPr>
      </w:pPr>
      <w:r>
        <w:rPr>
          <w:rFonts w:hint="eastAsia" w:ascii="宋体" w:hAnsi="宋体" w:cs="宋体"/>
          <w:sz w:val="24"/>
        </w:rPr>
        <w:t>项目编号：</w:t>
      </w:r>
      <w:r>
        <w:rPr>
          <w:rFonts w:hint="eastAsia" w:ascii="宋体" w:hAnsi="宋体" w:cs="宋体"/>
          <w:sz w:val="24"/>
          <w:lang w:eastAsia="zh-CN"/>
        </w:rPr>
        <w:t>浙华采字【2025】hzf-6007号</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2889"/>
        <w:gridCol w:w="1728"/>
        <w:gridCol w:w="2816"/>
      </w:tblGrid>
      <w:tr w14:paraId="47A8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973" w:type="pct"/>
            <w:vAlign w:val="center"/>
          </w:tcPr>
          <w:p w14:paraId="1264DEAB">
            <w:pPr>
              <w:spacing w:line="440" w:lineRule="exact"/>
              <w:jc w:val="center"/>
              <w:rPr>
                <w:rFonts w:ascii="宋体" w:hAnsi="宋体" w:cs="宋体"/>
                <w:sz w:val="24"/>
              </w:rPr>
            </w:pPr>
            <w:r>
              <w:rPr>
                <w:rFonts w:hint="eastAsia" w:ascii="宋体" w:hAnsi="宋体" w:cs="宋体"/>
                <w:sz w:val="24"/>
              </w:rPr>
              <w:t>序号</w:t>
            </w:r>
          </w:p>
        </w:tc>
        <w:tc>
          <w:tcPr>
            <w:tcW w:w="1565" w:type="pct"/>
            <w:vAlign w:val="center"/>
          </w:tcPr>
          <w:p w14:paraId="03C5A2C5">
            <w:pPr>
              <w:spacing w:line="440" w:lineRule="exact"/>
              <w:jc w:val="center"/>
              <w:rPr>
                <w:rFonts w:ascii="宋体" w:hAnsi="宋体" w:cs="宋体"/>
                <w:sz w:val="24"/>
              </w:rPr>
            </w:pPr>
            <w:r>
              <w:rPr>
                <w:rFonts w:hint="eastAsia" w:ascii="宋体" w:hAnsi="宋体" w:cs="宋体"/>
                <w:sz w:val="24"/>
              </w:rPr>
              <w:t>采购内容</w:t>
            </w:r>
          </w:p>
        </w:tc>
        <w:tc>
          <w:tcPr>
            <w:tcW w:w="936" w:type="pct"/>
            <w:vAlign w:val="center"/>
          </w:tcPr>
          <w:p w14:paraId="5C51AAEA">
            <w:pPr>
              <w:spacing w:line="440" w:lineRule="exact"/>
              <w:jc w:val="center"/>
              <w:rPr>
                <w:rFonts w:ascii="宋体" w:hAnsi="宋体" w:cs="宋体"/>
                <w:sz w:val="24"/>
              </w:rPr>
            </w:pPr>
            <w:r>
              <w:rPr>
                <w:rFonts w:hint="eastAsia" w:ascii="宋体" w:hAnsi="宋体" w:cs="宋体"/>
                <w:sz w:val="24"/>
              </w:rPr>
              <w:t>数量</w:t>
            </w:r>
          </w:p>
        </w:tc>
        <w:tc>
          <w:tcPr>
            <w:tcW w:w="1524" w:type="pct"/>
            <w:vAlign w:val="center"/>
          </w:tcPr>
          <w:p w14:paraId="300B2936">
            <w:pPr>
              <w:spacing w:line="440" w:lineRule="exact"/>
              <w:jc w:val="center"/>
              <w:rPr>
                <w:rFonts w:ascii="宋体" w:hAnsi="宋体" w:cs="宋体"/>
                <w:sz w:val="24"/>
              </w:rPr>
            </w:pPr>
            <w:r>
              <w:rPr>
                <w:rFonts w:hint="eastAsia" w:ascii="宋体" w:hAnsi="宋体" w:cs="宋体"/>
                <w:sz w:val="24"/>
              </w:rPr>
              <w:t>备注</w:t>
            </w:r>
          </w:p>
        </w:tc>
      </w:tr>
      <w:tr w14:paraId="5455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973" w:type="pct"/>
            <w:vAlign w:val="center"/>
          </w:tcPr>
          <w:p w14:paraId="2BC5F635">
            <w:pPr>
              <w:spacing w:line="440" w:lineRule="exact"/>
              <w:jc w:val="center"/>
              <w:rPr>
                <w:rFonts w:ascii="宋体" w:hAnsi="宋体" w:cs="宋体"/>
                <w:sz w:val="24"/>
              </w:rPr>
            </w:pPr>
            <w:r>
              <w:rPr>
                <w:rFonts w:hint="eastAsia" w:ascii="宋体" w:hAnsi="宋体" w:cs="宋体"/>
                <w:sz w:val="24"/>
              </w:rPr>
              <w:t>1</w:t>
            </w:r>
          </w:p>
        </w:tc>
        <w:tc>
          <w:tcPr>
            <w:tcW w:w="1565" w:type="pct"/>
            <w:vAlign w:val="center"/>
          </w:tcPr>
          <w:p w14:paraId="7AC3F1D1">
            <w:pPr>
              <w:spacing w:line="440" w:lineRule="exact"/>
              <w:jc w:val="center"/>
              <w:rPr>
                <w:rFonts w:ascii="宋体" w:hAnsi="宋体" w:cs="宋体"/>
                <w:sz w:val="24"/>
              </w:rPr>
            </w:pPr>
            <w:r>
              <w:rPr>
                <w:rFonts w:hint="eastAsia" w:ascii="宋体" w:hAnsi="宋体" w:cs="宋体"/>
                <w:sz w:val="24"/>
                <w:lang w:eastAsia="zh-CN"/>
              </w:rPr>
              <w:t>环卫小型设施设备养护及保障服务</w:t>
            </w:r>
          </w:p>
        </w:tc>
        <w:tc>
          <w:tcPr>
            <w:tcW w:w="936" w:type="pct"/>
            <w:vAlign w:val="center"/>
          </w:tcPr>
          <w:p w14:paraId="71B58DD1">
            <w:pPr>
              <w:spacing w:line="44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项</w:t>
            </w:r>
          </w:p>
        </w:tc>
        <w:tc>
          <w:tcPr>
            <w:tcW w:w="1524" w:type="pct"/>
            <w:vAlign w:val="center"/>
          </w:tcPr>
          <w:p w14:paraId="645FBF86">
            <w:pPr>
              <w:spacing w:line="440" w:lineRule="exact"/>
              <w:jc w:val="center"/>
              <w:rPr>
                <w:rFonts w:hint="eastAsia" w:ascii="宋体" w:hAnsi="宋体" w:eastAsia="宋体" w:cs="宋体"/>
                <w:sz w:val="24"/>
                <w:lang w:eastAsia="zh-CN"/>
              </w:rPr>
            </w:pPr>
            <w:r>
              <w:rPr>
                <w:rFonts w:hint="eastAsia" w:ascii="宋体" w:hAnsi="宋体" w:cs="宋体"/>
                <w:sz w:val="24"/>
              </w:rPr>
              <w:t>具体见</w:t>
            </w:r>
            <w:r>
              <w:rPr>
                <w:rFonts w:hint="eastAsia" w:ascii="宋体" w:hAnsi="宋体" w:cs="宋体"/>
                <w:sz w:val="24"/>
                <w:lang w:eastAsia="zh-CN"/>
              </w:rPr>
              <w:t>项目内容</w:t>
            </w:r>
          </w:p>
        </w:tc>
      </w:tr>
      <w:tr w14:paraId="7EE6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73" w:type="pct"/>
            <w:vMerge w:val="restart"/>
            <w:tcBorders>
              <w:top w:val="single" w:color="auto" w:sz="4" w:space="0"/>
            </w:tcBorders>
            <w:vAlign w:val="center"/>
          </w:tcPr>
          <w:p w14:paraId="4E015732">
            <w:pPr>
              <w:spacing w:line="440" w:lineRule="exact"/>
              <w:jc w:val="center"/>
              <w:rPr>
                <w:rFonts w:ascii="宋体" w:hAnsi="宋体" w:cs="宋体"/>
                <w:b/>
                <w:bCs/>
                <w:sz w:val="24"/>
              </w:rPr>
            </w:pPr>
            <w:r>
              <w:rPr>
                <w:rFonts w:hint="eastAsia" w:ascii="宋体" w:hAnsi="宋体" w:cs="宋体"/>
                <w:b/>
                <w:bCs/>
                <w:sz w:val="24"/>
              </w:rPr>
              <w:t>磋商总报价</w:t>
            </w:r>
          </w:p>
          <w:p w14:paraId="29B60502">
            <w:pPr>
              <w:spacing w:line="440" w:lineRule="exact"/>
              <w:jc w:val="center"/>
              <w:rPr>
                <w:rFonts w:ascii="宋体" w:hAnsi="宋体" w:cs="宋体"/>
                <w:b/>
                <w:bCs/>
                <w:sz w:val="24"/>
              </w:rPr>
            </w:pPr>
            <w:r>
              <w:rPr>
                <w:rFonts w:hint="eastAsia" w:ascii="宋体" w:hAnsi="宋体" w:cs="宋体"/>
                <w:b/>
                <w:bCs/>
                <w:sz w:val="24"/>
              </w:rPr>
              <w:t>人民币（元）</w:t>
            </w:r>
          </w:p>
        </w:tc>
        <w:tc>
          <w:tcPr>
            <w:tcW w:w="1565" w:type="pct"/>
            <w:vAlign w:val="center"/>
          </w:tcPr>
          <w:p w14:paraId="36788784">
            <w:pPr>
              <w:spacing w:line="440" w:lineRule="exact"/>
              <w:jc w:val="center"/>
              <w:rPr>
                <w:rFonts w:ascii="宋体" w:hAnsi="宋体" w:cs="宋体"/>
                <w:b/>
                <w:bCs/>
                <w:sz w:val="24"/>
              </w:rPr>
            </w:pPr>
            <w:r>
              <w:rPr>
                <w:rFonts w:hint="eastAsia" w:ascii="宋体" w:hAnsi="宋体" w:cs="宋体"/>
                <w:b/>
                <w:bCs/>
                <w:sz w:val="24"/>
              </w:rPr>
              <w:t>小写</w:t>
            </w:r>
          </w:p>
        </w:tc>
        <w:tc>
          <w:tcPr>
            <w:tcW w:w="2461" w:type="pct"/>
            <w:gridSpan w:val="2"/>
            <w:vAlign w:val="center"/>
          </w:tcPr>
          <w:p w14:paraId="11D07589">
            <w:pPr>
              <w:spacing w:line="440" w:lineRule="exact"/>
              <w:jc w:val="center"/>
              <w:rPr>
                <w:rFonts w:ascii="宋体" w:hAnsi="宋体" w:cs="宋体"/>
                <w:sz w:val="24"/>
              </w:rPr>
            </w:pPr>
          </w:p>
        </w:tc>
      </w:tr>
      <w:tr w14:paraId="0476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73" w:type="pct"/>
            <w:vMerge w:val="continue"/>
            <w:vAlign w:val="center"/>
          </w:tcPr>
          <w:p w14:paraId="0EB98754">
            <w:pPr>
              <w:spacing w:line="440" w:lineRule="exact"/>
              <w:jc w:val="center"/>
              <w:rPr>
                <w:rFonts w:ascii="宋体" w:hAnsi="宋体" w:cs="宋体"/>
                <w:b/>
                <w:bCs/>
                <w:sz w:val="24"/>
              </w:rPr>
            </w:pPr>
          </w:p>
        </w:tc>
        <w:tc>
          <w:tcPr>
            <w:tcW w:w="1565" w:type="pct"/>
            <w:vAlign w:val="center"/>
          </w:tcPr>
          <w:p w14:paraId="12219BB1">
            <w:pPr>
              <w:spacing w:line="440" w:lineRule="exact"/>
              <w:jc w:val="center"/>
              <w:rPr>
                <w:rFonts w:ascii="宋体" w:hAnsi="宋体" w:cs="宋体"/>
                <w:b/>
                <w:bCs/>
                <w:sz w:val="24"/>
              </w:rPr>
            </w:pPr>
            <w:r>
              <w:rPr>
                <w:rFonts w:hint="eastAsia" w:ascii="宋体" w:hAnsi="宋体" w:cs="宋体"/>
                <w:b/>
                <w:bCs/>
                <w:sz w:val="24"/>
              </w:rPr>
              <w:t>大写</w:t>
            </w:r>
          </w:p>
        </w:tc>
        <w:tc>
          <w:tcPr>
            <w:tcW w:w="2461" w:type="pct"/>
            <w:gridSpan w:val="2"/>
            <w:vAlign w:val="center"/>
          </w:tcPr>
          <w:p w14:paraId="54CB2D98">
            <w:pPr>
              <w:spacing w:line="440" w:lineRule="exact"/>
              <w:jc w:val="center"/>
              <w:rPr>
                <w:rFonts w:ascii="宋体" w:hAnsi="宋体" w:cs="宋体"/>
                <w:sz w:val="24"/>
              </w:rPr>
            </w:pPr>
          </w:p>
        </w:tc>
      </w:tr>
    </w:tbl>
    <w:p w14:paraId="2F344CA2">
      <w:pPr>
        <w:spacing w:line="440" w:lineRule="exact"/>
        <w:ind w:left="479" w:leftChars="114" w:hanging="240" w:hangingChars="100"/>
        <w:rPr>
          <w:rFonts w:ascii="宋体" w:hAnsi="宋体" w:cs="宋体"/>
          <w:sz w:val="24"/>
        </w:rPr>
      </w:pPr>
      <w:r>
        <w:rPr>
          <w:rFonts w:hint="eastAsia" w:ascii="宋体" w:hAnsi="宋体" w:cs="宋体"/>
          <w:sz w:val="24"/>
        </w:rPr>
        <w:t>注：</w:t>
      </w:r>
    </w:p>
    <w:p w14:paraId="19603B04">
      <w:pPr>
        <w:spacing w:line="440" w:lineRule="exact"/>
        <w:ind w:left="479" w:leftChars="114" w:hanging="240" w:hangingChars="100"/>
        <w:rPr>
          <w:rFonts w:ascii="宋体" w:hAnsi="宋体" w:cs="宋体"/>
          <w:sz w:val="24"/>
        </w:rPr>
      </w:pPr>
      <w:r>
        <w:rPr>
          <w:rFonts w:hint="eastAsia" w:ascii="宋体" w:hAnsi="宋体" w:cs="宋体"/>
          <w:sz w:val="24"/>
        </w:rPr>
        <w:t>1、磋商报价不能超过预算金额</w:t>
      </w:r>
    </w:p>
    <w:p w14:paraId="77B3E1ED">
      <w:pPr>
        <w:spacing w:line="440" w:lineRule="exact"/>
        <w:ind w:left="479" w:leftChars="114" w:hanging="240" w:hangingChars="100"/>
        <w:rPr>
          <w:rFonts w:ascii="宋体" w:hAnsi="宋体" w:cs="宋体"/>
          <w:sz w:val="24"/>
        </w:rPr>
      </w:pPr>
      <w:r>
        <w:rPr>
          <w:rFonts w:hint="eastAsia" w:ascii="宋体" w:hAnsi="宋体" w:cs="宋体"/>
          <w:sz w:val="24"/>
        </w:rPr>
        <w:t>2、初次报价不公开。不提供此表格的将视为没有实质性响应磋商文件。</w:t>
      </w:r>
    </w:p>
    <w:p w14:paraId="26378498">
      <w:pPr>
        <w:spacing w:line="440" w:lineRule="exact"/>
        <w:ind w:left="479" w:leftChars="114" w:hanging="240" w:hangingChars="100"/>
        <w:rPr>
          <w:rFonts w:ascii="宋体" w:hAnsi="宋体" w:cs="宋体"/>
          <w:sz w:val="24"/>
        </w:rPr>
      </w:pPr>
      <w:r>
        <w:rPr>
          <w:rFonts w:hint="eastAsia" w:ascii="宋体" w:hAnsi="宋体" w:cs="宋体"/>
          <w:sz w:val="24"/>
        </w:rPr>
        <w:t>3、供应商报价以在线磋商时提供的最后报价为准。</w:t>
      </w:r>
    </w:p>
    <w:p w14:paraId="6D029D07">
      <w:pPr>
        <w:widowControl/>
        <w:spacing w:line="460" w:lineRule="atLeast"/>
        <w:jc w:val="left"/>
        <w:rPr>
          <w:rFonts w:ascii="宋体" w:hAnsi="宋体" w:cs="宋体"/>
          <w:sz w:val="22"/>
          <w:szCs w:val="22"/>
        </w:rPr>
      </w:pPr>
    </w:p>
    <w:p w14:paraId="34F79495">
      <w:pPr>
        <w:widowControl/>
        <w:spacing w:line="460" w:lineRule="atLeast"/>
        <w:ind w:right="660"/>
        <w:jc w:val="left"/>
        <w:rPr>
          <w:rFonts w:ascii="宋体" w:hAnsi="宋体" w:cs="宋体"/>
          <w:sz w:val="22"/>
          <w:szCs w:val="22"/>
        </w:rPr>
      </w:pPr>
      <w:r>
        <w:rPr>
          <w:rFonts w:hint="eastAsia" w:ascii="宋体" w:hAnsi="宋体" w:cs="宋体"/>
          <w:sz w:val="22"/>
          <w:szCs w:val="22"/>
        </w:rPr>
        <w:t xml:space="preserve"> 供应商全称：（盖章）</w:t>
      </w:r>
    </w:p>
    <w:p w14:paraId="71213271">
      <w:pPr>
        <w:widowControl/>
        <w:spacing w:line="460" w:lineRule="atLeast"/>
        <w:ind w:right="440"/>
        <w:jc w:val="left"/>
        <w:rPr>
          <w:rFonts w:ascii="宋体" w:hAnsi="宋体" w:cs="宋体"/>
          <w:sz w:val="22"/>
          <w:szCs w:val="22"/>
        </w:rPr>
      </w:pPr>
      <w:r>
        <w:rPr>
          <w:rFonts w:hint="eastAsia" w:ascii="宋体" w:hAnsi="宋体" w:cs="宋体"/>
          <w:sz w:val="22"/>
          <w:szCs w:val="22"/>
        </w:rPr>
        <w:t xml:space="preserve"> 授权代表：（签字）</w:t>
      </w:r>
    </w:p>
    <w:p w14:paraId="33898AB5">
      <w:pPr>
        <w:widowControl/>
        <w:spacing w:line="460" w:lineRule="atLeast"/>
        <w:ind w:right="440"/>
        <w:jc w:val="left"/>
        <w:rPr>
          <w:rFonts w:ascii="宋体"/>
          <w:color w:val="000000"/>
          <w:sz w:val="30"/>
          <w:szCs w:val="30"/>
        </w:rPr>
      </w:pPr>
      <w:r>
        <w:rPr>
          <w:rFonts w:hint="eastAsia" w:ascii="宋体" w:hAnsi="宋体" w:cs="宋体"/>
          <w:sz w:val="22"/>
          <w:szCs w:val="22"/>
        </w:rPr>
        <w:t xml:space="preserve"> 日期：   年   月   日</w:t>
      </w:r>
    </w:p>
    <w:p w14:paraId="3B6359BA">
      <w:pPr>
        <w:snapToGrid w:val="0"/>
        <w:spacing w:line="440" w:lineRule="exact"/>
        <w:jc w:val="center"/>
        <w:rPr>
          <w:rFonts w:ascii="宋体"/>
          <w:b/>
          <w:color w:val="000000"/>
          <w:szCs w:val="21"/>
        </w:rPr>
      </w:pPr>
    </w:p>
    <w:p w14:paraId="3CF9D2E4">
      <w:pPr>
        <w:snapToGrid w:val="0"/>
        <w:spacing w:line="440" w:lineRule="exact"/>
        <w:jc w:val="right"/>
        <w:rPr>
          <w:rFonts w:ascii="宋体"/>
          <w:color w:val="000000"/>
          <w:szCs w:val="21"/>
        </w:rPr>
      </w:pPr>
      <w:r>
        <w:rPr>
          <w:rFonts w:hint="eastAsia" w:ascii="宋体"/>
          <w:color w:val="000000"/>
          <w:szCs w:val="21"/>
        </w:rPr>
        <w:t xml:space="preserve">                                         </w:t>
      </w:r>
    </w:p>
    <w:p w14:paraId="6BCB1ACF"/>
    <w:p w14:paraId="53815429">
      <w:pPr>
        <w:keepNext/>
        <w:pageBreakBefore/>
        <w:spacing w:line="400" w:lineRule="exact"/>
        <w:jc w:val="left"/>
        <w:rPr>
          <w:rFonts w:ascii="宋体" w:hAnsi="宋体" w:cs="宋体"/>
          <w:color w:val="000000"/>
          <w:sz w:val="28"/>
          <w:szCs w:val="28"/>
        </w:rPr>
      </w:pPr>
      <w:r>
        <w:rPr>
          <w:rFonts w:hint="eastAsia" w:ascii="宋体" w:hAnsi="宋体" w:cs="宋体"/>
          <w:color w:val="000000"/>
          <w:sz w:val="28"/>
          <w:szCs w:val="28"/>
        </w:rPr>
        <w:t>5、供应商的情况一览表</w:t>
      </w:r>
    </w:p>
    <w:p w14:paraId="552DADAF">
      <w:pPr>
        <w:adjustRightInd w:val="0"/>
        <w:snapToGrid w:val="0"/>
        <w:spacing w:line="360" w:lineRule="auto"/>
        <w:jc w:val="center"/>
        <w:rPr>
          <w:rFonts w:ascii="宋体" w:hAnsi="宋体" w:cs="宋体"/>
          <w:b/>
          <w:color w:val="000000"/>
          <w:sz w:val="44"/>
          <w:szCs w:val="44"/>
        </w:rPr>
      </w:pPr>
      <w:r>
        <w:rPr>
          <w:rFonts w:hint="eastAsia" w:ascii="宋体" w:hAnsi="宋体" w:cs="宋体"/>
          <w:b/>
          <w:bCs/>
          <w:color w:val="000000"/>
          <w:kern w:val="0"/>
          <w:sz w:val="44"/>
          <w:szCs w:val="44"/>
        </w:rPr>
        <w:t>供应商</w:t>
      </w:r>
      <w:r>
        <w:rPr>
          <w:rFonts w:hint="eastAsia" w:ascii="宋体" w:hAnsi="宋体" w:cs="宋体"/>
          <w:b/>
          <w:color w:val="000000"/>
          <w:sz w:val="44"/>
          <w:szCs w:val="44"/>
        </w:rPr>
        <w:t>情况一览表</w:t>
      </w:r>
    </w:p>
    <w:tbl>
      <w:tblPr>
        <w:tblStyle w:val="2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1116"/>
        <w:gridCol w:w="1720"/>
        <w:gridCol w:w="1859"/>
        <w:gridCol w:w="1758"/>
        <w:gridCol w:w="2366"/>
      </w:tblGrid>
      <w:tr w14:paraId="4946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31" w:type="dxa"/>
            <w:gridSpan w:val="3"/>
            <w:vAlign w:val="center"/>
          </w:tcPr>
          <w:p w14:paraId="19966012">
            <w:pPr>
              <w:spacing w:line="240" w:lineRule="atLeast"/>
              <w:rPr>
                <w:rFonts w:ascii="宋体" w:hAnsi="宋体"/>
                <w:szCs w:val="21"/>
              </w:rPr>
            </w:pPr>
            <w:r>
              <w:rPr>
                <w:rFonts w:ascii="宋体" w:hAnsi="宋体"/>
                <w:szCs w:val="21"/>
              </w:rPr>
              <w:t>公司名称</w:t>
            </w:r>
          </w:p>
        </w:tc>
        <w:tc>
          <w:tcPr>
            <w:tcW w:w="5983" w:type="dxa"/>
            <w:gridSpan w:val="3"/>
            <w:vAlign w:val="center"/>
          </w:tcPr>
          <w:p w14:paraId="5F8D7D5B">
            <w:pPr>
              <w:spacing w:line="240" w:lineRule="atLeast"/>
              <w:rPr>
                <w:rFonts w:ascii="宋体" w:hAnsi="宋体"/>
                <w:szCs w:val="21"/>
              </w:rPr>
            </w:pPr>
          </w:p>
        </w:tc>
      </w:tr>
      <w:tr w14:paraId="5712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31" w:type="dxa"/>
            <w:gridSpan w:val="3"/>
            <w:vAlign w:val="center"/>
          </w:tcPr>
          <w:p w14:paraId="32BC21E8">
            <w:pPr>
              <w:spacing w:line="240" w:lineRule="atLeast"/>
              <w:rPr>
                <w:rFonts w:ascii="宋体" w:hAnsi="宋体"/>
                <w:szCs w:val="21"/>
              </w:rPr>
            </w:pPr>
            <w:r>
              <w:rPr>
                <w:rFonts w:ascii="宋体" w:hAnsi="宋体"/>
                <w:szCs w:val="21"/>
              </w:rPr>
              <w:t>注册资金</w:t>
            </w:r>
          </w:p>
        </w:tc>
        <w:tc>
          <w:tcPr>
            <w:tcW w:w="5983" w:type="dxa"/>
            <w:gridSpan w:val="3"/>
            <w:vAlign w:val="center"/>
          </w:tcPr>
          <w:p w14:paraId="5FD8BC0A">
            <w:pPr>
              <w:spacing w:line="240" w:lineRule="atLeast"/>
              <w:rPr>
                <w:rFonts w:ascii="宋体" w:hAnsi="宋体"/>
                <w:szCs w:val="21"/>
              </w:rPr>
            </w:pPr>
          </w:p>
        </w:tc>
      </w:tr>
      <w:tr w14:paraId="2A5C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31" w:type="dxa"/>
            <w:gridSpan w:val="3"/>
            <w:vAlign w:val="center"/>
          </w:tcPr>
          <w:p w14:paraId="7D0ADDA0">
            <w:pPr>
              <w:spacing w:line="240" w:lineRule="atLeast"/>
              <w:rPr>
                <w:rFonts w:ascii="宋体" w:hAnsi="宋体"/>
                <w:szCs w:val="21"/>
              </w:rPr>
            </w:pPr>
            <w:r>
              <w:rPr>
                <w:rFonts w:ascii="宋体" w:hAnsi="宋体"/>
                <w:szCs w:val="21"/>
              </w:rPr>
              <w:t>地址、邮编</w:t>
            </w:r>
          </w:p>
        </w:tc>
        <w:tc>
          <w:tcPr>
            <w:tcW w:w="5983" w:type="dxa"/>
            <w:gridSpan w:val="3"/>
            <w:vAlign w:val="center"/>
          </w:tcPr>
          <w:p w14:paraId="4C862E91">
            <w:pPr>
              <w:spacing w:line="240" w:lineRule="atLeast"/>
              <w:rPr>
                <w:rFonts w:ascii="宋体" w:hAnsi="宋体"/>
                <w:szCs w:val="21"/>
              </w:rPr>
            </w:pPr>
          </w:p>
        </w:tc>
      </w:tr>
      <w:tr w14:paraId="1314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31" w:type="dxa"/>
            <w:gridSpan w:val="3"/>
            <w:vAlign w:val="center"/>
          </w:tcPr>
          <w:p w14:paraId="79D8C8EF">
            <w:pPr>
              <w:spacing w:line="240" w:lineRule="atLeast"/>
              <w:rPr>
                <w:rFonts w:ascii="宋体" w:hAnsi="宋体"/>
                <w:szCs w:val="21"/>
              </w:rPr>
            </w:pPr>
            <w:r>
              <w:rPr>
                <w:rFonts w:ascii="宋体" w:hAnsi="宋体"/>
                <w:szCs w:val="21"/>
              </w:rPr>
              <w:t>主要业务范围</w:t>
            </w:r>
          </w:p>
        </w:tc>
        <w:tc>
          <w:tcPr>
            <w:tcW w:w="5983" w:type="dxa"/>
            <w:gridSpan w:val="3"/>
            <w:vAlign w:val="center"/>
          </w:tcPr>
          <w:p w14:paraId="4561BAE2">
            <w:pPr>
              <w:spacing w:line="240" w:lineRule="atLeast"/>
              <w:rPr>
                <w:rFonts w:ascii="宋体" w:hAnsi="宋体"/>
                <w:szCs w:val="21"/>
              </w:rPr>
            </w:pPr>
          </w:p>
        </w:tc>
      </w:tr>
      <w:tr w14:paraId="067F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31" w:type="dxa"/>
            <w:gridSpan w:val="3"/>
            <w:vAlign w:val="center"/>
          </w:tcPr>
          <w:p w14:paraId="4BF04918">
            <w:pPr>
              <w:spacing w:line="240" w:lineRule="atLeast"/>
              <w:rPr>
                <w:rFonts w:ascii="宋体" w:hAnsi="宋体"/>
                <w:szCs w:val="21"/>
              </w:rPr>
            </w:pPr>
            <w:r>
              <w:rPr>
                <w:rFonts w:ascii="宋体" w:hAnsi="宋体"/>
                <w:szCs w:val="21"/>
              </w:rPr>
              <w:t>企业性质</w:t>
            </w:r>
          </w:p>
        </w:tc>
        <w:tc>
          <w:tcPr>
            <w:tcW w:w="5983" w:type="dxa"/>
            <w:gridSpan w:val="3"/>
            <w:vAlign w:val="center"/>
          </w:tcPr>
          <w:p w14:paraId="39194D7E">
            <w:pPr>
              <w:spacing w:line="240" w:lineRule="atLeast"/>
              <w:rPr>
                <w:rFonts w:ascii="宋体" w:hAnsi="宋体"/>
                <w:szCs w:val="21"/>
              </w:rPr>
            </w:pPr>
          </w:p>
        </w:tc>
      </w:tr>
      <w:tr w14:paraId="7544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31" w:type="dxa"/>
            <w:gridSpan w:val="3"/>
            <w:vAlign w:val="center"/>
          </w:tcPr>
          <w:p w14:paraId="60465FED">
            <w:pPr>
              <w:spacing w:line="240" w:lineRule="atLeast"/>
              <w:rPr>
                <w:rFonts w:ascii="宋体" w:hAnsi="宋体"/>
                <w:szCs w:val="21"/>
              </w:rPr>
            </w:pPr>
            <w:r>
              <w:rPr>
                <w:rFonts w:ascii="宋体" w:hAnsi="宋体"/>
                <w:szCs w:val="21"/>
              </w:rPr>
              <w:t>成立时间</w:t>
            </w:r>
          </w:p>
        </w:tc>
        <w:tc>
          <w:tcPr>
            <w:tcW w:w="5983" w:type="dxa"/>
            <w:gridSpan w:val="3"/>
            <w:vAlign w:val="center"/>
          </w:tcPr>
          <w:p w14:paraId="65B41438">
            <w:pPr>
              <w:spacing w:line="240" w:lineRule="atLeast"/>
              <w:rPr>
                <w:rFonts w:ascii="宋体" w:hAnsi="宋体"/>
                <w:szCs w:val="21"/>
              </w:rPr>
            </w:pPr>
          </w:p>
        </w:tc>
      </w:tr>
      <w:tr w14:paraId="6CB9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31" w:type="dxa"/>
            <w:gridSpan w:val="3"/>
            <w:vAlign w:val="center"/>
          </w:tcPr>
          <w:p w14:paraId="29262981">
            <w:pPr>
              <w:spacing w:line="240" w:lineRule="atLeast"/>
              <w:rPr>
                <w:rFonts w:ascii="宋体" w:hAnsi="宋体"/>
                <w:szCs w:val="21"/>
              </w:rPr>
            </w:pPr>
            <w:r>
              <w:rPr>
                <w:rFonts w:ascii="宋体" w:hAnsi="宋体"/>
                <w:szCs w:val="21"/>
              </w:rPr>
              <w:t>生产经营场所规模（平方）</w:t>
            </w:r>
          </w:p>
        </w:tc>
        <w:tc>
          <w:tcPr>
            <w:tcW w:w="5983" w:type="dxa"/>
            <w:gridSpan w:val="3"/>
            <w:vAlign w:val="center"/>
          </w:tcPr>
          <w:p w14:paraId="0555B28E">
            <w:pPr>
              <w:spacing w:line="240" w:lineRule="atLeast"/>
              <w:rPr>
                <w:rFonts w:ascii="宋体" w:hAnsi="宋体"/>
                <w:szCs w:val="21"/>
              </w:rPr>
            </w:pPr>
          </w:p>
        </w:tc>
      </w:tr>
      <w:tr w14:paraId="1D28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214" w:type="dxa"/>
            <w:gridSpan w:val="6"/>
            <w:vAlign w:val="center"/>
          </w:tcPr>
          <w:p w14:paraId="690D5C39">
            <w:pPr>
              <w:spacing w:line="240" w:lineRule="atLeast"/>
              <w:rPr>
                <w:rFonts w:ascii="宋体" w:hAnsi="宋体"/>
                <w:szCs w:val="21"/>
              </w:rPr>
            </w:pPr>
            <w:r>
              <w:rPr>
                <w:rFonts w:ascii="宋体" w:hAnsi="宋体"/>
                <w:szCs w:val="21"/>
              </w:rPr>
              <w:t>公司领导班子构成情况</w:t>
            </w:r>
          </w:p>
        </w:tc>
      </w:tr>
      <w:tr w14:paraId="65AE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511" w:type="dxa"/>
            <w:gridSpan w:val="2"/>
            <w:vAlign w:val="center"/>
          </w:tcPr>
          <w:p w14:paraId="5A462109">
            <w:pPr>
              <w:spacing w:line="240" w:lineRule="atLeast"/>
              <w:rPr>
                <w:rFonts w:ascii="宋体" w:hAnsi="宋体"/>
                <w:szCs w:val="21"/>
              </w:rPr>
            </w:pPr>
            <w:r>
              <w:rPr>
                <w:rFonts w:ascii="宋体" w:hAnsi="宋体"/>
                <w:szCs w:val="21"/>
              </w:rPr>
              <w:t>法人代表</w:t>
            </w:r>
          </w:p>
        </w:tc>
        <w:tc>
          <w:tcPr>
            <w:tcW w:w="1720" w:type="dxa"/>
            <w:vAlign w:val="center"/>
          </w:tcPr>
          <w:p w14:paraId="699B70D7">
            <w:pPr>
              <w:spacing w:line="240" w:lineRule="atLeast"/>
              <w:rPr>
                <w:rFonts w:ascii="宋体" w:hAnsi="宋体"/>
                <w:szCs w:val="21"/>
              </w:rPr>
            </w:pPr>
            <w:r>
              <w:rPr>
                <w:rFonts w:ascii="宋体" w:hAnsi="宋体"/>
                <w:szCs w:val="21"/>
              </w:rPr>
              <w:t>公司经理</w:t>
            </w:r>
          </w:p>
        </w:tc>
        <w:tc>
          <w:tcPr>
            <w:tcW w:w="1859" w:type="dxa"/>
            <w:vAlign w:val="center"/>
          </w:tcPr>
          <w:p w14:paraId="6A58A8E7">
            <w:pPr>
              <w:spacing w:line="240" w:lineRule="atLeast"/>
              <w:rPr>
                <w:rFonts w:ascii="宋体" w:hAnsi="宋体"/>
                <w:szCs w:val="21"/>
              </w:rPr>
            </w:pPr>
            <w:r>
              <w:rPr>
                <w:rFonts w:ascii="宋体" w:hAnsi="宋体"/>
                <w:szCs w:val="21"/>
              </w:rPr>
              <w:t>总工程师</w:t>
            </w:r>
          </w:p>
        </w:tc>
        <w:tc>
          <w:tcPr>
            <w:tcW w:w="1758" w:type="dxa"/>
            <w:vAlign w:val="center"/>
          </w:tcPr>
          <w:p w14:paraId="157FD848">
            <w:pPr>
              <w:spacing w:line="240" w:lineRule="atLeast"/>
              <w:rPr>
                <w:rFonts w:ascii="宋体" w:hAnsi="宋体"/>
                <w:szCs w:val="21"/>
              </w:rPr>
            </w:pPr>
            <w:r>
              <w:rPr>
                <w:rFonts w:ascii="宋体" w:hAnsi="宋体"/>
                <w:szCs w:val="21"/>
              </w:rPr>
              <w:t>总经济师</w:t>
            </w:r>
          </w:p>
        </w:tc>
        <w:tc>
          <w:tcPr>
            <w:tcW w:w="2366" w:type="dxa"/>
            <w:vAlign w:val="center"/>
          </w:tcPr>
          <w:p w14:paraId="642EC81C">
            <w:pPr>
              <w:spacing w:line="240" w:lineRule="atLeast"/>
              <w:rPr>
                <w:rFonts w:ascii="宋体" w:hAnsi="宋体"/>
                <w:szCs w:val="21"/>
              </w:rPr>
            </w:pPr>
            <w:r>
              <w:rPr>
                <w:rFonts w:ascii="宋体" w:hAnsi="宋体"/>
                <w:szCs w:val="21"/>
              </w:rPr>
              <w:t>总会计师</w:t>
            </w:r>
          </w:p>
        </w:tc>
      </w:tr>
      <w:tr w14:paraId="2762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511" w:type="dxa"/>
            <w:gridSpan w:val="2"/>
            <w:vAlign w:val="center"/>
          </w:tcPr>
          <w:p w14:paraId="70803B11">
            <w:pPr>
              <w:spacing w:line="240" w:lineRule="atLeast"/>
              <w:rPr>
                <w:rFonts w:ascii="宋体" w:hAnsi="宋体"/>
                <w:szCs w:val="21"/>
              </w:rPr>
            </w:pPr>
          </w:p>
        </w:tc>
        <w:tc>
          <w:tcPr>
            <w:tcW w:w="1720" w:type="dxa"/>
            <w:vAlign w:val="center"/>
          </w:tcPr>
          <w:p w14:paraId="31FAB3AC">
            <w:pPr>
              <w:spacing w:line="240" w:lineRule="atLeast"/>
              <w:rPr>
                <w:rFonts w:ascii="宋体" w:hAnsi="宋体"/>
                <w:szCs w:val="21"/>
              </w:rPr>
            </w:pPr>
          </w:p>
        </w:tc>
        <w:tc>
          <w:tcPr>
            <w:tcW w:w="1859" w:type="dxa"/>
            <w:vAlign w:val="center"/>
          </w:tcPr>
          <w:p w14:paraId="5D6D7875">
            <w:pPr>
              <w:spacing w:line="240" w:lineRule="atLeast"/>
              <w:rPr>
                <w:rFonts w:ascii="宋体" w:hAnsi="宋体"/>
                <w:szCs w:val="21"/>
              </w:rPr>
            </w:pPr>
          </w:p>
        </w:tc>
        <w:tc>
          <w:tcPr>
            <w:tcW w:w="1758" w:type="dxa"/>
            <w:vAlign w:val="center"/>
          </w:tcPr>
          <w:p w14:paraId="29B76EB4">
            <w:pPr>
              <w:spacing w:line="240" w:lineRule="atLeast"/>
              <w:rPr>
                <w:rFonts w:ascii="宋体" w:hAnsi="宋体"/>
                <w:szCs w:val="21"/>
              </w:rPr>
            </w:pPr>
          </w:p>
        </w:tc>
        <w:tc>
          <w:tcPr>
            <w:tcW w:w="2366" w:type="dxa"/>
            <w:vAlign w:val="center"/>
          </w:tcPr>
          <w:p w14:paraId="1A5F9E10">
            <w:pPr>
              <w:spacing w:line="240" w:lineRule="atLeast"/>
              <w:rPr>
                <w:rFonts w:ascii="宋体" w:hAnsi="宋体"/>
                <w:szCs w:val="21"/>
              </w:rPr>
            </w:pPr>
          </w:p>
        </w:tc>
      </w:tr>
      <w:tr w14:paraId="20BD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214" w:type="dxa"/>
            <w:gridSpan w:val="6"/>
            <w:vAlign w:val="center"/>
          </w:tcPr>
          <w:p w14:paraId="61FBA2A7">
            <w:pPr>
              <w:spacing w:line="240" w:lineRule="atLeast"/>
              <w:rPr>
                <w:rFonts w:ascii="宋体" w:hAnsi="宋体"/>
                <w:szCs w:val="21"/>
              </w:rPr>
            </w:pPr>
            <w:r>
              <w:rPr>
                <w:rFonts w:ascii="宋体" w:hAnsi="宋体"/>
                <w:szCs w:val="21"/>
              </w:rPr>
              <w:t>公司人员职称构成情况</w:t>
            </w:r>
          </w:p>
        </w:tc>
      </w:tr>
      <w:tr w14:paraId="43D2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511" w:type="dxa"/>
            <w:gridSpan w:val="2"/>
            <w:vMerge w:val="restart"/>
            <w:vAlign w:val="center"/>
          </w:tcPr>
          <w:p w14:paraId="51A1938D">
            <w:pPr>
              <w:spacing w:line="240" w:lineRule="atLeast"/>
              <w:rPr>
                <w:rFonts w:ascii="宋体" w:hAnsi="宋体"/>
                <w:szCs w:val="21"/>
              </w:rPr>
            </w:pPr>
            <w:r>
              <w:rPr>
                <w:rFonts w:ascii="宋体" w:hAnsi="宋体"/>
                <w:szCs w:val="21"/>
              </w:rPr>
              <w:t>人员总数（人）</w:t>
            </w:r>
          </w:p>
        </w:tc>
        <w:tc>
          <w:tcPr>
            <w:tcW w:w="1720" w:type="dxa"/>
            <w:vAlign w:val="center"/>
          </w:tcPr>
          <w:p w14:paraId="14CCB264">
            <w:pPr>
              <w:spacing w:line="240" w:lineRule="atLeast"/>
              <w:rPr>
                <w:rFonts w:ascii="宋体" w:hAnsi="宋体"/>
                <w:szCs w:val="21"/>
              </w:rPr>
            </w:pPr>
            <w:r>
              <w:rPr>
                <w:rFonts w:ascii="宋体" w:hAnsi="宋体"/>
                <w:szCs w:val="21"/>
              </w:rPr>
              <w:t>高级职称</w:t>
            </w:r>
          </w:p>
        </w:tc>
        <w:tc>
          <w:tcPr>
            <w:tcW w:w="1859" w:type="dxa"/>
            <w:vAlign w:val="center"/>
          </w:tcPr>
          <w:p w14:paraId="094EB200">
            <w:pPr>
              <w:spacing w:line="240" w:lineRule="atLeast"/>
              <w:rPr>
                <w:rFonts w:ascii="宋体" w:hAnsi="宋体"/>
                <w:szCs w:val="21"/>
              </w:rPr>
            </w:pPr>
            <w:r>
              <w:rPr>
                <w:rFonts w:ascii="宋体" w:hAnsi="宋体"/>
                <w:szCs w:val="21"/>
              </w:rPr>
              <w:t>中级职称</w:t>
            </w:r>
          </w:p>
        </w:tc>
        <w:tc>
          <w:tcPr>
            <w:tcW w:w="1758" w:type="dxa"/>
            <w:vAlign w:val="center"/>
          </w:tcPr>
          <w:p w14:paraId="65069C12">
            <w:pPr>
              <w:spacing w:line="240" w:lineRule="atLeast"/>
              <w:rPr>
                <w:rFonts w:ascii="宋体" w:hAnsi="宋体"/>
                <w:szCs w:val="21"/>
              </w:rPr>
            </w:pPr>
            <w:r>
              <w:rPr>
                <w:rFonts w:ascii="宋体" w:hAnsi="宋体"/>
                <w:szCs w:val="21"/>
              </w:rPr>
              <w:t>初级职称</w:t>
            </w:r>
          </w:p>
        </w:tc>
        <w:tc>
          <w:tcPr>
            <w:tcW w:w="2366" w:type="dxa"/>
            <w:vAlign w:val="center"/>
          </w:tcPr>
          <w:p w14:paraId="5F3A4517">
            <w:pPr>
              <w:spacing w:line="240" w:lineRule="atLeast"/>
              <w:rPr>
                <w:rFonts w:ascii="宋体" w:hAnsi="宋体"/>
                <w:szCs w:val="21"/>
              </w:rPr>
            </w:pPr>
            <w:r>
              <w:rPr>
                <w:rFonts w:ascii="宋体" w:hAnsi="宋体"/>
                <w:szCs w:val="21"/>
              </w:rPr>
              <w:t>其他</w:t>
            </w:r>
          </w:p>
        </w:tc>
      </w:tr>
      <w:tr w14:paraId="1E87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511" w:type="dxa"/>
            <w:gridSpan w:val="2"/>
            <w:vMerge w:val="continue"/>
            <w:vAlign w:val="center"/>
          </w:tcPr>
          <w:p w14:paraId="38A11BEE">
            <w:pPr>
              <w:spacing w:line="240" w:lineRule="atLeast"/>
              <w:rPr>
                <w:rFonts w:ascii="宋体" w:hAnsi="宋体"/>
                <w:szCs w:val="21"/>
              </w:rPr>
            </w:pPr>
          </w:p>
        </w:tc>
        <w:tc>
          <w:tcPr>
            <w:tcW w:w="1720" w:type="dxa"/>
            <w:vAlign w:val="center"/>
          </w:tcPr>
          <w:p w14:paraId="1B66C48B">
            <w:pPr>
              <w:spacing w:line="240" w:lineRule="atLeast"/>
              <w:rPr>
                <w:rFonts w:ascii="宋体" w:hAnsi="宋体"/>
                <w:szCs w:val="21"/>
              </w:rPr>
            </w:pPr>
          </w:p>
        </w:tc>
        <w:tc>
          <w:tcPr>
            <w:tcW w:w="1859" w:type="dxa"/>
            <w:vAlign w:val="center"/>
          </w:tcPr>
          <w:p w14:paraId="521CB1EE">
            <w:pPr>
              <w:spacing w:line="240" w:lineRule="atLeast"/>
              <w:rPr>
                <w:rFonts w:ascii="宋体" w:hAnsi="宋体"/>
                <w:szCs w:val="21"/>
              </w:rPr>
            </w:pPr>
          </w:p>
        </w:tc>
        <w:tc>
          <w:tcPr>
            <w:tcW w:w="1758" w:type="dxa"/>
            <w:vAlign w:val="center"/>
          </w:tcPr>
          <w:p w14:paraId="441A7CEF">
            <w:pPr>
              <w:spacing w:line="240" w:lineRule="atLeast"/>
              <w:rPr>
                <w:rFonts w:ascii="宋体" w:hAnsi="宋体"/>
                <w:szCs w:val="21"/>
              </w:rPr>
            </w:pPr>
          </w:p>
        </w:tc>
        <w:tc>
          <w:tcPr>
            <w:tcW w:w="2366" w:type="dxa"/>
            <w:vAlign w:val="center"/>
          </w:tcPr>
          <w:p w14:paraId="4EF69979">
            <w:pPr>
              <w:spacing w:line="240" w:lineRule="atLeast"/>
              <w:rPr>
                <w:rFonts w:ascii="宋体" w:hAnsi="宋体"/>
                <w:szCs w:val="21"/>
              </w:rPr>
            </w:pPr>
          </w:p>
        </w:tc>
      </w:tr>
      <w:tr w14:paraId="22BA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511" w:type="dxa"/>
            <w:gridSpan w:val="2"/>
            <w:vMerge w:val="restart"/>
            <w:vAlign w:val="center"/>
          </w:tcPr>
          <w:p w14:paraId="50530590">
            <w:pPr>
              <w:spacing w:line="240" w:lineRule="atLeast"/>
              <w:rPr>
                <w:rFonts w:ascii="宋体" w:hAnsi="宋体"/>
                <w:szCs w:val="21"/>
              </w:rPr>
            </w:pPr>
            <w:r>
              <w:rPr>
                <w:rFonts w:ascii="宋体" w:hAnsi="宋体"/>
                <w:szCs w:val="21"/>
              </w:rPr>
              <w:t>人员构成（%）</w:t>
            </w:r>
          </w:p>
        </w:tc>
        <w:tc>
          <w:tcPr>
            <w:tcW w:w="1720" w:type="dxa"/>
            <w:vAlign w:val="center"/>
          </w:tcPr>
          <w:p w14:paraId="1DDA576B">
            <w:pPr>
              <w:spacing w:line="240" w:lineRule="atLeast"/>
              <w:rPr>
                <w:rFonts w:ascii="宋体" w:hAnsi="宋体"/>
                <w:szCs w:val="21"/>
              </w:rPr>
            </w:pPr>
            <w:r>
              <w:rPr>
                <w:rFonts w:ascii="宋体" w:hAnsi="宋体"/>
                <w:szCs w:val="21"/>
              </w:rPr>
              <w:t>管理人员</w:t>
            </w:r>
          </w:p>
        </w:tc>
        <w:tc>
          <w:tcPr>
            <w:tcW w:w="1859" w:type="dxa"/>
            <w:vAlign w:val="center"/>
          </w:tcPr>
          <w:p w14:paraId="5CAD3047">
            <w:pPr>
              <w:spacing w:line="240" w:lineRule="atLeast"/>
              <w:rPr>
                <w:rFonts w:ascii="宋体" w:hAnsi="宋体"/>
                <w:szCs w:val="21"/>
              </w:rPr>
            </w:pPr>
            <w:r>
              <w:rPr>
                <w:rFonts w:ascii="宋体" w:hAnsi="宋体"/>
                <w:szCs w:val="21"/>
              </w:rPr>
              <w:t>技术人员</w:t>
            </w:r>
          </w:p>
        </w:tc>
        <w:tc>
          <w:tcPr>
            <w:tcW w:w="1758" w:type="dxa"/>
            <w:vAlign w:val="center"/>
          </w:tcPr>
          <w:p w14:paraId="6E142CDA">
            <w:pPr>
              <w:spacing w:line="240" w:lineRule="atLeast"/>
              <w:rPr>
                <w:rFonts w:ascii="宋体" w:hAnsi="宋体"/>
                <w:szCs w:val="21"/>
              </w:rPr>
            </w:pPr>
            <w:r>
              <w:rPr>
                <w:rFonts w:ascii="宋体" w:hAnsi="宋体"/>
                <w:szCs w:val="21"/>
              </w:rPr>
              <w:t>后勤人员</w:t>
            </w:r>
          </w:p>
        </w:tc>
        <w:tc>
          <w:tcPr>
            <w:tcW w:w="2366" w:type="dxa"/>
            <w:vAlign w:val="center"/>
          </w:tcPr>
          <w:p w14:paraId="5BAF0179">
            <w:pPr>
              <w:spacing w:line="240" w:lineRule="atLeast"/>
              <w:rPr>
                <w:rFonts w:ascii="宋体" w:hAnsi="宋体"/>
                <w:szCs w:val="21"/>
              </w:rPr>
            </w:pPr>
            <w:r>
              <w:rPr>
                <w:rFonts w:ascii="宋体" w:hAnsi="宋体"/>
                <w:szCs w:val="21"/>
              </w:rPr>
              <w:t>其他</w:t>
            </w:r>
          </w:p>
        </w:tc>
      </w:tr>
      <w:tr w14:paraId="677C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511" w:type="dxa"/>
            <w:gridSpan w:val="2"/>
            <w:vMerge w:val="continue"/>
            <w:vAlign w:val="center"/>
          </w:tcPr>
          <w:p w14:paraId="08EB26EB">
            <w:pPr>
              <w:spacing w:line="240" w:lineRule="atLeast"/>
              <w:rPr>
                <w:rFonts w:ascii="宋体" w:hAnsi="宋体"/>
                <w:szCs w:val="21"/>
              </w:rPr>
            </w:pPr>
          </w:p>
        </w:tc>
        <w:tc>
          <w:tcPr>
            <w:tcW w:w="1720" w:type="dxa"/>
            <w:vAlign w:val="center"/>
          </w:tcPr>
          <w:p w14:paraId="30B4BF63">
            <w:pPr>
              <w:spacing w:line="240" w:lineRule="atLeast"/>
              <w:rPr>
                <w:rFonts w:ascii="宋体" w:hAnsi="宋体"/>
                <w:szCs w:val="21"/>
              </w:rPr>
            </w:pPr>
          </w:p>
        </w:tc>
        <w:tc>
          <w:tcPr>
            <w:tcW w:w="1859" w:type="dxa"/>
            <w:vAlign w:val="center"/>
          </w:tcPr>
          <w:p w14:paraId="3A6A3E09">
            <w:pPr>
              <w:spacing w:line="240" w:lineRule="atLeast"/>
              <w:rPr>
                <w:rFonts w:ascii="宋体" w:hAnsi="宋体"/>
                <w:szCs w:val="21"/>
              </w:rPr>
            </w:pPr>
          </w:p>
        </w:tc>
        <w:tc>
          <w:tcPr>
            <w:tcW w:w="1758" w:type="dxa"/>
            <w:vAlign w:val="center"/>
          </w:tcPr>
          <w:p w14:paraId="14972DCD">
            <w:pPr>
              <w:spacing w:line="240" w:lineRule="atLeast"/>
              <w:rPr>
                <w:rFonts w:ascii="宋体" w:hAnsi="宋体"/>
                <w:szCs w:val="21"/>
              </w:rPr>
            </w:pPr>
          </w:p>
        </w:tc>
        <w:tc>
          <w:tcPr>
            <w:tcW w:w="2366" w:type="dxa"/>
            <w:vAlign w:val="center"/>
          </w:tcPr>
          <w:p w14:paraId="21ADF267">
            <w:pPr>
              <w:spacing w:line="240" w:lineRule="atLeast"/>
              <w:rPr>
                <w:rFonts w:ascii="宋体" w:hAnsi="宋体"/>
                <w:szCs w:val="21"/>
              </w:rPr>
            </w:pPr>
          </w:p>
        </w:tc>
      </w:tr>
      <w:tr w14:paraId="2CD7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511" w:type="dxa"/>
            <w:gridSpan w:val="2"/>
            <w:vMerge w:val="restart"/>
            <w:vAlign w:val="center"/>
          </w:tcPr>
          <w:p w14:paraId="33EA5EE6">
            <w:pPr>
              <w:spacing w:line="240" w:lineRule="atLeast"/>
              <w:rPr>
                <w:rFonts w:ascii="宋体" w:hAnsi="宋体"/>
                <w:szCs w:val="21"/>
              </w:rPr>
            </w:pPr>
            <w:r>
              <w:rPr>
                <w:rFonts w:ascii="宋体" w:hAnsi="宋体"/>
                <w:szCs w:val="21"/>
              </w:rPr>
              <w:t>上年度末资产及负债情况</w:t>
            </w:r>
          </w:p>
        </w:tc>
        <w:tc>
          <w:tcPr>
            <w:tcW w:w="1720" w:type="dxa"/>
            <w:vAlign w:val="center"/>
          </w:tcPr>
          <w:p w14:paraId="47AAAB0B">
            <w:pPr>
              <w:spacing w:line="240" w:lineRule="atLeast"/>
              <w:rPr>
                <w:rFonts w:ascii="宋体" w:hAnsi="宋体"/>
                <w:szCs w:val="21"/>
              </w:rPr>
            </w:pPr>
            <w:r>
              <w:rPr>
                <w:rFonts w:ascii="宋体" w:hAnsi="宋体"/>
                <w:szCs w:val="21"/>
              </w:rPr>
              <w:t>总资产</w:t>
            </w:r>
          </w:p>
        </w:tc>
        <w:tc>
          <w:tcPr>
            <w:tcW w:w="1859" w:type="dxa"/>
            <w:vAlign w:val="center"/>
          </w:tcPr>
          <w:p w14:paraId="30C9F9CF">
            <w:pPr>
              <w:spacing w:line="240" w:lineRule="atLeast"/>
              <w:rPr>
                <w:rFonts w:ascii="宋体" w:hAnsi="宋体"/>
                <w:szCs w:val="21"/>
              </w:rPr>
            </w:pPr>
            <w:r>
              <w:rPr>
                <w:rFonts w:ascii="宋体" w:hAnsi="宋体"/>
                <w:szCs w:val="21"/>
              </w:rPr>
              <w:t>固定资产净额</w:t>
            </w:r>
          </w:p>
        </w:tc>
        <w:tc>
          <w:tcPr>
            <w:tcW w:w="1758" w:type="dxa"/>
            <w:vAlign w:val="center"/>
          </w:tcPr>
          <w:p w14:paraId="6EBE799B">
            <w:pPr>
              <w:spacing w:line="240" w:lineRule="atLeast"/>
              <w:rPr>
                <w:rFonts w:ascii="宋体" w:hAnsi="宋体"/>
                <w:szCs w:val="21"/>
              </w:rPr>
            </w:pPr>
            <w:r>
              <w:rPr>
                <w:rFonts w:ascii="宋体" w:hAnsi="宋体"/>
                <w:szCs w:val="21"/>
              </w:rPr>
              <w:t>流动资产</w:t>
            </w:r>
          </w:p>
        </w:tc>
        <w:tc>
          <w:tcPr>
            <w:tcW w:w="2366" w:type="dxa"/>
            <w:vAlign w:val="center"/>
          </w:tcPr>
          <w:p w14:paraId="286E3795">
            <w:pPr>
              <w:spacing w:line="240" w:lineRule="atLeast"/>
              <w:rPr>
                <w:rFonts w:ascii="宋体" w:hAnsi="宋体"/>
                <w:szCs w:val="21"/>
              </w:rPr>
            </w:pPr>
            <w:r>
              <w:rPr>
                <w:rFonts w:ascii="宋体" w:hAnsi="宋体"/>
                <w:szCs w:val="21"/>
              </w:rPr>
              <w:t>资产负债</w:t>
            </w:r>
          </w:p>
        </w:tc>
      </w:tr>
      <w:tr w14:paraId="0CDF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511" w:type="dxa"/>
            <w:gridSpan w:val="2"/>
            <w:vMerge w:val="continue"/>
            <w:vAlign w:val="center"/>
          </w:tcPr>
          <w:p w14:paraId="79A6FC51">
            <w:pPr>
              <w:spacing w:line="240" w:lineRule="atLeast"/>
              <w:rPr>
                <w:rFonts w:ascii="宋体" w:hAnsi="宋体"/>
                <w:szCs w:val="21"/>
              </w:rPr>
            </w:pPr>
          </w:p>
        </w:tc>
        <w:tc>
          <w:tcPr>
            <w:tcW w:w="1720" w:type="dxa"/>
            <w:vAlign w:val="center"/>
          </w:tcPr>
          <w:p w14:paraId="6F589600">
            <w:pPr>
              <w:spacing w:line="240" w:lineRule="atLeast"/>
              <w:rPr>
                <w:rFonts w:ascii="宋体" w:hAnsi="宋体"/>
                <w:szCs w:val="21"/>
              </w:rPr>
            </w:pPr>
          </w:p>
        </w:tc>
        <w:tc>
          <w:tcPr>
            <w:tcW w:w="1859" w:type="dxa"/>
            <w:vAlign w:val="center"/>
          </w:tcPr>
          <w:p w14:paraId="7F8966B5">
            <w:pPr>
              <w:spacing w:line="240" w:lineRule="atLeast"/>
              <w:rPr>
                <w:rFonts w:ascii="宋体" w:hAnsi="宋体"/>
                <w:szCs w:val="21"/>
              </w:rPr>
            </w:pPr>
          </w:p>
        </w:tc>
        <w:tc>
          <w:tcPr>
            <w:tcW w:w="1758" w:type="dxa"/>
            <w:vAlign w:val="center"/>
          </w:tcPr>
          <w:p w14:paraId="0ABD290E">
            <w:pPr>
              <w:spacing w:line="240" w:lineRule="atLeast"/>
              <w:rPr>
                <w:rFonts w:ascii="宋体" w:hAnsi="宋体"/>
                <w:szCs w:val="21"/>
              </w:rPr>
            </w:pPr>
          </w:p>
        </w:tc>
        <w:tc>
          <w:tcPr>
            <w:tcW w:w="2366" w:type="dxa"/>
            <w:vAlign w:val="center"/>
          </w:tcPr>
          <w:p w14:paraId="3073E69A">
            <w:pPr>
              <w:spacing w:line="240" w:lineRule="atLeast"/>
              <w:rPr>
                <w:rFonts w:ascii="宋体" w:hAnsi="宋体"/>
                <w:szCs w:val="21"/>
              </w:rPr>
            </w:pPr>
          </w:p>
        </w:tc>
      </w:tr>
      <w:tr w14:paraId="0236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trPr>
        <w:tc>
          <w:tcPr>
            <w:tcW w:w="395" w:type="dxa"/>
            <w:vAlign w:val="center"/>
          </w:tcPr>
          <w:p w14:paraId="053AA0BB">
            <w:pPr>
              <w:rPr>
                <w:rFonts w:ascii="宋体" w:hAnsi="宋体"/>
                <w:szCs w:val="21"/>
              </w:rPr>
            </w:pPr>
            <w:r>
              <w:rPr>
                <w:rFonts w:ascii="宋体" w:hAnsi="宋体"/>
                <w:szCs w:val="21"/>
              </w:rPr>
              <w:t>企业概况</w:t>
            </w:r>
          </w:p>
        </w:tc>
        <w:tc>
          <w:tcPr>
            <w:tcW w:w="8819" w:type="dxa"/>
            <w:gridSpan w:val="5"/>
            <w:vAlign w:val="center"/>
          </w:tcPr>
          <w:p w14:paraId="6030FA01">
            <w:pPr>
              <w:rPr>
                <w:rFonts w:ascii="宋体" w:hAnsi="宋体"/>
                <w:szCs w:val="21"/>
              </w:rPr>
            </w:pPr>
          </w:p>
        </w:tc>
      </w:tr>
    </w:tbl>
    <w:p w14:paraId="7E054BEC">
      <w:pPr>
        <w:adjustRightInd w:val="0"/>
        <w:snapToGrid w:val="0"/>
        <w:spacing w:line="360" w:lineRule="auto"/>
        <w:rPr>
          <w:rFonts w:ascii="宋体" w:hAnsi="宋体" w:cs="宋体"/>
          <w:color w:val="000000"/>
          <w:sz w:val="28"/>
          <w:szCs w:val="28"/>
        </w:rPr>
      </w:pPr>
    </w:p>
    <w:p w14:paraId="68942FDE">
      <w:pPr>
        <w:adjustRightInd w:val="0"/>
        <w:snapToGrid w:val="0"/>
        <w:spacing w:line="360" w:lineRule="auto"/>
        <w:ind w:firstLine="30"/>
        <w:rPr>
          <w:rFonts w:ascii="宋体" w:hAnsi="宋体" w:cs="宋体"/>
          <w:color w:val="000000"/>
          <w:szCs w:val="21"/>
        </w:rPr>
      </w:pPr>
      <w:r>
        <w:rPr>
          <w:rFonts w:hint="eastAsia" w:ascii="宋体" w:hAnsi="宋体" w:cs="宋体"/>
          <w:bCs/>
          <w:color w:val="000000"/>
          <w:kern w:val="0"/>
          <w:szCs w:val="21"/>
        </w:rPr>
        <w:t>供应商全称</w:t>
      </w:r>
      <w:r>
        <w:rPr>
          <w:rFonts w:hint="eastAsia" w:ascii="宋体" w:hAnsi="宋体" w:cs="宋体"/>
          <w:color w:val="000000"/>
          <w:szCs w:val="21"/>
        </w:rPr>
        <w:t>：（公章）</w:t>
      </w:r>
    </w:p>
    <w:p w14:paraId="357C1B85">
      <w:pPr>
        <w:adjustRightInd w:val="0"/>
        <w:snapToGrid w:val="0"/>
        <w:spacing w:line="360" w:lineRule="auto"/>
        <w:ind w:right="420"/>
        <w:rPr>
          <w:rFonts w:ascii="宋体" w:hAnsi="宋体" w:cs="宋体"/>
          <w:color w:val="000000"/>
          <w:szCs w:val="21"/>
        </w:rPr>
      </w:pPr>
      <w:r>
        <w:rPr>
          <w:rFonts w:hint="eastAsia" w:ascii="宋体" w:hAnsi="宋体" w:cs="宋体"/>
          <w:color w:val="000000"/>
          <w:szCs w:val="21"/>
        </w:rPr>
        <w:t>全权代表（签字）：</w:t>
      </w:r>
    </w:p>
    <w:p w14:paraId="04BF48E4">
      <w:pPr>
        <w:adjustRightInd w:val="0"/>
        <w:snapToGrid w:val="0"/>
        <w:spacing w:line="360" w:lineRule="auto"/>
        <w:rPr>
          <w:rFonts w:ascii="宋体" w:hAnsi="宋体" w:cs="宋体"/>
          <w:color w:val="000000"/>
          <w:szCs w:val="21"/>
        </w:rPr>
      </w:pPr>
      <w:r>
        <w:rPr>
          <w:rFonts w:hint="eastAsia" w:ascii="宋体" w:hAnsi="宋体" w:cs="宋体"/>
          <w:color w:val="000000"/>
          <w:szCs w:val="21"/>
        </w:rPr>
        <w:t>日期： 年  月  日</w:t>
      </w:r>
    </w:p>
    <w:p w14:paraId="0DBBBAEB">
      <w:pPr>
        <w:pStyle w:val="17"/>
        <w:ind w:left="0" w:leftChars="0"/>
        <w:rPr>
          <w:rFonts w:ascii="宋体" w:hAnsi="宋体" w:cs="宋体"/>
          <w:color w:val="000000"/>
          <w:sz w:val="28"/>
          <w:szCs w:val="28"/>
        </w:rPr>
      </w:pPr>
      <w:r>
        <w:rPr>
          <w:rFonts w:hint="eastAsia" w:ascii="宋体" w:hAnsi="宋体" w:cs="宋体"/>
        </w:rPr>
        <w:t>说明：本表格可视情形添加或删减。除表格外，可另附文字、图片等情况加以说明。</w:t>
      </w:r>
    </w:p>
    <w:p w14:paraId="6A6D49E5">
      <w:pPr>
        <w:autoSpaceDE w:val="0"/>
        <w:autoSpaceDN w:val="0"/>
        <w:snapToGrid w:val="0"/>
        <w:spacing w:line="420" w:lineRule="exact"/>
        <w:textAlignment w:val="bottom"/>
        <w:rPr>
          <w:rFonts w:ascii="宋体" w:hAnsi="宋体" w:cs="宋体"/>
          <w:b/>
          <w:szCs w:val="21"/>
        </w:rPr>
      </w:pPr>
    </w:p>
    <w:p w14:paraId="1A701088">
      <w:pPr>
        <w:spacing w:line="400" w:lineRule="exact"/>
        <w:jc w:val="left"/>
        <w:rPr>
          <w:rFonts w:ascii="宋体" w:hAnsi="宋体" w:cs="宋体"/>
          <w:color w:val="000000"/>
          <w:sz w:val="28"/>
          <w:szCs w:val="28"/>
        </w:rPr>
      </w:pPr>
    </w:p>
    <w:p w14:paraId="1E5C444F">
      <w:pPr>
        <w:spacing w:line="400" w:lineRule="exact"/>
        <w:jc w:val="left"/>
        <w:rPr>
          <w:rFonts w:ascii="宋体" w:hAnsi="宋体" w:cs="宋体"/>
          <w:color w:val="000000"/>
          <w:sz w:val="28"/>
          <w:szCs w:val="28"/>
        </w:rPr>
      </w:pPr>
      <w:r>
        <w:rPr>
          <w:rFonts w:hint="eastAsia" w:ascii="宋体" w:hAnsi="宋体" w:cs="宋体"/>
          <w:color w:val="000000"/>
          <w:sz w:val="28"/>
          <w:szCs w:val="28"/>
        </w:rPr>
        <w:t>6、商务响应表</w:t>
      </w:r>
    </w:p>
    <w:p w14:paraId="6831132F">
      <w:pPr>
        <w:spacing w:line="360" w:lineRule="auto"/>
        <w:jc w:val="center"/>
        <w:rPr>
          <w:rFonts w:ascii="宋体" w:hAnsi="宋体" w:cs="宋体"/>
          <w:bCs/>
          <w:szCs w:val="21"/>
        </w:rPr>
      </w:pPr>
      <w:r>
        <w:rPr>
          <w:rFonts w:hint="eastAsia" w:ascii="宋体" w:hAnsi="宋体" w:cs="宋体"/>
          <w:bCs/>
          <w:sz w:val="30"/>
          <w:szCs w:val="30"/>
        </w:rPr>
        <w:t>商 务 响 应 表</w:t>
      </w:r>
    </w:p>
    <w:p w14:paraId="20CF447B">
      <w:pPr>
        <w:spacing w:line="360" w:lineRule="auto"/>
        <w:jc w:val="center"/>
        <w:rPr>
          <w:rFonts w:ascii="宋体" w:hAnsi="宋体" w:cs="宋体"/>
          <w:bCs/>
          <w:szCs w:val="21"/>
        </w:rPr>
      </w:pPr>
    </w:p>
    <w:p w14:paraId="2C59C548">
      <w:pPr>
        <w:spacing w:after="120" w:afterLines="50" w:line="400" w:lineRule="exact"/>
        <w:jc w:val="left"/>
        <w:rPr>
          <w:rFonts w:ascii="宋体" w:hAnsi="宋体" w:cs="宋体"/>
        </w:rPr>
      </w:pPr>
      <w:r>
        <w:rPr>
          <w:rFonts w:hint="eastAsia" w:ascii="宋体" w:hAnsi="宋体" w:cs="宋体"/>
          <w:szCs w:val="21"/>
        </w:rPr>
        <w:t xml:space="preserve">项目名称：                             项目编号：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635"/>
        <w:gridCol w:w="4000"/>
        <w:gridCol w:w="1340"/>
        <w:gridCol w:w="1077"/>
      </w:tblGrid>
      <w:tr w14:paraId="4E73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14:paraId="651B316A">
            <w:pPr>
              <w:spacing w:line="360" w:lineRule="auto"/>
              <w:jc w:val="center"/>
              <w:rPr>
                <w:rFonts w:ascii="宋体" w:hAnsi="宋体" w:cs="宋体"/>
                <w:b/>
              </w:rPr>
            </w:pPr>
            <w:r>
              <w:rPr>
                <w:rFonts w:hint="eastAsia" w:ascii="宋体" w:hAnsi="宋体" w:cs="宋体"/>
                <w:b/>
              </w:rPr>
              <w:t>序 号</w:t>
            </w:r>
          </w:p>
        </w:tc>
        <w:tc>
          <w:tcPr>
            <w:tcW w:w="1635" w:type="dxa"/>
            <w:tcBorders>
              <w:top w:val="single" w:color="auto" w:sz="4" w:space="0"/>
              <w:left w:val="single" w:color="auto" w:sz="4" w:space="0"/>
              <w:bottom w:val="single" w:color="auto" w:sz="4" w:space="0"/>
              <w:right w:val="single" w:color="auto" w:sz="4" w:space="0"/>
            </w:tcBorders>
            <w:vAlign w:val="center"/>
          </w:tcPr>
          <w:p w14:paraId="2620D0B1">
            <w:pPr>
              <w:spacing w:line="360" w:lineRule="auto"/>
              <w:jc w:val="center"/>
              <w:rPr>
                <w:rFonts w:ascii="宋体" w:hAnsi="宋体" w:cs="宋体"/>
                <w:b/>
              </w:rPr>
            </w:pPr>
            <w:r>
              <w:rPr>
                <w:rFonts w:hint="eastAsia" w:ascii="宋体" w:hAnsi="宋体" w:cs="宋体"/>
                <w:b/>
              </w:rPr>
              <w:t>内容</w:t>
            </w:r>
          </w:p>
        </w:tc>
        <w:tc>
          <w:tcPr>
            <w:tcW w:w="4000" w:type="dxa"/>
            <w:tcBorders>
              <w:top w:val="single" w:color="auto" w:sz="4" w:space="0"/>
              <w:left w:val="single" w:color="auto" w:sz="4" w:space="0"/>
              <w:bottom w:val="single" w:color="auto" w:sz="4" w:space="0"/>
              <w:right w:val="single" w:color="auto" w:sz="4" w:space="0"/>
            </w:tcBorders>
            <w:vAlign w:val="center"/>
          </w:tcPr>
          <w:p w14:paraId="6E6F3779">
            <w:pPr>
              <w:jc w:val="center"/>
              <w:rPr>
                <w:rFonts w:ascii="宋体" w:hAnsi="宋体" w:cs="宋体"/>
                <w:b/>
              </w:rPr>
            </w:pPr>
            <w:r>
              <w:rPr>
                <w:rFonts w:hint="eastAsia" w:ascii="宋体" w:hAnsi="宋体" w:cs="宋体"/>
                <w:b/>
              </w:rPr>
              <w:t>磋商文件规范要求</w:t>
            </w:r>
          </w:p>
        </w:tc>
        <w:tc>
          <w:tcPr>
            <w:tcW w:w="1340" w:type="dxa"/>
            <w:tcBorders>
              <w:top w:val="single" w:color="auto" w:sz="4" w:space="0"/>
              <w:left w:val="single" w:color="auto" w:sz="4" w:space="0"/>
              <w:bottom w:val="single" w:color="auto" w:sz="4" w:space="0"/>
              <w:right w:val="single" w:color="auto" w:sz="4" w:space="0"/>
            </w:tcBorders>
            <w:vAlign w:val="center"/>
          </w:tcPr>
          <w:p w14:paraId="11D27FB2">
            <w:pPr>
              <w:jc w:val="center"/>
              <w:rPr>
                <w:rFonts w:ascii="宋体" w:hAnsi="宋体" w:cs="宋体"/>
                <w:b/>
              </w:rPr>
            </w:pPr>
            <w:r>
              <w:rPr>
                <w:rFonts w:hint="eastAsia" w:ascii="宋体" w:hAnsi="宋体" w:cs="宋体"/>
                <w:b/>
              </w:rPr>
              <w:t>响应文件对应规范</w:t>
            </w:r>
          </w:p>
        </w:tc>
        <w:tc>
          <w:tcPr>
            <w:tcW w:w="1077" w:type="dxa"/>
            <w:tcBorders>
              <w:top w:val="single" w:color="auto" w:sz="4" w:space="0"/>
              <w:left w:val="single" w:color="auto" w:sz="4" w:space="0"/>
              <w:bottom w:val="single" w:color="auto" w:sz="4" w:space="0"/>
              <w:right w:val="single" w:color="auto" w:sz="4" w:space="0"/>
            </w:tcBorders>
            <w:vAlign w:val="center"/>
          </w:tcPr>
          <w:p w14:paraId="3FCC1CEE">
            <w:pPr>
              <w:spacing w:line="360" w:lineRule="auto"/>
              <w:rPr>
                <w:rFonts w:ascii="宋体" w:hAnsi="宋体" w:cs="宋体"/>
                <w:b/>
              </w:rPr>
            </w:pPr>
            <w:r>
              <w:rPr>
                <w:rFonts w:hint="eastAsia" w:ascii="宋体" w:hAnsi="宋体" w:cs="宋体"/>
                <w:b/>
              </w:rPr>
              <w:t>备 注</w:t>
            </w:r>
          </w:p>
        </w:tc>
      </w:tr>
      <w:tr w14:paraId="403A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14:paraId="0349D0B6">
            <w:pPr>
              <w:spacing w:line="360" w:lineRule="auto"/>
              <w:jc w:val="center"/>
              <w:rPr>
                <w:rFonts w:ascii="宋体" w:hAnsi="宋体" w:cs="宋体"/>
              </w:rPr>
            </w:pPr>
          </w:p>
        </w:tc>
        <w:tc>
          <w:tcPr>
            <w:tcW w:w="1635" w:type="dxa"/>
            <w:tcBorders>
              <w:top w:val="single" w:color="auto" w:sz="4" w:space="0"/>
              <w:left w:val="single" w:color="auto" w:sz="4" w:space="0"/>
              <w:bottom w:val="single" w:color="auto" w:sz="4" w:space="0"/>
              <w:right w:val="single" w:color="auto" w:sz="4" w:space="0"/>
            </w:tcBorders>
            <w:vAlign w:val="center"/>
          </w:tcPr>
          <w:p w14:paraId="6E074B9B">
            <w:pPr>
              <w:snapToGrid w:val="0"/>
              <w:spacing w:line="288" w:lineRule="auto"/>
              <w:rPr>
                <w:rFonts w:ascii="宋体" w:hAnsi="宋体" w:cs="宋体"/>
                <w:bCs/>
              </w:rPr>
            </w:pPr>
          </w:p>
        </w:tc>
        <w:tc>
          <w:tcPr>
            <w:tcW w:w="4000" w:type="dxa"/>
            <w:tcBorders>
              <w:top w:val="single" w:color="auto" w:sz="4" w:space="0"/>
              <w:left w:val="single" w:color="auto" w:sz="4" w:space="0"/>
              <w:bottom w:val="single" w:color="auto" w:sz="4" w:space="0"/>
              <w:right w:val="single" w:color="auto" w:sz="4" w:space="0"/>
            </w:tcBorders>
            <w:vAlign w:val="center"/>
          </w:tcPr>
          <w:p w14:paraId="79AEF5B9">
            <w:pPr>
              <w:pStyle w:val="46"/>
              <w:spacing w:line="360" w:lineRule="auto"/>
              <w:rPr>
                <w:rFonts w:ascii="宋体" w:hAnsi="宋体" w:cs="宋体"/>
              </w:rPr>
            </w:pPr>
          </w:p>
        </w:tc>
        <w:tc>
          <w:tcPr>
            <w:tcW w:w="1340" w:type="dxa"/>
            <w:tcBorders>
              <w:top w:val="single" w:color="auto" w:sz="4" w:space="0"/>
              <w:left w:val="single" w:color="auto" w:sz="4" w:space="0"/>
              <w:bottom w:val="single" w:color="auto" w:sz="4" w:space="0"/>
              <w:right w:val="single" w:color="auto" w:sz="4" w:space="0"/>
            </w:tcBorders>
          </w:tcPr>
          <w:p w14:paraId="392D558B">
            <w:pPr>
              <w:spacing w:line="360" w:lineRule="auto"/>
              <w:ind w:firstLine="420" w:firstLineChars="200"/>
              <w:rPr>
                <w:rFonts w:ascii="宋体" w:hAnsi="宋体" w:cs="宋体"/>
              </w:rPr>
            </w:pPr>
          </w:p>
        </w:tc>
        <w:tc>
          <w:tcPr>
            <w:tcW w:w="1077" w:type="dxa"/>
            <w:tcBorders>
              <w:top w:val="single" w:color="auto" w:sz="4" w:space="0"/>
              <w:left w:val="single" w:color="auto" w:sz="4" w:space="0"/>
              <w:bottom w:val="single" w:color="auto" w:sz="4" w:space="0"/>
              <w:right w:val="single" w:color="auto" w:sz="4" w:space="0"/>
            </w:tcBorders>
          </w:tcPr>
          <w:p w14:paraId="1F23C22F">
            <w:pPr>
              <w:spacing w:line="360" w:lineRule="auto"/>
              <w:ind w:firstLine="420" w:firstLineChars="200"/>
              <w:rPr>
                <w:rFonts w:ascii="宋体" w:hAnsi="宋体" w:cs="宋体"/>
              </w:rPr>
            </w:pPr>
          </w:p>
        </w:tc>
      </w:tr>
      <w:tr w14:paraId="3154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14:paraId="702F19BA">
            <w:pPr>
              <w:spacing w:line="360" w:lineRule="auto"/>
              <w:jc w:val="center"/>
              <w:rPr>
                <w:rFonts w:ascii="宋体" w:hAnsi="宋体" w:cs="宋体"/>
              </w:rPr>
            </w:pPr>
          </w:p>
        </w:tc>
        <w:tc>
          <w:tcPr>
            <w:tcW w:w="1635" w:type="dxa"/>
            <w:tcBorders>
              <w:top w:val="single" w:color="auto" w:sz="4" w:space="0"/>
              <w:left w:val="single" w:color="auto" w:sz="4" w:space="0"/>
              <w:bottom w:val="single" w:color="auto" w:sz="4" w:space="0"/>
              <w:right w:val="single" w:color="auto" w:sz="4" w:space="0"/>
            </w:tcBorders>
            <w:vAlign w:val="center"/>
          </w:tcPr>
          <w:p w14:paraId="1C47D4F3">
            <w:pPr>
              <w:snapToGrid w:val="0"/>
              <w:spacing w:line="288" w:lineRule="auto"/>
              <w:rPr>
                <w:rFonts w:ascii="宋体" w:hAnsi="宋体" w:cs="宋体"/>
                <w:bCs/>
              </w:rPr>
            </w:pPr>
          </w:p>
        </w:tc>
        <w:tc>
          <w:tcPr>
            <w:tcW w:w="4000" w:type="dxa"/>
            <w:tcBorders>
              <w:top w:val="single" w:color="auto" w:sz="4" w:space="0"/>
              <w:left w:val="single" w:color="auto" w:sz="4" w:space="0"/>
              <w:bottom w:val="single" w:color="auto" w:sz="4" w:space="0"/>
              <w:right w:val="single" w:color="auto" w:sz="4" w:space="0"/>
            </w:tcBorders>
          </w:tcPr>
          <w:p w14:paraId="48F336A6">
            <w:pPr>
              <w:spacing w:line="360" w:lineRule="auto"/>
              <w:rPr>
                <w:rFonts w:ascii="宋体" w:hAnsi="宋体" w:cs="宋体"/>
              </w:rPr>
            </w:pPr>
          </w:p>
        </w:tc>
        <w:tc>
          <w:tcPr>
            <w:tcW w:w="1340" w:type="dxa"/>
            <w:tcBorders>
              <w:top w:val="single" w:color="auto" w:sz="4" w:space="0"/>
              <w:left w:val="single" w:color="auto" w:sz="4" w:space="0"/>
              <w:bottom w:val="single" w:color="auto" w:sz="4" w:space="0"/>
              <w:right w:val="single" w:color="auto" w:sz="4" w:space="0"/>
            </w:tcBorders>
          </w:tcPr>
          <w:p w14:paraId="2900D1ED">
            <w:pPr>
              <w:spacing w:line="360" w:lineRule="auto"/>
              <w:ind w:firstLine="420" w:firstLineChars="200"/>
              <w:rPr>
                <w:rFonts w:ascii="宋体" w:hAnsi="宋体" w:cs="宋体"/>
              </w:rPr>
            </w:pPr>
          </w:p>
        </w:tc>
        <w:tc>
          <w:tcPr>
            <w:tcW w:w="1077" w:type="dxa"/>
            <w:tcBorders>
              <w:top w:val="single" w:color="auto" w:sz="4" w:space="0"/>
              <w:left w:val="single" w:color="auto" w:sz="4" w:space="0"/>
              <w:bottom w:val="single" w:color="auto" w:sz="4" w:space="0"/>
              <w:right w:val="single" w:color="auto" w:sz="4" w:space="0"/>
            </w:tcBorders>
          </w:tcPr>
          <w:p w14:paraId="34D4AD0E">
            <w:pPr>
              <w:spacing w:line="360" w:lineRule="auto"/>
              <w:ind w:firstLine="420" w:firstLineChars="200"/>
              <w:rPr>
                <w:rFonts w:ascii="宋体" w:hAnsi="宋体" w:cs="宋体"/>
              </w:rPr>
            </w:pPr>
          </w:p>
        </w:tc>
      </w:tr>
      <w:tr w14:paraId="6D0B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14:paraId="30E89A57">
            <w:pPr>
              <w:spacing w:line="360" w:lineRule="auto"/>
              <w:jc w:val="center"/>
              <w:rPr>
                <w:rFonts w:ascii="宋体" w:hAnsi="宋体" w:cs="宋体"/>
              </w:rPr>
            </w:pPr>
          </w:p>
        </w:tc>
        <w:tc>
          <w:tcPr>
            <w:tcW w:w="1635" w:type="dxa"/>
            <w:tcBorders>
              <w:top w:val="single" w:color="auto" w:sz="4" w:space="0"/>
              <w:left w:val="single" w:color="auto" w:sz="4" w:space="0"/>
              <w:bottom w:val="single" w:color="auto" w:sz="4" w:space="0"/>
              <w:right w:val="single" w:color="auto" w:sz="4" w:space="0"/>
            </w:tcBorders>
            <w:vAlign w:val="center"/>
          </w:tcPr>
          <w:p w14:paraId="4E1B660C">
            <w:pPr>
              <w:snapToGrid w:val="0"/>
              <w:spacing w:line="288" w:lineRule="auto"/>
              <w:rPr>
                <w:rFonts w:ascii="宋体" w:hAnsi="宋体" w:cs="宋体"/>
                <w:bCs/>
              </w:rPr>
            </w:pPr>
          </w:p>
        </w:tc>
        <w:tc>
          <w:tcPr>
            <w:tcW w:w="4000" w:type="dxa"/>
            <w:tcBorders>
              <w:top w:val="single" w:color="auto" w:sz="4" w:space="0"/>
              <w:left w:val="single" w:color="auto" w:sz="4" w:space="0"/>
              <w:bottom w:val="single" w:color="auto" w:sz="4" w:space="0"/>
              <w:right w:val="single" w:color="auto" w:sz="4" w:space="0"/>
            </w:tcBorders>
          </w:tcPr>
          <w:p w14:paraId="1B2E4C23">
            <w:pPr>
              <w:spacing w:line="360" w:lineRule="auto"/>
              <w:rPr>
                <w:rFonts w:ascii="宋体" w:hAnsi="宋体" w:cs="宋体"/>
              </w:rPr>
            </w:pPr>
          </w:p>
        </w:tc>
        <w:tc>
          <w:tcPr>
            <w:tcW w:w="1340" w:type="dxa"/>
            <w:tcBorders>
              <w:top w:val="single" w:color="auto" w:sz="4" w:space="0"/>
              <w:left w:val="single" w:color="auto" w:sz="4" w:space="0"/>
              <w:bottom w:val="single" w:color="auto" w:sz="4" w:space="0"/>
              <w:right w:val="single" w:color="auto" w:sz="4" w:space="0"/>
            </w:tcBorders>
          </w:tcPr>
          <w:p w14:paraId="040A259F">
            <w:pPr>
              <w:spacing w:line="360" w:lineRule="auto"/>
              <w:ind w:firstLine="420" w:firstLineChars="200"/>
              <w:rPr>
                <w:rFonts w:ascii="宋体" w:hAnsi="宋体" w:cs="宋体"/>
              </w:rPr>
            </w:pPr>
          </w:p>
        </w:tc>
        <w:tc>
          <w:tcPr>
            <w:tcW w:w="1077" w:type="dxa"/>
            <w:tcBorders>
              <w:top w:val="single" w:color="auto" w:sz="4" w:space="0"/>
              <w:left w:val="single" w:color="auto" w:sz="4" w:space="0"/>
              <w:bottom w:val="single" w:color="auto" w:sz="4" w:space="0"/>
              <w:right w:val="single" w:color="auto" w:sz="4" w:space="0"/>
            </w:tcBorders>
          </w:tcPr>
          <w:p w14:paraId="722374D9">
            <w:pPr>
              <w:spacing w:line="360" w:lineRule="auto"/>
              <w:ind w:firstLine="420" w:firstLineChars="200"/>
              <w:rPr>
                <w:rFonts w:ascii="宋体" w:hAnsi="宋体" w:cs="宋体"/>
              </w:rPr>
            </w:pPr>
          </w:p>
        </w:tc>
      </w:tr>
      <w:tr w14:paraId="2478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14:paraId="41F85EFA">
            <w:pPr>
              <w:spacing w:line="360" w:lineRule="auto"/>
              <w:jc w:val="center"/>
              <w:rPr>
                <w:rFonts w:ascii="宋体" w:hAnsi="宋体" w:cs="宋体"/>
              </w:rPr>
            </w:pPr>
          </w:p>
        </w:tc>
        <w:tc>
          <w:tcPr>
            <w:tcW w:w="1635" w:type="dxa"/>
            <w:tcBorders>
              <w:top w:val="single" w:color="auto" w:sz="4" w:space="0"/>
              <w:left w:val="single" w:color="auto" w:sz="4" w:space="0"/>
              <w:bottom w:val="single" w:color="auto" w:sz="4" w:space="0"/>
              <w:right w:val="single" w:color="auto" w:sz="4" w:space="0"/>
            </w:tcBorders>
            <w:vAlign w:val="center"/>
          </w:tcPr>
          <w:p w14:paraId="2CAFB160">
            <w:pPr>
              <w:spacing w:line="360" w:lineRule="auto"/>
              <w:jc w:val="left"/>
              <w:rPr>
                <w:rFonts w:ascii="宋体" w:hAnsi="宋体" w:cs="宋体"/>
                <w:bCs/>
              </w:rPr>
            </w:pPr>
          </w:p>
        </w:tc>
        <w:tc>
          <w:tcPr>
            <w:tcW w:w="4000" w:type="dxa"/>
            <w:tcBorders>
              <w:top w:val="single" w:color="auto" w:sz="4" w:space="0"/>
              <w:left w:val="single" w:color="auto" w:sz="4" w:space="0"/>
              <w:bottom w:val="single" w:color="auto" w:sz="4" w:space="0"/>
              <w:right w:val="single" w:color="auto" w:sz="4" w:space="0"/>
            </w:tcBorders>
          </w:tcPr>
          <w:p w14:paraId="614F4F5E">
            <w:pPr>
              <w:spacing w:line="360" w:lineRule="auto"/>
              <w:rPr>
                <w:rFonts w:ascii="宋体" w:hAnsi="宋体" w:cs="宋体"/>
              </w:rPr>
            </w:pPr>
          </w:p>
        </w:tc>
        <w:tc>
          <w:tcPr>
            <w:tcW w:w="1340" w:type="dxa"/>
            <w:tcBorders>
              <w:top w:val="single" w:color="auto" w:sz="4" w:space="0"/>
              <w:left w:val="single" w:color="auto" w:sz="4" w:space="0"/>
              <w:bottom w:val="single" w:color="auto" w:sz="4" w:space="0"/>
              <w:right w:val="single" w:color="auto" w:sz="4" w:space="0"/>
            </w:tcBorders>
          </w:tcPr>
          <w:p w14:paraId="3B659DBA">
            <w:pPr>
              <w:spacing w:line="360" w:lineRule="auto"/>
              <w:ind w:firstLine="420" w:firstLineChars="200"/>
              <w:rPr>
                <w:rFonts w:ascii="宋体" w:hAnsi="宋体" w:cs="宋体"/>
              </w:rPr>
            </w:pPr>
          </w:p>
        </w:tc>
        <w:tc>
          <w:tcPr>
            <w:tcW w:w="1077" w:type="dxa"/>
            <w:tcBorders>
              <w:top w:val="single" w:color="auto" w:sz="4" w:space="0"/>
              <w:left w:val="single" w:color="auto" w:sz="4" w:space="0"/>
              <w:bottom w:val="single" w:color="auto" w:sz="4" w:space="0"/>
              <w:right w:val="single" w:color="auto" w:sz="4" w:space="0"/>
            </w:tcBorders>
          </w:tcPr>
          <w:p w14:paraId="3B1FD3E5">
            <w:pPr>
              <w:spacing w:line="360" w:lineRule="auto"/>
              <w:ind w:firstLine="420" w:firstLineChars="200"/>
              <w:rPr>
                <w:rFonts w:ascii="宋体" w:hAnsi="宋体" w:cs="宋体"/>
              </w:rPr>
            </w:pPr>
          </w:p>
        </w:tc>
      </w:tr>
      <w:tr w14:paraId="4B2B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14:paraId="498122C8">
            <w:pPr>
              <w:spacing w:line="360" w:lineRule="auto"/>
              <w:ind w:firstLine="420" w:firstLineChars="200"/>
              <w:rPr>
                <w:rFonts w:ascii="宋体" w:hAnsi="宋体" w:cs="宋体"/>
              </w:rPr>
            </w:pPr>
          </w:p>
        </w:tc>
        <w:tc>
          <w:tcPr>
            <w:tcW w:w="1635" w:type="dxa"/>
            <w:tcBorders>
              <w:top w:val="single" w:color="auto" w:sz="4" w:space="0"/>
              <w:left w:val="single" w:color="auto" w:sz="4" w:space="0"/>
              <w:bottom w:val="single" w:color="auto" w:sz="4" w:space="0"/>
              <w:right w:val="single" w:color="auto" w:sz="4" w:space="0"/>
            </w:tcBorders>
          </w:tcPr>
          <w:p w14:paraId="39B17DF8">
            <w:pPr>
              <w:spacing w:line="360" w:lineRule="auto"/>
              <w:ind w:firstLine="420" w:firstLineChars="200"/>
              <w:rPr>
                <w:rFonts w:ascii="宋体" w:hAnsi="宋体" w:cs="宋体"/>
              </w:rPr>
            </w:pPr>
          </w:p>
        </w:tc>
        <w:tc>
          <w:tcPr>
            <w:tcW w:w="4000" w:type="dxa"/>
            <w:tcBorders>
              <w:top w:val="single" w:color="auto" w:sz="4" w:space="0"/>
              <w:left w:val="single" w:color="auto" w:sz="4" w:space="0"/>
              <w:bottom w:val="single" w:color="auto" w:sz="4" w:space="0"/>
              <w:right w:val="single" w:color="auto" w:sz="4" w:space="0"/>
            </w:tcBorders>
          </w:tcPr>
          <w:p w14:paraId="36F69F64">
            <w:pPr>
              <w:spacing w:line="360" w:lineRule="auto"/>
              <w:ind w:firstLine="420" w:firstLineChars="200"/>
              <w:rPr>
                <w:rFonts w:ascii="宋体" w:hAnsi="宋体" w:cs="宋体"/>
              </w:rPr>
            </w:pPr>
          </w:p>
        </w:tc>
        <w:tc>
          <w:tcPr>
            <w:tcW w:w="1340" w:type="dxa"/>
            <w:tcBorders>
              <w:top w:val="single" w:color="auto" w:sz="4" w:space="0"/>
              <w:left w:val="single" w:color="auto" w:sz="4" w:space="0"/>
              <w:bottom w:val="single" w:color="auto" w:sz="4" w:space="0"/>
              <w:right w:val="single" w:color="auto" w:sz="4" w:space="0"/>
            </w:tcBorders>
          </w:tcPr>
          <w:p w14:paraId="49F2614B">
            <w:pPr>
              <w:spacing w:line="360" w:lineRule="auto"/>
              <w:ind w:firstLine="420" w:firstLineChars="200"/>
              <w:rPr>
                <w:rFonts w:ascii="宋体" w:hAnsi="宋体" w:cs="宋体"/>
              </w:rPr>
            </w:pPr>
          </w:p>
        </w:tc>
        <w:tc>
          <w:tcPr>
            <w:tcW w:w="1077" w:type="dxa"/>
            <w:tcBorders>
              <w:top w:val="single" w:color="auto" w:sz="4" w:space="0"/>
              <w:left w:val="single" w:color="auto" w:sz="4" w:space="0"/>
              <w:bottom w:val="single" w:color="auto" w:sz="4" w:space="0"/>
              <w:right w:val="single" w:color="auto" w:sz="4" w:space="0"/>
            </w:tcBorders>
          </w:tcPr>
          <w:p w14:paraId="04E51CD0">
            <w:pPr>
              <w:spacing w:line="360" w:lineRule="auto"/>
              <w:ind w:firstLine="420" w:firstLineChars="200"/>
              <w:rPr>
                <w:rFonts w:ascii="宋体" w:hAnsi="宋体" w:cs="宋体"/>
              </w:rPr>
            </w:pPr>
          </w:p>
        </w:tc>
      </w:tr>
    </w:tbl>
    <w:p w14:paraId="4E0696BB">
      <w:pPr>
        <w:spacing w:line="340" w:lineRule="exact"/>
        <w:ind w:firstLine="420" w:firstLineChars="200"/>
        <w:rPr>
          <w:rFonts w:ascii="宋体" w:hAnsi="宋体" w:cs="宋体"/>
        </w:rPr>
      </w:pPr>
      <w:r>
        <w:rPr>
          <w:rFonts w:hint="eastAsia" w:ascii="宋体" w:hAnsi="宋体" w:cs="宋体"/>
        </w:rPr>
        <w:t xml:space="preserve"> </w:t>
      </w:r>
    </w:p>
    <w:p w14:paraId="51597006">
      <w:pPr>
        <w:spacing w:before="120" w:beforeLines="50" w:after="120" w:afterLines="50" w:line="300" w:lineRule="exact"/>
        <w:ind w:firstLine="420" w:firstLineChars="200"/>
        <w:rPr>
          <w:rFonts w:ascii="宋体" w:hAnsi="宋体" w:cs="宋体"/>
          <w:szCs w:val="21"/>
        </w:rPr>
      </w:pPr>
      <w:r>
        <w:rPr>
          <w:rFonts w:hint="eastAsia" w:ascii="宋体" w:hAnsi="宋体" w:cs="宋体"/>
          <w:szCs w:val="21"/>
        </w:rPr>
        <w:t>供应商（盖章）：</w:t>
      </w:r>
    </w:p>
    <w:p w14:paraId="331972FD">
      <w:pPr>
        <w:spacing w:before="120" w:beforeLines="50" w:after="120" w:afterLines="50" w:line="300" w:lineRule="exact"/>
        <w:ind w:firstLine="420" w:firstLineChars="200"/>
        <w:rPr>
          <w:rFonts w:ascii="宋体" w:hAnsi="宋体" w:cs="宋体"/>
          <w:szCs w:val="21"/>
        </w:rPr>
      </w:pPr>
      <w:r>
        <w:rPr>
          <w:rFonts w:hint="eastAsia" w:ascii="宋体" w:hAnsi="宋体" w:cs="宋体"/>
          <w:szCs w:val="21"/>
        </w:rPr>
        <w:t>授权代表（签字）：</w:t>
      </w:r>
    </w:p>
    <w:p w14:paraId="77FEC3D7">
      <w:pPr>
        <w:pStyle w:val="16"/>
        <w:spacing w:line="300" w:lineRule="exact"/>
        <w:ind w:firstLine="420" w:firstLineChars="200"/>
        <w:rPr>
          <w:rFonts w:cs="宋体"/>
        </w:rPr>
      </w:pPr>
      <w:r>
        <w:rPr>
          <w:rFonts w:hint="eastAsia" w:cs="宋体"/>
          <w:kern w:val="2"/>
          <w:sz w:val="21"/>
          <w:szCs w:val="21"/>
        </w:rPr>
        <w:t xml:space="preserve">日期：  </w:t>
      </w:r>
      <w:r>
        <w:rPr>
          <w:rFonts w:hint="eastAsia" w:cs="宋体"/>
        </w:rPr>
        <w:t xml:space="preserve">   </w:t>
      </w:r>
    </w:p>
    <w:p w14:paraId="08423BBB">
      <w:pPr>
        <w:rPr>
          <w:rFonts w:ascii="宋体" w:hAnsi="宋体" w:cs="宋体"/>
          <w:sz w:val="24"/>
        </w:rPr>
      </w:pPr>
    </w:p>
    <w:p w14:paraId="08689F35">
      <w:pPr>
        <w:spacing w:line="340" w:lineRule="exact"/>
        <w:ind w:firstLine="420" w:firstLineChars="200"/>
        <w:rPr>
          <w:rFonts w:ascii="宋体" w:hAnsi="宋体" w:cs="宋体"/>
          <w:szCs w:val="21"/>
        </w:rPr>
      </w:pPr>
      <w:r>
        <w:rPr>
          <w:rFonts w:hint="eastAsia" w:ascii="宋体" w:hAnsi="宋体" w:cs="宋体"/>
          <w:szCs w:val="21"/>
        </w:rPr>
        <w:t>注：1、本表格为</w:t>
      </w:r>
      <w:r>
        <w:rPr>
          <w:rFonts w:hint="eastAsia" w:ascii="宋体" w:hAnsi="宋体" w:cs="宋体"/>
          <w:bCs/>
          <w:szCs w:val="21"/>
        </w:rPr>
        <w:t>商务要求中除报价以外的其他要求，不填写视同完全响应磋商文件要求。</w:t>
      </w:r>
      <w:r>
        <w:rPr>
          <w:rFonts w:hint="eastAsia" w:ascii="宋体" w:hAnsi="宋体" w:cs="宋体"/>
          <w:szCs w:val="21"/>
        </w:rPr>
        <w:t>此表可在不改变格式的情况下可自行制作。</w:t>
      </w:r>
    </w:p>
    <w:p w14:paraId="3D94CF2E">
      <w:pPr>
        <w:spacing w:line="340" w:lineRule="exact"/>
        <w:ind w:firstLine="630" w:firstLineChars="300"/>
      </w:pPr>
      <w:r>
        <w:rPr>
          <w:rFonts w:hint="eastAsia" w:ascii="宋体" w:hAnsi="宋体" w:cs="宋体"/>
          <w:szCs w:val="21"/>
        </w:rPr>
        <w:t>2、备注栏填正偏离、负偏离或无偏离。</w:t>
      </w:r>
    </w:p>
    <w:p w14:paraId="7FDECC63"/>
    <w:p w14:paraId="6C60DD64">
      <w:pPr>
        <w:spacing w:line="400" w:lineRule="exact"/>
        <w:jc w:val="left"/>
        <w:rPr>
          <w:rFonts w:ascii="宋体" w:hAnsi="宋体" w:cs="宋体"/>
          <w:color w:val="000000"/>
          <w:sz w:val="28"/>
          <w:szCs w:val="28"/>
        </w:rPr>
      </w:pPr>
    </w:p>
    <w:p w14:paraId="0F167F9B">
      <w:pPr>
        <w:spacing w:line="400" w:lineRule="exact"/>
        <w:jc w:val="left"/>
        <w:rPr>
          <w:rFonts w:ascii="宋体" w:hAnsi="宋体" w:cs="宋体"/>
          <w:color w:val="000000"/>
          <w:sz w:val="28"/>
          <w:szCs w:val="28"/>
        </w:rPr>
      </w:pPr>
    </w:p>
    <w:p w14:paraId="6D0E0323">
      <w:pPr>
        <w:spacing w:line="400" w:lineRule="exact"/>
        <w:jc w:val="left"/>
        <w:rPr>
          <w:rFonts w:ascii="宋体" w:hAnsi="宋体" w:cs="宋体"/>
          <w:color w:val="000000"/>
          <w:sz w:val="28"/>
          <w:szCs w:val="28"/>
        </w:rPr>
      </w:pPr>
    </w:p>
    <w:p w14:paraId="6BF4897C">
      <w:pPr>
        <w:spacing w:line="400" w:lineRule="exact"/>
        <w:jc w:val="left"/>
        <w:rPr>
          <w:rFonts w:ascii="宋体" w:hAnsi="宋体" w:cs="宋体"/>
          <w:color w:val="000000"/>
          <w:sz w:val="28"/>
          <w:szCs w:val="28"/>
        </w:rPr>
      </w:pPr>
    </w:p>
    <w:p w14:paraId="4F88048F">
      <w:pPr>
        <w:spacing w:line="400" w:lineRule="exact"/>
        <w:jc w:val="left"/>
        <w:rPr>
          <w:rFonts w:ascii="宋体" w:hAnsi="宋体" w:cs="宋体"/>
          <w:color w:val="000000"/>
          <w:sz w:val="28"/>
          <w:szCs w:val="28"/>
        </w:rPr>
      </w:pPr>
    </w:p>
    <w:p w14:paraId="3B6A6E8E">
      <w:pPr>
        <w:spacing w:line="400" w:lineRule="exact"/>
        <w:jc w:val="left"/>
        <w:rPr>
          <w:rFonts w:ascii="宋体" w:hAnsi="宋体" w:cs="宋体"/>
          <w:color w:val="000000"/>
          <w:sz w:val="28"/>
          <w:szCs w:val="28"/>
        </w:rPr>
      </w:pPr>
    </w:p>
    <w:p w14:paraId="597A6DCF">
      <w:pPr>
        <w:spacing w:line="400" w:lineRule="exact"/>
        <w:jc w:val="left"/>
        <w:rPr>
          <w:rFonts w:ascii="宋体" w:hAnsi="宋体" w:cs="宋体"/>
          <w:color w:val="000000"/>
          <w:sz w:val="28"/>
          <w:szCs w:val="28"/>
        </w:rPr>
      </w:pPr>
    </w:p>
    <w:p w14:paraId="6C1D95B4">
      <w:pPr>
        <w:spacing w:line="400" w:lineRule="exact"/>
        <w:jc w:val="left"/>
        <w:rPr>
          <w:rFonts w:ascii="宋体" w:hAnsi="宋体" w:cs="宋体"/>
          <w:color w:val="000000"/>
          <w:sz w:val="28"/>
          <w:szCs w:val="28"/>
        </w:rPr>
      </w:pPr>
    </w:p>
    <w:p w14:paraId="1ADE6689">
      <w:pPr>
        <w:spacing w:line="400" w:lineRule="exact"/>
        <w:jc w:val="left"/>
        <w:rPr>
          <w:rFonts w:ascii="宋体" w:hAnsi="宋体" w:cs="宋体"/>
          <w:color w:val="000000"/>
          <w:sz w:val="28"/>
          <w:szCs w:val="28"/>
        </w:rPr>
      </w:pPr>
    </w:p>
    <w:p w14:paraId="6F9B5AA3">
      <w:pPr>
        <w:spacing w:line="400" w:lineRule="exact"/>
        <w:jc w:val="left"/>
        <w:rPr>
          <w:rFonts w:ascii="宋体" w:hAnsi="宋体" w:cs="宋体"/>
          <w:color w:val="000000"/>
          <w:sz w:val="28"/>
          <w:szCs w:val="28"/>
        </w:rPr>
      </w:pPr>
    </w:p>
    <w:p w14:paraId="493AE4F9">
      <w:pPr>
        <w:spacing w:line="400" w:lineRule="exact"/>
        <w:jc w:val="left"/>
        <w:rPr>
          <w:rFonts w:ascii="宋体" w:hAnsi="宋体" w:cs="宋体"/>
          <w:color w:val="000000"/>
          <w:sz w:val="28"/>
          <w:szCs w:val="28"/>
        </w:rPr>
      </w:pPr>
    </w:p>
    <w:p w14:paraId="4BC593F2">
      <w:pPr>
        <w:spacing w:line="400" w:lineRule="exact"/>
        <w:jc w:val="left"/>
        <w:rPr>
          <w:rFonts w:ascii="宋体" w:hAnsi="宋体" w:cs="宋体"/>
          <w:color w:val="000000"/>
          <w:sz w:val="28"/>
          <w:szCs w:val="28"/>
        </w:rPr>
      </w:pPr>
    </w:p>
    <w:p w14:paraId="1DE76E54">
      <w:pPr>
        <w:spacing w:line="400" w:lineRule="exact"/>
        <w:jc w:val="left"/>
        <w:rPr>
          <w:rFonts w:ascii="宋体" w:hAnsi="宋体" w:cs="宋体"/>
          <w:color w:val="000000"/>
          <w:sz w:val="28"/>
          <w:szCs w:val="28"/>
        </w:rPr>
      </w:pPr>
    </w:p>
    <w:p w14:paraId="6EF2CCAE">
      <w:pPr>
        <w:spacing w:line="400" w:lineRule="exact"/>
        <w:jc w:val="left"/>
        <w:rPr>
          <w:rFonts w:ascii="宋体" w:hAnsi="宋体" w:cs="宋体"/>
          <w:color w:val="000000"/>
          <w:sz w:val="28"/>
          <w:szCs w:val="28"/>
        </w:rPr>
      </w:pPr>
    </w:p>
    <w:p w14:paraId="20C29334">
      <w:pPr>
        <w:spacing w:line="400" w:lineRule="exact"/>
        <w:jc w:val="left"/>
        <w:rPr>
          <w:rFonts w:ascii="宋体" w:hAnsi="宋体" w:cs="宋体"/>
          <w:color w:val="000000"/>
          <w:sz w:val="28"/>
          <w:szCs w:val="28"/>
        </w:rPr>
      </w:pPr>
      <w:r>
        <w:rPr>
          <w:rFonts w:hint="eastAsia" w:ascii="宋体" w:hAnsi="宋体" w:cs="宋体"/>
          <w:color w:val="000000"/>
          <w:sz w:val="28"/>
          <w:szCs w:val="28"/>
        </w:rPr>
        <w:t>7、供应商同类项目实施情况一览表</w:t>
      </w:r>
    </w:p>
    <w:p w14:paraId="4E5176BE">
      <w:pPr>
        <w:spacing w:line="400" w:lineRule="exact"/>
        <w:jc w:val="center"/>
        <w:rPr>
          <w:rFonts w:ascii="宋体" w:hAnsi="宋体" w:cs="宋体"/>
          <w:color w:val="000000"/>
          <w:sz w:val="28"/>
          <w:szCs w:val="28"/>
        </w:rPr>
      </w:pPr>
    </w:p>
    <w:p w14:paraId="1AFA6644">
      <w:pPr>
        <w:spacing w:line="400" w:lineRule="exact"/>
        <w:jc w:val="center"/>
        <w:rPr>
          <w:rFonts w:ascii="宋体" w:hAnsi="宋体" w:cs="宋体"/>
          <w:color w:val="000000"/>
          <w:sz w:val="28"/>
          <w:szCs w:val="28"/>
        </w:rPr>
      </w:pPr>
    </w:p>
    <w:p w14:paraId="610790EF">
      <w:pPr>
        <w:spacing w:line="400" w:lineRule="exact"/>
        <w:jc w:val="center"/>
        <w:rPr>
          <w:rFonts w:ascii="宋体" w:hAnsi="宋体"/>
          <w:b/>
          <w:szCs w:val="21"/>
        </w:rPr>
      </w:pPr>
      <w:r>
        <w:rPr>
          <w:rFonts w:hint="eastAsia" w:ascii="宋体" w:hAnsi="宋体"/>
          <w:b/>
          <w:szCs w:val="21"/>
        </w:rPr>
        <w:t>供应商同类项目实施情况一览表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454"/>
        <w:gridCol w:w="1660"/>
        <w:gridCol w:w="1963"/>
        <w:gridCol w:w="1844"/>
        <w:gridCol w:w="1270"/>
      </w:tblGrid>
      <w:tr w14:paraId="0449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613" w:type="dxa"/>
            <w:vAlign w:val="center"/>
          </w:tcPr>
          <w:p w14:paraId="074A960C">
            <w:pPr>
              <w:spacing w:line="360" w:lineRule="exact"/>
              <w:jc w:val="center"/>
              <w:rPr>
                <w:rFonts w:ascii="宋体" w:hAnsi="宋体"/>
                <w:szCs w:val="21"/>
              </w:rPr>
            </w:pPr>
            <w:r>
              <w:rPr>
                <w:rFonts w:hint="eastAsia" w:ascii="宋体" w:hAnsi="宋体"/>
                <w:szCs w:val="21"/>
              </w:rPr>
              <w:t>序号</w:t>
            </w:r>
          </w:p>
        </w:tc>
        <w:tc>
          <w:tcPr>
            <w:tcW w:w="1454" w:type="dxa"/>
            <w:vAlign w:val="center"/>
          </w:tcPr>
          <w:p w14:paraId="510CF88E">
            <w:pPr>
              <w:spacing w:line="360" w:lineRule="exact"/>
              <w:jc w:val="center"/>
              <w:rPr>
                <w:rFonts w:ascii="宋体" w:hAnsi="宋体"/>
                <w:szCs w:val="21"/>
              </w:rPr>
            </w:pPr>
            <w:r>
              <w:rPr>
                <w:rFonts w:hint="eastAsia" w:ascii="宋体" w:hAnsi="宋体"/>
                <w:szCs w:val="21"/>
              </w:rPr>
              <w:t>项目名称</w:t>
            </w:r>
          </w:p>
        </w:tc>
        <w:tc>
          <w:tcPr>
            <w:tcW w:w="1660" w:type="dxa"/>
            <w:vAlign w:val="center"/>
          </w:tcPr>
          <w:p w14:paraId="38407A16">
            <w:pPr>
              <w:spacing w:line="360" w:lineRule="exact"/>
              <w:jc w:val="center"/>
              <w:rPr>
                <w:rFonts w:ascii="宋体" w:hAnsi="宋体"/>
                <w:szCs w:val="21"/>
              </w:rPr>
            </w:pPr>
            <w:r>
              <w:rPr>
                <w:rFonts w:hint="eastAsia" w:ascii="宋体" w:hAnsi="宋体"/>
                <w:szCs w:val="21"/>
              </w:rPr>
              <w:t>项目实施时间</w:t>
            </w:r>
          </w:p>
        </w:tc>
        <w:tc>
          <w:tcPr>
            <w:tcW w:w="1963" w:type="dxa"/>
            <w:vAlign w:val="center"/>
          </w:tcPr>
          <w:p w14:paraId="2E43C865">
            <w:pPr>
              <w:spacing w:line="360" w:lineRule="exact"/>
              <w:jc w:val="center"/>
              <w:rPr>
                <w:rFonts w:ascii="宋体" w:hAnsi="宋体"/>
                <w:szCs w:val="21"/>
              </w:rPr>
            </w:pPr>
            <w:r>
              <w:rPr>
                <w:rFonts w:hint="eastAsia" w:ascii="宋体" w:hAnsi="宋体"/>
                <w:szCs w:val="21"/>
              </w:rPr>
              <w:t>项目单位名称</w:t>
            </w:r>
          </w:p>
          <w:p w14:paraId="322CC7F3">
            <w:pPr>
              <w:spacing w:line="360" w:lineRule="exact"/>
              <w:jc w:val="center"/>
              <w:rPr>
                <w:rFonts w:ascii="宋体" w:hAnsi="宋体"/>
                <w:szCs w:val="21"/>
              </w:rPr>
            </w:pPr>
            <w:r>
              <w:rPr>
                <w:rFonts w:hint="eastAsia" w:ascii="宋体" w:hAnsi="宋体"/>
                <w:szCs w:val="21"/>
              </w:rPr>
              <w:t>地址及联系方式</w:t>
            </w:r>
          </w:p>
        </w:tc>
        <w:tc>
          <w:tcPr>
            <w:tcW w:w="1844" w:type="dxa"/>
            <w:vAlign w:val="center"/>
          </w:tcPr>
          <w:p w14:paraId="10C06BEE">
            <w:pPr>
              <w:spacing w:line="360" w:lineRule="exact"/>
              <w:jc w:val="center"/>
              <w:rPr>
                <w:rFonts w:ascii="宋体" w:hAnsi="宋体"/>
                <w:szCs w:val="21"/>
              </w:rPr>
            </w:pPr>
            <w:r>
              <w:rPr>
                <w:rFonts w:hint="eastAsia" w:ascii="宋体" w:hAnsi="宋体"/>
                <w:szCs w:val="21"/>
              </w:rPr>
              <w:t>项目合同金额（单位：万元）</w:t>
            </w:r>
          </w:p>
        </w:tc>
        <w:tc>
          <w:tcPr>
            <w:tcW w:w="1270" w:type="dxa"/>
            <w:vAlign w:val="center"/>
          </w:tcPr>
          <w:p w14:paraId="23D12B9B">
            <w:pPr>
              <w:spacing w:line="360" w:lineRule="exact"/>
              <w:jc w:val="center"/>
              <w:rPr>
                <w:rFonts w:ascii="宋体" w:hAnsi="宋体"/>
                <w:szCs w:val="21"/>
              </w:rPr>
            </w:pPr>
            <w:r>
              <w:rPr>
                <w:rFonts w:hint="eastAsia" w:ascii="宋体" w:hAnsi="宋体"/>
                <w:szCs w:val="21"/>
              </w:rPr>
              <w:t>项目获</w:t>
            </w:r>
          </w:p>
          <w:p w14:paraId="7AD3F0A8">
            <w:pPr>
              <w:spacing w:line="360" w:lineRule="exact"/>
              <w:jc w:val="center"/>
              <w:rPr>
                <w:rFonts w:ascii="宋体" w:hAnsi="宋体"/>
                <w:szCs w:val="21"/>
              </w:rPr>
            </w:pPr>
            <w:r>
              <w:rPr>
                <w:rFonts w:hint="eastAsia" w:ascii="宋体" w:hAnsi="宋体"/>
                <w:szCs w:val="21"/>
              </w:rPr>
              <w:t>奖情况</w:t>
            </w:r>
          </w:p>
        </w:tc>
      </w:tr>
      <w:tr w14:paraId="1682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14:paraId="768C48D0">
            <w:pPr>
              <w:spacing w:line="360" w:lineRule="exact"/>
              <w:jc w:val="center"/>
              <w:rPr>
                <w:rFonts w:ascii="宋体" w:hAnsi="宋体"/>
                <w:szCs w:val="21"/>
              </w:rPr>
            </w:pPr>
          </w:p>
        </w:tc>
        <w:tc>
          <w:tcPr>
            <w:tcW w:w="1454" w:type="dxa"/>
            <w:vAlign w:val="center"/>
          </w:tcPr>
          <w:p w14:paraId="62685992">
            <w:pPr>
              <w:spacing w:line="360" w:lineRule="exact"/>
              <w:jc w:val="center"/>
              <w:rPr>
                <w:rFonts w:ascii="宋体" w:hAnsi="宋体"/>
                <w:szCs w:val="21"/>
              </w:rPr>
            </w:pPr>
          </w:p>
        </w:tc>
        <w:tc>
          <w:tcPr>
            <w:tcW w:w="1660" w:type="dxa"/>
            <w:vAlign w:val="center"/>
          </w:tcPr>
          <w:p w14:paraId="77448187">
            <w:pPr>
              <w:spacing w:line="360" w:lineRule="exact"/>
              <w:jc w:val="center"/>
              <w:rPr>
                <w:rFonts w:ascii="宋体" w:hAnsi="宋体"/>
                <w:szCs w:val="21"/>
              </w:rPr>
            </w:pPr>
          </w:p>
        </w:tc>
        <w:tc>
          <w:tcPr>
            <w:tcW w:w="1963" w:type="dxa"/>
            <w:vAlign w:val="center"/>
          </w:tcPr>
          <w:p w14:paraId="2995ED98">
            <w:pPr>
              <w:spacing w:line="360" w:lineRule="exact"/>
              <w:jc w:val="center"/>
              <w:rPr>
                <w:rFonts w:ascii="宋体" w:hAnsi="宋体"/>
                <w:szCs w:val="21"/>
              </w:rPr>
            </w:pPr>
          </w:p>
        </w:tc>
        <w:tc>
          <w:tcPr>
            <w:tcW w:w="1844" w:type="dxa"/>
            <w:vAlign w:val="center"/>
          </w:tcPr>
          <w:p w14:paraId="7D9154AE">
            <w:pPr>
              <w:spacing w:line="360" w:lineRule="exact"/>
              <w:jc w:val="center"/>
              <w:rPr>
                <w:rFonts w:ascii="宋体" w:hAnsi="宋体"/>
                <w:szCs w:val="21"/>
              </w:rPr>
            </w:pPr>
          </w:p>
        </w:tc>
        <w:tc>
          <w:tcPr>
            <w:tcW w:w="1270" w:type="dxa"/>
            <w:vAlign w:val="center"/>
          </w:tcPr>
          <w:p w14:paraId="5D980102">
            <w:pPr>
              <w:spacing w:line="360" w:lineRule="exact"/>
              <w:jc w:val="center"/>
              <w:rPr>
                <w:rFonts w:ascii="宋体" w:hAnsi="宋体"/>
                <w:szCs w:val="21"/>
              </w:rPr>
            </w:pPr>
          </w:p>
        </w:tc>
      </w:tr>
      <w:tr w14:paraId="408D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14:paraId="5E2A2E6D">
            <w:pPr>
              <w:spacing w:line="360" w:lineRule="exact"/>
              <w:jc w:val="center"/>
              <w:rPr>
                <w:rFonts w:ascii="宋体" w:hAnsi="宋体"/>
                <w:szCs w:val="21"/>
              </w:rPr>
            </w:pPr>
          </w:p>
        </w:tc>
        <w:tc>
          <w:tcPr>
            <w:tcW w:w="1454" w:type="dxa"/>
            <w:vAlign w:val="center"/>
          </w:tcPr>
          <w:p w14:paraId="12CED217">
            <w:pPr>
              <w:spacing w:line="360" w:lineRule="exact"/>
              <w:jc w:val="center"/>
              <w:rPr>
                <w:rFonts w:ascii="宋体" w:hAnsi="宋体"/>
                <w:szCs w:val="21"/>
              </w:rPr>
            </w:pPr>
          </w:p>
        </w:tc>
        <w:tc>
          <w:tcPr>
            <w:tcW w:w="1660" w:type="dxa"/>
            <w:vAlign w:val="center"/>
          </w:tcPr>
          <w:p w14:paraId="3BFFF0C9">
            <w:pPr>
              <w:spacing w:line="360" w:lineRule="exact"/>
              <w:jc w:val="center"/>
              <w:rPr>
                <w:rFonts w:ascii="宋体" w:hAnsi="宋体"/>
                <w:szCs w:val="21"/>
              </w:rPr>
            </w:pPr>
          </w:p>
        </w:tc>
        <w:tc>
          <w:tcPr>
            <w:tcW w:w="1963" w:type="dxa"/>
            <w:vAlign w:val="center"/>
          </w:tcPr>
          <w:p w14:paraId="7B5E52FD">
            <w:pPr>
              <w:spacing w:line="360" w:lineRule="exact"/>
              <w:jc w:val="center"/>
              <w:rPr>
                <w:rFonts w:ascii="宋体" w:hAnsi="宋体"/>
                <w:szCs w:val="21"/>
              </w:rPr>
            </w:pPr>
          </w:p>
        </w:tc>
        <w:tc>
          <w:tcPr>
            <w:tcW w:w="1844" w:type="dxa"/>
            <w:vAlign w:val="center"/>
          </w:tcPr>
          <w:p w14:paraId="01E40D0E">
            <w:pPr>
              <w:spacing w:line="360" w:lineRule="exact"/>
              <w:jc w:val="center"/>
              <w:rPr>
                <w:rFonts w:ascii="宋体" w:hAnsi="宋体"/>
                <w:szCs w:val="21"/>
              </w:rPr>
            </w:pPr>
          </w:p>
        </w:tc>
        <w:tc>
          <w:tcPr>
            <w:tcW w:w="1270" w:type="dxa"/>
            <w:vAlign w:val="center"/>
          </w:tcPr>
          <w:p w14:paraId="01CB1230">
            <w:pPr>
              <w:spacing w:line="360" w:lineRule="exact"/>
              <w:jc w:val="center"/>
              <w:rPr>
                <w:rFonts w:ascii="宋体" w:hAnsi="宋体"/>
                <w:szCs w:val="21"/>
              </w:rPr>
            </w:pPr>
          </w:p>
        </w:tc>
      </w:tr>
      <w:tr w14:paraId="353D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14:paraId="16BA5D48">
            <w:pPr>
              <w:spacing w:line="360" w:lineRule="exact"/>
              <w:jc w:val="center"/>
              <w:rPr>
                <w:rFonts w:ascii="宋体" w:hAnsi="宋体"/>
                <w:szCs w:val="21"/>
              </w:rPr>
            </w:pPr>
          </w:p>
        </w:tc>
        <w:tc>
          <w:tcPr>
            <w:tcW w:w="1454" w:type="dxa"/>
            <w:vAlign w:val="center"/>
          </w:tcPr>
          <w:p w14:paraId="13518319">
            <w:pPr>
              <w:spacing w:line="360" w:lineRule="exact"/>
              <w:jc w:val="center"/>
              <w:rPr>
                <w:rFonts w:ascii="宋体" w:hAnsi="宋体"/>
                <w:szCs w:val="21"/>
              </w:rPr>
            </w:pPr>
          </w:p>
        </w:tc>
        <w:tc>
          <w:tcPr>
            <w:tcW w:w="1660" w:type="dxa"/>
            <w:vAlign w:val="center"/>
          </w:tcPr>
          <w:p w14:paraId="3488CFEB">
            <w:pPr>
              <w:spacing w:line="360" w:lineRule="exact"/>
              <w:jc w:val="center"/>
              <w:rPr>
                <w:rFonts w:ascii="宋体" w:hAnsi="宋体"/>
                <w:szCs w:val="21"/>
              </w:rPr>
            </w:pPr>
          </w:p>
        </w:tc>
        <w:tc>
          <w:tcPr>
            <w:tcW w:w="1963" w:type="dxa"/>
            <w:vAlign w:val="center"/>
          </w:tcPr>
          <w:p w14:paraId="0F98B246">
            <w:pPr>
              <w:spacing w:line="360" w:lineRule="exact"/>
              <w:jc w:val="center"/>
              <w:rPr>
                <w:rFonts w:ascii="宋体" w:hAnsi="宋体"/>
                <w:szCs w:val="21"/>
              </w:rPr>
            </w:pPr>
          </w:p>
        </w:tc>
        <w:tc>
          <w:tcPr>
            <w:tcW w:w="1844" w:type="dxa"/>
            <w:vAlign w:val="center"/>
          </w:tcPr>
          <w:p w14:paraId="0EC0A0D1">
            <w:pPr>
              <w:spacing w:line="360" w:lineRule="exact"/>
              <w:jc w:val="center"/>
              <w:rPr>
                <w:rFonts w:ascii="宋体" w:hAnsi="宋体"/>
                <w:szCs w:val="21"/>
              </w:rPr>
            </w:pPr>
          </w:p>
        </w:tc>
        <w:tc>
          <w:tcPr>
            <w:tcW w:w="1270" w:type="dxa"/>
            <w:vAlign w:val="center"/>
          </w:tcPr>
          <w:p w14:paraId="05E6BCBB">
            <w:pPr>
              <w:spacing w:line="360" w:lineRule="exact"/>
              <w:jc w:val="center"/>
              <w:rPr>
                <w:rFonts w:ascii="宋体" w:hAnsi="宋体"/>
                <w:szCs w:val="21"/>
              </w:rPr>
            </w:pPr>
          </w:p>
        </w:tc>
      </w:tr>
      <w:tr w14:paraId="2577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14:paraId="17BF5EA0">
            <w:pPr>
              <w:spacing w:line="360" w:lineRule="exact"/>
              <w:jc w:val="center"/>
              <w:rPr>
                <w:rFonts w:ascii="宋体" w:hAnsi="宋体"/>
                <w:szCs w:val="21"/>
              </w:rPr>
            </w:pPr>
          </w:p>
        </w:tc>
        <w:tc>
          <w:tcPr>
            <w:tcW w:w="1454" w:type="dxa"/>
            <w:vAlign w:val="center"/>
          </w:tcPr>
          <w:p w14:paraId="2F7BB8A9">
            <w:pPr>
              <w:spacing w:line="360" w:lineRule="exact"/>
              <w:jc w:val="center"/>
              <w:rPr>
                <w:rFonts w:ascii="宋体" w:hAnsi="宋体"/>
                <w:szCs w:val="21"/>
              </w:rPr>
            </w:pPr>
          </w:p>
        </w:tc>
        <w:tc>
          <w:tcPr>
            <w:tcW w:w="1660" w:type="dxa"/>
            <w:vAlign w:val="center"/>
          </w:tcPr>
          <w:p w14:paraId="382EC6A5">
            <w:pPr>
              <w:spacing w:line="360" w:lineRule="exact"/>
              <w:jc w:val="center"/>
              <w:rPr>
                <w:rFonts w:ascii="宋体" w:hAnsi="宋体"/>
                <w:szCs w:val="21"/>
              </w:rPr>
            </w:pPr>
          </w:p>
        </w:tc>
        <w:tc>
          <w:tcPr>
            <w:tcW w:w="1963" w:type="dxa"/>
            <w:vAlign w:val="center"/>
          </w:tcPr>
          <w:p w14:paraId="413D462D">
            <w:pPr>
              <w:spacing w:line="360" w:lineRule="exact"/>
              <w:jc w:val="center"/>
              <w:rPr>
                <w:rFonts w:ascii="宋体" w:hAnsi="宋体"/>
                <w:szCs w:val="21"/>
              </w:rPr>
            </w:pPr>
          </w:p>
        </w:tc>
        <w:tc>
          <w:tcPr>
            <w:tcW w:w="1844" w:type="dxa"/>
            <w:vAlign w:val="center"/>
          </w:tcPr>
          <w:p w14:paraId="3AF2DCC1">
            <w:pPr>
              <w:spacing w:line="360" w:lineRule="exact"/>
              <w:jc w:val="center"/>
              <w:rPr>
                <w:rFonts w:ascii="宋体" w:hAnsi="宋体"/>
                <w:szCs w:val="21"/>
              </w:rPr>
            </w:pPr>
          </w:p>
        </w:tc>
        <w:tc>
          <w:tcPr>
            <w:tcW w:w="1270" w:type="dxa"/>
            <w:vAlign w:val="center"/>
          </w:tcPr>
          <w:p w14:paraId="56AEBBAA">
            <w:pPr>
              <w:spacing w:line="360" w:lineRule="exact"/>
              <w:jc w:val="center"/>
              <w:rPr>
                <w:rFonts w:ascii="宋体" w:hAnsi="宋体"/>
                <w:szCs w:val="21"/>
              </w:rPr>
            </w:pPr>
          </w:p>
        </w:tc>
      </w:tr>
      <w:tr w14:paraId="374E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14:paraId="1F55A721">
            <w:pPr>
              <w:spacing w:line="360" w:lineRule="exact"/>
              <w:jc w:val="center"/>
              <w:rPr>
                <w:rFonts w:ascii="宋体" w:hAnsi="宋体"/>
                <w:szCs w:val="21"/>
              </w:rPr>
            </w:pPr>
          </w:p>
        </w:tc>
        <w:tc>
          <w:tcPr>
            <w:tcW w:w="1454" w:type="dxa"/>
            <w:vAlign w:val="center"/>
          </w:tcPr>
          <w:p w14:paraId="3B869980">
            <w:pPr>
              <w:spacing w:line="360" w:lineRule="exact"/>
              <w:jc w:val="center"/>
              <w:rPr>
                <w:rFonts w:ascii="宋体" w:hAnsi="宋体"/>
                <w:szCs w:val="21"/>
              </w:rPr>
            </w:pPr>
          </w:p>
        </w:tc>
        <w:tc>
          <w:tcPr>
            <w:tcW w:w="1660" w:type="dxa"/>
            <w:vAlign w:val="center"/>
          </w:tcPr>
          <w:p w14:paraId="7AEB17C2">
            <w:pPr>
              <w:spacing w:line="360" w:lineRule="exact"/>
              <w:jc w:val="center"/>
              <w:rPr>
                <w:rFonts w:ascii="宋体" w:hAnsi="宋体"/>
                <w:szCs w:val="21"/>
              </w:rPr>
            </w:pPr>
          </w:p>
        </w:tc>
        <w:tc>
          <w:tcPr>
            <w:tcW w:w="1963" w:type="dxa"/>
            <w:vAlign w:val="center"/>
          </w:tcPr>
          <w:p w14:paraId="4B50E5FE">
            <w:pPr>
              <w:spacing w:line="360" w:lineRule="exact"/>
              <w:jc w:val="center"/>
              <w:rPr>
                <w:rFonts w:ascii="宋体" w:hAnsi="宋体"/>
                <w:szCs w:val="21"/>
              </w:rPr>
            </w:pPr>
          </w:p>
        </w:tc>
        <w:tc>
          <w:tcPr>
            <w:tcW w:w="1844" w:type="dxa"/>
            <w:vAlign w:val="center"/>
          </w:tcPr>
          <w:p w14:paraId="4CC3B1AA">
            <w:pPr>
              <w:spacing w:line="360" w:lineRule="exact"/>
              <w:jc w:val="center"/>
              <w:rPr>
                <w:rFonts w:ascii="宋体" w:hAnsi="宋体"/>
                <w:szCs w:val="21"/>
              </w:rPr>
            </w:pPr>
          </w:p>
        </w:tc>
        <w:tc>
          <w:tcPr>
            <w:tcW w:w="1270" w:type="dxa"/>
            <w:vAlign w:val="center"/>
          </w:tcPr>
          <w:p w14:paraId="4D0CC907">
            <w:pPr>
              <w:spacing w:line="360" w:lineRule="exact"/>
              <w:jc w:val="center"/>
              <w:rPr>
                <w:rFonts w:ascii="宋体" w:hAnsi="宋体"/>
                <w:szCs w:val="21"/>
              </w:rPr>
            </w:pPr>
          </w:p>
        </w:tc>
      </w:tr>
      <w:tr w14:paraId="3E15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14:paraId="76302230">
            <w:pPr>
              <w:spacing w:line="360" w:lineRule="exact"/>
              <w:jc w:val="center"/>
              <w:rPr>
                <w:rFonts w:ascii="宋体" w:hAnsi="宋体"/>
                <w:szCs w:val="21"/>
              </w:rPr>
            </w:pPr>
          </w:p>
        </w:tc>
        <w:tc>
          <w:tcPr>
            <w:tcW w:w="1454" w:type="dxa"/>
            <w:vAlign w:val="center"/>
          </w:tcPr>
          <w:p w14:paraId="29D9816C">
            <w:pPr>
              <w:spacing w:line="360" w:lineRule="exact"/>
              <w:jc w:val="center"/>
              <w:rPr>
                <w:rFonts w:ascii="宋体" w:hAnsi="宋体"/>
                <w:szCs w:val="21"/>
              </w:rPr>
            </w:pPr>
          </w:p>
        </w:tc>
        <w:tc>
          <w:tcPr>
            <w:tcW w:w="1660" w:type="dxa"/>
            <w:vAlign w:val="center"/>
          </w:tcPr>
          <w:p w14:paraId="27EB9AB1">
            <w:pPr>
              <w:spacing w:line="360" w:lineRule="exact"/>
              <w:jc w:val="center"/>
              <w:rPr>
                <w:rFonts w:ascii="宋体" w:hAnsi="宋体"/>
                <w:szCs w:val="21"/>
              </w:rPr>
            </w:pPr>
          </w:p>
        </w:tc>
        <w:tc>
          <w:tcPr>
            <w:tcW w:w="1963" w:type="dxa"/>
            <w:vAlign w:val="center"/>
          </w:tcPr>
          <w:p w14:paraId="66BB98EB">
            <w:pPr>
              <w:spacing w:line="360" w:lineRule="exact"/>
              <w:jc w:val="center"/>
              <w:rPr>
                <w:rFonts w:ascii="宋体" w:hAnsi="宋体"/>
                <w:szCs w:val="21"/>
              </w:rPr>
            </w:pPr>
          </w:p>
        </w:tc>
        <w:tc>
          <w:tcPr>
            <w:tcW w:w="1844" w:type="dxa"/>
            <w:vAlign w:val="center"/>
          </w:tcPr>
          <w:p w14:paraId="0F8D802F">
            <w:pPr>
              <w:spacing w:line="360" w:lineRule="exact"/>
              <w:jc w:val="center"/>
              <w:rPr>
                <w:rFonts w:ascii="宋体" w:hAnsi="宋体"/>
                <w:szCs w:val="21"/>
              </w:rPr>
            </w:pPr>
          </w:p>
        </w:tc>
        <w:tc>
          <w:tcPr>
            <w:tcW w:w="1270" w:type="dxa"/>
            <w:vAlign w:val="center"/>
          </w:tcPr>
          <w:p w14:paraId="1E01276F">
            <w:pPr>
              <w:spacing w:line="360" w:lineRule="exact"/>
              <w:jc w:val="center"/>
              <w:rPr>
                <w:rFonts w:ascii="宋体" w:hAnsi="宋体"/>
                <w:szCs w:val="21"/>
              </w:rPr>
            </w:pPr>
          </w:p>
        </w:tc>
      </w:tr>
      <w:tr w14:paraId="7ED5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14:paraId="5F8888A4">
            <w:pPr>
              <w:spacing w:line="360" w:lineRule="exact"/>
              <w:jc w:val="center"/>
              <w:rPr>
                <w:rFonts w:ascii="宋体" w:hAnsi="宋体"/>
                <w:szCs w:val="21"/>
              </w:rPr>
            </w:pPr>
          </w:p>
        </w:tc>
        <w:tc>
          <w:tcPr>
            <w:tcW w:w="1454" w:type="dxa"/>
            <w:vAlign w:val="center"/>
          </w:tcPr>
          <w:p w14:paraId="07770690">
            <w:pPr>
              <w:spacing w:line="360" w:lineRule="exact"/>
              <w:jc w:val="center"/>
              <w:rPr>
                <w:rFonts w:ascii="宋体" w:hAnsi="宋体"/>
                <w:szCs w:val="21"/>
              </w:rPr>
            </w:pPr>
          </w:p>
        </w:tc>
        <w:tc>
          <w:tcPr>
            <w:tcW w:w="1660" w:type="dxa"/>
            <w:vAlign w:val="center"/>
          </w:tcPr>
          <w:p w14:paraId="2D555601">
            <w:pPr>
              <w:spacing w:line="360" w:lineRule="exact"/>
              <w:jc w:val="center"/>
              <w:rPr>
                <w:rFonts w:ascii="宋体" w:hAnsi="宋体"/>
                <w:szCs w:val="21"/>
              </w:rPr>
            </w:pPr>
          </w:p>
        </w:tc>
        <w:tc>
          <w:tcPr>
            <w:tcW w:w="1963" w:type="dxa"/>
            <w:vAlign w:val="center"/>
          </w:tcPr>
          <w:p w14:paraId="45B4A8DD">
            <w:pPr>
              <w:spacing w:line="360" w:lineRule="exact"/>
              <w:jc w:val="center"/>
              <w:rPr>
                <w:rFonts w:ascii="宋体" w:hAnsi="宋体"/>
                <w:szCs w:val="21"/>
              </w:rPr>
            </w:pPr>
          </w:p>
        </w:tc>
        <w:tc>
          <w:tcPr>
            <w:tcW w:w="1844" w:type="dxa"/>
            <w:vAlign w:val="center"/>
          </w:tcPr>
          <w:p w14:paraId="68F9F1AF">
            <w:pPr>
              <w:spacing w:line="360" w:lineRule="exact"/>
              <w:jc w:val="center"/>
              <w:rPr>
                <w:rFonts w:ascii="宋体" w:hAnsi="宋体"/>
                <w:szCs w:val="21"/>
              </w:rPr>
            </w:pPr>
          </w:p>
        </w:tc>
        <w:tc>
          <w:tcPr>
            <w:tcW w:w="1270" w:type="dxa"/>
            <w:vAlign w:val="center"/>
          </w:tcPr>
          <w:p w14:paraId="5AC258C1">
            <w:pPr>
              <w:spacing w:line="360" w:lineRule="exact"/>
              <w:jc w:val="center"/>
              <w:rPr>
                <w:rFonts w:ascii="宋体" w:hAnsi="宋体"/>
                <w:szCs w:val="21"/>
              </w:rPr>
            </w:pPr>
          </w:p>
        </w:tc>
      </w:tr>
      <w:tr w14:paraId="7480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14:paraId="26AF98C3">
            <w:pPr>
              <w:spacing w:line="360" w:lineRule="exact"/>
              <w:jc w:val="center"/>
              <w:rPr>
                <w:rFonts w:ascii="宋体" w:hAnsi="宋体"/>
                <w:szCs w:val="21"/>
              </w:rPr>
            </w:pPr>
          </w:p>
        </w:tc>
        <w:tc>
          <w:tcPr>
            <w:tcW w:w="1454" w:type="dxa"/>
            <w:vAlign w:val="center"/>
          </w:tcPr>
          <w:p w14:paraId="0BB7209A">
            <w:pPr>
              <w:spacing w:line="360" w:lineRule="exact"/>
              <w:jc w:val="center"/>
              <w:rPr>
                <w:rFonts w:ascii="宋体" w:hAnsi="宋体"/>
                <w:szCs w:val="21"/>
              </w:rPr>
            </w:pPr>
          </w:p>
        </w:tc>
        <w:tc>
          <w:tcPr>
            <w:tcW w:w="1660" w:type="dxa"/>
            <w:vAlign w:val="center"/>
          </w:tcPr>
          <w:p w14:paraId="0E44B549">
            <w:pPr>
              <w:spacing w:line="360" w:lineRule="exact"/>
              <w:jc w:val="center"/>
              <w:rPr>
                <w:rFonts w:ascii="宋体" w:hAnsi="宋体"/>
                <w:szCs w:val="21"/>
              </w:rPr>
            </w:pPr>
          </w:p>
        </w:tc>
        <w:tc>
          <w:tcPr>
            <w:tcW w:w="1963" w:type="dxa"/>
            <w:vAlign w:val="center"/>
          </w:tcPr>
          <w:p w14:paraId="30E3CC4D">
            <w:pPr>
              <w:spacing w:line="360" w:lineRule="exact"/>
              <w:jc w:val="center"/>
              <w:rPr>
                <w:rFonts w:ascii="宋体" w:hAnsi="宋体"/>
                <w:szCs w:val="21"/>
              </w:rPr>
            </w:pPr>
          </w:p>
        </w:tc>
        <w:tc>
          <w:tcPr>
            <w:tcW w:w="1844" w:type="dxa"/>
            <w:vAlign w:val="center"/>
          </w:tcPr>
          <w:p w14:paraId="5D283166">
            <w:pPr>
              <w:spacing w:line="360" w:lineRule="exact"/>
              <w:jc w:val="center"/>
              <w:rPr>
                <w:rFonts w:ascii="宋体" w:hAnsi="宋体"/>
                <w:szCs w:val="21"/>
              </w:rPr>
            </w:pPr>
          </w:p>
        </w:tc>
        <w:tc>
          <w:tcPr>
            <w:tcW w:w="1270" w:type="dxa"/>
            <w:vAlign w:val="center"/>
          </w:tcPr>
          <w:p w14:paraId="3128531B">
            <w:pPr>
              <w:spacing w:line="360" w:lineRule="exact"/>
              <w:jc w:val="center"/>
              <w:rPr>
                <w:rFonts w:ascii="宋体" w:hAnsi="宋体"/>
                <w:szCs w:val="21"/>
              </w:rPr>
            </w:pPr>
          </w:p>
        </w:tc>
      </w:tr>
      <w:tr w14:paraId="6355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14:paraId="0AD33C74">
            <w:pPr>
              <w:spacing w:line="360" w:lineRule="exact"/>
              <w:jc w:val="center"/>
              <w:rPr>
                <w:rFonts w:ascii="宋体" w:hAnsi="宋体"/>
                <w:szCs w:val="21"/>
              </w:rPr>
            </w:pPr>
          </w:p>
        </w:tc>
        <w:tc>
          <w:tcPr>
            <w:tcW w:w="1454" w:type="dxa"/>
            <w:vAlign w:val="center"/>
          </w:tcPr>
          <w:p w14:paraId="225D8754">
            <w:pPr>
              <w:spacing w:line="360" w:lineRule="exact"/>
              <w:jc w:val="center"/>
              <w:rPr>
                <w:rFonts w:ascii="宋体" w:hAnsi="宋体"/>
                <w:szCs w:val="21"/>
              </w:rPr>
            </w:pPr>
          </w:p>
        </w:tc>
        <w:tc>
          <w:tcPr>
            <w:tcW w:w="1660" w:type="dxa"/>
            <w:vAlign w:val="center"/>
          </w:tcPr>
          <w:p w14:paraId="6A7AA2FD">
            <w:pPr>
              <w:spacing w:line="360" w:lineRule="exact"/>
              <w:jc w:val="center"/>
              <w:rPr>
                <w:rFonts w:ascii="宋体" w:hAnsi="宋体"/>
                <w:szCs w:val="21"/>
              </w:rPr>
            </w:pPr>
          </w:p>
        </w:tc>
        <w:tc>
          <w:tcPr>
            <w:tcW w:w="1963" w:type="dxa"/>
            <w:vAlign w:val="center"/>
          </w:tcPr>
          <w:p w14:paraId="29BFE11E">
            <w:pPr>
              <w:spacing w:line="360" w:lineRule="exact"/>
              <w:jc w:val="center"/>
              <w:rPr>
                <w:rFonts w:ascii="宋体" w:hAnsi="宋体"/>
                <w:szCs w:val="21"/>
              </w:rPr>
            </w:pPr>
          </w:p>
        </w:tc>
        <w:tc>
          <w:tcPr>
            <w:tcW w:w="1844" w:type="dxa"/>
            <w:vAlign w:val="center"/>
          </w:tcPr>
          <w:p w14:paraId="4DAB50AF">
            <w:pPr>
              <w:spacing w:line="360" w:lineRule="exact"/>
              <w:jc w:val="center"/>
              <w:rPr>
                <w:rFonts w:ascii="宋体" w:hAnsi="宋体"/>
                <w:szCs w:val="21"/>
              </w:rPr>
            </w:pPr>
          </w:p>
        </w:tc>
        <w:tc>
          <w:tcPr>
            <w:tcW w:w="1270" w:type="dxa"/>
            <w:vAlign w:val="center"/>
          </w:tcPr>
          <w:p w14:paraId="4EAF0B23">
            <w:pPr>
              <w:spacing w:line="360" w:lineRule="exact"/>
              <w:jc w:val="center"/>
              <w:rPr>
                <w:rFonts w:ascii="宋体" w:hAnsi="宋体"/>
                <w:szCs w:val="21"/>
              </w:rPr>
            </w:pPr>
          </w:p>
        </w:tc>
      </w:tr>
      <w:tr w14:paraId="2657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14:paraId="04D61029">
            <w:pPr>
              <w:spacing w:line="360" w:lineRule="exact"/>
              <w:jc w:val="center"/>
              <w:rPr>
                <w:rFonts w:ascii="宋体" w:hAnsi="宋体"/>
                <w:szCs w:val="21"/>
              </w:rPr>
            </w:pPr>
          </w:p>
        </w:tc>
        <w:tc>
          <w:tcPr>
            <w:tcW w:w="1454" w:type="dxa"/>
            <w:vAlign w:val="center"/>
          </w:tcPr>
          <w:p w14:paraId="506905A9">
            <w:pPr>
              <w:spacing w:line="360" w:lineRule="exact"/>
              <w:jc w:val="center"/>
              <w:rPr>
                <w:rFonts w:ascii="宋体" w:hAnsi="宋体"/>
                <w:szCs w:val="21"/>
              </w:rPr>
            </w:pPr>
          </w:p>
        </w:tc>
        <w:tc>
          <w:tcPr>
            <w:tcW w:w="1660" w:type="dxa"/>
            <w:vAlign w:val="center"/>
          </w:tcPr>
          <w:p w14:paraId="44600878">
            <w:pPr>
              <w:spacing w:line="360" w:lineRule="exact"/>
              <w:jc w:val="center"/>
              <w:rPr>
                <w:rFonts w:ascii="宋体" w:hAnsi="宋体"/>
                <w:szCs w:val="21"/>
              </w:rPr>
            </w:pPr>
          </w:p>
        </w:tc>
        <w:tc>
          <w:tcPr>
            <w:tcW w:w="1963" w:type="dxa"/>
            <w:vAlign w:val="center"/>
          </w:tcPr>
          <w:p w14:paraId="59A015DD">
            <w:pPr>
              <w:spacing w:line="360" w:lineRule="exact"/>
              <w:jc w:val="center"/>
              <w:rPr>
                <w:rFonts w:ascii="宋体" w:hAnsi="宋体"/>
                <w:szCs w:val="21"/>
              </w:rPr>
            </w:pPr>
          </w:p>
        </w:tc>
        <w:tc>
          <w:tcPr>
            <w:tcW w:w="1844" w:type="dxa"/>
            <w:vAlign w:val="center"/>
          </w:tcPr>
          <w:p w14:paraId="0B76949C">
            <w:pPr>
              <w:spacing w:line="360" w:lineRule="exact"/>
              <w:jc w:val="center"/>
              <w:rPr>
                <w:rFonts w:ascii="宋体" w:hAnsi="宋体"/>
                <w:szCs w:val="21"/>
              </w:rPr>
            </w:pPr>
          </w:p>
        </w:tc>
        <w:tc>
          <w:tcPr>
            <w:tcW w:w="1270" w:type="dxa"/>
            <w:vAlign w:val="center"/>
          </w:tcPr>
          <w:p w14:paraId="0AF7E714">
            <w:pPr>
              <w:spacing w:line="360" w:lineRule="exact"/>
              <w:jc w:val="center"/>
              <w:rPr>
                <w:rFonts w:ascii="宋体" w:hAnsi="宋体"/>
                <w:szCs w:val="21"/>
              </w:rPr>
            </w:pPr>
          </w:p>
        </w:tc>
      </w:tr>
      <w:tr w14:paraId="4028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14:paraId="14D0C0B9">
            <w:pPr>
              <w:spacing w:line="360" w:lineRule="exact"/>
              <w:jc w:val="center"/>
              <w:rPr>
                <w:rFonts w:ascii="宋体" w:hAnsi="宋体"/>
                <w:szCs w:val="21"/>
              </w:rPr>
            </w:pPr>
          </w:p>
        </w:tc>
        <w:tc>
          <w:tcPr>
            <w:tcW w:w="1454" w:type="dxa"/>
            <w:vAlign w:val="center"/>
          </w:tcPr>
          <w:p w14:paraId="2CFAD802">
            <w:pPr>
              <w:spacing w:line="360" w:lineRule="exact"/>
              <w:jc w:val="center"/>
              <w:rPr>
                <w:rFonts w:ascii="宋体" w:hAnsi="宋体"/>
                <w:szCs w:val="21"/>
              </w:rPr>
            </w:pPr>
          </w:p>
        </w:tc>
        <w:tc>
          <w:tcPr>
            <w:tcW w:w="1660" w:type="dxa"/>
            <w:vAlign w:val="center"/>
          </w:tcPr>
          <w:p w14:paraId="1D7FF9D4">
            <w:pPr>
              <w:spacing w:line="360" w:lineRule="exact"/>
              <w:jc w:val="center"/>
              <w:rPr>
                <w:rFonts w:ascii="宋体" w:hAnsi="宋体"/>
                <w:szCs w:val="21"/>
              </w:rPr>
            </w:pPr>
          </w:p>
        </w:tc>
        <w:tc>
          <w:tcPr>
            <w:tcW w:w="1963" w:type="dxa"/>
            <w:vAlign w:val="center"/>
          </w:tcPr>
          <w:p w14:paraId="6D146A4B">
            <w:pPr>
              <w:spacing w:line="360" w:lineRule="exact"/>
              <w:jc w:val="center"/>
              <w:rPr>
                <w:rFonts w:ascii="宋体" w:hAnsi="宋体"/>
                <w:szCs w:val="21"/>
              </w:rPr>
            </w:pPr>
          </w:p>
        </w:tc>
        <w:tc>
          <w:tcPr>
            <w:tcW w:w="1844" w:type="dxa"/>
            <w:vAlign w:val="center"/>
          </w:tcPr>
          <w:p w14:paraId="618A6E55">
            <w:pPr>
              <w:spacing w:line="360" w:lineRule="exact"/>
              <w:jc w:val="center"/>
              <w:rPr>
                <w:rFonts w:ascii="宋体" w:hAnsi="宋体"/>
                <w:szCs w:val="21"/>
              </w:rPr>
            </w:pPr>
          </w:p>
        </w:tc>
        <w:tc>
          <w:tcPr>
            <w:tcW w:w="1270" w:type="dxa"/>
            <w:vAlign w:val="center"/>
          </w:tcPr>
          <w:p w14:paraId="77B0A5B8">
            <w:pPr>
              <w:spacing w:line="360" w:lineRule="exact"/>
              <w:jc w:val="center"/>
              <w:rPr>
                <w:rFonts w:ascii="宋体" w:hAnsi="宋体"/>
                <w:szCs w:val="21"/>
              </w:rPr>
            </w:pPr>
          </w:p>
        </w:tc>
      </w:tr>
    </w:tbl>
    <w:p w14:paraId="5497569F">
      <w:pPr>
        <w:snapToGrid w:val="0"/>
        <w:spacing w:line="440" w:lineRule="exact"/>
        <w:rPr>
          <w:rFonts w:ascii="宋体" w:hAnsi="宋体"/>
          <w:szCs w:val="21"/>
        </w:rPr>
      </w:pPr>
      <w:r>
        <w:rPr>
          <w:rFonts w:hint="eastAsia" w:ascii="宋体" w:hAnsi="宋体"/>
          <w:szCs w:val="21"/>
        </w:rPr>
        <w:t>注：合同附后。</w:t>
      </w:r>
    </w:p>
    <w:p w14:paraId="2BB336B9">
      <w:pPr>
        <w:snapToGrid w:val="0"/>
        <w:spacing w:line="440" w:lineRule="exact"/>
        <w:rPr>
          <w:rFonts w:ascii="宋体" w:hAnsi="宋体"/>
          <w:szCs w:val="21"/>
          <w:u w:val="single"/>
        </w:rPr>
      </w:pPr>
      <w:r>
        <w:rPr>
          <w:rFonts w:hint="eastAsia" w:ascii="宋体" w:hAnsi="宋体"/>
          <w:szCs w:val="21"/>
        </w:rPr>
        <w:t>授</w:t>
      </w:r>
      <w:r>
        <w:rPr>
          <w:rFonts w:ascii="宋体" w:hAnsi="宋体"/>
          <w:szCs w:val="21"/>
        </w:rPr>
        <w:t>权代表</w:t>
      </w:r>
      <w:r>
        <w:rPr>
          <w:rFonts w:hint="eastAsia" w:ascii="宋体" w:hAnsi="宋体"/>
          <w:szCs w:val="21"/>
        </w:rPr>
        <w:t>签名：</w:t>
      </w:r>
      <w:r>
        <w:rPr>
          <w:rFonts w:hint="eastAsia" w:ascii="宋体" w:hAnsi="宋体"/>
          <w:szCs w:val="21"/>
          <w:u w:val="single"/>
        </w:rPr>
        <w:t xml:space="preserve">              </w:t>
      </w:r>
    </w:p>
    <w:p w14:paraId="393720D4">
      <w:pPr>
        <w:pStyle w:val="10"/>
        <w:adjustRightInd w:val="0"/>
        <w:snapToGrid w:val="0"/>
        <w:spacing w:after="0" w:line="440" w:lineRule="exact"/>
        <w:rPr>
          <w:rFonts w:ascii="宋体" w:hAnsi="宋体"/>
          <w:sz w:val="21"/>
          <w:szCs w:val="21"/>
        </w:rPr>
      </w:pPr>
      <w:r>
        <w:rPr>
          <w:rFonts w:hint="eastAsia" w:ascii="宋体" w:hAnsi="宋体"/>
          <w:sz w:val="21"/>
          <w:szCs w:val="21"/>
        </w:rPr>
        <w:t>供应商</w:t>
      </w:r>
      <w:r>
        <w:rPr>
          <w:rFonts w:ascii="宋体" w:hAnsi="宋体"/>
          <w:sz w:val="21"/>
          <w:szCs w:val="21"/>
        </w:rPr>
        <w:t>盖</w:t>
      </w:r>
      <w:r>
        <w:rPr>
          <w:rFonts w:hint="eastAsia" w:ascii="宋体" w:hAnsi="宋体"/>
          <w:sz w:val="21"/>
          <w:szCs w:val="21"/>
        </w:rPr>
        <w:t>章：</w:t>
      </w:r>
      <w:r>
        <w:rPr>
          <w:rFonts w:ascii="宋体" w:hAnsi="宋体"/>
          <w:sz w:val="21"/>
          <w:szCs w:val="21"/>
          <w:u w:val="single"/>
        </w:rPr>
        <w:t xml:space="preserve">              </w:t>
      </w:r>
      <w:r>
        <w:rPr>
          <w:rFonts w:hint="eastAsia" w:ascii="宋体" w:hAnsi="宋体"/>
          <w:sz w:val="21"/>
          <w:szCs w:val="21"/>
          <w:u w:val="single"/>
        </w:rPr>
        <w:t xml:space="preserve">  </w:t>
      </w:r>
    </w:p>
    <w:p w14:paraId="159A0AB9">
      <w:pPr>
        <w:adjustRightInd w:val="0"/>
        <w:snapToGrid w:val="0"/>
        <w:spacing w:line="440" w:lineRule="exact"/>
        <w:rPr>
          <w:rFonts w:ascii="宋体" w:hAnsi="宋体"/>
          <w:bCs/>
          <w:szCs w:val="21"/>
        </w:rPr>
      </w:pP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14:paraId="1FCD2611">
      <w:pPr>
        <w:rPr>
          <w:rFonts w:ascii="宋体" w:hAnsi="宋体" w:cs="宋体"/>
          <w:szCs w:val="32"/>
        </w:rPr>
      </w:pPr>
    </w:p>
    <w:p w14:paraId="2F7E503D">
      <w:pPr>
        <w:spacing w:line="400" w:lineRule="exact"/>
        <w:jc w:val="left"/>
        <w:rPr>
          <w:rFonts w:ascii="宋体" w:hAnsi="宋体" w:cs="宋体"/>
          <w:color w:val="000000"/>
          <w:sz w:val="28"/>
          <w:szCs w:val="28"/>
        </w:rPr>
      </w:pPr>
    </w:p>
    <w:p w14:paraId="7AB0441D">
      <w:pPr>
        <w:pStyle w:val="2"/>
        <w:rPr>
          <w:rFonts w:ascii="宋体" w:hAnsi="宋体" w:cs="宋体"/>
          <w:color w:val="000000"/>
          <w:sz w:val="28"/>
          <w:szCs w:val="28"/>
        </w:rPr>
      </w:pPr>
    </w:p>
    <w:p w14:paraId="1BC6114E">
      <w:pPr>
        <w:rPr>
          <w:rFonts w:ascii="宋体" w:hAnsi="宋体" w:cs="宋体"/>
          <w:color w:val="000000"/>
          <w:sz w:val="28"/>
          <w:szCs w:val="28"/>
        </w:rPr>
      </w:pPr>
    </w:p>
    <w:p w14:paraId="1DECEEAC">
      <w:pPr>
        <w:pStyle w:val="2"/>
      </w:pPr>
    </w:p>
    <w:p w14:paraId="55563477">
      <w:pPr>
        <w:spacing w:line="400" w:lineRule="exact"/>
        <w:jc w:val="left"/>
        <w:rPr>
          <w:rFonts w:ascii="宋体" w:hAnsi="宋体" w:cs="宋体"/>
          <w:color w:val="000000"/>
          <w:sz w:val="28"/>
          <w:szCs w:val="28"/>
        </w:rPr>
      </w:pPr>
    </w:p>
    <w:p w14:paraId="33BADDE4">
      <w:pPr>
        <w:spacing w:line="400" w:lineRule="exact"/>
        <w:jc w:val="left"/>
        <w:rPr>
          <w:rFonts w:ascii="宋体" w:hAnsi="宋体" w:cs="宋体"/>
          <w:color w:val="000000"/>
          <w:sz w:val="28"/>
          <w:szCs w:val="28"/>
        </w:rPr>
      </w:pPr>
    </w:p>
    <w:p w14:paraId="722B4E1C">
      <w:pPr>
        <w:spacing w:line="400" w:lineRule="exact"/>
        <w:jc w:val="left"/>
        <w:rPr>
          <w:rFonts w:ascii="宋体" w:hAnsi="宋体" w:cs="宋体"/>
          <w:sz w:val="28"/>
          <w:szCs w:val="28"/>
        </w:rPr>
      </w:pPr>
      <w:r>
        <w:rPr>
          <w:rFonts w:hint="eastAsia" w:ascii="宋体" w:hAnsi="宋体" w:cs="宋体"/>
          <w:sz w:val="28"/>
          <w:szCs w:val="28"/>
        </w:rPr>
        <w:t>8、</w:t>
      </w:r>
      <w:r>
        <w:rPr>
          <w:rFonts w:ascii="宋体" w:hAnsi="宋体" w:cs="宋体"/>
          <w:sz w:val="28"/>
          <w:szCs w:val="28"/>
        </w:rPr>
        <w:t>技术响应表</w:t>
      </w:r>
    </w:p>
    <w:p w14:paraId="1E9C25FD">
      <w:pPr>
        <w:spacing w:line="360" w:lineRule="auto"/>
        <w:jc w:val="center"/>
        <w:rPr>
          <w:rFonts w:ascii="宋体" w:hAnsi="宋体" w:cs="宋体"/>
          <w:sz w:val="28"/>
          <w:szCs w:val="28"/>
        </w:rPr>
      </w:pPr>
      <w:r>
        <w:rPr>
          <w:rFonts w:ascii="宋体" w:hAnsi="宋体" w:cs="宋体"/>
          <w:sz w:val="28"/>
          <w:szCs w:val="28"/>
        </w:rPr>
        <w:t>技术响应表</w:t>
      </w:r>
    </w:p>
    <w:p w14:paraId="46A5CB36">
      <w:pPr>
        <w:adjustRightInd w:val="0"/>
        <w:snapToGrid w:val="0"/>
        <w:spacing w:line="440" w:lineRule="exact"/>
        <w:ind w:firstLine="315" w:firstLineChars="150"/>
        <w:rPr>
          <w:szCs w:val="21"/>
        </w:rPr>
      </w:pPr>
      <w:r>
        <w:rPr>
          <w:szCs w:val="21"/>
        </w:rPr>
        <w:t>项目名称：                              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565"/>
        <w:gridCol w:w="2772"/>
        <w:gridCol w:w="1592"/>
      </w:tblGrid>
      <w:tr w14:paraId="5F18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026" w:type="dxa"/>
            <w:vAlign w:val="center"/>
          </w:tcPr>
          <w:p w14:paraId="3BD38D57">
            <w:pPr>
              <w:spacing w:line="360" w:lineRule="exact"/>
              <w:jc w:val="center"/>
              <w:rPr>
                <w:szCs w:val="21"/>
              </w:rPr>
            </w:pPr>
            <w:r>
              <w:rPr>
                <w:szCs w:val="21"/>
              </w:rPr>
              <w:t>项目</w:t>
            </w:r>
          </w:p>
        </w:tc>
        <w:tc>
          <w:tcPr>
            <w:tcW w:w="2565" w:type="dxa"/>
            <w:vAlign w:val="center"/>
          </w:tcPr>
          <w:p w14:paraId="37600EDB">
            <w:pPr>
              <w:spacing w:line="360" w:lineRule="exact"/>
              <w:jc w:val="center"/>
              <w:rPr>
                <w:szCs w:val="21"/>
              </w:rPr>
            </w:pPr>
            <w:r>
              <w:rPr>
                <w:rFonts w:hint="eastAsia"/>
                <w:szCs w:val="21"/>
              </w:rPr>
              <w:t>磋商</w:t>
            </w:r>
            <w:r>
              <w:rPr>
                <w:szCs w:val="21"/>
              </w:rPr>
              <w:t>文件要求</w:t>
            </w:r>
          </w:p>
        </w:tc>
        <w:tc>
          <w:tcPr>
            <w:tcW w:w="2772" w:type="dxa"/>
            <w:vAlign w:val="center"/>
          </w:tcPr>
          <w:p w14:paraId="5BE2250D">
            <w:pPr>
              <w:spacing w:line="360" w:lineRule="exact"/>
              <w:jc w:val="center"/>
              <w:rPr>
                <w:szCs w:val="21"/>
              </w:rPr>
            </w:pPr>
            <w:r>
              <w:rPr>
                <w:szCs w:val="21"/>
              </w:rPr>
              <w:t>是否响应</w:t>
            </w:r>
          </w:p>
        </w:tc>
        <w:tc>
          <w:tcPr>
            <w:tcW w:w="1592" w:type="dxa"/>
            <w:vAlign w:val="center"/>
          </w:tcPr>
          <w:p w14:paraId="3D815625">
            <w:pPr>
              <w:spacing w:line="360" w:lineRule="exact"/>
              <w:jc w:val="center"/>
              <w:rPr>
                <w:szCs w:val="21"/>
              </w:rPr>
            </w:pPr>
            <w:r>
              <w:rPr>
                <w:szCs w:val="21"/>
              </w:rPr>
              <w:t>偏离原因</w:t>
            </w:r>
          </w:p>
        </w:tc>
      </w:tr>
      <w:tr w14:paraId="1591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exact"/>
          <w:jc w:val="center"/>
        </w:trPr>
        <w:tc>
          <w:tcPr>
            <w:tcW w:w="2026" w:type="dxa"/>
            <w:vAlign w:val="center"/>
          </w:tcPr>
          <w:p w14:paraId="7BAD8BA4">
            <w:pPr>
              <w:spacing w:line="360" w:lineRule="exact"/>
              <w:rPr>
                <w:szCs w:val="21"/>
              </w:rPr>
            </w:pPr>
          </w:p>
        </w:tc>
        <w:tc>
          <w:tcPr>
            <w:tcW w:w="2565" w:type="dxa"/>
            <w:vAlign w:val="center"/>
          </w:tcPr>
          <w:p w14:paraId="4763E360">
            <w:pPr>
              <w:spacing w:line="360" w:lineRule="exact"/>
              <w:rPr>
                <w:szCs w:val="21"/>
              </w:rPr>
            </w:pPr>
          </w:p>
        </w:tc>
        <w:tc>
          <w:tcPr>
            <w:tcW w:w="2772" w:type="dxa"/>
            <w:vAlign w:val="center"/>
          </w:tcPr>
          <w:p w14:paraId="20EBA8AB">
            <w:pPr>
              <w:spacing w:line="360" w:lineRule="exact"/>
              <w:rPr>
                <w:szCs w:val="21"/>
              </w:rPr>
            </w:pPr>
          </w:p>
        </w:tc>
        <w:tc>
          <w:tcPr>
            <w:tcW w:w="1592" w:type="dxa"/>
            <w:vAlign w:val="center"/>
          </w:tcPr>
          <w:p w14:paraId="0973EC2C">
            <w:pPr>
              <w:spacing w:line="360" w:lineRule="exact"/>
              <w:rPr>
                <w:szCs w:val="21"/>
              </w:rPr>
            </w:pPr>
          </w:p>
        </w:tc>
      </w:tr>
      <w:tr w14:paraId="1C81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6E45EDE6">
            <w:pPr>
              <w:spacing w:line="360" w:lineRule="exact"/>
              <w:rPr>
                <w:szCs w:val="21"/>
              </w:rPr>
            </w:pPr>
          </w:p>
        </w:tc>
        <w:tc>
          <w:tcPr>
            <w:tcW w:w="2565" w:type="dxa"/>
            <w:vAlign w:val="center"/>
          </w:tcPr>
          <w:p w14:paraId="5F7AF9AA">
            <w:pPr>
              <w:spacing w:line="360" w:lineRule="exact"/>
              <w:rPr>
                <w:szCs w:val="21"/>
              </w:rPr>
            </w:pPr>
          </w:p>
        </w:tc>
        <w:tc>
          <w:tcPr>
            <w:tcW w:w="2772" w:type="dxa"/>
            <w:vAlign w:val="center"/>
          </w:tcPr>
          <w:p w14:paraId="21CA14D3">
            <w:pPr>
              <w:spacing w:line="360" w:lineRule="exact"/>
              <w:rPr>
                <w:szCs w:val="21"/>
              </w:rPr>
            </w:pPr>
          </w:p>
        </w:tc>
        <w:tc>
          <w:tcPr>
            <w:tcW w:w="1592" w:type="dxa"/>
            <w:vAlign w:val="center"/>
          </w:tcPr>
          <w:p w14:paraId="35DDE7E7">
            <w:pPr>
              <w:spacing w:line="360" w:lineRule="exact"/>
              <w:rPr>
                <w:szCs w:val="21"/>
              </w:rPr>
            </w:pPr>
          </w:p>
        </w:tc>
      </w:tr>
      <w:tr w14:paraId="2AAE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757D87B9">
            <w:pPr>
              <w:spacing w:line="360" w:lineRule="exact"/>
              <w:rPr>
                <w:szCs w:val="21"/>
              </w:rPr>
            </w:pPr>
          </w:p>
        </w:tc>
        <w:tc>
          <w:tcPr>
            <w:tcW w:w="2565" w:type="dxa"/>
            <w:vAlign w:val="center"/>
          </w:tcPr>
          <w:p w14:paraId="5162D2C7">
            <w:pPr>
              <w:spacing w:line="360" w:lineRule="exact"/>
              <w:rPr>
                <w:szCs w:val="21"/>
              </w:rPr>
            </w:pPr>
          </w:p>
        </w:tc>
        <w:tc>
          <w:tcPr>
            <w:tcW w:w="2772" w:type="dxa"/>
            <w:vAlign w:val="center"/>
          </w:tcPr>
          <w:p w14:paraId="6BC2F82D">
            <w:pPr>
              <w:spacing w:line="360" w:lineRule="exact"/>
              <w:rPr>
                <w:szCs w:val="21"/>
              </w:rPr>
            </w:pPr>
          </w:p>
        </w:tc>
        <w:tc>
          <w:tcPr>
            <w:tcW w:w="1592" w:type="dxa"/>
            <w:vAlign w:val="center"/>
          </w:tcPr>
          <w:p w14:paraId="5BC1C013">
            <w:pPr>
              <w:spacing w:line="360" w:lineRule="exact"/>
              <w:rPr>
                <w:szCs w:val="21"/>
              </w:rPr>
            </w:pPr>
          </w:p>
        </w:tc>
      </w:tr>
      <w:tr w14:paraId="070A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1C02003A">
            <w:pPr>
              <w:spacing w:line="360" w:lineRule="exact"/>
              <w:rPr>
                <w:szCs w:val="21"/>
              </w:rPr>
            </w:pPr>
          </w:p>
        </w:tc>
        <w:tc>
          <w:tcPr>
            <w:tcW w:w="2565" w:type="dxa"/>
            <w:vAlign w:val="center"/>
          </w:tcPr>
          <w:p w14:paraId="2B0CDD01">
            <w:pPr>
              <w:spacing w:line="360" w:lineRule="exact"/>
              <w:rPr>
                <w:szCs w:val="21"/>
              </w:rPr>
            </w:pPr>
          </w:p>
        </w:tc>
        <w:tc>
          <w:tcPr>
            <w:tcW w:w="2772" w:type="dxa"/>
            <w:vAlign w:val="center"/>
          </w:tcPr>
          <w:p w14:paraId="26F59898">
            <w:pPr>
              <w:spacing w:line="360" w:lineRule="exact"/>
              <w:rPr>
                <w:szCs w:val="21"/>
              </w:rPr>
            </w:pPr>
          </w:p>
        </w:tc>
        <w:tc>
          <w:tcPr>
            <w:tcW w:w="1592" w:type="dxa"/>
            <w:vAlign w:val="center"/>
          </w:tcPr>
          <w:p w14:paraId="29A926F4">
            <w:pPr>
              <w:spacing w:line="360" w:lineRule="exact"/>
              <w:rPr>
                <w:szCs w:val="21"/>
              </w:rPr>
            </w:pPr>
          </w:p>
        </w:tc>
      </w:tr>
      <w:tr w14:paraId="691F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012189F6">
            <w:pPr>
              <w:spacing w:line="360" w:lineRule="exact"/>
              <w:rPr>
                <w:szCs w:val="21"/>
              </w:rPr>
            </w:pPr>
          </w:p>
        </w:tc>
        <w:tc>
          <w:tcPr>
            <w:tcW w:w="2565" w:type="dxa"/>
            <w:vAlign w:val="center"/>
          </w:tcPr>
          <w:p w14:paraId="495FC38A">
            <w:pPr>
              <w:spacing w:line="360" w:lineRule="exact"/>
              <w:rPr>
                <w:szCs w:val="21"/>
              </w:rPr>
            </w:pPr>
          </w:p>
        </w:tc>
        <w:tc>
          <w:tcPr>
            <w:tcW w:w="2772" w:type="dxa"/>
            <w:vAlign w:val="center"/>
          </w:tcPr>
          <w:p w14:paraId="546C3A5C">
            <w:pPr>
              <w:spacing w:line="360" w:lineRule="exact"/>
              <w:rPr>
                <w:szCs w:val="21"/>
              </w:rPr>
            </w:pPr>
          </w:p>
        </w:tc>
        <w:tc>
          <w:tcPr>
            <w:tcW w:w="1592" w:type="dxa"/>
            <w:vAlign w:val="center"/>
          </w:tcPr>
          <w:p w14:paraId="1DE7533C">
            <w:pPr>
              <w:spacing w:line="360" w:lineRule="exact"/>
              <w:rPr>
                <w:szCs w:val="21"/>
              </w:rPr>
            </w:pPr>
          </w:p>
        </w:tc>
      </w:tr>
      <w:tr w14:paraId="5C2C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05C07FC8">
            <w:pPr>
              <w:spacing w:line="360" w:lineRule="exact"/>
              <w:rPr>
                <w:szCs w:val="21"/>
              </w:rPr>
            </w:pPr>
          </w:p>
        </w:tc>
        <w:tc>
          <w:tcPr>
            <w:tcW w:w="2565" w:type="dxa"/>
            <w:vAlign w:val="center"/>
          </w:tcPr>
          <w:p w14:paraId="049B5124">
            <w:pPr>
              <w:spacing w:line="360" w:lineRule="exact"/>
              <w:rPr>
                <w:szCs w:val="21"/>
              </w:rPr>
            </w:pPr>
          </w:p>
        </w:tc>
        <w:tc>
          <w:tcPr>
            <w:tcW w:w="2772" w:type="dxa"/>
            <w:vAlign w:val="center"/>
          </w:tcPr>
          <w:p w14:paraId="02FC2F1B">
            <w:pPr>
              <w:spacing w:line="360" w:lineRule="exact"/>
              <w:rPr>
                <w:szCs w:val="21"/>
              </w:rPr>
            </w:pPr>
          </w:p>
        </w:tc>
        <w:tc>
          <w:tcPr>
            <w:tcW w:w="1592" w:type="dxa"/>
            <w:vAlign w:val="center"/>
          </w:tcPr>
          <w:p w14:paraId="16E5B0E2">
            <w:pPr>
              <w:spacing w:line="360" w:lineRule="exact"/>
              <w:rPr>
                <w:szCs w:val="21"/>
              </w:rPr>
            </w:pPr>
          </w:p>
        </w:tc>
      </w:tr>
    </w:tbl>
    <w:p w14:paraId="02D5A651">
      <w:pPr>
        <w:snapToGrid w:val="0"/>
        <w:spacing w:line="440" w:lineRule="exact"/>
        <w:rPr>
          <w:szCs w:val="21"/>
        </w:rPr>
      </w:pPr>
    </w:p>
    <w:p w14:paraId="40662942">
      <w:pPr>
        <w:snapToGrid w:val="0"/>
        <w:spacing w:line="440" w:lineRule="exact"/>
        <w:ind w:firstLine="420" w:firstLineChars="200"/>
        <w:rPr>
          <w:szCs w:val="21"/>
        </w:rPr>
      </w:pPr>
      <w:r>
        <w:rPr>
          <w:szCs w:val="21"/>
        </w:rPr>
        <w:t>注：</w:t>
      </w:r>
      <w:r>
        <w:rPr>
          <w:rFonts w:hint="eastAsia" w:ascii="宋体" w:hAnsi="宋体"/>
          <w:szCs w:val="21"/>
        </w:rPr>
        <w:t>本表不填写或未填写的内容，视作完全响应磋商文件的要求</w:t>
      </w:r>
      <w:r>
        <w:rPr>
          <w:szCs w:val="21"/>
        </w:rPr>
        <w:t>。</w:t>
      </w:r>
    </w:p>
    <w:p w14:paraId="5C2C05E4">
      <w:pPr>
        <w:spacing w:before="120" w:beforeLines="50" w:after="120" w:afterLines="50" w:line="300" w:lineRule="exact"/>
        <w:ind w:firstLine="420" w:firstLineChars="200"/>
        <w:rPr>
          <w:rFonts w:ascii="宋体" w:hAnsi="宋体" w:cs="宋体"/>
          <w:szCs w:val="21"/>
        </w:rPr>
      </w:pPr>
      <w:r>
        <w:rPr>
          <w:rFonts w:hint="eastAsia" w:ascii="宋体" w:hAnsi="宋体" w:cs="宋体"/>
          <w:szCs w:val="21"/>
        </w:rPr>
        <w:t>供应商（盖章）：</w:t>
      </w:r>
    </w:p>
    <w:p w14:paraId="575F56DB">
      <w:pPr>
        <w:spacing w:before="120" w:beforeLines="50" w:after="120" w:afterLines="50" w:line="300" w:lineRule="exact"/>
        <w:ind w:firstLine="420" w:firstLineChars="200"/>
        <w:rPr>
          <w:rFonts w:ascii="宋体" w:hAnsi="宋体" w:cs="宋体"/>
          <w:szCs w:val="21"/>
        </w:rPr>
      </w:pPr>
      <w:r>
        <w:rPr>
          <w:rFonts w:hint="eastAsia" w:ascii="宋体" w:hAnsi="宋体" w:cs="宋体"/>
          <w:szCs w:val="21"/>
        </w:rPr>
        <w:t>授权代表（签字）：</w:t>
      </w:r>
    </w:p>
    <w:p w14:paraId="581F3283">
      <w:pPr>
        <w:spacing w:before="120" w:beforeLines="50" w:after="120" w:afterLines="50" w:line="300" w:lineRule="exact"/>
        <w:ind w:firstLine="420" w:firstLineChars="200"/>
        <w:rPr>
          <w:szCs w:val="21"/>
        </w:rPr>
      </w:pPr>
      <w:r>
        <w:rPr>
          <w:rFonts w:hint="eastAsia" w:cs="宋体"/>
          <w:szCs w:val="21"/>
        </w:rPr>
        <w:t xml:space="preserve">日期：  </w:t>
      </w:r>
      <w:r>
        <w:rPr>
          <w:rFonts w:hint="eastAsia" w:cs="宋体"/>
        </w:rPr>
        <w:t xml:space="preserve">  </w:t>
      </w:r>
    </w:p>
    <w:p w14:paraId="0D54A307">
      <w:pPr>
        <w:pStyle w:val="3"/>
        <w:rPr>
          <w:rFonts w:ascii="宋体" w:hAnsi="宋体" w:cs="宋体"/>
          <w:color w:val="000000"/>
          <w:sz w:val="28"/>
          <w:szCs w:val="28"/>
        </w:rPr>
      </w:pPr>
    </w:p>
    <w:p w14:paraId="02F2E896">
      <w:pPr>
        <w:rPr>
          <w:rFonts w:ascii="宋体" w:hAnsi="宋体" w:cs="宋体"/>
          <w:color w:val="000000"/>
          <w:sz w:val="28"/>
          <w:szCs w:val="28"/>
        </w:rPr>
      </w:pPr>
    </w:p>
    <w:p w14:paraId="5AB8154E">
      <w:pPr>
        <w:pStyle w:val="3"/>
      </w:pPr>
    </w:p>
    <w:p w14:paraId="1E928435"/>
    <w:p w14:paraId="5321373B">
      <w:pPr>
        <w:pStyle w:val="3"/>
      </w:pPr>
    </w:p>
    <w:p w14:paraId="65FFBAFE"/>
    <w:p w14:paraId="4F9987D3">
      <w:pPr>
        <w:pStyle w:val="3"/>
      </w:pPr>
    </w:p>
    <w:p w14:paraId="3E29DA1E">
      <w:pPr>
        <w:spacing w:line="400" w:lineRule="exact"/>
        <w:jc w:val="left"/>
        <w:rPr>
          <w:rFonts w:hint="eastAsia" w:ascii="宋体" w:hAnsi="宋体" w:cs="宋体"/>
          <w:color w:val="000000"/>
          <w:sz w:val="28"/>
          <w:szCs w:val="28"/>
        </w:rPr>
      </w:pPr>
    </w:p>
    <w:p w14:paraId="12C72FEC">
      <w:pPr>
        <w:spacing w:line="400" w:lineRule="exact"/>
        <w:jc w:val="left"/>
        <w:rPr>
          <w:rFonts w:hint="eastAsia" w:ascii="宋体" w:hAnsi="宋体" w:cs="宋体"/>
          <w:color w:val="000000"/>
          <w:sz w:val="28"/>
          <w:szCs w:val="28"/>
        </w:rPr>
      </w:pPr>
    </w:p>
    <w:p w14:paraId="36EC41B0">
      <w:pPr>
        <w:spacing w:line="400" w:lineRule="exact"/>
        <w:jc w:val="left"/>
        <w:rPr>
          <w:rFonts w:ascii="宋体" w:hAnsi="宋体" w:cs="宋体"/>
          <w:color w:val="000000"/>
          <w:sz w:val="28"/>
          <w:szCs w:val="28"/>
        </w:rPr>
      </w:pPr>
      <w:r>
        <w:rPr>
          <w:rFonts w:hint="eastAsia" w:ascii="宋体" w:hAnsi="宋体" w:cs="宋体"/>
          <w:color w:val="000000"/>
          <w:sz w:val="28"/>
          <w:szCs w:val="28"/>
        </w:rPr>
        <w:t>9、中小企业声明函</w:t>
      </w:r>
    </w:p>
    <w:p w14:paraId="1FC0125C">
      <w:pPr>
        <w:spacing w:line="588" w:lineRule="exact"/>
        <w:jc w:val="center"/>
        <w:rPr>
          <w:rFonts w:ascii="宋体" w:hAnsi="宋体" w:cs="宋体"/>
          <w:b/>
          <w:spacing w:val="6"/>
          <w:sz w:val="32"/>
          <w:szCs w:val="32"/>
        </w:rPr>
      </w:pPr>
    </w:p>
    <w:p w14:paraId="34A205A1">
      <w:pPr>
        <w:pStyle w:val="47"/>
        <w:keepNext/>
        <w:keepLines/>
        <w:spacing w:after="520" w:line="440" w:lineRule="exact"/>
        <w:ind w:firstLine="0"/>
        <w:rPr>
          <w:sz w:val="36"/>
          <w:szCs w:val="36"/>
        </w:rPr>
      </w:pPr>
      <w:bookmarkStart w:id="24" w:name="bookmark33"/>
      <w:bookmarkStart w:id="25" w:name="bookmark34"/>
      <w:bookmarkStart w:id="26" w:name="bookmark32"/>
      <w:r>
        <w:rPr>
          <w:rFonts w:hint="eastAsia"/>
          <w:b/>
          <w:bCs/>
          <w:kern w:val="0"/>
          <w:sz w:val="24"/>
          <w:szCs w:val="24"/>
          <w:lang w:bidi="ar"/>
        </w:rPr>
        <w:t>中小企业声明函（服务）</w:t>
      </w:r>
      <w:bookmarkEnd w:id="24"/>
      <w:bookmarkEnd w:id="25"/>
      <w:bookmarkEnd w:id="26"/>
    </w:p>
    <w:p w14:paraId="009F8D9D">
      <w:pPr>
        <w:pStyle w:val="48"/>
        <w:spacing w:line="480" w:lineRule="auto"/>
        <w:rPr>
          <w:rFonts w:hint="eastAsia"/>
          <w:color w:val="000000"/>
          <w:sz w:val="24"/>
          <w:szCs w:val="24"/>
        </w:rPr>
      </w:pPr>
      <w:r>
        <w:rPr>
          <w:rFonts w:hint="eastAsia"/>
          <w:color w:val="000000"/>
          <w:sz w:val="24"/>
          <w:szCs w:val="24"/>
        </w:rPr>
        <w:t>本公司（联合体）郑重声明，根据《政府采购促进中小企业发展管理办法》（财库</w:t>
      </w:r>
      <w:r>
        <w:rPr>
          <w:rFonts w:hint="eastAsia"/>
          <w:color w:val="000000"/>
          <w:sz w:val="24"/>
          <w:szCs w:val="24"/>
          <w:lang w:val="en-US" w:eastAsia="zh-CN"/>
        </w:rPr>
        <w:t>财库[2020] 46号</w:t>
      </w:r>
      <w:r>
        <w:rPr>
          <w:rFonts w:hint="eastAsia"/>
          <w:color w:val="000000"/>
          <w:sz w:val="24"/>
          <w:szCs w:val="24"/>
        </w:rPr>
        <w:t>）的规定，本公司（联合体）参加</w:t>
      </w:r>
      <w:r>
        <w:rPr>
          <w:rFonts w:hint="eastAsia"/>
          <w:i/>
          <w:iCs/>
          <w:color w:val="000000"/>
          <w:sz w:val="24"/>
          <w:szCs w:val="24"/>
          <w:u w:val="single"/>
        </w:rPr>
        <w:t>（单位名称）</w:t>
      </w:r>
      <w:r>
        <w:rPr>
          <w:rFonts w:hint="eastAsia"/>
          <w:color w:val="000000"/>
          <w:sz w:val="24"/>
          <w:szCs w:val="24"/>
        </w:rPr>
        <w:t>的</w:t>
      </w:r>
      <w:r>
        <w:rPr>
          <w:rFonts w:hint="eastAsia"/>
          <w:i/>
          <w:iCs/>
          <w:color w:val="000000"/>
          <w:sz w:val="24"/>
          <w:szCs w:val="24"/>
          <w:u w:val="single"/>
        </w:rPr>
        <w:t>（项目名称）</w:t>
      </w:r>
      <w:r>
        <w:rPr>
          <w:rFonts w:hint="eastAsia"/>
          <w:color w:val="000000"/>
          <w:sz w:val="24"/>
          <w:szCs w:val="24"/>
        </w:rPr>
        <w:t>采购活动，服务全部由符合政策要求的中小企业承接。相关企业（含联合体中的中小企业、签订分包意向协议的中小企业）的具体情 况如下：</w:t>
      </w:r>
      <w:bookmarkStart w:id="27" w:name="bookmark35"/>
      <w:bookmarkEnd w:id="27"/>
    </w:p>
    <w:p w14:paraId="5455FC22">
      <w:pPr>
        <w:pStyle w:val="48"/>
        <w:numPr>
          <w:ilvl w:val="0"/>
          <w:numId w:val="18"/>
        </w:numPr>
        <w:spacing w:line="480" w:lineRule="auto"/>
        <w:ind w:firstLine="660"/>
        <w:rPr>
          <w:rFonts w:hint="eastAsia"/>
          <w:color w:val="000000"/>
          <w:sz w:val="24"/>
          <w:szCs w:val="24"/>
        </w:rPr>
      </w:pPr>
      <w:r>
        <w:rPr>
          <w:rFonts w:hint="eastAsia"/>
          <w:i/>
          <w:iCs/>
          <w:color w:val="000000"/>
          <w:sz w:val="24"/>
          <w:szCs w:val="24"/>
          <w:u w:val="single"/>
        </w:rPr>
        <w:t>（标的名称）</w:t>
      </w:r>
      <w:r>
        <w:rPr>
          <w:rFonts w:hint="eastAsia"/>
          <w:color w:val="000000"/>
          <w:sz w:val="24"/>
          <w:szCs w:val="24"/>
        </w:rPr>
        <w:t>,属于</w:t>
      </w:r>
      <w:r>
        <w:rPr>
          <w:rFonts w:hint="eastAsia"/>
          <w:i/>
          <w:iCs/>
          <w:color w:val="000000"/>
          <w:sz w:val="24"/>
          <w:szCs w:val="24"/>
          <w:u w:val="single"/>
        </w:rPr>
        <w:t>（采购文件中明确的所属行业）</w:t>
      </w:r>
      <w:r>
        <w:rPr>
          <w:rFonts w:hint="eastAsia"/>
          <w:color w:val="000000"/>
          <w:sz w:val="24"/>
          <w:szCs w:val="24"/>
        </w:rPr>
        <w:t>, 承建（承接）企业为</w:t>
      </w:r>
      <w:r>
        <w:rPr>
          <w:rFonts w:hint="eastAsia"/>
          <w:i/>
          <w:iCs/>
          <w:color w:val="000000"/>
          <w:sz w:val="24"/>
          <w:szCs w:val="24"/>
          <w:u w:val="single"/>
        </w:rPr>
        <w:t>（企业名称）</w:t>
      </w:r>
      <w:r>
        <w:rPr>
          <w:rFonts w:hint="eastAsia"/>
          <w:color w:val="000000"/>
          <w:sz w:val="24"/>
          <w:szCs w:val="24"/>
        </w:rPr>
        <w:t>,从业人员</w:t>
      </w:r>
      <w:r>
        <w:rPr>
          <w:rFonts w:hint="eastAsia"/>
          <w:sz w:val="24"/>
          <w:szCs w:val="24"/>
          <w:u w:val="single"/>
        </w:rPr>
        <w:t xml:space="preserve"> </w:t>
      </w:r>
      <w:r>
        <w:rPr>
          <w:rFonts w:hint="eastAsia"/>
          <w:sz w:val="24"/>
          <w:szCs w:val="24"/>
          <w:u w:val="single"/>
        </w:rPr>
        <w:tab/>
      </w:r>
      <w:r>
        <w:rPr>
          <w:rFonts w:hint="eastAsia"/>
          <w:color w:val="000000"/>
          <w:sz w:val="24"/>
          <w:szCs w:val="24"/>
        </w:rPr>
        <w:t>人，营业收入为</w:t>
      </w:r>
      <w:r>
        <w:rPr>
          <w:rFonts w:hint="eastAsia"/>
          <w:color w:val="000000"/>
          <w:sz w:val="24"/>
          <w:szCs w:val="24"/>
          <w:u w:val="single"/>
          <w:lang w:val="en-US" w:eastAsia="zh-CN" w:bidi="zh-CN"/>
        </w:rPr>
        <w:t xml:space="preserve">    </w:t>
      </w:r>
      <w:r>
        <w:rPr>
          <w:rFonts w:hint="eastAsia"/>
          <w:color w:val="000000"/>
          <w:sz w:val="24"/>
          <w:szCs w:val="24"/>
        </w:rPr>
        <w:t>万元，资产总额为</w:t>
      </w:r>
      <w:r>
        <w:rPr>
          <w:rFonts w:hint="eastAsia"/>
          <w:color w:val="000000"/>
          <w:sz w:val="24"/>
          <w:szCs w:val="24"/>
          <w:u w:val="single"/>
          <w:lang w:val="en-US" w:eastAsia="zh-CN" w:bidi="zh-CN"/>
        </w:rPr>
        <w:t xml:space="preserve">    </w:t>
      </w:r>
      <w:r>
        <w:rPr>
          <w:rFonts w:hint="eastAsia"/>
          <w:color w:val="000000"/>
          <w:sz w:val="24"/>
          <w:szCs w:val="24"/>
        </w:rPr>
        <w:t>万元</w:t>
      </w:r>
      <w:r>
        <w:rPr>
          <w:rFonts w:hint="eastAsia"/>
          <w:color w:val="000000"/>
          <w:sz w:val="24"/>
          <w:szCs w:val="24"/>
          <w:lang w:val="en-US" w:eastAsia="zh-CN" w:bidi="en-US"/>
        </w:rPr>
        <w:t>，</w:t>
      </w:r>
      <w:r>
        <w:rPr>
          <w:rFonts w:hint="eastAsia"/>
          <w:color w:val="000000"/>
          <w:sz w:val="24"/>
          <w:szCs w:val="24"/>
        </w:rPr>
        <w:t>属于</w:t>
      </w:r>
      <w:r>
        <w:rPr>
          <w:rFonts w:hint="eastAsia"/>
          <w:i/>
          <w:iCs/>
          <w:color w:val="000000"/>
          <w:sz w:val="24"/>
          <w:szCs w:val="24"/>
          <w:u w:val="single"/>
        </w:rPr>
        <w:t>（中型企业、小型企业、微型企业）</w:t>
      </w:r>
      <w:r>
        <w:rPr>
          <w:rFonts w:hint="eastAsia"/>
          <w:color w:val="000000"/>
          <w:sz w:val="24"/>
          <w:szCs w:val="24"/>
        </w:rPr>
        <w:t>,</w:t>
      </w:r>
      <w:bookmarkStart w:id="28" w:name="bookmark36"/>
      <w:bookmarkEnd w:id="28"/>
    </w:p>
    <w:p w14:paraId="63D8DF2A">
      <w:pPr>
        <w:pStyle w:val="48"/>
        <w:numPr>
          <w:ilvl w:val="0"/>
          <w:numId w:val="18"/>
        </w:numPr>
        <w:spacing w:line="480" w:lineRule="auto"/>
        <w:ind w:firstLine="660"/>
        <w:rPr>
          <w:rFonts w:hint="eastAsia"/>
          <w:sz w:val="24"/>
          <w:szCs w:val="24"/>
        </w:rPr>
      </w:pPr>
      <w:r>
        <w:rPr>
          <w:rFonts w:hint="eastAsia"/>
          <w:i/>
          <w:iCs/>
          <w:color w:val="000000"/>
          <w:sz w:val="24"/>
          <w:szCs w:val="24"/>
          <w:u w:val="single"/>
        </w:rPr>
        <w:t>（标的名称）</w:t>
      </w:r>
      <w:r>
        <w:rPr>
          <w:rFonts w:hint="eastAsia"/>
          <w:color w:val="000000"/>
          <w:sz w:val="24"/>
          <w:szCs w:val="24"/>
        </w:rPr>
        <w:t>,属于</w:t>
      </w:r>
      <w:r>
        <w:rPr>
          <w:rFonts w:hint="eastAsia"/>
          <w:i/>
          <w:iCs/>
          <w:color w:val="000000"/>
          <w:sz w:val="24"/>
          <w:szCs w:val="24"/>
          <w:u w:val="single"/>
        </w:rPr>
        <w:t>（采购文件中明确的所属行业）</w:t>
      </w:r>
      <w:r>
        <w:rPr>
          <w:rFonts w:hint="eastAsia"/>
          <w:color w:val="000000"/>
          <w:sz w:val="24"/>
          <w:szCs w:val="24"/>
        </w:rPr>
        <w:t>, 承建（承接）企业为</w:t>
      </w:r>
      <w:r>
        <w:rPr>
          <w:rFonts w:hint="eastAsia"/>
          <w:i/>
          <w:iCs/>
          <w:color w:val="000000"/>
          <w:sz w:val="24"/>
          <w:szCs w:val="24"/>
          <w:u w:val="single"/>
        </w:rPr>
        <w:t>（企业名称）</w:t>
      </w:r>
      <w:r>
        <w:rPr>
          <w:rFonts w:hint="eastAsia"/>
          <w:color w:val="000000"/>
          <w:sz w:val="24"/>
          <w:szCs w:val="24"/>
        </w:rPr>
        <w:t>,从业人员</w:t>
      </w:r>
      <w:r>
        <w:rPr>
          <w:rFonts w:hint="eastAsia"/>
          <w:sz w:val="24"/>
          <w:szCs w:val="24"/>
          <w:u w:val="single"/>
        </w:rPr>
        <w:t xml:space="preserve"> </w:t>
      </w:r>
      <w:r>
        <w:rPr>
          <w:rFonts w:hint="eastAsia"/>
          <w:sz w:val="24"/>
          <w:szCs w:val="24"/>
          <w:u w:val="single"/>
        </w:rPr>
        <w:tab/>
      </w:r>
      <w:r>
        <w:rPr>
          <w:rFonts w:hint="eastAsia"/>
          <w:color w:val="000000"/>
          <w:sz w:val="24"/>
          <w:szCs w:val="24"/>
        </w:rPr>
        <w:t>人，营业 收入为</w:t>
      </w:r>
      <w:r>
        <w:rPr>
          <w:rFonts w:hint="eastAsia"/>
          <w:color w:val="000000"/>
          <w:sz w:val="24"/>
          <w:szCs w:val="24"/>
          <w:u w:val="single"/>
          <w:lang w:val="en-US" w:eastAsia="zh-CN" w:bidi="zh-CN"/>
        </w:rPr>
        <w:t xml:space="preserve">    </w:t>
      </w:r>
      <w:r>
        <w:rPr>
          <w:rFonts w:hint="eastAsia"/>
          <w:color w:val="000000"/>
          <w:sz w:val="24"/>
          <w:szCs w:val="24"/>
        </w:rPr>
        <w:t>万元，资产总额为</w:t>
      </w:r>
      <w:r>
        <w:rPr>
          <w:rFonts w:hint="eastAsia"/>
          <w:color w:val="000000"/>
          <w:sz w:val="24"/>
          <w:szCs w:val="24"/>
          <w:u w:val="single"/>
          <w:lang w:val="en-US" w:eastAsia="zh-CN" w:bidi="zh-CN"/>
        </w:rPr>
        <w:t xml:space="preserve">    </w:t>
      </w:r>
      <w:r>
        <w:rPr>
          <w:rFonts w:hint="eastAsia"/>
          <w:color w:val="000000"/>
          <w:sz w:val="24"/>
          <w:szCs w:val="24"/>
        </w:rPr>
        <w:t>万元，属于</w:t>
      </w:r>
      <w:r>
        <w:rPr>
          <w:rFonts w:hint="eastAsia"/>
          <w:i/>
          <w:iCs/>
          <w:color w:val="000000"/>
          <w:sz w:val="24"/>
          <w:szCs w:val="24"/>
          <w:u w:val="single"/>
        </w:rPr>
        <w:t>（中型企业、小型企业、微型企</w:t>
      </w:r>
      <w:r>
        <w:rPr>
          <w:rFonts w:hint="eastAsia"/>
          <w:i/>
          <w:iCs/>
          <w:color w:val="000000"/>
          <w:sz w:val="24"/>
          <w:szCs w:val="24"/>
          <w:u w:val="single"/>
          <w:lang w:val="zh-CN" w:eastAsia="zh-CN" w:bidi="zh-CN"/>
        </w:rPr>
        <w:t>业）</w:t>
      </w:r>
      <w:r>
        <w:rPr>
          <w:rFonts w:hint="eastAsia"/>
          <w:color w:val="000000"/>
          <w:sz w:val="24"/>
          <w:szCs w:val="24"/>
          <w:lang w:val="zh-CN" w:eastAsia="zh-CN" w:bidi="zh-CN"/>
        </w:rPr>
        <w:t>,</w:t>
      </w:r>
    </w:p>
    <w:p w14:paraId="206B6E6B">
      <w:pPr>
        <w:pStyle w:val="48"/>
        <w:spacing w:line="480" w:lineRule="auto"/>
        <w:ind w:firstLine="660"/>
        <w:rPr>
          <w:rFonts w:hint="eastAsia"/>
          <w:color w:val="000000"/>
          <w:sz w:val="24"/>
          <w:szCs w:val="24"/>
          <w:lang w:val="en-US" w:eastAsia="zh-CN"/>
        </w:rPr>
      </w:pPr>
      <w:r>
        <w:rPr>
          <w:rFonts w:hint="eastAsia"/>
          <w:color w:val="000000"/>
          <w:sz w:val="24"/>
          <w:szCs w:val="24"/>
          <w:lang w:val="en-US" w:eastAsia="zh-CN"/>
        </w:rPr>
        <w:t>……</w:t>
      </w:r>
    </w:p>
    <w:p w14:paraId="6F8E0121">
      <w:pPr>
        <w:pStyle w:val="48"/>
        <w:spacing w:line="480" w:lineRule="auto"/>
        <w:ind w:firstLine="660"/>
        <w:rPr>
          <w:rFonts w:hint="eastAsia"/>
          <w:sz w:val="24"/>
          <w:szCs w:val="24"/>
        </w:rPr>
      </w:pPr>
      <w:r>
        <w:rPr>
          <w:rFonts w:hint="eastAsia"/>
          <w:color w:val="000000"/>
          <w:sz w:val="24"/>
          <w:szCs w:val="24"/>
        </w:rPr>
        <w:t>以上企业，不属于大企业的分支机构，不存在控股股东为大企业的情形，也不存在与大企业的负责人为同一人的情形。</w:t>
      </w:r>
    </w:p>
    <w:p w14:paraId="0070513F">
      <w:pPr>
        <w:pStyle w:val="48"/>
        <w:spacing w:line="480" w:lineRule="auto"/>
        <w:ind w:firstLine="660"/>
        <w:rPr>
          <w:rFonts w:hint="eastAsia"/>
          <w:sz w:val="24"/>
          <w:szCs w:val="24"/>
        </w:rPr>
      </w:pPr>
      <w:r>
        <w:rPr>
          <w:rFonts w:hint="eastAsia"/>
          <w:color w:val="000000"/>
          <w:sz w:val="24"/>
          <w:szCs w:val="24"/>
        </w:rPr>
        <w:t>本企业对上述声明内容的真实性负责。如有虚假，将依法承担相应责任。</w:t>
      </w:r>
    </w:p>
    <w:p w14:paraId="2D29E8CF">
      <w:pPr>
        <w:pStyle w:val="48"/>
        <w:spacing w:line="480" w:lineRule="auto"/>
        <w:ind w:firstLine="0"/>
        <w:jc w:val="center"/>
        <w:rPr>
          <w:rFonts w:hint="eastAsia"/>
          <w:color w:val="000000"/>
          <w:sz w:val="24"/>
          <w:szCs w:val="24"/>
        </w:rPr>
      </w:pPr>
      <w:r>
        <w:rPr>
          <w:rFonts w:hint="eastAsia"/>
          <w:color w:val="000000"/>
          <w:sz w:val="24"/>
          <w:szCs w:val="24"/>
          <w:lang w:val="en-US" w:eastAsia="zh-CN"/>
        </w:rPr>
        <w:t xml:space="preserve">                                </w:t>
      </w:r>
      <w:r>
        <w:rPr>
          <w:rFonts w:hint="eastAsia"/>
          <w:color w:val="000000"/>
          <w:sz w:val="24"/>
          <w:szCs w:val="24"/>
        </w:rPr>
        <w:t>企业名称（盖章）：</w:t>
      </w:r>
    </w:p>
    <w:p w14:paraId="28ACBC9F">
      <w:pPr>
        <w:pStyle w:val="48"/>
        <w:spacing w:line="480" w:lineRule="auto"/>
        <w:ind w:firstLine="0"/>
        <w:jc w:val="center"/>
        <w:rPr>
          <w:rFonts w:hint="eastAsia"/>
          <w:sz w:val="24"/>
          <w:szCs w:val="24"/>
        </w:rPr>
      </w:pPr>
      <w:r>
        <w:rPr>
          <w:rFonts w:hint="eastAsia"/>
          <w:color w:val="000000"/>
          <w:sz w:val="24"/>
          <w:szCs w:val="24"/>
          <w:lang w:val="en-US" w:eastAsia="zh-CN"/>
        </w:rPr>
        <w:t xml:space="preserve">                    </w:t>
      </w:r>
      <w:r>
        <w:rPr>
          <w:rFonts w:hint="eastAsia"/>
          <w:color w:val="000000"/>
          <w:sz w:val="24"/>
          <w:szCs w:val="24"/>
        </w:rPr>
        <w:t>日期：</w:t>
      </w:r>
    </w:p>
    <w:p w14:paraId="11D00E38">
      <w:pPr>
        <w:snapToGrid w:val="0"/>
        <w:spacing w:line="360" w:lineRule="auto"/>
        <w:jc w:val="left"/>
        <w:rPr>
          <w:rFonts w:hint="eastAsia" w:ascii="宋体" w:hAnsi="宋体" w:cs="宋体"/>
          <w:b/>
          <w:bCs/>
          <w:sz w:val="22"/>
          <w:szCs w:val="22"/>
        </w:rPr>
      </w:pPr>
    </w:p>
    <w:p w14:paraId="7BA748C7">
      <w:pPr>
        <w:snapToGrid w:val="0"/>
        <w:spacing w:line="360" w:lineRule="auto"/>
        <w:jc w:val="left"/>
        <w:rPr>
          <w:rFonts w:ascii="宋体" w:hAnsi="宋体" w:cs="宋体"/>
          <w:sz w:val="22"/>
          <w:szCs w:val="22"/>
        </w:rPr>
      </w:pPr>
      <w:r>
        <w:rPr>
          <w:rFonts w:hint="eastAsia" w:ascii="宋体" w:hAnsi="宋体" w:cs="宋体"/>
          <w:b/>
          <w:bCs/>
          <w:sz w:val="22"/>
          <w:szCs w:val="22"/>
        </w:rPr>
        <w:t>注：从业人员、营业收入、资产总额填报上一年度数据，无上一年度数据的新成立企业可不填报。</w:t>
      </w:r>
    </w:p>
    <w:p w14:paraId="27BD3894">
      <w:pPr>
        <w:spacing w:line="400" w:lineRule="exact"/>
        <w:jc w:val="left"/>
        <w:rPr>
          <w:rFonts w:ascii="宋体" w:hAnsi="宋体" w:cs="宋体"/>
          <w:color w:val="000000"/>
          <w:sz w:val="28"/>
          <w:szCs w:val="28"/>
        </w:rPr>
      </w:pPr>
    </w:p>
    <w:p w14:paraId="1AE6E492">
      <w:pPr>
        <w:spacing w:line="400" w:lineRule="exact"/>
        <w:jc w:val="left"/>
        <w:rPr>
          <w:rFonts w:ascii="宋体" w:hAnsi="宋体" w:cs="宋体"/>
          <w:color w:val="000000"/>
          <w:sz w:val="28"/>
          <w:szCs w:val="28"/>
        </w:rPr>
      </w:pPr>
    </w:p>
    <w:p w14:paraId="3B88D98C">
      <w:pPr>
        <w:spacing w:line="400" w:lineRule="exact"/>
        <w:jc w:val="left"/>
        <w:rPr>
          <w:rFonts w:ascii="宋体" w:hAnsi="宋体" w:cs="宋体"/>
          <w:color w:val="000000"/>
          <w:sz w:val="28"/>
          <w:szCs w:val="28"/>
        </w:rPr>
      </w:pPr>
    </w:p>
    <w:p w14:paraId="388F9188">
      <w:pPr>
        <w:spacing w:line="400" w:lineRule="exact"/>
        <w:jc w:val="left"/>
        <w:rPr>
          <w:rFonts w:ascii="宋体" w:hAnsi="宋体" w:cs="宋体"/>
          <w:color w:val="000000"/>
          <w:sz w:val="28"/>
          <w:szCs w:val="28"/>
        </w:rPr>
      </w:pPr>
    </w:p>
    <w:p w14:paraId="5FCB0DDD">
      <w:pPr>
        <w:spacing w:line="400" w:lineRule="exact"/>
        <w:jc w:val="left"/>
        <w:rPr>
          <w:rFonts w:ascii="宋体" w:hAnsi="宋体" w:cs="宋体"/>
          <w:color w:val="000000"/>
          <w:sz w:val="28"/>
          <w:szCs w:val="28"/>
        </w:rPr>
      </w:pPr>
    </w:p>
    <w:p w14:paraId="5D3EBD4D">
      <w:pPr>
        <w:spacing w:line="400" w:lineRule="exact"/>
        <w:jc w:val="left"/>
        <w:rPr>
          <w:rFonts w:ascii="宋体" w:hAnsi="宋体" w:cs="宋体"/>
          <w:color w:val="000000"/>
          <w:sz w:val="28"/>
          <w:szCs w:val="28"/>
        </w:rPr>
      </w:pPr>
    </w:p>
    <w:p w14:paraId="15BFA0E7">
      <w:pPr>
        <w:spacing w:line="400" w:lineRule="exact"/>
        <w:jc w:val="left"/>
        <w:rPr>
          <w:rFonts w:ascii="宋体" w:hAnsi="宋体" w:cs="宋体"/>
          <w:color w:val="000000"/>
          <w:sz w:val="28"/>
          <w:szCs w:val="28"/>
        </w:rPr>
      </w:pPr>
      <w:r>
        <w:rPr>
          <w:rFonts w:hint="eastAsia" w:ascii="宋体" w:hAnsi="宋体" w:cs="宋体"/>
          <w:color w:val="000000"/>
          <w:sz w:val="28"/>
          <w:szCs w:val="28"/>
        </w:rPr>
        <w:t>10、</w:t>
      </w:r>
      <w:r>
        <w:rPr>
          <w:rFonts w:ascii="宋体" w:hAnsi="宋体" w:cs="宋体"/>
          <w:color w:val="000000"/>
          <w:sz w:val="28"/>
          <w:szCs w:val="28"/>
        </w:rPr>
        <w:t>残疾人福利性单位声明函</w:t>
      </w:r>
    </w:p>
    <w:p w14:paraId="23A48673">
      <w:pPr>
        <w:spacing w:line="320" w:lineRule="exact"/>
        <w:ind w:right="26"/>
        <w:jc w:val="center"/>
        <w:rPr>
          <w:rFonts w:ascii="宋体" w:hAnsi="宋体" w:cs="宋体"/>
          <w:b/>
          <w:bCs/>
          <w:sz w:val="28"/>
          <w:szCs w:val="28"/>
        </w:rPr>
      </w:pPr>
    </w:p>
    <w:p w14:paraId="1A0790B8">
      <w:pPr>
        <w:spacing w:line="320" w:lineRule="exact"/>
        <w:ind w:right="26"/>
        <w:jc w:val="center"/>
        <w:rPr>
          <w:sz w:val="20"/>
          <w:szCs w:val="20"/>
        </w:rPr>
      </w:pPr>
      <w:r>
        <w:rPr>
          <w:rFonts w:ascii="宋体" w:hAnsi="宋体" w:cs="宋体"/>
          <w:b/>
          <w:bCs/>
          <w:sz w:val="28"/>
          <w:szCs w:val="28"/>
        </w:rPr>
        <w:t>残疾人福利性单位声明函</w:t>
      </w:r>
    </w:p>
    <w:p w14:paraId="6B1B83C3">
      <w:pPr>
        <w:spacing w:line="251" w:lineRule="exact"/>
        <w:rPr>
          <w:sz w:val="20"/>
          <w:szCs w:val="20"/>
        </w:rPr>
      </w:pPr>
    </w:p>
    <w:p w14:paraId="141800BC">
      <w:pPr>
        <w:spacing w:line="369" w:lineRule="exact"/>
        <w:ind w:left="140" w:right="146" w:firstLine="420"/>
        <w:rPr>
          <w:sz w:val="24"/>
        </w:rPr>
      </w:pPr>
      <w:r>
        <w:rPr>
          <w:rFonts w:ascii="宋体" w:hAnsi="宋体" w:cs="宋体"/>
          <w:sz w:val="24"/>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817B55">
      <w:pPr>
        <w:spacing w:line="171" w:lineRule="exact"/>
        <w:rPr>
          <w:sz w:val="24"/>
        </w:rPr>
      </w:pPr>
    </w:p>
    <w:p w14:paraId="375D6C6F">
      <w:pPr>
        <w:spacing w:line="240" w:lineRule="exact"/>
        <w:ind w:left="560"/>
        <w:rPr>
          <w:sz w:val="24"/>
        </w:rPr>
      </w:pPr>
      <w:r>
        <w:rPr>
          <w:rFonts w:ascii="宋体" w:hAnsi="宋体" w:cs="宋体"/>
          <w:sz w:val="24"/>
        </w:rPr>
        <w:t>本单位对上述声明的真实性负责。如有虚假，将依法承担相应责任。</w:t>
      </w:r>
    </w:p>
    <w:p w14:paraId="2DFAE291">
      <w:pPr>
        <w:spacing w:line="200" w:lineRule="exact"/>
        <w:rPr>
          <w:sz w:val="24"/>
        </w:rPr>
      </w:pPr>
    </w:p>
    <w:p w14:paraId="49DFE783">
      <w:pPr>
        <w:spacing w:line="200" w:lineRule="exact"/>
        <w:rPr>
          <w:sz w:val="24"/>
        </w:rPr>
      </w:pPr>
    </w:p>
    <w:p w14:paraId="31317CBE">
      <w:pPr>
        <w:spacing w:line="200" w:lineRule="exact"/>
        <w:rPr>
          <w:sz w:val="24"/>
        </w:rPr>
      </w:pPr>
    </w:p>
    <w:p w14:paraId="60858DE5">
      <w:pPr>
        <w:spacing w:line="387" w:lineRule="exact"/>
        <w:rPr>
          <w:sz w:val="24"/>
        </w:rPr>
      </w:pPr>
    </w:p>
    <w:p w14:paraId="3C6BBD02">
      <w:pPr>
        <w:spacing w:line="240" w:lineRule="exact"/>
        <w:ind w:left="1300"/>
        <w:rPr>
          <w:sz w:val="24"/>
        </w:rPr>
      </w:pPr>
      <w:r>
        <w:rPr>
          <w:rFonts w:ascii="宋体" w:hAnsi="宋体" w:cs="宋体"/>
          <w:sz w:val="24"/>
        </w:rPr>
        <w:t>供应商盖章：</w:t>
      </w:r>
    </w:p>
    <w:p w14:paraId="7AA2EF7C">
      <w:pPr>
        <w:spacing w:line="168" w:lineRule="exact"/>
        <w:rPr>
          <w:sz w:val="24"/>
        </w:rPr>
      </w:pPr>
    </w:p>
    <w:p w14:paraId="334A0C31">
      <w:pPr>
        <w:tabs>
          <w:tab w:val="left" w:pos="1700"/>
        </w:tabs>
        <w:spacing w:line="240" w:lineRule="exact"/>
        <w:ind w:left="1300"/>
        <w:rPr>
          <w:sz w:val="24"/>
        </w:rPr>
      </w:pPr>
      <w:r>
        <w:rPr>
          <w:rFonts w:ascii="宋体" w:hAnsi="宋体" w:cs="宋体"/>
          <w:sz w:val="24"/>
        </w:rPr>
        <w:t>日</w:t>
      </w:r>
      <w:r>
        <w:rPr>
          <w:rFonts w:ascii="宋体" w:hAnsi="宋体" w:cs="宋体"/>
          <w:sz w:val="24"/>
        </w:rPr>
        <w:tab/>
      </w:r>
      <w:r>
        <w:rPr>
          <w:rFonts w:ascii="宋体" w:hAnsi="宋体" w:cs="宋体"/>
          <w:sz w:val="24"/>
        </w:rPr>
        <w:t>期：</w:t>
      </w:r>
    </w:p>
    <w:p w14:paraId="4CBE0976">
      <w:pPr>
        <w:spacing w:line="198" w:lineRule="exact"/>
        <w:rPr>
          <w:sz w:val="24"/>
        </w:rPr>
      </w:pPr>
    </w:p>
    <w:p w14:paraId="678AD830">
      <w:pPr>
        <w:spacing w:line="310" w:lineRule="exact"/>
        <w:ind w:left="140" w:right="166" w:firstLine="314"/>
        <w:rPr>
          <w:rFonts w:ascii="宋体" w:hAnsi="宋体" w:cs="宋体"/>
          <w:b/>
          <w:sz w:val="24"/>
        </w:rPr>
      </w:pPr>
    </w:p>
    <w:p w14:paraId="7A8C9F82">
      <w:pPr>
        <w:spacing w:line="310" w:lineRule="exact"/>
        <w:ind w:left="140" w:right="166" w:firstLine="314"/>
        <w:rPr>
          <w:sz w:val="20"/>
          <w:szCs w:val="20"/>
        </w:rPr>
      </w:pPr>
      <w:r>
        <w:rPr>
          <w:rFonts w:ascii="宋体" w:hAnsi="宋体" w:cs="宋体"/>
          <w:b/>
          <w:sz w:val="24"/>
        </w:rPr>
        <w:t>提供社保缴纳人员名单、录用的残疾人的《中华人民共和国残疾人证》或者《中华人民共和国残疾军人证(1 至 8 级)》复印件</w:t>
      </w:r>
    </w:p>
    <w:p w14:paraId="222AFCDD">
      <w:pPr>
        <w:spacing w:line="200" w:lineRule="exact"/>
        <w:rPr>
          <w:sz w:val="20"/>
          <w:szCs w:val="20"/>
        </w:rPr>
      </w:pPr>
    </w:p>
    <w:p w14:paraId="7EB5885A">
      <w:pPr>
        <w:spacing w:line="200" w:lineRule="exact"/>
        <w:rPr>
          <w:sz w:val="20"/>
          <w:szCs w:val="20"/>
        </w:rPr>
      </w:pPr>
    </w:p>
    <w:p w14:paraId="66E359F4">
      <w:pPr>
        <w:spacing w:line="200" w:lineRule="exact"/>
        <w:rPr>
          <w:sz w:val="20"/>
          <w:szCs w:val="20"/>
        </w:rPr>
      </w:pPr>
    </w:p>
    <w:p w14:paraId="782E6C94">
      <w:pPr>
        <w:spacing w:line="200" w:lineRule="exact"/>
        <w:rPr>
          <w:sz w:val="20"/>
          <w:szCs w:val="20"/>
        </w:rPr>
      </w:pPr>
    </w:p>
    <w:p w14:paraId="0B733DDA">
      <w:pPr>
        <w:spacing w:line="200" w:lineRule="exact"/>
        <w:rPr>
          <w:sz w:val="20"/>
          <w:szCs w:val="20"/>
        </w:rPr>
      </w:pPr>
    </w:p>
    <w:p w14:paraId="01A5C069">
      <w:pPr>
        <w:spacing w:line="200" w:lineRule="exact"/>
        <w:rPr>
          <w:sz w:val="20"/>
          <w:szCs w:val="20"/>
        </w:rPr>
      </w:pPr>
    </w:p>
    <w:p w14:paraId="31F5177D">
      <w:pPr>
        <w:spacing w:line="200" w:lineRule="exact"/>
        <w:rPr>
          <w:sz w:val="20"/>
          <w:szCs w:val="20"/>
        </w:rPr>
      </w:pPr>
    </w:p>
    <w:p w14:paraId="3833BE05">
      <w:pPr>
        <w:spacing w:line="200" w:lineRule="exact"/>
        <w:rPr>
          <w:sz w:val="20"/>
          <w:szCs w:val="20"/>
        </w:rPr>
      </w:pPr>
    </w:p>
    <w:p w14:paraId="5EA2E61A">
      <w:pPr>
        <w:spacing w:line="200" w:lineRule="exact"/>
        <w:rPr>
          <w:sz w:val="20"/>
          <w:szCs w:val="20"/>
        </w:rPr>
      </w:pPr>
    </w:p>
    <w:p w14:paraId="172D629D">
      <w:pPr>
        <w:spacing w:line="200" w:lineRule="exact"/>
        <w:rPr>
          <w:sz w:val="20"/>
          <w:szCs w:val="20"/>
        </w:rPr>
      </w:pPr>
    </w:p>
    <w:p w14:paraId="093C35E4">
      <w:pPr>
        <w:spacing w:line="200" w:lineRule="exact"/>
        <w:rPr>
          <w:sz w:val="20"/>
          <w:szCs w:val="20"/>
        </w:rPr>
      </w:pPr>
    </w:p>
    <w:p w14:paraId="745B3732">
      <w:pPr>
        <w:spacing w:line="200" w:lineRule="exact"/>
        <w:rPr>
          <w:sz w:val="20"/>
          <w:szCs w:val="20"/>
        </w:rPr>
      </w:pPr>
    </w:p>
    <w:p w14:paraId="68588315">
      <w:pPr>
        <w:spacing w:line="200" w:lineRule="exact"/>
        <w:rPr>
          <w:sz w:val="20"/>
          <w:szCs w:val="20"/>
        </w:rPr>
      </w:pPr>
    </w:p>
    <w:p w14:paraId="7A26498E">
      <w:pPr>
        <w:spacing w:line="200" w:lineRule="exact"/>
        <w:rPr>
          <w:sz w:val="20"/>
          <w:szCs w:val="20"/>
        </w:rPr>
      </w:pPr>
    </w:p>
    <w:p w14:paraId="57B61A02">
      <w:pPr>
        <w:spacing w:line="200" w:lineRule="exact"/>
        <w:rPr>
          <w:sz w:val="20"/>
          <w:szCs w:val="20"/>
        </w:rPr>
      </w:pPr>
    </w:p>
    <w:p w14:paraId="58C3B8AC">
      <w:pPr>
        <w:spacing w:line="200" w:lineRule="exact"/>
        <w:rPr>
          <w:sz w:val="20"/>
          <w:szCs w:val="20"/>
        </w:rPr>
      </w:pPr>
    </w:p>
    <w:p w14:paraId="5013340E">
      <w:pPr>
        <w:spacing w:line="200" w:lineRule="exact"/>
        <w:rPr>
          <w:sz w:val="20"/>
          <w:szCs w:val="20"/>
        </w:rPr>
      </w:pPr>
    </w:p>
    <w:p w14:paraId="5AB0EDE0">
      <w:pPr>
        <w:spacing w:line="200" w:lineRule="exact"/>
        <w:rPr>
          <w:sz w:val="20"/>
          <w:szCs w:val="20"/>
        </w:rPr>
      </w:pPr>
    </w:p>
    <w:p w14:paraId="47B688A5">
      <w:pPr>
        <w:spacing w:line="200" w:lineRule="exact"/>
        <w:rPr>
          <w:sz w:val="20"/>
          <w:szCs w:val="20"/>
        </w:rPr>
      </w:pPr>
    </w:p>
    <w:p w14:paraId="0C3DD2E7">
      <w:pPr>
        <w:spacing w:line="200" w:lineRule="exact"/>
        <w:rPr>
          <w:sz w:val="20"/>
          <w:szCs w:val="20"/>
        </w:rPr>
      </w:pPr>
    </w:p>
    <w:p w14:paraId="3E315D89">
      <w:pPr>
        <w:spacing w:line="200" w:lineRule="exact"/>
        <w:rPr>
          <w:sz w:val="20"/>
          <w:szCs w:val="20"/>
        </w:rPr>
      </w:pPr>
    </w:p>
    <w:p w14:paraId="1CA1DA8B">
      <w:pPr>
        <w:spacing w:line="200" w:lineRule="exact"/>
        <w:rPr>
          <w:sz w:val="20"/>
          <w:szCs w:val="20"/>
        </w:rPr>
      </w:pPr>
    </w:p>
    <w:p w14:paraId="19DF11F6">
      <w:pPr>
        <w:spacing w:line="200" w:lineRule="exact"/>
        <w:rPr>
          <w:sz w:val="20"/>
          <w:szCs w:val="20"/>
        </w:rPr>
      </w:pPr>
    </w:p>
    <w:p w14:paraId="70D0236A">
      <w:pPr>
        <w:spacing w:line="200" w:lineRule="exact"/>
        <w:rPr>
          <w:sz w:val="20"/>
          <w:szCs w:val="20"/>
        </w:rPr>
      </w:pPr>
    </w:p>
    <w:p w14:paraId="0D9D6E14">
      <w:pPr>
        <w:spacing w:line="200" w:lineRule="exact"/>
        <w:rPr>
          <w:sz w:val="20"/>
          <w:szCs w:val="20"/>
        </w:rPr>
      </w:pPr>
    </w:p>
    <w:p w14:paraId="629709D6">
      <w:pPr>
        <w:spacing w:line="200" w:lineRule="exact"/>
        <w:rPr>
          <w:sz w:val="20"/>
          <w:szCs w:val="20"/>
        </w:rPr>
      </w:pPr>
    </w:p>
    <w:p w14:paraId="7BF56C92">
      <w:pPr>
        <w:spacing w:line="200" w:lineRule="exact"/>
        <w:rPr>
          <w:sz w:val="20"/>
          <w:szCs w:val="20"/>
        </w:rPr>
      </w:pPr>
    </w:p>
    <w:p w14:paraId="7D1E8FC1">
      <w:pPr>
        <w:spacing w:line="200" w:lineRule="exact"/>
        <w:rPr>
          <w:sz w:val="20"/>
          <w:szCs w:val="20"/>
        </w:rPr>
      </w:pPr>
    </w:p>
    <w:p w14:paraId="72D67A60">
      <w:pPr>
        <w:spacing w:line="200" w:lineRule="exact"/>
        <w:rPr>
          <w:sz w:val="20"/>
          <w:szCs w:val="20"/>
        </w:rPr>
      </w:pPr>
    </w:p>
    <w:p w14:paraId="02EF0601">
      <w:pPr>
        <w:spacing w:line="200" w:lineRule="exact"/>
        <w:rPr>
          <w:sz w:val="20"/>
          <w:szCs w:val="20"/>
        </w:rPr>
      </w:pPr>
    </w:p>
    <w:p w14:paraId="31AB9B19">
      <w:pPr>
        <w:spacing w:line="200" w:lineRule="exact"/>
        <w:rPr>
          <w:sz w:val="20"/>
          <w:szCs w:val="20"/>
        </w:rPr>
      </w:pPr>
    </w:p>
    <w:p w14:paraId="5D6A77B0">
      <w:pPr>
        <w:spacing w:line="200" w:lineRule="exact"/>
        <w:rPr>
          <w:sz w:val="20"/>
          <w:szCs w:val="20"/>
        </w:rPr>
      </w:pPr>
    </w:p>
    <w:p w14:paraId="12165563">
      <w:pPr>
        <w:spacing w:line="200" w:lineRule="exact"/>
        <w:rPr>
          <w:sz w:val="20"/>
          <w:szCs w:val="20"/>
        </w:rPr>
      </w:pPr>
    </w:p>
    <w:p w14:paraId="6DCF3F63">
      <w:pPr>
        <w:spacing w:line="200" w:lineRule="exact"/>
        <w:rPr>
          <w:sz w:val="20"/>
          <w:szCs w:val="20"/>
        </w:rPr>
      </w:pPr>
    </w:p>
    <w:p w14:paraId="6F946065">
      <w:pPr>
        <w:spacing w:line="200" w:lineRule="exact"/>
        <w:rPr>
          <w:sz w:val="20"/>
          <w:szCs w:val="20"/>
        </w:rPr>
      </w:pPr>
    </w:p>
    <w:p w14:paraId="6E788604">
      <w:pPr>
        <w:sectPr>
          <w:footerReference r:id="rId6" w:type="default"/>
          <w:pgSz w:w="11900" w:h="16838"/>
          <w:pgMar w:top="1365" w:right="1440" w:bottom="198" w:left="1440" w:header="0" w:footer="0" w:gutter="0"/>
          <w:pgNumType w:start="1"/>
          <w:cols w:space="720" w:num="1"/>
        </w:sectPr>
      </w:pPr>
    </w:p>
    <w:p w14:paraId="5F2D00FA">
      <w:pPr>
        <w:spacing w:line="400" w:lineRule="exact"/>
        <w:jc w:val="left"/>
        <w:rPr>
          <w:rFonts w:ascii="宋体" w:hAnsi="宋体" w:cs="宋体"/>
          <w:color w:val="000000"/>
          <w:sz w:val="28"/>
          <w:szCs w:val="28"/>
        </w:rPr>
      </w:pPr>
      <w:bookmarkStart w:id="29" w:name="page34"/>
      <w:bookmarkEnd w:id="29"/>
      <w:r>
        <w:rPr>
          <w:rFonts w:hint="eastAsia" w:ascii="宋体" w:hAnsi="宋体" w:cs="宋体"/>
          <w:color w:val="000000"/>
          <w:sz w:val="28"/>
          <w:szCs w:val="28"/>
        </w:rPr>
        <w:t>11、</w:t>
      </w:r>
      <w:r>
        <w:rPr>
          <w:rFonts w:ascii="宋体" w:hAnsi="宋体" w:cs="宋体"/>
          <w:color w:val="000000"/>
          <w:sz w:val="28"/>
          <w:szCs w:val="28"/>
        </w:rPr>
        <w:t>监狱企业声明函</w:t>
      </w:r>
    </w:p>
    <w:p w14:paraId="60E6F9CF">
      <w:pPr>
        <w:spacing w:line="320" w:lineRule="exact"/>
        <w:ind w:right="6"/>
        <w:jc w:val="center"/>
        <w:rPr>
          <w:rFonts w:ascii="宋体" w:hAnsi="宋体" w:cs="宋体"/>
          <w:b/>
          <w:bCs/>
          <w:sz w:val="28"/>
          <w:szCs w:val="28"/>
        </w:rPr>
      </w:pPr>
    </w:p>
    <w:p w14:paraId="78E82CC2">
      <w:pPr>
        <w:spacing w:line="320" w:lineRule="exact"/>
        <w:ind w:right="6"/>
        <w:jc w:val="center"/>
        <w:rPr>
          <w:rFonts w:ascii="宋体" w:hAnsi="宋体" w:cs="宋体"/>
          <w:b/>
          <w:bCs/>
          <w:sz w:val="28"/>
          <w:szCs w:val="28"/>
        </w:rPr>
      </w:pPr>
    </w:p>
    <w:p w14:paraId="3DCD39E2">
      <w:pPr>
        <w:spacing w:line="320" w:lineRule="exact"/>
        <w:ind w:right="6"/>
        <w:jc w:val="center"/>
        <w:rPr>
          <w:sz w:val="20"/>
          <w:szCs w:val="20"/>
        </w:rPr>
      </w:pPr>
      <w:r>
        <w:rPr>
          <w:rFonts w:ascii="宋体" w:hAnsi="宋体" w:cs="宋体"/>
          <w:b/>
          <w:bCs/>
          <w:sz w:val="28"/>
          <w:szCs w:val="28"/>
        </w:rPr>
        <w:t>监狱企业声明函</w:t>
      </w:r>
    </w:p>
    <w:p w14:paraId="28EC7DD9">
      <w:pPr>
        <w:spacing w:line="200" w:lineRule="exact"/>
        <w:rPr>
          <w:sz w:val="20"/>
          <w:szCs w:val="20"/>
        </w:rPr>
      </w:pPr>
    </w:p>
    <w:p w14:paraId="51E0550E">
      <w:pPr>
        <w:spacing w:line="200" w:lineRule="exact"/>
        <w:rPr>
          <w:sz w:val="20"/>
          <w:szCs w:val="20"/>
        </w:rPr>
      </w:pPr>
    </w:p>
    <w:p w14:paraId="07695206">
      <w:pPr>
        <w:spacing w:line="289" w:lineRule="exact"/>
        <w:rPr>
          <w:sz w:val="20"/>
          <w:szCs w:val="20"/>
        </w:rPr>
      </w:pPr>
    </w:p>
    <w:p w14:paraId="5658EFDA">
      <w:pPr>
        <w:ind w:firstLine="480" w:firstLineChars="200"/>
        <w:rPr>
          <w:rFonts w:ascii="宋体" w:hAnsi="宋体"/>
          <w:sz w:val="24"/>
        </w:rPr>
      </w:pPr>
      <w:r>
        <w:rPr>
          <w:rFonts w:ascii="宋体" w:hAnsi="宋体"/>
          <w:sz w:val="24"/>
        </w:rPr>
        <w:t>本公司郑重声明，根据《关于政府采购支持监狱企业发展有关问题的通知》（财库[2014]68</w:t>
      </w:r>
      <w:r>
        <w:rPr>
          <w:rFonts w:hint="eastAsia" w:ascii="宋体" w:hAnsi="宋体"/>
          <w:sz w:val="24"/>
        </w:rPr>
        <w:t>号）的规定，本公司为监狱企业。</w:t>
      </w:r>
    </w:p>
    <w:p w14:paraId="57D2A058">
      <w:pPr>
        <w:ind w:firstLine="480" w:firstLineChars="200"/>
        <w:rPr>
          <w:rFonts w:ascii="宋体" w:hAnsi="宋体"/>
          <w:sz w:val="24"/>
        </w:rPr>
      </w:pPr>
      <w:r>
        <w:rPr>
          <w:rFonts w:hint="eastAsia" w:ascii="宋体" w:hAnsi="宋体"/>
          <w:sz w:val="24"/>
        </w:rPr>
        <w:t>根据上述标准，我公司属于监狱企业的理由为：</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w:t>
      </w:r>
    </w:p>
    <w:p w14:paraId="77ED9C2F">
      <w:pPr>
        <w:ind w:firstLine="480" w:firstLineChars="200"/>
        <w:rPr>
          <w:rFonts w:ascii="宋体" w:hAnsi="宋体"/>
          <w:sz w:val="24"/>
        </w:rPr>
      </w:pPr>
      <w:r>
        <w:rPr>
          <w:rFonts w:hint="eastAsia" w:ascii="宋体" w:hAnsi="宋体"/>
          <w:sz w:val="24"/>
        </w:rPr>
        <w:t>本公司为参加（</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项目名称</w:t>
      </w:r>
      <w:r>
        <w:rPr>
          <w:rFonts w:hint="eastAsia" w:ascii="宋体" w:hAnsi="宋体"/>
          <w:sz w:val="24"/>
          <w:u w:val="single"/>
        </w:rPr>
        <w:tab/>
      </w:r>
      <w:r>
        <w:rPr>
          <w:rFonts w:hint="eastAsia" w:ascii="宋体" w:hAnsi="宋体"/>
          <w:sz w:val="24"/>
        </w:rPr>
        <w:t>）（项目编号：</w:t>
      </w:r>
      <w:r>
        <w:rPr>
          <w:rFonts w:hint="eastAsia" w:ascii="宋体" w:hAnsi="宋体"/>
          <w:sz w:val="24"/>
          <w:u w:val="single"/>
        </w:rPr>
        <w:tab/>
      </w:r>
      <w:r>
        <w:rPr>
          <w:rFonts w:hint="eastAsia" w:ascii="宋体" w:hAnsi="宋体"/>
          <w:sz w:val="24"/>
        </w:rPr>
        <w:t xml:space="preserve"> ）采购活动提供本企业提供服务。</w:t>
      </w:r>
    </w:p>
    <w:p w14:paraId="58DAD918">
      <w:pPr>
        <w:rPr>
          <w:rFonts w:ascii="宋体" w:hAnsi="宋体"/>
          <w:sz w:val="24"/>
        </w:rPr>
      </w:pPr>
      <w:r>
        <w:rPr>
          <w:rFonts w:hint="eastAsia" w:ascii="宋体" w:hAnsi="宋体"/>
          <w:sz w:val="24"/>
        </w:rPr>
        <w:t>本公司对上述声明的真实性负责。如有虚假，将依法承担相应责任。</w:t>
      </w:r>
    </w:p>
    <w:p w14:paraId="36268085">
      <w:pPr>
        <w:rPr>
          <w:rFonts w:ascii="宋体" w:hAnsi="宋体"/>
          <w:sz w:val="24"/>
        </w:rPr>
      </w:pPr>
    </w:p>
    <w:p w14:paraId="34196C3D">
      <w:pPr>
        <w:rPr>
          <w:sz w:val="24"/>
        </w:rPr>
      </w:pPr>
    </w:p>
    <w:p w14:paraId="3A5B4A42">
      <w:pPr>
        <w:spacing w:line="387" w:lineRule="exact"/>
        <w:jc w:val="left"/>
        <w:rPr>
          <w:sz w:val="24"/>
        </w:rPr>
      </w:pPr>
    </w:p>
    <w:p w14:paraId="20D6BDA4">
      <w:pPr>
        <w:spacing w:line="240" w:lineRule="exact"/>
        <w:jc w:val="left"/>
        <w:rPr>
          <w:sz w:val="24"/>
        </w:rPr>
      </w:pPr>
      <w:r>
        <w:rPr>
          <w:rFonts w:ascii="宋体" w:hAnsi="宋体" w:cs="宋体"/>
          <w:sz w:val="24"/>
        </w:rPr>
        <w:t>供应商盖章：</w:t>
      </w:r>
    </w:p>
    <w:p w14:paraId="25F5B1BA">
      <w:pPr>
        <w:spacing w:line="168" w:lineRule="exact"/>
        <w:jc w:val="left"/>
        <w:rPr>
          <w:sz w:val="24"/>
        </w:rPr>
      </w:pPr>
    </w:p>
    <w:p w14:paraId="412BB835">
      <w:pPr>
        <w:tabs>
          <w:tab w:val="left" w:pos="1700"/>
        </w:tabs>
        <w:spacing w:line="240" w:lineRule="exact"/>
        <w:jc w:val="left"/>
        <w:rPr>
          <w:sz w:val="24"/>
        </w:rPr>
      </w:pPr>
      <w:r>
        <w:rPr>
          <w:rFonts w:ascii="宋体" w:hAnsi="宋体" w:cs="宋体"/>
          <w:sz w:val="24"/>
        </w:rPr>
        <w:t>日期：</w:t>
      </w:r>
    </w:p>
    <w:p w14:paraId="3426DF66">
      <w:pPr>
        <w:pStyle w:val="3"/>
        <w:jc w:val="left"/>
        <w:rPr>
          <w:sz w:val="24"/>
        </w:rPr>
      </w:pPr>
    </w:p>
    <w:p w14:paraId="7231C368">
      <w:pPr>
        <w:rPr>
          <w:b/>
          <w:sz w:val="24"/>
        </w:rPr>
      </w:pPr>
    </w:p>
    <w:p w14:paraId="5162F61B">
      <w:pPr>
        <w:pStyle w:val="3"/>
        <w:rPr>
          <w:sz w:val="24"/>
        </w:rPr>
      </w:pPr>
    </w:p>
    <w:p w14:paraId="234A3343">
      <w:pPr>
        <w:rPr>
          <w:b/>
          <w:sz w:val="24"/>
        </w:rPr>
      </w:pPr>
    </w:p>
    <w:p w14:paraId="3AF9524A">
      <w:pPr>
        <w:pStyle w:val="3"/>
        <w:rPr>
          <w:sz w:val="24"/>
        </w:rPr>
      </w:pPr>
    </w:p>
    <w:p w14:paraId="7C8E17B0">
      <w:pPr>
        <w:rPr>
          <w:b/>
          <w:sz w:val="24"/>
        </w:rPr>
      </w:pPr>
    </w:p>
    <w:p w14:paraId="52DE181C">
      <w:pPr>
        <w:pStyle w:val="3"/>
        <w:rPr>
          <w:sz w:val="24"/>
        </w:rPr>
      </w:pPr>
    </w:p>
    <w:p w14:paraId="41BF2390">
      <w:pPr>
        <w:rPr>
          <w:b/>
          <w:sz w:val="24"/>
        </w:rPr>
      </w:pPr>
    </w:p>
    <w:p w14:paraId="4CE72DE8">
      <w:pPr>
        <w:pStyle w:val="3"/>
        <w:rPr>
          <w:sz w:val="24"/>
        </w:rPr>
      </w:pPr>
    </w:p>
    <w:p w14:paraId="2F204C35">
      <w:pPr>
        <w:rPr>
          <w:b/>
          <w:sz w:val="24"/>
        </w:rPr>
      </w:pPr>
    </w:p>
    <w:p w14:paraId="53FCB0F9">
      <w:pPr>
        <w:pStyle w:val="3"/>
        <w:rPr>
          <w:sz w:val="24"/>
        </w:rPr>
      </w:pPr>
    </w:p>
    <w:p w14:paraId="30832761">
      <w:pPr>
        <w:rPr>
          <w:b/>
          <w:sz w:val="24"/>
        </w:rPr>
      </w:pPr>
    </w:p>
    <w:p w14:paraId="3E509AA0"/>
    <w:p w14:paraId="2D1DFA9C">
      <w:pPr>
        <w:spacing w:line="400" w:lineRule="exact"/>
        <w:jc w:val="left"/>
        <w:rPr>
          <w:rFonts w:ascii="宋体" w:hAnsi="宋体" w:cs="宋体"/>
          <w:color w:val="000000"/>
          <w:sz w:val="28"/>
          <w:szCs w:val="28"/>
        </w:rPr>
      </w:pPr>
      <w:r>
        <w:rPr>
          <w:rFonts w:hint="eastAsia" w:ascii="宋体" w:hAnsi="宋体" w:cs="宋体"/>
          <w:color w:val="000000"/>
          <w:sz w:val="28"/>
          <w:szCs w:val="28"/>
        </w:rPr>
        <w:t>12、信用承诺书</w:t>
      </w:r>
    </w:p>
    <w:p w14:paraId="68039B90">
      <w:pPr>
        <w:snapToGrid w:val="0"/>
        <w:spacing w:line="360" w:lineRule="auto"/>
        <w:ind w:firstLine="482" w:firstLineChars="200"/>
        <w:jc w:val="center"/>
        <w:rPr>
          <w:rFonts w:ascii="宋体" w:hAnsi="宋体"/>
          <w:b/>
          <w:sz w:val="24"/>
        </w:rPr>
      </w:pPr>
    </w:p>
    <w:p w14:paraId="3AA32F68">
      <w:pPr>
        <w:tabs>
          <w:tab w:val="left" w:pos="1650"/>
        </w:tabs>
        <w:spacing w:line="560" w:lineRule="exact"/>
        <w:rPr>
          <w:rFonts w:eastAsia="黑体"/>
          <w:sz w:val="44"/>
          <w:szCs w:val="44"/>
        </w:rPr>
      </w:pPr>
    </w:p>
    <w:p w14:paraId="08D03859">
      <w:pPr>
        <w:spacing w:line="588" w:lineRule="exact"/>
        <w:ind w:firstLine="464" w:firstLineChars="200"/>
        <w:rPr>
          <w:rFonts w:ascii="宋体"/>
          <w:spacing w:val="6"/>
          <w:sz w:val="24"/>
        </w:rPr>
      </w:pPr>
      <w:r>
        <w:rPr>
          <w:rFonts w:hint="eastAsia" w:ascii="宋体"/>
          <w:spacing w:val="6"/>
          <w:sz w:val="22"/>
          <w:szCs w:val="22"/>
        </w:rPr>
        <w:t>（</w:t>
      </w:r>
      <w:r>
        <w:rPr>
          <w:rFonts w:hint="eastAsia" w:ascii="宋体"/>
          <w:spacing w:val="6"/>
          <w:sz w:val="24"/>
        </w:rPr>
        <w:t>磋商单位）现参加（采购项目）政府采购活动，郑重承诺如下：</w:t>
      </w:r>
    </w:p>
    <w:p w14:paraId="3682058A">
      <w:pPr>
        <w:spacing w:line="588" w:lineRule="exact"/>
        <w:ind w:firstLine="504" w:firstLineChars="200"/>
        <w:rPr>
          <w:rFonts w:ascii="宋体"/>
          <w:spacing w:val="6"/>
          <w:sz w:val="24"/>
        </w:rPr>
      </w:pPr>
      <w:r>
        <w:rPr>
          <w:rFonts w:hint="eastAsia" w:ascii="宋体"/>
          <w:spacing w:val="6"/>
          <w:sz w:val="24"/>
        </w:rPr>
        <w:t>对所提供的资料合法性、真实性、准确性和有效性负责；</w:t>
      </w:r>
    </w:p>
    <w:p w14:paraId="7CF9C6DD">
      <w:pPr>
        <w:spacing w:line="588" w:lineRule="exact"/>
        <w:ind w:firstLine="504" w:firstLineChars="200"/>
        <w:rPr>
          <w:rFonts w:ascii="宋体"/>
          <w:spacing w:val="6"/>
          <w:sz w:val="24"/>
        </w:rPr>
      </w:pPr>
      <w:r>
        <w:rPr>
          <w:rFonts w:hint="eastAsia" w:ascii="宋体"/>
          <w:spacing w:val="6"/>
          <w:sz w:val="24"/>
        </w:rPr>
        <w:t>严格按照国家法律、法规和规章，依法开展相关经济活动，全面履行应尽的责任和义务；</w:t>
      </w:r>
    </w:p>
    <w:p w14:paraId="654A7B50">
      <w:pPr>
        <w:spacing w:line="588" w:lineRule="exact"/>
        <w:ind w:firstLine="504" w:firstLineChars="200"/>
        <w:rPr>
          <w:rFonts w:ascii="宋体"/>
          <w:spacing w:val="6"/>
          <w:sz w:val="24"/>
        </w:rPr>
      </w:pPr>
      <w:r>
        <w:rPr>
          <w:rFonts w:hint="eastAsia" w:ascii="宋体"/>
          <w:spacing w:val="6"/>
          <w:sz w:val="24"/>
        </w:rPr>
        <w:t>加强自我约束、自我规范、自我管理，不制假售假、不虚假宣传、不违约毁约、不恶意逃债、不偷税漏税，诚信依法经营；</w:t>
      </w:r>
    </w:p>
    <w:p w14:paraId="447D5960">
      <w:pPr>
        <w:spacing w:line="588" w:lineRule="exact"/>
        <w:ind w:firstLine="504" w:firstLineChars="200"/>
        <w:rPr>
          <w:rFonts w:ascii="宋体"/>
          <w:spacing w:val="6"/>
          <w:sz w:val="24"/>
        </w:rPr>
      </w:pPr>
      <w:r>
        <w:rPr>
          <w:rFonts w:hint="eastAsia" w:ascii="宋体"/>
          <w:spacing w:val="6"/>
          <w:sz w:val="24"/>
        </w:rPr>
        <w:t>自愿接受行政主管部门的依法检查、违背承诺约定将自愿承担违约责任，并接受法律法规和相关部门规章制度的惩戒和约束；</w:t>
      </w:r>
    </w:p>
    <w:p w14:paraId="12A8EA74">
      <w:pPr>
        <w:spacing w:line="588" w:lineRule="exact"/>
        <w:ind w:firstLine="504" w:firstLineChars="200"/>
        <w:rPr>
          <w:rFonts w:ascii="宋体"/>
          <w:spacing w:val="6"/>
          <w:sz w:val="24"/>
        </w:rPr>
      </w:pPr>
      <w:r>
        <w:rPr>
          <w:rFonts w:hint="eastAsia" w:ascii="宋体"/>
          <w:spacing w:val="6"/>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0C3592A4">
      <w:pPr>
        <w:spacing w:line="588" w:lineRule="exact"/>
        <w:ind w:firstLine="504" w:firstLineChars="200"/>
        <w:rPr>
          <w:rFonts w:ascii="宋体"/>
          <w:spacing w:val="6"/>
          <w:sz w:val="24"/>
        </w:rPr>
      </w:pPr>
    </w:p>
    <w:p w14:paraId="313E9D6F">
      <w:pPr>
        <w:spacing w:line="588" w:lineRule="exact"/>
        <w:ind w:firstLine="504" w:firstLineChars="200"/>
        <w:rPr>
          <w:rFonts w:ascii="宋体"/>
          <w:spacing w:val="6"/>
          <w:sz w:val="24"/>
        </w:rPr>
      </w:pPr>
    </w:p>
    <w:p w14:paraId="56836519">
      <w:pPr>
        <w:spacing w:line="588" w:lineRule="exact"/>
        <w:ind w:firstLine="504" w:firstLineChars="200"/>
        <w:rPr>
          <w:rFonts w:ascii="宋体"/>
          <w:spacing w:val="6"/>
          <w:sz w:val="24"/>
        </w:rPr>
      </w:pPr>
      <w:r>
        <w:rPr>
          <w:rFonts w:hint="eastAsia" w:ascii="宋体"/>
          <w:spacing w:val="6"/>
          <w:sz w:val="24"/>
        </w:rPr>
        <w:t>统一社会信用代码：</w:t>
      </w:r>
    </w:p>
    <w:p w14:paraId="59F476D9">
      <w:pPr>
        <w:spacing w:line="588" w:lineRule="exact"/>
        <w:ind w:firstLine="504" w:firstLineChars="200"/>
        <w:rPr>
          <w:rFonts w:ascii="宋体"/>
          <w:spacing w:val="6"/>
          <w:sz w:val="24"/>
        </w:rPr>
      </w:pPr>
    </w:p>
    <w:p w14:paraId="1D6B01B5">
      <w:pPr>
        <w:spacing w:line="588" w:lineRule="exact"/>
        <w:ind w:firstLine="504" w:firstLineChars="200"/>
        <w:rPr>
          <w:rFonts w:ascii="宋体"/>
          <w:spacing w:val="6"/>
          <w:sz w:val="24"/>
        </w:rPr>
      </w:pPr>
      <w:r>
        <w:rPr>
          <w:rFonts w:hint="eastAsia" w:ascii="宋体"/>
          <w:spacing w:val="6"/>
          <w:sz w:val="24"/>
        </w:rPr>
        <w:t>承诺单位</w:t>
      </w:r>
      <w:r>
        <w:rPr>
          <w:rFonts w:ascii="宋体"/>
          <w:spacing w:val="6"/>
          <w:sz w:val="24"/>
        </w:rPr>
        <w:t>/</w:t>
      </w:r>
      <w:r>
        <w:rPr>
          <w:rFonts w:hint="eastAsia" w:ascii="宋体"/>
          <w:spacing w:val="6"/>
          <w:sz w:val="24"/>
        </w:rPr>
        <w:t>个人（盖章</w:t>
      </w:r>
      <w:r>
        <w:rPr>
          <w:rFonts w:ascii="宋体"/>
          <w:spacing w:val="6"/>
          <w:sz w:val="24"/>
        </w:rPr>
        <w:t>/</w:t>
      </w:r>
      <w:r>
        <w:rPr>
          <w:rFonts w:hint="eastAsia" w:ascii="宋体"/>
          <w:spacing w:val="6"/>
          <w:sz w:val="24"/>
        </w:rPr>
        <w:t>签名）</w:t>
      </w:r>
    </w:p>
    <w:p w14:paraId="106A7DAD">
      <w:pPr>
        <w:spacing w:line="588" w:lineRule="exact"/>
        <w:ind w:firstLine="504" w:firstLineChars="200"/>
        <w:rPr>
          <w:b/>
          <w:sz w:val="24"/>
        </w:rPr>
      </w:pPr>
      <w:r>
        <w:rPr>
          <w:rFonts w:hint="eastAsia" w:ascii="宋体"/>
          <w:spacing w:val="6"/>
          <w:sz w:val="24"/>
        </w:rPr>
        <w:t>时间：</w:t>
      </w:r>
      <w:r>
        <w:rPr>
          <w:rFonts w:ascii="宋体"/>
          <w:spacing w:val="6"/>
          <w:sz w:val="24"/>
        </w:rPr>
        <w:t>20</w:t>
      </w:r>
      <w:r>
        <w:rPr>
          <w:rFonts w:hint="eastAsia" w:ascii="宋体"/>
          <w:spacing w:val="6"/>
          <w:sz w:val="24"/>
        </w:rPr>
        <w:t xml:space="preserve">  年  月  日</w:t>
      </w:r>
    </w:p>
    <w:p w14:paraId="051F05EB">
      <w:pPr>
        <w:pStyle w:val="32"/>
        <w:rPr>
          <w:b/>
        </w:rPr>
      </w:pPr>
    </w:p>
    <w:p w14:paraId="591C3D62">
      <w:pPr>
        <w:pStyle w:val="32"/>
        <w:rPr>
          <w:b/>
        </w:rPr>
      </w:pPr>
    </w:p>
    <w:p w14:paraId="7F20490A">
      <w:pPr>
        <w:pStyle w:val="32"/>
        <w:ind w:firstLine="0"/>
        <w:rPr>
          <w:b/>
        </w:rPr>
      </w:pPr>
    </w:p>
    <w:p w14:paraId="5DF23616">
      <w:pPr>
        <w:spacing w:line="400" w:lineRule="exact"/>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中宋;宋体">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宋体-简">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EA50">
    <w:pPr>
      <w:pStyle w:val="19"/>
      <w:pBdr>
        <w:top w:val="single" w:color="auto" w:sz="4" w:space="1"/>
      </w:pBdr>
      <w:tabs>
        <w:tab w:val="left" w:pos="1200"/>
      </w:tabs>
      <w:ind w:right="45"/>
      <w:rPr>
        <w:rFonts w:ascii="仿宋_GB2312" w:eastAsia="仿宋_GB2312"/>
      </w:rPr>
    </w:pPr>
    <w:r>
      <w:rPr>
        <w:rFonts w:hint="eastAsia" w:ascii="仿宋_GB2312" w:eastAsia="仿宋_GB2312"/>
      </w:rPr>
      <w:t>浙江华夏工程管理有限公司                                                              0572-2567837</w:t>
    </w:r>
  </w:p>
  <w:p w14:paraId="7E98316D">
    <w:pPr>
      <w:pStyle w:val="19"/>
    </w:pPr>
  </w:p>
  <w:p w14:paraId="6F3FD522">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8E269">
    <w:pPr>
      <w:pStyle w:val="19"/>
      <w:pBdr>
        <w:top w:val="single" w:color="auto" w:sz="4" w:space="1"/>
      </w:pBdr>
      <w:tabs>
        <w:tab w:val="left" w:pos="1200"/>
      </w:tabs>
      <w:ind w:right="45"/>
      <w:rPr>
        <w:rFonts w:ascii="仿宋_GB2312" w:eastAsia="仿宋_GB2312"/>
      </w:rPr>
    </w:pPr>
    <w:r>
      <w:rPr>
        <w:rFonts w:hint="eastAsia" w:ascii="仿宋_GB2312" w:eastAsia="仿宋_GB2312"/>
      </w:rPr>
      <w:t>浙江华夏工程管理有限公司                                                              0572-2567837</w:t>
    </w:r>
  </w:p>
  <w:p w14:paraId="37CABB2F">
    <w:pPr>
      <w:pStyle w:val="19"/>
      <w:tabs>
        <w:tab w:val="clear" w:pos="4153"/>
      </w:tabs>
      <w:jc w:val="center"/>
    </w:pPr>
  </w:p>
  <w:p w14:paraId="3734316E">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15968">
    <w:pPr>
      <w:pStyle w:val="19"/>
      <w:pBdr>
        <w:top w:val="single" w:color="auto" w:sz="4" w:space="1"/>
      </w:pBdr>
      <w:tabs>
        <w:tab w:val="left" w:pos="1200"/>
      </w:tabs>
      <w:ind w:right="45"/>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F91779">
                          <w:pPr>
                            <w:pStyle w:val="19"/>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70F91779">
                    <w:pPr>
                      <w:pStyle w:val="19"/>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r>
      <w:rPr>
        <w:rFonts w:hint="eastAsia" w:ascii="仿宋_GB2312" w:eastAsia="仿宋_GB2312"/>
      </w:rPr>
      <w:t>浙江华夏工程管理有限公司                                                              0572-2567837</w:t>
    </w:r>
  </w:p>
  <w:p w14:paraId="55876CEB">
    <w:pPr>
      <w:pStyle w:val="19"/>
      <w:tabs>
        <w:tab w:val="clear" w:pos="4153"/>
      </w:tabs>
      <w:jc w:val="center"/>
    </w:pPr>
  </w:p>
  <w:p w14:paraId="0BB3CF02">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FB883">
    <w:pPr>
      <w:pStyle w:val="19"/>
      <w:tabs>
        <w:tab w:val="left" w:pos="5217"/>
        <w:tab w:val="clear" w:pos="4153"/>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B7131">
    <w:pPr>
      <w:pStyle w:val="20"/>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4A1F1"/>
    <w:multiLevelType w:val="singleLevel"/>
    <w:tmpl w:val="8FC4A1F1"/>
    <w:lvl w:ilvl="0" w:tentative="0">
      <w:start w:val="1"/>
      <w:numFmt w:val="decimal"/>
      <w:suff w:val="nothing"/>
      <w:lvlText w:val="%1．"/>
      <w:lvlJc w:val="left"/>
      <w:pPr>
        <w:ind w:left="0" w:firstLine="400"/>
      </w:pPr>
      <w:rPr>
        <w:rFonts w:hint="default"/>
      </w:rPr>
    </w:lvl>
  </w:abstractNum>
  <w:abstractNum w:abstractNumId="1">
    <w:nsid w:val="9CF219D2"/>
    <w:multiLevelType w:val="singleLevel"/>
    <w:tmpl w:val="9CF219D2"/>
    <w:lvl w:ilvl="0" w:tentative="0">
      <w:start w:val="4"/>
      <w:numFmt w:val="decimal"/>
      <w:suff w:val="nothing"/>
      <w:lvlText w:val="%1）"/>
      <w:lvlJc w:val="left"/>
    </w:lvl>
  </w:abstractNum>
  <w:abstractNum w:abstractNumId="2">
    <w:nsid w:val="A4B18F50"/>
    <w:multiLevelType w:val="singleLevel"/>
    <w:tmpl w:val="A4B18F50"/>
    <w:lvl w:ilvl="0" w:tentative="0">
      <w:start w:val="3"/>
      <w:numFmt w:val="chineseCounting"/>
      <w:suff w:val="nothing"/>
      <w:lvlText w:val="%1、"/>
      <w:lvlJc w:val="left"/>
      <w:rPr>
        <w:rFonts w:hint="eastAsia"/>
      </w:rPr>
    </w:lvl>
  </w:abstractNum>
  <w:abstractNum w:abstractNumId="3">
    <w:nsid w:val="ACBEE2B4"/>
    <w:multiLevelType w:val="singleLevel"/>
    <w:tmpl w:val="ACBEE2B4"/>
    <w:lvl w:ilvl="0" w:tentative="0">
      <w:start w:val="1"/>
      <w:numFmt w:val="decimal"/>
      <w:lvlText w:val="%1."/>
      <w:lvlJc w:val="left"/>
      <w:pPr>
        <w:tabs>
          <w:tab w:val="left" w:pos="312"/>
        </w:tabs>
      </w:pPr>
    </w:lvl>
  </w:abstractNum>
  <w:abstractNum w:abstractNumId="4">
    <w:nsid w:val="B79E44AE"/>
    <w:multiLevelType w:val="singleLevel"/>
    <w:tmpl w:val="B79E44AE"/>
    <w:lvl w:ilvl="0" w:tentative="0">
      <w:start w:val="1"/>
      <w:numFmt w:val="decimal"/>
      <w:suff w:val="nothing"/>
      <w:lvlText w:val="%1．"/>
      <w:lvlJc w:val="left"/>
      <w:pPr>
        <w:ind w:left="0" w:firstLine="400"/>
      </w:pPr>
      <w:rPr>
        <w:rFonts w:hint="default"/>
      </w:rPr>
    </w:lvl>
  </w:abstractNum>
  <w:abstractNum w:abstractNumId="5">
    <w:nsid w:val="C8AE8D75"/>
    <w:multiLevelType w:val="singleLevel"/>
    <w:tmpl w:val="C8AE8D75"/>
    <w:lvl w:ilvl="0" w:tentative="0">
      <w:start w:val="1"/>
      <w:numFmt w:val="decimal"/>
      <w:suff w:val="nothing"/>
      <w:lvlText w:val="%1、"/>
      <w:lvlJc w:val="left"/>
    </w:lvl>
  </w:abstractNum>
  <w:abstractNum w:abstractNumId="6">
    <w:nsid w:val="D4B57FB1"/>
    <w:multiLevelType w:val="singleLevel"/>
    <w:tmpl w:val="D4B57FB1"/>
    <w:lvl w:ilvl="0" w:tentative="0">
      <w:start w:val="1"/>
      <w:numFmt w:val="decimal"/>
      <w:suff w:val="nothing"/>
      <w:lvlText w:val="%1．"/>
      <w:lvlJc w:val="left"/>
      <w:pPr>
        <w:ind w:left="0" w:firstLine="400"/>
      </w:pPr>
      <w:rPr>
        <w:rFonts w:hint="default"/>
      </w:rPr>
    </w:lvl>
  </w:abstractNum>
  <w:abstractNum w:abstractNumId="7">
    <w:nsid w:val="E4CF0BA3"/>
    <w:multiLevelType w:val="singleLevel"/>
    <w:tmpl w:val="E4CF0BA3"/>
    <w:lvl w:ilvl="0" w:tentative="0">
      <w:start w:val="1"/>
      <w:numFmt w:val="decimal"/>
      <w:suff w:val="nothing"/>
      <w:lvlText w:val="（%1）"/>
      <w:lvlJc w:val="left"/>
    </w:lvl>
  </w:abstractNum>
  <w:abstractNum w:abstractNumId="8">
    <w:nsid w:val="00000011"/>
    <w:multiLevelType w:val="singleLevel"/>
    <w:tmpl w:val="00000011"/>
    <w:lvl w:ilvl="0" w:tentative="0">
      <w:start w:val="2"/>
      <w:numFmt w:val="decimal"/>
      <w:pStyle w:val="45"/>
      <w:suff w:val="nothing"/>
      <w:lvlText w:val="（%1）"/>
      <w:lvlJc w:val="left"/>
    </w:lvl>
  </w:abstractNum>
  <w:abstractNum w:abstractNumId="9">
    <w:nsid w:val="09539706"/>
    <w:multiLevelType w:val="singleLevel"/>
    <w:tmpl w:val="09539706"/>
    <w:lvl w:ilvl="0" w:tentative="0">
      <w:start w:val="3"/>
      <w:numFmt w:val="chineseCounting"/>
      <w:suff w:val="space"/>
      <w:lvlText w:val="第%1章"/>
      <w:lvlJc w:val="left"/>
      <w:rPr>
        <w:rFonts w:hint="eastAsia"/>
      </w:rPr>
    </w:lvl>
  </w:abstractNum>
  <w:abstractNum w:abstractNumId="10">
    <w:nsid w:val="0F28345B"/>
    <w:multiLevelType w:val="multilevel"/>
    <w:tmpl w:val="0F28345B"/>
    <w:lvl w:ilvl="0" w:tentative="0">
      <w:start w:val="1"/>
      <w:numFmt w:val="decimal"/>
      <w:pStyle w:val="5"/>
      <w:lvlText w:val="（%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11">
    <w:nsid w:val="14D044BE"/>
    <w:multiLevelType w:val="multilevel"/>
    <w:tmpl w:val="14D044BE"/>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12">
    <w:nsid w:val="1AE74E1C"/>
    <w:multiLevelType w:val="multilevel"/>
    <w:tmpl w:val="1AE74E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5810379"/>
    <w:multiLevelType w:val="singleLevel"/>
    <w:tmpl w:val="35810379"/>
    <w:lvl w:ilvl="0" w:tentative="0">
      <w:start w:val="2"/>
      <w:numFmt w:val="chineseCounting"/>
      <w:suff w:val="nothing"/>
      <w:lvlText w:val="（%1）"/>
      <w:lvlJc w:val="left"/>
      <w:rPr>
        <w:rFonts w:hint="eastAsia"/>
      </w:rPr>
    </w:lvl>
  </w:abstractNum>
  <w:abstractNum w:abstractNumId="14">
    <w:nsid w:val="4C3B2730"/>
    <w:multiLevelType w:val="multilevel"/>
    <w:tmpl w:val="4C3B2730"/>
    <w:lvl w:ilvl="0" w:tentative="0">
      <w:start w:val="1"/>
      <w:numFmt w:val="bullet"/>
      <w:pStyle w:val="6"/>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5">
    <w:nsid w:val="52333733"/>
    <w:multiLevelType w:val="multilevel"/>
    <w:tmpl w:val="52333733"/>
    <w:lvl w:ilvl="0" w:tentative="0">
      <w:start w:val="1"/>
      <w:numFmt w:val="decimal"/>
      <w:pStyle w:val="4"/>
      <w:lvlText w:val="%1."/>
      <w:lvlJc w:val="left"/>
      <w:pPr>
        <w:ind w:left="562"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6">
    <w:nsid w:val="58049D16"/>
    <w:multiLevelType w:val="singleLevel"/>
    <w:tmpl w:val="58049D16"/>
    <w:lvl w:ilvl="0" w:tentative="0">
      <w:start w:val="9"/>
      <w:numFmt w:val="chineseCounting"/>
      <w:suff w:val="nothing"/>
      <w:lvlText w:val="%1．"/>
      <w:lvlJc w:val="left"/>
      <w:rPr>
        <w:rFonts w:hint="eastAsia"/>
      </w:rPr>
    </w:lvl>
  </w:abstractNum>
  <w:abstractNum w:abstractNumId="17">
    <w:nsid w:val="75DABE9D"/>
    <w:multiLevelType w:val="singleLevel"/>
    <w:tmpl w:val="75DABE9D"/>
    <w:lvl w:ilvl="0" w:tentative="0">
      <w:start w:val="1"/>
      <w:numFmt w:val="decimal"/>
      <w:lvlText w:val="%1."/>
      <w:lvlJc w:val="left"/>
      <w:pPr>
        <w:ind w:left="425" w:hanging="425"/>
      </w:pPr>
      <w:rPr>
        <w:rFonts w:hint="default"/>
      </w:rPr>
    </w:lvl>
  </w:abstractNum>
  <w:num w:numId="1">
    <w:abstractNumId w:val="15"/>
  </w:num>
  <w:num w:numId="2">
    <w:abstractNumId w:val="10"/>
  </w:num>
  <w:num w:numId="3">
    <w:abstractNumId w:val="14"/>
  </w:num>
  <w:num w:numId="4">
    <w:abstractNumId w:val="8"/>
  </w:num>
  <w:num w:numId="5">
    <w:abstractNumId w:val="6"/>
  </w:num>
  <w:num w:numId="6">
    <w:abstractNumId w:val="17"/>
  </w:num>
  <w:num w:numId="7">
    <w:abstractNumId w:val="16"/>
  </w:num>
  <w:num w:numId="8">
    <w:abstractNumId w:val="4"/>
  </w:num>
  <w:num w:numId="9">
    <w:abstractNumId w:val="7"/>
  </w:num>
  <w:num w:numId="10">
    <w:abstractNumId w:val="13"/>
  </w:num>
  <w:num w:numId="11">
    <w:abstractNumId w:val="5"/>
  </w:num>
  <w:num w:numId="12">
    <w:abstractNumId w:val="9"/>
  </w:num>
  <w:num w:numId="13">
    <w:abstractNumId w:val="2"/>
  </w:num>
  <w:num w:numId="14">
    <w:abstractNumId w:val="0"/>
  </w:num>
  <w:num w:numId="15">
    <w:abstractNumId w:val="12"/>
  </w:num>
  <w:num w:numId="16">
    <w:abstractNumId w:val="11"/>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ODU3NmIzZDk1YjlhNTUwNGIwMjA4YjcwNWFiMmMifQ=="/>
  </w:docVars>
  <w:rsids>
    <w:rsidRoot w:val="173C0102"/>
    <w:rsid w:val="001C1173"/>
    <w:rsid w:val="002637BD"/>
    <w:rsid w:val="002B371A"/>
    <w:rsid w:val="0044697D"/>
    <w:rsid w:val="00492AC2"/>
    <w:rsid w:val="005F3F1A"/>
    <w:rsid w:val="00610DC9"/>
    <w:rsid w:val="0065628C"/>
    <w:rsid w:val="006D3E83"/>
    <w:rsid w:val="007624EC"/>
    <w:rsid w:val="009703C1"/>
    <w:rsid w:val="009F367E"/>
    <w:rsid w:val="00A77981"/>
    <w:rsid w:val="00C24A8F"/>
    <w:rsid w:val="00E91E07"/>
    <w:rsid w:val="00ED7796"/>
    <w:rsid w:val="00F15868"/>
    <w:rsid w:val="017C1F4B"/>
    <w:rsid w:val="01A67BB2"/>
    <w:rsid w:val="01B24519"/>
    <w:rsid w:val="01E44EA4"/>
    <w:rsid w:val="02C55646"/>
    <w:rsid w:val="033A255A"/>
    <w:rsid w:val="03A939C7"/>
    <w:rsid w:val="04724045"/>
    <w:rsid w:val="055558FE"/>
    <w:rsid w:val="05AA0A46"/>
    <w:rsid w:val="06B50D55"/>
    <w:rsid w:val="07214315"/>
    <w:rsid w:val="072255E7"/>
    <w:rsid w:val="08084EE4"/>
    <w:rsid w:val="081160F7"/>
    <w:rsid w:val="083E3658"/>
    <w:rsid w:val="08FC36F5"/>
    <w:rsid w:val="08FC421E"/>
    <w:rsid w:val="09E935C1"/>
    <w:rsid w:val="0AAB4561"/>
    <w:rsid w:val="0CDC0E3F"/>
    <w:rsid w:val="0D4523C2"/>
    <w:rsid w:val="0D735F2C"/>
    <w:rsid w:val="0E907E4A"/>
    <w:rsid w:val="0F496B20"/>
    <w:rsid w:val="0F59499D"/>
    <w:rsid w:val="0F981310"/>
    <w:rsid w:val="0FF144F1"/>
    <w:rsid w:val="10105BA3"/>
    <w:rsid w:val="12385CD0"/>
    <w:rsid w:val="129A7ECF"/>
    <w:rsid w:val="131E3251"/>
    <w:rsid w:val="13721C9A"/>
    <w:rsid w:val="13AD31F9"/>
    <w:rsid w:val="13FC30E1"/>
    <w:rsid w:val="142D1F78"/>
    <w:rsid w:val="144F43B0"/>
    <w:rsid w:val="16431427"/>
    <w:rsid w:val="173C0102"/>
    <w:rsid w:val="17E17941"/>
    <w:rsid w:val="1879051F"/>
    <w:rsid w:val="1942284D"/>
    <w:rsid w:val="1A131E6E"/>
    <w:rsid w:val="1A2F1F74"/>
    <w:rsid w:val="1A3772F4"/>
    <w:rsid w:val="1B6A0BC6"/>
    <w:rsid w:val="1C081C95"/>
    <w:rsid w:val="1C6D3EB4"/>
    <w:rsid w:val="1EFF7A83"/>
    <w:rsid w:val="1F374B5C"/>
    <w:rsid w:val="1F614974"/>
    <w:rsid w:val="20847635"/>
    <w:rsid w:val="2091624F"/>
    <w:rsid w:val="211A5ECC"/>
    <w:rsid w:val="213827F6"/>
    <w:rsid w:val="2205199A"/>
    <w:rsid w:val="22B21BB7"/>
    <w:rsid w:val="25944C60"/>
    <w:rsid w:val="26316BA3"/>
    <w:rsid w:val="27002E9E"/>
    <w:rsid w:val="277954AB"/>
    <w:rsid w:val="287C7332"/>
    <w:rsid w:val="2884485C"/>
    <w:rsid w:val="2938613F"/>
    <w:rsid w:val="2A737C2B"/>
    <w:rsid w:val="2A8470CB"/>
    <w:rsid w:val="2B0E2258"/>
    <w:rsid w:val="2B102C25"/>
    <w:rsid w:val="2B4A0428"/>
    <w:rsid w:val="2B7E02AD"/>
    <w:rsid w:val="2BF94A55"/>
    <w:rsid w:val="2C9146BA"/>
    <w:rsid w:val="2CD24099"/>
    <w:rsid w:val="2D180202"/>
    <w:rsid w:val="2D901B06"/>
    <w:rsid w:val="2DC77DD4"/>
    <w:rsid w:val="2DD7768D"/>
    <w:rsid w:val="2E0A0527"/>
    <w:rsid w:val="2E352597"/>
    <w:rsid w:val="2F1418E3"/>
    <w:rsid w:val="2F1A7588"/>
    <w:rsid w:val="2F7F4569"/>
    <w:rsid w:val="303449DA"/>
    <w:rsid w:val="303815BC"/>
    <w:rsid w:val="306C1CE1"/>
    <w:rsid w:val="308572FE"/>
    <w:rsid w:val="31197F4E"/>
    <w:rsid w:val="31236C0A"/>
    <w:rsid w:val="31773007"/>
    <w:rsid w:val="31784514"/>
    <w:rsid w:val="31EA294F"/>
    <w:rsid w:val="31FA2039"/>
    <w:rsid w:val="320737FC"/>
    <w:rsid w:val="32C703B2"/>
    <w:rsid w:val="334C1DF1"/>
    <w:rsid w:val="3357659E"/>
    <w:rsid w:val="33794EE7"/>
    <w:rsid w:val="33D47BF8"/>
    <w:rsid w:val="33E10725"/>
    <w:rsid w:val="33F33373"/>
    <w:rsid w:val="34333D19"/>
    <w:rsid w:val="34870A62"/>
    <w:rsid w:val="34E00957"/>
    <w:rsid w:val="352E5F92"/>
    <w:rsid w:val="365D08DD"/>
    <w:rsid w:val="36906903"/>
    <w:rsid w:val="36E74872"/>
    <w:rsid w:val="38836CEC"/>
    <w:rsid w:val="38AA4B17"/>
    <w:rsid w:val="39135CB2"/>
    <w:rsid w:val="391B06E6"/>
    <w:rsid w:val="39B167AC"/>
    <w:rsid w:val="3A406F36"/>
    <w:rsid w:val="3A6B3F2E"/>
    <w:rsid w:val="3B042447"/>
    <w:rsid w:val="3B730163"/>
    <w:rsid w:val="3C8B1A68"/>
    <w:rsid w:val="3E907376"/>
    <w:rsid w:val="3ECB0CA7"/>
    <w:rsid w:val="3FBE24AE"/>
    <w:rsid w:val="3FFC16DE"/>
    <w:rsid w:val="400D1100"/>
    <w:rsid w:val="4019254B"/>
    <w:rsid w:val="40BB648C"/>
    <w:rsid w:val="40DC37DD"/>
    <w:rsid w:val="41285772"/>
    <w:rsid w:val="41614227"/>
    <w:rsid w:val="436A2964"/>
    <w:rsid w:val="44437E93"/>
    <w:rsid w:val="4560772A"/>
    <w:rsid w:val="45720DBA"/>
    <w:rsid w:val="45951AFB"/>
    <w:rsid w:val="45B269CA"/>
    <w:rsid w:val="45DA6068"/>
    <w:rsid w:val="463B0AB0"/>
    <w:rsid w:val="464A6F94"/>
    <w:rsid w:val="4690085B"/>
    <w:rsid w:val="47762884"/>
    <w:rsid w:val="479E12CB"/>
    <w:rsid w:val="485E46FC"/>
    <w:rsid w:val="48C71990"/>
    <w:rsid w:val="49494CF1"/>
    <w:rsid w:val="49F6339A"/>
    <w:rsid w:val="4AC45B88"/>
    <w:rsid w:val="4AD53856"/>
    <w:rsid w:val="4B224D79"/>
    <w:rsid w:val="4B6628D7"/>
    <w:rsid w:val="4BAF03AB"/>
    <w:rsid w:val="4BF800AC"/>
    <w:rsid w:val="4C3C7685"/>
    <w:rsid w:val="4C4C3E1E"/>
    <w:rsid w:val="4E3305EB"/>
    <w:rsid w:val="4E6B7891"/>
    <w:rsid w:val="4ED10F8B"/>
    <w:rsid w:val="4F655E85"/>
    <w:rsid w:val="50287300"/>
    <w:rsid w:val="51B722A3"/>
    <w:rsid w:val="5270649A"/>
    <w:rsid w:val="5293647D"/>
    <w:rsid w:val="52DB2E5E"/>
    <w:rsid w:val="530C3017"/>
    <w:rsid w:val="542B45EC"/>
    <w:rsid w:val="5479292E"/>
    <w:rsid w:val="54A80C6E"/>
    <w:rsid w:val="54C129A7"/>
    <w:rsid w:val="54C64068"/>
    <w:rsid w:val="55401117"/>
    <w:rsid w:val="5567663C"/>
    <w:rsid w:val="55C4698B"/>
    <w:rsid w:val="5812527B"/>
    <w:rsid w:val="587C37B8"/>
    <w:rsid w:val="58A06E07"/>
    <w:rsid w:val="58D11FC4"/>
    <w:rsid w:val="59133EBD"/>
    <w:rsid w:val="595A47EC"/>
    <w:rsid w:val="597E2795"/>
    <w:rsid w:val="59AF5537"/>
    <w:rsid w:val="59C63698"/>
    <w:rsid w:val="5AB31B59"/>
    <w:rsid w:val="5AD657B9"/>
    <w:rsid w:val="5ADA1C4D"/>
    <w:rsid w:val="5B1069CC"/>
    <w:rsid w:val="5CF977D8"/>
    <w:rsid w:val="5D9641D8"/>
    <w:rsid w:val="5DA35962"/>
    <w:rsid w:val="5DBFE506"/>
    <w:rsid w:val="5E5200CB"/>
    <w:rsid w:val="5E621FC0"/>
    <w:rsid w:val="5E6A14B1"/>
    <w:rsid w:val="5EA26C67"/>
    <w:rsid w:val="5EC25012"/>
    <w:rsid w:val="5EE42B61"/>
    <w:rsid w:val="5FA14B1D"/>
    <w:rsid w:val="5FA4543E"/>
    <w:rsid w:val="604C0153"/>
    <w:rsid w:val="607A0B35"/>
    <w:rsid w:val="60B83E38"/>
    <w:rsid w:val="60F64905"/>
    <w:rsid w:val="611B73B2"/>
    <w:rsid w:val="63006B60"/>
    <w:rsid w:val="6332455D"/>
    <w:rsid w:val="641E5009"/>
    <w:rsid w:val="666B0360"/>
    <w:rsid w:val="66730C1E"/>
    <w:rsid w:val="669535EB"/>
    <w:rsid w:val="67113831"/>
    <w:rsid w:val="672A37D8"/>
    <w:rsid w:val="67365DEB"/>
    <w:rsid w:val="67A40AB4"/>
    <w:rsid w:val="67B651A5"/>
    <w:rsid w:val="68C2185B"/>
    <w:rsid w:val="692C00B1"/>
    <w:rsid w:val="69946C0D"/>
    <w:rsid w:val="6A227BE9"/>
    <w:rsid w:val="6A3F417C"/>
    <w:rsid w:val="6BF46214"/>
    <w:rsid w:val="6C930E63"/>
    <w:rsid w:val="6CA14503"/>
    <w:rsid w:val="6D4A6871"/>
    <w:rsid w:val="6F45035B"/>
    <w:rsid w:val="6F4E4555"/>
    <w:rsid w:val="710F3D4B"/>
    <w:rsid w:val="713007E0"/>
    <w:rsid w:val="7135304A"/>
    <w:rsid w:val="714074FB"/>
    <w:rsid w:val="71810CDB"/>
    <w:rsid w:val="720B176A"/>
    <w:rsid w:val="724734D1"/>
    <w:rsid w:val="72473C14"/>
    <w:rsid w:val="724F4192"/>
    <w:rsid w:val="73D414D7"/>
    <w:rsid w:val="74F909DC"/>
    <w:rsid w:val="75AC1458"/>
    <w:rsid w:val="75F34431"/>
    <w:rsid w:val="764C5A9F"/>
    <w:rsid w:val="7749340B"/>
    <w:rsid w:val="77AA3DBA"/>
    <w:rsid w:val="77AF7039"/>
    <w:rsid w:val="780F3B1E"/>
    <w:rsid w:val="78681AD0"/>
    <w:rsid w:val="79073BEF"/>
    <w:rsid w:val="7A746D50"/>
    <w:rsid w:val="7A9B5F4B"/>
    <w:rsid w:val="7AE444E3"/>
    <w:rsid w:val="7B9B0E62"/>
    <w:rsid w:val="7DA479C8"/>
    <w:rsid w:val="7DC747B5"/>
    <w:rsid w:val="7E485F13"/>
    <w:rsid w:val="7EB45EFD"/>
    <w:rsid w:val="7EBB576E"/>
    <w:rsid w:val="7EC34DF8"/>
    <w:rsid w:val="7ED87530"/>
    <w:rsid w:val="7F06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2"/>
    <w:unhideWhenUsed/>
    <w:qFormat/>
    <w:uiPriority w:val="9"/>
    <w:pPr>
      <w:keepNext/>
      <w:keepLines/>
      <w:numPr>
        <w:ilvl w:val="0"/>
        <w:numId w:val="1"/>
      </w:numPr>
      <w:spacing w:before="120" w:after="120"/>
      <w:ind w:left="198" w:firstLine="0"/>
      <w:outlineLvl w:val="2"/>
    </w:pPr>
    <w:rPr>
      <w:b/>
      <w:bCs/>
      <w:sz w:val="28"/>
      <w:szCs w:val="32"/>
    </w:rPr>
  </w:style>
  <w:style w:type="paragraph" w:styleId="5">
    <w:name w:val="heading 4"/>
    <w:basedOn w:val="1"/>
    <w:next w:val="1"/>
    <w:link w:val="53"/>
    <w:unhideWhenUsed/>
    <w:qFormat/>
    <w:uiPriority w:val="9"/>
    <w:pPr>
      <w:keepNext/>
      <w:keepLines/>
      <w:numPr>
        <w:ilvl w:val="0"/>
        <w:numId w:val="2"/>
      </w:numPr>
      <w:ind w:left="0" w:firstLine="0"/>
      <w:outlineLvl w:val="3"/>
    </w:pPr>
    <w:rPr>
      <w:rFonts w:asciiTheme="majorHAnsi" w:hAnsiTheme="majorHAnsi" w:cstheme="majorBidi"/>
      <w:b/>
      <w:bCs/>
      <w:szCs w:val="28"/>
    </w:rPr>
  </w:style>
  <w:style w:type="paragraph" w:styleId="6">
    <w:name w:val="heading 5"/>
    <w:basedOn w:val="1"/>
    <w:next w:val="1"/>
    <w:unhideWhenUsed/>
    <w:qFormat/>
    <w:uiPriority w:val="9"/>
    <w:pPr>
      <w:keepNext/>
      <w:keepLines/>
      <w:numPr>
        <w:ilvl w:val="0"/>
        <w:numId w:val="3"/>
      </w:numPr>
      <w:ind w:left="0" w:firstLine="150" w:firstLineChars="150"/>
      <w:outlineLvl w:val="4"/>
    </w:pPr>
    <w:rPr>
      <w:b/>
      <w:bCs/>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Document Map"/>
    <w:basedOn w:val="1"/>
    <w:link w:val="36"/>
    <w:qFormat/>
    <w:uiPriority w:val="0"/>
    <w:pPr>
      <w:widowControl/>
      <w:jc w:val="left"/>
    </w:pPr>
    <w:rPr>
      <w:rFonts w:ascii="宋体"/>
      <w:sz w:val="18"/>
      <w:szCs w:val="18"/>
    </w:rPr>
  </w:style>
  <w:style w:type="paragraph" w:styleId="9">
    <w:name w:val="annotation text"/>
    <w:basedOn w:val="1"/>
    <w:link w:val="33"/>
    <w:qFormat/>
    <w:uiPriority w:val="0"/>
    <w:pPr>
      <w:jc w:val="left"/>
    </w:pPr>
  </w:style>
  <w:style w:type="paragraph" w:styleId="10">
    <w:name w:val="Body Text"/>
    <w:basedOn w:val="1"/>
    <w:next w:val="11"/>
    <w:qFormat/>
    <w:uiPriority w:val="0"/>
    <w:pPr>
      <w:spacing w:after="120"/>
    </w:pPr>
    <w:rPr>
      <w:sz w:val="28"/>
    </w:rPr>
  </w:style>
  <w:style w:type="paragraph" w:styleId="11">
    <w:name w:val="Body Text First Indent"/>
    <w:basedOn w:val="10"/>
    <w:next w:val="12"/>
    <w:qFormat/>
    <w:uiPriority w:val="0"/>
    <w:pPr>
      <w:spacing w:line="360" w:lineRule="auto"/>
      <w:ind w:firstLine="200" w:firstLineChars="200"/>
      <w:jc w:val="left"/>
    </w:pPr>
    <w:rPr>
      <w:bCs/>
      <w:sz w:val="24"/>
    </w:rPr>
  </w:style>
  <w:style w:type="paragraph" w:styleId="12">
    <w:name w:val="toc 6"/>
    <w:basedOn w:val="1"/>
    <w:next w:val="1"/>
    <w:unhideWhenUsed/>
    <w:qFormat/>
    <w:uiPriority w:val="39"/>
    <w:pPr>
      <w:ind w:left="2100" w:leftChars="1000"/>
    </w:pPr>
    <w:rPr>
      <w:szCs w:val="22"/>
    </w:rPr>
  </w:style>
  <w:style w:type="paragraph" w:styleId="13">
    <w:name w:val="Body Text Indent"/>
    <w:basedOn w:val="1"/>
    <w:next w:val="14"/>
    <w:qFormat/>
    <w:uiPriority w:val="0"/>
    <w:pPr>
      <w:spacing w:line="200" w:lineRule="exact"/>
      <w:ind w:firstLine="301"/>
    </w:pPr>
    <w:rPr>
      <w:rFonts w:ascii="宋体" w:hAnsi="Courier New"/>
      <w:spacing w:val="-4"/>
      <w:sz w:val="18"/>
      <w:szCs w:val="20"/>
    </w:rPr>
  </w:style>
  <w:style w:type="paragraph" w:styleId="14">
    <w:name w:val="Body Text First Indent 2"/>
    <w:basedOn w:val="13"/>
    <w:qFormat/>
    <w:uiPriority w:val="0"/>
    <w:pPr>
      <w:spacing w:after="120" w:line="360" w:lineRule="auto"/>
      <w:ind w:left="420" w:firstLine="420"/>
      <w:jc w:val="left"/>
    </w:pPr>
    <w:rPr>
      <w:rFonts w:eastAsia="华文中宋;宋体"/>
      <w:sz w:val="21"/>
      <w:szCs w:val="24"/>
    </w:rPr>
  </w:style>
  <w:style w:type="paragraph" w:styleId="15">
    <w:name w:val="Block Text"/>
    <w:basedOn w:val="1"/>
    <w:qFormat/>
    <w:uiPriority w:val="99"/>
    <w:pPr>
      <w:adjustRightInd w:val="0"/>
      <w:ind w:left="420" w:right="33"/>
      <w:textAlignment w:val="baseline"/>
    </w:pPr>
    <w:rPr>
      <w:sz w:val="24"/>
    </w:rPr>
  </w:style>
  <w:style w:type="paragraph" w:styleId="16">
    <w:name w:val="Plain Text"/>
    <w:basedOn w:val="1"/>
    <w:qFormat/>
    <w:uiPriority w:val="0"/>
    <w:pPr>
      <w:widowControl/>
      <w:spacing w:before="100" w:beforeAutospacing="1" w:after="100" w:afterAutospacing="1"/>
      <w:jc w:val="left"/>
    </w:pPr>
    <w:rPr>
      <w:rFonts w:ascii="宋体" w:hAnsi="宋体"/>
      <w:kern w:val="0"/>
      <w:sz w:val="24"/>
    </w:rPr>
  </w:style>
  <w:style w:type="paragraph" w:styleId="17">
    <w:name w:val="Body Text Indent 2"/>
    <w:basedOn w:val="1"/>
    <w:next w:val="1"/>
    <w:qFormat/>
    <w:uiPriority w:val="0"/>
    <w:pPr>
      <w:spacing w:after="120" w:line="480" w:lineRule="auto"/>
      <w:ind w:left="420" w:leftChars="200"/>
    </w:pPr>
  </w:style>
  <w:style w:type="paragraph" w:styleId="18">
    <w:name w:val="Balloon Text"/>
    <w:basedOn w:val="1"/>
    <w:link w:val="35"/>
    <w:qFormat/>
    <w:uiPriority w:val="0"/>
    <w:rPr>
      <w:rFonts w:ascii="宋体"/>
      <w:sz w:val="18"/>
      <w:szCs w:val="18"/>
    </w:rPr>
  </w:style>
  <w:style w:type="paragraph" w:styleId="19">
    <w:name w:val="footer"/>
    <w:basedOn w:val="1"/>
    <w:qFormat/>
    <w:uiPriority w:val="99"/>
    <w:pPr>
      <w:tabs>
        <w:tab w:val="center" w:pos="4153"/>
        <w:tab w:val="right" w:pos="8306"/>
      </w:tabs>
      <w:snapToGrid w:val="0"/>
      <w:jc w:val="left"/>
    </w:pPr>
    <w:rPr>
      <w:sz w:val="18"/>
      <w:szCs w:val="18"/>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494"/>
      </w:tabs>
    </w:pPr>
    <w:rPr>
      <w:rFonts w:ascii="宋体" w:hAnsi="宋体"/>
      <w:sz w:val="32"/>
    </w:rPr>
  </w:style>
  <w:style w:type="paragraph" w:styleId="22">
    <w:name w:val="Body Text Indent 3"/>
    <w:basedOn w:val="1"/>
    <w:qFormat/>
    <w:uiPriority w:val="0"/>
    <w:pPr>
      <w:spacing w:line="500" w:lineRule="atLeast"/>
      <w:ind w:firstLine="720" w:firstLineChars="300"/>
    </w:pPr>
    <w:rPr>
      <w:sz w:val="24"/>
    </w:rPr>
  </w:style>
  <w:style w:type="paragraph" w:styleId="23">
    <w:name w:val="Normal (Web)"/>
    <w:basedOn w:val="1"/>
    <w:qFormat/>
    <w:uiPriority w:val="0"/>
    <w:pPr>
      <w:spacing w:before="100" w:beforeAutospacing="1" w:after="100" w:afterAutospacing="1"/>
    </w:pPr>
    <w:rPr>
      <w:rFonts w:ascii="Arial Unicode MS" w:hAnsi="Arial Unicode MS" w:eastAsia="Times New Roman"/>
      <w:color w:val="000000"/>
      <w:sz w:val="24"/>
    </w:rPr>
  </w:style>
  <w:style w:type="paragraph" w:styleId="24">
    <w:name w:val="annotation subject"/>
    <w:basedOn w:val="9"/>
    <w:next w:val="9"/>
    <w:link w:val="34"/>
    <w:qFormat/>
    <w:uiPriority w:val="0"/>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basedOn w:val="27"/>
    <w:qFormat/>
    <w:uiPriority w:val="99"/>
    <w:rPr>
      <w:color w:val="0000FF"/>
      <w:u w:val="none"/>
    </w:rPr>
  </w:style>
  <w:style w:type="character" w:styleId="29">
    <w:name w:val="annotation reference"/>
    <w:basedOn w:val="27"/>
    <w:qFormat/>
    <w:uiPriority w:val="0"/>
    <w:rPr>
      <w:sz w:val="21"/>
      <w:szCs w:val="21"/>
    </w:rPr>
  </w:style>
  <w:style w:type="paragraph" w:customStyle="1" w:styleId="30">
    <w:name w:val="表格文字"/>
    <w:basedOn w:val="1"/>
    <w:next w:val="10"/>
    <w:qFormat/>
    <w:uiPriority w:val="0"/>
    <w:pPr>
      <w:adjustRightInd w:val="0"/>
      <w:spacing w:line="420" w:lineRule="atLeast"/>
      <w:jc w:val="left"/>
      <w:textAlignment w:val="baseline"/>
    </w:pPr>
    <w:rPr>
      <w:rFonts w:ascii="Times New Roman" w:hAnsi="Times New Roman"/>
      <w:kern w:val="0"/>
    </w:rPr>
  </w:style>
  <w:style w:type="paragraph" w:customStyle="1" w:styleId="31">
    <w:name w:val="[Normal]"/>
    <w:qFormat/>
    <w:uiPriority w:val="0"/>
    <w:rPr>
      <w:rFonts w:ascii="宋体" w:hAnsi="宋体" w:eastAsia="宋体" w:cs="Times New Roman"/>
      <w:sz w:val="24"/>
      <w:szCs w:val="22"/>
      <w:lang w:val="zh-CN" w:eastAsia="zh-CN" w:bidi="ar-SA"/>
    </w:rPr>
  </w:style>
  <w:style w:type="paragraph" w:customStyle="1" w:styleId="32">
    <w:name w:val="章正文"/>
    <w:basedOn w:val="1"/>
    <w:qFormat/>
    <w:uiPriority w:val="0"/>
    <w:pPr>
      <w:spacing w:before="156" w:beforeLines="50" w:after="120" w:line="300" w:lineRule="auto"/>
      <w:ind w:firstLine="480"/>
    </w:pPr>
    <w:rPr>
      <w:rFonts w:ascii="Helvetica" w:hAnsi="Helvetica"/>
      <w:kern w:val="0"/>
      <w:sz w:val="24"/>
    </w:rPr>
  </w:style>
  <w:style w:type="character" w:customStyle="1" w:styleId="33">
    <w:name w:val="批注文字 Char"/>
    <w:basedOn w:val="27"/>
    <w:link w:val="9"/>
    <w:qFormat/>
    <w:uiPriority w:val="0"/>
    <w:rPr>
      <w:kern w:val="2"/>
      <w:sz w:val="21"/>
      <w:szCs w:val="24"/>
    </w:rPr>
  </w:style>
  <w:style w:type="character" w:customStyle="1" w:styleId="34">
    <w:name w:val="批注主题 Char"/>
    <w:basedOn w:val="33"/>
    <w:link w:val="24"/>
    <w:qFormat/>
    <w:uiPriority w:val="0"/>
    <w:rPr>
      <w:b/>
      <w:bCs/>
      <w:kern w:val="2"/>
      <w:sz w:val="21"/>
      <w:szCs w:val="24"/>
    </w:rPr>
  </w:style>
  <w:style w:type="character" w:customStyle="1" w:styleId="35">
    <w:name w:val="批注框文本 Char"/>
    <w:basedOn w:val="27"/>
    <w:link w:val="18"/>
    <w:qFormat/>
    <w:uiPriority w:val="0"/>
    <w:rPr>
      <w:rFonts w:ascii="宋体"/>
      <w:kern w:val="2"/>
      <w:sz w:val="18"/>
      <w:szCs w:val="18"/>
    </w:rPr>
  </w:style>
  <w:style w:type="character" w:customStyle="1" w:styleId="36">
    <w:name w:val="文档结构图 Char"/>
    <w:link w:val="8"/>
    <w:qFormat/>
    <w:uiPriority w:val="0"/>
    <w:rPr>
      <w:rFonts w:ascii="宋体"/>
      <w:kern w:val="2"/>
      <w:sz w:val="18"/>
      <w:szCs w:val="18"/>
    </w:rPr>
  </w:style>
  <w:style w:type="character" w:customStyle="1" w:styleId="37">
    <w:name w:val="文档结构图 字符"/>
    <w:basedOn w:val="27"/>
    <w:qFormat/>
    <w:uiPriority w:val="0"/>
    <w:rPr>
      <w:rFonts w:ascii="Apple Color Emoji" w:hAnsi="Apple Color Emoji"/>
      <w:kern w:val="2"/>
      <w:sz w:val="26"/>
      <w:szCs w:val="26"/>
    </w:rPr>
  </w:style>
  <w:style w:type="paragraph" w:customStyle="1" w:styleId="38">
    <w:name w:val="Table Paragraph"/>
    <w:basedOn w:val="1"/>
    <w:qFormat/>
    <w:uiPriority w:val="1"/>
    <w:pPr>
      <w:jc w:val="left"/>
    </w:pPr>
    <w:rPr>
      <w:rFonts w:ascii="等线" w:hAnsi="等线" w:eastAsia="等线"/>
      <w:kern w:val="0"/>
      <w:sz w:val="22"/>
      <w:szCs w:val="22"/>
      <w:lang w:eastAsia="en-US"/>
    </w:rPr>
  </w:style>
  <w:style w:type="paragraph" w:customStyle="1" w:styleId="39">
    <w:name w:val="默认段落字体 Para Char Char Char Char Char Char Char Char Char1 Char Char Char Char"/>
    <w:basedOn w:val="1"/>
    <w:qFormat/>
    <w:uiPriority w:val="0"/>
    <w:rPr>
      <w:rFonts w:ascii="Tahoma" w:hAnsi="Tahoma"/>
      <w:sz w:val="24"/>
      <w:szCs w:val="20"/>
    </w:rPr>
  </w:style>
  <w:style w:type="character" w:customStyle="1" w:styleId="40">
    <w:name w:val="font51"/>
    <w:basedOn w:val="27"/>
    <w:qFormat/>
    <w:uiPriority w:val="0"/>
    <w:rPr>
      <w:rFonts w:hint="eastAsia" w:ascii="宋体" w:hAnsi="宋体" w:eastAsia="宋体" w:cs="宋体"/>
      <w:color w:val="000000"/>
      <w:sz w:val="24"/>
      <w:szCs w:val="24"/>
      <w:u w:val="none"/>
    </w:rPr>
  </w:style>
  <w:style w:type="character" w:customStyle="1" w:styleId="41">
    <w:name w:val="font11"/>
    <w:basedOn w:val="27"/>
    <w:qFormat/>
    <w:uiPriority w:val="0"/>
    <w:rPr>
      <w:rFonts w:ascii="Calibri" w:hAnsi="Calibri" w:cs="Calibri"/>
      <w:color w:val="000000"/>
      <w:sz w:val="24"/>
      <w:szCs w:val="24"/>
      <w:u w:val="none"/>
    </w:rPr>
  </w:style>
  <w:style w:type="character" w:customStyle="1" w:styleId="42">
    <w:name w:val="font01"/>
    <w:basedOn w:val="27"/>
    <w:qFormat/>
    <w:uiPriority w:val="0"/>
    <w:rPr>
      <w:rFonts w:hint="default" w:ascii="Calibri" w:hAnsi="Calibri" w:cs="Calibri"/>
      <w:color w:val="000000"/>
      <w:sz w:val="24"/>
      <w:szCs w:val="24"/>
      <w:u w:val="none"/>
    </w:rPr>
  </w:style>
  <w:style w:type="character" w:customStyle="1" w:styleId="43">
    <w:name w:val="font41"/>
    <w:basedOn w:val="27"/>
    <w:qFormat/>
    <w:uiPriority w:val="0"/>
    <w:rPr>
      <w:rFonts w:hint="eastAsia" w:ascii="宋体" w:hAnsi="宋体" w:eastAsia="宋体" w:cs="宋体"/>
      <w:color w:val="000000"/>
      <w:sz w:val="24"/>
      <w:szCs w:val="24"/>
      <w:u w:val="none"/>
    </w:rPr>
  </w:style>
  <w:style w:type="character" w:customStyle="1" w:styleId="44">
    <w:name w:val="font21"/>
    <w:basedOn w:val="27"/>
    <w:qFormat/>
    <w:uiPriority w:val="0"/>
    <w:rPr>
      <w:rFonts w:hint="eastAsia" w:ascii="宋体" w:hAnsi="宋体" w:eastAsia="宋体" w:cs="宋体"/>
      <w:color w:val="000000"/>
      <w:sz w:val="24"/>
      <w:szCs w:val="24"/>
      <w:u w:val="none"/>
    </w:rPr>
  </w:style>
  <w:style w:type="paragraph" w:customStyle="1" w:styleId="45">
    <w:name w:val="列表编号 3 New"/>
    <w:basedOn w:val="1"/>
    <w:qFormat/>
    <w:uiPriority w:val="0"/>
    <w:pPr>
      <w:widowControl/>
      <w:numPr>
        <w:ilvl w:val="0"/>
        <w:numId w:val="4"/>
      </w:numPr>
      <w:tabs>
        <w:tab w:val="left" w:pos="482"/>
      </w:tabs>
      <w:spacing w:after="156" w:afterLines="50"/>
      <w:jc w:val="left"/>
    </w:pPr>
    <w:rPr>
      <w:kern w:val="0"/>
      <w:sz w:val="24"/>
      <w:szCs w:val="20"/>
    </w:rPr>
  </w:style>
  <w:style w:type="paragraph" w:customStyle="1" w:styleId="46">
    <w:name w:val="_Style 1"/>
    <w:qFormat/>
    <w:uiPriority w:val="0"/>
    <w:rPr>
      <w:rFonts w:ascii="Times New Roman" w:hAnsi="Times New Roman" w:eastAsia="宋体" w:cs="Times New Roman"/>
      <w:kern w:val="2"/>
      <w:sz w:val="28"/>
      <w:szCs w:val="22"/>
      <w:lang w:val="en-US" w:eastAsia="zh-CN" w:bidi="ar-SA"/>
    </w:rPr>
  </w:style>
  <w:style w:type="paragraph" w:customStyle="1" w:styleId="47">
    <w:name w:val="Heading #2|1"/>
    <w:basedOn w:val="1"/>
    <w:qFormat/>
    <w:uiPriority w:val="0"/>
    <w:pPr>
      <w:widowControl w:val="0"/>
      <w:shd w:val="clear" w:color="auto" w:fill="auto"/>
      <w:spacing w:after="720" w:line="648" w:lineRule="exact"/>
      <w:ind w:firstLine="310"/>
      <w:jc w:val="center"/>
      <w:outlineLvl w:val="1"/>
    </w:pPr>
    <w:rPr>
      <w:rFonts w:ascii="宋体" w:hAnsi="宋体" w:eastAsia="宋体" w:cs="宋体"/>
      <w:sz w:val="42"/>
      <w:szCs w:val="42"/>
      <w:u w:val="none"/>
      <w:shd w:val="clear" w:color="auto" w:fill="auto"/>
      <w:lang w:val="zh-TW" w:eastAsia="zh-TW" w:bidi="zh-TW"/>
    </w:rPr>
  </w:style>
  <w:style w:type="paragraph" w:customStyle="1" w:styleId="48">
    <w:name w:val="Body text|1"/>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table" w:customStyle="1" w:styleId="49">
    <w:name w:val="网格型1"/>
    <w:basedOn w:val="25"/>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0">
    <w:name w:val="List Paragraph"/>
    <w:basedOn w:val="1"/>
    <w:qFormat/>
    <w:uiPriority w:val="34"/>
    <w:pPr>
      <w:ind w:firstLine="420" w:firstLineChars="200"/>
    </w:pPr>
  </w:style>
  <w:style w:type="character" w:customStyle="1" w:styleId="51">
    <w:name w:val="标题 2 Char"/>
    <w:link w:val="3"/>
    <w:qFormat/>
    <w:uiPriority w:val="0"/>
    <w:rPr>
      <w:rFonts w:ascii="Arial" w:hAnsi="Arial" w:eastAsia="黑体"/>
      <w:b/>
      <w:bCs/>
      <w:sz w:val="32"/>
      <w:szCs w:val="32"/>
    </w:rPr>
  </w:style>
  <w:style w:type="character" w:customStyle="1" w:styleId="52">
    <w:name w:val="标题 3 Char"/>
    <w:link w:val="4"/>
    <w:qFormat/>
    <w:uiPriority w:val="9"/>
    <w:rPr>
      <w:b/>
      <w:bCs/>
      <w:sz w:val="28"/>
      <w:szCs w:val="32"/>
    </w:rPr>
  </w:style>
  <w:style w:type="character" w:customStyle="1" w:styleId="53">
    <w:name w:val="标题 4 Char"/>
    <w:link w:val="5"/>
    <w:qFormat/>
    <w:uiPriority w:val="9"/>
    <w:rPr>
      <w:rFonts w:asciiTheme="majorHAnsi" w:hAnsiTheme="majorHAnsi" w:cstheme="majorBidi"/>
      <w:b/>
      <w:bCs/>
      <w:szCs w:val="28"/>
    </w:rPr>
  </w:style>
  <w:style w:type="character" w:customStyle="1" w:styleId="5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55">
    <w:name w:val="表格内容"/>
    <w:basedOn w:val="1"/>
    <w:qFormat/>
    <w:uiPriority w:val="0"/>
    <w:pPr>
      <w:widowControl/>
      <w:spacing w:after="200" w:line="300" w:lineRule="exact"/>
      <w:jc w:val="left"/>
    </w:pPr>
    <w:rPr>
      <w:rFonts w:ascii="仿宋_GB2312" w:hAnsi="宋体" w:eastAsia="仿宋_GB2312"/>
      <w:sz w:val="24"/>
    </w:rPr>
  </w:style>
  <w:style w:type="character" w:customStyle="1" w:styleId="56">
    <w:name w:val="ptb181"/>
    <w:qFormat/>
    <w:uiPriority w:val="0"/>
    <w:rPr>
      <w:rFonts w:hint="default" w:ascii="Verdana" w:hAnsi="Verdana"/>
      <w:b/>
      <w:bCs/>
      <w:color w:val="000000"/>
      <w:sz w:val="27"/>
      <w:szCs w:val="27"/>
    </w:rPr>
  </w:style>
  <w:style w:type="paragraph" w:customStyle="1" w:styleId="57">
    <w:name w:val="Table Text"/>
    <w:basedOn w:val="1"/>
    <w:qFormat/>
    <w:uiPriority w:val="0"/>
    <w:pPr>
      <w:widowControl/>
      <w:spacing w:before="60" w:after="60" w:line="276" w:lineRule="auto"/>
      <w:jc w:val="left"/>
    </w:pPr>
    <w:rPr>
      <w:kern w:val="0"/>
      <w:sz w:val="24"/>
      <w:szCs w:val="22"/>
      <w:lang w:eastAsia="en-US" w:bidi="en-US"/>
    </w:rPr>
  </w:style>
  <w:style w:type="table" w:customStyle="1" w:styleId="5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8404</Words>
  <Characters>9138</Characters>
  <Lines>260</Lines>
  <Paragraphs>73</Paragraphs>
  <TotalTime>14</TotalTime>
  <ScaleCrop>false</ScaleCrop>
  <LinksUpToDate>false</LinksUpToDate>
  <CharactersWithSpaces>9257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2020-03-19T20:09:00Z</dcterms:created>
  <dc:creator>VIVI</dc:creator>
  <cp:lastModifiedBy>Administrator</cp:lastModifiedBy>
  <cp:lastPrinted>2020-05-14T21:32:00Z</cp:lastPrinted>
  <dcterms:modified xsi:type="dcterms:W3CDTF">2025-04-03T10:49:11Z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F0A67C2FC5AE4D52A98AF81D5EA9697F_13</vt:lpwstr>
  </property>
  <property fmtid="{D5CDD505-2E9C-101B-9397-08002B2CF9AE}" pid="4" name="KSOTemplateDocerSaveRecord">
    <vt:lpwstr>eyJoZGlkIjoiOTBlODU3NmIzZDk1YjlhNTUwNGIwMjA4YjcwNWFiMmMiLCJ1c2VySWQiOiIyNDg3NDg4MDMifQ==</vt:lpwstr>
  </property>
</Properties>
</file>