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2D97C">
      <w:pPr>
        <w:spacing w:before="652" w:beforeLines="200" w:after="326" w:afterLines="100" w:line="700" w:lineRule="exact"/>
        <w:jc w:val="center"/>
        <w:rPr>
          <w:rFonts w:ascii="宋体" w:hAnsi="宋体"/>
          <w:b/>
          <w:bCs/>
          <w:sz w:val="48"/>
          <w:szCs w:val="48"/>
        </w:rPr>
      </w:pPr>
      <w:r>
        <w:rPr>
          <w:rFonts w:hint="eastAsia" w:ascii="宋体" w:hAnsi="宋体"/>
          <w:b/>
          <w:bCs/>
          <w:sz w:val="48"/>
          <w:szCs w:val="48"/>
        </w:rPr>
        <w:t>湖州职业技术学院教学实训设备搬迁服务项目</w:t>
      </w:r>
    </w:p>
    <w:p w14:paraId="756EAF47">
      <w:pPr>
        <w:jc w:val="center"/>
        <w:rPr>
          <w:rFonts w:ascii="宋体" w:hAnsi="宋体"/>
          <w:sz w:val="30"/>
          <w:szCs w:val="30"/>
        </w:rPr>
      </w:pPr>
      <w:r>
        <w:rPr>
          <w:rFonts w:hint="eastAsia" w:ascii="宋体" w:hAnsi="宋体"/>
          <w:sz w:val="30"/>
          <w:szCs w:val="30"/>
        </w:rPr>
        <w:t>（财政审批编号：[2025]6887号）</w:t>
      </w:r>
    </w:p>
    <w:p w14:paraId="7D972838"/>
    <w:p w14:paraId="3BEBD4D7"/>
    <w:p w14:paraId="6DD50015"/>
    <w:p w14:paraId="2C319C15"/>
    <w:p w14:paraId="4A785A77"/>
    <w:p w14:paraId="5A9FEFB3">
      <w:pPr>
        <w:jc w:val="center"/>
        <w:rPr>
          <w:rFonts w:ascii="宋体" w:hAnsi="宋体"/>
          <w:b/>
          <w:bCs/>
          <w:sz w:val="52"/>
          <w:szCs w:val="52"/>
        </w:rPr>
      </w:pPr>
      <w:r>
        <w:rPr>
          <w:rFonts w:hint="eastAsia" w:ascii="宋体" w:hAnsi="宋体"/>
          <w:b/>
          <w:bCs/>
          <w:sz w:val="52"/>
          <w:szCs w:val="52"/>
        </w:rPr>
        <w:t>采 购 文 件</w:t>
      </w:r>
    </w:p>
    <w:p w14:paraId="1F78D838"/>
    <w:p w14:paraId="52046C35">
      <w:pPr>
        <w:jc w:val="center"/>
        <w:rPr>
          <w:rFonts w:ascii="宋体" w:hAnsi="宋体"/>
          <w:sz w:val="36"/>
          <w:szCs w:val="36"/>
        </w:rPr>
      </w:pPr>
      <w:r>
        <w:rPr>
          <w:rFonts w:hint="eastAsia" w:ascii="宋体" w:hAnsi="宋体"/>
          <w:sz w:val="36"/>
          <w:szCs w:val="36"/>
        </w:rPr>
        <w:t>（全流程电子）</w:t>
      </w:r>
    </w:p>
    <w:p w14:paraId="0ED34DB6">
      <w:pPr>
        <w:jc w:val="center"/>
        <w:rPr>
          <w:rFonts w:ascii="宋体" w:hAnsi="宋体"/>
          <w:sz w:val="36"/>
          <w:szCs w:val="36"/>
        </w:rPr>
      </w:pPr>
    </w:p>
    <w:p w14:paraId="3A7B3A4A">
      <w:pPr>
        <w:jc w:val="center"/>
        <w:rPr>
          <w:rFonts w:ascii="宋体" w:hAnsi="宋体"/>
          <w:sz w:val="36"/>
          <w:szCs w:val="36"/>
        </w:rPr>
      </w:pPr>
    </w:p>
    <w:p w14:paraId="7919076B">
      <w:pPr>
        <w:jc w:val="center"/>
        <w:rPr>
          <w:rFonts w:ascii="宋体" w:hAnsi="宋体"/>
          <w:sz w:val="36"/>
          <w:szCs w:val="36"/>
        </w:rPr>
      </w:pPr>
    </w:p>
    <w:p w14:paraId="0E99C72D">
      <w:pPr>
        <w:jc w:val="center"/>
        <w:rPr>
          <w:rFonts w:ascii="宋体" w:hAnsi="宋体"/>
          <w:sz w:val="36"/>
          <w:szCs w:val="36"/>
        </w:rPr>
      </w:pPr>
    </w:p>
    <w:p w14:paraId="5B1ADA72">
      <w:pPr>
        <w:jc w:val="center"/>
        <w:rPr>
          <w:rFonts w:ascii="宋体" w:hAnsi="宋体"/>
          <w:sz w:val="36"/>
          <w:szCs w:val="36"/>
        </w:rPr>
      </w:pPr>
    </w:p>
    <w:p w14:paraId="78D11081">
      <w:pPr>
        <w:jc w:val="center"/>
        <w:rPr>
          <w:rFonts w:ascii="宋体" w:hAnsi="宋体"/>
          <w:sz w:val="36"/>
          <w:szCs w:val="36"/>
        </w:rPr>
      </w:pPr>
    </w:p>
    <w:p w14:paraId="61CA76F8">
      <w:pPr>
        <w:rPr>
          <w:rFonts w:ascii="宋体" w:hAnsi="宋体"/>
          <w:sz w:val="36"/>
          <w:szCs w:val="36"/>
        </w:rPr>
      </w:pPr>
    </w:p>
    <w:p w14:paraId="3D14B8D5">
      <w:pPr>
        <w:spacing w:line="600" w:lineRule="exact"/>
        <w:rPr>
          <w:rFonts w:ascii="宋体" w:hAnsi="宋体"/>
          <w:color w:val="000000" w:themeColor="text1"/>
          <w:sz w:val="30"/>
          <w:szCs w:val="30"/>
          <w14:textFill>
            <w14:solidFill>
              <w14:schemeClr w14:val="tx1"/>
            </w14:solidFill>
          </w14:textFill>
        </w:rPr>
      </w:pPr>
      <w:r>
        <w:rPr>
          <w:rFonts w:hint="eastAsia" w:ascii="宋体" w:hAnsi="宋体"/>
          <w:sz w:val="30"/>
          <w:szCs w:val="30"/>
        </w:rPr>
        <w:t>项目编号：</w:t>
      </w:r>
      <w:r>
        <w:rPr>
          <w:rFonts w:hint="eastAsia" w:ascii="宋体" w:hAnsi="宋体"/>
          <w:sz w:val="30"/>
          <w:szCs w:val="30"/>
          <w:u w:val="single"/>
        </w:rPr>
        <w:t>浙华采字【2025】hzf-6020号</w:t>
      </w:r>
      <w:r>
        <w:rPr>
          <w:rFonts w:ascii="宋体" w:hAnsi="宋体"/>
          <w:color w:val="000000" w:themeColor="text1"/>
          <w:sz w:val="30"/>
          <w:szCs w:val="30"/>
          <w:u w:val="single"/>
          <w14:textFill>
            <w14:solidFill>
              <w14:schemeClr w14:val="tx1"/>
            </w14:solidFill>
          </w14:textFill>
        </w:rPr>
        <w:t xml:space="preserve"> </w:t>
      </w:r>
    </w:p>
    <w:p w14:paraId="6D76CFD9">
      <w:pPr>
        <w:spacing w:line="600" w:lineRule="exac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14:textFill>
            <w14:solidFill>
              <w14:schemeClr w14:val="tx1"/>
            </w14:solidFill>
          </w14:textFill>
        </w:rPr>
        <w:t>湖州职业技术学院教学实训设备搬迁服务项目</w:t>
      </w:r>
    </w:p>
    <w:p w14:paraId="77780601">
      <w:pPr>
        <w:spacing w:line="600" w:lineRule="exact"/>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采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购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人：</w:t>
      </w:r>
      <w:r>
        <w:rPr>
          <w:rFonts w:hint="eastAsia" w:ascii="宋体" w:hAnsi="宋体"/>
          <w:color w:val="000000" w:themeColor="text1"/>
          <w:sz w:val="30"/>
          <w:szCs w:val="30"/>
          <w:u w:val="single"/>
          <w14:textFill>
            <w14:solidFill>
              <w14:schemeClr w14:val="tx1"/>
            </w14:solidFill>
          </w14:textFill>
        </w:rPr>
        <w:t xml:space="preserve"> 湖州职业技术学院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（盖章）        </w:t>
      </w:r>
    </w:p>
    <w:p w14:paraId="5BD14B86">
      <w:pPr>
        <w:spacing w:line="600" w:lineRule="exact"/>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采购代理机构：</w:t>
      </w:r>
      <w:r>
        <w:rPr>
          <w:rFonts w:hint="eastAsia" w:ascii="宋体" w:hAnsi="宋体"/>
          <w:color w:val="000000" w:themeColor="text1"/>
          <w:sz w:val="30"/>
          <w:szCs w:val="30"/>
          <w:u w:val="single"/>
          <w14:textFill>
            <w14:solidFill>
              <w14:schemeClr w14:val="tx1"/>
            </w14:solidFill>
          </w14:textFill>
        </w:rPr>
        <w:t xml:space="preserve"> 浙江华夏工程管理有限公司 （盖章）      </w:t>
      </w:r>
    </w:p>
    <w:p w14:paraId="5DE4014A">
      <w:pPr>
        <w:rPr>
          <w:rFonts w:ascii="宋体" w:hAnsi="宋体"/>
          <w:color w:val="000000" w:themeColor="text1"/>
          <w:sz w:val="30"/>
          <w:szCs w:val="30"/>
          <w:u w:val="single"/>
          <w14:textFill>
            <w14:solidFill>
              <w14:schemeClr w14:val="tx1"/>
            </w14:solidFill>
          </w14:textFill>
        </w:rPr>
        <w:sectPr>
          <w:headerReference r:id="rId5" w:type="default"/>
          <w:footerReference r:id="rId6" w:type="default"/>
          <w:pgSz w:w="11906" w:h="16838"/>
          <w:pgMar w:top="1440" w:right="1418" w:bottom="1440" w:left="1418" w:header="1020" w:footer="992" w:gutter="0"/>
          <w:cols w:space="425" w:num="1"/>
          <w:docGrid w:type="lines" w:linePitch="326" w:charSpace="0"/>
        </w:sectPr>
      </w:pPr>
    </w:p>
    <w:sdt>
      <w:sdtPr>
        <w:rPr>
          <w:rFonts w:eastAsia="宋体" w:asciiTheme="minorHAnsi" w:hAnsiTheme="minorHAnsi" w:cstheme="minorBidi"/>
          <w:color w:val="000000" w:themeColor="text1"/>
          <w:kern w:val="2"/>
          <w:sz w:val="24"/>
          <w:szCs w:val="22"/>
          <w:lang w:val="zh-CN"/>
          <w14:textFill>
            <w14:solidFill>
              <w14:schemeClr w14:val="tx1"/>
            </w14:solidFill>
          </w14:textFill>
        </w:rPr>
        <w:id w:val="-964190397"/>
        <w:docPartObj>
          <w:docPartGallery w:val="Table of Contents"/>
          <w:docPartUnique/>
        </w:docPartObj>
      </w:sdtPr>
      <w:sdtEndPr>
        <w:rPr>
          <w:rFonts w:eastAsia="宋体" w:asciiTheme="minorHAnsi" w:hAnsiTheme="minorHAnsi" w:cstheme="minorBidi"/>
          <w:b/>
          <w:bCs/>
          <w:color w:val="000000" w:themeColor="text1"/>
          <w:kern w:val="2"/>
          <w:sz w:val="24"/>
          <w:szCs w:val="22"/>
          <w:lang w:val="zh-CN"/>
          <w14:textFill>
            <w14:solidFill>
              <w14:schemeClr w14:val="tx1"/>
            </w14:solidFill>
          </w14:textFill>
        </w:rPr>
      </w:sdtEndPr>
      <w:sdtContent>
        <w:p w14:paraId="404CA422">
          <w:pPr>
            <w:pStyle w:val="47"/>
            <w:jc w:val="center"/>
            <w:rPr>
              <w:rFonts w:ascii="宋体" w:hAnsi="宋体" w:eastAsia="宋体"/>
              <w:color w:val="000000" w:themeColor="text1"/>
              <w:sz w:val="44"/>
              <w:szCs w:val="44"/>
              <w14:textFill>
                <w14:solidFill>
                  <w14:schemeClr w14:val="tx1"/>
                </w14:solidFill>
              </w14:textFill>
            </w:rPr>
          </w:pPr>
          <w:r>
            <w:rPr>
              <w:rFonts w:ascii="宋体" w:hAnsi="宋体" w:eastAsia="宋体"/>
              <w:color w:val="000000" w:themeColor="text1"/>
              <w:sz w:val="44"/>
              <w:szCs w:val="44"/>
              <w:lang w:val="zh-CN"/>
              <w14:textFill>
                <w14:solidFill>
                  <w14:schemeClr w14:val="tx1"/>
                </w14:solidFill>
              </w14:textFill>
            </w:rPr>
            <w:t>目</w:t>
          </w:r>
          <w:r>
            <w:rPr>
              <w:rFonts w:hint="eastAsia" w:ascii="宋体" w:hAnsi="宋体" w:eastAsia="宋体"/>
              <w:color w:val="000000" w:themeColor="text1"/>
              <w:sz w:val="44"/>
              <w:szCs w:val="44"/>
              <w:lang w:val="zh-CN"/>
              <w14:textFill>
                <w14:solidFill>
                  <w14:schemeClr w14:val="tx1"/>
                </w14:solidFill>
              </w14:textFill>
            </w:rPr>
            <w:t xml:space="preserve"> </w:t>
          </w:r>
          <w:r>
            <w:rPr>
              <w:rFonts w:ascii="宋体" w:hAnsi="宋体" w:eastAsia="宋体"/>
              <w:color w:val="000000" w:themeColor="text1"/>
              <w:sz w:val="44"/>
              <w:szCs w:val="44"/>
              <w:lang w:val="zh-CN"/>
              <w14:textFill>
                <w14:solidFill>
                  <w14:schemeClr w14:val="tx1"/>
                </w14:solidFill>
              </w14:textFill>
            </w:rPr>
            <w:t xml:space="preserve"> 录</w:t>
          </w:r>
        </w:p>
        <w:p w14:paraId="6FDBA36D">
          <w:pPr>
            <w:pStyle w:val="20"/>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"_Toc90906519" </w:instrText>
          </w:r>
          <w:r>
            <w:fldChar w:fldCharType="separate"/>
          </w:r>
          <w:r>
            <w:rPr>
              <w:rStyle w:val="27"/>
              <w:color w:val="000000" w:themeColor="text1"/>
              <w14:textFill>
                <w14:solidFill>
                  <w14:schemeClr w14:val="tx1"/>
                </w14:solidFill>
              </w14:textFill>
            </w:rPr>
            <w:t>第一章 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58B8796">
          <w:pPr>
            <w:pStyle w:val="20"/>
            <w:tabs>
              <w:tab w:val="right" w:leader="dot" w:pos="9060"/>
            </w:tabs>
            <w:rPr>
              <w:color w:val="000000" w:themeColor="text1"/>
              <w14:textFill>
                <w14:solidFill>
                  <w14:schemeClr w14:val="tx1"/>
                </w14:solidFill>
              </w14:textFill>
            </w:rPr>
          </w:pPr>
          <w:r>
            <w:fldChar w:fldCharType="begin"/>
          </w:r>
          <w:r>
            <w:instrText xml:space="preserve"> HYPERLINK \l "_Toc90906520" </w:instrText>
          </w:r>
          <w:r>
            <w:fldChar w:fldCharType="separate"/>
          </w:r>
          <w:r>
            <w:rPr>
              <w:rStyle w:val="27"/>
              <w:color w:val="000000" w:themeColor="text1"/>
              <w14:textFill>
                <w14:solidFill>
                  <w14:schemeClr w14:val="tx1"/>
                </w14:solidFill>
              </w14:textFill>
            </w:rPr>
            <w:t>第二章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80DCD1F">
          <w:pPr>
            <w:pStyle w:val="20"/>
            <w:tabs>
              <w:tab w:val="right" w:leader="dot" w:pos="9060"/>
            </w:tabs>
            <w:rPr>
              <w:color w:val="000000" w:themeColor="text1"/>
              <w14:textFill>
                <w14:solidFill>
                  <w14:schemeClr w14:val="tx1"/>
                </w14:solidFill>
              </w14:textFill>
            </w:rPr>
          </w:pPr>
          <w:r>
            <w:fldChar w:fldCharType="begin"/>
          </w:r>
          <w:r>
            <w:instrText xml:space="preserve"> HYPERLINK \l "_Toc90906521" </w:instrText>
          </w:r>
          <w:r>
            <w:fldChar w:fldCharType="separate"/>
          </w:r>
          <w:r>
            <w:rPr>
              <w:rStyle w:val="27"/>
              <w:color w:val="000000" w:themeColor="text1"/>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B6E0F3C">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"_Toc90906522" </w:instrText>
          </w:r>
          <w:r>
            <w:fldChar w:fldCharType="separate"/>
          </w:r>
          <w:r>
            <w:rPr>
              <w:rStyle w:val="27"/>
              <w:color w:val="000000" w:themeColor="text1"/>
              <w14:textFill>
                <w14:solidFill>
                  <w14:schemeClr w14:val="tx1"/>
                </w14:solidFill>
              </w14:textFill>
            </w:rPr>
            <w:t>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42E488D">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"_Toc90906523" </w:instrText>
          </w:r>
          <w:r>
            <w:fldChar w:fldCharType="separate"/>
          </w:r>
          <w:r>
            <w:rPr>
              <w:rStyle w:val="27"/>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1B66AF">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"_Toc90906524" </w:instrText>
          </w:r>
          <w:r>
            <w:fldChar w:fldCharType="separate"/>
          </w:r>
          <w:r>
            <w:rPr>
              <w:rStyle w:val="27"/>
              <w:color w:val="000000" w:themeColor="text1"/>
              <w:w w:val="95"/>
              <w14:textFill>
                <w14:solidFill>
                  <w14:schemeClr w14:val="tx1"/>
                </w14:solidFill>
              </w14:textFill>
            </w:rPr>
            <w:t>二、</w:t>
          </w:r>
          <w:r>
            <w:rPr>
              <w:rStyle w:val="27"/>
              <w:color w:val="000000" w:themeColor="text1"/>
              <w14:textFill>
                <w14:solidFill>
                  <w14:schemeClr w14:val="tx1"/>
                </w14:solidFill>
              </w14:textFill>
            </w:rPr>
            <w:t>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14B3F2A">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"_Toc90906525" </w:instrText>
          </w:r>
          <w:r>
            <w:fldChar w:fldCharType="separate"/>
          </w:r>
          <w:r>
            <w:rPr>
              <w:rStyle w:val="27"/>
              <w:color w:val="000000" w:themeColor="text1"/>
              <w14:textFill>
                <w14:solidFill>
                  <w14:schemeClr w14:val="tx1"/>
                </w14:solidFill>
              </w14:textFill>
            </w:rPr>
            <w:t>三、投标文件的编制要求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81F7332">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"_Toc90906526" </w:instrText>
          </w:r>
          <w:r>
            <w:fldChar w:fldCharType="separate"/>
          </w:r>
          <w:r>
            <w:rPr>
              <w:rStyle w:val="27"/>
              <w:color w:val="000000" w:themeColor="text1"/>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5C5FBEE">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"_Toc90906527" </w:instrText>
          </w:r>
          <w:r>
            <w:fldChar w:fldCharType="separate"/>
          </w:r>
          <w:r>
            <w:rPr>
              <w:rStyle w:val="27"/>
              <w:color w:val="000000" w:themeColor="text1"/>
              <w14:textFill>
                <w14:solidFill>
                  <w14:schemeClr w14:val="tx1"/>
                </w14:solidFill>
              </w14:textFill>
            </w:rPr>
            <w:t>五、评标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4D27A2C">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"_Toc90906528" </w:instrText>
          </w:r>
          <w:r>
            <w:fldChar w:fldCharType="separate"/>
          </w:r>
          <w:r>
            <w:rPr>
              <w:rStyle w:val="27"/>
              <w:color w:val="000000" w:themeColor="text1"/>
              <w14:textFill>
                <w14:solidFill>
                  <w14:schemeClr w14:val="tx1"/>
                </w14:solidFill>
              </w14:textFill>
            </w:rPr>
            <w:t>六、定标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FA202DE">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"_Toc90906529" </w:instrText>
          </w:r>
          <w:r>
            <w:fldChar w:fldCharType="separate"/>
          </w:r>
          <w:r>
            <w:rPr>
              <w:rStyle w:val="27"/>
              <w:color w:val="000000" w:themeColor="text1"/>
              <w14:textFill>
                <w14:solidFill>
                  <w14:schemeClr w14:val="tx1"/>
                </w14:solidFill>
              </w14:textFill>
            </w:rPr>
            <w:t>七、合同授予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6D79A1A">
          <w:pPr>
            <w:pStyle w:val="22"/>
            <w:tabs>
              <w:tab w:val="right" w:leader="dot" w:pos="9060"/>
            </w:tabs>
            <w:ind w:left="480"/>
            <w:rPr>
              <w:color w:val="000000" w:themeColor="text1"/>
              <w14:textFill>
                <w14:solidFill>
                  <w14:schemeClr w14:val="tx1"/>
                </w14:solidFill>
              </w14:textFill>
            </w:rPr>
          </w:pPr>
          <w:r>
            <w:fldChar w:fldCharType="begin"/>
          </w:r>
          <w:r>
            <w:instrText xml:space="preserve"> HYPERLINK \l "_Toc90906530" </w:instrText>
          </w:r>
          <w:r>
            <w:fldChar w:fldCharType="separate"/>
          </w:r>
          <w:r>
            <w:rPr>
              <w:rStyle w:val="27"/>
              <w:color w:val="000000" w:themeColor="text1"/>
              <w14:textFill>
                <w14:solidFill>
                  <w14:schemeClr w14:val="tx1"/>
                </w14:solidFill>
              </w14:textFill>
            </w:rPr>
            <w:t>八、其他内容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6BF50AE">
          <w:pPr>
            <w:pStyle w:val="20"/>
            <w:tabs>
              <w:tab w:val="right" w:leader="dot" w:pos="9060"/>
            </w:tabs>
            <w:rPr>
              <w:color w:val="000000" w:themeColor="text1"/>
              <w14:textFill>
                <w14:solidFill>
                  <w14:schemeClr w14:val="tx1"/>
                </w14:solidFill>
              </w14:textFill>
            </w:rPr>
          </w:pPr>
          <w:r>
            <w:fldChar w:fldCharType="begin"/>
          </w:r>
          <w:r>
            <w:instrText xml:space="preserve"> HYPERLINK \l "_Toc90906531" </w:instrText>
          </w:r>
          <w:r>
            <w:fldChar w:fldCharType="separate"/>
          </w:r>
          <w:r>
            <w:rPr>
              <w:rStyle w:val="27"/>
              <w:color w:val="000000" w:themeColor="text1"/>
              <w14:textFill>
                <w14:solidFill>
                  <w14:schemeClr w14:val="tx1"/>
                </w14:solidFill>
              </w14:textFill>
            </w:rPr>
            <w:t>第四章 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BEE39D9">
          <w:pPr>
            <w:pStyle w:val="20"/>
            <w:tabs>
              <w:tab w:val="right" w:leader="dot" w:pos="9060"/>
            </w:tabs>
            <w:rPr>
              <w:color w:val="000000" w:themeColor="text1"/>
              <w14:textFill>
                <w14:solidFill>
                  <w14:schemeClr w14:val="tx1"/>
                </w14:solidFill>
              </w14:textFill>
            </w:rPr>
          </w:pPr>
          <w:r>
            <w:fldChar w:fldCharType="begin"/>
          </w:r>
          <w:r>
            <w:instrText xml:space="preserve"> HYPERLINK \l "_Toc90906532" </w:instrText>
          </w:r>
          <w:r>
            <w:fldChar w:fldCharType="separate"/>
          </w:r>
          <w:r>
            <w:rPr>
              <w:rStyle w:val="27"/>
              <w:color w:val="000000" w:themeColor="text1"/>
              <w14:textFill>
                <w14:solidFill>
                  <w14:schemeClr w14:val="tx1"/>
                </w14:solidFill>
              </w14:textFill>
            </w:rPr>
            <w:t>第五章 合同主要条款（仅供参考）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074C765">
          <w:pPr>
            <w:pStyle w:val="20"/>
            <w:tabs>
              <w:tab w:val="right" w:leader="dot" w:pos="9060"/>
            </w:tabs>
            <w:rPr>
              <w:color w:val="000000" w:themeColor="text1"/>
              <w14:textFill>
                <w14:solidFill>
                  <w14:schemeClr w14:val="tx1"/>
                </w14:solidFill>
              </w14:textFill>
            </w:rPr>
          </w:pPr>
          <w:r>
            <w:fldChar w:fldCharType="begin"/>
          </w:r>
          <w:r>
            <w:instrText xml:space="preserve"> HYPERLINK \l "_Toc90906533" </w:instrText>
          </w:r>
          <w:r>
            <w:fldChar w:fldCharType="separate"/>
          </w:r>
          <w:r>
            <w:rPr>
              <w:rStyle w:val="27"/>
              <w:color w:val="000000" w:themeColor="text1"/>
              <w14:textFill>
                <w14:solidFill>
                  <w14:schemeClr w14:val="tx1"/>
                </w14:solidFill>
              </w14:textFill>
            </w:rPr>
            <w:t>第六章 投标文件格式及附件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17CD8A5">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14:paraId="28F50D08">
      <w:pPr>
        <w:rPr>
          <w:color w:val="000000" w:themeColor="text1"/>
          <w14:textFill>
            <w14:solidFill>
              <w14:schemeClr w14:val="tx1"/>
            </w14:solidFill>
          </w14:textFill>
        </w:rPr>
      </w:pPr>
    </w:p>
    <w:p w14:paraId="2508F720">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050CCAA">
      <w:pPr>
        <w:pStyle w:val="4"/>
        <w:rPr>
          <w:color w:val="000000" w:themeColor="text1"/>
          <w14:textFill>
            <w14:solidFill>
              <w14:schemeClr w14:val="tx1"/>
            </w14:solidFill>
          </w14:textFill>
        </w:rPr>
      </w:pPr>
      <w:bookmarkStart w:id="0" w:name="_Toc90906519"/>
      <w:r>
        <w:rPr>
          <w:rFonts w:hint="eastAsia"/>
          <w:color w:val="000000" w:themeColor="text1"/>
          <w14:textFill>
            <w14:solidFill>
              <w14:schemeClr w14:val="tx1"/>
            </w14:solidFill>
          </w14:textFill>
        </w:rPr>
        <w:t>第一章 公开招标采购公告</w:t>
      </w:r>
      <w:bookmarkEnd w:id="0"/>
    </w:p>
    <w:p w14:paraId="0E9F693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根据《中华人民共和国政府采购法》、《政府采购货物和服务采购投标管理办法》等规定，经湖州市财政局政府采购监管处批准（[2025]6887号)，</w:t>
      </w:r>
      <w:r>
        <w:rPr>
          <w:rFonts w:hint="eastAsia" w:ascii="宋体" w:hAnsi="宋体"/>
          <w:color w:val="000000" w:themeColor="text1"/>
          <w:u w:val="single"/>
          <w14:textFill>
            <w14:solidFill>
              <w14:schemeClr w14:val="tx1"/>
            </w14:solidFill>
          </w14:textFill>
        </w:rPr>
        <w:t xml:space="preserve"> 浙江华夏工程管理有限公司 </w:t>
      </w:r>
      <w:r>
        <w:rPr>
          <w:rFonts w:hint="eastAsia" w:ascii="宋体" w:hAnsi="宋体"/>
          <w:color w:val="000000" w:themeColor="text1"/>
          <w14:textFill>
            <w14:solidFill>
              <w14:schemeClr w14:val="tx1"/>
            </w14:solidFill>
          </w14:textFill>
        </w:rPr>
        <w:t>受</w:t>
      </w:r>
      <w:r>
        <w:rPr>
          <w:rFonts w:hint="eastAsia" w:ascii="宋体" w:hAnsi="宋体"/>
          <w:color w:val="000000" w:themeColor="text1"/>
          <w:u w:val="single"/>
          <w14:textFill>
            <w14:solidFill>
              <w14:schemeClr w14:val="tx1"/>
            </w14:solidFill>
          </w14:textFill>
        </w:rPr>
        <w:t xml:space="preserve"> 湖州职业技术学院 </w:t>
      </w:r>
      <w:r>
        <w:rPr>
          <w:rFonts w:hint="eastAsia" w:ascii="宋体" w:hAnsi="宋体"/>
          <w:color w:val="000000" w:themeColor="text1"/>
          <w14:textFill>
            <w14:solidFill>
              <w14:schemeClr w14:val="tx1"/>
            </w14:solidFill>
          </w14:textFill>
        </w:rPr>
        <w:t>委托，现就</w:t>
      </w:r>
      <w:r>
        <w:rPr>
          <w:rFonts w:hint="eastAsia" w:ascii="宋体" w:hAnsi="宋体"/>
          <w:color w:val="000000" w:themeColor="text1"/>
          <w:u w:val="single"/>
          <w14:textFill>
            <w14:solidFill>
              <w14:schemeClr w14:val="tx1"/>
            </w14:solidFill>
          </w14:textFill>
        </w:rPr>
        <w:t xml:space="preserve"> 湖州职业技术学院教学实训设备搬迁服务项目 </w:t>
      </w:r>
      <w:r>
        <w:rPr>
          <w:rFonts w:hint="eastAsia" w:ascii="宋体" w:hAnsi="宋体"/>
          <w:color w:val="000000" w:themeColor="text1"/>
          <w14:textFill>
            <w14:solidFill>
              <w14:schemeClr w14:val="tx1"/>
            </w14:solidFill>
          </w14:textFill>
        </w:rPr>
        <w:t>进行公开招标。欢迎国内符合资格要求的供应商前来参加投标。</w:t>
      </w:r>
    </w:p>
    <w:p w14:paraId="46E9299A">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一、采购项目编号：</w:t>
      </w:r>
      <w:r>
        <w:rPr>
          <w:rFonts w:hint="eastAsia" w:ascii="宋体" w:hAnsi="宋体"/>
          <w:color w:val="000000" w:themeColor="text1"/>
          <w14:textFill>
            <w14:solidFill>
              <w14:schemeClr w14:val="tx1"/>
            </w14:solidFill>
          </w14:textFill>
        </w:rPr>
        <w:t>浙华采字【2025】hzf-6020号</w:t>
      </w:r>
    </w:p>
    <w:p w14:paraId="414C2073">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二、采购组织类型：</w:t>
      </w:r>
      <w:r>
        <w:rPr>
          <w:rFonts w:hint="eastAsia" w:ascii="宋体" w:hAnsi="宋体"/>
          <w:color w:val="000000" w:themeColor="text1"/>
          <w14:textFill>
            <w14:solidFill>
              <w14:schemeClr w14:val="tx1"/>
            </w14:solidFill>
          </w14:textFill>
        </w:rPr>
        <w:t>分散采购-委托中介</w:t>
      </w:r>
    </w:p>
    <w:p w14:paraId="21B85814">
      <w:pPr>
        <w:ind w:firstLine="482" w:firstLineChars="20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三、采购方式：</w:t>
      </w:r>
      <w:r>
        <w:rPr>
          <w:rFonts w:hint="eastAsia" w:ascii="宋体" w:hAnsi="宋体"/>
          <w:color w:val="000000" w:themeColor="text1"/>
          <w14:textFill>
            <w14:solidFill>
              <w14:schemeClr w14:val="tx1"/>
            </w14:solidFill>
          </w14:textFill>
        </w:rPr>
        <w:t>公开招标</w:t>
      </w:r>
    </w:p>
    <w:p w14:paraId="002ED0C7">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w:t>
      </w:r>
      <w:r>
        <w:rPr>
          <w:rFonts w:hint="eastAsia" w:ascii="宋体" w:hAnsi="宋体" w:cs="宋体"/>
          <w:b/>
          <w:bCs/>
          <w:color w:val="000000" w:themeColor="text1"/>
          <w14:textFill>
            <w14:solidFill>
              <w14:schemeClr w14:val="tx1"/>
            </w14:solidFill>
          </w14:textFill>
        </w:rPr>
        <w:t>采购项目概况（内容、预算金额、服务要求等）：</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850"/>
        <w:gridCol w:w="1701"/>
        <w:gridCol w:w="2268"/>
        <w:gridCol w:w="985"/>
      </w:tblGrid>
      <w:tr w14:paraId="1118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296FF7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410" w:type="dxa"/>
            <w:vAlign w:val="center"/>
          </w:tcPr>
          <w:p w14:paraId="6D163FAD">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850" w:type="dxa"/>
            <w:vAlign w:val="center"/>
          </w:tcPr>
          <w:p w14:paraId="4308E747">
            <w:pPr>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数量</w:t>
            </w:r>
          </w:p>
        </w:tc>
        <w:tc>
          <w:tcPr>
            <w:tcW w:w="1701" w:type="dxa"/>
            <w:vAlign w:val="center"/>
          </w:tcPr>
          <w:p w14:paraId="01FB8AF8">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技术要求</w:t>
            </w:r>
          </w:p>
        </w:tc>
        <w:tc>
          <w:tcPr>
            <w:tcW w:w="2268" w:type="dxa"/>
            <w:vAlign w:val="center"/>
          </w:tcPr>
          <w:p w14:paraId="0DE10A90">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w:t>
            </w:r>
          </w:p>
        </w:tc>
        <w:tc>
          <w:tcPr>
            <w:tcW w:w="985" w:type="dxa"/>
            <w:vAlign w:val="center"/>
          </w:tcPr>
          <w:p w14:paraId="3147DF9D">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服务期</w:t>
            </w:r>
          </w:p>
        </w:tc>
      </w:tr>
      <w:tr w14:paraId="149F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23E90D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410" w:type="dxa"/>
            <w:vAlign w:val="center"/>
          </w:tcPr>
          <w:p w14:paraId="7A790C3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湖州职业技术学院教学实训设备搬迁服务</w:t>
            </w:r>
          </w:p>
        </w:tc>
        <w:tc>
          <w:tcPr>
            <w:tcW w:w="850" w:type="dxa"/>
            <w:vAlign w:val="center"/>
          </w:tcPr>
          <w:p w14:paraId="19390EF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1项</w:t>
            </w:r>
          </w:p>
        </w:tc>
        <w:tc>
          <w:tcPr>
            <w:tcW w:w="1701" w:type="dxa"/>
            <w:vAlign w:val="center"/>
          </w:tcPr>
          <w:p w14:paraId="37770BA3">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详见采购文件</w:t>
            </w:r>
          </w:p>
        </w:tc>
        <w:tc>
          <w:tcPr>
            <w:tcW w:w="2268" w:type="dxa"/>
            <w:vAlign w:val="center"/>
          </w:tcPr>
          <w:p w14:paraId="10E0422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950万元</w:t>
            </w:r>
          </w:p>
        </w:tc>
        <w:tc>
          <w:tcPr>
            <w:tcW w:w="985" w:type="dxa"/>
            <w:vAlign w:val="center"/>
          </w:tcPr>
          <w:p w14:paraId="1D6CE05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60天</w:t>
            </w:r>
          </w:p>
        </w:tc>
      </w:tr>
    </w:tbl>
    <w:p w14:paraId="4C0806E9">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五、投标供应商资格要求：</w:t>
      </w:r>
    </w:p>
    <w:p w14:paraId="0A75C70F">
      <w:pPr>
        <w:ind w:firstLine="48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9963982">
      <w:pPr>
        <w:ind w:firstLine="48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6BEA18E9">
      <w:pPr>
        <w:ind w:firstLine="48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3、本项目不接受联合体投标。</w:t>
      </w:r>
    </w:p>
    <w:p w14:paraId="6E74D281">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六、报名及获取采购文件时间：</w:t>
      </w:r>
    </w:p>
    <w:p w14:paraId="1F110EC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1、报名及获取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文件时间：</w:t>
      </w:r>
      <w:r>
        <w:rPr>
          <w:rFonts w:hint="eastAsia" w:ascii="宋体" w:hAnsi="宋体"/>
          <w:color w:val="000000" w:themeColor="text1"/>
          <w:spacing w:val="-9"/>
          <w14:textFill>
            <w14:solidFill>
              <w14:schemeClr w14:val="tx1"/>
            </w14:solidFill>
          </w14:textFill>
        </w:rPr>
        <w:t>招标公告发出至2025年  月  日</w:t>
      </w:r>
      <w:r>
        <w:rPr>
          <w:rFonts w:ascii="宋体" w:hAnsi="宋体"/>
          <w:color w:val="000000" w:themeColor="text1"/>
          <w:spacing w:val="-9"/>
          <w14:textFill>
            <w14:solidFill>
              <w14:schemeClr w14:val="tx1"/>
            </w14:solidFill>
          </w14:textFill>
        </w:rPr>
        <w:t>(潜在供应商报名</w:t>
      </w:r>
      <w:r>
        <w:rPr>
          <w:rFonts w:ascii="宋体" w:hAnsi="宋体"/>
          <w:color w:val="000000" w:themeColor="text1"/>
          <w14:textFill>
            <w14:solidFill>
              <w14:schemeClr w14:val="tx1"/>
            </w14:solidFill>
          </w14:textFill>
        </w:rPr>
        <w:t>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文件前应当在政采云电子交易平台上注册账号并登录)。</w:t>
      </w:r>
    </w:p>
    <w:p w14:paraId="3B54F63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2、本次</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文件实行网上获取，不接受供应商现场报名，供应商须登录浙江政府采购网（http://zfcg.czt.zj.gov.cn/）进入政采云系统“项目采购”模块“获取采购文件”菜单，进行网上获取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文件（“政采云”注册账号、密码登录系统后获取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27685D3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3、免费注册网址：浙江政府采购网（供应商注册页面）：https://middle.zcygov.cn/settle-front/#/registry“政采云”，咨询电话：</w:t>
      </w:r>
      <w:r>
        <w:rPr>
          <w:rFonts w:hint="eastAsia" w:ascii="宋体" w:hAnsi="宋体"/>
          <w:color w:val="000000" w:themeColor="text1"/>
          <w14:textFill>
            <w14:solidFill>
              <w14:schemeClr w14:val="tx1"/>
            </w14:solidFill>
          </w14:textFill>
        </w:rPr>
        <w:t>95763</w:t>
      </w:r>
      <w:r>
        <w:rPr>
          <w:rFonts w:ascii="宋体" w:hAnsi="宋体"/>
          <w:color w:val="000000" w:themeColor="text1"/>
          <w14:textFill>
            <w14:solidFill>
              <w14:schemeClr w14:val="tx1"/>
            </w14:solidFill>
          </w14:textFill>
        </w:rPr>
        <w:t>。已经注册成功的供应商无需重复注册。</w:t>
      </w:r>
    </w:p>
    <w:p w14:paraId="3515DC94">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七、投标文件的递交及相关事宜：</w:t>
      </w:r>
    </w:p>
    <w:p w14:paraId="0381F0A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1、投标文件递交的截止时间（投标截止时间，下同）：</w:t>
      </w:r>
      <w:r>
        <w:rPr>
          <w:rFonts w:hint="eastAsia" w:ascii="宋体" w:hAnsi="宋体"/>
          <w:color w:val="000000" w:themeColor="text1"/>
          <w:spacing w:val="-9"/>
          <w14:textFill>
            <w14:solidFill>
              <w14:schemeClr w14:val="tx1"/>
            </w14:solidFill>
          </w14:textFill>
        </w:rPr>
        <w:t>2025年  月  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午09：</w:t>
      </w:r>
      <w:r>
        <w:rPr>
          <w:rFonts w:hint="eastAsia" w:ascii="宋体" w:hAnsi="宋体"/>
          <w:color w:val="000000" w:themeColor="text1"/>
          <w14:textFill>
            <w14:solidFill>
              <w14:schemeClr w14:val="tx1"/>
            </w14:solidFill>
          </w14:textFill>
        </w:rPr>
        <w:t>00</w:t>
      </w:r>
      <w:r>
        <w:rPr>
          <w:rFonts w:ascii="宋体" w:hAnsi="宋体"/>
          <w:color w:val="000000" w:themeColor="text1"/>
          <w14:textFill>
            <w14:solidFill>
              <w14:schemeClr w14:val="tx1"/>
            </w14:solidFill>
          </w14:textFill>
        </w:rPr>
        <w:t>时（北京时间）。</w:t>
      </w:r>
    </w:p>
    <w:p w14:paraId="7EF9E89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2、投标文件的递交方式：</w:t>
      </w:r>
    </w:p>
    <w:p w14:paraId="20C4A69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.1电子投标文件：按政采云平台项目采购-电子交易操作指南及本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文件要求制作、加密并递交。供应商应于</w:t>
      </w:r>
      <w:r>
        <w:rPr>
          <w:rFonts w:hint="eastAsia" w:ascii="宋体" w:hAnsi="宋体"/>
          <w:color w:val="000000" w:themeColor="text1"/>
          <w:spacing w:val="-9"/>
          <w14:textFill>
            <w14:solidFill>
              <w14:schemeClr w14:val="tx1"/>
            </w14:solidFill>
          </w14:textFill>
        </w:rPr>
        <w:t>2025年  月  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午09：</w:t>
      </w:r>
      <w:r>
        <w:rPr>
          <w:rFonts w:hint="eastAsia" w:ascii="宋体" w:hAnsi="宋体"/>
          <w:color w:val="000000" w:themeColor="text1"/>
          <w14:textFill>
            <w14:solidFill>
              <w14:schemeClr w14:val="tx1"/>
            </w14:solidFill>
          </w14:textFill>
        </w:rPr>
        <w:t>00</w:t>
      </w:r>
      <w:r>
        <w:rPr>
          <w:rFonts w:ascii="宋体" w:hAnsi="宋体"/>
          <w:color w:val="000000" w:themeColor="text1"/>
          <w14:textFill>
            <w14:solidFill>
              <w14:schemeClr w14:val="tx1"/>
            </w14:solidFill>
          </w14:textFill>
        </w:rPr>
        <w:t>时前将生成的“电子加密投标文件”上传递交至“政府采购云平台”。开标截止时间以后上传递交的投标文件将被“政府采购云平台”拒收。</w:t>
      </w:r>
    </w:p>
    <w:p w14:paraId="589C08F3">
      <w:pPr>
        <w:ind w:firstLine="472" w:firstLineChars="200"/>
        <w:rPr>
          <w:rFonts w:ascii="宋体" w:hAnsi="宋体"/>
          <w:b/>
          <w:bCs/>
          <w:color w:val="000000" w:themeColor="text1"/>
          <w14:textFill>
            <w14:solidFill>
              <w14:schemeClr w14:val="tx1"/>
            </w14:solidFill>
          </w14:textFill>
        </w:rPr>
      </w:pPr>
      <w:r>
        <w:rPr>
          <w:rFonts w:hint="eastAsia" w:ascii="宋体" w:hAnsi="宋体"/>
          <w:color w:val="000000" w:themeColor="text1"/>
          <w:spacing w:val="-2"/>
          <w14:textFill>
            <w14:solidFill>
              <w14:schemeClr w14:val="tx1"/>
            </w14:solidFill>
          </w14:textFill>
        </w:rPr>
        <w:t>2</w:t>
      </w:r>
      <w:r>
        <w:rPr>
          <w:rFonts w:ascii="宋体" w:hAnsi="宋体"/>
          <w:color w:val="000000" w:themeColor="text1"/>
          <w:spacing w:val="-2"/>
          <w14:textFill>
            <w14:solidFill>
              <w14:schemeClr w14:val="tx1"/>
            </w14:solidFill>
          </w14:textFill>
        </w:rPr>
        <w:t>.2数据电子备份投标文件</w:t>
      </w:r>
      <w:r>
        <w:rPr>
          <w:rFonts w:hint="eastAsia" w:ascii="宋体" w:hAnsi="宋体"/>
          <w:color w:val="000000" w:themeColor="text1"/>
          <w14:textFill>
            <w14:solidFill>
              <w14:schemeClr w14:val="tx1"/>
            </w14:solidFill>
          </w14:textFill>
        </w:rPr>
        <w:t>（U盘）</w:t>
      </w:r>
      <w:r>
        <w:rPr>
          <w:rFonts w:ascii="宋体" w:hAnsi="宋体"/>
          <w:color w:val="000000" w:themeColor="text1"/>
          <w:spacing w:val="-9"/>
          <w14:textFill>
            <w14:solidFill>
              <w14:schemeClr w14:val="tx1"/>
            </w14:solidFill>
          </w14:textFill>
        </w:rPr>
        <w:t>：在“政府采购云平台”完成“电子加密投标文件”的</w:t>
      </w:r>
      <w:r>
        <w:rPr>
          <w:rFonts w:ascii="宋体" w:hAnsi="宋体"/>
          <w:color w:val="000000" w:themeColor="text1"/>
          <w14:textFill>
            <w14:solidFill>
              <w14:schemeClr w14:val="tx1"/>
            </w14:solidFill>
          </w14:textFill>
        </w:rPr>
        <w:t>上传递交后，还可以在开标截止时间前递交以介质</w:t>
      </w:r>
      <w:r>
        <w:rPr>
          <w:rFonts w:hint="eastAsia" w:ascii="宋体" w:hAnsi="宋体"/>
          <w:color w:val="000000" w:themeColor="text1"/>
          <w14:textFill>
            <w14:solidFill>
              <w14:schemeClr w14:val="tx1"/>
            </w14:solidFill>
          </w14:textFill>
        </w:rPr>
        <w:t>（U盘）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w:t>
      </w:r>
      <w:r>
        <w:rPr>
          <w:rFonts w:hint="eastAsia" w:ascii="宋体" w:hAnsi="宋体"/>
          <w:color w:val="000000" w:themeColor="text1"/>
          <w:spacing w:val="-11"/>
          <w14:textFill>
            <w14:solidFill>
              <w14:schemeClr w14:val="tx1"/>
            </w14:solidFill>
          </w14:textFill>
        </w:rPr>
        <w:t>备份投标文件</w:t>
      </w:r>
      <w:r>
        <w:rPr>
          <w:rFonts w:ascii="宋体" w:hAnsi="宋体"/>
          <w:color w:val="000000" w:themeColor="text1"/>
          <w:spacing w:val="-11"/>
          <w14:textFill>
            <w14:solidFill>
              <w14:schemeClr w14:val="tx1"/>
            </w14:solidFill>
          </w14:textFill>
        </w:rPr>
        <w:t>”格式及内容须与政采云平台项目采购-电子交易操作指南中制作、加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15A9C08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CA锁解密时间为开标当日投标截止时间后，各供应商须提供符合要求的CA加密后的电子投标文件、有效的CA锁供开标现场解密，投标截止时间止未完成上传的电子投标文件或未按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3EE8EFB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4、供应商须在线获取CA数字证书（</w:t>
      </w:r>
      <w:r>
        <w:rPr>
          <w:rFonts w:ascii="宋体" w:hAnsi="宋体"/>
          <w:b/>
          <w:color w:val="000000" w:themeColor="text1"/>
          <w14:textFill>
            <w14:solidFill>
              <w14:schemeClr w14:val="tx1"/>
            </w14:solidFill>
          </w14:textFill>
        </w:rPr>
        <w:t>完成CA数字证书办理预计一周左右，建议各供应商自行把握时间</w:t>
      </w:r>
      <w:r>
        <w:rPr>
          <w:rFonts w:ascii="宋体" w:hAnsi="宋体"/>
          <w:color w:val="000000" w:themeColor="text1"/>
          <w14:textFill>
            <w14:solidFill>
              <w14:schemeClr w14:val="tx1"/>
            </w14:solidFill>
          </w14:textFill>
        </w:rPr>
        <w:t>，办理流程详见https://zfcg.czt.zj.gov.cn//bidClientTemplate/2019-05-27/12945.html），并登陆“浙江政府采购网”（http://zfcg.czt.zj.gov.cn/），进入“下载专区”下载“电子交易客户端”，制作投标文件。</w:t>
      </w:r>
    </w:p>
    <w:p w14:paraId="5644E3A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5、供应商须将制作、加密后的电子版投标文件于投标截止时间前上传到政采云系统中，超过投标截止时间上传的，均按无效标处理。</w:t>
      </w:r>
    </w:p>
    <w:p w14:paraId="2A42515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供应商通过政采云平台电子投标工具制作投标文件，电子投标工具请供应商自行前往浙江省政府采购网下载并安装，（下载网址：https://zfcg.czt.zj.gov.cn//bidClientTemplate/2019-09-24/12975.html），供应商电子交易操作指南详见网址：https://help.zcygov.cn/web/site_2/2018/12-28/2573.html。</w:t>
      </w:r>
    </w:p>
    <w:p w14:paraId="41EF43F9">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八、投标地址：</w:t>
      </w:r>
    </w:p>
    <w:p w14:paraId="1C16303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1、本项目通过“政府采购云平台（www.zcygov.cn）”实行在线投标响应（电子投标）。</w:t>
      </w:r>
    </w:p>
    <w:p w14:paraId="3DD5480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788E34CB">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九、开标时间：</w:t>
      </w:r>
      <w:r>
        <w:rPr>
          <w:rFonts w:hint="eastAsia" w:ascii="宋体" w:hAnsi="宋体"/>
          <w:color w:val="000000" w:themeColor="text1"/>
          <w:spacing w:val="-9"/>
          <w14:textFill>
            <w14:solidFill>
              <w14:schemeClr w14:val="tx1"/>
            </w14:solidFill>
          </w14:textFill>
        </w:rPr>
        <w:t>2025年  月  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午9：</w:t>
      </w:r>
      <w:r>
        <w:rPr>
          <w:rFonts w:hint="eastAsia" w:ascii="宋体" w:hAnsi="宋体"/>
          <w:color w:val="000000" w:themeColor="text1"/>
          <w14:textFill>
            <w14:solidFill>
              <w14:schemeClr w14:val="tx1"/>
            </w14:solidFill>
          </w14:textFill>
        </w:rPr>
        <w:t>00</w:t>
      </w:r>
      <w:r>
        <w:rPr>
          <w:rFonts w:ascii="宋体" w:hAnsi="宋体"/>
          <w:color w:val="000000" w:themeColor="text1"/>
          <w14:textFill>
            <w14:solidFill>
              <w14:schemeClr w14:val="tx1"/>
            </w14:solidFill>
          </w14:textFill>
        </w:rPr>
        <w:t>时</w:t>
      </w:r>
      <w:r>
        <w:rPr>
          <w:rFonts w:hint="eastAsia" w:ascii="宋体" w:hAnsi="宋体"/>
          <w:color w:val="000000" w:themeColor="text1"/>
          <w14:textFill>
            <w14:solidFill>
              <w14:schemeClr w14:val="tx1"/>
            </w14:solidFill>
          </w14:textFill>
        </w:rPr>
        <w:t>。</w:t>
      </w:r>
    </w:p>
    <w:p w14:paraId="379A2CCB">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十、开标地址：</w:t>
      </w:r>
      <w:r>
        <w:rPr>
          <w:rFonts w:ascii="宋体" w:hAnsi="宋体"/>
          <w:color w:val="000000" w:themeColor="text1"/>
          <w14:textFill>
            <w14:solidFill>
              <w14:schemeClr w14:val="tx1"/>
            </w14:solidFill>
          </w14:textFill>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7C6A7D6F">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十一、公告期限：</w:t>
      </w:r>
      <w:r>
        <w:rPr>
          <w:rFonts w:ascii="宋体" w:hAnsi="宋体"/>
          <w:color w:val="000000" w:themeColor="text1"/>
          <w14:textFill>
            <w14:solidFill>
              <w14:schemeClr w14:val="tx1"/>
            </w14:solidFill>
          </w14:textFill>
        </w:rPr>
        <w:t>5个工作日</w:t>
      </w:r>
      <w:r>
        <w:rPr>
          <w:rFonts w:hint="eastAsia" w:ascii="宋体" w:hAnsi="宋体"/>
          <w:color w:val="000000" w:themeColor="text1"/>
          <w14:textFill>
            <w14:solidFill>
              <w14:schemeClr w14:val="tx1"/>
            </w14:solidFill>
          </w14:textFill>
        </w:rPr>
        <w:t>。</w:t>
      </w:r>
    </w:p>
    <w:p w14:paraId="7016E9C9">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十二、其他事项：</w:t>
      </w:r>
    </w:p>
    <w:p w14:paraId="5140C09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1、本项目为电子招投标项目，实行网上招投标，应按照本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文件及政采云平台的要求编制、加密并要求供应商通过政采云系统在线投标响应，投标截止时间前须完成电子投标文件的上传，同时供应商须随身携带制作在线投标</w:t>
      </w:r>
      <w:r>
        <w:rPr>
          <w:rFonts w:hint="eastAsia" w:ascii="宋体" w:hAnsi="宋体"/>
          <w:color w:val="000000" w:themeColor="text1"/>
          <w14:textFill>
            <w14:solidFill>
              <w14:schemeClr w14:val="tx1"/>
            </w14:solidFill>
          </w14:textFill>
        </w:rPr>
        <w:t>文件</w:t>
      </w:r>
      <w:r>
        <w:rPr>
          <w:rFonts w:ascii="宋体" w:hAnsi="宋体"/>
          <w:color w:val="000000" w:themeColor="text1"/>
          <w14:textFill>
            <w14:solidFill>
              <w14:schemeClr w14:val="tx1"/>
            </w14:solidFill>
          </w14:textFill>
        </w:rPr>
        <w:t>时所用的CA锁，供应商在使用系统进行投标的过程中遇到涉及平台使用的任何问题，可致电政采云平台技术支持热线咨询，联系方式：</w:t>
      </w:r>
      <w:r>
        <w:rPr>
          <w:rFonts w:hint="eastAsia" w:ascii="宋体" w:hAnsi="宋体"/>
          <w:color w:val="000000" w:themeColor="text1"/>
          <w14:textFill>
            <w14:solidFill>
              <w14:schemeClr w14:val="tx1"/>
            </w14:solidFill>
          </w14:textFill>
        </w:rPr>
        <w:t>95763</w:t>
      </w:r>
      <w:r>
        <w:rPr>
          <w:rFonts w:ascii="宋体" w:hAnsi="宋体"/>
          <w:color w:val="000000" w:themeColor="text1"/>
          <w14:textFill>
            <w14:solidFill>
              <w14:schemeClr w14:val="tx1"/>
            </w14:solidFill>
          </w14:textFill>
        </w:rPr>
        <w:t>。其中数据电子备份投标文件（U盘）在投标截止时间前于开标现场以密封、包装的形式提供。</w:t>
      </w:r>
    </w:p>
    <w:p w14:paraId="296870B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2、质疑投诉根据《中华人民共和国财政部令第94号-政府采购质疑和投诉办法》第二章规定。供应商认为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p w14:paraId="5EDF6AE4">
      <w:pPr>
        <w:ind w:firstLine="480" w:firstLineChars="20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3、潜在供应商已依法获取</w:t>
      </w:r>
      <w:r>
        <w:rPr>
          <w:rFonts w:ascii="宋体" w:hAnsi="宋体"/>
          <w:b/>
          <w:bCs/>
          <w:color w:val="000000" w:themeColor="text1"/>
          <w14:textFill>
            <w14:solidFill>
              <w14:schemeClr w14:val="tx1"/>
            </w14:solidFill>
          </w14:textFill>
        </w:rPr>
        <w:t>（</w:t>
      </w:r>
      <w:r>
        <w:rPr>
          <w:rFonts w:ascii="宋体" w:hAnsi="宋体"/>
          <w:b/>
          <w:bCs/>
          <w:color w:val="000000" w:themeColor="text1"/>
          <w:u w:val="single"/>
          <w14:textFill>
            <w14:solidFill>
              <w14:schemeClr w14:val="tx1"/>
            </w14:solidFill>
          </w14:textFill>
        </w:rPr>
        <w:t>依法获取指：供应商按本项目</w:t>
      </w:r>
      <w:r>
        <w:rPr>
          <w:rFonts w:hint="eastAsia" w:ascii="宋体" w:hAnsi="宋体"/>
          <w:b/>
          <w:bCs/>
          <w:color w:val="000000" w:themeColor="text1"/>
          <w:u w:val="single"/>
          <w14:textFill>
            <w14:solidFill>
              <w14:schemeClr w14:val="tx1"/>
            </w14:solidFill>
          </w14:textFill>
        </w:rPr>
        <w:t>采购</w:t>
      </w:r>
      <w:r>
        <w:rPr>
          <w:rFonts w:ascii="宋体" w:hAnsi="宋体"/>
          <w:b/>
          <w:bCs/>
          <w:color w:val="000000" w:themeColor="text1"/>
          <w:u w:val="single"/>
          <w14:textFill>
            <w14:solidFill>
              <w14:schemeClr w14:val="tx1"/>
            </w14:solidFill>
          </w14:textFill>
        </w:rPr>
        <w:t>公告要求在政采云系统上获取并报名成功</w:t>
      </w:r>
      <w:r>
        <w:rPr>
          <w:rFonts w:ascii="宋体" w:hAnsi="宋体"/>
          <w:b/>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其可质疑的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文件，可以对该文件提出质疑。未按照规定方式依法获取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文件的，不得对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文件提起质疑投诉。</w:t>
      </w:r>
    </w:p>
    <w:p w14:paraId="37736A1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p w14:paraId="300F576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5、参与政府采购项目的注册供应商，需登录浙江政府采购云平台（http://www.zcygov.cn）进行网上报名，尚未注册的供应商应当先在浙江政府采购云平台上申请注册，注册终审通过后再进行网上报名。</w:t>
      </w:r>
    </w:p>
    <w:p w14:paraId="011744F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6、本项目公告发布网站：</w:t>
      </w:r>
    </w:p>
    <w:p w14:paraId="05A38DF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.1浙江政府采购网：http://zfcg.czt.zj.gov.cn/</w:t>
      </w:r>
      <w:r>
        <w:rPr>
          <w:rFonts w:hint="eastAsia" w:ascii="宋体" w:hAnsi="宋体"/>
          <w:color w:val="000000" w:themeColor="text1"/>
          <w14:textFill>
            <w14:solidFill>
              <w14:schemeClr w14:val="tx1"/>
            </w14:solidFill>
          </w14:textFill>
        </w:rPr>
        <w:t>；</w:t>
      </w:r>
    </w:p>
    <w:p w14:paraId="4D9E6AE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6.2湖州市公共资源交易信息网：</w:t>
      </w:r>
      <w:r>
        <w:fldChar w:fldCharType="begin"/>
      </w:r>
      <w:r>
        <w:instrText xml:space="preserve"> HYPERLINK "http://ggzy.huzhou.gov.cn/HZfront/-" \h </w:instrText>
      </w:r>
      <w:r>
        <w:fldChar w:fldCharType="separate"/>
      </w:r>
      <w:r>
        <w:rPr>
          <w:rFonts w:ascii="宋体" w:hAnsi="宋体"/>
          <w:color w:val="000000" w:themeColor="text1"/>
          <w14:textFill>
            <w14:solidFill>
              <w14:schemeClr w14:val="tx1"/>
            </w14:solidFill>
          </w14:textFill>
        </w:rPr>
        <w:t>http://ggzy.huzhou.gov.cn/HZfront/-</w:t>
      </w:r>
      <w:r>
        <w:rPr>
          <w:rFonts w:ascii="宋体" w:hAnsi="宋体"/>
          <w:color w:val="000000" w:themeColor="text1"/>
          <w14:textFill>
            <w14:solidFill>
              <w14:schemeClr w14:val="tx1"/>
            </w14:solidFill>
          </w14:textFill>
        </w:rPr>
        <w:fldChar w:fldCharType="end"/>
      </w:r>
      <w:r>
        <w:rPr>
          <w:rFonts w:ascii="宋体" w:hAnsi="宋体"/>
          <w:color w:val="000000" w:themeColor="text1"/>
          <w:spacing w:val="-3"/>
          <w14:textFill>
            <w14:solidFill>
              <w14:schemeClr w14:val="tx1"/>
            </w14:solidFill>
          </w14:textFill>
        </w:rPr>
        <w:t>“政府采购”-</w:t>
      </w:r>
      <w:r>
        <w:rPr>
          <w:rFonts w:ascii="宋体" w:hAnsi="宋体"/>
          <w:color w:val="000000" w:themeColor="text1"/>
          <w14:textFill>
            <w14:solidFill>
              <w14:schemeClr w14:val="tx1"/>
            </w14:solidFill>
          </w14:textFill>
        </w:rPr>
        <w:t>“分散采购”模块</w:t>
      </w:r>
      <w:r>
        <w:rPr>
          <w:rFonts w:hint="eastAsia" w:ascii="宋体" w:hAnsi="宋体"/>
          <w:color w:val="000000" w:themeColor="text1"/>
          <w14:textFill>
            <w14:solidFill>
              <w14:schemeClr w14:val="tx1"/>
            </w14:solidFill>
          </w14:textFill>
        </w:rPr>
        <w:t>。</w:t>
      </w:r>
    </w:p>
    <w:p w14:paraId="6E92487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60D6C6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8、本项目是否专门面向中小企业采购：</w:t>
      </w:r>
      <w:r>
        <w:rPr>
          <w:rFonts w:hint="eastAsia" w:ascii="宋体" w:hAnsi="宋体"/>
          <w:color w:val="000000" w:themeColor="text1"/>
          <w14:textFill>
            <w14:solidFill>
              <w14:schemeClr w14:val="tx1"/>
            </w14:solidFill>
          </w14:textFill>
        </w:rPr>
        <w:t>是</w:t>
      </w:r>
      <w:r>
        <w:rPr>
          <w:rFonts w:ascii="宋体" w:hAnsi="宋体"/>
          <w:color w:val="000000" w:themeColor="text1"/>
          <w14:textFill>
            <w14:solidFill>
              <w14:schemeClr w14:val="tx1"/>
            </w14:solidFill>
          </w14:textFill>
        </w:rPr>
        <w:t>。</w:t>
      </w:r>
    </w:p>
    <w:p w14:paraId="69D209A8">
      <w:pPr>
        <w:ind w:firstLine="482" w:firstLineChars="200"/>
        <w:rPr>
          <w:rFonts w:ascii="宋体" w:hAnsi="宋体"/>
          <w:b/>
          <w:bCs/>
          <w:color w:val="000000" w:themeColor="text1"/>
          <w14:textFill>
            <w14:solidFill>
              <w14:schemeClr w14:val="tx1"/>
            </w14:solidFill>
          </w14:textFill>
        </w:rPr>
      </w:pPr>
      <w:r>
        <w:rPr>
          <w:b/>
          <w:color w:val="000000" w:themeColor="text1"/>
          <w14:textFill>
            <w14:solidFill>
              <w14:schemeClr w14:val="tx1"/>
            </w14:solidFill>
          </w14:textFill>
        </w:rPr>
        <w:t>十三</w:t>
      </w:r>
      <w:r>
        <w:rPr>
          <w:rFonts w:ascii="宋体" w:hAnsi="宋体"/>
          <w:b/>
          <w:bCs/>
          <w:color w:val="000000" w:themeColor="text1"/>
          <w14:textFill>
            <w14:solidFill>
              <w14:schemeClr w14:val="tx1"/>
            </w14:solidFill>
          </w14:textFill>
        </w:rPr>
        <w:t>、联系方式：</w:t>
      </w:r>
    </w:p>
    <w:p w14:paraId="4685CD64">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1、采购人：湖州职业技术学院</w:t>
      </w:r>
    </w:p>
    <w:p w14:paraId="2A69D2BA">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联系人：郑老师      联系电话：0572-2363627</w:t>
      </w:r>
    </w:p>
    <w:p w14:paraId="7DAFC19D">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地址：湖州市吴兴区学府路299号</w:t>
      </w:r>
    </w:p>
    <w:p w14:paraId="36461C51">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2、采购代理机构：浙江华夏工程管理有限公司</w:t>
      </w:r>
    </w:p>
    <w:p w14:paraId="3CDBD29F">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联系人：蔡伟洪       联系电话：0572-2567837</w:t>
      </w:r>
    </w:p>
    <w:p w14:paraId="7A57AB65">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质疑函接收人：丁女士    联系电话：0572-2567859   </w:t>
      </w:r>
    </w:p>
    <w:p w14:paraId="6476CBAF">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地 址：湖州市星洲国际10幢5楼</w:t>
      </w:r>
    </w:p>
    <w:p w14:paraId="6A9BA0BD">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3、政府采购行政监管及投诉受理部门：</w:t>
      </w:r>
    </w:p>
    <w:p w14:paraId="65A28ABD">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湖州市财政局政府采购监管处  联系人：程先生</w:t>
      </w:r>
    </w:p>
    <w:p w14:paraId="52FA4426">
      <w:pPr>
        <w:spacing w:line="480" w:lineRule="exact"/>
        <w:ind w:left="480" w:leftChars="200"/>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监督投诉电话：0572-2150216    </w:t>
      </w:r>
    </w:p>
    <w:p w14:paraId="24DDB94B">
      <w:pPr>
        <w:spacing w:line="480" w:lineRule="exact"/>
        <w:ind w:left="480" w:leftChars="200"/>
        <w:jc w:val="lef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地址：湖州市吴兴区龙王山路518号</w:t>
      </w:r>
      <w:r>
        <w:rPr>
          <w:rFonts w:ascii="宋体" w:hAnsi="宋体"/>
          <w:color w:val="000000" w:themeColor="text1"/>
          <w14:textFill>
            <w14:solidFill>
              <w14:schemeClr w14:val="tx1"/>
            </w14:solidFill>
          </w14:textFill>
        </w:rPr>
        <w:br w:type="page"/>
      </w:r>
    </w:p>
    <w:p w14:paraId="28BA0AE4">
      <w:pPr>
        <w:pStyle w:val="4"/>
        <w:rPr>
          <w:color w:val="000000" w:themeColor="text1"/>
          <w14:textFill>
            <w14:solidFill>
              <w14:schemeClr w14:val="tx1"/>
            </w14:solidFill>
          </w14:textFill>
        </w:rPr>
      </w:pPr>
      <w:bookmarkStart w:id="1" w:name="_Toc90906520"/>
      <w:r>
        <w:rPr>
          <w:rFonts w:hint="eastAsia"/>
          <w:color w:val="000000" w:themeColor="text1"/>
          <w14:textFill>
            <w14:solidFill>
              <w14:schemeClr w14:val="tx1"/>
            </w14:solidFill>
          </w14:textFill>
        </w:rPr>
        <w:t>第二章 采购需求</w:t>
      </w:r>
      <w:bookmarkEnd w:id="1"/>
    </w:p>
    <w:p w14:paraId="685356B9">
      <w:pPr>
        <w:pStyle w:val="51"/>
        <w:ind w:firstLine="482"/>
        <w:rPr>
          <w:rFonts w:hAnsi="宋体" w:cs="宋体"/>
          <w:b/>
          <w:bCs/>
        </w:rPr>
      </w:pPr>
      <w:r>
        <w:rPr>
          <w:rFonts w:hint="eastAsia" w:hAnsi="宋体" w:cs="宋体"/>
          <w:b/>
          <w:bCs/>
        </w:rPr>
        <w:t>一、招标项目简要说明</w:t>
      </w:r>
    </w:p>
    <w:p w14:paraId="445CEEE1">
      <w:pPr>
        <w:pStyle w:val="51"/>
        <w:rPr>
          <w:rFonts w:hAnsi="宋体" w:cs="宋体"/>
        </w:rPr>
      </w:pPr>
      <w:r>
        <w:rPr>
          <w:rFonts w:hint="eastAsia" w:hAnsi="宋体" w:cs="宋体"/>
        </w:rPr>
        <w:t>1、项目名称：湖州职业技术学院教学实训设备搬迁服务项目</w:t>
      </w:r>
    </w:p>
    <w:p w14:paraId="61F5866C">
      <w:pPr>
        <w:pStyle w:val="51"/>
        <w:rPr>
          <w:rFonts w:hAnsi="宋体" w:cs="宋体"/>
        </w:rPr>
      </w:pPr>
      <w:r>
        <w:rPr>
          <w:rFonts w:hint="eastAsia" w:hAnsi="宋体" w:cs="宋体"/>
        </w:rPr>
        <w:t>2、采购需求：（1）精密设备、实验设备（包括配套设备设施）、实验试剂、标准样品、玻璃器皿等实训室整体搬迁。（2）电脑机房、机柜、服务器、摄像头、智慧教室、多媒体音响系统等设备的布线、通讯、安装调试。具体物品清单详见附件设备清单。</w:t>
      </w:r>
    </w:p>
    <w:p w14:paraId="1AD25920">
      <w:pPr>
        <w:pStyle w:val="51"/>
        <w:ind w:firstLine="482"/>
        <w:rPr>
          <w:rFonts w:hAnsi="宋体" w:cs="宋体"/>
          <w:b/>
          <w:bCs/>
        </w:rPr>
      </w:pPr>
      <w:r>
        <w:rPr>
          <w:rFonts w:hint="eastAsia" w:hAnsi="宋体" w:cs="宋体"/>
          <w:b/>
          <w:bCs/>
        </w:rPr>
        <w:t>二、服务要求</w:t>
      </w:r>
    </w:p>
    <w:p w14:paraId="79F33942">
      <w:pPr>
        <w:pStyle w:val="51"/>
        <w:rPr>
          <w:rFonts w:hAnsi="宋体" w:cs="宋体"/>
        </w:rPr>
      </w:pPr>
      <w:r>
        <w:rPr>
          <w:rFonts w:hint="eastAsia" w:hAnsi="宋体" w:cs="宋体"/>
        </w:rPr>
        <w:t>（一）本项目为湖州职业技术学院教学实训设备的整体搬迁，包括对设备的拆装、运输、调试、性能验证以及实验试剂耗材、危险化学品等物资的盘点、搬运、防控等工作。</w:t>
      </w:r>
    </w:p>
    <w:p w14:paraId="7C8AE829">
      <w:pPr>
        <w:pStyle w:val="51"/>
        <w:rPr>
          <w:rFonts w:hAnsi="宋体" w:cs="宋体"/>
        </w:rPr>
      </w:pPr>
      <w:r>
        <w:rPr>
          <w:rFonts w:hint="eastAsia" w:hAnsi="宋体" w:cs="宋体"/>
        </w:rPr>
        <w:t>（二）本项目为“交钥匙工程”，供应商需按采购要求提供设备及其配套设施的搬迁前设备的状态确认、性能测试、拆卸、设备及耗材的清点装箱、运输、安装恢复、调试、搬迁后设备的状态确认、性能测试、购买保险等以及危险化学品等清点、打包、运输、防控等服务，同时做好采购方实训室内其他资产的拆装、运输等业务工作，提供所有搬迁用包装材料（包括易损设备的单独包装），确保整个搬迁过程所有资产的安全及搬迁工作完成后设备能恢复到原使用状态。若有辅件、附件和辅助系统，应包含在内一起搬迁。</w:t>
      </w:r>
    </w:p>
    <w:p w14:paraId="29F387F4">
      <w:pPr>
        <w:pStyle w:val="51"/>
        <w:rPr>
          <w:rFonts w:hAnsi="宋体" w:cs="宋体"/>
        </w:rPr>
      </w:pPr>
      <w:r>
        <w:rPr>
          <w:rFonts w:hint="eastAsia" w:hAnsi="宋体" w:cs="宋体"/>
        </w:rPr>
        <w:t>▲（三）实训室新址设施条件不满足设备安装条件的，由供应商一并负责完成设施改造或配套（包含但不限于水、电、气和排风等的二次连接改造费用），费用包含在本次采购范围内。本项目所需的一切费用均计入报价，采购方不再另行支付中标价以外的其他款项。</w:t>
      </w:r>
    </w:p>
    <w:p w14:paraId="195F66FF">
      <w:pPr>
        <w:pStyle w:val="51"/>
        <w:rPr>
          <w:rFonts w:hAnsi="宋体" w:cs="宋体"/>
        </w:rPr>
      </w:pPr>
      <w:r>
        <w:rPr>
          <w:rFonts w:hint="eastAsia" w:hAnsi="宋体" w:cs="宋体"/>
        </w:rPr>
        <w:t>（四）搬迁地址</w:t>
      </w:r>
    </w:p>
    <w:p w14:paraId="658B07C2">
      <w:pPr>
        <w:pStyle w:val="51"/>
        <w:rPr>
          <w:rFonts w:hAnsi="宋体" w:cs="宋体"/>
        </w:rPr>
      </w:pPr>
      <w:r>
        <w:rPr>
          <w:rFonts w:hint="eastAsia" w:hAnsi="宋体" w:cs="宋体"/>
        </w:rPr>
        <w:t>迁出地址：湖州职业技术学院目前使用校区（</w:t>
      </w:r>
      <w:r>
        <w:rPr>
          <w:rFonts w:hint="eastAsia" w:hAnsi="宋体"/>
          <w:bCs/>
          <w:color w:val="000000" w:themeColor="text1"/>
          <w14:textFill>
            <w14:solidFill>
              <w14:schemeClr w14:val="tx1"/>
            </w14:solidFill>
          </w14:textFill>
        </w:rPr>
        <w:t>湖州市吴兴区学府路299号</w:t>
      </w:r>
      <w:r>
        <w:rPr>
          <w:rFonts w:hint="eastAsia" w:hAnsi="宋体" w:cs="宋体"/>
        </w:rPr>
        <w:t>）</w:t>
      </w:r>
    </w:p>
    <w:p w14:paraId="0F5F20D2">
      <w:pPr>
        <w:pStyle w:val="51"/>
        <w:rPr>
          <w:rFonts w:hAnsi="宋体" w:cs="宋体"/>
        </w:rPr>
      </w:pPr>
      <w:r>
        <w:rPr>
          <w:rFonts w:hint="eastAsia" w:hAnsi="宋体" w:cs="宋体"/>
        </w:rPr>
        <w:t>迁入地址：湖州职业技术学院西塞山新校区</w:t>
      </w:r>
    </w:p>
    <w:p w14:paraId="52E5BB14">
      <w:pPr>
        <w:pStyle w:val="51"/>
        <w:rPr>
          <w:rFonts w:hAnsi="宋体" w:cs="宋体"/>
        </w:rPr>
      </w:pPr>
      <w:r>
        <w:rPr>
          <w:rFonts w:hint="eastAsia" w:hAnsi="宋体" w:cs="宋体"/>
        </w:rPr>
        <w:t>项目总体要求</w:t>
      </w:r>
    </w:p>
    <w:p w14:paraId="3C207FD9">
      <w:pPr>
        <w:pStyle w:val="51"/>
        <w:rPr>
          <w:rFonts w:hAnsi="宋体" w:cs="宋体"/>
          <w:color w:val="auto"/>
          <w:highlight w:val="none"/>
        </w:rPr>
      </w:pPr>
      <w:r>
        <w:rPr>
          <w:rFonts w:hint="eastAsia" w:hAnsi="宋体" w:cs="宋体"/>
        </w:rPr>
        <w:t>采购方承担着湖州职业技术学院教学的重要任务，为保证实训室尽快恢复运行，减少搬迁带来的业务影响，需要以最短的时间、最安全的方案、最快的速度恢复实训室的运行。供应商需按采购人要求完成 “搬迁服务清单”所有物品的拆卸、</w:t>
      </w:r>
      <w:r>
        <w:rPr>
          <w:rFonts w:hint="eastAsia" w:hAnsi="宋体" w:cs="宋体"/>
          <w:color w:val="auto"/>
          <w:highlight w:val="none"/>
        </w:rPr>
        <w:t>装箱、运输、安装恢复调试等工作，提供所有搬迁用包装材料（包括易损设备的单独包装），并确保整个搬迁过程所有资产的安全，供应商需按采购要求完成上述工作，确保搬迁后设备精度、准确度等级不变，确保整个搬迁过程所有资产的安全及搬迁工作完成后设备能恢复到原使用状态。</w:t>
      </w:r>
    </w:p>
    <w:p w14:paraId="570B5FFC">
      <w:pPr>
        <w:pStyle w:val="51"/>
        <w:rPr>
          <w:rFonts w:hAnsi="宋体" w:cs="宋体"/>
          <w:color w:val="auto"/>
          <w:highlight w:val="none"/>
        </w:rPr>
      </w:pPr>
      <w:r>
        <w:rPr>
          <w:rFonts w:hint="eastAsia" w:hAnsi="宋体" w:cs="宋体"/>
          <w:color w:val="auto"/>
          <w:highlight w:val="none"/>
        </w:rPr>
        <w:t>（1）确保学院各类实训室在搬迁过程中工作中断最小化，搬迁完成后，立刻恢复教学能力；</w:t>
      </w:r>
    </w:p>
    <w:p w14:paraId="1C1D785C">
      <w:pPr>
        <w:pStyle w:val="51"/>
        <w:rPr>
          <w:rFonts w:hAnsi="宋体" w:cs="宋体"/>
          <w:color w:val="auto"/>
          <w:highlight w:val="none"/>
        </w:rPr>
      </w:pPr>
      <w:r>
        <w:rPr>
          <w:rFonts w:hint="eastAsia" w:hAnsi="宋体" w:cs="宋体"/>
          <w:color w:val="auto"/>
          <w:highlight w:val="none"/>
        </w:rPr>
        <w:t>（2）确保搬迁过程中所有设备、各个组件的完整性，不得遗失、损毁，状态、性能前后一致；</w:t>
      </w:r>
    </w:p>
    <w:p w14:paraId="45EFCEEE">
      <w:pPr>
        <w:pStyle w:val="51"/>
        <w:rPr>
          <w:rFonts w:hAnsi="宋体" w:cs="宋体"/>
          <w:color w:val="auto"/>
          <w:highlight w:val="none"/>
        </w:rPr>
      </w:pPr>
      <w:r>
        <w:rPr>
          <w:rFonts w:hint="eastAsia" w:hAnsi="宋体" w:cs="宋体"/>
          <w:color w:val="auto"/>
          <w:highlight w:val="none"/>
        </w:rPr>
        <w:t>（3）整个搬迁项目必须遵守安全第一的原则，遵守工程建设安全生产有关管理规定、交通运输安全及其他相关安全管理制度，严格按安全操作规程进行施工，并随时接受行业安全检查人员依法实施的监督检查，采取必要的安全防护措施，消除事故隐患。</w:t>
      </w:r>
    </w:p>
    <w:p w14:paraId="33D40F6D">
      <w:pPr>
        <w:pStyle w:val="51"/>
        <w:rPr>
          <w:rFonts w:hAnsi="宋体" w:cs="宋体"/>
          <w:color w:val="auto"/>
          <w:highlight w:val="none"/>
        </w:rPr>
      </w:pPr>
      <w:r>
        <w:rPr>
          <w:rFonts w:hint="eastAsia" w:hAnsi="宋体" w:cs="宋体"/>
          <w:color w:val="auto"/>
          <w:highlight w:val="none"/>
        </w:rPr>
        <w:t>（4）各类设备配套设备设施、试剂、样品等，详细内容详见附件和采购人的要求为准。</w:t>
      </w:r>
    </w:p>
    <w:p w14:paraId="174002A0">
      <w:pPr>
        <w:pStyle w:val="51"/>
        <w:ind w:firstLine="482"/>
        <w:rPr>
          <w:rFonts w:hAnsi="宋体" w:cs="宋体"/>
          <w:b/>
          <w:bCs/>
          <w:color w:val="auto"/>
          <w:highlight w:val="none"/>
        </w:rPr>
      </w:pPr>
      <w:r>
        <w:rPr>
          <w:rFonts w:hint="eastAsia" w:hAnsi="宋体" w:cs="宋体"/>
          <w:b/>
          <w:bCs/>
          <w:color w:val="auto"/>
          <w:highlight w:val="none"/>
        </w:rPr>
        <w:t>三、技术要求</w:t>
      </w:r>
    </w:p>
    <w:p w14:paraId="51FFD1D9">
      <w:pPr>
        <w:pStyle w:val="51"/>
        <w:rPr>
          <w:rFonts w:hAnsi="宋体" w:cs="宋体"/>
          <w:color w:val="auto"/>
          <w:highlight w:val="none"/>
        </w:rPr>
      </w:pPr>
      <w:r>
        <w:rPr>
          <w:rFonts w:hint="eastAsia" w:hAnsi="宋体" w:cs="宋体"/>
          <w:color w:val="auto"/>
          <w:highlight w:val="none"/>
        </w:rPr>
        <w:t>（1）搬迁内容</w:t>
      </w:r>
    </w:p>
    <w:p w14:paraId="4F75F1A6">
      <w:pPr>
        <w:pStyle w:val="51"/>
        <w:rPr>
          <w:rFonts w:hAnsi="宋体" w:cs="宋体"/>
          <w:color w:val="auto"/>
          <w:highlight w:val="none"/>
        </w:rPr>
      </w:pPr>
      <w:r>
        <w:rPr>
          <w:rFonts w:hint="eastAsia" w:hAnsi="宋体" w:cs="宋体"/>
          <w:color w:val="auto"/>
          <w:highlight w:val="none"/>
        </w:rPr>
        <w:t>1.设备（含耗材）</w:t>
      </w:r>
    </w:p>
    <w:p w14:paraId="2596505B">
      <w:pPr>
        <w:pStyle w:val="51"/>
        <w:rPr>
          <w:rFonts w:hAnsi="宋体" w:cs="宋体"/>
          <w:color w:val="auto"/>
          <w:highlight w:val="none"/>
        </w:rPr>
      </w:pPr>
      <w:r>
        <w:rPr>
          <w:rFonts w:hint="eastAsia" w:hAnsi="宋体" w:cs="宋体"/>
          <w:color w:val="auto"/>
          <w:highlight w:val="none"/>
        </w:rPr>
        <w:t>搬迁服务应包括搬迁前设备的状态确认、性能测试、拆卸、设备及耗材的清点装箱、运输、安装恢复调试、搬迁后设备的状态确认、性能测试等，设备清单见附件，具体清单以现场踏勘为准。除附件设备清单外，设备的搬迁内容还包括清单中所列设备附属的电脑、打印机和辅助设备、设备配件耗材等，具体清单以现场踏勘为准。</w:t>
      </w:r>
    </w:p>
    <w:p w14:paraId="7C7ACD1B">
      <w:pPr>
        <w:pStyle w:val="51"/>
        <w:rPr>
          <w:rFonts w:hAnsi="宋体" w:cs="宋体"/>
          <w:color w:val="auto"/>
          <w:highlight w:val="none"/>
        </w:rPr>
      </w:pPr>
      <w:r>
        <w:rPr>
          <w:rFonts w:hint="eastAsia" w:hAnsi="宋体" w:cs="宋体"/>
          <w:color w:val="auto"/>
          <w:highlight w:val="none"/>
        </w:rPr>
        <w:t>▲2.试剂及危化品</w:t>
      </w:r>
    </w:p>
    <w:p w14:paraId="4EC90DE9">
      <w:pPr>
        <w:pStyle w:val="51"/>
        <w:rPr>
          <w:rFonts w:hAnsi="宋体" w:cs="宋体"/>
          <w:color w:val="auto"/>
          <w:highlight w:val="none"/>
        </w:rPr>
      </w:pPr>
      <w:r>
        <w:rPr>
          <w:rFonts w:hint="eastAsia" w:hAnsi="宋体" w:cs="宋体"/>
          <w:color w:val="auto"/>
          <w:highlight w:val="none"/>
        </w:rPr>
        <w:t>试剂及危化品转移及处理需相关资质，试剂搬迁过程中需具有相关运输资质公司进行处理。使用具有危化品道路运输资质物流服务公司的车辆完成运输。过期试剂的转运及处置，需具有相关处理资质的公司进行转运、处理，并完成相关报批工作。</w:t>
      </w:r>
    </w:p>
    <w:p w14:paraId="49B9DDB3">
      <w:pPr>
        <w:pStyle w:val="51"/>
        <w:numPr>
          <w:ilvl w:val="0"/>
          <w:numId w:val="1"/>
        </w:numPr>
        <w:rPr>
          <w:rFonts w:hAnsi="宋体" w:cs="宋体"/>
          <w:color w:val="auto"/>
          <w:highlight w:val="none"/>
        </w:rPr>
      </w:pPr>
      <w:r>
        <w:rPr>
          <w:rFonts w:hint="eastAsia" w:hAnsi="宋体" w:cs="宋体"/>
          <w:color w:val="auto"/>
          <w:highlight w:val="none"/>
        </w:rPr>
        <w:t>搬迁要求</w:t>
      </w:r>
    </w:p>
    <w:p w14:paraId="62C2CEAE">
      <w:pPr>
        <w:pStyle w:val="51"/>
        <w:rPr>
          <w:rFonts w:hAnsi="宋体" w:cs="宋体"/>
          <w:color w:val="auto"/>
          <w:highlight w:val="none"/>
        </w:rPr>
      </w:pPr>
      <w:r>
        <w:rPr>
          <w:rFonts w:hint="eastAsia" w:hAnsi="宋体" w:cs="宋体"/>
          <w:color w:val="auto"/>
          <w:highlight w:val="none"/>
        </w:rPr>
        <w:t>▲本项目不集中组织各供应商踏勘，供应商自行前往搬迁地点查看并测算路程。供应商需根据采购方新实训室情况（包括但不限于电压电流、气路、水路、通风管线、温湿度等），并对采购方新址和旧址进行踏勘，提供现场勘察报告、详细的书面搬迁规划方案，经采购方确认后方可实施。</w:t>
      </w:r>
    </w:p>
    <w:p w14:paraId="5302CF99">
      <w:pPr>
        <w:pStyle w:val="51"/>
        <w:rPr>
          <w:rFonts w:hAnsi="宋体" w:cs="宋体"/>
          <w:color w:val="auto"/>
          <w:highlight w:val="none"/>
        </w:rPr>
      </w:pPr>
      <w:r>
        <w:rPr>
          <w:rFonts w:hint="eastAsia" w:hAnsi="宋体" w:cs="宋体"/>
          <w:color w:val="auto"/>
          <w:highlight w:val="none"/>
        </w:rPr>
        <w:t>1.迁移前规划</w:t>
      </w:r>
    </w:p>
    <w:p w14:paraId="2B96E9AC">
      <w:pPr>
        <w:pStyle w:val="51"/>
        <w:rPr>
          <w:rFonts w:hAnsi="宋体" w:cs="宋体"/>
          <w:color w:val="auto"/>
          <w:highlight w:val="none"/>
        </w:rPr>
      </w:pPr>
      <w:r>
        <w:rPr>
          <w:rFonts w:hint="eastAsia" w:hAnsi="宋体" w:cs="宋体"/>
          <w:color w:val="auto"/>
          <w:highlight w:val="none"/>
        </w:rPr>
        <w:t>方案包括但不限于：</w:t>
      </w:r>
    </w:p>
    <w:p w14:paraId="5497F74A">
      <w:pPr>
        <w:pStyle w:val="51"/>
        <w:rPr>
          <w:rFonts w:hAnsi="宋体" w:cs="宋体"/>
          <w:color w:val="auto"/>
          <w:highlight w:val="none"/>
        </w:rPr>
      </w:pPr>
      <w:r>
        <w:rPr>
          <w:rFonts w:hint="eastAsia" w:hAnsi="宋体" w:cs="宋体"/>
          <w:color w:val="auto"/>
          <w:highlight w:val="none"/>
        </w:rPr>
        <w:t>1.1方案中明确搬迁各阶段时间节点、优化搬迁流程、压缩搬迁时间、加快搬迁进度。</w:t>
      </w:r>
    </w:p>
    <w:p w14:paraId="130EB47B">
      <w:pPr>
        <w:pStyle w:val="51"/>
        <w:rPr>
          <w:rFonts w:hAnsi="宋体" w:cs="宋体"/>
          <w:color w:val="auto"/>
          <w:highlight w:val="none"/>
        </w:rPr>
      </w:pPr>
      <w:r>
        <w:rPr>
          <w:rFonts w:hint="eastAsia" w:hAnsi="宋体" w:cs="宋体"/>
          <w:color w:val="auto"/>
          <w:highlight w:val="none"/>
        </w:rPr>
        <w:t>1.2 拟定项目负责人及技术负责人，提供参与搬迁工作的人员配置方案及相关专业资质证明。</w:t>
      </w:r>
    </w:p>
    <w:p w14:paraId="5DE0AD2F">
      <w:pPr>
        <w:pStyle w:val="51"/>
        <w:rPr>
          <w:rFonts w:hAnsi="宋体" w:cs="宋体"/>
          <w:color w:val="auto"/>
          <w:highlight w:val="none"/>
        </w:rPr>
      </w:pPr>
      <w:r>
        <w:rPr>
          <w:rFonts w:hint="eastAsia" w:hAnsi="宋体" w:cs="宋体"/>
          <w:color w:val="auto"/>
          <w:highlight w:val="none"/>
        </w:rPr>
        <w:t>1.3明确车辆配置、路线规划、设备迁移顺序及定位、设备搬迁安装调试要求（通电测试、安装调试、安装通网调试等）。</w:t>
      </w:r>
    </w:p>
    <w:p w14:paraId="19AA77C2">
      <w:pPr>
        <w:pStyle w:val="51"/>
        <w:rPr>
          <w:rFonts w:hAnsi="宋体" w:cs="宋体"/>
          <w:color w:val="auto"/>
          <w:highlight w:val="none"/>
        </w:rPr>
      </w:pPr>
      <w:r>
        <w:rPr>
          <w:rFonts w:hint="eastAsia" w:hAnsi="宋体" w:cs="宋体"/>
          <w:color w:val="auto"/>
          <w:highlight w:val="none"/>
        </w:rPr>
        <w:t>1.4由供应商提供小型精密设备及大型实训设备安装条件说明书，并根据安装说明进行相应整改直至符合要求，并提供整改报告。</w:t>
      </w:r>
    </w:p>
    <w:p w14:paraId="333C8414">
      <w:pPr>
        <w:pStyle w:val="51"/>
        <w:rPr>
          <w:rFonts w:hAnsi="宋体" w:cs="宋体"/>
          <w:color w:val="auto"/>
          <w:highlight w:val="none"/>
        </w:rPr>
      </w:pPr>
      <w:r>
        <w:rPr>
          <w:rFonts w:hint="eastAsia" w:hAnsi="宋体" w:cs="宋体"/>
          <w:color w:val="auto"/>
          <w:highlight w:val="none"/>
        </w:rPr>
        <w:t>1.5由供应商提供客户要求原厂搬迁的大型实训设备安装条件说明书，并根据安装说明进行相应整改直至符合要求，并提供整改报告。</w:t>
      </w:r>
    </w:p>
    <w:p w14:paraId="56C7029D">
      <w:pPr>
        <w:pStyle w:val="51"/>
        <w:rPr>
          <w:rFonts w:hAnsi="宋体" w:cs="宋体"/>
          <w:color w:val="auto"/>
          <w:highlight w:val="none"/>
        </w:rPr>
      </w:pPr>
      <w:r>
        <w:rPr>
          <w:rFonts w:hint="eastAsia" w:hAnsi="宋体" w:cs="宋体"/>
          <w:color w:val="auto"/>
          <w:highlight w:val="none"/>
        </w:rPr>
        <w:t>1.6设备清单对设备的搬迁要求进行按搬迁等级进行分类，对需要检定/校准、原厂工程师搬迁的设备有特别标注，供应商需分类实施搬迁调试验收等服务。</w:t>
      </w:r>
    </w:p>
    <w:p w14:paraId="03C30C93">
      <w:pPr>
        <w:pStyle w:val="51"/>
        <w:rPr>
          <w:rFonts w:hAnsi="宋体" w:cs="宋体"/>
          <w:color w:val="auto"/>
          <w:highlight w:val="none"/>
        </w:rPr>
      </w:pPr>
      <w:r>
        <w:rPr>
          <w:rFonts w:hint="eastAsia" w:hAnsi="宋体" w:cs="宋体"/>
          <w:color w:val="auto"/>
          <w:highlight w:val="none"/>
        </w:rPr>
        <w:t>1.7编制各类专业表格：场地确认、设备状态确认、包装规格、装箱清单等。</w:t>
      </w:r>
    </w:p>
    <w:p w14:paraId="787B7C52">
      <w:pPr>
        <w:pStyle w:val="51"/>
        <w:rPr>
          <w:rFonts w:hAnsi="宋体" w:cs="宋体"/>
          <w:color w:val="auto"/>
          <w:highlight w:val="none"/>
        </w:rPr>
      </w:pPr>
      <w:r>
        <w:rPr>
          <w:rFonts w:hint="eastAsia" w:hAnsi="宋体" w:cs="宋体"/>
          <w:color w:val="auto"/>
          <w:highlight w:val="none"/>
        </w:rPr>
        <w:t>1.8编制风险控制、安全责任、应急预案与人机保障措施。</w:t>
      </w:r>
    </w:p>
    <w:p w14:paraId="6970330A">
      <w:pPr>
        <w:pStyle w:val="51"/>
        <w:rPr>
          <w:rFonts w:hAnsi="宋体" w:cs="宋体"/>
          <w:color w:val="auto"/>
          <w:highlight w:val="none"/>
        </w:rPr>
      </w:pPr>
      <w:r>
        <w:rPr>
          <w:rFonts w:hint="eastAsia" w:hAnsi="宋体" w:cs="宋体"/>
          <w:color w:val="auto"/>
          <w:highlight w:val="none"/>
        </w:rPr>
        <w:t>2.拆迁前确认</w:t>
      </w:r>
    </w:p>
    <w:p w14:paraId="362179C5">
      <w:pPr>
        <w:pStyle w:val="51"/>
        <w:rPr>
          <w:rFonts w:hAnsi="宋体" w:cs="宋体"/>
          <w:color w:val="auto"/>
          <w:highlight w:val="none"/>
        </w:rPr>
      </w:pPr>
      <w:r>
        <w:rPr>
          <w:rFonts w:hint="eastAsia" w:ascii="仿宋" w:hAnsi="仿宋" w:eastAsia="仿宋" w:cs="仿宋"/>
          <w:bCs/>
          <w:iCs/>
          <w:color w:val="auto"/>
          <w:szCs w:val="24"/>
          <w:highlight w:val="none"/>
        </w:rPr>
        <w:t>★</w:t>
      </w:r>
      <w:r>
        <w:rPr>
          <w:rFonts w:hint="eastAsia" w:hAnsi="宋体" w:cs="宋体"/>
          <w:color w:val="auto"/>
          <w:highlight w:val="none"/>
        </w:rPr>
        <w:t>设备拆卸前，由采购方设备管理人员与供应商技术人员现场对设备进行主机及零配件等逐一核对、列出清单，开机并进行性能测试，双方签字认可后方可进行拆卸（设备状态确认方案及确认单由供应商提供，采购方实训室负责人认可后方可实施）。供应商应协助采购人做好搬运物品数量的清点及造册登记。</w:t>
      </w:r>
    </w:p>
    <w:p w14:paraId="33E11272">
      <w:pPr>
        <w:pStyle w:val="51"/>
        <w:rPr>
          <w:rFonts w:hAnsi="宋体" w:cs="宋体"/>
          <w:color w:val="auto"/>
          <w:highlight w:val="none"/>
        </w:rPr>
      </w:pPr>
      <w:r>
        <w:rPr>
          <w:rFonts w:hint="eastAsia" w:hAnsi="宋体" w:cs="宋体"/>
          <w:color w:val="auto"/>
          <w:highlight w:val="none"/>
        </w:rPr>
        <w:t>3.设备拆机</w:t>
      </w:r>
    </w:p>
    <w:p w14:paraId="758319EC">
      <w:pPr>
        <w:pStyle w:val="51"/>
        <w:rPr>
          <w:rFonts w:hAnsi="宋体" w:cs="宋体"/>
          <w:color w:val="auto"/>
          <w:highlight w:val="none"/>
        </w:rPr>
      </w:pPr>
      <w:r>
        <w:rPr>
          <w:rFonts w:hint="eastAsia" w:hAnsi="宋体" w:cs="宋体"/>
          <w:color w:val="auto"/>
          <w:highlight w:val="none"/>
        </w:rPr>
        <w:t>设备状态确认后，供应商须针对不同设备类型，指定专业设备工程师负责对全部待迁设备的拆装工作，拆机后须对设备及相关配件进行详细标注及登记，实训设备的拆装须由具有相应设备类别安装维修资质的工程师进行。如有需原厂工程师提供拆装调试的设备，由供应商协调原厂工程师或有资质的工程师上门提供服务，过程中所产生的费用由供应商承担。</w:t>
      </w:r>
    </w:p>
    <w:p w14:paraId="42120B98">
      <w:pPr>
        <w:pStyle w:val="51"/>
        <w:rPr>
          <w:rFonts w:hAnsi="宋体" w:cs="宋体"/>
          <w:color w:val="auto"/>
          <w:highlight w:val="none"/>
        </w:rPr>
      </w:pPr>
      <w:r>
        <w:rPr>
          <w:rFonts w:hint="eastAsia" w:hAnsi="宋体" w:cs="宋体"/>
          <w:color w:val="auto"/>
          <w:highlight w:val="none"/>
        </w:rPr>
        <w:t>4.设备及其他试剂耗材的包装</w:t>
      </w:r>
    </w:p>
    <w:p w14:paraId="0ABD7787">
      <w:pPr>
        <w:pStyle w:val="51"/>
        <w:rPr>
          <w:rFonts w:hAnsi="宋体" w:cs="宋体"/>
          <w:color w:val="auto"/>
          <w:highlight w:val="none"/>
        </w:rPr>
      </w:pPr>
      <w:r>
        <w:rPr>
          <w:rFonts w:hint="eastAsia" w:hAnsi="宋体" w:cs="宋体"/>
          <w:color w:val="auto"/>
          <w:highlight w:val="none"/>
        </w:rPr>
        <w:t>供应商需对全部待迁设备进行包装保护，确保设备在运输过程中不因未包装引起破损及刮擦。包装材料选用环保可回收材料，包括但不限于使用弹性材料、防震材料、膜材料、纸箱、各类包装带及胶带。打包时应对所有搬迁物品进行统计，并提供清晰的装箱单；采购方指定人员对供应商提供的装箱单（装箱单放在包装箱内）、包装箱外张贴物品标识单进行确认。</w:t>
      </w:r>
    </w:p>
    <w:p w14:paraId="51587D2D">
      <w:pPr>
        <w:pStyle w:val="51"/>
        <w:rPr>
          <w:rFonts w:hAnsi="宋体" w:cs="宋体"/>
          <w:color w:val="auto"/>
          <w:highlight w:val="none"/>
        </w:rPr>
      </w:pPr>
      <w:r>
        <w:rPr>
          <w:rFonts w:hint="eastAsia" w:hAnsi="宋体" w:cs="宋体"/>
          <w:color w:val="auto"/>
          <w:highlight w:val="none"/>
        </w:rPr>
        <w:t>5.设备及其他试剂耗材的运输</w:t>
      </w:r>
    </w:p>
    <w:p w14:paraId="6603DFE4">
      <w:pPr>
        <w:pStyle w:val="51"/>
        <w:rPr>
          <w:rFonts w:hAnsi="宋体" w:cs="宋体"/>
          <w:color w:val="auto"/>
          <w:highlight w:val="none"/>
        </w:rPr>
      </w:pPr>
      <w:r>
        <w:rPr>
          <w:rFonts w:hint="eastAsia" w:hAnsi="宋体" w:cs="宋体"/>
          <w:color w:val="auto"/>
          <w:highlight w:val="none"/>
        </w:rPr>
        <w:t>5.1供应商合作的物流公司应具有精密设备搬迁管理证书（ISO）及相关专业资质，并提供道路运输许可证。物流运输车辆应为符合交通管理条例的箱式封闭货物运输车辆，须确保车辆状况良好，并具有搬运资质和通行许可，且保险有效、年检合格。可采用拖车，液压车、移动平台车、叉车、吊车等辅助运输。对可能需要用到的各种特种设备，由供应商安排提供，所有现场作业需用到的特种设备须保证干净且具备检验合格证书，操作人员应具备相应的操作证书。</w:t>
      </w:r>
    </w:p>
    <w:p w14:paraId="057CC886">
      <w:pPr>
        <w:pStyle w:val="51"/>
        <w:rPr>
          <w:rFonts w:hAnsi="宋体" w:cs="宋体"/>
          <w:color w:val="auto"/>
          <w:highlight w:val="none"/>
        </w:rPr>
      </w:pPr>
      <w:r>
        <w:rPr>
          <w:rFonts w:hint="eastAsia" w:hAnsi="宋体" w:cs="宋体"/>
          <w:color w:val="auto"/>
          <w:highlight w:val="none"/>
        </w:rPr>
        <w:t>5.2供应商应具备实训室安全及危险化学处理能力及相关合作供应商应具备实训室过期化学试剂处理相关专业资质。并提供相关危化品搬迁和过期试剂处理方案。</w:t>
      </w:r>
    </w:p>
    <w:p w14:paraId="797C3C55">
      <w:pPr>
        <w:pStyle w:val="51"/>
        <w:rPr>
          <w:rFonts w:hAnsi="宋体" w:cs="宋体"/>
          <w:color w:val="auto"/>
          <w:highlight w:val="none"/>
        </w:rPr>
      </w:pPr>
      <w:r>
        <w:rPr>
          <w:rFonts w:hint="eastAsia" w:hAnsi="宋体" w:cs="宋体"/>
          <w:color w:val="auto"/>
          <w:highlight w:val="none"/>
        </w:rPr>
        <w:t>6.供应商应协助采购方完成搬运计划的细化和现场管理，专门安排经验丰富的车辆调度人员进行现场调度，相关负责人现场办公，搬运高峰期增加调度和现场管理人员。供应商需确保随车配备足够的搬运工人，在采购方指定人员及设备专业工程师的指导下，完成设备装车工作。</w:t>
      </w:r>
    </w:p>
    <w:p w14:paraId="7D73B466">
      <w:pPr>
        <w:pStyle w:val="51"/>
        <w:rPr>
          <w:rFonts w:hAnsi="宋体" w:cs="宋体"/>
          <w:color w:val="auto"/>
          <w:highlight w:val="none"/>
        </w:rPr>
      </w:pPr>
      <w:r>
        <w:rPr>
          <w:rFonts w:hint="eastAsia" w:hAnsi="宋体" w:cs="宋体"/>
          <w:color w:val="auto"/>
          <w:highlight w:val="none"/>
        </w:rPr>
        <w:t>7.根据设备搬运的要求，运输过程须做好对搬运物品的防雨、防水、防火、防压、防碰、防震、防倾斜、防腐等保护措施。设备在车厢需摆放合理，全部设备单层放置，不得堆叠。</w:t>
      </w:r>
    </w:p>
    <w:p w14:paraId="39EB727E">
      <w:pPr>
        <w:pStyle w:val="51"/>
        <w:rPr>
          <w:rFonts w:hAnsi="宋体" w:cs="宋体"/>
          <w:color w:val="auto"/>
          <w:highlight w:val="none"/>
        </w:rPr>
      </w:pPr>
      <w:r>
        <w:rPr>
          <w:rFonts w:hint="eastAsia" w:hAnsi="宋体" w:cs="宋体"/>
          <w:color w:val="auto"/>
          <w:highlight w:val="none"/>
        </w:rPr>
        <w:t>8.运输车辆应由供应商及采购方同时派人监管押运。</w:t>
      </w:r>
    </w:p>
    <w:p w14:paraId="024EBA22">
      <w:pPr>
        <w:pStyle w:val="51"/>
        <w:rPr>
          <w:rFonts w:hAnsi="宋体" w:cs="宋体"/>
          <w:color w:val="auto"/>
          <w:highlight w:val="none"/>
        </w:rPr>
      </w:pPr>
      <w:r>
        <w:rPr>
          <w:rFonts w:hint="eastAsia" w:hAnsi="宋体" w:cs="宋体"/>
          <w:color w:val="auto"/>
          <w:highlight w:val="none"/>
        </w:rPr>
        <w:t>9.对无法正常从实训室迁出或迁进的设备，供应商与采购方协商后可采用专业、合理措施迁移，所产生的费用供应商承担。</w:t>
      </w:r>
    </w:p>
    <w:p w14:paraId="618DA161">
      <w:pPr>
        <w:pStyle w:val="51"/>
        <w:rPr>
          <w:rFonts w:hAnsi="宋体" w:cs="宋体"/>
          <w:color w:val="auto"/>
          <w:highlight w:val="none"/>
        </w:rPr>
      </w:pPr>
      <w:r>
        <w:rPr>
          <w:rFonts w:hint="eastAsia" w:hAnsi="宋体" w:cs="宋体"/>
          <w:color w:val="auto"/>
          <w:highlight w:val="none"/>
        </w:rPr>
        <w:t>10.环境保护</w:t>
      </w:r>
    </w:p>
    <w:p w14:paraId="7D4B8EB6">
      <w:pPr>
        <w:pStyle w:val="51"/>
        <w:rPr>
          <w:rFonts w:hAnsi="宋体" w:cs="宋体"/>
          <w:color w:val="auto"/>
          <w:highlight w:val="none"/>
        </w:rPr>
      </w:pPr>
      <w:r>
        <w:rPr>
          <w:rFonts w:hint="eastAsia" w:hAnsi="宋体" w:cs="宋体"/>
          <w:color w:val="auto"/>
          <w:highlight w:val="none"/>
        </w:rPr>
        <w:t>供应商需采用环保材料对迁进实训室地面、墙面进行保护，防止墙地面的划伤、碰伤，特别是重型设备的搬运要对实训室地面进行特殊防护，如用木板等材料进行保护。备装运过程中需要拆墙的，供应商需与物业协商解决并制定相应的可行性方案。</w:t>
      </w:r>
    </w:p>
    <w:p w14:paraId="028C9C17">
      <w:pPr>
        <w:pStyle w:val="51"/>
        <w:rPr>
          <w:rFonts w:hAnsi="宋体" w:cs="宋体"/>
          <w:color w:val="auto"/>
          <w:highlight w:val="none"/>
        </w:rPr>
      </w:pPr>
      <w:r>
        <w:rPr>
          <w:rFonts w:hint="eastAsia" w:hAnsi="宋体" w:cs="宋体"/>
          <w:color w:val="auto"/>
          <w:highlight w:val="none"/>
        </w:rPr>
        <w:t>11.对无法正常从实训室迁出或迁进的设备等物资，供应商与各实训室负责人协商后可采用专业、合理措施迁移，相关拆除产生的垃圾由供应商负责清理、拆除后的复原工作由供应商免费提供。</w:t>
      </w:r>
    </w:p>
    <w:p w14:paraId="0D2550C1">
      <w:pPr>
        <w:pStyle w:val="51"/>
        <w:rPr>
          <w:rFonts w:hAnsi="宋体" w:cs="宋体"/>
          <w:color w:val="auto"/>
          <w:highlight w:val="none"/>
        </w:rPr>
      </w:pPr>
      <w:r>
        <w:rPr>
          <w:rFonts w:hint="eastAsia" w:hAnsi="宋体" w:cs="宋体"/>
          <w:color w:val="auto"/>
          <w:highlight w:val="none"/>
        </w:rPr>
        <w:t>12.搬迁后设备、危化品清点和试剂入库协助。</w:t>
      </w:r>
    </w:p>
    <w:p w14:paraId="0ED47EAD">
      <w:pPr>
        <w:pStyle w:val="51"/>
        <w:rPr>
          <w:rFonts w:hAnsi="宋体" w:cs="宋体"/>
          <w:color w:val="auto"/>
          <w:highlight w:val="none"/>
        </w:rPr>
      </w:pPr>
      <w:r>
        <w:rPr>
          <w:rFonts w:hint="eastAsia" w:hAnsi="宋体" w:cs="宋体"/>
          <w:color w:val="auto"/>
          <w:highlight w:val="none"/>
        </w:rPr>
        <w:t xml:space="preserve">12.1设备送达指定位置后，逐项清点，确保数量和发运前保持一致。到达新实训室的设备须和装箱单所标明的名称、品牌、型号、数量、固定资产编号一致。 </w:t>
      </w:r>
    </w:p>
    <w:p w14:paraId="72167C38">
      <w:pPr>
        <w:pStyle w:val="51"/>
        <w:rPr>
          <w:rFonts w:hAnsi="宋体" w:cs="宋体"/>
          <w:color w:val="auto"/>
          <w:highlight w:val="none"/>
        </w:rPr>
      </w:pPr>
      <w:r>
        <w:rPr>
          <w:rFonts w:hint="eastAsia" w:hAnsi="宋体" w:cs="宋体"/>
          <w:color w:val="auto"/>
          <w:highlight w:val="none"/>
        </w:rPr>
        <w:t>12.2搬迁前后对设备做资料存档，确保搬迁后设备及附件外观与搬迁前相比，无新增破损、锈蚀、碰伤等。</w:t>
      </w:r>
    </w:p>
    <w:p w14:paraId="49C17EFF">
      <w:pPr>
        <w:pStyle w:val="51"/>
        <w:rPr>
          <w:rFonts w:hAnsi="宋体" w:cs="宋体"/>
          <w:color w:val="auto"/>
          <w:highlight w:val="none"/>
        </w:rPr>
      </w:pPr>
      <w:r>
        <w:rPr>
          <w:rFonts w:hint="eastAsia" w:hAnsi="宋体" w:cs="宋体"/>
          <w:color w:val="auto"/>
          <w:highlight w:val="none"/>
        </w:rPr>
        <w:t>12.3 搬迁前后应协助处理试剂出入库工作，协助完成试剂存储及登记工作。</w:t>
      </w:r>
    </w:p>
    <w:p w14:paraId="04656FA9">
      <w:pPr>
        <w:pStyle w:val="51"/>
        <w:rPr>
          <w:rFonts w:hAnsi="宋体" w:cs="宋体"/>
          <w:color w:val="auto"/>
          <w:highlight w:val="none"/>
        </w:rPr>
      </w:pPr>
      <w:r>
        <w:rPr>
          <w:rFonts w:hint="eastAsia" w:hAnsi="宋体" w:cs="宋体"/>
          <w:color w:val="auto"/>
          <w:highlight w:val="none"/>
        </w:rPr>
        <w:t>13.设备安装调试</w:t>
      </w:r>
    </w:p>
    <w:p w14:paraId="2A362573">
      <w:pPr>
        <w:pStyle w:val="51"/>
        <w:rPr>
          <w:rFonts w:hAnsi="宋体" w:cs="宋体"/>
          <w:color w:val="auto"/>
          <w:highlight w:val="none"/>
        </w:rPr>
      </w:pPr>
      <w:r>
        <w:rPr>
          <w:rFonts w:hint="eastAsia" w:hAnsi="宋体" w:cs="宋体"/>
          <w:color w:val="auto"/>
          <w:highlight w:val="none"/>
        </w:rPr>
        <w:t>13.1设备迁移至新址实训室后，供应商须根据迁移规划规定的时间节点进行包装拆除，定位至采购方各实训室负责人指定位置，并及时回收包装材料。</w:t>
      </w:r>
    </w:p>
    <w:p w14:paraId="050CD478">
      <w:pPr>
        <w:pStyle w:val="51"/>
        <w:rPr>
          <w:rFonts w:hAnsi="宋体" w:cs="宋体"/>
          <w:color w:val="auto"/>
          <w:highlight w:val="none"/>
        </w:rPr>
      </w:pPr>
      <w:r>
        <w:rPr>
          <w:rFonts w:hint="eastAsia" w:ascii="仿宋" w:hAnsi="仿宋" w:eastAsia="仿宋" w:cs="仿宋"/>
          <w:bCs/>
          <w:iCs/>
          <w:color w:val="auto"/>
          <w:szCs w:val="24"/>
          <w:highlight w:val="none"/>
        </w:rPr>
        <w:t>★</w:t>
      </w:r>
      <w:r>
        <w:rPr>
          <w:rFonts w:hint="eastAsia" w:hAnsi="宋体" w:cs="宋体"/>
          <w:color w:val="auto"/>
          <w:highlight w:val="none"/>
        </w:rPr>
        <w:t>13.2设备安装调试后由供应商会同采购方指定人员对设备状态进行确认，一般设备对设备进行通电确认及功能确认，小型精密设备及大型实训设备需完成与迁移前相同的安装调试指标测试（具体设备清单见附件），确保设备恢复到拆卸前状态后，由双方指定人员签字确认验收。搬迁后若需增加电线电缆、气体管线及连接件等辅助配件，由供应商一并负责免费提供。网络版设备系统，应负责服务器等及网络的搬迁、安装并调试正常。</w:t>
      </w:r>
    </w:p>
    <w:p w14:paraId="49FE6A40">
      <w:pPr>
        <w:pStyle w:val="51"/>
        <w:rPr>
          <w:rFonts w:hAnsi="宋体" w:cs="宋体"/>
          <w:color w:val="auto"/>
          <w:highlight w:val="none"/>
        </w:rPr>
      </w:pPr>
      <w:r>
        <w:rPr>
          <w:rFonts w:hint="eastAsia" w:hAnsi="宋体" w:cs="宋体"/>
          <w:color w:val="auto"/>
          <w:highlight w:val="none"/>
        </w:rPr>
        <w:t>14.验收方式及标准</w:t>
      </w:r>
    </w:p>
    <w:p w14:paraId="78767C01">
      <w:pPr>
        <w:pStyle w:val="51"/>
        <w:rPr>
          <w:rFonts w:hAnsi="宋体" w:cs="宋体"/>
          <w:color w:val="auto"/>
          <w:highlight w:val="none"/>
        </w:rPr>
      </w:pPr>
      <w:r>
        <w:rPr>
          <w:rFonts w:hint="eastAsia" w:hAnsi="宋体" w:cs="宋体"/>
          <w:color w:val="auto"/>
          <w:highlight w:val="none"/>
        </w:rPr>
        <w:t>▲14.1 设备安装调试后，由供应商会同采购方按照约定对所有设备进行安装验收（具体设备清单见附件），普通设备确认通电后功能正常即视为验收合格；小型精密设备及大型实训设备经指标测试合格后签订单台设备验收报告，双方签字确认；若因搬迁原因造成的设备未达到搬迁前状态，供应商必须提供维修或更换服务。设备附属设备及耗材物资，保证搬迁前后数量一致，外观无新增破损、锈蚀、碰伤，保证物品功能不丧失否则应进行相应维修或更换。供应商应在全部设备及所属设备验收完成后编制设备搬迁验收报告。采购方在收到设备搬迁验收报告，并确认无误后视作搬迁验收完成。</w:t>
      </w:r>
    </w:p>
    <w:p w14:paraId="0E3801E5">
      <w:pPr>
        <w:pStyle w:val="51"/>
        <w:rPr>
          <w:rFonts w:hAnsi="宋体" w:cs="宋体"/>
          <w:color w:val="auto"/>
          <w:highlight w:val="none"/>
        </w:rPr>
      </w:pPr>
      <w:r>
        <w:rPr>
          <w:rFonts w:hint="eastAsia" w:hAnsi="宋体" w:cs="宋体"/>
          <w:color w:val="auto"/>
          <w:highlight w:val="none"/>
        </w:rPr>
        <w:t>14.2搬迁验收完成后，10个日历天内供应商应对在搬迁过程中损坏的实验场地及设施进行及时修复，并编制实训室搬迁整体验收报告给采购方。</w:t>
      </w:r>
    </w:p>
    <w:p w14:paraId="54039F0D">
      <w:pPr>
        <w:pStyle w:val="51"/>
        <w:rPr>
          <w:rFonts w:hAnsi="宋体" w:cs="宋体"/>
          <w:color w:val="auto"/>
          <w:highlight w:val="none"/>
        </w:rPr>
      </w:pPr>
      <w:r>
        <w:rPr>
          <w:rFonts w:hint="eastAsia" w:hAnsi="宋体" w:cs="宋体"/>
          <w:color w:val="auto"/>
          <w:highlight w:val="none"/>
        </w:rPr>
        <w:t>14.3采购方将重点根据搬迁的效率、供应商的执行能力、技术保障能力以及承担风险的能力对供应商的整体搬迁完成情况进行验收，并提出整改要求。供应商需尽快认真落实整改工作，整改需在5个日历天内完成，因客观原因造成的且经采购方认可的除外。</w:t>
      </w:r>
    </w:p>
    <w:p w14:paraId="39F00E3D">
      <w:pPr>
        <w:pStyle w:val="51"/>
        <w:rPr>
          <w:rFonts w:hAnsi="宋体" w:cs="宋体"/>
          <w:color w:val="auto"/>
          <w:highlight w:val="none"/>
        </w:rPr>
      </w:pPr>
      <w:r>
        <w:rPr>
          <w:rFonts w:hint="eastAsia" w:hAnsi="宋体" w:cs="宋体"/>
          <w:color w:val="auto"/>
          <w:highlight w:val="none"/>
        </w:rPr>
        <w:t>15.搬迁项目过程管理要求</w:t>
      </w:r>
    </w:p>
    <w:p w14:paraId="042EAB74">
      <w:pPr>
        <w:pStyle w:val="51"/>
        <w:rPr>
          <w:rFonts w:hAnsi="宋体" w:cs="宋体"/>
          <w:color w:val="auto"/>
          <w:highlight w:val="none"/>
        </w:rPr>
      </w:pPr>
      <w:r>
        <w:rPr>
          <w:rFonts w:hint="eastAsia" w:hAnsi="宋体" w:cs="宋体"/>
          <w:color w:val="auto"/>
          <w:highlight w:val="none"/>
        </w:rPr>
        <w:t>15.1供应商具备项目过程管理系统，能够提供实现搬迁项目全流程的电子化追溯，追溯内容包含对实训设备的搬运状态（包含但不限于拆装工程师信息、装箱物流人员信息、物流车辆信息等）、拆装机测试报告、搬迁前照片、搬迁后照片等动态信息，业主可在管理系统中在线实时查询等。</w:t>
      </w:r>
    </w:p>
    <w:p w14:paraId="279B2BDB">
      <w:pPr>
        <w:pStyle w:val="51"/>
        <w:rPr>
          <w:rFonts w:hAnsi="宋体" w:cs="宋体"/>
          <w:color w:val="auto"/>
          <w:highlight w:val="none"/>
        </w:rPr>
      </w:pPr>
      <w:r>
        <w:rPr>
          <w:rFonts w:hint="eastAsia" w:hAnsi="宋体" w:cs="宋体"/>
          <w:color w:val="auto"/>
          <w:highlight w:val="none"/>
        </w:rPr>
        <w:t>15.2系统可实现基础的资产管理功能，对采购方的设备清单进行分类管理。</w:t>
      </w:r>
    </w:p>
    <w:p w14:paraId="1F876600">
      <w:pPr>
        <w:pStyle w:val="51"/>
        <w:rPr>
          <w:rFonts w:hAnsi="宋体" w:cs="宋体"/>
          <w:color w:val="auto"/>
          <w:highlight w:val="none"/>
        </w:rPr>
      </w:pPr>
      <w:r>
        <w:rPr>
          <w:rFonts w:hint="eastAsia" w:hAnsi="宋体" w:cs="宋体"/>
          <w:color w:val="auto"/>
          <w:highlight w:val="none"/>
        </w:rPr>
        <w:t>16.搬迁项目管理文件的电子版文档需随同纸质文档同时移交给采购方，以保证采购人能及时了解项目进展，确保国有资产安全。</w:t>
      </w:r>
    </w:p>
    <w:p w14:paraId="79E5CEA0">
      <w:pPr>
        <w:pStyle w:val="51"/>
        <w:rPr>
          <w:rFonts w:hAnsi="宋体" w:cs="宋体"/>
          <w:color w:val="auto"/>
          <w:highlight w:val="none"/>
        </w:rPr>
      </w:pPr>
      <w:r>
        <w:rPr>
          <w:rFonts w:hint="eastAsia" w:hAnsi="宋体" w:cs="宋体"/>
          <w:color w:val="auto"/>
          <w:highlight w:val="none"/>
        </w:rPr>
        <w:t>17.供应商应及时与采购方对接项目进展，采购方应有权能通过浏览器和移动设备端进行搬迁状态的实时查看，了解项目进展，进行有效沟通。</w:t>
      </w:r>
    </w:p>
    <w:p w14:paraId="08462277">
      <w:pPr>
        <w:pStyle w:val="51"/>
        <w:rPr>
          <w:rFonts w:hAnsi="宋体" w:cs="宋体"/>
          <w:color w:val="auto"/>
          <w:highlight w:val="none"/>
        </w:rPr>
      </w:pPr>
      <w:r>
        <w:rPr>
          <w:rFonts w:hint="eastAsia" w:hAnsi="宋体" w:cs="宋体"/>
          <w:color w:val="auto"/>
          <w:highlight w:val="none"/>
        </w:rPr>
        <w:t>18.搬迁项目管理文件及追溯要求</w:t>
      </w:r>
    </w:p>
    <w:p w14:paraId="61DD75FC">
      <w:pPr>
        <w:pStyle w:val="51"/>
        <w:rPr>
          <w:rFonts w:hAnsi="宋体" w:cs="宋体"/>
          <w:color w:val="auto"/>
          <w:highlight w:val="none"/>
        </w:rPr>
      </w:pPr>
      <w:r>
        <w:rPr>
          <w:rFonts w:hint="eastAsia" w:hAnsi="宋体" w:cs="宋体"/>
          <w:color w:val="auto"/>
          <w:highlight w:val="none"/>
        </w:rPr>
        <w:t>18.1搬迁项目管理文件应包括：项目的整体搬迁方案、实施计划、人员名单、人员组织结构图、各项资质证明、设备流转单、拆机前的测试报告、安装后的测试报告、装箱单、装车单、检定校准测试报告、项目验收报告等。</w:t>
      </w:r>
    </w:p>
    <w:p w14:paraId="2F15E0BD">
      <w:pPr>
        <w:pStyle w:val="51"/>
        <w:rPr>
          <w:rFonts w:hAnsi="宋体" w:cs="宋体"/>
          <w:color w:val="auto"/>
          <w:highlight w:val="none"/>
        </w:rPr>
      </w:pPr>
      <w:r>
        <w:rPr>
          <w:rFonts w:hint="eastAsia" w:hAnsi="宋体" w:cs="宋体"/>
          <w:color w:val="auto"/>
          <w:highlight w:val="none"/>
        </w:rPr>
        <w:t>18.2搬迁项目管理文件应结合搬迁项目过程管理要求，提供可供追溯的电子版文档。</w:t>
      </w:r>
    </w:p>
    <w:p w14:paraId="7D04ECC1">
      <w:pPr>
        <w:pStyle w:val="51"/>
        <w:rPr>
          <w:rFonts w:hAnsi="宋体" w:cs="宋体"/>
          <w:color w:val="auto"/>
          <w:highlight w:val="none"/>
        </w:rPr>
      </w:pPr>
      <w:r>
        <w:rPr>
          <w:rFonts w:hint="eastAsia" w:hAnsi="宋体" w:cs="宋体"/>
          <w:color w:val="auto"/>
          <w:highlight w:val="none"/>
        </w:rPr>
        <w:t>18.3搬迁项目管理文件的电子版文档需随同纸质文档同时移交给采购方，以保证采购人能及时了解项目进展，确保国有资产安全。</w:t>
      </w:r>
    </w:p>
    <w:p w14:paraId="28B824B0">
      <w:pPr>
        <w:pStyle w:val="51"/>
        <w:rPr>
          <w:rFonts w:hAnsi="宋体" w:cs="宋体"/>
          <w:color w:val="auto"/>
          <w:highlight w:val="none"/>
        </w:rPr>
      </w:pPr>
      <w:r>
        <w:rPr>
          <w:rFonts w:hint="eastAsia" w:hAnsi="宋体" w:cs="宋体"/>
          <w:color w:val="auto"/>
          <w:highlight w:val="none"/>
        </w:rPr>
        <w:t>19.搬迁项目风险管控</w:t>
      </w:r>
    </w:p>
    <w:p w14:paraId="515CB657">
      <w:pPr>
        <w:pStyle w:val="51"/>
        <w:rPr>
          <w:rFonts w:hAnsi="宋体" w:cs="宋体"/>
          <w:color w:val="auto"/>
          <w:highlight w:val="none"/>
        </w:rPr>
      </w:pPr>
      <w:r>
        <w:rPr>
          <w:rFonts w:hint="eastAsia" w:hAnsi="宋体" w:cs="宋体"/>
          <w:color w:val="auto"/>
          <w:highlight w:val="none"/>
        </w:rPr>
        <w:t xml:space="preserve">供应商在投标文件中应提供具有可行性的应急处置方案，包括但不限于以下内容； </w:t>
      </w:r>
    </w:p>
    <w:p w14:paraId="17D8C396">
      <w:pPr>
        <w:pStyle w:val="51"/>
        <w:rPr>
          <w:rFonts w:hAnsi="宋体" w:cs="宋体"/>
          <w:color w:val="auto"/>
          <w:highlight w:val="none"/>
        </w:rPr>
      </w:pPr>
      <w:r>
        <w:rPr>
          <w:rFonts w:hint="eastAsia" w:hAnsi="宋体" w:cs="宋体"/>
          <w:color w:val="auto"/>
          <w:highlight w:val="none"/>
        </w:rPr>
        <w:t>19.1提供具有可行性的应急处置和风险管控方案，包括但不仅限于安全事故，实训室火灾、爆炸、中毒、触电、化学灼伤的应急处理及管控；</w:t>
      </w:r>
    </w:p>
    <w:p w14:paraId="12E69B65">
      <w:pPr>
        <w:pStyle w:val="51"/>
        <w:rPr>
          <w:rFonts w:hAnsi="宋体" w:cs="宋体"/>
          <w:color w:val="auto"/>
          <w:highlight w:val="none"/>
        </w:rPr>
      </w:pPr>
      <w:r>
        <w:rPr>
          <w:rFonts w:hint="eastAsia" w:hAnsi="宋体" w:cs="宋体"/>
          <w:color w:val="auto"/>
          <w:highlight w:val="none"/>
        </w:rPr>
        <w:t>19.2中标后全程监控搬迁过程、为所有搬迁服务人员购买人身保险并提供保单，保证各环节安全；</w:t>
      </w:r>
    </w:p>
    <w:p w14:paraId="2FF1FF6F">
      <w:pPr>
        <w:pStyle w:val="51"/>
        <w:rPr>
          <w:rFonts w:hAnsi="宋体" w:cs="宋体"/>
          <w:color w:val="auto"/>
          <w:highlight w:val="none"/>
        </w:rPr>
      </w:pPr>
      <w:r>
        <w:rPr>
          <w:rFonts w:hint="eastAsia" w:hAnsi="宋体" w:cs="宋体"/>
          <w:color w:val="auto"/>
          <w:highlight w:val="none"/>
        </w:rPr>
        <w:t>19.3提供24小时电话响应服务。</w:t>
      </w:r>
    </w:p>
    <w:p w14:paraId="130C01EE">
      <w:pPr>
        <w:pStyle w:val="51"/>
        <w:rPr>
          <w:rFonts w:hAnsi="宋体" w:cs="宋体"/>
          <w:color w:val="auto"/>
          <w:highlight w:val="none"/>
        </w:rPr>
      </w:pPr>
      <w:r>
        <w:rPr>
          <w:rFonts w:hint="eastAsia" w:hAnsi="宋体" w:cs="宋体"/>
          <w:color w:val="auto"/>
          <w:highlight w:val="none"/>
        </w:rPr>
        <w:t>20.事故及损害赔偿</w:t>
      </w:r>
    </w:p>
    <w:p w14:paraId="359E7CDE">
      <w:pPr>
        <w:pStyle w:val="51"/>
        <w:rPr>
          <w:rFonts w:hAnsi="宋体" w:cs="宋体"/>
          <w:color w:val="auto"/>
          <w:highlight w:val="none"/>
        </w:rPr>
      </w:pPr>
      <w:r>
        <w:rPr>
          <w:rFonts w:hint="eastAsia" w:hAnsi="宋体" w:cs="宋体"/>
          <w:color w:val="auto"/>
          <w:highlight w:val="none"/>
        </w:rPr>
        <w:t>20.1因供应商原因造成搬迁过程中的设备等物资损坏应由供应商进行免费维修或更换，为保障故障设备的保质保量快速修复，维修服务需由采购方认可及确认，且所更换的配件须为原厂全新配件；维修需在15个日历天内完成，未能在15个日历天内完成维修工作的需提供应急方案，因客观原因造成的且经采购方认可的除外。</w:t>
      </w:r>
    </w:p>
    <w:p w14:paraId="377ECB0B">
      <w:pPr>
        <w:pStyle w:val="51"/>
        <w:rPr>
          <w:rFonts w:hAnsi="宋体" w:cs="宋体"/>
          <w:color w:val="auto"/>
          <w:highlight w:val="none"/>
        </w:rPr>
      </w:pPr>
      <w:r>
        <w:rPr>
          <w:rFonts w:hint="eastAsia" w:hAnsi="宋体" w:cs="宋体"/>
          <w:color w:val="auto"/>
          <w:highlight w:val="none"/>
        </w:rPr>
        <w:t>20.2因供应商原因造成设备等物资丢失的应由供应商进行赔偿，由采购方进行服务项目的监督和验收。</w:t>
      </w:r>
    </w:p>
    <w:p w14:paraId="7DE23DBF">
      <w:pPr>
        <w:pStyle w:val="51"/>
        <w:rPr>
          <w:rFonts w:hAnsi="宋体" w:cs="宋体"/>
          <w:color w:val="auto"/>
          <w:highlight w:val="none"/>
        </w:rPr>
      </w:pPr>
      <w:r>
        <w:rPr>
          <w:rFonts w:hint="eastAsia" w:hAnsi="宋体" w:cs="宋体"/>
          <w:color w:val="auto"/>
          <w:highlight w:val="none"/>
        </w:rPr>
        <w:t>20.3供应商应做好搬运现场的保护工作，采购方仅能提供现有的通行条件，对于搬迁过程中涉及到的实施现场（如电梯、地面、墙面、道路、楼梯、门窗、家具等）做到有效保护，如有损坏，由供应商负责免费修复。搬迁服务过程如出现的设备跌落、交通事故、物品丢失、重新安装失败、失火、水淹、触电、中毒、灼伤及其他各种工作人员的身体损伤、死亡等事故，均由供应商承担责任，并赔偿采购方损失。</w:t>
      </w:r>
    </w:p>
    <w:p w14:paraId="679F3A25">
      <w:pPr>
        <w:pStyle w:val="51"/>
        <w:rPr>
          <w:rFonts w:hAnsi="宋体" w:cs="宋体"/>
          <w:color w:val="auto"/>
          <w:highlight w:val="none"/>
        </w:rPr>
      </w:pPr>
      <w:r>
        <w:rPr>
          <w:rFonts w:hint="eastAsia" w:hAnsi="宋体" w:cs="宋体"/>
          <w:color w:val="auto"/>
          <w:highlight w:val="none"/>
        </w:rPr>
        <w:t>21.售后服务</w:t>
      </w:r>
    </w:p>
    <w:p w14:paraId="56EF11AE">
      <w:pPr>
        <w:pStyle w:val="51"/>
        <w:rPr>
          <w:rFonts w:hAnsi="宋体" w:cs="宋体"/>
          <w:color w:val="auto"/>
          <w:highlight w:val="none"/>
        </w:rPr>
      </w:pPr>
      <w:r>
        <w:rPr>
          <w:rFonts w:hint="eastAsia" w:hAnsi="宋体" w:cs="宋体"/>
          <w:color w:val="auto"/>
          <w:highlight w:val="none"/>
        </w:rPr>
        <w:t>供应商应具备足够专业化服务能力，并拥有足够的机构及工程师资源可供调配。</w:t>
      </w:r>
    </w:p>
    <w:p w14:paraId="556DBF25">
      <w:pPr>
        <w:pStyle w:val="51"/>
        <w:rPr>
          <w:rFonts w:hAnsi="宋体" w:cs="宋体"/>
          <w:color w:val="auto"/>
          <w:highlight w:val="none"/>
        </w:rPr>
      </w:pPr>
      <w:r>
        <w:rPr>
          <w:rFonts w:hint="eastAsia" w:ascii="仿宋" w:hAnsi="仿宋" w:eastAsia="仿宋" w:cs="仿宋"/>
          <w:bCs/>
          <w:iCs/>
          <w:color w:val="auto"/>
          <w:szCs w:val="24"/>
          <w:highlight w:val="none"/>
        </w:rPr>
        <w:t>★</w:t>
      </w:r>
      <w:r>
        <w:rPr>
          <w:rFonts w:hint="eastAsia" w:hAnsi="宋体" w:cs="宋体"/>
          <w:color w:val="auto"/>
          <w:highlight w:val="none"/>
        </w:rPr>
        <w:t>21.1供应商应能提供相关设备配件在国内设置的配件仓库，确保搬迁过程中出现的设备故障及时得到解决。</w:t>
      </w:r>
    </w:p>
    <w:p w14:paraId="6A6F9E1B">
      <w:pPr>
        <w:pStyle w:val="51"/>
        <w:rPr>
          <w:rFonts w:hAnsi="宋体" w:cs="宋体"/>
          <w:color w:val="auto"/>
          <w:highlight w:val="none"/>
        </w:rPr>
      </w:pPr>
      <w:r>
        <w:rPr>
          <w:rFonts w:hint="eastAsia" w:hAnsi="宋体" w:cs="宋体"/>
          <w:color w:val="auto"/>
          <w:highlight w:val="none"/>
        </w:rPr>
        <w:t>21.2供应商能够持续提供专业化服务，保证现场技术支持服务及时，确保24小时内提供服务。</w:t>
      </w:r>
    </w:p>
    <w:p w14:paraId="64787F92">
      <w:pPr>
        <w:pStyle w:val="51"/>
        <w:rPr>
          <w:rFonts w:hAnsi="宋体" w:cs="宋体"/>
          <w:color w:val="auto"/>
          <w:highlight w:val="none"/>
        </w:rPr>
      </w:pPr>
      <w:r>
        <w:rPr>
          <w:rFonts w:hint="eastAsia" w:hAnsi="宋体" w:cs="宋体"/>
          <w:color w:val="auto"/>
          <w:highlight w:val="none"/>
        </w:rPr>
        <w:t>21.3供应商需具备足够的设备维修工程师资源可供调配。</w:t>
      </w:r>
    </w:p>
    <w:p w14:paraId="333D8AEF">
      <w:pPr>
        <w:pStyle w:val="51"/>
        <w:rPr>
          <w:rFonts w:hAnsi="宋体" w:cs="宋体"/>
          <w:color w:val="auto"/>
          <w:highlight w:val="none"/>
        </w:rPr>
      </w:pPr>
      <w:r>
        <w:rPr>
          <w:rFonts w:hint="eastAsia" w:hAnsi="宋体" w:cs="宋体"/>
          <w:color w:val="auto"/>
          <w:highlight w:val="none"/>
        </w:rPr>
        <w:t>▲22.保密条款</w:t>
      </w:r>
    </w:p>
    <w:p w14:paraId="3543D345">
      <w:pPr>
        <w:pStyle w:val="51"/>
        <w:rPr>
          <w:rFonts w:hAnsi="宋体" w:cs="宋体"/>
          <w:color w:val="auto"/>
          <w:highlight w:val="none"/>
        </w:rPr>
      </w:pPr>
      <w:r>
        <w:rPr>
          <w:rFonts w:hint="eastAsia" w:hAnsi="宋体" w:cs="宋体"/>
          <w:color w:val="auto"/>
          <w:highlight w:val="none"/>
        </w:rPr>
        <w:t>采购方对湖州职业技术学院搬迁过程中获得或产生的信息，或与客户有约定的其他信息，都视为专有信息，为之保密并承担管理责任。因此，按照《中华人民共和国保守国家秘密法》、《中华人民共和国保守国家秘密法实施办法》、《计算机信息系统保密管理暂行规定》、《国家秘密载体保密管理的规定》等相关法律法规及管理文件的要求，供应商需承诺在受采购方委托开展实训室搬迁过程中，遵守以下保密规定，并签署保密承诺书提供给采购方：</w:t>
      </w:r>
    </w:p>
    <w:p w14:paraId="1D8B5F54">
      <w:pPr>
        <w:pStyle w:val="51"/>
        <w:rPr>
          <w:rFonts w:hAnsi="宋体" w:cs="宋体"/>
          <w:color w:val="auto"/>
          <w:highlight w:val="none"/>
        </w:rPr>
      </w:pPr>
      <w:r>
        <w:rPr>
          <w:rFonts w:hint="eastAsia" w:hAnsi="宋体" w:cs="宋体"/>
          <w:color w:val="auto"/>
          <w:highlight w:val="none"/>
        </w:rPr>
        <w:t>22.1所有赴采购方实训室内开展设备搬迁调试的人员，必须严格保密，未经许可，不将采购方设备及配套计算机内的所有监测报告及原始记录、技术资料、电子数据，随意查阅、拷贝、复印、刻录、拍照、扫描、带出。</w:t>
      </w:r>
    </w:p>
    <w:p w14:paraId="02CA514D">
      <w:pPr>
        <w:pStyle w:val="51"/>
        <w:rPr>
          <w:rFonts w:hAnsi="宋体" w:cs="宋体"/>
          <w:color w:val="auto"/>
          <w:highlight w:val="none"/>
        </w:rPr>
      </w:pPr>
      <w:r>
        <w:rPr>
          <w:rFonts w:hint="eastAsia" w:hAnsi="宋体" w:cs="宋体"/>
          <w:color w:val="auto"/>
          <w:highlight w:val="none"/>
        </w:rPr>
        <w:t>22.2未经许可，不将相关报告、数据和成果对外发布和提供，或在非涉密计算机、互联网（包括微博、微信、QQ等）上传输、登载。</w:t>
      </w:r>
    </w:p>
    <w:p w14:paraId="6DD6AA35">
      <w:pPr>
        <w:pStyle w:val="51"/>
        <w:rPr>
          <w:rFonts w:hAnsi="宋体" w:cs="宋体"/>
          <w:color w:val="auto"/>
          <w:highlight w:val="none"/>
        </w:rPr>
      </w:pPr>
      <w:r>
        <w:rPr>
          <w:rFonts w:hint="eastAsia" w:hAnsi="宋体" w:cs="宋体"/>
          <w:color w:val="auto"/>
          <w:highlight w:val="none"/>
        </w:rPr>
        <w:t>22.3未经许可，不使用相关数据开发和生成其他产品。</w:t>
      </w:r>
    </w:p>
    <w:p w14:paraId="04DB3DB5">
      <w:pPr>
        <w:pStyle w:val="51"/>
        <w:rPr>
          <w:rFonts w:hAnsi="宋体" w:cs="宋体"/>
          <w:color w:val="auto"/>
          <w:highlight w:val="none"/>
        </w:rPr>
      </w:pPr>
      <w:r>
        <w:rPr>
          <w:rFonts w:hint="eastAsia" w:hAnsi="宋体" w:cs="宋体"/>
          <w:color w:val="auto"/>
          <w:highlight w:val="none"/>
        </w:rPr>
        <w:t>22.4如供应商委托其他单位人员（包含但不限于设备原厂工程师）对采购方设备进行搬迁调试，需与委托的第三方单位进行保密约定，签署保密承诺书并提供给采购方。</w:t>
      </w:r>
    </w:p>
    <w:p w14:paraId="24C8D65F">
      <w:pPr>
        <w:pStyle w:val="51"/>
        <w:rPr>
          <w:rFonts w:hAnsi="宋体" w:cs="宋体"/>
          <w:color w:val="auto"/>
          <w:highlight w:val="none"/>
        </w:rPr>
      </w:pPr>
      <w:r>
        <w:rPr>
          <w:rFonts w:hint="eastAsia" w:hAnsi="宋体" w:cs="宋体"/>
          <w:color w:val="auto"/>
          <w:highlight w:val="none"/>
        </w:rPr>
        <w:t>23.保险</w:t>
      </w:r>
    </w:p>
    <w:p w14:paraId="7C90E3F1">
      <w:pPr>
        <w:pStyle w:val="51"/>
        <w:rPr>
          <w:rFonts w:hAnsi="宋体" w:cs="宋体"/>
          <w:color w:val="auto"/>
          <w:highlight w:val="none"/>
        </w:rPr>
      </w:pPr>
      <w:r>
        <w:rPr>
          <w:rFonts w:hint="eastAsia" w:hAnsi="宋体" w:cs="宋体"/>
          <w:color w:val="auto"/>
          <w:highlight w:val="none"/>
        </w:rPr>
        <w:t>供应商需为搬迁设备等物资投保（含运输过程）并提供相应的保险方案。</w:t>
      </w:r>
    </w:p>
    <w:p w14:paraId="509A884D">
      <w:pPr>
        <w:pStyle w:val="51"/>
        <w:rPr>
          <w:rFonts w:hAnsi="宋体" w:cs="宋体"/>
          <w:color w:val="auto"/>
          <w:highlight w:val="none"/>
        </w:rPr>
      </w:pPr>
      <w:r>
        <w:rPr>
          <w:rFonts w:hint="eastAsia" w:hAnsi="宋体" w:cs="宋体"/>
          <w:color w:val="auto"/>
          <w:highlight w:val="none"/>
        </w:rPr>
        <w:t>24.服务团队</w:t>
      </w:r>
    </w:p>
    <w:p w14:paraId="469A5226">
      <w:pPr>
        <w:pStyle w:val="51"/>
        <w:rPr>
          <w:rFonts w:hAnsi="宋体" w:cs="宋体"/>
          <w:color w:val="auto"/>
          <w:highlight w:val="none"/>
        </w:rPr>
      </w:pPr>
      <w:r>
        <w:rPr>
          <w:rFonts w:hint="eastAsia" w:hAnsi="宋体" w:cs="宋体"/>
          <w:color w:val="auto"/>
          <w:highlight w:val="none"/>
        </w:rPr>
        <w:t>24.1项目总负责人及技术负责人：本科及以上学历且设备等物资搬迁经验丰富；</w:t>
      </w:r>
    </w:p>
    <w:p w14:paraId="74BB5926">
      <w:pPr>
        <w:pStyle w:val="51"/>
        <w:rPr>
          <w:rFonts w:hAnsi="宋体" w:cs="宋体"/>
          <w:color w:val="auto"/>
          <w:highlight w:val="none"/>
        </w:rPr>
      </w:pPr>
      <w:r>
        <w:rPr>
          <w:rFonts w:hint="eastAsia" w:hAnsi="宋体" w:cs="宋体"/>
          <w:color w:val="auto"/>
          <w:highlight w:val="none"/>
        </w:rPr>
        <w:t>24.2管理团队人员：具有大型实训设备相关培训证书及设备等物资搬迁经验；</w:t>
      </w:r>
    </w:p>
    <w:p w14:paraId="760067CA">
      <w:pPr>
        <w:pStyle w:val="51"/>
        <w:rPr>
          <w:rFonts w:hAnsi="宋体" w:cs="宋体"/>
          <w:color w:val="auto"/>
          <w:highlight w:val="none"/>
        </w:rPr>
      </w:pPr>
      <w:r>
        <w:rPr>
          <w:rFonts w:hint="eastAsia" w:hAnsi="宋体" w:cs="宋体"/>
          <w:color w:val="auto"/>
          <w:highlight w:val="none"/>
        </w:rPr>
        <w:t>24.3技术团队人员：具有工程师培训证书或资质证明（维修/安装/培训等）及设备等物资搬迁经验，按照客户需求配备足够数量的技术人员。</w:t>
      </w:r>
    </w:p>
    <w:p w14:paraId="231654CF">
      <w:pPr>
        <w:pStyle w:val="51"/>
        <w:rPr>
          <w:rFonts w:hAnsi="宋体" w:cs="宋体"/>
          <w:color w:val="auto"/>
          <w:highlight w:val="none"/>
        </w:rPr>
      </w:pPr>
      <w:r>
        <w:rPr>
          <w:rFonts w:hint="eastAsia" w:hAnsi="宋体" w:cs="宋体"/>
          <w:color w:val="auto"/>
          <w:highlight w:val="none"/>
        </w:rPr>
        <w:t>24.4此次搬迁项目时间紧任务重，因此搬迁实施过程中应动态保证整体实施团队人员数。</w:t>
      </w:r>
    </w:p>
    <w:p w14:paraId="160E8289">
      <w:pPr>
        <w:pStyle w:val="51"/>
        <w:rPr>
          <w:rFonts w:hAnsi="宋体" w:cs="宋体"/>
          <w:color w:val="auto"/>
          <w:highlight w:val="none"/>
        </w:rPr>
      </w:pPr>
      <w:r>
        <w:rPr>
          <w:rFonts w:hint="eastAsia" w:hAnsi="宋体" w:cs="宋体"/>
          <w:color w:val="auto"/>
          <w:highlight w:val="none"/>
        </w:rPr>
        <w:t>25.其他要求</w:t>
      </w:r>
    </w:p>
    <w:p w14:paraId="55213046">
      <w:pPr>
        <w:pStyle w:val="51"/>
        <w:rPr>
          <w:rFonts w:hAnsi="宋体" w:cs="宋体"/>
          <w:color w:val="auto"/>
          <w:highlight w:val="none"/>
        </w:rPr>
      </w:pPr>
      <w:r>
        <w:rPr>
          <w:rFonts w:hint="eastAsia" w:hAnsi="宋体" w:cs="宋体"/>
          <w:color w:val="auto"/>
          <w:highlight w:val="none"/>
        </w:rPr>
        <w:t>▲25.1项目执行过程中发现的少量未列入清单的设备等物资（含配套设备设施、试剂耗材、备品配件、设备货架等）由供应商提供搬迁服务并包含在本次报价中。</w:t>
      </w:r>
    </w:p>
    <w:p w14:paraId="57C0BBE9">
      <w:pPr>
        <w:pStyle w:val="51"/>
        <w:rPr>
          <w:rFonts w:hAnsi="宋体" w:cs="宋体"/>
          <w:color w:val="auto"/>
          <w:highlight w:val="none"/>
        </w:rPr>
      </w:pPr>
      <w:r>
        <w:rPr>
          <w:rFonts w:hint="eastAsia" w:hAnsi="宋体" w:cs="宋体"/>
          <w:color w:val="auto"/>
          <w:highlight w:val="none"/>
        </w:rPr>
        <w:t xml:space="preserve">25.2采购方有权在签订合同时对项目方案做适当调整或对服务内容做适量增加或减少。 </w:t>
      </w:r>
    </w:p>
    <w:p w14:paraId="6A6EF413">
      <w:pPr>
        <w:pStyle w:val="51"/>
        <w:rPr>
          <w:rFonts w:hAnsi="宋体" w:cs="宋体"/>
          <w:color w:val="auto"/>
          <w:highlight w:val="none"/>
        </w:rPr>
      </w:pPr>
      <w:r>
        <w:rPr>
          <w:rFonts w:hint="eastAsia" w:hAnsi="宋体" w:cs="宋体"/>
          <w:color w:val="auto"/>
          <w:highlight w:val="none"/>
        </w:rPr>
        <w:t>25.3供应商承包及负责招标文件中对供应商要求的一切事宜及责任，包括装卸运输费、税金、组装就位调试费、设备安装验收、实验场地及设施修复、购买保险等各项全部费用。</w:t>
      </w:r>
    </w:p>
    <w:p w14:paraId="408829B1">
      <w:pPr>
        <w:pStyle w:val="51"/>
        <w:rPr>
          <w:rFonts w:hAnsi="宋体" w:cs="宋体"/>
          <w:color w:val="auto"/>
          <w:highlight w:val="none"/>
        </w:rPr>
      </w:pPr>
      <w:r>
        <w:rPr>
          <w:rFonts w:hint="eastAsia" w:hAnsi="宋体" w:cs="宋体"/>
          <w:color w:val="auto"/>
          <w:highlight w:val="none"/>
        </w:rPr>
        <w:t>25.4做好场地内车辆行驶路线规划和人员搬运路线安排，服从各门岗的管理。</w:t>
      </w:r>
    </w:p>
    <w:p w14:paraId="2843A031">
      <w:pPr>
        <w:pStyle w:val="51"/>
        <w:rPr>
          <w:rFonts w:hAnsi="宋体" w:cs="宋体"/>
          <w:color w:val="auto"/>
          <w:highlight w:val="none"/>
        </w:rPr>
      </w:pPr>
      <w:r>
        <w:rPr>
          <w:rFonts w:hint="eastAsia" w:hAnsi="宋体" w:cs="宋体"/>
          <w:color w:val="auto"/>
          <w:highlight w:val="none"/>
        </w:rPr>
        <w:t xml:space="preserve">25.5车辆和工作人员有统一企业标志、标识，工作人员统一着装、认真负责、态度好、言行文明，严格遵守采购人各项工作制度。 </w:t>
      </w:r>
    </w:p>
    <w:p w14:paraId="22E63631">
      <w:pPr>
        <w:pStyle w:val="51"/>
        <w:ind w:firstLine="482"/>
        <w:rPr>
          <w:rFonts w:hAnsi="宋体" w:cs="宋体"/>
          <w:b/>
          <w:bCs/>
          <w:color w:val="auto"/>
          <w:highlight w:val="none"/>
        </w:rPr>
      </w:pPr>
      <w:r>
        <w:rPr>
          <w:rFonts w:hint="eastAsia" w:hAnsi="宋体" w:cs="宋体"/>
          <w:b/>
          <w:bCs/>
          <w:color w:val="auto"/>
          <w:highlight w:val="none"/>
        </w:rPr>
        <w:t>四、商务要求</w:t>
      </w:r>
    </w:p>
    <w:p w14:paraId="18DBAB2E">
      <w:pPr>
        <w:pStyle w:val="51"/>
        <w:ind w:firstLine="482"/>
        <w:rPr>
          <w:rFonts w:hAnsi="宋体" w:cs="宋体"/>
          <w:color w:val="auto"/>
          <w:highlight w:val="none"/>
        </w:rPr>
      </w:pPr>
      <w:r>
        <w:rPr>
          <w:rFonts w:hint="eastAsia" w:hAnsi="宋体" w:cs="宋体"/>
          <w:b/>
          <w:bCs/>
          <w:color w:val="auto"/>
          <w:highlight w:val="none"/>
        </w:rPr>
        <w:t>付款方式：</w:t>
      </w:r>
      <w:r>
        <w:rPr>
          <w:rFonts w:hint="eastAsia" w:hAnsi="宋体" w:cs="宋体"/>
          <w:color w:val="auto"/>
          <w:highlight w:val="none"/>
        </w:rPr>
        <w:t>采购人自采购合同生效及具备实施条件后15日内支付合同金额的30%作为预付款，通过初步验收付款60%，通过最终验收付尾款10%。</w:t>
      </w:r>
    </w:p>
    <w:p w14:paraId="1C560EA9">
      <w:pPr>
        <w:pStyle w:val="51"/>
        <w:ind w:firstLine="482"/>
        <w:rPr>
          <w:rFonts w:hAnsi="宋体" w:cs="宋体"/>
          <w:b/>
          <w:bCs/>
          <w:color w:val="auto"/>
          <w:highlight w:val="none"/>
        </w:rPr>
      </w:pPr>
      <w:r>
        <w:rPr>
          <w:rFonts w:hint="eastAsia" w:hAnsi="宋体" w:cs="宋体"/>
          <w:b/>
          <w:bCs/>
          <w:color w:val="auto"/>
          <w:highlight w:val="none"/>
        </w:rPr>
        <w:t>服务期及服务地点</w:t>
      </w:r>
    </w:p>
    <w:p w14:paraId="4BC5D1F1">
      <w:pPr>
        <w:pStyle w:val="51"/>
        <w:rPr>
          <w:rFonts w:hAnsi="宋体" w:cs="宋体"/>
          <w:color w:val="auto"/>
          <w:highlight w:val="none"/>
        </w:rPr>
      </w:pPr>
      <w:r>
        <w:rPr>
          <w:rFonts w:hint="eastAsia" w:hAnsi="宋体" w:cs="宋体"/>
          <w:color w:val="auto"/>
          <w:highlight w:val="none"/>
        </w:rPr>
        <w:t>1、合同履行期限：以合同约定为准。</w:t>
      </w:r>
    </w:p>
    <w:p w14:paraId="71DEC551">
      <w:pPr>
        <w:pStyle w:val="51"/>
        <w:rPr>
          <w:rFonts w:hAnsi="宋体" w:cs="宋体"/>
          <w:color w:val="auto"/>
          <w:highlight w:val="none"/>
        </w:rPr>
      </w:pPr>
      <w:r>
        <w:rPr>
          <w:rFonts w:hint="eastAsia" w:hAnsi="宋体" w:cs="宋体"/>
          <w:color w:val="auto"/>
          <w:highlight w:val="none"/>
        </w:rPr>
        <w:t>2、服务地点：采购人指定地点。</w:t>
      </w:r>
    </w:p>
    <w:p w14:paraId="2E7D4267">
      <w:pPr>
        <w:widowControl/>
        <w:spacing w:line="240" w:lineRule="auto"/>
        <w:jc w:val="left"/>
        <w:rPr>
          <w:rFonts w:ascii="宋体" w:hAnsi="宋体"/>
          <w:color w:val="auto"/>
          <w:highlight w:val="none"/>
        </w:rPr>
      </w:pPr>
      <w:r>
        <w:rPr>
          <w:rFonts w:ascii="宋体" w:hAnsi="宋体"/>
          <w:color w:val="auto"/>
          <w:highlight w:val="none"/>
        </w:rPr>
        <w:br w:type="page"/>
      </w:r>
    </w:p>
    <w:p w14:paraId="18528289">
      <w:pPr>
        <w:pStyle w:val="4"/>
        <w:rPr>
          <w:color w:val="000000" w:themeColor="text1"/>
          <w14:textFill>
            <w14:solidFill>
              <w14:schemeClr w14:val="tx1"/>
            </w14:solidFill>
          </w14:textFill>
        </w:rPr>
      </w:pPr>
      <w:bookmarkStart w:id="2" w:name="_Toc90906521"/>
      <w:r>
        <w:rPr>
          <w:rFonts w:hint="eastAsia"/>
          <w:color w:val="000000" w:themeColor="text1"/>
          <w14:textFill>
            <w14:solidFill>
              <w14:schemeClr w14:val="tx1"/>
            </w14:solidFill>
          </w14:textFill>
        </w:rPr>
        <w:t>第三章 供应商须知</w:t>
      </w:r>
      <w:bookmarkEnd w:id="2"/>
    </w:p>
    <w:p w14:paraId="47539E63">
      <w:pPr>
        <w:pStyle w:val="5"/>
        <w:jc w:val="center"/>
        <w:rPr>
          <w:color w:val="000000" w:themeColor="text1"/>
          <w14:textFill>
            <w14:solidFill>
              <w14:schemeClr w14:val="tx1"/>
            </w14:solidFill>
          </w14:textFill>
        </w:rPr>
      </w:pPr>
      <w:bookmarkStart w:id="3" w:name="_Toc90906522"/>
      <w:r>
        <w:rPr>
          <w:rFonts w:hint="eastAsia"/>
          <w:color w:val="000000" w:themeColor="text1"/>
          <w14:textFill>
            <w14:solidFill>
              <w14:schemeClr w14:val="tx1"/>
            </w14:solidFill>
          </w14:textFill>
        </w:rPr>
        <w:t>前附表</w:t>
      </w:r>
      <w:bookmarkEnd w:id="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65DB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968528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072" w:type="dxa"/>
            <w:vAlign w:val="center"/>
          </w:tcPr>
          <w:p w14:paraId="3FF8B25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内容、要求</w:t>
            </w:r>
          </w:p>
        </w:tc>
      </w:tr>
      <w:tr w14:paraId="3D9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716B43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072" w:type="dxa"/>
            <w:vAlign w:val="center"/>
          </w:tcPr>
          <w:p w14:paraId="45E20EE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：湖州职业技术学院教学实训设备搬迁服务项目</w:t>
            </w:r>
          </w:p>
        </w:tc>
      </w:tr>
      <w:tr w14:paraId="7338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112808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072" w:type="dxa"/>
            <w:vAlign w:val="center"/>
          </w:tcPr>
          <w:p w14:paraId="11FD68EB">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采购内容及数量：详见第二章采购需求</w:t>
            </w:r>
          </w:p>
        </w:tc>
      </w:tr>
      <w:tr w14:paraId="75D3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C35FD0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072" w:type="dxa"/>
            <w:vAlign w:val="center"/>
          </w:tcPr>
          <w:p w14:paraId="242F5E74">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投标报价及费用：1、本项目投标应以人民币报价；2、不论投标结果如何，供应商均应自行承担所有与投标有关的全部费用</w:t>
            </w:r>
            <w:r>
              <w:rPr>
                <w:rFonts w:ascii="宋体" w:hAnsi="宋体"/>
                <w:color w:val="auto"/>
              </w:rPr>
              <w:t>；3、本项目招标代理服务费按人民币</w:t>
            </w:r>
            <w:r>
              <w:rPr>
                <w:rFonts w:hint="eastAsia" w:ascii="宋体" w:hAnsi="宋体"/>
                <w:color w:val="auto"/>
                <w:lang w:val="en-US" w:eastAsia="zh-CN"/>
              </w:rPr>
              <w:t>25000元</w:t>
            </w:r>
            <w:r>
              <w:rPr>
                <w:rFonts w:ascii="宋体" w:hAnsi="宋体"/>
                <w:color w:val="auto"/>
              </w:rPr>
              <w:t>计取，由中标供应商支付，该费用请各供应商自行考虑计入投标报价中。</w:t>
            </w:r>
            <w:r>
              <w:rPr>
                <w:rFonts w:hint="eastAsia" w:ascii="宋体" w:hAnsi="宋体"/>
                <w:b/>
                <w:bCs/>
                <w:color w:val="auto"/>
              </w:rPr>
              <w:t>采购代理机构开具增值税普通发票。</w:t>
            </w:r>
          </w:p>
        </w:tc>
      </w:tr>
      <w:tr w14:paraId="6C68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FF9D6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072" w:type="dxa"/>
            <w:vAlign w:val="center"/>
          </w:tcPr>
          <w:p w14:paraId="56DDDAC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答疑与澄清：供应商如认为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文件表述不清晰、存在歧视性或者其他违法内容的，可以在知道或者应知其权益受到损害之日起7个工作日内，以书面形式向采购人、采购代理机构提出质疑，根据《中华人民共和国财政部令第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tc>
      </w:tr>
      <w:tr w14:paraId="6000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F3F38B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8072" w:type="dxa"/>
            <w:vAlign w:val="center"/>
          </w:tcPr>
          <w:p w14:paraId="00CFACE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采购预算：人民币</w:t>
            </w:r>
            <w:r>
              <w:rPr>
                <w:rFonts w:hint="eastAsia" w:ascii="宋体" w:hAnsi="宋体"/>
                <w:color w:val="000000" w:themeColor="text1"/>
                <w14:textFill>
                  <w14:solidFill>
                    <w14:schemeClr w14:val="tx1"/>
                  </w14:solidFill>
                </w14:textFill>
              </w:rPr>
              <w:t>950万元</w:t>
            </w:r>
          </w:p>
        </w:tc>
      </w:tr>
      <w:tr w14:paraId="172C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EE163C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8072" w:type="dxa"/>
            <w:vAlign w:val="center"/>
          </w:tcPr>
          <w:p w14:paraId="7F2A9CB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1、投标文件的制作：本项目实行电子招投标。</w:t>
            </w:r>
          </w:p>
          <w:p w14:paraId="54AC38E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2、投标文件编制：供应商应先安装“政采云电子交易客户端”，并按照本采购文件和“政府采购云平台”的要求，通过“政采云电子交易客户端”编制并加密投标文件。</w:t>
            </w:r>
          </w:p>
          <w:p w14:paraId="5E6ECFFA">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3、投标文件的形式：电子投标文件（包括“电子加密投标文件”和“备份投标文件”，在投标文件编制完成后同时生成）；</w:t>
            </w:r>
          </w:p>
          <w:p w14:paraId="57585356">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“电子加密投标文件”是指通过“政采云电子交易客户端”完成投标文件编制后生成并加密的数据电文形式的投标文件。</w:t>
            </w:r>
          </w:p>
          <w:p w14:paraId="5E2083FC">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“备份投标文件”是指与“电子加密投标文件”同时生成的数据电文形式的电子文件（备份标书），其他方式编制的备份投标文件视为无效备份投标文件。</w:t>
            </w:r>
          </w:p>
          <w:p w14:paraId="561FE2B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4、投标文件份数：</w:t>
            </w:r>
          </w:p>
          <w:p w14:paraId="477D273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“电子加密投标文件”：在线上传递交一份。</w:t>
            </w:r>
          </w:p>
          <w:p w14:paraId="544FC58F">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“备份投标文件”：如果供应商在“政府采购云平台”完成的“电子加密投标文件”出现故障后，如供应商提交了符合条件的备份投标文件的，可以在30分钟内上传数据电</w:t>
            </w:r>
            <w:r>
              <w:rPr>
                <w:color w:val="000000" w:themeColor="text1"/>
                <w14:textFill>
                  <w14:solidFill>
                    <w14:schemeClr w14:val="tx1"/>
                  </w14:solidFill>
                </w14:textFill>
              </w:rPr>
              <w:t>文形式的</w:t>
            </w:r>
            <w:r>
              <w:rPr>
                <w:rFonts w:ascii="宋体" w:hAnsi="宋体"/>
                <w:color w:val="000000" w:themeColor="text1"/>
                <w14:textFill>
                  <w14:solidFill>
                    <w14:schemeClr w14:val="tx1"/>
                  </w14:solidFill>
                </w14:textFill>
              </w:rPr>
              <w:t>“备份投标文件”。</w:t>
            </w:r>
          </w:p>
          <w:p w14:paraId="4F086FA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5、投标文件的上传和递交：</w:t>
            </w:r>
          </w:p>
          <w:p w14:paraId="432508E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（1）“电子加密投标文件”的上传、递交：</w:t>
            </w:r>
          </w:p>
          <w:p w14:paraId="781A406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a.供应商应在投标截止时间前将“电子加密投标文件”成功上传递交至“政府采购云平台”，否则投标无效。</w:t>
            </w:r>
          </w:p>
          <w:p w14:paraId="2F5BA75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b.“电子加密投标文件”成功上传递交后，供应商可自行打印投标文件接收回执。</w:t>
            </w:r>
          </w:p>
          <w:p w14:paraId="3E70CD4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（2）“备份投标文件”的上传、递交：</w:t>
            </w:r>
          </w:p>
          <w:p w14:paraId="3B2423D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a.如果供应商在“政府采购云平台”完成的“电子加密投标文件”出现故障（遗失CA或其他原因）后，须在30分钟内上传数据电文形式的“备份投标文件”；</w:t>
            </w:r>
          </w:p>
          <w:p w14:paraId="0618EB8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b.通过“政府采购云平台”成功上传递交的“电子加密投标文件”已按时解密的，“备份投标文件”自动失效。</w:t>
            </w:r>
          </w:p>
          <w:p w14:paraId="0241B14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投标文件启用顺序和效力：投标文件的启用，按先后顺位分别为电子投标文件、数据电文形式的备份投标文件。</w:t>
            </w:r>
          </w:p>
          <w:p w14:paraId="0DC8C73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（3）所有投标文件逾期解密的视作无效标。</w:t>
            </w:r>
          </w:p>
          <w:p w14:paraId="150962F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6、电子加密投标文件的解密和异常情况处理：</w:t>
            </w:r>
          </w:p>
          <w:p w14:paraId="314447B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）开标后，采购代理机构将向各供应商发出“电子加密投标文件”的解密通知，各供应商代表应当在接到解密通知后30分钟内自行完成“电子加密投标文件”的在线解密。</w:t>
            </w:r>
          </w:p>
          <w:p w14:paraId="0E4691F0">
            <w:pPr>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w:t>
            </w: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）通过“政府采购云平台”成功上传“电子加密投标文件”的供应商，因遗失</w:t>
            </w:r>
            <w:r>
              <w:rPr>
                <w:rFonts w:ascii="宋体" w:hAnsi="宋体"/>
                <w:color w:val="000000" w:themeColor="text1"/>
                <w14:textFill>
                  <w14:solidFill>
                    <w14:schemeClr w14:val="tx1"/>
                  </w14:solidFill>
                </w14:textFill>
              </w:rPr>
              <w:t>CA或其他原因，导致无法解密“电子加密投标文件”的，由代理机构通过政采云电子交易平台【异常处理】端口上传、解密按规定递交的“备份投标文件。</w:t>
            </w:r>
          </w:p>
          <w:p w14:paraId="671690D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）供应商在规定的时间内无法完成投标文件解密的，视为自动放弃本项目的投标。</w:t>
            </w:r>
          </w:p>
        </w:tc>
      </w:tr>
      <w:tr w14:paraId="34FB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B42A68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8072" w:type="dxa"/>
            <w:vAlign w:val="center"/>
          </w:tcPr>
          <w:p w14:paraId="2D8D832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投标截止时间：</w:t>
            </w:r>
            <w:r>
              <w:rPr>
                <w:rFonts w:hint="eastAsia" w:ascii="宋体" w:hAnsi="宋体"/>
                <w:color w:val="000000" w:themeColor="text1"/>
                <w:spacing w:val="-9"/>
                <w14:textFill>
                  <w14:solidFill>
                    <w14:schemeClr w14:val="tx1"/>
                  </w14:solidFill>
                </w14:textFill>
              </w:rPr>
              <w:t>2025年  月  日</w:t>
            </w:r>
            <w:r>
              <w:rPr>
                <w:rFonts w:ascii="宋体" w:hAnsi="宋体"/>
                <w:color w:val="000000" w:themeColor="text1"/>
                <w14:textFill>
                  <w14:solidFill>
                    <w14:schemeClr w14:val="tx1"/>
                  </w14:solidFill>
                </w14:textFill>
              </w:rPr>
              <w:t>上午09</w:t>
            </w:r>
            <w:r>
              <w:rPr>
                <w:rFonts w:hint="eastAsia" w:ascii="宋体" w:hAns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0时</w:t>
            </w:r>
            <w:r>
              <w:rPr>
                <w:rFonts w:hint="eastAsia" w:ascii="宋体" w:hAnsi="宋体"/>
                <w:color w:val="000000" w:themeColor="text1"/>
                <w14:textFill>
                  <w14:solidFill>
                    <w14:schemeClr w14:val="tx1"/>
                  </w14:solidFill>
                </w14:textFill>
              </w:rPr>
              <w:t xml:space="preserve">  </w:t>
            </w:r>
          </w:p>
          <w:p w14:paraId="12F6284A">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6CC9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1675FC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072" w:type="dxa"/>
            <w:vAlign w:val="center"/>
          </w:tcPr>
          <w:p w14:paraId="09D49742">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开标时间：</w:t>
            </w:r>
            <w:r>
              <w:rPr>
                <w:rFonts w:hint="eastAsia" w:ascii="宋体" w:hAnsi="宋体"/>
                <w:color w:val="000000" w:themeColor="text1"/>
                <w:spacing w:val="-9"/>
                <w14:textFill>
                  <w14:solidFill>
                    <w14:schemeClr w14:val="tx1"/>
                  </w14:solidFill>
                </w14:textFill>
              </w:rPr>
              <w:t>2025年  月  日</w:t>
            </w:r>
            <w:r>
              <w:rPr>
                <w:rFonts w:ascii="宋体" w:hAnsi="宋体"/>
                <w:color w:val="000000" w:themeColor="text1"/>
                <w14:textFill>
                  <w14:solidFill>
                    <w14:schemeClr w14:val="tx1"/>
                  </w14:solidFill>
                </w14:textFill>
              </w:rPr>
              <w:t>上午09</w:t>
            </w:r>
            <w:r>
              <w:rPr>
                <w:rFonts w:hint="eastAsia" w:ascii="宋体" w:hAns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0时</w:t>
            </w:r>
          </w:p>
          <w:p w14:paraId="5B8DCBA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开标地点：湖州市公共资源交易中心2号楼二楼开标室（湖州市仁皇山片区金盖山路66号），具体详见二楼休息区电子显示屏。</w:t>
            </w:r>
          </w:p>
          <w:p w14:paraId="480453CA">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28A25AF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4F8C6178">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递交方式：</w:t>
            </w:r>
          </w:p>
          <w:p w14:paraId="08F8D705">
            <w:pPr>
              <w:rPr>
                <w:rFonts w:ascii="宋体" w:hAnsi="宋体"/>
                <w:color w:val="000000" w:themeColor="text1"/>
                <w14:textFill>
                  <w14:solidFill>
                    <w14:schemeClr w14:val="tx1"/>
                  </w14:solidFill>
                </w14:textFill>
              </w:rPr>
            </w:pPr>
            <w:r>
              <w:rPr>
                <w:rFonts w:ascii="宋体" w:hAnsi="宋体"/>
                <w:color w:val="000000" w:themeColor="text1"/>
                <w:spacing w:val="-5"/>
                <w14:textFill>
                  <w14:solidFill>
                    <w14:schemeClr w14:val="tx1"/>
                  </w14:solidFill>
                </w14:textFill>
              </w:rPr>
              <w:t>数据电子备份投标文件</w:t>
            </w:r>
            <w:r>
              <w:rPr>
                <w:rFonts w:ascii="宋体" w:hAnsi="宋体"/>
                <w:color w:val="000000" w:themeColor="text1"/>
                <w:spacing w:val="-7"/>
                <w14:textFill>
                  <w14:solidFill>
                    <w14:schemeClr w14:val="tx1"/>
                  </w14:solidFill>
                </w14:textFill>
              </w:rPr>
              <w:t>（</w:t>
            </w:r>
            <w:r>
              <w:rPr>
                <w:rFonts w:hint="eastAsia" w:ascii="宋体" w:hAnsi="宋体"/>
                <w:color w:val="000000" w:themeColor="text1"/>
                <w:spacing w:val="-7"/>
                <w14:textFill>
                  <w14:solidFill>
                    <w14:schemeClr w14:val="tx1"/>
                  </w14:solidFill>
                </w14:textFill>
              </w:rPr>
              <w:t>如有</w:t>
            </w:r>
            <w:r>
              <w:rPr>
                <w:rFonts w:ascii="宋体" w:hAnsi="宋体"/>
                <w:color w:val="000000" w:themeColor="text1"/>
                <w14:textFill>
                  <w14:solidFill>
                    <w14:schemeClr w14:val="tx1"/>
                  </w14:solidFill>
                </w14:textFill>
              </w:rPr>
              <w:t>）应通过邮寄快递方式送达（</w:t>
            </w:r>
            <w:r>
              <w:rPr>
                <w:rFonts w:ascii="宋体" w:hAnsi="宋体"/>
                <w:color w:val="000000" w:themeColor="text1"/>
                <w:spacing w:val="-5"/>
                <w14:textFill>
                  <w14:solidFill>
                    <w14:schemeClr w14:val="tx1"/>
                  </w14:solidFill>
                </w14:textFill>
              </w:rPr>
              <w:t>原则上邮寄公司统一采用</w:t>
            </w:r>
            <w:r>
              <w:rPr>
                <w:rFonts w:ascii="宋体" w:hAnsi="宋体"/>
                <w:color w:val="000000" w:themeColor="text1"/>
                <w14:textFill>
                  <w14:solidFill>
                    <w14:schemeClr w14:val="tx1"/>
                  </w14:solidFill>
                </w14:textFill>
              </w:rPr>
              <w:t>顺丰），邮寄地址为：</w:t>
            </w:r>
            <w:r>
              <w:rPr>
                <w:rFonts w:hint="eastAsia" w:ascii="宋体" w:hAnsi="宋体"/>
                <w:color w:val="000000" w:themeColor="text1"/>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湖州市星洲国际10幢5楼</w:t>
            </w:r>
            <w:r>
              <w:rPr>
                <w:rFonts w:ascii="宋体" w:hAnsi="宋体"/>
                <w:color w:val="000000" w:themeColor="text1"/>
                <w14:textFill>
                  <w14:solidFill>
                    <w14:schemeClr w14:val="tx1"/>
                  </w14:solidFill>
                </w14:textFill>
              </w:rPr>
              <w:t>），联系电话：</w:t>
            </w:r>
            <w:r>
              <w:rPr>
                <w:rFonts w:hint="eastAsia" w:ascii="宋体" w:hAnsi="宋体"/>
                <w:color w:val="000000" w:themeColor="text1"/>
                <w14:textFill>
                  <w14:solidFill>
                    <w14:schemeClr w14:val="tx1"/>
                  </w14:solidFill>
                </w14:textFill>
              </w:rPr>
              <w:t>13567996176</w:t>
            </w:r>
            <w:r>
              <w:rPr>
                <w:rFonts w:ascii="宋体" w:hAnsi="宋体"/>
                <w:color w:val="000000" w:themeColor="text1"/>
                <w14:textFill>
                  <w14:solidFill>
                    <w14:schemeClr w14:val="tx1"/>
                  </w14:solidFill>
                </w14:textFill>
              </w:rPr>
              <w:t>。邮寄截止时间：供应商应于投标文</w:t>
            </w:r>
            <w:r>
              <w:rPr>
                <w:rFonts w:ascii="宋体" w:hAnsi="宋体"/>
                <w:color w:val="000000" w:themeColor="text1"/>
                <w:spacing w:val="-5"/>
                <w14:textFill>
                  <w14:solidFill>
                    <w14:schemeClr w14:val="tx1"/>
                  </w14:solidFill>
                </w14:textFill>
              </w:rPr>
              <w:t>件截止递交前一个工作日下午</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30</w:t>
            </w:r>
            <w:r>
              <w:rPr>
                <w:rFonts w:ascii="宋体" w:hAnsi="宋体"/>
                <w:color w:val="000000" w:themeColor="text1"/>
                <w:spacing w:val="-8"/>
                <w14:textFill>
                  <w14:solidFill>
                    <w14:schemeClr w14:val="tx1"/>
                  </w14:solidFill>
                </w14:textFill>
              </w:rPr>
              <w:t>时前准时送达，逾期不予受理。供应商须留足投标</w:t>
            </w:r>
            <w:r>
              <w:rPr>
                <w:rFonts w:ascii="宋体" w:hAnsi="宋体"/>
                <w:color w:val="000000" w:themeColor="text1"/>
                <w:spacing w:val="-9"/>
                <w14:textFill>
                  <w14:solidFill>
                    <w14:schemeClr w14:val="tx1"/>
                  </w14:solidFill>
                </w14:textFill>
              </w:rPr>
              <w:t>文件邮寄时间,确保数据电子备份投标文件</w:t>
            </w:r>
            <w:r>
              <w:rPr>
                <w:rFonts w:ascii="宋体" w:hAnsi="宋体"/>
                <w:color w:val="000000" w:themeColor="text1"/>
                <w14:textFill>
                  <w14:solidFill>
                    <w14:schemeClr w14:val="tx1"/>
                  </w14:solidFill>
                </w14:textFill>
              </w:rPr>
              <w:t>（U</w:t>
            </w:r>
            <w:r>
              <w:rPr>
                <w:rFonts w:ascii="宋体" w:hAnsi="宋体"/>
                <w:color w:val="000000" w:themeColor="text1"/>
                <w:spacing w:val="-31"/>
                <w14:textFill>
                  <w14:solidFill>
                    <w14:schemeClr w14:val="tx1"/>
                  </w14:solidFill>
                </w14:textFill>
              </w:rPr>
              <w:t xml:space="preserve"> 盘</w:t>
            </w:r>
            <w:r>
              <w:rPr>
                <w:rFonts w:ascii="宋体" w:hAnsi="宋体"/>
                <w:color w:val="000000" w:themeColor="text1"/>
                <w:spacing w:val="-15"/>
                <w14:textFill>
                  <w14:solidFill>
                    <w14:schemeClr w14:val="tx1"/>
                  </w14:solidFill>
                </w14:textFill>
              </w:rPr>
              <w:t>）</w:t>
            </w:r>
            <w:r>
              <w:rPr>
                <w:rFonts w:ascii="宋体" w:hAnsi="宋体"/>
                <w:color w:val="000000" w:themeColor="text1"/>
                <w:spacing w:val="-3"/>
                <w14:textFill>
                  <w14:solidFill>
                    <w14:schemeClr w14:val="tx1"/>
                  </w14:solidFill>
                </w14:textFill>
              </w:rPr>
              <w:t>于规定的时间前送达指定地点，未按</w:t>
            </w:r>
            <w:r>
              <w:rPr>
                <w:rFonts w:ascii="宋体" w:hAnsi="宋体"/>
                <w:color w:val="000000" w:themeColor="text1"/>
                <w14:textFill>
                  <w14:solidFill>
                    <w14:schemeClr w14:val="tx1"/>
                  </w14:solidFill>
                </w14:textFill>
              </w:rPr>
              <w:t>时送达的，均按未提供处理</w:t>
            </w:r>
            <w:r>
              <w:rPr>
                <w:rFonts w:hint="eastAsia" w:ascii="宋体" w:hAnsi="宋体"/>
                <w:color w:val="000000" w:themeColor="text1"/>
                <w14:textFill>
                  <w14:solidFill>
                    <w14:schemeClr w14:val="tx1"/>
                  </w14:solidFill>
                </w14:textFill>
              </w:rPr>
              <w:t>。</w:t>
            </w:r>
          </w:p>
          <w:p w14:paraId="104431C2">
            <w:pP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整个开标过程中若因供应商问题造成电子投标文件无法正常解密的，均认定为未提交电子投标文件，作无效标处理。若因网络或者其他非供应商问题造成电子投标文件无法正常解密的，启用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盘），因供应商自身原因造成数据电子备份投标文件（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盘）无法打开的，作无效标处理。若正常解密成功，则数据电子备份投标文件（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盘）不予开启。在下一顺位的投标文件启用时，前一顺位的投标文件自动失效。</w:t>
            </w:r>
          </w:p>
        </w:tc>
      </w:tr>
      <w:tr w14:paraId="141C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A79404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8072" w:type="dxa"/>
            <w:vAlign w:val="center"/>
          </w:tcPr>
          <w:p w14:paraId="52B297B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评标办法及评分标准：附后</w:t>
            </w:r>
          </w:p>
        </w:tc>
      </w:tr>
      <w:tr w14:paraId="1106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1E113F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w:t>
            </w:r>
          </w:p>
        </w:tc>
        <w:tc>
          <w:tcPr>
            <w:tcW w:w="8072" w:type="dxa"/>
            <w:vAlign w:val="center"/>
          </w:tcPr>
          <w:p w14:paraId="4327E92B">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中标结果公告：采购人依法确定中标供应商后2个工作日内发布中标结果公告，公告发布网址如下：</w:t>
            </w:r>
          </w:p>
          <w:p w14:paraId="38EA2B6B">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浙江省政府采购网：https://zfcg.czt.zj.gov.cn/；</w:t>
            </w:r>
          </w:p>
          <w:p w14:paraId="2E7F74E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湖州市公共资源交易信息网：http://ggzy.huzhou.gov.cn/HZfront/。</w:t>
            </w:r>
          </w:p>
        </w:tc>
      </w:tr>
      <w:tr w14:paraId="3D3B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9C1EE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8072" w:type="dxa"/>
            <w:vAlign w:val="center"/>
          </w:tcPr>
          <w:p w14:paraId="5ACBE41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中标通知书：在发布中标结果公告的同时，向中标供应商发中标通知书</w:t>
            </w:r>
          </w:p>
        </w:tc>
      </w:tr>
      <w:tr w14:paraId="3AA5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C4472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8072" w:type="dxa"/>
            <w:vAlign w:val="center"/>
          </w:tcPr>
          <w:p w14:paraId="403AED8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签订合同时间：中标通知书发出后30日内</w:t>
            </w:r>
          </w:p>
        </w:tc>
      </w:tr>
      <w:tr w14:paraId="06A5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39088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8072" w:type="dxa"/>
            <w:vAlign w:val="center"/>
          </w:tcPr>
          <w:p w14:paraId="614DF64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履约保证金</w:t>
            </w:r>
            <w:r>
              <w:rPr>
                <w:rFonts w:hint="eastAsia" w:ascii="宋体" w:hAnsi="宋体"/>
                <w:color w:val="000000" w:themeColor="text1"/>
                <w14:textFill>
                  <w14:solidFill>
                    <w14:schemeClr w14:val="tx1"/>
                  </w14:solidFill>
                </w14:textFill>
              </w:rPr>
              <w:t>：无</w:t>
            </w:r>
          </w:p>
        </w:tc>
      </w:tr>
      <w:tr w14:paraId="5D99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DBDA98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8072" w:type="dxa"/>
            <w:vAlign w:val="center"/>
          </w:tcPr>
          <w:p w14:paraId="136CF99A">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投标文件有效期：</w:t>
            </w:r>
            <w:r>
              <w:rPr>
                <w:rFonts w:hint="eastAsia" w:ascii="宋体" w:hAnsi="宋体"/>
                <w:color w:val="000000" w:themeColor="text1"/>
                <w14:textFill>
                  <w14:solidFill>
                    <w14:schemeClr w14:val="tx1"/>
                  </w14:solidFill>
                </w14:textFill>
              </w:rPr>
              <w:t>90天</w:t>
            </w:r>
          </w:p>
        </w:tc>
      </w:tr>
      <w:tr w14:paraId="5667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B8761B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p>
        </w:tc>
        <w:tc>
          <w:tcPr>
            <w:tcW w:w="8072" w:type="dxa"/>
            <w:vAlign w:val="center"/>
          </w:tcPr>
          <w:p w14:paraId="508975D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解释：本采购文件的解释权属于采购人</w:t>
            </w:r>
          </w:p>
        </w:tc>
      </w:tr>
      <w:tr w14:paraId="0DB9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3D1F8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p>
        </w:tc>
        <w:tc>
          <w:tcPr>
            <w:tcW w:w="8072" w:type="dxa"/>
            <w:vAlign w:val="center"/>
          </w:tcPr>
          <w:p w14:paraId="09240A0A">
            <w:pP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在确定中标供应商后，签订合同前，中标供应商须提供三份完整的纸质投标文件给采购人，纸质投标文件须与电子投标文件格式及内容一致。</w:t>
            </w:r>
          </w:p>
        </w:tc>
      </w:tr>
      <w:tr w14:paraId="7A68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E99FD4">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w:t>
            </w:r>
          </w:p>
        </w:tc>
        <w:tc>
          <w:tcPr>
            <w:tcW w:w="8072" w:type="dxa"/>
            <w:vAlign w:val="center"/>
          </w:tcPr>
          <w:p w14:paraId="1B8FB787">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特别说明：政采云公司如对电子化开标及评审程序有调整的，应按调整的程序操作。</w:t>
            </w:r>
          </w:p>
        </w:tc>
      </w:tr>
    </w:tbl>
    <w:p w14:paraId="3DD9046C">
      <w:pPr>
        <w:pStyle w:val="5"/>
        <w:spacing w:before="0" w:after="0" w:line="500" w:lineRule="exact"/>
        <w:rPr>
          <w:color w:val="000000" w:themeColor="text1"/>
          <w:sz w:val="24"/>
          <w:szCs w:val="24"/>
          <w14:textFill>
            <w14:solidFill>
              <w14:schemeClr w14:val="tx1"/>
            </w14:solidFill>
          </w14:textFill>
        </w:rPr>
      </w:pPr>
      <w:bookmarkStart w:id="4" w:name="_Toc90906523"/>
      <w:r>
        <w:rPr>
          <w:color w:val="000000" w:themeColor="text1"/>
          <w:sz w:val="24"/>
          <w:szCs w:val="24"/>
          <w14:textFill>
            <w14:solidFill>
              <w14:schemeClr w14:val="tx1"/>
            </w14:solidFill>
          </w14:textFill>
        </w:rPr>
        <w:t>一、总则</w:t>
      </w:r>
      <w:bookmarkEnd w:id="4"/>
    </w:p>
    <w:p w14:paraId="229AD75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（一）适用范围</w:t>
      </w:r>
    </w:p>
    <w:p w14:paraId="4B5E172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文件适用于</w:t>
      </w:r>
      <w:r>
        <w:rPr>
          <w:rFonts w:hint="eastAsia" w:ascii="宋体" w:hAnsi="宋体"/>
          <w:b/>
          <w:color w:val="000000" w:themeColor="text1"/>
          <w:u w:val="single"/>
          <w14:textFill>
            <w14:solidFill>
              <w14:schemeClr w14:val="tx1"/>
            </w14:solidFill>
          </w14:textFill>
        </w:rPr>
        <w:t>湖州职业技术学院教学实训设备搬迁服务项目</w:t>
      </w:r>
      <w:r>
        <w:rPr>
          <w:rFonts w:ascii="宋体" w:hAnsi="宋体"/>
          <w:color w:val="000000" w:themeColor="text1"/>
          <w14:textFill>
            <w14:solidFill>
              <w14:schemeClr w14:val="tx1"/>
            </w14:solidFill>
          </w14:textFill>
        </w:rPr>
        <w:t>的招标、投标、评标、定标、验收、合同履约、付款等行为（法律、法规另有规定的，从其规定）。</w:t>
      </w:r>
    </w:p>
    <w:p w14:paraId="1798A79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（二）采购预算：人民币</w:t>
      </w:r>
      <w:r>
        <w:rPr>
          <w:rFonts w:hint="eastAsia" w:ascii="宋体" w:hAnsi="宋体"/>
          <w:color w:val="000000" w:themeColor="text1"/>
          <w14:textFill>
            <w14:solidFill>
              <w14:schemeClr w14:val="tx1"/>
            </w14:solidFill>
          </w14:textFill>
        </w:rPr>
        <w:t>950万元</w:t>
      </w:r>
    </w:p>
    <w:p w14:paraId="4EB642C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（三）定义</w:t>
      </w:r>
    </w:p>
    <w:p w14:paraId="28D3CAD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人系指组织本次招标的</w:t>
      </w:r>
      <w:r>
        <w:rPr>
          <w:rFonts w:hint="eastAsia" w:ascii="宋体" w:hAnsi="宋体"/>
          <w:b/>
          <w:color w:val="000000" w:themeColor="text1"/>
          <w:u w:val="single"/>
          <w14:textFill>
            <w14:solidFill>
              <w14:schemeClr w14:val="tx1"/>
            </w14:solidFill>
          </w14:textFill>
        </w:rPr>
        <w:t>湖州职业技术学院</w:t>
      </w:r>
      <w:r>
        <w:rPr>
          <w:rFonts w:ascii="宋体" w:hAnsi="宋体"/>
          <w:color w:val="000000" w:themeColor="text1"/>
          <w14:textFill>
            <w14:solidFill>
              <w14:schemeClr w14:val="tx1"/>
            </w14:solidFill>
          </w14:textFill>
        </w:rPr>
        <w:t>，采购代理机构系指受采购人委托组织本次招标的</w:t>
      </w:r>
      <w:r>
        <w:rPr>
          <w:rFonts w:hint="eastAsia" w:ascii="宋体" w:hAnsi="宋体"/>
          <w:b/>
          <w:color w:val="000000" w:themeColor="text1"/>
          <w:u w:val="single"/>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p>
    <w:p w14:paraId="2855DC1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“供应商”指向采购人提交投标文件的单位。</w:t>
      </w:r>
    </w:p>
    <w:p w14:paraId="09E7AB5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项目”系指供应商按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文件规定向采购人提供的服务及类似其他义务。</w:t>
      </w:r>
    </w:p>
    <w:p w14:paraId="456FF79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“书面形式”包括信函、传真、电报等。</w:t>
      </w:r>
    </w:p>
    <w:p w14:paraId="70A3833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“▲”系指实质性要求条款。</w:t>
      </w:r>
    </w:p>
    <w:p w14:paraId="29B9CB7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（四）采购方式</w:t>
      </w:r>
    </w:p>
    <w:p w14:paraId="40A7C5F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本次招标采用公开招标方式进行。</w:t>
      </w:r>
    </w:p>
    <w:p w14:paraId="03EF1F7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（五）投标委托（两种方式）</w:t>
      </w:r>
    </w:p>
    <w:p w14:paraId="5BE4FA5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1、本项目原则上采用不见面形式开标，法定代表人或其授权委托人无需到场，在线响应即可（通过指定的电子邮箱、传真等方式）。</w:t>
      </w:r>
    </w:p>
    <w:p w14:paraId="2ACA889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2、若供应商派授权代表出席开标会议，须携带有效身份证件。如供应商代表不是法定代表人，须有法定代表人出具的授权委托书及授权代理人最近一个月个人社保缴纳证明文件（格式见第六章）。</w:t>
      </w:r>
    </w:p>
    <w:p w14:paraId="6448719B">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注：供应商若派授权代表出席开标会议，须随身携带笔记本电脑及制作电子投标文件的CA锁，交易中心不提供无线网络，由供应商自行解决。</w:t>
      </w:r>
    </w:p>
    <w:p w14:paraId="73FD9CB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（六）投标费用</w:t>
      </w:r>
    </w:p>
    <w:p w14:paraId="7B20D24E">
      <w:pPr>
        <w:ind w:firstLine="480" w:firstLineChars="200"/>
        <w:rPr>
          <w:rFonts w:ascii="宋体" w:hAnsi="宋体"/>
          <w:color w:val="auto"/>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供应商应自行承担投标</w:t>
      </w:r>
      <w:r>
        <w:rPr>
          <w:rFonts w:ascii="宋体" w:hAnsi="宋体"/>
          <w:color w:val="auto"/>
        </w:rPr>
        <w:t>过程中的所有相关费用，不论中标与否，采购人及采购代理机构在任何情况下不承担有关费用。</w:t>
      </w:r>
    </w:p>
    <w:p w14:paraId="09E935C0">
      <w:pPr>
        <w:ind w:firstLine="480" w:firstLineChars="200"/>
        <w:rPr>
          <w:rFonts w:ascii="宋体" w:hAnsi="宋体"/>
          <w:color w:val="000000" w:themeColor="text1"/>
          <w14:textFill>
            <w14:solidFill>
              <w14:schemeClr w14:val="tx1"/>
            </w14:solidFill>
          </w14:textFill>
        </w:rPr>
      </w:pPr>
      <w:r>
        <w:rPr>
          <w:rFonts w:ascii="宋体" w:hAnsi="宋体"/>
          <w:color w:val="auto"/>
        </w:rPr>
        <w:t>2</w:t>
      </w:r>
      <w:r>
        <w:rPr>
          <w:rFonts w:hint="eastAsia" w:ascii="宋体" w:hAnsi="宋体"/>
          <w:color w:val="auto"/>
        </w:rPr>
        <w:t>、</w:t>
      </w:r>
      <w:r>
        <w:rPr>
          <w:rFonts w:ascii="宋体" w:hAnsi="宋体"/>
          <w:color w:val="auto"/>
        </w:rPr>
        <w:t>本项目招标代理服务费：按人民币</w:t>
      </w:r>
      <w:r>
        <w:rPr>
          <w:rFonts w:hint="eastAsia" w:ascii="宋体" w:hAnsi="宋体"/>
          <w:color w:val="auto"/>
          <w:lang w:val="en-US" w:eastAsia="zh-CN"/>
        </w:rPr>
        <w:t>25000元</w:t>
      </w:r>
      <w:r>
        <w:rPr>
          <w:rFonts w:ascii="宋体" w:hAnsi="宋体"/>
          <w:color w:val="auto"/>
        </w:rPr>
        <w:t>计取，在确定中标供应商后，领取中标通知书前，由中标供应商支付，该费用请各供应商自行考虑</w:t>
      </w:r>
      <w:r>
        <w:rPr>
          <w:rFonts w:ascii="宋体" w:hAnsi="宋体"/>
          <w:color w:val="000000" w:themeColor="text1"/>
          <w14:textFill>
            <w14:solidFill>
              <w14:schemeClr w14:val="tx1"/>
            </w14:solidFill>
          </w14:textFill>
        </w:rPr>
        <w:t>计入投标报价中。</w:t>
      </w:r>
      <w:r>
        <w:rPr>
          <w:rFonts w:hint="eastAsia" w:ascii="宋体" w:hAnsi="宋体"/>
          <w:b/>
          <w:bCs/>
          <w:color w:val="000000" w:themeColor="text1"/>
          <w14:textFill>
            <w14:solidFill>
              <w14:schemeClr w14:val="tx1"/>
            </w14:solidFill>
          </w14:textFill>
        </w:rPr>
        <w:t>采购代理机构开具增值税普通发票。</w:t>
      </w:r>
    </w:p>
    <w:p w14:paraId="760913D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（七）联合体投标</w:t>
      </w:r>
    </w:p>
    <w:p w14:paraId="42CDBBB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本项目不接受联合体投标。</w:t>
      </w:r>
    </w:p>
    <w:p w14:paraId="469C8A8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（八）转包与分包</w:t>
      </w:r>
    </w:p>
    <w:p w14:paraId="49AF004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本项目不允许转包，也不可以分包。</w:t>
      </w:r>
    </w:p>
    <w:p w14:paraId="6CBC5E4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特别说明：</w:t>
      </w:r>
    </w:p>
    <w:p w14:paraId="0DEC90C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供应商投标所使用的资格、信誉、荣誉、业绩与企业认证必须为本法人所拥有。供应商投标所使用的采购项目实施人员必须为本法人员工。</w:t>
      </w:r>
    </w:p>
    <w:p w14:paraId="48F48E0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供应商应仔细阅读</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文件的所有内容，按照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文件的要求提交投标文件，并对所提供的全部资料的真实性承担法律责任。</w:t>
      </w:r>
    </w:p>
    <w:p w14:paraId="5D25CD3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771B3F7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单位负责人为同一人或者存在直接控股、管理关系的不同供应商，不得参加同一合同标项下的政府采购活动。</w:t>
      </w:r>
    </w:p>
    <w:p w14:paraId="06AD23C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（九）质疑和投诉</w:t>
      </w:r>
    </w:p>
    <w:p w14:paraId="2820D57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根据《中华人民共和国财政部令第94号-政府采购质疑和投诉办法》第二章规定。</w:t>
      </w:r>
    </w:p>
    <w:p w14:paraId="08C1CBE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w:t>
      </w:r>
    </w:p>
    <w:p w14:paraId="528F4551">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提出质疑的供应商（以下简称质疑供应商）应当是参与所质疑项目采购活动的供应商。</w:t>
      </w:r>
      <w:r>
        <w:rPr>
          <w:rFonts w:ascii="宋体" w:hAnsi="宋体"/>
          <w:color w:val="000000" w:themeColor="text1"/>
          <w:spacing w:val="-4"/>
          <w14:textFill>
            <w14:solidFill>
              <w14:schemeClr w14:val="tx1"/>
            </w14:solidFill>
          </w14:textFill>
        </w:rPr>
        <w:t>潜在供应商已依法获取</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依法获取指：</w:t>
      </w:r>
      <w:r>
        <w:rPr>
          <w:rFonts w:ascii="宋体" w:hAnsi="宋体"/>
          <w:b/>
          <w:color w:val="000000" w:themeColor="text1"/>
          <w:spacing w:val="-7"/>
          <w:u w:val="single"/>
          <w14:textFill>
            <w14:solidFill>
              <w14:schemeClr w14:val="tx1"/>
            </w14:solidFill>
          </w14:textFill>
        </w:rPr>
        <w:t>依法获取指：供应商按本项目</w:t>
      </w:r>
      <w:r>
        <w:rPr>
          <w:rFonts w:hint="eastAsia" w:ascii="宋体" w:hAnsi="宋体"/>
          <w:b/>
          <w:color w:val="000000" w:themeColor="text1"/>
          <w:spacing w:val="-7"/>
          <w:u w:val="single"/>
          <w14:textFill>
            <w14:solidFill>
              <w14:schemeClr w14:val="tx1"/>
            </w14:solidFill>
          </w14:textFill>
        </w:rPr>
        <w:t>采购</w:t>
      </w:r>
      <w:r>
        <w:rPr>
          <w:rFonts w:ascii="宋体" w:hAnsi="宋体"/>
          <w:b/>
          <w:color w:val="000000" w:themeColor="text1"/>
          <w:spacing w:val="-7"/>
          <w:u w:val="single"/>
          <w14:textFill>
            <w14:solidFill>
              <w14:schemeClr w14:val="tx1"/>
            </w14:solidFill>
          </w14:textFill>
        </w:rPr>
        <w:t>公告要求在政采云</w:t>
      </w:r>
      <w:r>
        <w:rPr>
          <w:rFonts w:ascii="宋体" w:hAnsi="宋体"/>
          <w:b/>
          <w:color w:val="000000" w:themeColor="text1"/>
          <w:u w:val="single"/>
          <w14:textFill>
            <w14:solidFill>
              <w14:schemeClr w14:val="tx1"/>
            </w14:solidFill>
          </w14:textFill>
        </w:rPr>
        <w:t>系统上获取并报名成功</w:t>
      </w:r>
      <w:r>
        <w:rPr>
          <w:rFonts w:ascii="宋体" w:hAnsi="宋体"/>
          <w:color w:val="000000" w:themeColor="text1"/>
          <w:spacing w:val="-32"/>
          <w14:textFill>
            <w14:solidFill>
              <w14:schemeClr w14:val="tx1"/>
            </w14:solidFill>
          </w14:textFill>
        </w:rPr>
        <w:t>）</w:t>
      </w:r>
      <w:r>
        <w:rPr>
          <w:rFonts w:ascii="宋体" w:hAnsi="宋体"/>
          <w:color w:val="000000" w:themeColor="text1"/>
          <w:spacing w:val="-6"/>
          <w14:textFill>
            <w14:solidFill>
              <w14:schemeClr w14:val="tx1"/>
            </w14:solidFill>
          </w14:textFill>
        </w:rPr>
        <w:t>其可质疑的</w:t>
      </w:r>
      <w:r>
        <w:rPr>
          <w:rFonts w:hint="eastAsia" w:ascii="宋体" w:hAnsi="宋体"/>
          <w:color w:val="000000" w:themeColor="text1"/>
          <w:spacing w:val="-6"/>
          <w14:textFill>
            <w14:solidFill>
              <w14:schemeClr w14:val="tx1"/>
            </w14:solidFill>
          </w14:textFill>
        </w:rPr>
        <w:t>采购</w:t>
      </w:r>
      <w:r>
        <w:rPr>
          <w:rFonts w:ascii="宋体" w:hAnsi="宋体"/>
          <w:color w:val="000000" w:themeColor="text1"/>
          <w:spacing w:val="-6"/>
          <w14:textFill>
            <w14:solidFill>
              <w14:schemeClr w14:val="tx1"/>
            </w14:solidFill>
          </w14:textFill>
        </w:rPr>
        <w:t>文件的，可以对该文件提出质疑。未按照规定方式依法</w:t>
      </w:r>
      <w:r>
        <w:rPr>
          <w:rFonts w:ascii="宋体" w:hAnsi="宋体"/>
          <w:color w:val="000000" w:themeColor="text1"/>
          <w:spacing w:val="-8"/>
          <w14:textFill>
            <w14:solidFill>
              <w14:schemeClr w14:val="tx1"/>
            </w14:solidFill>
          </w14:textFill>
        </w:rPr>
        <w:t>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文件的，不得对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文件提起质疑投诉。对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文件提出质疑的，应当在获取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w:t>
      </w:r>
      <w:r>
        <w:rPr>
          <w:rFonts w:ascii="宋体" w:hAnsi="宋体"/>
          <w:color w:val="000000" w:themeColor="text1"/>
          <w:spacing w:val="-4"/>
          <w14:textFill>
            <w14:solidFill>
              <w14:schemeClr w14:val="tx1"/>
            </w14:solidFill>
          </w14:textFill>
        </w:rPr>
        <w:t>或者</w:t>
      </w:r>
      <w:r>
        <w:rPr>
          <w:rFonts w:hint="eastAsia" w:ascii="宋体" w:hAnsi="宋体"/>
          <w:color w:val="000000" w:themeColor="text1"/>
          <w:spacing w:val="-4"/>
          <w14:textFill>
            <w14:solidFill>
              <w14:schemeClr w14:val="tx1"/>
            </w14:solidFill>
          </w14:textFill>
        </w:rPr>
        <w:t>采购</w:t>
      </w:r>
      <w:r>
        <w:rPr>
          <w:rFonts w:ascii="宋体" w:hAnsi="宋体"/>
          <w:color w:val="000000" w:themeColor="text1"/>
          <w:spacing w:val="-4"/>
          <w14:textFill>
            <w14:solidFill>
              <w14:schemeClr w14:val="tx1"/>
            </w14:solidFill>
          </w14:textFill>
        </w:rPr>
        <w:t>文件公告期限届满之日起</w:t>
      </w:r>
      <w:r>
        <w:rPr>
          <w:rFonts w:ascii="宋体" w:hAnsi="宋体"/>
          <w:color w:val="000000" w:themeColor="text1"/>
          <w14:textFill>
            <w14:solidFill>
              <w14:schemeClr w14:val="tx1"/>
            </w14:solidFill>
          </w14:textFill>
        </w:rPr>
        <w:t>7</w:t>
      </w:r>
      <w:r>
        <w:rPr>
          <w:rFonts w:ascii="宋体" w:hAnsi="宋体"/>
          <w:color w:val="000000" w:themeColor="text1"/>
          <w:spacing w:val="-8"/>
          <w14:textFill>
            <w14:solidFill>
              <w14:schemeClr w14:val="tx1"/>
            </w14:solidFill>
          </w14:textFill>
        </w:rPr>
        <w:t>个工作日内提出。</w:t>
      </w:r>
    </w:p>
    <w:p w14:paraId="345982C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供应商提出质疑应当提交质疑函和必要的证明材料。质疑函应当包括下列内容:</w:t>
      </w:r>
    </w:p>
    <w:p w14:paraId="6DE5F11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供应商的姓名或者名称、地址、邮编、联系人及联系电话；</w:t>
      </w:r>
    </w:p>
    <w:p w14:paraId="68F3B5F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质疑项目的名称、编号；</w:t>
      </w:r>
    </w:p>
    <w:p w14:paraId="24903A0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具体、明确的质疑事项和与质疑事项相关的请求；</w:t>
      </w:r>
    </w:p>
    <w:p w14:paraId="6138BB7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事实依据；</w:t>
      </w:r>
    </w:p>
    <w:p w14:paraId="5CD4D01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必要的法律依据；</w:t>
      </w:r>
    </w:p>
    <w:p w14:paraId="437BA11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提出质疑的日期。</w:t>
      </w:r>
    </w:p>
    <w:p w14:paraId="1612060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供应商为自然人的，应当由本人签名；供应商为法人或者其他组织的，应当由法定代表人、主要负责人，或者其授权代表签名或者盖章，并加盖公章。</w:t>
      </w:r>
    </w:p>
    <w:p w14:paraId="2D0BACC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采购人、采购代理机构不得拒收质疑供应商在法定质疑期内发出的质疑函，应当在收到质</w:t>
      </w:r>
      <w:r>
        <w:rPr>
          <w:rFonts w:ascii="宋体" w:hAnsi="宋体"/>
          <w:color w:val="000000" w:themeColor="text1"/>
          <w:spacing w:val="-15"/>
          <w14:textFill>
            <w14:solidFill>
              <w14:schemeClr w14:val="tx1"/>
            </w14:solidFill>
          </w14:textFill>
        </w:rPr>
        <w:t>疑函后</w:t>
      </w:r>
      <w:r>
        <w:rPr>
          <w:rFonts w:ascii="宋体" w:hAnsi="宋体"/>
          <w:color w:val="000000" w:themeColor="text1"/>
          <w14:textFill>
            <w14:solidFill>
              <w14:schemeClr w14:val="tx1"/>
            </w14:solidFill>
          </w14:textFill>
        </w:rPr>
        <w:t>7</w:t>
      </w:r>
      <w:r>
        <w:rPr>
          <w:rFonts w:ascii="宋体" w:hAnsi="宋体"/>
          <w:color w:val="000000" w:themeColor="text1"/>
          <w:spacing w:val="-12"/>
          <w14:textFill>
            <w14:solidFill>
              <w14:schemeClr w14:val="tx1"/>
            </w14:solidFill>
          </w14:textFill>
        </w:rPr>
        <w:t>个工作日内作出答复，并以书面形式通知质疑供应商和其他有关供应商。</w:t>
      </w:r>
    </w:p>
    <w:p w14:paraId="0E12F89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供应商对评审过程、中标或者中标结果提出质疑的，采购人、采购代理机构可以组织原评标委员会、竞争性谈判小组、询价小组或者竞争性磋商小组协助答复质疑。</w:t>
      </w:r>
    </w:p>
    <w:p w14:paraId="4B4E2B97">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质疑答复应当包括下列内容：</w:t>
      </w:r>
    </w:p>
    <w:p w14:paraId="71EEF13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质疑供应商的姓名或者名称；</w:t>
      </w:r>
    </w:p>
    <w:p w14:paraId="0CC3382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收到质疑函的日期、质疑项目名称及编号；</w:t>
      </w:r>
    </w:p>
    <w:p w14:paraId="3F4A24B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质疑事项、质疑答复的具体内容、事实依据和法律依据；</w:t>
      </w:r>
    </w:p>
    <w:p w14:paraId="0C573D0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告知质疑供应商依法投诉的权利；</w:t>
      </w:r>
    </w:p>
    <w:p w14:paraId="06FA0C4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质疑答复人名称；</w:t>
      </w:r>
    </w:p>
    <w:p w14:paraId="6CAC43D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答复质疑的日期。</w:t>
      </w:r>
    </w:p>
    <w:p w14:paraId="30111BF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质疑答复的内容不得涉及商业秘密。</w:t>
      </w:r>
    </w:p>
    <w:p w14:paraId="1297F725">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采购人、采购代理机构认为供应商质疑不成立，或者成立但未对中标、中标结果构成影响</w:t>
      </w:r>
      <w:r>
        <w:rPr>
          <w:color w:val="000000" w:themeColor="text1"/>
          <w14:textFill>
            <w14:solidFill>
              <w14:schemeClr w14:val="tx1"/>
            </w14:solidFill>
          </w14:textFill>
        </w:rPr>
        <w:t>的，继续开展采购活动；认为供应商质疑成立且影响或者可能影响中标、中标结果的，按照下列情况处理：</w:t>
      </w:r>
    </w:p>
    <w:p w14:paraId="62E399C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文件提出的质疑，依法通过澄清或者修改可以继续开展采购活动的，澄清或者修改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文件后继续开展采购活动；否则应当修改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文件后重新开展采购活动。</w:t>
      </w:r>
    </w:p>
    <w:p w14:paraId="70B960BE">
      <w:pPr>
        <w:ind w:firstLine="45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（2）</w:t>
      </w:r>
      <w:r>
        <w:rPr>
          <w:rFonts w:ascii="宋体" w:hAnsi="宋体"/>
          <w:color w:val="000000" w:themeColor="text1"/>
          <w:spacing w:val="-6"/>
          <w14:textFill>
            <w14:solidFill>
              <w14:schemeClr w14:val="tx1"/>
            </w14:solidFill>
          </w14:textFill>
        </w:rPr>
        <w:t>对采购过程、中标或者中标结果提出的质疑，合格供应商符合法定数量时，可以从合格</w:t>
      </w:r>
      <w:r>
        <w:rPr>
          <w:rFonts w:ascii="宋体" w:hAnsi="宋体"/>
          <w:color w:val="000000" w:themeColor="text1"/>
          <w:spacing w:val="-7"/>
          <w14:textFill>
            <w14:solidFill>
              <w14:schemeClr w14:val="tx1"/>
            </w14:solidFill>
          </w14:textFill>
        </w:rPr>
        <w:t>的中标或者中标候选人中另行确定中标、中标供应商的，应当依法另行确定中标、中标供应商；</w:t>
      </w:r>
      <w:r>
        <w:rPr>
          <w:rFonts w:ascii="宋体" w:hAnsi="宋体"/>
          <w:color w:val="000000" w:themeColor="text1"/>
          <w14:textFill>
            <w14:solidFill>
              <w14:schemeClr w14:val="tx1"/>
            </w14:solidFill>
          </w14:textFill>
        </w:rPr>
        <w:t>否则应当重新开展采购活动。</w:t>
      </w:r>
    </w:p>
    <w:p w14:paraId="65EC096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质疑答复导致中标、中标结果改变的，采购人或者采购代理机构应当将有关情况书面报告本级财政部门。</w:t>
      </w:r>
    </w:p>
    <w:p w14:paraId="73D330EC">
      <w:pPr>
        <w:pStyle w:val="5"/>
        <w:spacing w:before="0" w:after="0" w:line="500" w:lineRule="exact"/>
        <w:rPr>
          <w:color w:val="000000" w:themeColor="text1"/>
          <w:sz w:val="24"/>
          <w:szCs w:val="24"/>
          <w14:textFill>
            <w14:solidFill>
              <w14:schemeClr w14:val="tx1"/>
            </w14:solidFill>
          </w14:textFill>
        </w:rPr>
      </w:pPr>
      <w:bookmarkStart w:id="5" w:name="_Toc90906524"/>
      <w:r>
        <w:rPr>
          <w:color w:val="000000" w:themeColor="text1"/>
          <w:sz w:val="24"/>
          <w:szCs w:val="24"/>
          <w14:textFill>
            <w14:solidFill>
              <w14:schemeClr w14:val="tx1"/>
            </w14:solidFill>
          </w14:textFill>
        </w:rPr>
        <w:t>二、</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文件</w:t>
      </w:r>
      <w:bookmarkEnd w:id="5"/>
    </w:p>
    <w:p w14:paraId="3E95C2DE">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文件的组成</w:t>
      </w:r>
    </w:p>
    <w:p w14:paraId="583D887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公开招标采购公告</w:t>
      </w:r>
    </w:p>
    <w:p w14:paraId="76BB2C7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采购需求</w:t>
      </w:r>
    </w:p>
    <w:p w14:paraId="77C7532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供应商须知</w:t>
      </w:r>
    </w:p>
    <w:p w14:paraId="3BF06CD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评标办法及标准</w:t>
      </w:r>
    </w:p>
    <w:p w14:paraId="12CA791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合同主要条款</w:t>
      </w:r>
    </w:p>
    <w:p w14:paraId="3A6225D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投标文件格式</w:t>
      </w:r>
    </w:p>
    <w:p w14:paraId="11BE54E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文件的澄清、答复、修改、补充的内容</w:t>
      </w:r>
    </w:p>
    <w:p w14:paraId="78B9502F">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（二）供应商的风险</w:t>
      </w:r>
    </w:p>
    <w:p w14:paraId="346B8B16">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供应商没有按照</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文件要求提供全部资料，或者供应商没有对</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文件在各方面作出实质性响应是供应商的风险，并可能导致其投标被拒绝。</w:t>
      </w:r>
    </w:p>
    <w:p w14:paraId="0AE9058F">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文件的澄清与修改</w:t>
      </w:r>
    </w:p>
    <w:p w14:paraId="477F9F2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供应商应认真阅读本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文件，发现其中有误或有不合理要求的，供应商应当在获取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文件或者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文件公告期限届满之日起7个工作日内提出，否则逾期视为默认。采购人或采购代理机构对已发出的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文件进行必要澄清、答复、修改或补充的，应当在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文件要求提交投标文件截止时间15日前，在财政部门指定的政府采购信息发布媒体上发布更正公告；不足15日的，采购人或者采购代理机构应当顺延提交投标文件的截止时间。</w:t>
      </w:r>
    </w:p>
    <w:p w14:paraId="441310F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采购人必须以书面形式答复供应商要求澄清的问题，并将不包含问题来源的答复书面通知所有获取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文件的供应商；除书面答复以外的其他澄清方式及澄清内容均无效。</w:t>
      </w:r>
    </w:p>
    <w:p w14:paraId="02AE9C0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3、采购</w:t>
      </w:r>
      <w:r>
        <w:rPr>
          <w:rFonts w:ascii="宋体" w:hAnsi="宋体"/>
          <w:color w:val="000000" w:themeColor="text1"/>
          <w14:textFill>
            <w14:solidFill>
              <w14:schemeClr w14:val="tx1"/>
            </w14:solidFill>
          </w14:textFill>
        </w:rPr>
        <w:t>文件澄清、答复、修改、补充的内容为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文件的组成部分。当</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文件的答复、澄清、修改、补充通知就同一内容的表述不一致时，以最后发出的书面文件为准。</w:t>
      </w:r>
    </w:p>
    <w:p w14:paraId="44E840B2">
      <w:pPr>
        <w:ind w:firstLine="44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9"/>
          <w14:textFill>
            <w14:solidFill>
              <w14:schemeClr w14:val="tx1"/>
            </w14:solidFill>
          </w14:textFill>
        </w:rPr>
        <w:t>4、采购</w:t>
      </w:r>
      <w:r>
        <w:rPr>
          <w:rFonts w:ascii="宋体" w:hAnsi="宋体"/>
          <w:color w:val="000000" w:themeColor="text1"/>
          <w:spacing w:val="-9"/>
          <w14:textFill>
            <w14:solidFill>
              <w14:schemeClr w14:val="tx1"/>
            </w14:solidFill>
          </w14:textFill>
        </w:rPr>
        <w:t>文件的澄清、答复、修改或补充都应该通过本采购代理机构以法定形式发布，采购人</w:t>
      </w:r>
      <w:r>
        <w:rPr>
          <w:rFonts w:ascii="宋体" w:hAnsi="宋体"/>
          <w:color w:val="000000" w:themeColor="text1"/>
          <w14:textFill>
            <w14:solidFill>
              <w14:schemeClr w14:val="tx1"/>
            </w14:solidFill>
          </w14:textFill>
        </w:rPr>
        <w:t>非通过本机构，不得擅自澄清、答复、修改或补充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1EEB5DA9">
      <w:pPr>
        <w:pStyle w:val="5"/>
        <w:spacing w:before="0" w:after="0" w:line="500" w:lineRule="exact"/>
        <w:rPr>
          <w:color w:val="000000" w:themeColor="text1"/>
          <w:sz w:val="24"/>
          <w:szCs w:val="24"/>
          <w14:textFill>
            <w14:solidFill>
              <w14:schemeClr w14:val="tx1"/>
            </w14:solidFill>
          </w14:textFill>
        </w:rPr>
      </w:pPr>
      <w:bookmarkStart w:id="6" w:name="_Toc90906525"/>
      <w:r>
        <w:rPr>
          <w:color w:val="000000" w:themeColor="text1"/>
          <w:sz w:val="24"/>
          <w:szCs w:val="24"/>
          <w14:textFill>
            <w14:solidFill>
              <w14:schemeClr w14:val="tx1"/>
            </w14:solidFill>
          </w14:textFill>
        </w:rPr>
        <w:t>三、投标文件的编制要求</w:t>
      </w:r>
      <w:bookmarkEnd w:id="6"/>
    </w:p>
    <w:p w14:paraId="7B83A460">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（一）投标文件的形式和效力：</w:t>
      </w:r>
    </w:p>
    <w:p w14:paraId="198E5D5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投标文件分为电子投标文件及数据电子备份投标文件（U盘），具体内容如下：</w:t>
      </w:r>
    </w:p>
    <w:p w14:paraId="39A12D12">
      <w:pPr>
        <w:ind w:firstLine="47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1"/>
          <w14:textFill>
            <w14:solidFill>
              <w14:schemeClr w14:val="tx1"/>
            </w14:solidFill>
          </w14:textFill>
        </w:rPr>
        <w:t>1</w:t>
      </w:r>
      <w:r>
        <w:rPr>
          <w:rFonts w:ascii="宋体" w:hAnsi="宋体"/>
          <w:color w:val="000000" w:themeColor="text1"/>
          <w:spacing w:val="-1"/>
          <w14:textFill>
            <w14:solidFill>
              <w14:schemeClr w14:val="tx1"/>
            </w14:solidFill>
          </w14:textFill>
        </w:rPr>
        <w:t>.1电子投标文件：按政采云平台项目采购-电子交易操作指南及本</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文件要求制作、加</w:t>
      </w:r>
      <w:r>
        <w:rPr>
          <w:rFonts w:ascii="宋体" w:hAnsi="宋体"/>
          <w:color w:val="000000" w:themeColor="text1"/>
          <w14:textFill>
            <w14:solidFill>
              <w14:schemeClr w14:val="tx1"/>
            </w14:solidFill>
          </w14:textFill>
        </w:rPr>
        <w:t>密并递交，供应商电子交易操作指南详见网址：https://help.zcygov.cn/web/site_2/2018/12-28/2573.html）。</w:t>
      </w:r>
    </w:p>
    <w:p w14:paraId="576150C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1425841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2、投标文件的效力</w:t>
      </w:r>
    </w:p>
    <w:p w14:paraId="48793C65">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21EC9899">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（二）投标文件的组成（如无格式、格式自拟）</w:t>
      </w:r>
    </w:p>
    <w:p w14:paraId="1AFAD5D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投标文件（包括电子投标文件及数据电子备份投标文件（U盘））由《资格文件》、《技术、商务、资信及其他文件》和《报价文件》组成，其中电子投标文件中所须加盖公章部分均采用CA签章。</w:t>
      </w:r>
    </w:p>
    <w:p w14:paraId="6E5B967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1、资格文件主要包括下列内容：</w:t>
      </w:r>
    </w:p>
    <w:p w14:paraId="2158898E">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r>
        <w:rPr>
          <w:rFonts w:hint="eastAsia" w:ascii="宋体" w:hAnsi="宋体"/>
          <w:b/>
          <w:bCs/>
          <w:color w:val="000000" w:themeColor="text1"/>
          <w14:textFill>
            <w14:solidFill>
              <w14:schemeClr w14:val="tx1"/>
            </w14:solidFill>
          </w14:textFill>
        </w:rPr>
        <w:t>（资格审查条款）</w:t>
      </w:r>
    </w:p>
    <w:p w14:paraId="333C667F">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法定代表人有效身份证明书及身份证或法定代表人授权书及被授权人身份证；</w:t>
      </w:r>
      <w:r>
        <w:rPr>
          <w:rFonts w:hint="eastAsia" w:ascii="宋体" w:hAnsi="宋体"/>
          <w:b/>
          <w:bCs/>
          <w:color w:val="000000" w:themeColor="text1"/>
          <w14:textFill>
            <w14:solidFill>
              <w14:schemeClr w14:val="tx1"/>
            </w14:solidFill>
          </w14:textFill>
        </w:rPr>
        <w:t>（资格审查条款）</w:t>
      </w:r>
    </w:p>
    <w:p w14:paraId="6974A4D0">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授权代理人最近三个月中任意1个月由供应商缴纳的个人社保缴纳证明文件；</w:t>
      </w:r>
      <w:r>
        <w:rPr>
          <w:rFonts w:hint="eastAsia" w:ascii="宋体" w:hAnsi="宋体"/>
          <w:b/>
          <w:bCs/>
          <w:color w:val="000000" w:themeColor="text1"/>
          <w14:textFill>
            <w14:solidFill>
              <w14:schemeClr w14:val="tx1"/>
            </w14:solidFill>
          </w14:textFill>
        </w:rPr>
        <w:t>（资格审查资料）</w:t>
      </w:r>
    </w:p>
    <w:p w14:paraId="1C603828">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经当地税务、社保部门出具的供应商最近一个季度企业纳税情况和社保基金缴纳情况证明文书；</w:t>
      </w:r>
      <w:r>
        <w:rPr>
          <w:rFonts w:hint="eastAsia" w:ascii="宋体" w:hAnsi="宋体"/>
          <w:b/>
          <w:bCs/>
          <w:color w:val="000000" w:themeColor="text1"/>
          <w14:textFill>
            <w14:solidFill>
              <w14:schemeClr w14:val="tx1"/>
            </w14:solidFill>
          </w14:textFill>
        </w:rPr>
        <w:t>（资格审查条款）</w:t>
      </w:r>
    </w:p>
    <w:p w14:paraId="2BB0070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中小企业声明函；</w:t>
      </w:r>
      <w:r>
        <w:rPr>
          <w:rFonts w:hint="eastAsia" w:ascii="宋体" w:hAnsi="宋体"/>
          <w:b/>
          <w:bCs/>
          <w:color w:val="000000" w:themeColor="text1"/>
          <w14:textFill>
            <w14:solidFill>
              <w14:schemeClr w14:val="tx1"/>
            </w14:solidFill>
          </w14:textFill>
        </w:rPr>
        <w:t>（资格审查条款）</w:t>
      </w:r>
    </w:p>
    <w:p w14:paraId="128DBCCC">
      <w:pPr>
        <w:ind w:firstLine="480" w:firstLineChars="200"/>
        <w:rPr>
          <w:rFonts w:ascii="宋体" w:hAnsi="宋体"/>
          <w:b/>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.6</w:t>
      </w:r>
      <w:r>
        <w:rPr>
          <w:rFonts w:hint="eastAsia" w:ascii="宋体" w:hAnsi="宋体"/>
          <w:bCs/>
          <w:color w:val="000000" w:themeColor="text1"/>
          <w14:textFill>
            <w14:solidFill>
              <w14:schemeClr w14:val="tx1"/>
            </w14:solidFill>
          </w14:textFill>
        </w:rPr>
        <w:t>提供自采购公告发布之日起至投标截止日前任意时间的“信用中国”网站（www.creditchina.gov.cn）、中国政府采购网（www.ccgp.gov.cn）供应商信用查询网页截图。（以开标当日采购人或由采购人委托的评标委员会核实的查询结果为准）；</w:t>
      </w:r>
      <w:r>
        <w:rPr>
          <w:rFonts w:hint="eastAsia" w:ascii="宋体" w:hAnsi="宋体"/>
          <w:b/>
          <w:color w:val="000000" w:themeColor="text1"/>
          <w14:textFill>
            <w14:solidFill>
              <w14:schemeClr w14:val="tx1"/>
            </w14:solidFill>
          </w14:textFill>
        </w:rPr>
        <w:t>（资格审查条款）</w:t>
      </w:r>
    </w:p>
    <w:p w14:paraId="58A88C72">
      <w:pPr>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.7</w:t>
      </w:r>
      <w:r>
        <w:rPr>
          <w:rFonts w:hint="eastAsia" w:ascii="宋体" w:hAnsi="宋体"/>
          <w:bCs/>
          <w:color w:val="000000" w:themeColor="text1"/>
          <w14:textFill>
            <w14:solidFill>
              <w14:schemeClr w14:val="tx1"/>
            </w14:solidFill>
          </w14:textFill>
        </w:rPr>
        <w:t>信用承诺书。</w:t>
      </w:r>
      <w:r>
        <w:rPr>
          <w:rFonts w:hint="eastAsia" w:ascii="宋体" w:hAnsi="宋体"/>
          <w:b/>
          <w:color w:val="000000" w:themeColor="text1"/>
          <w14:textFill>
            <w14:solidFill>
              <w14:schemeClr w14:val="tx1"/>
            </w14:solidFill>
          </w14:textFill>
        </w:rPr>
        <w:t>（资格审查条款）</w:t>
      </w:r>
    </w:p>
    <w:p w14:paraId="62461369">
      <w:pPr>
        <w:ind w:firstLine="482" w:firstLineChars="200"/>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技术、商务、资信及其他文件</w:t>
      </w:r>
    </w:p>
    <w:p w14:paraId="3AE6DE1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技术文件</w:t>
      </w:r>
    </w:p>
    <w:p w14:paraId="59EAB43F">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供应商自评分索引表；</w:t>
      </w:r>
    </w:p>
    <w:p w14:paraId="4D7FF0DB">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采购需求响应性；</w:t>
      </w:r>
    </w:p>
    <w:p w14:paraId="05A29C9F">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搬迁前规划；</w:t>
      </w:r>
    </w:p>
    <w:p w14:paraId="7679EECE">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搬迁运输方案；</w:t>
      </w:r>
    </w:p>
    <w:p w14:paraId="3A79BDB9">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保障措施及验收；</w:t>
      </w:r>
    </w:p>
    <w:p w14:paraId="6FCC437D">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过程管理及追溯；</w:t>
      </w:r>
    </w:p>
    <w:p w14:paraId="3C557EA3">
      <w:pPr>
        <w:numPr>
          <w:ilvl w:val="0"/>
          <w:numId w:val="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应急及风险控制；</w:t>
      </w:r>
    </w:p>
    <w:p w14:paraId="26D00D7D">
      <w:pPr>
        <w:numPr>
          <w:ilvl w:val="0"/>
          <w:numId w:val="2"/>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7719825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商务、资信及其他文件</w:t>
      </w:r>
    </w:p>
    <w:p w14:paraId="08EB4399">
      <w:pPr>
        <w:numPr>
          <w:ilvl w:val="0"/>
          <w:numId w:val="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项目团队配置；</w:t>
      </w:r>
    </w:p>
    <w:p w14:paraId="11056E4C">
      <w:pPr>
        <w:numPr>
          <w:ilvl w:val="0"/>
          <w:numId w:val="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售后服务能力；</w:t>
      </w:r>
    </w:p>
    <w:p w14:paraId="076C425B">
      <w:pPr>
        <w:numPr>
          <w:ilvl w:val="0"/>
          <w:numId w:val="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业绩；</w:t>
      </w:r>
    </w:p>
    <w:p w14:paraId="52792322">
      <w:pPr>
        <w:numPr>
          <w:ilvl w:val="0"/>
          <w:numId w:val="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认证证书；</w:t>
      </w:r>
    </w:p>
    <w:p w14:paraId="3B69534F">
      <w:pPr>
        <w:numPr>
          <w:ilvl w:val="0"/>
          <w:numId w:val="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优惠及增值服务；</w:t>
      </w:r>
    </w:p>
    <w:p w14:paraId="2B08E968">
      <w:pPr>
        <w:numPr>
          <w:ilvl w:val="0"/>
          <w:numId w:val="3"/>
        </w:numPr>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合理化建议；</w:t>
      </w:r>
    </w:p>
    <w:p w14:paraId="5E311CDC">
      <w:pPr>
        <w:numPr>
          <w:ilvl w:val="0"/>
          <w:numId w:val="3"/>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394188E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报价文件</w:t>
      </w:r>
    </w:p>
    <w:p w14:paraId="6A81570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w:t>
      </w:r>
    </w:p>
    <w:p w14:paraId="7D94024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（2）开标一览表；</w:t>
      </w:r>
    </w:p>
    <w:p w14:paraId="705AB46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（3）投标报价明细表；</w:t>
      </w:r>
    </w:p>
    <w:p w14:paraId="718C33D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（4）招标代理服务费承诺函；</w:t>
      </w:r>
    </w:p>
    <w:p w14:paraId="353D859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0BCF6179">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（三）投标文件的语言及计量</w:t>
      </w:r>
    </w:p>
    <w:p w14:paraId="495860D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投标文件以及供应商与采购人就有关投标事宜的所有来往函电，均应以中文汉语书写。除签名、盖章、专用名称等特殊情形外，以中文汉语以外的文字表述的投标文件视同未提供。</w:t>
      </w:r>
    </w:p>
    <w:p w14:paraId="04DD08E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文件已有明确规定的，使用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文件没有规定的，应采用中华人民共和国法定计量单位（货币单位：人民币元），否则视同未响应。</w:t>
      </w:r>
    </w:p>
    <w:p w14:paraId="188B29A6">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）投标报价</w:t>
      </w:r>
    </w:p>
    <w:p w14:paraId="64AA76C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投标报价应按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文件中相关附表格式填写。投标报价为本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项目全部工作内容的报价，所有报价均应使用人民币（元）表示。</w:t>
      </w:r>
    </w:p>
    <w:p w14:paraId="0B55166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2、投标报价是履行合同的最终价格，应包括洗涤费、人工、交通、保险、税金等费用及供应商认为完成本采购文件规定内容所需发生的其它费用，凡未列入的，将被视为均已包含在投标总报价中。</w:t>
      </w:r>
    </w:p>
    <w:p w14:paraId="2351C1D9">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投标文件只允许有一个报价，有选择的或有条件的报价将不予接受。</w:t>
      </w:r>
    </w:p>
    <w:p w14:paraId="19343AA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4、投标供应商的最终报价由投标供应商自担全部风险责任，中标后不得以任何理由调整报价或追加任何费用。</w:t>
      </w:r>
    </w:p>
    <w:p w14:paraId="3EAF5D1D">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投标供应商所有优惠条件和优惠费用不得降低和影响本采购项目质量。</w:t>
      </w:r>
    </w:p>
    <w:p w14:paraId="06D87222">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6、报价如单价与总价不符时，以单价为准；大写与小写不符时以大写为准。</w:t>
      </w:r>
    </w:p>
    <w:p w14:paraId="32091A6F">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7、投标供应商对采购文件里有关投标报价的全部内容应仔细确认，若有个别异议，应在开标前提出修改意见，否则视同全部确认。</w:t>
      </w:r>
    </w:p>
    <w:p w14:paraId="16E70F80">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8、投标供应商在填报投标项目报价明细表时必须按照采购需求内容逐项报价，不得随意更改序号、名称、单位、数量。</w:t>
      </w:r>
    </w:p>
    <w:p w14:paraId="4287FF42">
      <w:pPr>
        <w:ind w:firstLine="482" w:firstLineChars="20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供应商对在合同执行中，除上述费用及采购文件规定的由中标供应商负责的工作范围以外需要采购人协调或提供便利的工作应当在报价文件中说明。</w:t>
      </w:r>
    </w:p>
    <w:p w14:paraId="52BAB34C">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w:t>
      </w:r>
      <w:r>
        <w:rPr>
          <w:rFonts w:hint="eastAsia" w:ascii="宋体" w:hAnsi="宋体" w:cs="宋体"/>
          <w:b/>
          <w:bCs/>
          <w:color w:val="000000" w:themeColor="text1"/>
          <w14:textFill>
            <w14:solidFill>
              <w14:schemeClr w14:val="tx1"/>
            </w14:solidFill>
          </w14:textFill>
        </w:rPr>
        <w:t>投标文件的有效期</w:t>
      </w:r>
    </w:p>
    <w:p w14:paraId="160C8FB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▲1、自投标截止日起90天投标文件应保持有效。有效期不足的投标文件将被拒绝。</w:t>
      </w:r>
    </w:p>
    <w:p w14:paraId="56B36D1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2、在特殊情况下，采购人可与投标供应商协商延长投标书的有效期，这种要求和答复均以书面形式进行。</w:t>
      </w:r>
    </w:p>
    <w:p w14:paraId="73DA6F4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3、供应商可拒绝接受延期要求而不会导致投标保证金被没收。同意延长有效期的供应商需要相应延长投标保证金的有效期，但不能修改投标文件。</w:t>
      </w:r>
    </w:p>
    <w:p w14:paraId="03BD95C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4、中标供应商的投标文件自开标之日起至合同履行完毕止均应保持有效。</w:t>
      </w:r>
    </w:p>
    <w:p w14:paraId="64624B02">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w:t>
      </w:r>
      <w:r>
        <w:rPr>
          <w:rFonts w:hint="eastAsia" w:ascii="宋体" w:hAnsi="宋体" w:cs="宋体"/>
          <w:b/>
          <w:bCs/>
          <w:color w:val="000000" w:themeColor="text1"/>
          <w14:textFill>
            <w14:solidFill>
              <w14:schemeClr w14:val="tx1"/>
            </w14:solidFill>
          </w14:textFill>
        </w:rPr>
        <w:t>投标文件的签署和份数</w:t>
      </w:r>
    </w:p>
    <w:p w14:paraId="5229D260">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电子投标文件：</w:t>
      </w:r>
    </w:p>
    <w:p w14:paraId="4B88B6A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供应商应根据“政采云供应商项目采购-电子招投标操作指南”及本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文件规定的格式和顺序编制电子投标文件并进行关联定位，若因投标文件内容不完整、编排混乱导致投标文件被误读、漏读或者查找不到相关内容的，是供应商的责任。</w:t>
      </w:r>
    </w:p>
    <w:p w14:paraId="11E6A260">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数据电子备份投标文件（U盘）：</w:t>
      </w:r>
    </w:p>
    <w:p w14:paraId="73B0978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14:paraId="3B11128A">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3、其他：</w:t>
      </w:r>
    </w:p>
    <w:p w14:paraId="51C9E2F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.1投标文件需按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文件要求的格式填写并签名盖章。</w:t>
      </w:r>
    </w:p>
    <w:p w14:paraId="16A0CA3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3.2投标文件不应涂改或行间插字和增删,如有修改，修改处须加盖供应商的公章或由法定代表人或其授权委托人签名或盖章。投标文件因字迹潦草或表达不清所引起的后果由供应商负责。</w:t>
      </w:r>
    </w:p>
    <w:p w14:paraId="1414012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（七）投标文件的包装、递交、修改和撤回</w:t>
      </w:r>
    </w:p>
    <w:p w14:paraId="203CF36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w:t>
      </w:r>
      <w:r>
        <w:rPr>
          <w:rFonts w:hint="eastAsia" w:ascii="宋体" w:hAnsi="宋体"/>
          <w:color w:val="000000" w:themeColor="text1"/>
          <w14:textFill>
            <w14:solidFill>
              <w14:schemeClr w14:val="tx1"/>
            </w14:solidFill>
          </w14:textFill>
        </w:rPr>
        <w:t>投标文件</w:t>
      </w:r>
      <w:r>
        <w:rPr>
          <w:rFonts w:ascii="宋体" w:hAnsi="宋体"/>
          <w:color w:val="000000" w:themeColor="text1"/>
          <w14:textFill>
            <w14:solidFill>
              <w14:schemeClr w14:val="tx1"/>
            </w14:solidFill>
          </w14:textFill>
        </w:rPr>
        <w:t>，将被政采云平台拒收，作无效标处理。</w:t>
      </w:r>
    </w:p>
    <w:p w14:paraId="4B846E2C">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数据电子备份投标文件（U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文件”。“备份投标文件”格式及内容须与政采云平台项目采购-电子交易操作指南中制作、加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递交方式详见</w:t>
      </w:r>
      <w:r>
        <w:rPr>
          <w:rFonts w:hint="eastAsia" w:ascii="宋体" w:hAnsi="宋体"/>
          <w:b/>
          <w:color w:val="000000" w:themeColor="text1"/>
          <w14:textFill>
            <w14:solidFill>
              <w14:schemeClr w14:val="tx1"/>
            </w14:solidFill>
          </w14:textFill>
        </w:rPr>
        <w:t>采购</w:t>
      </w:r>
      <w:r>
        <w:rPr>
          <w:rFonts w:ascii="宋体" w:hAnsi="宋体"/>
          <w:b/>
          <w:color w:val="000000" w:themeColor="text1"/>
          <w14:textFill>
            <w14:solidFill>
              <w14:schemeClr w14:val="tx1"/>
            </w14:solidFill>
          </w14:textFill>
        </w:rPr>
        <w:t>公告</w:t>
      </w:r>
      <w:r>
        <w:rPr>
          <w:rFonts w:hint="eastAsia" w:ascii="宋体" w:hAnsi="宋体"/>
          <w:b/>
          <w:color w:val="000000" w:themeColor="text1"/>
          <w14:textFill>
            <w14:solidFill>
              <w14:schemeClr w14:val="tx1"/>
            </w14:solidFill>
          </w14:textFill>
        </w:rPr>
        <w:t>。</w:t>
      </w:r>
    </w:p>
    <w:p w14:paraId="558E528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1E85C98">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（八）投标无效的情形</w:t>
      </w:r>
    </w:p>
    <w:p w14:paraId="7084863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实质上没有响应</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文件要求的，应认定其投标无效。供应商修改、补正投标文件后，不影响评标委员会对其投标文件所作的评价和评分结果。</w:t>
      </w:r>
    </w:p>
    <w:p w14:paraId="7E9A1FD0">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在开标结束后（评标开始前），采购人或采购代理机构对供应商的资格进行审查，如发现下列情形之一的，投标文件将被视为无效，不</w:t>
      </w:r>
      <w:r>
        <w:rPr>
          <w:rFonts w:hint="eastAsia" w:ascii="宋体" w:hAnsi="宋体"/>
          <w:b/>
          <w:bCs/>
          <w:color w:val="000000" w:themeColor="text1"/>
          <w14:textFill>
            <w14:solidFill>
              <w14:schemeClr w14:val="tx1"/>
            </w14:solidFill>
          </w14:textFill>
        </w:rPr>
        <w:t>再</w:t>
      </w:r>
      <w:r>
        <w:rPr>
          <w:rFonts w:ascii="宋体" w:hAnsi="宋体"/>
          <w:b/>
          <w:bCs/>
          <w:color w:val="000000" w:themeColor="text1"/>
          <w14:textFill>
            <w14:solidFill>
              <w14:schemeClr w14:val="tx1"/>
            </w14:solidFill>
          </w14:textFill>
        </w:rPr>
        <w:t>进行下一步评审：</w:t>
      </w:r>
    </w:p>
    <w:p w14:paraId="5F9E275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未提供</w:t>
      </w:r>
      <w:r>
        <w:rPr>
          <w:rFonts w:ascii="宋体" w:hAnsi="宋体"/>
          <w:color w:val="000000" w:themeColor="text1"/>
          <w14:textFill>
            <w14:solidFill>
              <w14:schemeClr w14:val="tx1"/>
            </w14:solidFill>
          </w14:textFill>
        </w:rPr>
        <w:t>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p>
    <w:p w14:paraId="2058EFD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.2未提供法定代表人有效身份证明书及身份证或未提供法定代表人授权书与</w:t>
      </w:r>
      <w:r>
        <w:rPr>
          <w:rFonts w:hint="eastAsia" w:ascii="宋体" w:hAnsi="宋体"/>
          <w:color w:val="000000" w:themeColor="text1"/>
          <w14:textFill>
            <w14:solidFill>
              <w14:schemeClr w14:val="tx1"/>
            </w14:solidFill>
          </w14:textFill>
        </w:rPr>
        <w:t>被</w:t>
      </w:r>
      <w:r>
        <w:rPr>
          <w:rFonts w:ascii="宋体" w:hAnsi="宋体"/>
          <w:color w:val="000000" w:themeColor="text1"/>
          <w14:textFill>
            <w14:solidFill>
              <w14:schemeClr w14:val="tx1"/>
            </w14:solidFill>
          </w14:textFill>
        </w:rPr>
        <w:t>授权人身份证或与法定代表人授权委托人身份不符的</w:t>
      </w:r>
      <w:r>
        <w:rPr>
          <w:rFonts w:hint="eastAsia" w:ascii="宋体" w:hAnsi="宋体"/>
          <w:color w:val="000000" w:themeColor="text1"/>
          <w14:textFill>
            <w14:solidFill>
              <w14:schemeClr w14:val="tx1"/>
            </w14:solidFill>
          </w14:textFill>
        </w:rPr>
        <w:t>；</w:t>
      </w:r>
    </w:p>
    <w:p w14:paraId="42F3507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.3未提供授权代理人最近三个月中任意1</w:t>
      </w:r>
      <w:r>
        <w:rPr>
          <w:rFonts w:ascii="宋体" w:hAnsi="宋体"/>
          <w:color w:val="000000" w:themeColor="text1"/>
          <w:spacing w:val="-8"/>
          <w14:textFill>
            <w14:solidFill>
              <w14:schemeClr w14:val="tx1"/>
            </w14:solidFill>
          </w14:textFill>
        </w:rPr>
        <w:t>个月个人社保缴纳证明文件；</w:t>
      </w:r>
    </w:p>
    <w:p w14:paraId="7E971341">
      <w:pPr>
        <w:ind w:firstLine="460"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5"/>
          <w14:textFill>
            <w14:solidFill>
              <w14:schemeClr w14:val="tx1"/>
            </w14:solidFill>
          </w14:textFill>
        </w:rPr>
        <w:t>1</w:t>
      </w:r>
      <w:r>
        <w:rPr>
          <w:rFonts w:ascii="宋体" w:hAnsi="宋体"/>
          <w:color w:val="000000" w:themeColor="text1"/>
          <w:spacing w:val="-5"/>
          <w14:textFill>
            <w14:solidFill>
              <w14:schemeClr w14:val="tx1"/>
            </w14:solidFill>
          </w14:textFill>
        </w:rPr>
        <w:t>.4未提供供应商最近</w:t>
      </w:r>
      <w:r>
        <w:rPr>
          <w:rFonts w:hint="eastAsia" w:ascii="宋体" w:hAnsi="宋体"/>
          <w:color w:val="000000" w:themeColor="text1"/>
          <w:spacing w:val="-5"/>
          <w14:textFill>
            <w14:solidFill>
              <w14:schemeClr w14:val="tx1"/>
            </w14:solidFill>
          </w14:textFill>
        </w:rPr>
        <w:t>一个季度</w:t>
      </w:r>
      <w:r>
        <w:rPr>
          <w:rFonts w:ascii="宋体" w:hAnsi="宋体"/>
          <w:color w:val="000000" w:themeColor="text1"/>
          <w14:textFill>
            <w14:solidFill>
              <w14:schemeClr w14:val="tx1"/>
            </w14:solidFill>
          </w14:textFill>
        </w:rPr>
        <w:t>企业正常纳税情况和社保基金缴纳情况证明文书；</w:t>
      </w:r>
    </w:p>
    <w:p w14:paraId="648CB665">
      <w:pPr>
        <w:ind w:firstLine="46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4"/>
          <w14:textFill>
            <w14:solidFill>
              <w14:schemeClr w14:val="tx1"/>
            </w14:solidFill>
          </w14:textFill>
        </w:rPr>
        <w:t>1</w:t>
      </w:r>
      <w:r>
        <w:rPr>
          <w:rFonts w:ascii="宋体" w:hAnsi="宋体"/>
          <w:color w:val="000000" w:themeColor="text1"/>
          <w:spacing w:val="-4"/>
          <w14:textFill>
            <w14:solidFill>
              <w14:schemeClr w14:val="tx1"/>
            </w14:solidFill>
          </w14:textFill>
        </w:rPr>
        <w:t>.5自采购公告发布之日起至投标截止日内，在“信用中国”（www.creditchina.gov.cn）</w:t>
      </w:r>
      <w:r>
        <w:rPr>
          <w:rFonts w:ascii="宋体" w:hAnsi="宋体"/>
          <w:color w:val="000000" w:themeColor="text1"/>
          <w14:textFill>
            <w14:solidFill>
              <w14:schemeClr w14:val="tx1"/>
            </w14:solidFill>
          </w14:textFill>
        </w:rPr>
        <w:t>被列入失信被执行人、重大税收违法当事人名单、政府采购严重违法失信行为记录名单的供应商，资格审查时不予以通过；</w:t>
      </w:r>
    </w:p>
    <w:p w14:paraId="69B0F43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未提供中小企业声明函；</w:t>
      </w:r>
    </w:p>
    <w:p w14:paraId="5E78232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.7投标截止前，在“中国政府采购网”(www.ccgp.gov.cn)被列入政府采购严重违法失信行为记录名单中的供应商且在处罚有效期内的供应商，资格审查时不予以通过；</w:t>
      </w:r>
    </w:p>
    <w:p w14:paraId="6D823E0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未提供信用承诺书；</w:t>
      </w:r>
    </w:p>
    <w:p w14:paraId="704D94A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有其他重大违法、违规记录的；</w:t>
      </w:r>
    </w:p>
    <w:p w14:paraId="0713587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资格证明文件不全的，或者不符合采购文件标明的资格要求的。</w:t>
      </w:r>
    </w:p>
    <w:p w14:paraId="269EDD3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2、在符合性审查和商务评审时，如发现下列情形之一的，投标文件将被视为无效：</w:t>
      </w:r>
    </w:p>
    <w:p w14:paraId="21EE716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投标文件未按采购文件要求签署、盖章的；</w:t>
      </w:r>
    </w:p>
    <w:p w14:paraId="2160A3F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《资格文件》或《技术、商务、资信及其他文件》中出现报价的；</w:t>
      </w:r>
    </w:p>
    <w:p w14:paraId="6974C575">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未在浙江政府采购网（政采云平台）完成本项目网上报名的；</w:t>
      </w:r>
    </w:p>
    <w:p w14:paraId="2B1AF37B">
      <w:pPr>
        <w:ind w:firstLine="48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.4</w:t>
      </w:r>
      <w:r>
        <w:rPr>
          <w:color w:val="000000" w:themeColor="text1"/>
          <w14:textFill>
            <w14:solidFill>
              <w14:schemeClr w14:val="tx1"/>
            </w14:solidFill>
          </w14:textFill>
        </w:rPr>
        <w:t>在投标截止时间以后传送的电子投标文件的</w:t>
      </w:r>
      <w:r>
        <w:rPr>
          <w:rFonts w:hint="eastAsia"/>
          <w:color w:val="000000" w:themeColor="text1"/>
          <w14:textFill>
            <w14:solidFill>
              <w14:schemeClr w14:val="tx1"/>
            </w14:solidFill>
          </w14:textFill>
        </w:rPr>
        <w:t>；</w:t>
      </w:r>
    </w:p>
    <w:p w14:paraId="4A4616C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.5投标文件格式不规范、项目不齐全或者内容虚假的；</w:t>
      </w:r>
    </w:p>
    <w:p w14:paraId="566A978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.6投标文件的实质性内容未使用中文表述、意思表述不明确、前后矛盾或者使用计量单位不符合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文件要求的（经评标委员会认定并允许其当场更正的笔误除外）；</w:t>
      </w:r>
    </w:p>
    <w:p w14:paraId="28ADE4E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.7投标有效期、服务期（工期）、服务质量保证期等商务条款不能满足</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w:t>
      </w:r>
    </w:p>
    <w:p w14:paraId="6C917CB4">
      <w:pPr>
        <w:ind w:firstLine="476" w:firstLineChars="200"/>
        <w:rPr>
          <w:rFonts w:ascii="宋体" w:hAnsi="宋体"/>
          <w:color w:val="000000" w:themeColor="text1"/>
          <w:spacing w:val="-1"/>
          <w14:textFill>
            <w14:solidFill>
              <w14:schemeClr w14:val="tx1"/>
            </w14:solidFill>
          </w14:textFill>
        </w:rPr>
      </w:pP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.8未实质性响应</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文件要求或者投标文件有采购人不能接受的附加条件的。</w:t>
      </w:r>
    </w:p>
    <w:p w14:paraId="19ECA641">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在技术评审时，如发现下列情形之一的，投标文件将被视为无效：</w:t>
      </w:r>
    </w:p>
    <w:p w14:paraId="555BE24E">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color w:val="000000" w:themeColor="text1"/>
          <w:spacing w:val="-1"/>
          <w14:textFill>
            <w14:solidFill>
              <w14:schemeClr w14:val="tx1"/>
            </w14:solidFill>
          </w14:textFill>
        </w:rPr>
        <w:t>未提供或未如实提供服务方案等技术要求内容，</w:t>
      </w:r>
      <w:r>
        <w:rPr>
          <w:rFonts w:hint="eastAsia" w:ascii="宋体" w:hAnsi="宋体" w:cs="宋体"/>
          <w:color w:val="000000" w:themeColor="text1"/>
          <w14:textFill>
            <w14:solidFill>
              <w14:schemeClr w14:val="tx1"/>
            </w14:solidFill>
          </w14:textFill>
        </w:rPr>
        <w:t>投标文件标明的响应或偏离与事实不符或虚假投标的；</w:t>
      </w:r>
    </w:p>
    <w:p w14:paraId="6945014B">
      <w:pPr>
        <w:ind w:firstLine="480" w:firstLineChars="200"/>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ascii="宋体" w:hAnsi="宋体"/>
          <w:color w:val="000000" w:themeColor="text1"/>
          <w14:textFill>
            <w14:solidFill>
              <w14:schemeClr w14:val="tx1"/>
            </w14:solidFill>
          </w14:textFill>
        </w:rPr>
        <w:t>明显不符合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文件的要求，或者与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文件中标“▲”的技术指标、主要功能项目发生实质性偏离的；</w:t>
      </w:r>
    </w:p>
    <w:p w14:paraId="1609CB0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.3投标技术方案不明确，存在一个或一个以上备选（替代）投标方案的；</w:t>
      </w:r>
    </w:p>
    <w:p w14:paraId="3B16CED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.4与其他参加本次投标供应商的投标文件（技术文件）的文字表述内容相同连续20行以上或者差错相同2处以上的。</w:t>
      </w:r>
    </w:p>
    <w:p w14:paraId="07744744">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在报价评审时，如发现下列情形之一的，投标文件将被视为无效：</w:t>
      </w:r>
    </w:p>
    <w:p w14:paraId="20A61F1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.1未采用人民币报价或者未按照</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文件标明的币种报价的；</w:t>
      </w:r>
    </w:p>
    <w:p w14:paraId="78E1C6F9">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报价超出采购预算或年度最高限价，报价超过单项最高限价的，采购人不能支付的；</w:t>
      </w:r>
    </w:p>
    <w:p w14:paraId="2033B73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.3投标报价具有选择性，或者开标价格与投标文件承诺的优惠（折扣）价格不一致的。</w:t>
      </w:r>
    </w:p>
    <w:p w14:paraId="055DFB5A">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5、被拒绝的投标文件为无效。</w:t>
      </w:r>
    </w:p>
    <w:p w14:paraId="650B1787">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供应商有下列情形之一的，视为供应商串通投标，其投标无效：</w:t>
      </w:r>
    </w:p>
    <w:p w14:paraId="26CD273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.1不同供应商的投标（响应）文件由同一单位或者个人编制；</w:t>
      </w:r>
    </w:p>
    <w:p w14:paraId="0A4EAC9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6.2不同供应商委托同一单位或者个人办理投标事宜；</w:t>
      </w:r>
    </w:p>
    <w:p w14:paraId="16BEAF3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6.3不同供应商的投标文件或</w:t>
      </w:r>
      <w:r>
        <w:rPr>
          <w:rFonts w:hint="eastAsia" w:ascii="宋体" w:hAnsi="宋体"/>
          <w:color w:val="000000" w:themeColor="text1"/>
          <w14:textFill>
            <w14:solidFill>
              <w14:schemeClr w14:val="tx1"/>
            </w14:solidFill>
          </w14:textFill>
        </w:rPr>
        <w:t>投标文件</w:t>
      </w:r>
      <w:r>
        <w:rPr>
          <w:rFonts w:ascii="宋体" w:hAnsi="宋体"/>
          <w:color w:val="000000" w:themeColor="text1"/>
          <w14:textFill>
            <w14:solidFill>
              <w14:schemeClr w14:val="tx1"/>
            </w14:solidFill>
          </w14:textFill>
        </w:rPr>
        <w:t>载明的项目管理成员或者联系人员为同一人；</w:t>
      </w:r>
    </w:p>
    <w:p w14:paraId="5C22B22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6.4不同供应商的投标（响应）文件件异常一致或者投标报价呈规律性差异；</w:t>
      </w:r>
    </w:p>
    <w:p w14:paraId="67A330D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6.5不同供应商的投标（响应）文件相互混装。</w:t>
      </w:r>
    </w:p>
    <w:p w14:paraId="7BCD57E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供应商有下列情形之一的，属于恶意串通，其投标无效：</w:t>
      </w:r>
    </w:p>
    <w:p w14:paraId="626568D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.1供应商直接或者间接从采购人或者采购代理机构处获得其他供应商的相关情况并修改其投标（响应）文件；</w:t>
      </w:r>
    </w:p>
    <w:p w14:paraId="09A9801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7.2供应商按照采购人或者采购代理机构的授意撤换、修改投标（响应）文件；</w:t>
      </w:r>
    </w:p>
    <w:p w14:paraId="2890A0F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7.3供应商之间协商报价、技术方案等投标（响应）文件的实质性内容；</w:t>
      </w:r>
    </w:p>
    <w:p w14:paraId="1837BA3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7.4属于同一集团、协会、商会等组织成员的供应商按照该组织要求协同参加政府采购活动；</w:t>
      </w:r>
    </w:p>
    <w:p w14:paraId="4C6BE7E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.5供应商之间事先约定由某一特定供应商中标、成交；</w:t>
      </w:r>
    </w:p>
    <w:p w14:paraId="78918FF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7.6供应商之间商定部分供应商放弃参加政府采购活动或者放弃中标、成交；</w:t>
      </w:r>
    </w:p>
    <w:p w14:paraId="342A85C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7.7供应商与采购人或者采购代理机构之间、供应商相互之间，为谋求特定供应商中标、成交或者排斥其他供应商的其他串通行为。</w:t>
      </w:r>
    </w:p>
    <w:p w14:paraId="2F862419">
      <w:pPr>
        <w:ind w:firstLine="482" w:firstLineChars="200"/>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b/>
          <w:bCs/>
          <w:color w:val="000000" w:themeColor="text1"/>
          <w14:textFill>
            <w14:solidFill>
              <w14:schemeClr w14:val="tx1"/>
            </w14:solidFill>
          </w14:textFill>
        </w:rPr>
        <w:t>出现以下情形，导致电子交易平台无法正常进行，或者无法保证电子交易的公平、公正和安全时，中止电子交易活动：</w:t>
      </w:r>
    </w:p>
    <w:p w14:paraId="6FB783B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.1电子交易平台发生故障而无法登录访问的；</w:t>
      </w:r>
    </w:p>
    <w:p w14:paraId="47839AB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8.2电子交易平台应用或数据库出现错误，不能进行正常操作的；</w:t>
      </w:r>
    </w:p>
    <w:p w14:paraId="6A516C1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8.3电子交易平台发现严重安全漏洞，有潜在泄密危险的；</w:t>
      </w:r>
    </w:p>
    <w:p w14:paraId="380F3C4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8.4病毒发作导致不能进行正常操作的；</w:t>
      </w:r>
    </w:p>
    <w:p w14:paraId="72F7039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8.5其他无法保证电子交易的公平、公正和安全的情况。</w:t>
      </w:r>
    </w:p>
    <w:p w14:paraId="1B9E61F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6653BF12">
      <w:pPr>
        <w:pStyle w:val="5"/>
        <w:spacing w:before="0" w:after="0" w:line="500" w:lineRule="exact"/>
        <w:rPr>
          <w:color w:val="000000" w:themeColor="text1"/>
          <w:sz w:val="24"/>
          <w:szCs w:val="24"/>
          <w14:textFill>
            <w14:solidFill>
              <w14:schemeClr w14:val="tx1"/>
            </w14:solidFill>
          </w14:textFill>
        </w:rPr>
      </w:pPr>
      <w:bookmarkStart w:id="7" w:name="_Toc90906526"/>
      <w:r>
        <w:rPr>
          <w:rFonts w:hint="eastAsia"/>
          <w:color w:val="000000" w:themeColor="text1"/>
          <w:sz w:val="24"/>
          <w:szCs w:val="24"/>
          <w14:textFill>
            <w14:solidFill>
              <w14:schemeClr w14:val="tx1"/>
            </w14:solidFill>
          </w14:textFill>
        </w:rPr>
        <w:t>四、开标</w:t>
      </w:r>
      <w:bookmarkEnd w:id="7"/>
    </w:p>
    <w:p w14:paraId="167F8532">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（一）开标准备</w:t>
      </w:r>
    </w:p>
    <w:p w14:paraId="007EC20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采购代理机构将在规定的时间和地点进行开标，并按照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文件规定的时间通过“政府采购云平台”组织开标、开启投标文件，所有供应商均应当准时在线参加。若供应商派授权代表出席开标会议，应当准时签到，未按时签到的，视同放弃开标监督权利、认可开标结果。</w:t>
      </w:r>
    </w:p>
    <w:p w14:paraId="2188E55E">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（二）电子招投标开标及评审程序</w:t>
      </w:r>
    </w:p>
    <w:p w14:paraId="2384C9A5">
      <w:pPr>
        <w:ind w:firstLine="48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开标由采购人或者采购代理机构主持，邀请供应商在线参加。评标委员会成</w:t>
      </w:r>
      <w:r>
        <w:rPr>
          <w:rFonts w:ascii="宋体" w:hAnsi="宋体"/>
          <w:color w:val="000000" w:themeColor="text1"/>
          <w14:textFill>
            <w14:solidFill>
              <w14:schemeClr w14:val="tx1"/>
            </w14:solidFill>
          </w14:textFill>
        </w:rPr>
        <w:t>员不得参加开标活动；</w:t>
      </w:r>
    </w:p>
    <w:p w14:paraId="3B45BDB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主持人宣布开标会议开始，并按照规定的时间通过政采云系统组织开标，所有供应商应当准时在线参加；</w:t>
      </w:r>
    </w:p>
    <w:p w14:paraId="247BF28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主持人介绍参加开标会的人员名单；</w:t>
      </w:r>
    </w:p>
    <w:p w14:paraId="7189EE0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14:paraId="1CC6725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开标过程应当由采购人或者采购代理机构负责记录, 由参加开标的相关人员签名确认后随</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文件一并存档。供应商代表对开标过程和开标记录有疑义，以及认为采购人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采购代理机构相关工作人员有需要回避情形的，应当在线提出询问或者回避申请。采购人、采购代理机构对供应商代表提出的疑问或者回避申请应当及时处理。供应商未准时在线参加开标的，视同认可开标结果；</w:t>
      </w:r>
    </w:p>
    <w:p w14:paraId="699F4AA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投标截止时间后，供应商应登录政采云平台，在收到电子加密投标文件【开始解密】通知后，通过“项目采购-开标评标”模块对电子投标文件进行在线解密；</w:t>
      </w:r>
    </w:p>
    <w:p w14:paraId="4D64538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在开标结束后（评标开始前），由采购人或采购代理机构进行资格审查。资格审查后在系统上公布资格审查结果；</w:t>
      </w:r>
    </w:p>
    <w:p w14:paraId="799C306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61BC79E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由主持人在系统上公布的供应商名称及在其投标文件中承诺的投标报价、投标内容以及其他有必要宣读的内容；</w:t>
      </w:r>
    </w:p>
    <w:p w14:paraId="667B168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报价部分符合性审查及评分结束后，由主持人公布无效投标的供应商名单、投标无效的原因，并在系统上公布其他有效投标的评分结果；</w:t>
      </w:r>
    </w:p>
    <w:p w14:paraId="588159A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最终在政采云系统上公布评审结果；</w:t>
      </w:r>
    </w:p>
    <w:p w14:paraId="12336E5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开标会议结束。</w:t>
      </w:r>
    </w:p>
    <w:p w14:paraId="14D6DBFA">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特别说明：</w:t>
      </w:r>
      <w:r>
        <w:rPr>
          <w:b/>
          <w:bCs/>
          <w:color w:val="000000" w:themeColor="text1"/>
          <w:u w:val="single"/>
          <w14:textFill>
            <w14:solidFill>
              <w14:schemeClr w14:val="tx1"/>
            </w14:solidFill>
          </w14:textFill>
        </w:rPr>
        <w:t>政采云公司如对电子化开标及评审程序有调整的，应按调整的程序操作</w:t>
      </w:r>
      <w:r>
        <w:rPr>
          <w:b/>
          <w:bCs/>
          <w:color w:val="000000" w:themeColor="text1"/>
          <w14:textFill>
            <w14:solidFill>
              <w14:schemeClr w14:val="tx1"/>
            </w14:solidFill>
          </w14:textFill>
        </w:rPr>
        <w:t>。</w:t>
      </w:r>
    </w:p>
    <w:p w14:paraId="16292DCF">
      <w:pPr>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（三）其他</w:t>
      </w:r>
    </w:p>
    <w:p w14:paraId="6604B6F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1C129">
      <w:pPr>
        <w:pStyle w:val="5"/>
        <w:spacing w:before="0" w:after="0" w:line="500" w:lineRule="exact"/>
        <w:rPr>
          <w:color w:val="000000" w:themeColor="text1"/>
          <w:sz w:val="24"/>
          <w:szCs w:val="24"/>
          <w14:textFill>
            <w14:solidFill>
              <w14:schemeClr w14:val="tx1"/>
            </w14:solidFill>
          </w14:textFill>
        </w:rPr>
      </w:pPr>
      <w:bookmarkStart w:id="8" w:name="_Toc90906527"/>
      <w:r>
        <w:rPr>
          <w:rFonts w:hint="eastAsia"/>
          <w:color w:val="000000" w:themeColor="text1"/>
          <w:sz w:val="24"/>
          <w:szCs w:val="24"/>
          <w14:textFill>
            <w14:solidFill>
              <w14:schemeClr w14:val="tx1"/>
            </w14:solidFill>
          </w14:textFill>
        </w:rPr>
        <w:t>五、评标</w:t>
      </w:r>
      <w:bookmarkEnd w:id="8"/>
    </w:p>
    <w:p w14:paraId="4F3132D5">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（一）组建评标委员会</w:t>
      </w:r>
    </w:p>
    <w:p w14:paraId="2104AF4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本项目评标委员会依法组建，成员包括采购人代表和评审专家，成员人数为5人及以上单数组成，其中评审专家不少于评标委员会总数的三分之二。</w:t>
      </w:r>
    </w:p>
    <w:p w14:paraId="61110FD3">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（二）评标的方式</w:t>
      </w:r>
    </w:p>
    <w:p w14:paraId="59320871">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文件和投标文件。</w:t>
      </w:r>
    </w:p>
    <w:p w14:paraId="060B18AB">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（三）评标程序</w:t>
      </w:r>
    </w:p>
    <w:p w14:paraId="71EF0966">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形式审查</w:t>
      </w:r>
    </w:p>
    <w:p w14:paraId="1ADDB59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在开标结束后（评标开始前），采购人或采购代理机构对供应商的资格和投标文件的完整性、合法性等进行审查。</w:t>
      </w:r>
    </w:p>
    <w:p w14:paraId="6807FE4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2.实质审查与比较</w:t>
      </w:r>
    </w:p>
    <w:p w14:paraId="6F51D17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.1评标委员会审查投标文件的实质性内容是否符合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文件的实质性要求。</w:t>
      </w:r>
    </w:p>
    <w:p w14:paraId="4EF633C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01F6E2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.3各供应商的技术、商务、资信及其他得分为所有评委的有效评分的算术平均数。</w:t>
      </w:r>
    </w:p>
    <w:p w14:paraId="1C8625C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2.4采购代理机构工作人员协助评标委员会根据本项目的评分标准计算各供应商的商务报价得分。</w:t>
      </w:r>
    </w:p>
    <w:p w14:paraId="0E6488D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2.5评标委员会完成评标后,评委对各部分得分汇总,计算出本项目最终得分。评标委员会按评标原则通过电子评标系统推荐中标候选人并同时起草评标报告。</w:t>
      </w:r>
    </w:p>
    <w:p w14:paraId="35029B25">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（四）澄清问题的形式</w:t>
      </w:r>
    </w:p>
    <w:p w14:paraId="3FA34F94">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3C8B576C">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（五）错误修正</w:t>
      </w:r>
    </w:p>
    <w:p w14:paraId="3E6570C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投标文件如果出现计算或表达上的错误，修正错误的原则如下：</w:t>
      </w:r>
    </w:p>
    <w:p w14:paraId="258C5E3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投标文件的大写金额和小写金额不一致的，以大写金额为准；</w:t>
      </w:r>
    </w:p>
    <w:p w14:paraId="17D4384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总价金额与按单价汇总金额不一致的，以单价金额计算结果为准；</w:t>
      </w:r>
    </w:p>
    <w:p w14:paraId="7D87769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对不同文字文本投标文件的解释发生异议的，以中文文本为准。</w:t>
      </w:r>
    </w:p>
    <w:p w14:paraId="0113EEA1">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按上述修正错误的原则及方法调整或修正投标文件的投标报价，供应商同意并确认后，调整后的投标报价对供应商具有约束作用。如果供应商不接受修正后的报价，则其投标将作为无效投标处理。</w:t>
      </w:r>
    </w:p>
    <w:p w14:paraId="24FFB4A2">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（六）评标原则和评标办法</w:t>
      </w:r>
    </w:p>
    <w:p w14:paraId="0D5CD3F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A16EFA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评标办法。本项目评标办法是</w:t>
      </w:r>
      <w:r>
        <w:rPr>
          <w:rFonts w:ascii="宋体" w:hAnsi="宋体"/>
          <w:color w:val="000000" w:themeColor="text1"/>
          <w:u w:val="single"/>
          <w14:textFill>
            <w14:solidFill>
              <w14:schemeClr w14:val="tx1"/>
            </w14:solidFill>
          </w14:textFill>
        </w:rPr>
        <w:t xml:space="preserve"> </w:t>
      </w:r>
      <w:r>
        <w:rPr>
          <w:rFonts w:ascii="宋体" w:hAnsi="宋体"/>
          <w:b/>
          <w:bCs/>
          <w:color w:val="000000" w:themeColor="text1"/>
          <w:u w:val="single"/>
          <w14:textFill>
            <w14:solidFill>
              <w14:schemeClr w14:val="tx1"/>
            </w14:solidFill>
          </w14:textFill>
        </w:rPr>
        <w:t>综合评分法</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，具体评标内容及评分标准等详见《第四章：评标办法及评分标准》。</w:t>
      </w:r>
    </w:p>
    <w:p w14:paraId="181E70D2">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（七）评标过程的监控</w:t>
      </w:r>
    </w:p>
    <w:p w14:paraId="7DF9F67F">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本项目评标过程实行全程录音、录像监控，供应商在评标过程中所进行的试图影响评标结果的不公正活动，可能导致其投标被拒绝。</w:t>
      </w:r>
    </w:p>
    <w:p w14:paraId="24B54D9C">
      <w:pPr>
        <w:pStyle w:val="5"/>
        <w:spacing w:before="0" w:after="0" w:line="500" w:lineRule="exact"/>
        <w:rPr>
          <w:color w:val="000000" w:themeColor="text1"/>
          <w:sz w:val="24"/>
          <w:szCs w:val="24"/>
          <w14:textFill>
            <w14:solidFill>
              <w14:schemeClr w14:val="tx1"/>
            </w14:solidFill>
          </w14:textFill>
        </w:rPr>
      </w:pPr>
      <w:bookmarkStart w:id="9" w:name="_Toc90906528"/>
      <w:r>
        <w:rPr>
          <w:rFonts w:hint="eastAsia"/>
          <w:color w:val="000000" w:themeColor="text1"/>
          <w:sz w:val="24"/>
          <w:szCs w:val="24"/>
          <w14:textFill>
            <w14:solidFill>
              <w14:schemeClr w14:val="tx1"/>
            </w14:solidFill>
          </w14:textFill>
        </w:rPr>
        <w:t>六、定标</w:t>
      </w:r>
      <w:bookmarkEnd w:id="9"/>
    </w:p>
    <w:p w14:paraId="35F15C31">
      <w:pPr>
        <w:ind w:firstLine="480" w:firstLineChars="200"/>
        <w:rPr>
          <w:b/>
          <w:color w:val="000000" w:themeColor="text1"/>
          <w14:textFill>
            <w14:solidFill>
              <w14:schemeClr w14:val="tx1"/>
            </w14:solidFill>
          </w14:textFill>
        </w:rPr>
      </w:pPr>
      <w:r>
        <w:rPr>
          <w:color w:val="000000" w:themeColor="text1"/>
          <w14:textFill>
            <w14:solidFill>
              <w14:schemeClr w14:val="tx1"/>
            </w14:solidFill>
          </w14:textFill>
        </w:rPr>
        <w:t>（一）确定中标供应商。</w:t>
      </w:r>
      <w:r>
        <w:rPr>
          <w:b/>
          <w:color w:val="000000" w:themeColor="text1"/>
          <w14:textFill>
            <w14:solidFill>
              <w14:schemeClr w14:val="tx1"/>
            </w14:solidFill>
          </w14:textFill>
        </w:rPr>
        <w:t>本项目由采购人</w:t>
      </w:r>
      <w:r>
        <w:rPr>
          <w:rFonts w:hint="eastAsia"/>
          <w:b/>
          <w:color w:val="000000" w:themeColor="text1"/>
          <w14:textFill>
            <w14:solidFill>
              <w14:schemeClr w14:val="tx1"/>
            </w14:solidFill>
          </w14:textFill>
        </w:rPr>
        <w:t>授权评标委员会直接</w:t>
      </w:r>
      <w:r>
        <w:rPr>
          <w:b/>
          <w:color w:val="000000" w:themeColor="text1"/>
          <w14:textFill>
            <w14:solidFill>
              <w14:schemeClr w14:val="tx1"/>
            </w14:solidFill>
          </w14:textFill>
        </w:rPr>
        <w:t>确定中标供应商。</w:t>
      </w:r>
    </w:p>
    <w:p w14:paraId="063F74B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文件规定的方式确定中标供应商；</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文件未规定的，采取随机抽取的方式确定。</w:t>
      </w:r>
    </w:p>
    <w:p w14:paraId="4C57CF6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采购人在收到评标报告5个工作日内未按评标报告推荐的中标候选人顺序确定中标供应商，又不能说明合法理由的，视同按评标报告推荐的顺序确定排名第一的中标候选人为中标供应商。</w:t>
      </w:r>
    </w:p>
    <w:p w14:paraId="2D716C9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采购人依法确定中标供应商后</w:t>
      </w:r>
      <w:r>
        <w:rPr>
          <w:rFonts w:ascii="宋体" w:hAnsi="宋体"/>
          <w:color w:val="000000" w:themeColor="text1"/>
          <w:u w:val="single"/>
          <w14:textFill>
            <w14:solidFill>
              <w14:schemeClr w14:val="tx1"/>
            </w14:solidFill>
          </w14:textFill>
        </w:rPr>
        <w:t>2</w:t>
      </w:r>
      <w:r>
        <w:rPr>
          <w:rFonts w:ascii="宋体" w:hAnsi="宋体"/>
          <w:color w:val="000000" w:themeColor="text1"/>
          <w14:textFill>
            <w14:solidFill>
              <w14:schemeClr w14:val="tx1"/>
            </w14:solidFill>
          </w14:textFill>
        </w:rPr>
        <w:t>个工作日内，采购代理机构以书面形式发出《中标通知书》，并同时在相关网站上发布中标结果公告。</w:t>
      </w:r>
    </w:p>
    <w:p w14:paraId="050925CF">
      <w:pPr>
        <w:pStyle w:val="5"/>
        <w:spacing w:before="0" w:after="0" w:line="500" w:lineRule="exact"/>
        <w:rPr>
          <w:color w:val="000000" w:themeColor="text1"/>
          <w:sz w:val="24"/>
          <w:szCs w:val="24"/>
          <w14:textFill>
            <w14:solidFill>
              <w14:schemeClr w14:val="tx1"/>
            </w14:solidFill>
          </w14:textFill>
        </w:rPr>
      </w:pPr>
      <w:bookmarkStart w:id="10" w:name="_Toc90906529"/>
      <w:r>
        <w:rPr>
          <w:rFonts w:hint="eastAsia"/>
          <w:color w:val="000000" w:themeColor="text1"/>
          <w:sz w:val="24"/>
          <w:szCs w:val="24"/>
          <w14:textFill>
            <w14:solidFill>
              <w14:schemeClr w14:val="tx1"/>
            </w14:solidFill>
          </w14:textFill>
        </w:rPr>
        <w:t>七、合同授予</w:t>
      </w:r>
      <w:bookmarkEnd w:id="10"/>
    </w:p>
    <w:p w14:paraId="732168AF">
      <w:pPr>
        <w:ind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F716B1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采购人与中标供应商应当在《中标通知书》发出之日起</w:t>
      </w:r>
      <w:r>
        <w:rPr>
          <w:rFonts w:ascii="宋体" w:hAnsi="宋体"/>
          <w:color w:val="000000" w:themeColor="text1"/>
          <w:u w:val="single"/>
          <w14:textFill>
            <w14:solidFill>
              <w14:schemeClr w14:val="tx1"/>
            </w14:solidFill>
          </w14:textFill>
        </w:rPr>
        <w:t>30</w:t>
      </w:r>
      <w:r>
        <w:rPr>
          <w:rFonts w:ascii="宋体" w:hAnsi="宋体"/>
          <w:color w:val="000000" w:themeColor="text1"/>
          <w14:textFill>
            <w14:solidFill>
              <w14:schemeClr w14:val="tx1"/>
            </w14:solidFill>
          </w14:textFill>
        </w:rPr>
        <w:t>日内签订政府采购合同。同时，采购代理机构对合同内容进行审查，如发现与采购结果和投标承诺内容不一致的，应予以纠正。</w:t>
      </w:r>
    </w:p>
    <w:p w14:paraId="2D1C69B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中标供应商拖延、拒签合同的,将被取消中标资格。</w:t>
      </w:r>
    </w:p>
    <w:p w14:paraId="409D4789">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（二）中标通知书</w:t>
      </w:r>
    </w:p>
    <w:p w14:paraId="5103F78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确定中标供应商后，采购代理机构将以书面形式发出中标通知书，通知中标的供应商其投标被接受；</w:t>
      </w:r>
    </w:p>
    <w:p w14:paraId="3171A52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中标通知书为双方签订合同的依据；</w:t>
      </w:r>
    </w:p>
    <w:p w14:paraId="0785C31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中标供应商应根据中标通知书中规定的时间内，由法定代表人或其授权代理人与采购人签订合同。</w:t>
      </w:r>
    </w:p>
    <w:p w14:paraId="4ADB2258">
      <w:pPr>
        <w:rPr>
          <w:b/>
          <w:bCs/>
          <w:color w:val="000000" w:themeColor="text1"/>
          <w:szCs w:val="24"/>
          <w14:textFill>
            <w14:solidFill>
              <w14:schemeClr w14:val="tx1"/>
            </w14:solidFill>
          </w14:textFill>
        </w:rPr>
      </w:pPr>
      <w:bookmarkStart w:id="11" w:name="_Toc90906530"/>
      <w:r>
        <w:rPr>
          <w:rFonts w:hint="eastAsia"/>
          <w:b/>
          <w:bCs/>
          <w:color w:val="000000" w:themeColor="text1"/>
          <w:szCs w:val="24"/>
          <w14:textFill>
            <w14:solidFill>
              <w14:schemeClr w14:val="tx1"/>
            </w14:solidFill>
          </w14:textFill>
        </w:rPr>
        <w:t>八、其他内容</w:t>
      </w:r>
      <w:bookmarkEnd w:id="11"/>
    </w:p>
    <w:p w14:paraId="3F8B8EF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1、发生下列情况之一，供应商自愿接受取消投标资格、记入信用档案、媒体通报、1-2 年内禁止参与政府采购等处罚；如已中标（成交）的，自动放弃中标（成交）资格，并承担全部法律责任；给采购人造成损失的，依法承担赔偿责任：</w:t>
      </w:r>
    </w:p>
    <w:p w14:paraId="228A916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.1供应商在提交投标（响应）文件截止时间后撤回投标（响应）文件的；</w:t>
      </w:r>
    </w:p>
    <w:p w14:paraId="27D7FE6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1.2供应商在投标（响应）文件中提交虚假材料的；</w:t>
      </w:r>
    </w:p>
    <w:p w14:paraId="4A18E5B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1.3除因不可抗力或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文件认可的情形以外，中标供应商不与采购人签订合同的；</w:t>
      </w:r>
    </w:p>
    <w:p w14:paraId="5D16D8C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1.4供应商与采购人、其他供应商或者采购代理机构恶意串通的；</w:t>
      </w:r>
    </w:p>
    <w:p w14:paraId="6FE2213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1.5中标供应商拒绝缴纳招标代理服务费的；</w:t>
      </w:r>
    </w:p>
    <w:p w14:paraId="299F2B6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文件规定的其他情形。</w:t>
      </w:r>
    </w:p>
    <w:p w14:paraId="6CDC186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0302C1B">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48FE349">
      <w:pPr>
        <w:pStyle w:val="4"/>
        <w:rPr>
          <w:color w:val="000000" w:themeColor="text1"/>
          <w14:textFill>
            <w14:solidFill>
              <w14:schemeClr w14:val="tx1"/>
            </w14:solidFill>
          </w14:textFill>
        </w:rPr>
      </w:pPr>
      <w:bookmarkStart w:id="12" w:name="_Toc90906531"/>
      <w:r>
        <w:rPr>
          <w:rFonts w:hint="eastAsia"/>
          <w:color w:val="000000" w:themeColor="text1"/>
          <w14:textFill>
            <w14:solidFill>
              <w14:schemeClr w14:val="tx1"/>
            </w14:solidFill>
          </w14:textFill>
        </w:rPr>
        <w:t>第四章 评标办法及评分标准</w:t>
      </w:r>
      <w:bookmarkEnd w:id="12"/>
    </w:p>
    <w:p w14:paraId="1C8119A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为公正、公平、科学地选择中标人，根据《中华人民共和国政府采购法》等有关法律法规的规定，并结合本项目的实际，制定本办法。</w:t>
      </w:r>
    </w:p>
    <w:p w14:paraId="5A10965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本办法适用于</w:t>
      </w:r>
      <w:r>
        <w:rPr>
          <w:rFonts w:hint="eastAsia" w:ascii="宋体" w:hAnsi="宋体"/>
          <w:b/>
          <w:bCs/>
          <w:color w:val="000000" w:themeColor="text1"/>
          <w:u w:val="single"/>
          <w14:textFill>
            <w14:solidFill>
              <w14:schemeClr w14:val="tx1"/>
            </w14:solidFill>
          </w14:textFill>
        </w:rPr>
        <w:t>湖州职业技术学院教学实训设备搬迁服务项目</w:t>
      </w:r>
      <w:r>
        <w:rPr>
          <w:rFonts w:hint="eastAsia" w:ascii="宋体" w:hAnsi="宋体"/>
          <w:color w:val="000000" w:themeColor="text1"/>
          <w14:textFill>
            <w14:solidFill>
              <w14:schemeClr w14:val="tx1"/>
            </w14:solidFill>
          </w14:textFill>
        </w:rPr>
        <w:t>的评标。</w:t>
      </w:r>
    </w:p>
    <w:p w14:paraId="41699BC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一、总则</w:t>
      </w:r>
    </w:p>
    <w:p w14:paraId="20E4017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本次评标采用综合评分法，总分为100分，其中价格分10分，技术分、商务分和资信及其他部分占90分。合格供应商的评标得分为各项目汇总得分。评分过程中采用四舍五入法，并保留小数2位。</w:t>
      </w:r>
    </w:p>
    <w:p w14:paraId="3678DB1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各供应商最终得分=价格分+(技术分+商务分+资信及其他分)</w:t>
      </w:r>
    </w:p>
    <w:p w14:paraId="5951895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二、评标内容及标准</w:t>
      </w:r>
    </w:p>
    <w:p w14:paraId="0F0962F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（一）价格分（10分）</w:t>
      </w:r>
    </w:p>
    <w:p w14:paraId="5549A74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价格分采用低价优先法计算，取所有有效供应商中投标价格最低的投标报价为评标基准价，其他供应商的价格分按照下列公式计算(百分点保留2位小数点，得分保留2位小数,第3位四舍五入,下同)：</w:t>
      </w:r>
    </w:p>
    <w:p w14:paraId="47825E5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价格分=（评标基准价/投标报价）×10%×100</w:t>
      </w:r>
    </w:p>
    <w:p w14:paraId="78C4AC49">
      <w:pPr>
        <w:spacing w:line="640" w:lineRule="exact"/>
        <w:ind w:firstLine="480" w:firstLineChars="200"/>
        <w:rPr>
          <w:rFonts w:ascii="宋体" w:hAnsi="宋体" w:cs="宋体"/>
          <w:bCs/>
        </w:rPr>
      </w:pPr>
      <w:r>
        <w:rPr>
          <w:rFonts w:hint="eastAsia" w:ascii="宋体" w:hAnsi="宋体" w:cs="宋体"/>
          <w:bCs/>
        </w:rPr>
        <w:t>评标小组在评审时发现供应商的报价明显高于其市场报价或低于成本价的，应当要求供应商书面说明并提供相关证明材料。供应商不能当场合理说明原因并提供证明材料</w:t>
      </w:r>
    </w:p>
    <w:p w14:paraId="33CA4A08">
      <w:pPr>
        <w:spacing w:line="640" w:lineRule="exact"/>
        <w:rPr>
          <w:rFonts w:ascii="宋体" w:hAnsi="宋体" w:cs="宋体"/>
        </w:rPr>
      </w:pPr>
      <w:r>
        <w:rPr>
          <w:rFonts w:hint="eastAsia" w:ascii="宋体" w:hAnsi="宋体" w:cs="宋体"/>
          <w:bCs/>
        </w:rPr>
        <w:t>的，评标小组应将该供应商的投标文件作无效处理，并在评审报告中说明。</w:t>
      </w:r>
    </w:p>
    <w:p w14:paraId="41DBBDF6">
      <w:pPr>
        <w:ind w:firstLine="480" w:firstLineChars="200"/>
        <w:rPr>
          <w:rFonts w:ascii="宋体" w:hAnsi="宋体" w:cs="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w:t>
      </w:r>
      <w:r>
        <w:rPr>
          <w:rFonts w:hint="eastAsia" w:ascii="宋体" w:hAnsi="宋体" w:cs="宋体"/>
          <w:color w:val="000000" w:themeColor="text1"/>
          <w:szCs w:val="24"/>
          <w14:textFill>
            <w14:solidFill>
              <w14:schemeClr w14:val="tx1"/>
            </w14:solidFill>
          </w14:textFill>
        </w:rPr>
        <w:t>技术、商务、资信及其他分（90分）</w:t>
      </w:r>
    </w:p>
    <w:p w14:paraId="08CF03F3">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技术、商务、资信及其他分的计算</w:t>
      </w:r>
    </w:p>
    <w:p w14:paraId="28587E15">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技术、商务、资信及其他分按照评标委员会成员的独立评分结果汇总后的算术平均分计算，计算公式为：</w:t>
      </w:r>
    </w:p>
    <w:p w14:paraId="72A14779">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技术、商务、资信及其他分=评标委员会所有成员评分合计数/评标委员会组成人员数</w:t>
      </w:r>
    </w:p>
    <w:p w14:paraId="37189DCC">
      <w:pP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附件：评分表格式</w:t>
      </w:r>
    </w:p>
    <w:tbl>
      <w:tblPr>
        <w:tblStyle w:val="2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84"/>
        <w:gridCol w:w="6274"/>
        <w:gridCol w:w="859"/>
      </w:tblGrid>
      <w:tr w14:paraId="2ADD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3" w:type="dxa"/>
            <w:vAlign w:val="center"/>
          </w:tcPr>
          <w:p w14:paraId="7677DD5E">
            <w:pPr>
              <w:widowControl/>
              <w:snapToGrid w:val="0"/>
              <w:spacing w:line="288" w:lineRule="auto"/>
              <w:jc w:val="center"/>
              <w:rPr>
                <w:rFonts w:ascii="仿宋" w:hAnsi="仿宋" w:eastAsia="仿宋" w:cs="仿宋"/>
                <w:bCs/>
                <w:iCs/>
                <w:szCs w:val="24"/>
              </w:rPr>
            </w:pPr>
            <w:bookmarkStart w:id="13" w:name="_Toc2043"/>
            <w:bookmarkStart w:id="14" w:name="_Toc20692"/>
            <w:bookmarkStart w:id="15" w:name="_Toc21275"/>
            <w:r>
              <w:rPr>
                <w:rFonts w:hint="eastAsia" w:ascii="仿宋" w:hAnsi="仿宋" w:eastAsia="仿宋" w:cs="仿宋"/>
                <w:b/>
                <w:bCs/>
                <w:kern w:val="0"/>
              </w:rPr>
              <w:t>序号</w:t>
            </w:r>
          </w:p>
        </w:tc>
        <w:tc>
          <w:tcPr>
            <w:tcW w:w="1584" w:type="dxa"/>
            <w:vAlign w:val="center"/>
          </w:tcPr>
          <w:p w14:paraId="7123E556">
            <w:pPr>
              <w:widowControl/>
              <w:snapToGrid w:val="0"/>
              <w:spacing w:line="288" w:lineRule="auto"/>
              <w:jc w:val="center"/>
              <w:rPr>
                <w:rFonts w:ascii="仿宋" w:hAnsi="仿宋" w:eastAsia="仿宋" w:cs="仿宋"/>
                <w:bCs/>
                <w:iCs/>
                <w:szCs w:val="24"/>
              </w:rPr>
            </w:pPr>
            <w:r>
              <w:rPr>
                <w:rFonts w:hint="eastAsia" w:ascii="仿宋" w:hAnsi="仿宋" w:eastAsia="仿宋" w:cs="仿宋"/>
                <w:b/>
                <w:bCs/>
                <w:kern w:val="0"/>
              </w:rPr>
              <w:t>评分项</w:t>
            </w:r>
          </w:p>
        </w:tc>
        <w:tc>
          <w:tcPr>
            <w:tcW w:w="6274" w:type="dxa"/>
            <w:vAlign w:val="center"/>
          </w:tcPr>
          <w:p w14:paraId="2D360CC9">
            <w:pPr>
              <w:widowControl/>
              <w:snapToGrid w:val="0"/>
              <w:spacing w:line="288" w:lineRule="auto"/>
              <w:jc w:val="center"/>
              <w:rPr>
                <w:rFonts w:ascii="仿宋" w:hAnsi="仿宋" w:eastAsia="仿宋" w:cs="仿宋"/>
                <w:bCs/>
                <w:iCs/>
                <w:szCs w:val="24"/>
              </w:rPr>
            </w:pPr>
            <w:r>
              <w:rPr>
                <w:rFonts w:hint="eastAsia" w:ascii="仿宋" w:hAnsi="仿宋" w:eastAsia="仿宋" w:cs="仿宋"/>
                <w:b/>
                <w:bCs/>
                <w:kern w:val="0"/>
              </w:rPr>
              <w:t>评审依据及标准</w:t>
            </w:r>
          </w:p>
        </w:tc>
        <w:tc>
          <w:tcPr>
            <w:tcW w:w="859" w:type="dxa"/>
            <w:vAlign w:val="center"/>
          </w:tcPr>
          <w:p w14:paraId="0953DFF4">
            <w:pPr>
              <w:widowControl/>
              <w:snapToGrid w:val="0"/>
              <w:spacing w:line="288" w:lineRule="auto"/>
              <w:jc w:val="center"/>
              <w:rPr>
                <w:rFonts w:ascii="仿宋" w:hAnsi="仿宋" w:eastAsia="仿宋" w:cs="仿宋"/>
                <w:szCs w:val="24"/>
              </w:rPr>
            </w:pPr>
            <w:r>
              <w:rPr>
                <w:rFonts w:hint="eastAsia" w:ascii="仿宋" w:hAnsi="仿宋" w:eastAsia="仿宋" w:cs="仿宋"/>
                <w:b/>
                <w:bCs/>
                <w:kern w:val="0"/>
              </w:rPr>
              <w:t>分值</w:t>
            </w:r>
          </w:p>
        </w:tc>
      </w:tr>
      <w:tr w14:paraId="00D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3" w:type="dxa"/>
            <w:vAlign w:val="center"/>
          </w:tcPr>
          <w:p w14:paraId="6D305EFA">
            <w:pPr>
              <w:adjustRightInd w:val="0"/>
              <w:spacing w:line="288" w:lineRule="auto"/>
              <w:jc w:val="center"/>
              <w:rPr>
                <w:rFonts w:ascii="仿宋" w:hAnsi="仿宋" w:eastAsia="仿宋" w:cs="仿宋"/>
                <w:b/>
                <w:iCs/>
                <w:szCs w:val="24"/>
              </w:rPr>
            </w:pPr>
            <w:r>
              <w:rPr>
                <w:rFonts w:hint="eastAsia" w:ascii="仿宋" w:hAnsi="仿宋" w:eastAsia="仿宋" w:cs="仿宋"/>
                <w:b/>
                <w:iCs/>
                <w:szCs w:val="24"/>
              </w:rPr>
              <w:t>一</w:t>
            </w:r>
          </w:p>
        </w:tc>
        <w:tc>
          <w:tcPr>
            <w:tcW w:w="7858" w:type="dxa"/>
            <w:gridSpan w:val="2"/>
            <w:vAlign w:val="center"/>
          </w:tcPr>
          <w:p w14:paraId="6B3FC398">
            <w:pPr>
              <w:adjustRightInd w:val="0"/>
              <w:spacing w:line="288" w:lineRule="auto"/>
              <w:jc w:val="center"/>
              <w:rPr>
                <w:rFonts w:ascii="仿宋" w:hAnsi="仿宋" w:eastAsia="仿宋" w:cs="仿宋"/>
                <w:b/>
                <w:iCs/>
                <w:szCs w:val="24"/>
              </w:rPr>
            </w:pPr>
            <w:r>
              <w:rPr>
                <w:rFonts w:hint="eastAsia" w:ascii="仿宋" w:hAnsi="仿宋" w:eastAsia="仿宋" w:cs="仿宋"/>
                <w:b/>
                <w:iCs/>
                <w:szCs w:val="24"/>
              </w:rPr>
              <w:t>技术分</w:t>
            </w:r>
          </w:p>
        </w:tc>
        <w:tc>
          <w:tcPr>
            <w:tcW w:w="859" w:type="dxa"/>
            <w:vAlign w:val="center"/>
          </w:tcPr>
          <w:p w14:paraId="389449A0">
            <w:pPr>
              <w:tabs>
                <w:tab w:val="left" w:pos="0"/>
              </w:tabs>
              <w:spacing w:line="288" w:lineRule="auto"/>
              <w:jc w:val="center"/>
              <w:rPr>
                <w:rFonts w:ascii="仿宋" w:hAnsi="仿宋" w:eastAsia="仿宋" w:cs="仿宋"/>
                <w:szCs w:val="24"/>
              </w:rPr>
            </w:pPr>
            <w:r>
              <w:rPr>
                <w:rFonts w:hint="eastAsia" w:ascii="仿宋" w:hAnsi="仿宋" w:eastAsia="仿宋" w:cs="仿宋"/>
                <w:szCs w:val="24"/>
              </w:rPr>
              <w:t>64分</w:t>
            </w:r>
          </w:p>
        </w:tc>
      </w:tr>
      <w:tr w14:paraId="249E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3" w:type="dxa"/>
            <w:vAlign w:val="center"/>
          </w:tcPr>
          <w:p w14:paraId="79DDE2DB">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1</w:t>
            </w:r>
          </w:p>
        </w:tc>
        <w:tc>
          <w:tcPr>
            <w:tcW w:w="1584" w:type="dxa"/>
            <w:vAlign w:val="center"/>
          </w:tcPr>
          <w:p w14:paraId="50043B2F">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采购需求响应性</w:t>
            </w:r>
          </w:p>
        </w:tc>
        <w:tc>
          <w:tcPr>
            <w:tcW w:w="6274" w:type="dxa"/>
            <w:vAlign w:val="center"/>
          </w:tcPr>
          <w:p w14:paraId="58D2436D">
            <w:pPr>
              <w:adjustRightInd w:val="0"/>
              <w:spacing w:line="288" w:lineRule="auto"/>
              <w:rPr>
                <w:rFonts w:ascii="仿宋" w:hAnsi="仿宋" w:eastAsia="仿宋" w:cs="仿宋"/>
                <w:bCs/>
                <w:iCs/>
                <w:szCs w:val="24"/>
              </w:rPr>
            </w:pPr>
            <w:r>
              <w:rPr>
                <w:rFonts w:hint="eastAsia" w:ascii="仿宋" w:hAnsi="仿宋" w:eastAsia="仿宋" w:cs="仿宋"/>
                <w:bCs/>
                <w:iCs/>
                <w:szCs w:val="24"/>
              </w:rPr>
              <w:t>完全满足招标文件采购需求“服务要求”的得10分，打“▲”指标出现负偏离，做无效投标处理；打“★”号的性能指标每有一项负偏离的扣1分，其他一般性能指标每有一项负偏离的扣0.2分，扣完为止。</w:t>
            </w:r>
          </w:p>
        </w:tc>
        <w:tc>
          <w:tcPr>
            <w:tcW w:w="859" w:type="dxa"/>
            <w:vAlign w:val="center"/>
          </w:tcPr>
          <w:p w14:paraId="61397D52">
            <w:pPr>
              <w:tabs>
                <w:tab w:val="left" w:pos="0"/>
              </w:tabs>
              <w:spacing w:line="288" w:lineRule="auto"/>
              <w:jc w:val="center"/>
              <w:rPr>
                <w:rFonts w:ascii="仿宋" w:hAnsi="仿宋" w:eastAsia="仿宋" w:cs="仿宋"/>
                <w:szCs w:val="24"/>
              </w:rPr>
            </w:pPr>
            <w:r>
              <w:rPr>
                <w:rFonts w:hint="eastAsia" w:ascii="仿宋" w:hAnsi="仿宋" w:eastAsia="仿宋" w:cs="仿宋"/>
                <w:szCs w:val="24"/>
              </w:rPr>
              <w:t>10分</w:t>
            </w:r>
          </w:p>
        </w:tc>
      </w:tr>
      <w:tr w14:paraId="32B2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restart"/>
            <w:vAlign w:val="center"/>
          </w:tcPr>
          <w:p w14:paraId="0CA3A51A">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2</w:t>
            </w:r>
          </w:p>
        </w:tc>
        <w:tc>
          <w:tcPr>
            <w:tcW w:w="1584" w:type="dxa"/>
            <w:vMerge w:val="restart"/>
            <w:vAlign w:val="center"/>
          </w:tcPr>
          <w:p w14:paraId="3E2C3037">
            <w:pPr>
              <w:adjustRightInd w:val="0"/>
              <w:spacing w:line="288" w:lineRule="auto"/>
              <w:rPr>
                <w:rFonts w:ascii="仿宋" w:hAnsi="仿宋" w:eastAsia="仿宋" w:cs="仿宋"/>
                <w:bCs/>
                <w:iCs/>
                <w:szCs w:val="24"/>
              </w:rPr>
            </w:pPr>
            <w:r>
              <w:rPr>
                <w:rFonts w:hint="eastAsia" w:ascii="仿宋" w:hAnsi="仿宋" w:eastAsia="仿宋" w:cs="仿宋"/>
                <w:bCs/>
                <w:iCs/>
                <w:szCs w:val="24"/>
              </w:rPr>
              <w:t>搬迁前规划</w:t>
            </w:r>
          </w:p>
        </w:tc>
        <w:tc>
          <w:tcPr>
            <w:tcW w:w="6274" w:type="dxa"/>
            <w:vAlign w:val="center"/>
          </w:tcPr>
          <w:p w14:paraId="1323FF6D">
            <w:pPr>
              <w:adjustRightInd w:val="0"/>
              <w:spacing w:line="288" w:lineRule="auto"/>
              <w:rPr>
                <w:rFonts w:ascii="仿宋" w:hAnsi="仿宋" w:eastAsia="仿宋" w:cs="仿宋"/>
                <w:bCs/>
                <w:iCs/>
                <w:szCs w:val="24"/>
              </w:rPr>
            </w:pPr>
            <w:r>
              <w:rPr>
                <w:rFonts w:hint="eastAsia" w:ascii="仿宋" w:hAnsi="仿宋" w:eastAsia="仿宋" w:cs="仿宋"/>
                <w:bCs/>
                <w:iCs/>
                <w:szCs w:val="24"/>
              </w:rPr>
              <w:t>1.时间进度计划完整、时间节点规划（0-3分）。</w:t>
            </w:r>
          </w:p>
          <w:p w14:paraId="1ACD2B86">
            <w:pPr>
              <w:adjustRightInd w:val="0"/>
              <w:spacing w:line="288" w:lineRule="auto"/>
            </w:pPr>
            <w:r>
              <w:rPr>
                <w:rFonts w:hint="eastAsia" w:ascii="仿宋" w:hAnsi="仿宋" w:eastAsia="仿宋" w:cs="仿宋"/>
                <w:bCs/>
                <w:iCs/>
                <w:szCs w:val="24"/>
              </w:rPr>
              <w:t>2.提供各个学院新旧场地的详细勘探报告，进行空间匹配度分析（0-5分）。勘探细致、分析精准得</w:t>
            </w:r>
            <w:r>
              <w:rPr>
                <w:rFonts w:hint="eastAsia" w:ascii="仿宋" w:hAnsi="仿宋" w:eastAsia="仿宋" w:cs="仿宋"/>
              </w:rPr>
              <w:t>4-5分，</w:t>
            </w:r>
            <w:r>
              <w:rPr>
                <w:rFonts w:hint="eastAsia" w:ascii="仿宋" w:hAnsi="仿宋" w:eastAsia="仿宋" w:cs="仿宋"/>
                <w:bCs/>
                <w:iCs/>
                <w:szCs w:val="24"/>
              </w:rPr>
              <w:t>勘探较为完整，分析比较到位</w:t>
            </w:r>
            <w:r>
              <w:rPr>
                <w:rFonts w:hint="eastAsia" w:ascii="仿宋" w:hAnsi="仿宋" w:eastAsia="仿宋" w:cs="仿宋"/>
              </w:rPr>
              <w:t>的</w:t>
            </w:r>
            <w:r>
              <w:rPr>
                <w:rFonts w:hint="eastAsia" w:ascii="仿宋" w:hAnsi="仿宋" w:eastAsia="仿宋" w:cs="仿宋"/>
                <w:bCs/>
                <w:iCs/>
                <w:szCs w:val="24"/>
              </w:rPr>
              <w:t>得</w:t>
            </w:r>
            <w:r>
              <w:rPr>
                <w:rFonts w:hint="eastAsia" w:ascii="仿宋" w:hAnsi="仿宋" w:eastAsia="仿宋" w:cs="仿宋"/>
              </w:rPr>
              <w:t>2-3分，</w:t>
            </w:r>
            <w:r>
              <w:rPr>
                <w:rFonts w:hint="eastAsia" w:ascii="仿宋" w:hAnsi="仿宋" w:eastAsia="仿宋" w:cs="仿宋"/>
                <w:bCs/>
                <w:iCs/>
                <w:szCs w:val="24"/>
              </w:rPr>
              <w:t>勘探及分析一般的得</w:t>
            </w:r>
            <w:r>
              <w:rPr>
                <w:rFonts w:hint="eastAsia" w:ascii="仿宋" w:hAnsi="仿宋" w:eastAsia="仿宋" w:cs="仿宋"/>
              </w:rPr>
              <w:t>1分，无方案不得分。</w:t>
            </w:r>
          </w:p>
          <w:p w14:paraId="66E8BD46">
            <w:pPr>
              <w:adjustRightInd w:val="0"/>
              <w:spacing w:line="288" w:lineRule="auto"/>
              <w:rPr>
                <w:rFonts w:ascii="仿宋" w:hAnsi="仿宋" w:eastAsia="仿宋" w:cs="仿宋"/>
                <w:bCs/>
                <w:iCs/>
                <w:szCs w:val="24"/>
              </w:rPr>
            </w:pPr>
            <w:r>
              <w:rPr>
                <w:rFonts w:hint="eastAsia" w:ascii="仿宋" w:hAnsi="仿宋" w:eastAsia="仿宋" w:cs="仿宋"/>
                <w:bCs/>
                <w:iCs/>
                <w:szCs w:val="24"/>
              </w:rPr>
              <w:t>3. 投标人针对本项目提供的重点难点分析、应对措施方案（0-4分）。分析</w:t>
            </w:r>
            <w:r>
              <w:rPr>
                <w:rFonts w:hint="eastAsia" w:ascii="仿宋" w:hAnsi="仿宋" w:eastAsia="仿宋" w:cs="仿宋"/>
              </w:rPr>
              <w:t>科学合理、</w:t>
            </w:r>
            <w:r>
              <w:rPr>
                <w:rFonts w:hint="eastAsia" w:ascii="仿宋" w:hAnsi="仿宋" w:eastAsia="仿宋" w:cs="仿宋"/>
                <w:bCs/>
                <w:iCs/>
                <w:szCs w:val="24"/>
              </w:rPr>
              <w:t>应对措施到位得</w:t>
            </w:r>
            <w:r>
              <w:rPr>
                <w:rFonts w:hint="eastAsia" w:ascii="仿宋" w:hAnsi="仿宋" w:eastAsia="仿宋" w:cs="仿宋"/>
              </w:rPr>
              <w:t>3-4分，不够合理到位的1-2分，无方案不得分。</w:t>
            </w:r>
          </w:p>
          <w:p w14:paraId="33D793E5">
            <w:pPr>
              <w:adjustRightInd w:val="0"/>
              <w:spacing w:line="288" w:lineRule="auto"/>
              <w:rPr>
                <w:rFonts w:ascii="仿宋" w:hAnsi="仿宋" w:eastAsia="仿宋" w:cs="仿宋"/>
                <w:bCs/>
                <w:iCs/>
                <w:szCs w:val="24"/>
              </w:rPr>
            </w:pPr>
            <w:r>
              <w:rPr>
                <w:rFonts w:hint="eastAsia" w:ascii="仿宋" w:hAnsi="仿宋" w:eastAsia="仿宋" w:cs="仿宋"/>
                <w:bCs/>
                <w:iCs/>
                <w:szCs w:val="24"/>
              </w:rPr>
              <w:t>4.搬迁辅助设备配置种类（0-2分）。</w:t>
            </w:r>
          </w:p>
        </w:tc>
        <w:tc>
          <w:tcPr>
            <w:tcW w:w="859" w:type="dxa"/>
            <w:vAlign w:val="center"/>
          </w:tcPr>
          <w:p w14:paraId="0B0997B5">
            <w:pPr>
              <w:tabs>
                <w:tab w:val="left" w:pos="0"/>
              </w:tabs>
              <w:spacing w:line="288" w:lineRule="auto"/>
              <w:jc w:val="center"/>
              <w:rPr>
                <w:rFonts w:ascii="仿宋" w:hAnsi="仿宋" w:eastAsia="仿宋" w:cs="仿宋"/>
                <w:szCs w:val="24"/>
              </w:rPr>
            </w:pPr>
            <w:r>
              <w:rPr>
                <w:rFonts w:hint="eastAsia" w:ascii="仿宋" w:hAnsi="仿宋" w:eastAsia="仿宋" w:cs="仿宋"/>
                <w:bCs/>
                <w:iCs/>
                <w:szCs w:val="24"/>
              </w:rPr>
              <w:t>14分</w:t>
            </w:r>
          </w:p>
        </w:tc>
      </w:tr>
      <w:tr w14:paraId="6403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43" w:type="dxa"/>
            <w:vMerge w:val="restart"/>
            <w:vAlign w:val="center"/>
          </w:tcPr>
          <w:p w14:paraId="61E77A13">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3</w:t>
            </w:r>
          </w:p>
        </w:tc>
        <w:tc>
          <w:tcPr>
            <w:tcW w:w="1584" w:type="dxa"/>
            <w:vMerge w:val="restart"/>
            <w:vAlign w:val="center"/>
          </w:tcPr>
          <w:p w14:paraId="7E2F17CB">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搬迁运输方案</w:t>
            </w:r>
          </w:p>
        </w:tc>
        <w:tc>
          <w:tcPr>
            <w:tcW w:w="6274" w:type="dxa"/>
            <w:shd w:val="clear" w:color="auto" w:fill="auto"/>
            <w:vAlign w:val="center"/>
          </w:tcPr>
          <w:p w14:paraId="7E802428">
            <w:pPr>
              <w:adjustRightInd w:val="0"/>
              <w:spacing w:line="288" w:lineRule="auto"/>
              <w:rPr>
                <w:rFonts w:ascii="仿宋" w:hAnsi="仿宋" w:eastAsia="仿宋" w:cs="仿宋"/>
                <w:bCs/>
                <w:iCs/>
                <w:szCs w:val="24"/>
              </w:rPr>
            </w:pPr>
            <w:r>
              <w:rPr>
                <w:rFonts w:hint="eastAsia" w:ascii="仿宋" w:hAnsi="仿宋" w:eastAsia="仿宋" w:cs="仿宋"/>
                <w:bCs/>
                <w:iCs/>
                <w:szCs w:val="24"/>
              </w:rPr>
              <w:t>1.设备包装方案（0-4分）。</w:t>
            </w:r>
            <w:r>
              <w:rPr>
                <w:rFonts w:hint="eastAsia" w:ascii="仿宋" w:hAnsi="仿宋" w:eastAsia="仿宋" w:cs="仿宋"/>
              </w:rPr>
              <w:t>方案完整、科学合理3-4分，不够完整合理的1-2分，无方案不得分。</w:t>
            </w:r>
          </w:p>
          <w:p w14:paraId="35903041">
            <w:pPr>
              <w:adjustRightInd w:val="0"/>
              <w:spacing w:line="288" w:lineRule="auto"/>
              <w:rPr>
                <w:rFonts w:ascii="仿宋" w:hAnsi="仿宋" w:eastAsia="仿宋" w:cs="仿宋"/>
                <w:bCs/>
                <w:iCs/>
                <w:szCs w:val="24"/>
              </w:rPr>
            </w:pPr>
            <w:r>
              <w:rPr>
                <w:rFonts w:hint="eastAsia" w:ascii="仿宋" w:hAnsi="仿宋" w:eastAsia="仿宋" w:cs="仿宋"/>
                <w:bCs/>
                <w:iCs/>
                <w:szCs w:val="24"/>
              </w:rPr>
              <w:t>2.设备运输方案（0-4分）。</w:t>
            </w:r>
            <w:r>
              <w:rPr>
                <w:rFonts w:hint="eastAsia" w:ascii="仿宋" w:hAnsi="仿宋" w:eastAsia="仿宋" w:cs="仿宋"/>
              </w:rPr>
              <w:t>方案完整、科学合理3-4分，不够完整合理的1-2分，无方案不得分。</w:t>
            </w:r>
          </w:p>
          <w:p w14:paraId="5023C597">
            <w:pPr>
              <w:adjustRightInd w:val="0"/>
              <w:spacing w:line="288" w:lineRule="auto"/>
              <w:rPr>
                <w:rFonts w:ascii="仿宋" w:hAnsi="仿宋" w:eastAsia="仿宋" w:cs="仿宋"/>
                <w:bCs/>
                <w:iCs/>
                <w:szCs w:val="24"/>
              </w:rPr>
            </w:pPr>
            <w:r>
              <w:rPr>
                <w:rFonts w:hint="eastAsia" w:ascii="仿宋" w:hAnsi="仿宋" w:eastAsia="仿宋" w:cs="仿宋"/>
                <w:bCs/>
                <w:iCs/>
                <w:szCs w:val="24"/>
              </w:rPr>
              <w:t>3.设备安装调试方案（0-4分）。</w:t>
            </w:r>
            <w:r>
              <w:rPr>
                <w:rFonts w:hint="eastAsia" w:ascii="仿宋" w:hAnsi="仿宋" w:eastAsia="仿宋" w:cs="仿宋"/>
              </w:rPr>
              <w:t>方案完整、科学合理3-4分，不够完整合理的1-2分，无方案不得分。</w:t>
            </w:r>
          </w:p>
          <w:p w14:paraId="6FD1B5F1">
            <w:pPr>
              <w:adjustRightInd w:val="0"/>
              <w:spacing w:line="288" w:lineRule="auto"/>
              <w:rPr>
                <w:rFonts w:ascii="仿宋" w:hAnsi="仿宋" w:eastAsia="仿宋" w:cs="仿宋"/>
                <w:bCs/>
                <w:iCs/>
                <w:szCs w:val="24"/>
              </w:rPr>
            </w:pPr>
            <w:r>
              <w:rPr>
                <w:rFonts w:hint="eastAsia" w:ascii="仿宋" w:hAnsi="仿宋" w:eastAsia="仿宋" w:cs="仿宋"/>
                <w:bCs/>
                <w:iCs/>
                <w:szCs w:val="24"/>
              </w:rPr>
              <w:t>4.保险方案（0-3分）。方案可靠、保险到位得3分，保险随意、</w:t>
            </w:r>
            <w:r>
              <w:rPr>
                <w:rFonts w:hint="eastAsia" w:ascii="仿宋" w:hAnsi="仿宋" w:eastAsia="仿宋" w:cs="仿宋"/>
              </w:rPr>
              <w:t>不够完整合理的1-2分，无方案不得分。</w:t>
            </w:r>
          </w:p>
          <w:p w14:paraId="261354AA">
            <w:pPr>
              <w:adjustRightInd w:val="0"/>
              <w:spacing w:line="288" w:lineRule="auto"/>
              <w:rPr>
                <w:rFonts w:ascii="仿宋" w:hAnsi="仿宋" w:eastAsia="仿宋" w:cs="仿宋"/>
                <w:bCs/>
                <w:iCs/>
                <w:szCs w:val="24"/>
              </w:rPr>
            </w:pPr>
            <w:r>
              <w:rPr>
                <w:rFonts w:hint="eastAsia" w:ascii="仿宋" w:hAnsi="仿宋" w:eastAsia="仿宋" w:cs="仿宋"/>
                <w:bCs/>
                <w:iCs/>
                <w:szCs w:val="24"/>
              </w:rPr>
              <w:t>5.提供危化品搬迁方案及危废处理方案（0-3分）。方案全面、危废处理安全可靠得3分，方案及危废处理随意、</w:t>
            </w:r>
            <w:r>
              <w:rPr>
                <w:rFonts w:hint="eastAsia" w:ascii="仿宋" w:hAnsi="仿宋" w:eastAsia="仿宋" w:cs="仿宋"/>
              </w:rPr>
              <w:t>不够完整合理的1-2分，无方案不得分。</w:t>
            </w:r>
          </w:p>
        </w:tc>
        <w:tc>
          <w:tcPr>
            <w:tcW w:w="859" w:type="dxa"/>
            <w:shd w:val="clear" w:color="auto" w:fill="auto"/>
            <w:vAlign w:val="center"/>
          </w:tcPr>
          <w:p w14:paraId="618FF427">
            <w:pPr>
              <w:tabs>
                <w:tab w:val="left" w:pos="0"/>
              </w:tabs>
              <w:spacing w:line="288" w:lineRule="auto"/>
              <w:jc w:val="center"/>
              <w:rPr>
                <w:rFonts w:ascii="仿宋" w:hAnsi="仿宋" w:eastAsia="仿宋" w:cs="仿宋"/>
                <w:szCs w:val="24"/>
              </w:rPr>
            </w:pPr>
            <w:r>
              <w:rPr>
                <w:rFonts w:hint="eastAsia" w:ascii="仿宋" w:hAnsi="仿宋" w:eastAsia="仿宋" w:cs="仿宋"/>
                <w:bCs/>
                <w:iCs/>
                <w:szCs w:val="24"/>
              </w:rPr>
              <w:t>18分</w:t>
            </w:r>
          </w:p>
        </w:tc>
      </w:tr>
      <w:tr w14:paraId="44D9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43" w:type="dxa"/>
            <w:vAlign w:val="center"/>
          </w:tcPr>
          <w:p w14:paraId="32C48CC4">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4</w:t>
            </w:r>
          </w:p>
        </w:tc>
        <w:tc>
          <w:tcPr>
            <w:tcW w:w="1584" w:type="dxa"/>
            <w:vAlign w:val="center"/>
          </w:tcPr>
          <w:p w14:paraId="16264D0B">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保障措施及验收</w:t>
            </w:r>
          </w:p>
        </w:tc>
        <w:tc>
          <w:tcPr>
            <w:tcW w:w="6274" w:type="dxa"/>
            <w:shd w:val="clear" w:color="auto" w:fill="auto"/>
            <w:vAlign w:val="center"/>
          </w:tcPr>
          <w:p w14:paraId="5EC4FC46">
            <w:pPr>
              <w:adjustRightInd w:val="0"/>
              <w:spacing w:line="288" w:lineRule="auto"/>
              <w:rPr>
                <w:rFonts w:ascii="仿宋" w:hAnsi="仿宋" w:eastAsia="仿宋" w:cs="仿宋"/>
                <w:bCs/>
                <w:iCs/>
                <w:szCs w:val="24"/>
              </w:rPr>
            </w:pPr>
            <w:r>
              <w:rPr>
                <w:rFonts w:hint="eastAsia" w:ascii="仿宋" w:hAnsi="仿宋" w:eastAsia="仿宋" w:cs="仿宋"/>
                <w:bCs/>
                <w:iCs/>
                <w:szCs w:val="24"/>
              </w:rPr>
              <w:t>1.安全文明服务保障方案（0-4分）。</w:t>
            </w:r>
            <w:r>
              <w:rPr>
                <w:rFonts w:hint="eastAsia" w:ascii="仿宋" w:hAnsi="仿宋" w:eastAsia="仿宋" w:cs="仿宋"/>
              </w:rPr>
              <w:t>方案完整、科学合理3-4分，不够完整合理的1-2分，无方案不得分。</w:t>
            </w:r>
          </w:p>
          <w:p w14:paraId="55226F8C">
            <w:pPr>
              <w:adjustRightInd w:val="0"/>
              <w:spacing w:line="288" w:lineRule="auto"/>
              <w:rPr>
                <w:rFonts w:ascii="仿宋" w:hAnsi="仿宋" w:eastAsia="仿宋" w:cs="仿宋"/>
                <w:bCs/>
                <w:iCs/>
                <w:szCs w:val="24"/>
              </w:rPr>
            </w:pPr>
            <w:r>
              <w:rPr>
                <w:rFonts w:hint="eastAsia" w:ascii="仿宋" w:hAnsi="仿宋" w:eastAsia="仿宋" w:cs="仿宋"/>
                <w:bCs/>
                <w:iCs/>
                <w:szCs w:val="24"/>
              </w:rPr>
              <w:t>2.验收实施管理办法和措施（0-3分）。管理办法和措施完整、有效的得3分，管理办法和措施随意、</w:t>
            </w:r>
            <w:r>
              <w:rPr>
                <w:rFonts w:hint="eastAsia" w:ascii="仿宋" w:hAnsi="仿宋" w:eastAsia="仿宋" w:cs="仿宋"/>
              </w:rPr>
              <w:t>不够完整合理的1-2分，无</w:t>
            </w:r>
            <w:r>
              <w:rPr>
                <w:rFonts w:hint="eastAsia" w:ascii="仿宋" w:hAnsi="仿宋" w:eastAsia="仿宋" w:cs="仿宋"/>
                <w:bCs/>
                <w:iCs/>
                <w:szCs w:val="24"/>
              </w:rPr>
              <w:t>措施</w:t>
            </w:r>
            <w:r>
              <w:rPr>
                <w:rFonts w:hint="eastAsia" w:ascii="仿宋" w:hAnsi="仿宋" w:eastAsia="仿宋" w:cs="仿宋"/>
              </w:rPr>
              <w:t>不得分。</w:t>
            </w:r>
          </w:p>
          <w:p w14:paraId="5F549DE5">
            <w:pPr>
              <w:adjustRightInd w:val="0"/>
              <w:spacing w:line="288" w:lineRule="auto"/>
              <w:rPr>
                <w:rFonts w:ascii="仿宋" w:hAnsi="仿宋" w:eastAsia="仿宋" w:cs="仿宋"/>
                <w:bCs/>
                <w:iCs/>
                <w:szCs w:val="24"/>
              </w:rPr>
            </w:pPr>
            <w:r>
              <w:rPr>
                <w:rFonts w:hint="eastAsia" w:ascii="仿宋" w:hAnsi="仿宋" w:eastAsia="仿宋" w:cs="仿宋"/>
                <w:bCs/>
                <w:iCs/>
                <w:szCs w:val="24"/>
              </w:rPr>
              <w:t>3.各类专业表格人机保障措施（0-3分）。保障措施完整、有效的得3分，保障措施随意、</w:t>
            </w:r>
            <w:r>
              <w:rPr>
                <w:rFonts w:hint="eastAsia" w:ascii="仿宋" w:hAnsi="仿宋" w:eastAsia="仿宋" w:cs="仿宋"/>
              </w:rPr>
              <w:t>不够完整合理的1-2分，无</w:t>
            </w:r>
            <w:r>
              <w:rPr>
                <w:rFonts w:hint="eastAsia" w:ascii="仿宋" w:hAnsi="仿宋" w:eastAsia="仿宋" w:cs="仿宋"/>
                <w:bCs/>
                <w:iCs/>
                <w:szCs w:val="24"/>
              </w:rPr>
              <w:t>措施</w:t>
            </w:r>
            <w:r>
              <w:rPr>
                <w:rFonts w:hint="eastAsia" w:ascii="仿宋" w:hAnsi="仿宋" w:eastAsia="仿宋" w:cs="仿宋"/>
              </w:rPr>
              <w:t>不得分。</w:t>
            </w:r>
          </w:p>
        </w:tc>
        <w:tc>
          <w:tcPr>
            <w:tcW w:w="859" w:type="dxa"/>
            <w:shd w:val="clear" w:color="auto" w:fill="auto"/>
            <w:vAlign w:val="center"/>
          </w:tcPr>
          <w:p w14:paraId="2693CF53">
            <w:pPr>
              <w:tabs>
                <w:tab w:val="left" w:pos="0"/>
              </w:tabs>
              <w:spacing w:line="288" w:lineRule="auto"/>
              <w:jc w:val="center"/>
              <w:rPr>
                <w:rFonts w:ascii="仿宋" w:hAnsi="仿宋" w:eastAsia="仿宋" w:cs="仿宋"/>
                <w:szCs w:val="24"/>
              </w:rPr>
            </w:pPr>
            <w:r>
              <w:rPr>
                <w:rFonts w:hint="eastAsia" w:ascii="仿宋" w:hAnsi="仿宋" w:eastAsia="仿宋" w:cs="仿宋"/>
                <w:bCs/>
                <w:iCs/>
                <w:szCs w:val="24"/>
              </w:rPr>
              <w:t>10分</w:t>
            </w:r>
          </w:p>
        </w:tc>
      </w:tr>
      <w:tr w14:paraId="595D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3" w:type="dxa"/>
            <w:shd w:val="clear" w:color="auto" w:fill="auto"/>
            <w:vAlign w:val="center"/>
          </w:tcPr>
          <w:p w14:paraId="396F6A8B">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5</w:t>
            </w:r>
          </w:p>
        </w:tc>
        <w:tc>
          <w:tcPr>
            <w:tcW w:w="1584" w:type="dxa"/>
            <w:vAlign w:val="center"/>
          </w:tcPr>
          <w:p w14:paraId="66E46ED1">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过程管理及追溯</w:t>
            </w:r>
          </w:p>
          <w:p w14:paraId="6A3B3F07">
            <w:pPr>
              <w:adjustRightInd w:val="0"/>
              <w:spacing w:line="288" w:lineRule="auto"/>
              <w:jc w:val="center"/>
              <w:rPr>
                <w:rFonts w:ascii="仿宋" w:hAnsi="仿宋" w:eastAsia="仿宋" w:cs="仿宋"/>
                <w:bCs/>
                <w:iCs/>
                <w:szCs w:val="24"/>
              </w:rPr>
            </w:pPr>
          </w:p>
        </w:tc>
        <w:tc>
          <w:tcPr>
            <w:tcW w:w="6274" w:type="dxa"/>
            <w:vAlign w:val="center"/>
          </w:tcPr>
          <w:p w14:paraId="4DF8EC4A">
            <w:pPr>
              <w:adjustRightInd w:val="0"/>
              <w:spacing w:line="288" w:lineRule="auto"/>
              <w:rPr>
                <w:rFonts w:ascii="仿宋" w:hAnsi="仿宋" w:eastAsia="仿宋" w:cs="仿宋"/>
                <w:bCs/>
                <w:iCs/>
                <w:szCs w:val="24"/>
              </w:rPr>
            </w:pPr>
            <w:r>
              <w:rPr>
                <w:rFonts w:hint="eastAsia" w:ascii="仿宋" w:hAnsi="仿宋" w:eastAsia="仿宋" w:cs="仿宋"/>
                <w:szCs w:val="20"/>
              </w:rPr>
              <w:t>1.投标人具有项目过程管理系统，能够实现旧址内部调整及旧址到新址点对点的智能查询对应，同时对过程文件（包括对设备、耗材、用品等物资搬运状态、搬运人员等动态信息的实时在线查询）进行系统管理及查询，采购人及时了解项目进展，实现有效沟通（0-5分）。管理系统科学智能、动态信息一目了然、查询便捷的得</w:t>
            </w:r>
            <w:r>
              <w:rPr>
                <w:rFonts w:hint="eastAsia" w:ascii="仿宋" w:hAnsi="仿宋" w:eastAsia="仿宋" w:cs="仿宋"/>
              </w:rPr>
              <w:t>4-5分，</w:t>
            </w:r>
            <w:r>
              <w:rPr>
                <w:rFonts w:hint="eastAsia" w:ascii="仿宋" w:hAnsi="仿宋" w:eastAsia="仿宋" w:cs="仿宋"/>
                <w:szCs w:val="20"/>
              </w:rPr>
              <w:t>管理系统</w:t>
            </w:r>
            <w:r>
              <w:rPr>
                <w:rFonts w:hint="eastAsia" w:ascii="仿宋" w:hAnsi="仿宋" w:eastAsia="仿宋" w:cs="仿宋"/>
                <w:bCs/>
                <w:iCs/>
                <w:szCs w:val="24"/>
              </w:rPr>
              <w:t>较为完整、便捷</w:t>
            </w:r>
            <w:r>
              <w:rPr>
                <w:rFonts w:hint="eastAsia" w:ascii="仿宋" w:hAnsi="仿宋" w:eastAsia="仿宋" w:cs="仿宋"/>
              </w:rPr>
              <w:t>的</w:t>
            </w:r>
            <w:r>
              <w:rPr>
                <w:rFonts w:hint="eastAsia" w:ascii="仿宋" w:hAnsi="仿宋" w:eastAsia="仿宋" w:cs="仿宋"/>
                <w:bCs/>
                <w:iCs/>
                <w:szCs w:val="24"/>
              </w:rPr>
              <w:t>得</w:t>
            </w:r>
            <w:r>
              <w:rPr>
                <w:rFonts w:hint="eastAsia" w:ascii="仿宋" w:hAnsi="仿宋" w:eastAsia="仿宋" w:cs="仿宋"/>
              </w:rPr>
              <w:t>2-3分，</w:t>
            </w:r>
            <w:r>
              <w:rPr>
                <w:rFonts w:hint="eastAsia" w:ascii="仿宋" w:hAnsi="仿宋" w:eastAsia="仿宋" w:cs="仿宋"/>
                <w:szCs w:val="20"/>
              </w:rPr>
              <w:t>管理系统</w:t>
            </w:r>
            <w:r>
              <w:rPr>
                <w:rFonts w:hint="eastAsia" w:ascii="仿宋" w:hAnsi="仿宋" w:eastAsia="仿宋" w:cs="仿宋"/>
                <w:bCs/>
                <w:iCs/>
                <w:szCs w:val="24"/>
              </w:rPr>
              <w:t>一般的得</w:t>
            </w:r>
            <w:r>
              <w:rPr>
                <w:rFonts w:hint="eastAsia" w:ascii="仿宋" w:hAnsi="仿宋" w:eastAsia="仿宋" w:cs="仿宋"/>
              </w:rPr>
              <w:t>1分。</w:t>
            </w:r>
            <w:r>
              <w:rPr>
                <w:rFonts w:hint="eastAsia" w:ascii="仿宋" w:hAnsi="仿宋" w:eastAsia="仿宋" w:cs="仿宋"/>
                <w:szCs w:val="20"/>
              </w:rPr>
              <w:t>须提供相关功能的软件界面截图，否则不得分。</w:t>
            </w:r>
          </w:p>
          <w:p w14:paraId="6731FCE6">
            <w:pPr>
              <w:adjustRightInd w:val="0"/>
              <w:spacing w:line="288" w:lineRule="auto"/>
              <w:rPr>
                <w:rFonts w:ascii="仿宋" w:hAnsi="仿宋" w:eastAsia="仿宋" w:cs="仿宋"/>
                <w:bCs/>
                <w:iCs/>
                <w:szCs w:val="24"/>
              </w:rPr>
            </w:pPr>
            <w:r>
              <w:rPr>
                <w:rFonts w:hint="eastAsia" w:ascii="仿宋" w:hAnsi="仿宋" w:eastAsia="仿宋" w:cs="仿宋"/>
                <w:szCs w:val="20"/>
              </w:rPr>
              <w:t>2.为确保学校数据的安全性，供应商拥有项目过程管理系统自有著作权的得1分，须提供相关软件著作权证书。</w:t>
            </w:r>
          </w:p>
        </w:tc>
        <w:tc>
          <w:tcPr>
            <w:tcW w:w="859" w:type="dxa"/>
            <w:vAlign w:val="center"/>
          </w:tcPr>
          <w:p w14:paraId="6E709098">
            <w:pPr>
              <w:tabs>
                <w:tab w:val="left" w:pos="0"/>
              </w:tabs>
              <w:spacing w:line="288" w:lineRule="auto"/>
              <w:jc w:val="center"/>
              <w:rPr>
                <w:rFonts w:ascii="仿宋" w:hAnsi="仿宋" w:eastAsia="仿宋" w:cs="仿宋"/>
                <w:szCs w:val="24"/>
              </w:rPr>
            </w:pPr>
            <w:r>
              <w:rPr>
                <w:rFonts w:hint="eastAsia" w:ascii="仿宋" w:hAnsi="仿宋" w:eastAsia="仿宋" w:cs="仿宋"/>
                <w:szCs w:val="24"/>
              </w:rPr>
              <w:t>6分</w:t>
            </w:r>
          </w:p>
        </w:tc>
      </w:tr>
      <w:tr w14:paraId="5FCD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43" w:type="dxa"/>
            <w:shd w:val="clear" w:color="auto" w:fill="auto"/>
            <w:vAlign w:val="center"/>
          </w:tcPr>
          <w:p w14:paraId="42F1ABA4">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6</w:t>
            </w:r>
          </w:p>
        </w:tc>
        <w:tc>
          <w:tcPr>
            <w:tcW w:w="1584" w:type="dxa"/>
            <w:vAlign w:val="center"/>
          </w:tcPr>
          <w:p w14:paraId="3C56FA6A">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应急及风险控制</w:t>
            </w:r>
          </w:p>
        </w:tc>
        <w:tc>
          <w:tcPr>
            <w:tcW w:w="6274" w:type="dxa"/>
            <w:vAlign w:val="center"/>
          </w:tcPr>
          <w:p w14:paraId="72C082F2">
            <w:pPr>
              <w:adjustRightInd w:val="0"/>
              <w:spacing w:line="288" w:lineRule="auto"/>
              <w:rPr>
                <w:rFonts w:ascii="仿宋" w:hAnsi="仿宋" w:eastAsia="仿宋" w:cs="仿宋"/>
                <w:bCs/>
                <w:iCs/>
                <w:szCs w:val="24"/>
              </w:rPr>
            </w:pPr>
            <w:r>
              <w:rPr>
                <w:rFonts w:hint="eastAsia" w:ascii="仿宋" w:hAnsi="仿宋" w:eastAsia="仿宋" w:cs="仿宋"/>
                <w:bCs/>
                <w:iCs/>
                <w:szCs w:val="24"/>
              </w:rPr>
              <w:t>供应商需提供全面，可行的应急处理及风险控制方案（包括但不限于实训室火灾、实训室爆炸、实训室中毒、实训室触电、实训室化学灼伤等内容）（0-6分）。</w:t>
            </w:r>
            <w:r>
              <w:rPr>
                <w:rFonts w:hint="eastAsia" w:ascii="仿宋" w:hAnsi="仿宋" w:eastAsia="仿宋" w:cs="仿宋"/>
              </w:rPr>
              <w:t>方案全面、科学合理、</w:t>
            </w:r>
            <w:r>
              <w:rPr>
                <w:rFonts w:hint="eastAsia" w:ascii="仿宋" w:hAnsi="仿宋" w:eastAsia="仿宋" w:cs="仿宋"/>
                <w:bCs/>
                <w:iCs/>
                <w:szCs w:val="24"/>
              </w:rPr>
              <w:t>应急处理迅速到位的</w:t>
            </w:r>
            <w:r>
              <w:rPr>
                <w:rFonts w:hint="eastAsia" w:ascii="仿宋" w:hAnsi="仿宋" w:eastAsia="仿宋" w:cs="仿宋"/>
              </w:rPr>
              <w:t>5-6分，方案较为合理、具有一定</w:t>
            </w:r>
            <w:r>
              <w:rPr>
                <w:rFonts w:hint="eastAsia" w:ascii="仿宋" w:hAnsi="仿宋" w:eastAsia="仿宋" w:cs="仿宋"/>
                <w:bCs/>
                <w:iCs/>
                <w:szCs w:val="24"/>
              </w:rPr>
              <w:t>风险控制效果的</w:t>
            </w:r>
            <w:r>
              <w:rPr>
                <w:rFonts w:hint="eastAsia" w:ascii="仿宋" w:hAnsi="仿宋" w:eastAsia="仿宋" w:cs="仿宋"/>
              </w:rPr>
              <w:t>3-4分，不够完整合理的1-2分，无方案不得分。</w:t>
            </w:r>
          </w:p>
        </w:tc>
        <w:tc>
          <w:tcPr>
            <w:tcW w:w="859" w:type="dxa"/>
            <w:vAlign w:val="center"/>
          </w:tcPr>
          <w:p w14:paraId="458123DE">
            <w:pPr>
              <w:tabs>
                <w:tab w:val="left" w:pos="0"/>
              </w:tabs>
              <w:spacing w:line="288" w:lineRule="auto"/>
              <w:jc w:val="center"/>
              <w:rPr>
                <w:rFonts w:ascii="仿宋" w:hAnsi="仿宋" w:eastAsia="仿宋" w:cs="仿宋"/>
                <w:szCs w:val="24"/>
              </w:rPr>
            </w:pPr>
            <w:r>
              <w:rPr>
                <w:rFonts w:hint="eastAsia" w:ascii="仿宋" w:hAnsi="仿宋" w:eastAsia="仿宋" w:cs="仿宋"/>
                <w:szCs w:val="24"/>
              </w:rPr>
              <w:t>6分</w:t>
            </w:r>
          </w:p>
        </w:tc>
      </w:tr>
      <w:tr w14:paraId="7322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3" w:type="dxa"/>
            <w:shd w:val="clear" w:color="auto" w:fill="auto"/>
            <w:vAlign w:val="center"/>
          </w:tcPr>
          <w:p w14:paraId="33AA037B">
            <w:pPr>
              <w:adjustRightInd w:val="0"/>
              <w:spacing w:line="288" w:lineRule="auto"/>
              <w:jc w:val="center"/>
              <w:rPr>
                <w:rFonts w:ascii="仿宋" w:hAnsi="仿宋" w:eastAsia="仿宋" w:cs="仿宋"/>
                <w:b/>
                <w:iCs/>
                <w:szCs w:val="24"/>
              </w:rPr>
            </w:pPr>
            <w:r>
              <w:rPr>
                <w:rFonts w:hint="eastAsia" w:ascii="仿宋" w:hAnsi="仿宋" w:eastAsia="仿宋" w:cs="仿宋"/>
                <w:b/>
                <w:iCs/>
                <w:szCs w:val="24"/>
              </w:rPr>
              <w:t>二</w:t>
            </w:r>
          </w:p>
        </w:tc>
        <w:tc>
          <w:tcPr>
            <w:tcW w:w="7858" w:type="dxa"/>
            <w:gridSpan w:val="2"/>
            <w:vAlign w:val="center"/>
          </w:tcPr>
          <w:p w14:paraId="2170D161">
            <w:pPr>
              <w:adjustRightInd w:val="0"/>
              <w:spacing w:line="288" w:lineRule="auto"/>
              <w:jc w:val="center"/>
              <w:rPr>
                <w:rFonts w:ascii="仿宋" w:hAnsi="仿宋" w:eastAsia="仿宋" w:cs="仿宋"/>
                <w:b/>
                <w:iCs/>
                <w:szCs w:val="24"/>
              </w:rPr>
            </w:pPr>
            <w:r>
              <w:rPr>
                <w:rFonts w:hint="eastAsia" w:ascii="仿宋" w:hAnsi="仿宋" w:eastAsia="仿宋" w:cs="仿宋"/>
                <w:b/>
                <w:szCs w:val="24"/>
              </w:rPr>
              <w:t>商务、资信及其他分</w:t>
            </w:r>
          </w:p>
        </w:tc>
        <w:tc>
          <w:tcPr>
            <w:tcW w:w="859" w:type="dxa"/>
            <w:vAlign w:val="center"/>
          </w:tcPr>
          <w:p w14:paraId="783DE66C">
            <w:pPr>
              <w:tabs>
                <w:tab w:val="left" w:pos="0"/>
              </w:tabs>
              <w:spacing w:line="288" w:lineRule="auto"/>
              <w:jc w:val="center"/>
              <w:rPr>
                <w:rFonts w:ascii="仿宋" w:hAnsi="仿宋" w:eastAsia="仿宋" w:cs="仿宋"/>
                <w:szCs w:val="24"/>
              </w:rPr>
            </w:pPr>
            <w:r>
              <w:rPr>
                <w:rFonts w:hint="eastAsia" w:ascii="仿宋" w:hAnsi="仿宋" w:eastAsia="仿宋" w:cs="仿宋"/>
                <w:szCs w:val="24"/>
              </w:rPr>
              <w:t>26分</w:t>
            </w:r>
          </w:p>
        </w:tc>
      </w:tr>
      <w:tr w14:paraId="168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3" w:type="dxa"/>
            <w:shd w:val="clear" w:color="auto" w:fill="auto"/>
            <w:vAlign w:val="center"/>
          </w:tcPr>
          <w:p w14:paraId="6F4F4C05">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7</w:t>
            </w:r>
          </w:p>
        </w:tc>
        <w:tc>
          <w:tcPr>
            <w:tcW w:w="1584" w:type="dxa"/>
            <w:vAlign w:val="center"/>
          </w:tcPr>
          <w:p w14:paraId="55944517">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项目团队配置</w:t>
            </w:r>
          </w:p>
        </w:tc>
        <w:tc>
          <w:tcPr>
            <w:tcW w:w="6274" w:type="dxa"/>
          </w:tcPr>
          <w:p w14:paraId="1823D5DD">
            <w:pPr>
              <w:adjustRightInd w:val="0"/>
              <w:spacing w:line="288" w:lineRule="auto"/>
              <w:rPr>
                <w:rFonts w:ascii="仿宋" w:hAnsi="仿宋" w:eastAsia="仿宋" w:cs="仿宋"/>
                <w:bCs/>
                <w:iCs/>
                <w:szCs w:val="24"/>
              </w:rPr>
            </w:pPr>
            <w:r>
              <w:rPr>
                <w:rFonts w:hint="eastAsia" w:ascii="仿宋" w:hAnsi="仿宋" w:eastAsia="仿宋" w:cs="仿宋"/>
                <w:bCs/>
                <w:iCs/>
                <w:szCs w:val="24"/>
              </w:rPr>
              <w:t>拟投入本项目的项目团队配置及执行能力：</w:t>
            </w:r>
          </w:p>
          <w:p w14:paraId="52DC0C79">
            <w:pPr>
              <w:numPr>
                <w:ilvl w:val="0"/>
                <w:numId w:val="4"/>
              </w:numPr>
              <w:adjustRightInd w:val="0"/>
              <w:spacing w:line="288" w:lineRule="auto"/>
              <w:rPr>
                <w:rFonts w:ascii="仿宋" w:hAnsi="仿宋" w:eastAsia="仿宋" w:cs="仿宋"/>
                <w:bCs/>
                <w:iCs/>
                <w:szCs w:val="24"/>
              </w:rPr>
            </w:pPr>
            <w:r>
              <w:rPr>
                <w:rFonts w:hint="eastAsia" w:ascii="仿宋" w:hAnsi="仿宋" w:eastAsia="仿宋" w:cs="仿宋"/>
                <w:bCs/>
                <w:iCs/>
                <w:szCs w:val="24"/>
              </w:rPr>
              <w:t>项目负责人（5分）：拟投入本项目负责人具备项目管理证书得2分。具备中级及以上工程师职称的得2分。每具备1个不同品类仪器设备维修或安装培训证书的得0.2分，最高得1分。</w:t>
            </w:r>
          </w:p>
          <w:p w14:paraId="05AD00E6">
            <w:pPr>
              <w:adjustRightInd w:val="0"/>
              <w:spacing w:line="288" w:lineRule="auto"/>
              <w:rPr>
                <w:rFonts w:ascii="仿宋" w:hAnsi="仿宋" w:eastAsia="仿宋" w:cs="仿宋"/>
                <w:bCs/>
                <w:iCs/>
                <w:szCs w:val="24"/>
              </w:rPr>
            </w:pPr>
            <w:r>
              <w:rPr>
                <w:rFonts w:hint="eastAsia" w:ascii="仿宋" w:hAnsi="仿宋" w:eastAsia="仿宋" w:cs="仿宋"/>
                <w:bCs/>
                <w:iCs/>
                <w:szCs w:val="24"/>
              </w:rPr>
              <w:t>2.项目团队管理人员（项目负责人除外）（2分）：具备中级及以上工程师职称的得每有1人得1分，最高2分。</w:t>
            </w:r>
          </w:p>
          <w:p w14:paraId="1091B9F9">
            <w:pPr>
              <w:adjustRightInd w:val="0"/>
              <w:spacing w:line="288" w:lineRule="auto"/>
              <w:rPr>
                <w:rFonts w:ascii="仿宋" w:hAnsi="仿宋" w:eastAsia="仿宋" w:cs="仿宋"/>
                <w:bCs/>
                <w:iCs/>
                <w:szCs w:val="24"/>
              </w:rPr>
            </w:pPr>
            <w:r>
              <w:rPr>
                <w:rFonts w:hint="eastAsia" w:ascii="仿宋" w:hAnsi="仿宋" w:eastAsia="仿宋" w:cs="仿宋"/>
                <w:bCs/>
                <w:iCs/>
                <w:szCs w:val="24"/>
              </w:rPr>
              <w:t>3.技术人员（项目负责人、团队管理人员除外）（3分）：除采购方要求原厂搬迁的设备外，本项目执行均需供应商自有技术人员完成，拟投入的技术人员持有设备维修或安装的培训证书，0-10人的得1分，11-20人的得2分，21人及以上得3分。</w:t>
            </w:r>
          </w:p>
          <w:p w14:paraId="54695957">
            <w:pPr>
              <w:adjustRightInd w:val="0"/>
              <w:spacing w:line="288" w:lineRule="auto"/>
              <w:rPr>
                <w:rFonts w:ascii="仿宋" w:hAnsi="仿宋" w:eastAsia="仿宋" w:cs="仿宋"/>
                <w:bCs/>
                <w:iCs/>
                <w:szCs w:val="24"/>
              </w:rPr>
            </w:pPr>
            <w:r>
              <w:rPr>
                <w:rFonts w:hint="eastAsia" w:ascii="仿宋" w:hAnsi="仿宋" w:eastAsia="仿宋" w:cs="仿宋"/>
                <w:bCs/>
                <w:iCs/>
                <w:szCs w:val="24"/>
              </w:rPr>
              <w:t>投标文件中提供以上1-3项人员的人员配备清单、证书及在本单位缴纳社保近3个月及以上的社保证明资料，否则不得分。</w:t>
            </w:r>
          </w:p>
        </w:tc>
        <w:tc>
          <w:tcPr>
            <w:tcW w:w="859" w:type="dxa"/>
            <w:vAlign w:val="center"/>
          </w:tcPr>
          <w:p w14:paraId="29C1FFE1">
            <w:pPr>
              <w:tabs>
                <w:tab w:val="left" w:pos="0"/>
              </w:tabs>
              <w:spacing w:line="288" w:lineRule="auto"/>
              <w:jc w:val="center"/>
              <w:rPr>
                <w:rFonts w:ascii="仿宋" w:hAnsi="仿宋" w:eastAsia="仿宋" w:cs="仿宋"/>
                <w:szCs w:val="24"/>
              </w:rPr>
            </w:pPr>
            <w:r>
              <w:rPr>
                <w:rFonts w:hint="eastAsia" w:ascii="仿宋" w:hAnsi="仿宋" w:eastAsia="仿宋" w:cs="仿宋"/>
                <w:szCs w:val="24"/>
              </w:rPr>
              <w:t>10分</w:t>
            </w:r>
          </w:p>
        </w:tc>
      </w:tr>
      <w:tr w14:paraId="1AB8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3" w:type="dxa"/>
            <w:vAlign w:val="center"/>
          </w:tcPr>
          <w:p w14:paraId="7C2A809E">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8</w:t>
            </w:r>
          </w:p>
        </w:tc>
        <w:tc>
          <w:tcPr>
            <w:tcW w:w="1584" w:type="dxa"/>
            <w:vAlign w:val="center"/>
          </w:tcPr>
          <w:p w14:paraId="591939D3">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售后服务能力</w:t>
            </w:r>
          </w:p>
        </w:tc>
        <w:tc>
          <w:tcPr>
            <w:tcW w:w="6274" w:type="dxa"/>
            <w:vAlign w:val="center"/>
          </w:tcPr>
          <w:p w14:paraId="710B066A">
            <w:pPr>
              <w:adjustRightInd w:val="0"/>
              <w:spacing w:line="288" w:lineRule="auto"/>
              <w:rPr>
                <w:rFonts w:ascii="仿宋" w:hAnsi="仿宋" w:eastAsia="仿宋" w:cs="仿宋"/>
                <w:bCs/>
                <w:iCs/>
                <w:szCs w:val="24"/>
              </w:rPr>
            </w:pPr>
            <w:r>
              <w:rPr>
                <w:rFonts w:hint="eastAsia" w:ascii="仿宋" w:hAnsi="仿宋" w:eastAsia="仿宋" w:cs="仿宋"/>
                <w:bCs/>
                <w:iCs/>
                <w:szCs w:val="24"/>
              </w:rPr>
              <w:t>1.根据投标人提供的售后服务方案（如服务体系、服务内容、故障解决方案、响应时间、专业技术人员保障及服务电话等）（0-3分）。售后服务方案完整、合理的得3分，方案随意、</w:t>
            </w:r>
            <w:r>
              <w:rPr>
                <w:rFonts w:hint="eastAsia" w:ascii="仿宋" w:hAnsi="仿宋" w:eastAsia="仿宋" w:cs="仿宋"/>
              </w:rPr>
              <w:t>不够完整合理的1-2分，无</w:t>
            </w:r>
            <w:r>
              <w:rPr>
                <w:rFonts w:hint="eastAsia" w:ascii="仿宋" w:hAnsi="仿宋" w:eastAsia="仿宋" w:cs="仿宋"/>
                <w:bCs/>
                <w:iCs/>
                <w:szCs w:val="24"/>
              </w:rPr>
              <w:t>措施</w:t>
            </w:r>
            <w:r>
              <w:rPr>
                <w:rFonts w:hint="eastAsia" w:ascii="仿宋" w:hAnsi="仿宋" w:eastAsia="仿宋" w:cs="仿宋"/>
              </w:rPr>
              <w:t>不得分。</w:t>
            </w:r>
          </w:p>
          <w:p w14:paraId="34279C35">
            <w:pPr>
              <w:adjustRightInd w:val="0"/>
              <w:spacing w:line="288" w:lineRule="auto"/>
              <w:rPr>
                <w:rFonts w:ascii="仿宋" w:hAnsi="仿宋" w:eastAsia="仿宋" w:cs="仿宋"/>
                <w:bCs/>
                <w:iCs/>
                <w:szCs w:val="24"/>
              </w:rPr>
            </w:pPr>
            <w:r>
              <w:rPr>
                <w:rFonts w:hint="eastAsia" w:ascii="仿宋" w:hAnsi="仿宋" w:eastAsia="仿宋" w:cs="仿宋"/>
                <w:bCs/>
                <w:iCs/>
                <w:szCs w:val="24"/>
              </w:rPr>
              <w:t>2.投标人设有配件仓库，提供数量、地址、及清晰实景图片进行展示（0-2分）。</w:t>
            </w:r>
          </w:p>
        </w:tc>
        <w:tc>
          <w:tcPr>
            <w:tcW w:w="859" w:type="dxa"/>
            <w:vAlign w:val="center"/>
          </w:tcPr>
          <w:p w14:paraId="4DEC1B9C">
            <w:pPr>
              <w:tabs>
                <w:tab w:val="left" w:pos="0"/>
              </w:tabs>
              <w:spacing w:line="288" w:lineRule="auto"/>
              <w:jc w:val="center"/>
              <w:rPr>
                <w:rFonts w:ascii="仿宋" w:hAnsi="仿宋" w:eastAsia="仿宋" w:cs="仿宋"/>
                <w:szCs w:val="24"/>
              </w:rPr>
            </w:pPr>
            <w:r>
              <w:rPr>
                <w:rFonts w:hint="eastAsia" w:ascii="仿宋" w:hAnsi="仿宋" w:eastAsia="仿宋" w:cs="仿宋"/>
                <w:szCs w:val="24"/>
              </w:rPr>
              <w:t>5分</w:t>
            </w:r>
          </w:p>
        </w:tc>
      </w:tr>
      <w:tr w14:paraId="66E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3" w:type="dxa"/>
            <w:shd w:val="clear" w:color="auto" w:fill="auto"/>
            <w:vAlign w:val="center"/>
          </w:tcPr>
          <w:p w14:paraId="54FD64C5">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9</w:t>
            </w:r>
          </w:p>
        </w:tc>
        <w:tc>
          <w:tcPr>
            <w:tcW w:w="1584" w:type="dxa"/>
            <w:vAlign w:val="center"/>
          </w:tcPr>
          <w:p w14:paraId="38BDCC5A">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业绩</w:t>
            </w:r>
          </w:p>
          <w:p w14:paraId="01EDDEAA">
            <w:pPr>
              <w:adjustRightInd w:val="0"/>
              <w:spacing w:line="288" w:lineRule="auto"/>
              <w:jc w:val="center"/>
              <w:rPr>
                <w:rFonts w:ascii="仿宋" w:hAnsi="仿宋" w:eastAsia="仿宋" w:cs="仿宋"/>
                <w:bCs/>
                <w:iCs/>
                <w:szCs w:val="24"/>
              </w:rPr>
            </w:pPr>
          </w:p>
        </w:tc>
        <w:tc>
          <w:tcPr>
            <w:tcW w:w="6274" w:type="dxa"/>
            <w:vAlign w:val="center"/>
          </w:tcPr>
          <w:p w14:paraId="7396FEE9">
            <w:pPr>
              <w:adjustRightInd w:val="0"/>
              <w:spacing w:line="288" w:lineRule="auto"/>
              <w:rPr>
                <w:rFonts w:ascii="仿宋" w:hAnsi="仿宋" w:eastAsia="仿宋" w:cs="仿宋"/>
                <w:bCs/>
                <w:iCs/>
                <w:szCs w:val="24"/>
              </w:rPr>
            </w:pPr>
            <w:r>
              <w:rPr>
                <w:rFonts w:hint="eastAsia" w:ascii="仿宋" w:hAnsi="仿宋" w:eastAsia="仿宋" w:cs="仿宋"/>
                <w:bCs/>
                <w:iCs/>
                <w:szCs w:val="24"/>
              </w:rPr>
              <w:t>投标人自2022</w:t>
            </w:r>
            <w:r>
              <w:rPr>
                <w:rFonts w:hint="eastAsia" w:ascii="仿宋" w:hAnsi="仿宋" w:eastAsia="仿宋" w:cs="仿宋"/>
                <w:bCs/>
                <w:iCs/>
                <w:color w:val="auto"/>
                <w:szCs w:val="24"/>
              </w:rPr>
              <w:t>年1月1日以来（以合同签订日期为准），承接过同类项目</w:t>
            </w:r>
            <w:r>
              <w:rPr>
                <w:rFonts w:hint="eastAsia" w:ascii="仿宋" w:hAnsi="仿宋" w:eastAsia="仿宋" w:cs="仿宋"/>
                <w:bCs/>
                <w:iCs/>
                <w:color w:val="auto"/>
                <w:szCs w:val="24"/>
                <w:highlight w:val="none"/>
              </w:rPr>
              <w:t>（</w:t>
            </w:r>
            <w:r>
              <w:rPr>
                <w:rFonts w:hint="eastAsia" w:ascii="仿宋" w:hAnsi="仿宋" w:eastAsia="仿宋" w:cs="仿宋"/>
                <w:bCs/>
                <w:iCs/>
                <w:color w:val="auto"/>
                <w:szCs w:val="24"/>
                <w:highlight w:val="none"/>
                <w:lang w:val="en-US" w:eastAsia="zh-CN"/>
              </w:rPr>
              <w:t>学校</w:t>
            </w:r>
            <w:r>
              <w:rPr>
                <w:rFonts w:hint="eastAsia" w:ascii="仿宋" w:hAnsi="仿宋" w:eastAsia="仿宋" w:cs="仿宋"/>
                <w:bCs/>
                <w:iCs/>
                <w:color w:val="auto"/>
                <w:szCs w:val="24"/>
                <w:highlight w:val="none"/>
              </w:rPr>
              <w:t>实训设备搬迁）</w:t>
            </w:r>
            <w:r>
              <w:rPr>
                <w:rFonts w:hint="eastAsia" w:ascii="仿宋" w:hAnsi="仿宋" w:eastAsia="仿宋" w:cs="仿宋"/>
                <w:bCs/>
                <w:iCs/>
                <w:color w:val="auto"/>
                <w:szCs w:val="24"/>
              </w:rPr>
              <w:t>的，每提供一个合同得0.5分，满分为1分（提供合同复</w:t>
            </w:r>
            <w:r>
              <w:rPr>
                <w:rFonts w:hint="eastAsia" w:ascii="仿宋" w:hAnsi="仿宋" w:eastAsia="仿宋" w:cs="仿宋"/>
                <w:bCs/>
                <w:iCs/>
                <w:szCs w:val="24"/>
              </w:rPr>
              <w:t>印件及验收报告，否则不得分）。</w:t>
            </w:r>
          </w:p>
        </w:tc>
        <w:tc>
          <w:tcPr>
            <w:tcW w:w="859" w:type="dxa"/>
            <w:vAlign w:val="center"/>
          </w:tcPr>
          <w:p w14:paraId="03747AC8">
            <w:pPr>
              <w:tabs>
                <w:tab w:val="left" w:pos="0"/>
              </w:tabs>
              <w:spacing w:line="288" w:lineRule="auto"/>
              <w:jc w:val="center"/>
              <w:rPr>
                <w:rFonts w:ascii="仿宋" w:hAnsi="仿宋" w:eastAsia="仿宋" w:cs="仿宋"/>
                <w:szCs w:val="24"/>
              </w:rPr>
            </w:pPr>
            <w:r>
              <w:rPr>
                <w:rFonts w:hint="eastAsia" w:ascii="仿宋" w:hAnsi="仿宋" w:eastAsia="仿宋" w:cs="仿宋"/>
                <w:szCs w:val="24"/>
              </w:rPr>
              <w:t>1分</w:t>
            </w:r>
          </w:p>
        </w:tc>
      </w:tr>
      <w:tr w14:paraId="0F20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3" w:type="dxa"/>
            <w:shd w:val="clear" w:color="auto" w:fill="auto"/>
            <w:vAlign w:val="center"/>
          </w:tcPr>
          <w:p w14:paraId="6C1D2DF1">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10</w:t>
            </w:r>
          </w:p>
        </w:tc>
        <w:tc>
          <w:tcPr>
            <w:tcW w:w="1584" w:type="dxa"/>
            <w:vAlign w:val="center"/>
          </w:tcPr>
          <w:p w14:paraId="0D8D375A">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认证证书</w:t>
            </w:r>
          </w:p>
        </w:tc>
        <w:tc>
          <w:tcPr>
            <w:tcW w:w="6274" w:type="dxa"/>
            <w:vAlign w:val="center"/>
          </w:tcPr>
          <w:p w14:paraId="1EB854F2">
            <w:pPr>
              <w:adjustRightInd w:val="0"/>
              <w:spacing w:line="288" w:lineRule="auto"/>
              <w:rPr>
                <w:rFonts w:ascii="仿宋" w:hAnsi="仿宋" w:eastAsia="仿宋" w:cs="仿宋"/>
                <w:bCs/>
                <w:iCs/>
                <w:szCs w:val="24"/>
              </w:rPr>
            </w:pPr>
            <w:r>
              <w:rPr>
                <w:rFonts w:hint="eastAsia" w:ascii="仿宋" w:hAnsi="仿宋" w:eastAsia="仿宋" w:cs="仿宋"/>
                <w:bCs/>
                <w:iCs/>
                <w:szCs w:val="24"/>
              </w:rPr>
              <w:t>投标人具有ISO9001质量管理体系认证证书、ISO14001环境管理体系认证证书、ISO45001职业健康管理体系认证证书、GB/T 27922-2011商品售后服务认证证书。以上证书认证范围需含搬迁/运、安装、维修、维护；</w:t>
            </w:r>
          </w:p>
          <w:p w14:paraId="52D289B6">
            <w:pPr>
              <w:adjustRightInd w:val="0"/>
              <w:spacing w:line="288" w:lineRule="auto"/>
              <w:rPr>
                <w:rFonts w:ascii="仿宋" w:hAnsi="仿宋" w:eastAsia="仿宋" w:cs="仿宋"/>
                <w:bCs/>
                <w:iCs/>
                <w:szCs w:val="24"/>
              </w:rPr>
            </w:pPr>
            <w:r>
              <w:rPr>
                <w:rFonts w:hint="eastAsia" w:ascii="仿宋" w:hAnsi="仿宋" w:eastAsia="仿宋" w:cs="仿宋"/>
                <w:bCs/>
                <w:iCs/>
                <w:szCs w:val="24"/>
              </w:rPr>
              <w:t>每提供一类证书得1.5分，满分6分。</w:t>
            </w:r>
          </w:p>
          <w:p w14:paraId="51A710E3">
            <w:pPr>
              <w:adjustRightInd w:val="0"/>
              <w:spacing w:line="288" w:lineRule="auto"/>
              <w:rPr>
                <w:rFonts w:ascii="仿宋" w:hAnsi="仿宋" w:cs="仿宋"/>
                <w:bCs/>
                <w:iCs/>
                <w:szCs w:val="24"/>
              </w:rPr>
            </w:pPr>
            <w:r>
              <w:rPr>
                <w:rFonts w:hint="eastAsia" w:ascii="仿宋" w:hAnsi="仿宋" w:eastAsia="仿宋" w:cs="仿宋"/>
                <w:bCs/>
                <w:iCs/>
                <w:szCs w:val="24"/>
              </w:rPr>
              <w:t>注：提供证书扫描件及全国认证认可网站截图，否则不得分。</w:t>
            </w:r>
          </w:p>
        </w:tc>
        <w:tc>
          <w:tcPr>
            <w:tcW w:w="859" w:type="dxa"/>
            <w:vAlign w:val="center"/>
          </w:tcPr>
          <w:p w14:paraId="73C80F26">
            <w:pPr>
              <w:tabs>
                <w:tab w:val="left" w:pos="0"/>
              </w:tabs>
              <w:spacing w:line="288" w:lineRule="auto"/>
              <w:jc w:val="center"/>
              <w:rPr>
                <w:rFonts w:ascii="仿宋" w:hAnsi="仿宋" w:eastAsia="仿宋" w:cs="仿宋"/>
                <w:szCs w:val="24"/>
              </w:rPr>
            </w:pPr>
            <w:r>
              <w:rPr>
                <w:rFonts w:hint="eastAsia" w:ascii="仿宋" w:hAnsi="仿宋" w:eastAsia="仿宋" w:cs="仿宋"/>
                <w:szCs w:val="24"/>
              </w:rPr>
              <w:t>6分</w:t>
            </w:r>
          </w:p>
        </w:tc>
      </w:tr>
      <w:tr w14:paraId="3929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3" w:type="dxa"/>
            <w:shd w:val="clear" w:color="auto" w:fill="auto"/>
            <w:vAlign w:val="center"/>
          </w:tcPr>
          <w:p w14:paraId="13779F12">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11</w:t>
            </w:r>
          </w:p>
        </w:tc>
        <w:tc>
          <w:tcPr>
            <w:tcW w:w="1584" w:type="dxa"/>
            <w:vAlign w:val="center"/>
          </w:tcPr>
          <w:p w14:paraId="14E6DA7F">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优惠及增值服务</w:t>
            </w:r>
          </w:p>
        </w:tc>
        <w:tc>
          <w:tcPr>
            <w:tcW w:w="6274" w:type="dxa"/>
            <w:vAlign w:val="center"/>
          </w:tcPr>
          <w:p w14:paraId="3E3D6F24">
            <w:pPr>
              <w:adjustRightInd w:val="0"/>
              <w:spacing w:line="288" w:lineRule="auto"/>
              <w:rPr>
                <w:rFonts w:ascii="仿宋" w:hAnsi="仿宋" w:eastAsia="仿宋" w:cs="仿宋"/>
                <w:bCs/>
                <w:iCs/>
                <w:szCs w:val="24"/>
              </w:rPr>
            </w:pPr>
            <w:r>
              <w:rPr>
                <w:rFonts w:hint="eastAsia" w:ascii="仿宋" w:hAnsi="仿宋" w:eastAsia="仿宋" w:cs="仿宋"/>
                <w:bCs/>
                <w:iCs/>
                <w:szCs w:val="24"/>
              </w:rPr>
              <w:t>针对本项目的增值服务方案，有效提高运行效率，保障工作环境。</w:t>
            </w:r>
          </w:p>
        </w:tc>
        <w:tc>
          <w:tcPr>
            <w:tcW w:w="859" w:type="dxa"/>
            <w:vAlign w:val="center"/>
          </w:tcPr>
          <w:p w14:paraId="79925F2B">
            <w:pPr>
              <w:tabs>
                <w:tab w:val="left" w:pos="0"/>
              </w:tabs>
              <w:spacing w:line="288" w:lineRule="auto"/>
              <w:jc w:val="center"/>
              <w:rPr>
                <w:rFonts w:ascii="仿宋" w:hAnsi="仿宋" w:eastAsia="仿宋" w:cs="仿宋"/>
                <w:szCs w:val="24"/>
              </w:rPr>
            </w:pPr>
            <w:r>
              <w:rPr>
                <w:rFonts w:hint="eastAsia" w:ascii="仿宋" w:hAnsi="仿宋" w:eastAsia="仿宋" w:cs="仿宋"/>
                <w:szCs w:val="24"/>
              </w:rPr>
              <w:t>2分</w:t>
            </w:r>
          </w:p>
        </w:tc>
      </w:tr>
      <w:tr w14:paraId="4CF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3" w:type="dxa"/>
            <w:vAlign w:val="center"/>
          </w:tcPr>
          <w:p w14:paraId="6F1B5C0C">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12</w:t>
            </w:r>
          </w:p>
        </w:tc>
        <w:tc>
          <w:tcPr>
            <w:tcW w:w="1584" w:type="dxa"/>
            <w:vAlign w:val="center"/>
          </w:tcPr>
          <w:p w14:paraId="265C3B5E">
            <w:pPr>
              <w:adjustRightInd w:val="0"/>
              <w:spacing w:line="288" w:lineRule="auto"/>
              <w:jc w:val="center"/>
              <w:rPr>
                <w:rFonts w:ascii="仿宋" w:hAnsi="仿宋" w:eastAsia="仿宋" w:cs="仿宋"/>
                <w:bCs/>
                <w:iCs/>
                <w:szCs w:val="24"/>
              </w:rPr>
            </w:pPr>
            <w:r>
              <w:rPr>
                <w:rFonts w:hint="eastAsia" w:ascii="仿宋" w:hAnsi="仿宋" w:eastAsia="仿宋" w:cs="仿宋"/>
                <w:bCs/>
                <w:iCs/>
                <w:szCs w:val="24"/>
              </w:rPr>
              <w:t>合理化建议</w:t>
            </w:r>
          </w:p>
        </w:tc>
        <w:tc>
          <w:tcPr>
            <w:tcW w:w="6274" w:type="dxa"/>
            <w:vAlign w:val="center"/>
          </w:tcPr>
          <w:p w14:paraId="6FA5D698">
            <w:pPr>
              <w:adjustRightInd w:val="0"/>
              <w:spacing w:line="288" w:lineRule="auto"/>
              <w:rPr>
                <w:rFonts w:ascii="仿宋" w:hAnsi="仿宋" w:eastAsia="仿宋" w:cs="仿宋"/>
                <w:bCs/>
                <w:iCs/>
                <w:szCs w:val="24"/>
              </w:rPr>
            </w:pPr>
            <w:r>
              <w:rPr>
                <w:rFonts w:hint="eastAsia" w:ascii="仿宋" w:hAnsi="仿宋" w:eastAsia="仿宋" w:cs="仿宋"/>
                <w:bCs/>
                <w:iCs/>
                <w:szCs w:val="24"/>
              </w:rPr>
              <w:t>针对本项目推进及搬迁过程中可能会出现的问题和存在的困难，进行客观仔细的分析，并结合自身的专业、经验等，提出合理化建议。</w:t>
            </w:r>
          </w:p>
        </w:tc>
        <w:tc>
          <w:tcPr>
            <w:tcW w:w="859" w:type="dxa"/>
            <w:vAlign w:val="center"/>
          </w:tcPr>
          <w:p w14:paraId="1E60491B">
            <w:pPr>
              <w:tabs>
                <w:tab w:val="left" w:pos="0"/>
              </w:tabs>
              <w:spacing w:line="288" w:lineRule="auto"/>
              <w:jc w:val="center"/>
              <w:rPr>
                <w:rFonts w:ascii="仿宋" w:hAnsi="仿宋" w:eastAsia="仿宋" w:cs="仿宋"/>
                <w:szCs w:val="24"/>
              </w:rPr>
            </w:pPr>
            <w:r>
              <w:rPr>
                <w:rFonts w:hint="eastAsia" w:ascii="仿宋" w:hAnsi="仿宋" w:eastAsia="仿宋" w:cs="仿宋"/>
                <w:szCs w:val="24"/>
              </w:rPr>
              <w:t>2分</w:t>
            </w:r>
          </w:p>
        </w:tc>
      </w:tr>
      <w:bookmarkEnd w:id="13"/>
      <w:bookmarkEnd w:id="14"/>
      <w:bookmarkEnd w:id="15"/>
    </w:tbl>
    <w:p w14:paraId="57762A5C">
      <w:pPr>
        <w:rPr>
          <w:rFonts w:ascii="宋体" w:hAnsi="宋体"/>
          <w:color w:val="000000" w:themeColor="text1"/>
          <w:szCs w:val="24"/>
          <w14:textFill>
            <w14:solidFill>
              <w14:schemeClr w14:val="tx1"/>
            </w14:solidFill>
          </w14:textFill>
        </w:rPr>
      </w:pPr>
    </w:p>
    <w:p w14:paraId="1ECB8AB8">
      <w:pPr>
        <w:widowControl/>
        <w:spacing w:line="240" w:lineRule="auto"/>
        <w:jc w:val="left"/>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br w:type="page"/>
      </w:r>
    </w:p>
    <w:p w14:paraId="353C6997">
      <w:pPr>
        <w:pStyle w:val="4"/>
        <w:rPr>
          <w:color w:val="000000" w:themeColor="text1"/>
          <w14:textFill>
            <w14:solidFill>
              <w14:schemeClr w14:val="tx1"/>
            </w14:solidFill>
          </w14:textFill>
        </w:rPr>
      </w:pPr>
      <w:bookmarkStart w:id="16" w:name="_Toc90906532"/>
      <w:r>
        <w:rPr>
          <w:rFonts w:hint="eastAsia"/>
          <w:color w:val="000000" w:themeColor="text1"/>
          <w14:textFill>
            <w14:solidFill>
              <w14:schemeClr w14:val="tx1"/>
            </w14:solidFill>
          </w14:textFill>
        </w:rPr>
        <w:t>第五章 合同主要条款</w:t>
      </w:r>
      <w:bookmarkEnd w:id="16"/>
    </w:p>
    <w:p w14:paraId="758FB125">
      <w:pPr>
        <w:pStyle w:val="4"/>
        <w:spacing w:line="500" w:lineRule="exact"/>
        <w:rPr>
          <w:rFonts w:ascii="仿宋" w:hAnsi="仿宋" w:eastAsia="仿宋" w:cs="仿宋"/>
          <w:b w:val="0"/>
          <w:bCs w:val="0"/>
          <w:snapToGrid w:val="0"/>
          <w:szCs w:val="36"/>
        </w:rPr>
      </w:pPr>
      <w:bookmarkStart w:id="17" w:name="_Toc10035"/>
      <w:r>
        <w:rPr>
          <w:rFonts w:hint="eastAsia" w:ascii="仿宋" w:hAnsi="仿宋" w:eastAsia="仿宋" w:cs="仿宋"/>
          <w:sz w:val="28"/>
          <w:szCs w:val="28"/>
        </w:rPr>
        <w:t>（仅供参考，以正式合同为准）</w:t>
      </w:r>
      <w:bookmarkEnd w:id="17"/>
    </w:p>
    <w:p w14:paraId="43A86500">
      <w:pPr>
        <w:pStyle w:val="14"/>
        <w:snapToGrid w:val="0"/>
        <w:spacing w:before="156" w:after="156" w:line="360" w:lineRule="auto"/>
        <w:ind w:firstLine="560"/>
        <w:rPr>
          <w:rFonts w:ascii="仿宋" w:hAnsi="仿宋" w:eastAsia="仿宋" w:cs="仿宋"/>
          <w:sz w:val="24"/>
          <w:szCs w:val="24"/>
        </w:rPr>
      </w:pPr>
      <w:r>
        <w:rPr>
          <w:rFonts w:hint="eastAsia" w:ascii="仿宋" w:hAnsi="仿宋" w:eastAsia="仿宋" w:cs="仿宋"/>
          <w:sz w:val="24"/>
          <w:szCs w:val="24"/>
        </w:rPr>
        <w:t>项目名称：</w:t>
      </w:r>
    </w:p>
    <w:p w14:paraId="47BDDE08">
      <w:pPr>
        <w:pStyle w:val="14"/>
        <w:snapToGrid w:val="0"/>
        <w:spacing w:before="156" w:after="156" w:line="360" w:lineRule="auto"/>
        <w:ind w:firstLine="560"/>
        <w:rPr>
          <w:rFonts w:ascii="仿宋" w:hAnsi="仿宋" w:eastAsia="仿宋" w:cs="仿宋"/>
          <w:sz w:val="24"/>
          <w:szCs w:val="24"/>
        </w:rPr>
      </w:pPr>
      <w:r>
        <w:rPr>
          <w:rFonts w:hint="eastAsia" w:ascii="仿宋" w:hAnsi="仿宋" w:eastAsia="仿宋" w:cs="仿宋"/>
          <w:sz w:val="24"/>
          <w:szCs w:val="24"/>
        </w:rPr>
        <w:t>项目编号：</w:t>
      </w:r>
    </w:p>
    <w:p w14:paraId="23C6F356">
      <w:pPr>
        <w:pStyle w:val="14"/>
        <w:snapToGrid w:val="0"/>
        <w:spacing w:before="156" w:after="156" w:line="360" w:lineRule="auto"/>
        <w:ind w:firstLine="560"/>
        <w:rPr>
          <w:rFonts w:ascii="仿宋" w:hAnsi="仿宋" w:eastAsia="仿宋" w:cs="仿宋"/>
          <w:sz w:val="24"/>
          <w:szCs w:val="24"/>
        </w:rPr>
      </w:pPr>
      <w:r>
        <w:rPr>
          <w:rFonts w:hint="eastAsia" w:ascii="仿宋" w:hAnsi="仿宋" w:eastAsia="仿宋" w:cs="仿宋"/>
          <w:sz w:val="24"/>
          <w:szCs w:val="24"/>
        </w:rPr>
        <w:t>甲方：</w:t>
      </w:r>
    </w:p>
    <w:p w14:paraId="6554B45E">
      <w:pPr>
        <w:pStyle w:val="14"/>
        <w:snapToGrid w:val="0"/>
        <w:spacing w:before="156" w:after="156" w:line="360" w:lineRule="auto"/>
        <w:ind w:firstLine="560"/>
        <w:rPr>
          <w:rFonts w:ascii="仿宋" w:hAnsi="仿宋" w:eastAsia="仿宋" w:cs="仿宋"/>
          <w:sz w:val="24"/>
          <w:szCs w:val="24"/>
        </w:rPr>
      </w:pPr>
      <w:r>
        <w:rPr>
          <w:rFonts w:hint="eastAsia" w:ascii="仿宋" w:hAnsi="仿宋" w:eastAsia="仿宋" w:cs="仿宋"/>
          <w:sz w:val="24"/>
          <w:szCs w:val="24"/>
        </w:rPr>
        <w:t>乙方：</w:t>
      </w:r>
    </w:p>
    <w:p w14:paraId="29FED687">
      <w:pPr>
        <w:numPr>
          <w:ilvl w:val="0"/>
          <w:numId w:val="5"/>
        </w:numPr>
        <w:spacing w:line="360" w:lineRule="auto"/>
        <w:ind w:firstLine="560"/>
        <w:rPr>
          <w:rFonts w:ascii="仿宋" w:hAnsi="仿宋" w:eastAsia="仿宋" w:cs="仿宋"/>
          <w:szCs w:val="24"/>
        </w:rPr>
      </w:pPr>
      <w:r>
        <w:rPr>
          <w:rFonts w:hint="eastAsia" w:ascii="仿宋" w:hAnsi="仿宋" w:eastAsia="仿宋" w:cs="仿宋"/>
          <w:szCs w:val="24"/>
        </w:rPr>
        <w:t>乙双方根据关于</w:t>
      </w:r>
      <w:r>
        <w:rPr>
          <w:rFonts w:hint="eastAsia" w:ascii="仿宋" w:hAnsi="仿宋" w:eastAsia="仿宋" w:cs="仿宋"/>
          <w:szCs w:val="24"/>
          <w:u w:val="single"/>
        </w:rPr>
        <w:t xml:space="preserve">                                </w:t>
      </w:r>
      <w:r>
        <w:rPr>
          <w:rFonts w:hint="eastAsia" w:ascii="仿宋" w:hAnsi="仿宋" w:eastAsia="仿宋" w:cs="仿宋"/>
          <w:szCs w:val="24"/>
        </w:rPr>
        <w:t>的招标结果，签署本合同。</w:t>
      </w:r>
    </w:p>
    <w:p w14:paraId="3BFB4A3E">
      <w:pPr>
        <w:spacing w:line="360" w:lineRule="auto"/>
        <w:ind w:firstLine="560"/>
        <w:rPr>
          <w:rFonts w:ascii="仿宋" w:hAnsi="仿宋" w:eastAsia="仿宋" w:cs="仿宋"/>
          <w:szCs w:val="24"/>
        </w:rPr>
      </w:pPr>
      <w:r>
        <w:rPr>
          <w:rFonts w:hint="eastAsia" w:ascii="仿宋" w:hAnsi="仿宋" w:eastAsia="仿宋" w:cs="仿宋"/>
          <w:szCs w:val="24"/>
          <w:lang w:val="zh-CN"/>
        </w:rPr>
        <w:t>根据《中华人民共和国</w:t>
      </w:r>
      <w:r>
        <w:rPr>
          <w:rFonts w:hint="eastAsia" w:ascii="仿宋" w:hAnsi="仿宋" w:eastAsia="仿宋" w:cs="仿宋"/>
          <w:szCs w:val="24"/>
        </w:rPr>
        <w:t>民法典</w:t>
      </w:r>
      <w:r>
        <w:rPr>
          <w:rFonts w:hint="eastAsia" w:ascii="仿宋" w:hAnsi="仿宋" w:eastAsia="仿宋" w:cs="仿宋"/>
          <w:szCs w:val="24"/>
          <w:lang w:val="zh-CN"/>
        </w:rPr>
        <w:t>》、《中华人民共和国政府采购法》等相关法律法规之规定，按照平等、自愿、公平和诚实信用的原则，经</w:t>
      </w:r>
      <w:r>
        <w:rPr>
          <w:rFonts w:hint="eastAsia" w:ascii="仿宋" w:hAnsi="仿宋" w:eastAsia="仿宋" w:cs="仿宋"/>
          <w:szCs w:val="24"/>
          <w:u w:val="single"/>
        </w:rPr>
        <w:t xml:space="preserve">   （采购人名称）   </w:t>
      </w:r>
      <w:r>
        <w:rPr>
          <w:rFonts w:hint="eastAsia" w:ascii="仿宋" w:hAnsi="仿宋" w:eastAsia="仿宋" w:cs="仿宋"/>
          <w:szCs w:val="24"/>
          <w:lang w:val="zh-CN"/>
        </w:rPr>
        <w:t>(以下简称：甲方)和</w:t>
      </w:r>
      <w:r>
        <w:rPr>
          <w:rFonts w:hint="eastAsia" w:ascii="仿宋" w:hAnsi="仿宋" w:eastAsia="仿宋" w:cs="仿宋"/>
          <w:szCs w:val="24"/>
          <w:u w:val="single"/>
        </w:rPr>
        <w:t xml:space="preserve">   （中标人名称）   </w:t>
      </w:r>
      <w:r>
        <w:rPr>
          <w:rFonts w:hint="eastAsia" w:ascii="仿宋" w:hAnsi="仿宋" w:eastAsia="仿宋" w:cs="仿宋"/>
          <w:szCs w:val="24"/>
          <w:lang w:val="zh-CN"/>
        </w:rPr>
        <w:t>(以下简称：乙方)协商一致，约定以下合同</w:t>
      </w:r>
      <w:r>
        <w:rPr>
          <w:rFonts w:hint="eastAsia" w:ascii="仿宋" w:hAnsi="仿宋" w:eastAsia="仿宋" w:cs="仿宋"/>
          <w:szCs w:val="24"/>
        </w:rPr>
        <w:t>条款，以兹共同遵守、全面履行。</w:t>
      </w:r>
    </w:p>
    <w:p w14:paraId="48347851">
      <w:pPr>
        <w:overflowPunct w:val="0"/>
        <w:autoSpaceDE w:val="0"/>
        <w:autoSpaceDN w:val="0"/>
        <w:adjustRightInd w:val="0"/>
        <w:spacing w:line="360" w:lineRule="auto"/>
        <w:ind w:firstLine="562"/>
        <w:textAlignment w:val="baseline"/>
        <w:rPr>
          <w:rFonts w:ascii="仿宋" w:hAnsi="仿宋" w:eastAsia="仿宋" w:cs="仿宋"/>
          <w:b/>
          <w:bCs/>
          <w:szCs w:val="24"/>
        </w:rPr>
      </w:pPr>
      <w:bookmarkStart w:id="18" w:name="_Toc3029"/>
      <w:bookmarkStart w:id="19" w:name="_Toc28175"/>
      <w:bookmarkStart w:id="20" w:name="_Toc24059"/>
      <w:bookmarkStart w:id="21" w:name="_Toc2232"/>
      <w:bookmarkStart w:id="22" w:name="_Toc24458"/>
      <w:bookmarkStart w:id="23" w:name="_Toc169"/>
      <w:r>
        <w:rPr>
          <w:rFonts w:hint="eastAsia" w:ascii="仿宋" w:hAnsi="仿宋" w:eastAsia="仿宋" w:cs="仿宋"/>
          <w:b/>
          <w:bCs/>
          <w:szCs w:val="24"/>
        </w:rPr>
        <w:t>一、合同组成部分</w:t>
      </w:r>
      <w:bookmarkEnd w:id="18"/>
      <w:bookmarkEnd w:id="19"/>
      <w:bookmarkEnd w:id="20"/>
      <w:bookmarkEnd w:id="21"/>
      <w:bookmarkEnd w:id="22"/>
      <w:bookmarkEnd w:id="23"/>
    </w:p>
    <w:p w14:paraId="6159E5B4">
      <w:pPr>
        <w:spacing w:line="360" w:lineRule="auto"/>
        <w:ind w:firstLine="560"/>
        <w:rPr>
          <w:rFonts w:ascii="仿宋" w:hAnsi="仿宋" w:eastAsia="仿宋" w:cs="仿宋"/>
          <w:szCs w:val="24"/>
        </w:rPr>
      </w:pPr>
      <w:r>
        <w:rPr>
          <w:rFonts w:hint="eastAsia" w:ascii="仿宋" w:hAnsi="仿宋" w:eastAsia="仿宋" w:cs="仿宋"/>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61D2D8">
      <w:pPr>
        <w:spacing w:line="360" w:lineRule="auto"/>
        <w:ind w:firstLine="560"/>
        <w:rPr>
          <w:rFonts w:ascii="仿宋" w:hAnsi="仿宋" w:eastAsia="仿宋" w:cs="仿宋"/>
          <w:szCs w:val="24"/>
        </w:rPr>
      </w:pPr>
      <w:r>
        <w:rPr>
          <w:rFonts w:hint="eastAsia" w:ascii="仿宋" w:hAnsi="仿宋" w:eastAsia="仿宋" w:cs="仿宋"/>
          <w:szCs w:val="24"/>
        </w:rPr>
        <w:t>（一）本合同及其补充合同、变更协议；</w:t>
      </w:r>
    </w:p>
    <w:p w14:paraId="6027EA77">
      <w:pPr>
        <w:spacing w:line="360" w:lineRule="auto"/>
        <w:ind w:firstLine="560"/>
        <w:rPr>
          <w:rFonts w:ascii="仿宋" w:hAnsi="仿宋" w:eastAsia="仿宋" w:cs="仿宋"/>
          <w:szCs w:val="24"/>
        </w:rPr>
      </w:pPr>
      <w:r>
        <w:rPr>
          <w:rFonts w:hint="eastAsia" w:ascii="仿宋" w:hAnsi="仿宋" w:eastAsia="仿宋" w:cs="仿宋"/>
          <w:szCs w:val="24"/>
        </w:rPr>
        <w:t>（二）中标通知书；</w:t>
      </w:r>
    </w:p>
    <w:p w14:paraId="725347E5">
      <w:pPr>
        <w:spacing w:line="360" w:lineRule="auto"/>
        <w:ind w:firstLine="560"/>
        <w:rPr>
          <w:rFonts w:ascii="仿宋" w:hAnsi="仿宋" w:eastAsia="仿宋" w:cs="仿宋"/>
          <w:szCs w:val="24"/>
        </w:rPr>
      </w:pPr>
      <w:r>
        <w:rPr>
          <w:rFonts w:hint="eastAsia" w:ascii="仿宋" w:hAnsi="仿宋" w:eastAsia="仿宋" w:cs="仿宋"/>
          <w:szCs w:val="24"/>
        </w:rPr>
        <w:t>（三）投标文件（含澄清或者说明文件）；</w:t>
      </w:r>
    </w:p>
    <w:p w14:paraId="19B5FF99">
      <w:pPr>
        <w:spacing w:line="360" w:lineRule="auto"/>
        <w:ind w:firstLine="560"/>
        <w:rPr>
          <w:rFonts w:ascii="仿宋" w:hAnsi="仿宋" w:eastAsia="仿宋" w:cs="仿宋"/>
          <w:szCs w:val="24"/>
        </w:rPr>
      </w:pPr>
      <w:r>
        <w:rPr>
          <w:rFonts w:hint="eastAsia" w:ascii="仿宋" w:hAnsi="仿宋" w:eastAsia="仿宋" w:cs="仿宋"/>
          <w:szCs w:val="24"/>
        </w:rPr>
        <w:t>（四）采购文件（含澄清或者修改文件）；</w:t>
      </w:r>
    </w:p>
    <w:p w14:paraId="06C488A4">
      <w:pPr>
        <w:spacing w:line="360" w:lineRule="auto"/>
        <w:ind w:firstLine="560"/>
        <w:rPr>
          <w:rFonts w:ascii="仿宋" w:hAnsi="仿宋" w:eastAsia="仿宋" w:cs="仿宋"/>
          <w:szCs w:val="24"/>
        </w:rPr>
      </w:pPr>
      <w:r>
        <w:rPr>
          <w:rFonts w:hint="eastAsia" w:ascii="仿宋" w:hAnsi="仿宋" w:eastAsia="仿宋" w:cs="仿宋"/>
          <w:szCs w:val="24"/>
        </w:rPr>
        <w:t>（五）其他相关文件。</w:t>
      </w:r>
    </w:p>
    <w:p w14:paraId="1490E0C9">
      <w:pPr>
        <w:spacing w:line="360" w:lineRule="auto"/>
        <w:ind w:left="480" w:leftChars="200" w:firstLine="82" w:firstLineChars="34"/>
        <w:rPr>
          <w:rFonts w:ascii="仿宋" w:hAnsi="仿宋" w:eastAsia="仿宋" w:cs="仿宋"/>
          <w:szCs w:val="24"/>
        </w:rPr>
      </w:pPr>
      <w:r>
        <w:rPr>
          <w:rFonts w:hint="eastAsia" w:ascii="仿宋" w:hAnsi="仿宋" w:eastAsia="仿宋" w:cs="仿宋"/>
          <w:b/>
          <w:bCs/>
          <w:szCs w:val="24"/>
        </w:rPr>
        <w:t>二、服务期限</w:t>
      </w:r>
      <w:r>
        <w:rPr>
          <w:rFonts w:hint="eastAsia" w:ascii="仿宋" w:hAnsi="仿宋" w:eastAsia="仿宋" w:cs="仿宋"/>
          <w:szCs w:val="24"/>
        </w:rPr>
        <w:t>：集中搬迁工作在接到采购方通知之日起60天之内完成，部分设备根据学校实际需要另行约定时间。</w:t>
      </w:r>
    </w:p>
    <w:p w14:paraId="7CEBF606">
      <w:pPr>
        <w:overflowPunct w:val="0"/>
        <w:autoSpaceDE w:val="0"/>
        <w:autoSpaceDN w:val="0"/>
        <w:adjustRightInd w:val="0"/>
        <w:spacing w:line="360" w:lineRule="auto"/>
        <w:ind w:firstLine="562"/>
        <w:textAlignment w:val="baseline"/>
        <w:rPr>
          <w:rFonts w:ascii="仿宋" w:hAnsi="仿宋" w:eastAsia="仿宋" w:cs="仿宋"/>
          <w:szCs w:val="24"/>
        </w:rPr>
      </w:pPr>
      <w:r>
        <w:rPr>
          <w:rFonts w:hint="eastAsia" w:ascii="仿宋" w:hAnsi="仿宋" w:eastAsia="仿宋" w:cs="仿宋"/>
          <w:b/>
          <w:bCs/>
          <w:szCs w:val="24"/>
        </w:rPr>
        <w:t>三、服务地点</w:t>
      </w:r>
      <w:r>
        <w:rPr>
          <w:rFonts w:hint="eastAsia" w:ascii="仿宋" w:hAnsi="仿宋" w:eastAsia="仿宋" w:cs="仿宋"/>
          <w:szCs w:val="24"/>
        </w:rPr>
        <w:t>：</w:t>
      </w:r>
      <w:r>
        <w:rPr>
          <w:rFonts w:hint="eastAsia" w:ascii="仿宋" w:hAnsi="仿宋" w:eastAsia="仿宋" w:cs="仿宋"/>
          <w:szCs w:val="24"/>
          <w:u w:val="single"/>
        </w:rPr>
        <w:t>湖州市</w:t>
      </w:r>
      <w:r>
        <w:rPr>
          <w:rFonts w:hint="eastAsia" w:ascii="仿宋" w:hAnsi="仿宋" w:eastAsia="仿宋" w:cs="仿宋"/>
          <w:szCs w:val="24"/>
        </w:rPr>
        <w:t>。</w:t>
      </w:r>
    </w:p>
    <w:p w14:paraId="51A18A82">
      <w:pPr>
        <w:overflowPunct w:val="0"/>
        <w:autoSpaceDE w:val="0"/>
        <w:autoSpaceDN w:val="0"/>
        <w:adjustRightInd w:val="0"/>
        <w:spacing w:line="360" w:lineRule="auto"/>
        <w:ind w:firstLine="562"/>
        <w:textAlignment w:val="baseline"/>
        <w:rPr>
          <w:rFonts w:ascii="仿宋" w:hAnsi="仿宋" w:eastAsia="仿宋" w:cs="仿宋"/>
          <w:szCs w:val="24"/>
        </w:rPr>
      </w:pPr>
      <w:r>
        <w:rPr>
          <w:rFonts w:hint="eastAsia" w:ascii="仿宋" w:hAnsi="仿宋" w:eastAsia="仿宋" w:cs="仿宋"/>
          <w:b/>
          <w:bCs/>
          <w:szCs w:val="24"/>
        </w:rPr>
        <w:t>四、合同价款</w:t>
      </w:r>
    </w:p>
    <w:p w14:paraId="6F778436">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本合同金额为（大写）</w:t>
      </w:r>
      <w:r>
        <w:rPr>
          <w:rFonts w:hint="eastAsia" w:ascii="仿宋" w:hAnsi="仿宋" w:eastAsia="仿宋" w:cs="仿宋"/>
          <w:szCs w:val="24"/>
          <w:u w:val="single"/>
        </w:rPr>
        <w:t xml:space="preserve">     </w:t>
      </w:r>
      <w:r>
        <w:rPr>
          <w:rFonts w:hint="eastAsia" w:ascii="仿宋" w:hAnsi="仿宋" w:eastAsia="仿宋" w:cs="仿宋"/>
          <w:szCs w:val="24"/>
        </w:rPr>
        <w:t>元（￥</w:t>
      </w:r>
      <w:r>
        <w:rPr>
          <w:rFonts w:hint="eastAsia" w:ascii="仿宋" w:hAnsi="仿宋" w:eastAsia="仿宋" w:cs="仿宋"/>
          <w:szCs w:val="24"/>
          <w:u w:val="single"/>
        </w:rPr>
        <w:t xml:space="preserve">     </w:t>
      </w:r>
      <w:r>
        <w:rPr>
          <w:rFonts w:hint="eastAsia" w:ascii="仿宋" w:hAnsi="仿宋" w:eastAsia="仿宋" w:cs="仿宋"/>
          <w:szCs w:val="24"/>
        </w:rPr>
        <w:t>元 ）；</w:t>
      </w:r>
    </w:p>
    <w:p w14:paraId="6F07405D">
      <w:pPr>
        <w:overflowPunct w:val="0"/>
        <w:autoSpaceDE w:val="0"/>
        <w:autoSpaceDN w:val="0"/>
        <w:adjustRightInd w:val="0"/>
        <w:spacing w:line="360" w:lineRule="auto"/>
        <w:ind w:firstLine="562"/>
        <w:textAlignment w:val="baseline"/>
        <w:rPr>
          <w:rFonts w:ascii="仿宋" w:hAnsi="仿宋" w:eastAsia="仿宋" w:cs="仿宋"/>
          <w:szCs w:val="24"/>
        </w:rPr>
      </w:pPr>
      <w:r>
        <w:rPr>
          <w:rFonts w:hint="eastAsia" w:ascii="仿宋" w:hAnsi="仿宋" w:eastAsia="仿宋" w:cs="仿宋"/>
          <w:b/>
          <w:bCs/>
          <w:szCs w:val="24"/>
        </w:rPr>
        <w:t>五、服务内容</w:t>
      </w:r>
    </w:p>
    <w:p w14:paraId="7EF78F23">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湖州职业技术学院教学实训设备搬迁服务项目。</w:t>
      </w:r>
    </w:p>
    <w:p w14:paraId="52E2C55C">
      <w:pPr>
        <w:overflowPunct w:val="0"/>
        <w:autoSpaceDE w:val="0"/>
        <w:autoSpaceDN w:val="0"/>
        <w:adjustRightInd w:val="0"/>
        <w:spacing w:line="360" w:lineRule="auto"/>
        <w:ind w:firstLine="562"/>
        <w:textAlignment w:val="baseline"/>
        <w:rPr>
          <w:rFonts w:ascii="仿宋" w:hAnsi="仿宋" w:eastAsia="仿宋" w:cs="仿宋"/>
          <w:szCs w:val="24"/>
        </w:rPr>
      </w:pPr>
      <w:r>
        <w:rPr>
          <w:rFonts w:hint="eastAsia" w:ascii="仿宋" w:hAnsi="仿宋" w:eastAsia="仿宋" w:cs="仿宋"/>
          <w:b/>
          <w:bCs/>
          <w:szCs w:val="24"/>
        </w:rPr>
        <w:t>六、付款方式</w:t>
      </w:r>
    </w:p>
    <w:p w14:paraId="3B62E4EB">
      <w:pPr>
        <w:spacing w:line="460" w:lineRule="exact"/>
        <w:ind w:firstLine="480" w:firstLineChars="200"/>
        <w:rPr>
          <w:rFonts w:ascii="仿宋" w:hAnsi="仿宋" w:eastAsia="仿宋" w:cs="仿宋"/>
          <w:szCs w:val="24"/>
        </w:rPr>
      </w:pPr>
      <w:r>
        <w:rPr>
          <w:rFonts w:hint="eastAsia" w:ascii="仿宋" w:hAnsi="仿宋" w:eastAsia="仿宋" w:cs="仿宋"/>
          <w:szCs w:val="24"/>
        </w:rPr>
        <w:t>根据《保障中小企业款项支付条例》、省财政厅《关于进一步发挥政府采购政策功能全力推动经济稳进提质的通知》（浙财采监〔2022〕3号）要求，制定如下付款方式：</w:t>
      </w:r>
    </w:p>
    <w:p w14:paraId="66C84644">
      <w:pPr>
        <w:pStyle w:val="51"/>
        <w:rPr>
          <w:rFonts w:ascii="仿宋" w:hAnsi="仿宋" w:eastAsia="仿宋" w:cs="仿宋"/>
        </w:rPr>
      </w:pPr>
      <w:r>
        <w:rPr>
          <w:rFonts w:hint="eastAsia" w:ascii="仿宋" w:hAnsi="仿宋" w:eastAsia="仿宋" w:cs="仿宋"/>
        </w:rPr>
        <w:t>甲方</w:t>
      </w:r>
      <w:r>
        <w:rPr>
          <w:rFonts w:ascii="仿宋" w:hAnsi="仿宋" w:eastAsia="仿宋" w:cs="仿宋"/>
        </w:rPr>
        <w:t>自采购合同生效及具备实施条件后15日内支付</w:t>
      </w:r>
      <w:r>
        <w:rPr>
          <w:rFonts w:hint="eastAsia" w:ascii="仿宋" w:hAnsi="仿宋" w:eastAsia="仿宋" w:cs="仿宋"/>
        </w:rPr>
        <w:t>预付款，即</w:t>
      </w:r>
      <w:r>
        <w:rPr>
          <w:rFonts w:ascii="仿宋" w:hAnsi="仿宋" w:eastAsia="仿宋" w:cs="仿宋"/>
        </w:rPr>
        <w:t>合同金额的30%</w:t>
      </w:r>
      <w:r>
        <w:rPr>
          <w:rFonts w:hint="eastAsia" w:ascii="仿宋" w:hAnsi="仿宋" w:eastAsia="仿宋" w:cs="仿宋"/>
        </w:rPr>
        <w:t>；</w:t>
      </w:r>
      <w:r>
        <w:rPr>
          <w:rFonts w:ascii="仿宋" w:hAnsi="仿宋" w:eastAsia="仿宋" w:cs="仿宋"/>
        </w:rPr>
        <w:t>通过初步验收付款60%</w:t>
      </w:r>
      <w:r>
        <w:rPr>
          <w:rFonts w:hint="eastAsia" w:ascii="仿宋" w:hAnsi="仿宋" w:eastAsia="仿宋" w:cs="仿宋"/>
        </w:rPr>
        <w:t>；</w:t>
      </w:r>
      <w:r>
        <w:rPr>
          <w:rFonts w:ascii="仿宋" w:hAnsi="仿宋" w:eastAsia="仿宋" w:cs="仿宋"/>
        </w:rPr>
        <w:t>通过最终验收付尾款10%。</w:t>
      </w:r>
    </w:p>
    <w:p w14:paraId="32FA2745">
      <w:pPr>
        <w:spacing w:line="360" w:lineRule="auto"/>
        <w:ind w:firstLine="480" w:firstLineChars="200"/>
        <w:rPr>
          <w:rFonts w:ascii="仿宋" w:hAnsi="仿宋" w:eastAsia="仿宋" w:cs="仿宋"/>
          <w:szCs w:val="24"/>
        </w:rPr>
      </w:pPr>
      <w:r>
        <w:rPr>
          <w:rFonts w:hint="eastAsia" w:ascii="仿宋" w:hAnsi="仿宋" w:eastAsia="仿宋" w:cs="仿宋"/>
          <w:szCs w:val="24"/>
        </w:rPr>
        <w:t>在签订合同时，乙方明确表示无需预付款或者主动要求降低预付款比例的，采购合同可不适用前述规定。</w:t>
      </w:r>
    </w:p>
    <w:p w14:paraId="511578B2">
      <w:pPr>
        <w:spacing w:line="360" w:lineRule="auto"/>
        <w:ind w:firstLine="480" w:firstLineChars="200"/>
        <w:rPr>
          <w:rFonts w:ascii="仿宋" w:hAnsi="仿宋" w:eastAsia="仿宋" w:cs="仿宋"/>
          <w:szCs w:val="24"/>
        </w:rPr>
      </w:pPr>
      <w:r>
        <w:rPr>
          <w:rFonts w:hint="eastAsia" w:ascii="仿宋" w:hAnsi="仿宋" w:eastAsia="仿宋" w:cs="仿宋"/>
          <w:szCs w:val="24"/>
        </w:rPr>
        <w:t>甲方在向乙方支付预付款之前，有权要求乙方向甲方提供与预付款金额相对应的担保措施，担保措施可以是银行、保险公司等金融机构出具的预付款保函或其他担保措施。</w:t>
      </w:r>
    </w:p>
    <w:p w14:paraId="50FF26DB">
      <w:pPr>
        <w:overflowPunct w:val="0"/>
        <w:autoSpaceDE w:val="0"/>
        <w:autoSpaceDN w:val="0"/>
        <w:adjustRightInd w:val="0"/>
        <w:spacing w:line="360" w:lineRule="auto"/>
        <w:ind w:firstLine="562"/>
        <w:textAlignment w:val="baseline"/>
        <w:rPr>
          <w:rFonts w:ascii="仿宋" w:hAnsi="仿宋" w:eastAsia="仿宋" w:cs="仿宋"/>
          <w:kern w:val="0"/>
          <w:szCs w:val="24"/>
        </w:rPr>
      </w:pPr>
      <w:r>
        <w:rPr>
          <w:rFonts w:hint="eastAsia" w:ascii="仿宋" w:hAnsi="仿宋" w:eastAsia="仿宋" w:cs="仿宋"/>
          <w:kern w:val="0"/>
          <w:szCs w:val="24"/>
        </w:rPr>
        <w:t>税费：本服务执行中相关的一切税费均由乙方负担。</w:t>
      </w:r>
    </w:p>
    <w:p w14:paraId="7D4C7C1A">
      <w:pPr>
        <w:overflowPunct w:val="0"/>
        <w:autoSpaceDE w:val="0"/>
        <w:autoSpaceDN w:val="0"/>
        <w:adjustRightInd w:val="0"/>
        <w:spacing w:line="360" w:lineRule="auto"/>
        <w:ind w:firstLine="562"/>
        <w:textAlignment w:val="baseline"/>
        <w:rPr>
          <w:rFonts w:ascii="仿宋" w:hAnsi="仿宋" w:eastAsia="仿宋" w:cs="仿宋"/>
          <w:szCs w:val="24"/>
        </w:rPr>
      </w:pPr>
      <w:r>
        <w:rPr>
          <w:rFonts w:hint="eastAsia" w:ascii="仿宋" w:hAnsi="仿宋" w:eastAsia="仿宋" w:cs="仿宋"/>
          <w:b/>
          <w:bCs/>
          <w:szCs w:val="24"/>
        </w:rPr>
        <w:t>七、权利和义务</w:t>
      </w:r>
    </w:p>
    <w:p w14:paraId="7DD71AE8">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（一）甲方责任：</w:t>
      </w:r>
    </w:p>
    <w:p w14:paraId="3314D3F0">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1.甲方按乙方要求及时向乙方提供所需资料，并保证资料的正确性、真实性。</w:t>
      </w:r>
    </w:p>
    <w:p w14:paraId="40E1742F">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2.甲方须按照协议规定按时向乙方支付服务费。</w:t>
      </w:r>
    </w:p>
    <w:p w14:paraId="06F43F84">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3.甲方应保守乙方提供的商业机密。</w:t>
      </w:r>
    </w:p>
    <w:p w14:paraId="300CF095">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（二）乙方责任</w:t>
      </w:r>
    </w:p>
    <w:p w14:paraId="3AA6EDCB">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1.乙方应配合甲方对工作效果进行阶段性考核评审。</w:t>
      </w:r>
    </w:p>
    <w:p w14:paraId="1F5D1C03">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2.乙方所提供的所有资料与内容必须符合相关标准。</w:t>
      </w:r>
    </w:p>
    <w:p w14:paraId="26717728">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3.乙方工作结束之后应将所有材料的电子文档及纸质材料提供给甲方。</w:t>
      </w:r>
    </w:p>
    <w:p w14:paraId="4773849E">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4.乙方根据甲方要求，定期向甲方汇报项目进程。</w:t>
      </w:r>
    </w:p>
    <w:p w14:paraId="242A155D">
      <w:pPr>
        <w:overflowPunct w:val="0"/>
        <w:autoSpaceDE w:val="0"/>
        <w:autoSpaceDN w:val="0"/>
        <w:adjustRightInd w:val="0"/>
        <w:spacing w:line="360" w:lineRule="auto"/>
        <w:ind w:firstLine="562"/>
        <w:textAlignment w:val="baseline"/>
        <w:rPr>
          <w:rFonts w:ascii="仿宋" w:hAnsi="仿宋" w:eastAsia="仿宋" w:cs="仿宋"/>
          <w:szCs w:val="24"/>
        </w:rPr>
      </w:pPr>
      <w:r>
        <w:rPr>
          <w:rFonts w:hint="eastAsia" w:ascii="仿宋" w:hAnsi="仿宋" w:eastAsia="仿宋" w:cs="仿宋"/>
          <w:b/>
          <w:bCs/>
          <w:szCs w:val="24"/>
        </w:rPr>
        <w:t>八、验收标准及办法</w:t>
      </w:r>
    </w:p>
    <w:p w14:paraId="3E829EB5">
      <w:pPr>
        <w:overflowPunct w:val="0"/>
        <w:autoSpaceDE w:val="0"/>
        <w:autoSpaceDN w:val="0"/>
        <w:adjustRightInd w:val="0"/>
        <w:spacing w:line="360" w:lineRule="auto"/>
        <w:ind w:firstLine="562"/>
        <w:textAlignment w:val="baseline"/>
        <w:rPr>
          <w:rFonts w:ascii="仿宋" w:hAnsi="仿宋" w:eastAsia="仿宋" w:cs="仿宋"/>
          <w:b/>
          <w:bCs/>
          <w:szCs w:val="24"/>
        </w:rPr>
      </w:pPr>
      <w:r>
        <w:rPr>
          <w:rFonts w:hint="eastAsia" w:ascii="仿宋" w:hAnsi="仿宋" w:eastAsia="仿宋" w:cs="仿宋"/>
          <w:b/>
          <w:bCs/>
          <w:szCs w:val="24"/>
        </w:rPr>
        <w:t>九、履约保证金及履约担保</w:t>
      </w:r>
    </w:p>
    <w:p w14:paraId="535BF554">
      <w:pPr>
        <w:overflowPunct w:val="0"/>
        <w:autoSpaceDE w:val="0"/>
        <w:autoSpaceDN w:val="0"/>
        <w:adjustRightInd w:val="0"/>
        <w:spacing w:line="360" w:lineRule="auto"/>
        <w:ind w:firstLine="562"/>
        <w:textAlignment w:val="baseline"/>
        <w:rPr>
          <w:rFonts w:ascii="仿宋" w:hAnsi="仿宋" w:eastAsia="仿宋" w:cs="仿宋"/>
          <w:b/>
          <w:bCs/>
          <w:szCs w:val="24"/>
        </w:rPr>
      </w:pPr>
      <w:r>
        <w:rPr>
          <w:rFonts w:hint="eastAsia" w:ascii="仿宋" w:hAnsi="仿宋" w:eastAsia="仿宋" w:cs="仿宋"/>
          <w:b/>
          <w:bCs/>
          <w:szCs w:val="24"/>
        </w:rPr>
        <w:t>十、转包或分包</w:t>
      </w:r>
    </w:p>
    <w:p w14:paraId="3636810C">
      <w:pPr>
        <w:snapToGrid w:val="0"/>
        <w:spacing w:line="360" w:lineRule="auto"/>
        <w:ind w:firstLine="560"/>
        <w:rPr>
          <w:rFonts w:ascii="仿宋" w:hAnsi="仿宋" w:eastAsia="仿宋" w:cs="仿宋"/>
          <w:szCs w:val="24"/>
        </w:rPr>
      </w:pPr>
      <w:r>
        <w:rPr>
          <w:rFonts w:hint="eastAsia" w:ascii="仿宋" w:hAnsi="仿宋" w:eastAsia="仿宋" w:cs="仿宋"/>
          <w:szCs w:val="24"/>
        </w:rPr>
        <w:t>（一）本合同范围的服务，应由乙方直接提供，不得转让他人提供；</w:t>
      </w:r>
    </w:p>
    <w:p w14:paraId="1AC6AD2D">
      <w:pPr>
        <w:snapToGrid w:val="0"/>
        <w:spacing w:line="360" w:lineRule="auto"/>
        <w:ind w:firstLine="560"/>
        <w:rPr>
          <w:rFonts w:ascii="仿宋" w:hAnsi="仿宋" w:eastAsia="仿宋" w:cs="仿宋"/>
          <w:szCs w:val="24"/>
        </w:rPr>
      </w:pPr>
      <w:r>
        <w:rPr>
          <w:rFonts w:hint="eastAsia" w:ascii="仿宋" w:hAnsi="仿宋" w:eastAsia="仿宋" w:cs="仿宋"/>
          <w:szCs w:val="24"/>
        </w:rPr>
        <w:t>（二）除非得到甲方的书面同意，乙方不得将本合同范围的服务全部或部分分包给他人提供；</w:t>
      </w:r>
    </w:p>
    <w:p w14:paraId="589B7B5C">
      <w:pPr>
        <w:pStyle w:val="13"/>
        <w:tabs>
          <w:tab w:val="left" w:pos="0"/>
          <w:tab w:val="left" w:pos="993"/>
          <w:tab w:val="left" w:pos="1134"/>
        </w:tabs>
        <w:spacing w:after="0" w:line="360" w:lineRule="auto"/>
        <w:ind w:left="0" w:leftChars="0" w:firstLine="482"/>
        <w:rPr>
          <w:rFonts w:ascii="仿宋" w:hAnsi="仿宋" w:eastAsia="仿宋" w:cs="仿宋"/>
          <w:szCs w:val="24"/>
        </w:rPr>
      </w:pPr>
      <w:r>
        <w:rPr>
          <w:rFonts w:hint="eastAsia" w:ascii="仿宋" w:hAnsi="仿宋" w:eastAsia="仿宋" w:cs="仿宋"/>
          <w:b/>
          <w:bCs/>
          <w:szCs w:val="24"/>
        </w:rPr>
        <w:t>十一、违约责任：</w:t>
      </w:r>
    </w:p>
    <w:p w14:paraId="04F608E7">
      <w:pPr>
        <w:pStyle w:val="13"/>
        <w:tabs>
          <w:tab w:val="left" w:pos="0"/>
          <w:tab w:val="left" w:pos="993"/>
          <w:tab w:val="left" w:pos="1134"/>
        </w:tabs>
        <w:spacing w:after="0" w:line="360" w:lineRule="auto"/>
        <w:ind w:left="0" w:leftChars="0" w:firstLine="480"/>
        <w:rPr>
          <w:rFonts w:ascii="仿宋" w:hAnsi="仿宋" w:eastAsia="仿宋" w:cs="仿宋"/>
          <w:szCs w:val="24"/>
        </w:rPr>
      </w:pPr>
      <w:r>
        <w:rPr>
          <w:rFonts w:hint="eastAsia" w:ascii="仿宋" w:hAnsi="仿宋" w:eastAsia="仿宋" w:cs="仿宋"/>
          <w:szCs w:val="24"/>
        </w:rPr>
        <w:t>（一）甲方无正当理由拒收服务的，甲方向乙方偿付拒收服务费总值的百分之五违约金。</w:t>
      </w:r>
    </w:p>
    <w:p w14:paraId="6BE9301F">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（二）甲方无故逾期验收或办理合同款支付手续的，甲方应按逾期付款总额每日万分之五向乙方支付违约金。</w:t>
      </w:r>
    </w:p>
    <w:p w14:paraId="04E12049">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三）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2C9D98CA">
      <w:pPr>
        <w:overflowPunct w:val="0"/>
        <w:autoSpaceDE w:val="0"/>
        <w:autoSpaceDN w:val="0"/>
        <w:adjustRightInd w:val="0"/>
        <w:spacing w:line="360" w:lineRule="auto"/>
        <w:ind w:firstLine="562"/>
        <w:textAlignment w:val="baseline"/>
        <w:rPr>
          <w:rFonts w:ascii="仿宋" w:hAnsi="仿宋" w:eastAsia="仿宋" w:cs="仿宋"/>
          <w:b/>
          <w:bCs/>
          <w:szCs w:val="24"/>
        </w:rPr>
      </w:pPr>
      <w:r>
        <w:rPr>
          <w:rFonts w:hint="eastAsia" w:ascii="仿宋" w:hAnsi="仿宋" w:eastAsia="仿宋" w:cs="仿宋"/>
          <w:b/>
          <w:bCs/>
          <w:szCs w:val="24"/>
        </w:rPr>
        <w:t>十二、不可抗力事件处理</w:t>
      </w:r>
    </w:p>
    <w:p w14:paraId="165C26C4">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一）不可抗力，是指本合同双方不能合理控制、不可预见或即使预见亦无法避免的事件，该事件妨碍、影响或延误任何一方根据本合同履行其全部或部分义务。该事件包括但不限于：自然原因，例如地震、火灾、严重的传染性疾病等；国家机关行为之原因，例如法律、政策、行政指令。</w:t>
      </w:r>
    </w:p>
    <w:p w14:paraId="3024F311">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（二）遭受不可抗力事件的一方可暂行中止履行本合同项下的义务直至不可抗力事件的影响消除为止，并且无需为此而承担违约责任；但应尽最大努力克服该事件，减轻其负面影响。</w:t>
      </w:r>
    </w:p>
    <w:p w14:paraId="58E2DFD5">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 xml:space="preserve">（三）在本合同履行中，一旦本合同一方或双方遭受不可抗力，则不可抗力发生方须在尽可能短的时间内通知对方。如果不可抗力的发生，不会造成不可抗力发生方对本合同的根本违约，则另一方应该在履约时间上给予对方适当的宽限。如果不可抗力的发生，造成了不可抗力发生方无法履行本合同，则本合同终止。 </w:t>
      </w:r>
    </w:p>
    <w:p w14:paraId="0DAB8FAD">
      <w:pPr>
        <w:overflowPunct w:val="0"/>
        <w:autoSpaceDE w:val="0"/>
        <w:autoSpaceDN w:val="0"/>
        <w:adjustRightInd w:val="0"/>
        <w:spacing w:line="360" w:lineRule="auto"/>
        <w:ind w:firstLine="562"/>
        <w:textAlignment w:val="baseline"/>
        <w:rPr>
          <w:rFonts w:ascii="仿宋" w:hAnsi="仿宋" w:eastAsia="仿宋" w:cs="仿宋"/>
          <w:b/>
          <w:bCs/>
          <w:szCs w:val="24"/>
        </w:rPr>
      </w:pPr>
      <w:r>
        <w:rPr>
          <w:rFonts w:hint="eastAsia" w:ascii="仿宋" w:hAnsi="仿宋" w:eastAsia="仿宋" w:cs="仿宋"/>
          <w:b/>
          <w:bCs/>
          <w:szCs w:val="24"/>
        </w:rPr>
        <w:t>十三、合同的修改与终止</w:t>
      </w:r>
    </w:p>
    <w:p w14:paraId="7D025E68">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（一）经甲、乙双方协商同意后可修改本合同。</w:t>
      </w:r>
    </w:p>
    <w:p w14:paraId="0F1EC748">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（二）任何一方如因发生不可抗拒事件而丧失履行合同能力，本合同可自行终止。</w:t>
      </w:r>
    </w:p>
    <w:p w14:paraId="659050F7">
      <w:pPr>
        <w:overflowPunct w:val="0"/>
        <w:autoSpaceDE w:val="0"/>
        <w:autoSpaceDN w:val="0"/>
        <w:adjustRightInd w:val="0"/>
        <w:spacing w:line="360" w:lineRule="auto"/>
        <w:ind w:firstLine="562"/>
        <w:textAlignment w:val="baseline"/>
        <w:rPr>
          <w:rFonts w:ascii="仿宋" w:hAnsi="仿宋" w:eastAsia="仿宋" w:cs="仿宋"/>
          <w:b/>
          <w:bCs/>
          <w:szCs w:val="24"/>
        </w:rPr>
      </w:pPr>
      <w:r>
        <w:rPr>
          <w:rFonts w:hint="eastAsia" w:ascii="仿宋" w:hAnsi="仿宋" w:eastAsia="仿宋" w:cs="仿宋"/>
          <w:b/>
          <w:bCs/>
          <w:szCs w:val="24"/>
        </w:rPr>
        <w:t>十四、保密责任</w:t>
      </w:r>
    </w:p>
    <w:p w14:paraId="04C39C87">
      <w:pPr>
        <w:overflowPunct w:val="0"/>
        <w:autoSpaceDE w:val="0"/>
        <w:autoSpaceDN w:val="0"/>
        <w:adjustRightInd w:val="0"/>
        <w:spacing w:line="360" w:lineRule="auto"/>
        <w:ind w:firstLine="560"/>
        <w:textAlignment w:val="baseline"/>
        <w:rPr>
          <w:rFonts w:ascii="仿宋" w:hAnsi="仿宋" w:eastAsia="仿宋" w:cs="仿宋"/>
          <w:szCs w:val="24"/>
        </w:rPr>
      </w:pPr>
      <w:r>
        <w:rPr>
          <w:rFonts w:hint="eastAsia" w:ascii="仿宋" w:hAnsi="仿宋" w:eastAsia="仿宋" w:cs="仿宋"/>
          <w:szCs w:val="24"/>
        </w:rPr>
        <w:t>双方均应保护对方的知识产权，未经对方同意，任何一方不得对对方的资料及文件擅自修改、复制或向第三方转让或用于本合同外的项目编制；乙方对甲方所提供的数据库和其它影像资料严禁向第三方泄密，如发生以上情况，泄密方承担一切由此引起的后果并承担赔偿责任。</w:t>
      </w:r>
    </w:p>
    <w:p w14:paraId="45173051">
      <w:pPr>
        <w:spacing w:line="360" w:lineRule="auto"/>
        <w:ind w:firstLine="562"/>
        <w:rPr>
          <w:rFonts w:ascii="仿宋" w:hAnsi="仿宋" w:eastAsia="仿宋" w:cs="仿宋"/>
          <w:b/>
          <w:szCs w:val="24"/>
        </w:rPr>
      </w:pPr>
      <w:r>
        <w:rPr>
          <w:rFonts w:hint="eastAsia" w:ascii="仿宋" w:hAnsi="仿宋" w:eastAsia="仿宋" w:cs="仿宋"/>
          <w:b/>
          <w:szCs w:val="24"/>
        </w:rPr>
        <w:t>十五、仲裁与起诉</w:t>
      </w:r>
    </w:p>
    <w:p w14:paraId="2B4FD37D">
      <w:pPr>
        <w:pStyle w:val="14"/>
        <w:spacing w:before="156" w:after="156" w:line="360" w:lineRule="auto"/>
        <w:ind w:firstLine="240" w:firstLineChars="100"/>
        <w:rPr>
          <w:rFonts w:ascii="仿宋" w:hAnsi="仿宋" w:eastAsia="仿宋" w:cs="仿宋"/>
          <w:sz w:val="24"/>
          <w:szCs w:val="24"/>
        </w:rPr>
      </w:pPr>
      <w:r>
        <w:rPr>
          <w:rFonts w:hint="eastAsia" w:ascii="仿宋" w:hAnsi="仿宋" w:eastAsia="仿宋" w:cs="仿宋"/>
          <w:sz w:val="24"/>
          <w:szCs w:val="24"/>
        </w:rPr>
        <w:t>双方在执行合同中所发生的一切争议，应通过友好协商，妥善解决，如通过协商仍不能解决时，可向甲方所在地（湖州市吴兴区人民法院）法院起诉。。</w:t>
      </w:r>
    </w:p>
    <w:p w14:paraId="558FF89B">
      <w:pPr>
        <w:spacing w:line="360" w:lineRule="auto"/>
        <w:ind w:firstLine="562"/>
        <w:rPr>
          <w:rFonts w:ascii="仿宋" w:hAnsi="仿宋" w:eastAsia="仿宋" w:cs="仿宋"/>
          <w:b/>
          <w:szCs w:val="24"/>
        </w:rPr>
      </w:pPr>
      <w:r>
        <w:rPr>
          <w:rFonts w:hint="eastAsia" w:ascii="仿宋" w:hAnsi="仿宋" w:eastAsia="仿宋" w:cs="仿宋"/>
          <w:b/>
          <w:szCs w:val="24"/>
        </w:rPr>
        <w:t>十六、合同生效及其他</w:t>
      </w:r>
    </w:p>
    <w:p w14:paraId="1B241216">
      <w:pPr>
        <w:spacing w:line="360" w:lineRule="auto"/>
        <w:ind w:firstLine="560"/>
        <w:rPr>
          <w:rFonts w:ascii="仿宋" w:hAnsi="仿宋" w:eastAsia="仿宋" w:cs="仿宋"/>
          <w:szCs w:val="24"/>
        </w:rPr>
      </w:pPr>
      <w:r>
        <w:rPr>
          <w:rFonts w:hint="eastAsia" w:ascii="仿宋" w:hAnsi="仿宋" w:eastAsia="仿宋" w:cs="仿宋"/>
          <w:szCs w:val="24"/>
        </w:rPr>
        <w:t>（一）合同经双方法定代表人或委托代理人签字加盖单位公章后方为有效。</w:t>
      </w:r>
    </w:p>
    <w:p w14:paraId="35B91147">
      <w:pPr>
        <w:spacing w:line="360" w:lineRule="auto"/>
        <w:ind w:firstLine="560"/>
        <w:rPr>
          <w:rFonts w:ascii="仿宋" w:hAnsi="仿宋" w:eastAsia="仿宋" w:cs="仿宋"/>
          <w:szCs w:val="24"/>
        </w:rPr>
      </w:pPr>
      <w:r>
        <w:rPr>
          <w:rFonts w:hint="eastAsia" w:ascii="仿宋" w:hAnsi="仿宋" w:eastAsia="仿宋" w:cs="仿宋"/>
          <w:szCs w:val="24"/>
        </w:rPr>
        <w:t>（二）本合同未尽事宜，双方可以增加条款或补充协议的形式加以补充,但增加或补充协议的条款不得对招标文件作实质性修改。补充协议与本合同具有相同的法律效力。</w:t>
      </w:r>
    </w:p>
    <w:p w14:paraId="71FC73F6">
      <w:pPr>
        <w:spacing w:line="360" w:lineRule="auto"/>
        <w:ind w:firstLine="560"/>
        <w:rPr>
          <w:rFonts w:ascii="仿宋" w:hAnsi="仿宋" w:eastAsia="仿宋" w:cs="仿宋"/>
          <w:szCs w:val="24"/>
        </w:rPr>
      </w:pPr>
      <w:r>
        <w:rPr>
          <w:rFonts w:hint="eastAsia" w:ascii="仿宋" w:hAnsi="仿宋" w:eastAsia="仿宋" w:cs="仿宋"/>
          <w:szCs w:val="24"/>
        </w:rPr>
        <w:t>（三）在合同期中，若上级相关部门对规范、规定、标准有修改或变化，按新修改或变化后的规范、规定、标准执行，费用另行按合同精神进行协商定价。</w:t>
      </w:r>
    </w:p>
    <w:p w14:paraId="2F649FD1">
      <w:pPr>
        <w:spacing w:line="360" w:lineRule="auto"/>
        <w:ind w:firstLine="560"/>
        <w:rPr>
          <w:rFonts w:ascii="仿宋" w:hAnsi="仿宋" w:eastAsia="仿宋" w:cs="仿宋"/>
          <w:szCs w:val="24"/>
        </w:rPr>
      </w:pPr>
      <w:r>
        <w:rPr>
          <w:rFonts w:hint="eastAsia" w:ascii="仿宋" w:hAnsi="仿宋" w:eastAsia="仿宋" w:cs="仿宋"/>
          <w:szCs w:val="24"/>
        </w:rPr>
        <w:t>（四）本合同一式七份，甲乙双方各执三份，代理机构执一份，均具同等效力。</w:t>
      </w:r>
    </w:p>
    <w:p w14:paraId="577BB2E8">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甲    方：                           乙    方：       </w:t>
      </w:r>
    </w:p>
    <w:p w14:paraId="0E203BBC">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地    址：                           地    址： </w:t>
      </w:r>
    </w:p>
    <w:p w14:paraId="53AF7338">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法人代表：                           法人代表：   </w:t>
      </w:r>
    </w:p>
    <w:p w14:paraId="16D62626">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委托代理人：                         委托代理人： </w:t>
      </w:r>
    </w:p>
    <w:p w14:paraId="22A11074">
      <w:pPr>
        <w:pStyle w:val="14"/>
        <w:spacing w:before="156" w:after="156" w:line="360" w:lineRule="auto"/>
        <w:ind w:firstLine="630" w:firstLineChars="300"/>
        <w:rPr>
          <w:rFonts w:ascii="仿宋" w:hAnsi="仿宋" w:eastAsia="仿宋" w:cs="仿宋"/>
          <w:u w:val="single"/>
        </w:rPr>
      </w:pPr>
      <w:r>
        <w:rPr>
          <w:rFonts w:hint="eastAsia" w:ascii="仿宋" w:hAnsi="仿宋" w:eastAsia="仿宋" w:cs="仿宋"/>
        </w:rPr>
        <w:t xml:space="preserve">电    话：                           电    话： </w:t>
      </w:r>
    </w:p>
    <w:p w14:paraId="602A508A">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开户名称：                           开户名称：        </w:t>
      </w:r>
    </w:p>
    <w:p w14:paraId="6509950B">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开户银行：                           开户银行：   </w:t>
      </w:r>
    </w:p>
    <w:p w14:paraId="50DA2B1C">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账    号：                           账    号：    </w:t>
      </w:r>
    </w:p>
    <w:p w14:paraId="61D66F06">
      <w:pPr>
        <w:pStyle w:val="14"/>
        <w:spacing w:before="156" w:after="156" w:line="360" w:lineRule="auto"/>
        <w:ind w:firstLine="630" w:firstLineChars="300"/>
        <w:rPr>
          <w:rFonts w:ascii="仿宋" w:hAnsi="仿宋" w:eastAsia="仿宋" w:cs="仿宋"/>
        </w:rPr>
      </w:pPr>
      <w:r>
        <w:rPr>
          <w:rFonts w:hint="eastAsia" w:ascii="仿宋" w:hAnsi="仿宋" w:eastAsia="仿宋" w:cs="仿宋"/>
        </w:rPr>
        <w:t xml:space="preserve">签约时间：                           签约地点： </w:t>
      </w:r>
    </w:p>
    <w:p w14:paraId="6B19E0A3">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181AF6F">
      <w:pPr>
        <w:pStyle w:val="4"/>
        <w:rPr>
          <w:color w:val="000000" w:themeColor="text1"/>
          <w14:textFill>
            <w14:solidFill>
              <w14:schemeClr w14:val="tx1"/>
            </w14:solidFill>
          </w14:textFill>
        </w:rPr>
      </w:pPr>
      <w:bookmarkStart w:id="24" w:name="_Toc90906533"/>
      <w:r>
        <w:rPr>
          <w:rFonts w:hint="eastAsia"/>
          <w:color w:val="000000" w:themeColor="text1"/>
          <w14:textFill>
            <w14:solidFill>
              <w14:schemeClr w14:val="tx1"/>
            </w14:solidFill>
          </w14:textFill>
        </w:rPr>
        <w:t>第六章 投标文件格式及附件</w:t>
      </w:r>
      <w:bookmarkEnd w:id="24"/>
    </w:p>
    <w:p w14:paraId="4050B40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《资格文件》、《技术、商务、资信及其他文件》、《报价文件》的外包装封面格式：</w:t>
      </w:r>
    </w:p>
    <w:p w14:paraId="0A3AB25C">
      <w:pPr>
        <w:rPr>
          <w:bCs/>
          <w:color w:val="000000" w:themeColor="text1"/>
          <w14:textFill>
            <w14:solidFill>
              <w14:schemeClr w14:val="tx1"/>
            </w14:solidFill>
          </w14:textFill>
        </w:rPr>
      </w:pPr>
    </w:p>
    <w:p w14:paraId="2D88410C">
      <w:pPr>
        <w:rPr>
          <w:bCs/>
          <w:color w:val="000000" w:themeColor="text1"/>
          <w14:textFill>
            <w14:solidFill>
              <w14:schemeClr w14:val="tx1"/>
            </w14:solidFill>
          </w14:textFill>
        </w:rPr>
      </w:pPr>
    </w:p>
    <w:p w14:paraId="4D5A41FB">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湖州职业技术学院教学实训设备搬迁服务项目</w:t>
      </w:r>
    </w:p>
    <w:p w14:paraId="2D56FE25">
      <w:pPr>
        <w:jc w:val="center"/>
        <w:rPr>
          <w:bCs/>
          <w:color w:val="000000" w:themeColor="text1"/>
          <w14:textFill>
            <w14:solidFill>
              <w14:schemeClr w14:val="tx1"/>
            </w14:solidFill>
          </w14:textFill>
        </w:rPr>
      </w:pPr>
    </w:p>
    <w:p w14:paraId="156DE37A">
      <w:pPr>
        <w:jc w:val="center"/>
        <w:rPr>
          <w:bCs/>
          <w:color w:val="000000" w:themeColor="text1"/>
          <w14:textFill>
            <w14:solidFill>
              <w14:schemeClr w14:val="tx1"/>
            </w14:solidFill>
          </w14:textFill>
        </w:rPr>
      </w:pPr>
    </w:p>
    <w:p w14:paraId="5198B734">
      <w:pPr>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w:t>
      </w:r>
    </w:p>
    <w:p w14:paraId="6479FE95">
      <w:pPr>
        <w:rPr>
          <w:bCs/>
          <w:color w:val="000000" w:themeColor="text1"/>
          <w14:textFill>
            <w14:solidFill>
              <w14:schemeClr w14:val="tx1"/>
            </w14:solidFill>
          </w14:textFill>
        </w:rPr>
      </w:pPr>
    </w:p>
    <w:p w14:paraId="4FDA75D0">
      <w:pPr>
        <w:rPr>
          <w:bCs/>
          <w:color w:val="000000" w:themeColor="text1"/>
          <w14:textFill>
            <w14:solidFill>
              <w14:schemeClr w14:val="tx1"/>
            </w14:solidFill>
          </w14:textFill>
        </w:rPr>
      </w:pPr>
    </w:p>
    <w:p w14:paraId="5484572A">
      <w:pPr>
        <w:jc w:val="center"/>
        <w:rPr>
          <w:bCs/>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时</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分（开标时间）之前不得启封</w:t>
      </w:r>
    </w:p>
    <w:p w14:paraId="3F74C6F7">
      <w:pPr>
        <w:rPr>
          <w:bCs/>
          <w:color w:val="000000" w:themeColor="text1"/>
          <w14:textFill>
            <w14:solidFill>
              <w14:schemeClr w14:val="tx1"/>
            </w14:solidFill>
          </w14:textFill>
        </w:rPr>
      </w:pPr>
    </w:p>
    <w:p w14:paraId="1981E29A">
      <w:pPr>
        <w:rPr>
          <w:bCs/>
          <w:color w:val="000000" w:themeColor="text1"/>
          <w14:textFill>
            <w14:solidFill>
              <w14:schemeClr w14:val="tx1"/>
            </w14:solidFill>
          </w14:textFill>
        </w:rPr>
      </w:pPr>
    </w:p>
    <w:p w14:paraId="18FC2C3C">
      <w:pPr>
        <w:rPr>
          <w:bCs/>
          <w:color w:val="000000" w:themeColor="text1"/>
          <w14:textFill>
            <w14:solidFill>
              <w14:schemeClr w14:val="tx1"/>
            </w14:solidFill>
          </w14:textFill>
        </w:rPr>
      </w:pPr>
    </w:p>
    <w:p w14:paraId="74E7019A">
      <w:pPr>
        <w:rPr>
          <w:bCs/>
          <w:color w:val="000000" w:themeColor="text1"/>
          <w14:textFill>
            <w14:solidFill>
              <w14:schemeClr w14:val="tx1"/>
            </w14:solidFill>
          </w14:textFill>
        </w:rPr>
      </w:pPr>
    </w:p>
    <w:p w14:paraId="3B16C0BF">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项目名称：</w:t>
      </w:r>
      <w:r>
        <w:rPr>
          <w:rFonts w:hint="eastAsia"/>
          <w:bCs/>
          <w:color w:val="000000" w:themeColor="text1"/>
          <w:u w:val="single"/>
          <w14:textFill>
            <w14:solidFill>
              <w14:schemeClr w14:val="tx1"/>
            </w14:solidFill>
          </w14:textFill>
        </w:rPr>
        <w:t xml:space="preserve">                                     </w:t>
      </w:r>
    </w:p>
    <w:p w14:paraId="05FDB523">
      <w:pPr>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项目编号：</w:t>
      </w:r>
      <w:r>
        <w:rPr>
          <w:rFonts w:hint="eastAsia"/>
          <w:bCs/>
          <w:color w:val="000000" w:themeColor="text1"/>
          <w:u w:val="single"/>
          <w14:textFill>
            <w14:solidFill>
              <w14:schemeClr w14:val="tx1"/>
            </w14:solidFill>
          </w14:textFill>
        </w:rPr>
        <w:t xml:space="preserve">                                     </w:t>
      </w:r>
    </w:p>
    <w:p w14:paraId="60D6A1D9">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供应商名称（盖章）：</w:t>
      </w:r>
      <w:r>
        <w:rPr>
          <w:rFonts w:hint="eastAsia"/>
          <w:bCs/>
          <w:color w:val="000000" w:themeColor="text1"/>
          <w:u w:val="single"/>
          <w14:textFill>
            <w14:solidFill>
              <w14:schemeClr w14:val="tx1"/>
            </w14:solidFill>
          </w14:textFill>
        </w:rPr>
        <w:t xml:space="preserve">                            </w:t>
      </w:r>
    </w:p>
    <w:p w14:paraId="51013167">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供应商地址：</w:t>
      </w:r>
      <w:r>
        <w:rPr>
          <w:rFonts w:hint="eastAsia"/>
          <w:bCs/>
          <w:color w:val="000000" w:themeColor="text1"/>
          <w:u w:val="single"/>
          <w14:textFill>
            <w14:solidFill>
              <w14:schemeClr w14:val="tx1"/>
            </w14:solidFill>
          </w14:textFill>
        </w:rPr>
        <w:t xml:space="preserve">                                   </w:t>
      </w:r>
    </w:p>
    <w:p w14:paraId="60D264D0">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授权代表签章：</w:t>
      </w:r>
      <w:r>
        <w:rPr>
          <w:rFonts w:hint="eastAsia"/>
          <w:bCs/>
          <w:color w:val="000000" w:themeColor="text1"/>
          <w:u w:val="single"/>
          <w14:textFill>
            <w14:solidFill>
              <w14:schemeClr w14:val="tx1"/>
            </w14:solidFill>
          </w14:textFill>
        </w:rPr>
        <w:t xml:space="preserve">                                 </w:t>
      </w:r>
    </w:p>
    <w:p w14:paraId="5D756C00">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1A56ECF">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1、资格文件目录（具体参考第三章供应商须知“投标文件的组成”）</w:t>
      </w:r>
    </w:p>
    <w:p w14:paraId="17B6C825">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525E1E0D">
      <w:pPr>
        <w:rPr>
          <w:rFonts w:ascii="宋体" w:hAnsi="宋体"/>
          <w:b/>
          <w:color w:val="000000" w:themeColor="text1"/>
          <w14:textFill>
            <w14:solidFill>
              <w14:schemeClr w14:val="tx1"/>
            </w14:solidFill>
          </w14:textFill>
        </w:rPr>
      </w:pPr>
    </w:p>
    <w:p w14:paraId="489CDA56">
      <w:pPr>
        <w:rPr>
          <w:rFonts w:ascii="宋体" w:hAnsi="宋体"/>
          <w:b/>
          <w:color w:val="000000" w:themeColor="text1"/>
          <w14:textFill>
            <w14:solidFill>
              <w14:schemeClr w14:val="tx1"/>
            </w14:solidFill>
          </w14:textFill>
        </w:rPr>
      </w:pPr>
    </w:p>
    <w:p w14:paraId="3FB9021D">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w:t>
      </w:r>
      <w:r>
        <w:rPr>
          <w:rFonts w:ascii="宋体" w:hAnsi="宋体"/>
          <w:b/>
          <w:bCs/>
          <w:color w:val="000000" w:themeColor="text1"/>
          <w14:textFill>
            <w14:solidFill>
              <w14:schemeClr w14:val="tx1"/>
            </w14:solidFill>
          </w14:textFill>
        </w:rPr>
        <w:t>商务、资信及其他文件目录（具体参考第三章供应商须知“投标文件的组成”）</w:t>
      </w:r>
    </w:p>
    <w:p w14:paraId="0B049022">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5DCE5ED4">
      <w:pPr>
        <w:rPr>
          <w:rFonts w:ascii="宋体" w:hAnsi="宋体"/>
          <w:b/>
          <w:color w:val="000000" w:themeColor="text1"/>
          <w14:textFill>
            <w14:solidFill>
              <w14:schemeClr w14:val="tx1"/>
            </w14:solidFill>
          </w14:textFill>
        </w:rPr>
      </w:pPr>
    </w:p>
    <w:p w14:paraId="13706DC5">
      <w:pPr>
        <w:rPr>
          <w:rFonts w:ascii="宋体" w:hAnsi="宋体"/>
          <w:b/>
          <w:color w:val="000000" w:themeColor="text1"/>
          <w14:textFill>
            <w14:solidFill>
              <w14:schemeClr w14:val="tx1"/>
            </w14:solidFill>
          </w14:textFill>
        </w:rPr>
      </w:pPr>
    </w:p>
    <w:p w14:paraId="3B689AE8">
      <w:pPr>
        <w:rPr>
          <w:rFonts w:ascii="宋体" w:hAnsi="宋体"/>
          <w:b/>
          <w:color w:val="000000" w:themeColor="text1"/>
          <w14:textFill>
            <w14:solidFill>
              <w14:schemeClr w14:val="tx1"/>
            </w14:solidFill>
          </w14:textFill>
        </w:rPr>
      </w:pPr>
    </w:p>
    <w:p w14:paraId="256B3F4A">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3、报价文件目录（具体参考第三章供应商须知“投标文件的组成”）</w:t>
      </w:r>
    </w:p>
    <w:p w14:paraId="2BA953D9">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7231D46">
      <w:pPr>
        <w:spacing w:before="62"/>
        <w:ind w:right="94"/>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法定代表人有效身份证明书</w:t>
      </w:r>
    </w:p>
    <w:p w14:paraId="63768399">
      <w:pPr>
        <w:pStyle w:val="10"/>
        <w:rPr>
          <w:b/>
          <w:color w:val="000000" w:themeColor="text1"/>
          <w:sz w:val="20"/>
          <w14:textFill>
            <w14:solidFill>
              <w14:schemeClr w14:val="tx1"/>
            </w14:solidFill>
          </w14:textFill>
        </w:rPr>
      </w:pPr>
    </w:p>
    <w:p w14:paraId="4FC792FB">
      <w:pPr>
        <w:pStyle w:val="10"/>
        <w:rPr>
          <w:b/>
          <w:color w:val="000000" w:themeColor="text1"/>
          <w:sz w:val="20"/>
          <w14:textFill>
            <w14:solidFill>
              <w14:schemeClr w14:val="tx1"/>
            </w14:solidFill>
          </w14:textFill>
        </w:rPr>
      </w:pPr>
    </w:p>
    <w:p w14:paraId="3AC054FB">
      <w:pPr>
        <w:pStyle w:val="10"/>
        <w:rPr>
          <w:b/>
          <w:color w:val="000000" w:themeColor="text1"/>
          <w:sz w:val="20"/>
          <w14:textFill>
            <w14:solidFill>
              <w14:schemeClr w14:val="tx1"/>
            </w14:solidFill>
          </w14:textFill>
        </w:rPr>
      </w:pPr>
    </w:p>
    <w:p w14:paraId="248F0ABC">
      <w:pPr>
        <w:pStyle w:val="10"/>
        <w:rPr>
          <w:b/>
          <w:color w:val="000000" w:themeColor="text1"/>
          <w:sz w:val="20"/>
          <w14:textFill>
            <w14:solidFill>
              <w14:schemeClr w14:val="tx1"/>
            </w14:solidFill>
          </w14:textFill>
        </w:rPr>
      </w:pPr>
    </w:p>
    <w:p w14:paraId="6AFF5134">
      <w:pPr>
        <w:pStyle w:val="10"/>
        <w:rPr>
          <w:b/>
          <w:color w:val="000000" w:themeColor="text1"/>
          <w:sz w:val="20"/>
          <w14:textFill>
            <w14:solidFill>
              <w14:schemeClr w14:val="tx1"/>
            </w14:solidFill>
          </w14:textFill>
        </w:rPr>
      </w:pPr>
    </w:p>
    <w:p w14:paraId="5A286A63">
      <w:pPr>
        <w:pStyle w:val="10"/>
        <w:spacing w:before="1"/>
        <w:rPr>
          <w:b/>
          <w:color w:val="000000" w:themeColor="text1"/>
          <w:sz w:val="29"/>
          <w14:textFill>
            <w14:solidFill>
              <w14:schemeClr w14:val="tx1"/>
            </w14:solidFill>
          </w14:textFill>
        </w:rPr>
      </w:pPr>
    </w:p>
    <w:p w14:paraId="530C1550">
      <w:pPr>
        <w:pStyle w:val="10"/>
        <w:tabs>
          <w:tab w:val="left" w:pos="1913"/>
          <w:tab w:val="left" w:pos="2633"/>
          <w:tab w:val="left" w:pos="5578"/>
        </w:tabs>
        <w:spacing w:before="74" w:line="439" w:lineRule="auto"/>
        <w:ind w:left="232" w:right="258"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9"/>
          <w14:textFill>
            <w14:solidFill>
              <w14:schemeClr w14:val="tx1"/>
            </w14:solidFill>
          </w14:textFill>
        </w:rPr>
        <w:t>（姓名）是</w:t>
      </w:r>
      <w:r>
        <w:rPr>
          <w:rFonts w:ascii="Times New Roman" w:eastAsia="Times New Roman"/>
          <w:color w:val="000000" w:themeColor="text1"/>
          <w:spacing w:val="19"/>
          <w:u w:val="single"/>
          <w14:textFill>
            <w14:solidFill>
              <w14:schemeClr w14:val="tx1"/>
            </w14:solidFill>
          </w14:textFill>
        </w:rPr>
        <w:tab/>
      </w:r>
      <w:r>
        <w:rPr>
          <w:color w:val="000000" w:themeColor="text1"/>
          <w:spacing w:val="19"/>
          <w14:textFill>
            <w14:solidFill>
              <w14:schemeClr w14:val="tx1"/>
            </w14:solidFill>
          </w14:textFill>
        </w:rPr>
        <w:t>（单位全称）的</w:t>
      </w:r>
      <w:r>
        <w:rPr>
          <w:color w:val="000000" w:themeColor="text1"/>
          <w:spacing w:val="21"/>
          <w14:textFill>
            <w14:solidFill>
              <w14:schemeClr w14:val="tx1"/>
            </w14:solidFill>
          </w14:textFill>
        </w:rPr>
        <w:t>法</w:t>
      </w:r>
      <w:r>
        <w:rPr>
          <w:color w:val="000000" w:themeColor="text1"/>
          <w:spacing w:val="19"/>
          <w14:textFill>
            <w14:solidFill>
              <w14:schemeClr w14:val="tx1"/>
            </w14:solidFill>
          </w14:textFill>
        </w:rPr>
        <w:t>定代表人，身份证号</w:t>
      </w:r>
      <w:r>
        <w:rPr>
          <w:color w:val="000000" w:themeColor="text1"/>
          <w:spacing w:val="5"/>
          <w14:textFill>
            <w14:solidFill>
              <w14:schemeClr w14:val="tx1"/>
            </w14:solidFill>
          </w14:textFill>
        </w:rPr>
        <w:t>码</w:t>
      </w:r>
      <w:r>
        <w:rPr>
          <w:color w:val="000000" w:themeColor="text1"/>
          <w14:textFill>
            <w14:solidFill>
              <w14:schemeClr w14:val="tx1"/>
            </w14:solidFill>
          </w14:textFill>
        </w:rPr>
        <w:t>为</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4B3D6A3D">
      <w:pPr>
        <w:pStyle w:val="10"/>
        <w:spacing w:line="303" w:lineRule="exact"/>
        <w:ind w:left="713"/>
        <w:rPr>
          <w:color w:val="000000" w:themeColor="text1"/>
          <w14:textFill>
            <w14:solidFill>
              <w14:schemeClr w14:val="tx1"/>
            </w14:solidFill>
          </w14:textFill>
        </w:rPr>
      </w:pPr>
      <w:r>
        <w:rPr>
          <w:color w:val="000000" w:themeColor="text1"/>
          <w14:textFill>
            <w14:solidFill>
              <w14:schemeClr w14:val="tx1"/>
            </w14:solidFill>
          </w14:textFill>
        </w:rPr>
        <w:t>特此证明。</w:t>
      </w:r>
    </w:p>
    <w:p w14:paraId="4B21B8E5">
      <w:pPr>
        <w:pStyle w:val="10"/>
        <w:rPr>
          <w:color w:val="000000" w:themeColor="text1"/>
          <w14:textFill>
            <w14:solidFill>
              <w14:schemeClr w14:val="tx1"/>
            </w14:solidFill>
          </w14:textFill>
        </w:rPr>
      </w:pPr>
    </w:p>
    <w:p w14:paraId="17213DE3">
      <w:pPr>
        <w:pStyle w:val="10"/>
        <w:rPr>
          <w:color w:val="000000" w:themeColor="text1"/>
          <w14:textFill>
            <w14:solidFill>
              <w14:schemeClr w14:val="tx1"/>
            </w14:solidFill>
          </w14:textFill>
        </w:rPr>
      </w:pPr>
    </w:p>
    <w:p w14:paraId="57440AD7">
      <w:pPr>
        <w:pStyle w:val="10"/>
        <w:rPr>
          <w:color w:val="000000" w:themeColor="text1"/>
          <w14:textFill>
            <w14:solidFill>
              <w14:schemeClr w14:val="tx1"/>
            </w14:solidFill>
          </w14:textFill>
        </w:rPr>
      </w:pPr>
    </w:p>
    <w:p w14:paraId="28845F46">
      <w:pPr>
        <w:pStyle w:val="10"/>
        <w:rPr>
          <w:color w:val="000000" w:themeColor="text1"/>
          <w14:textFill>
            <w14:solidFill>
              <w14:schemeClr w14:val="tx1"/>
            </w14:solidFill>
          </w14:textFill>
        </w:rPr>
      </w:pPr>
    </w:p>
    <w:p w14:paraId="2B36F83B">
      <w:pPr>
        <w:pStyle w:val="10"/>
        <w:rPr>
          <w:color w:val="000000" w:themeColor="text1"/>
          <w14:textFill>
            <w14:solidFill>
              <w14:schemeClr w14:val="tx1"/>
            </w14:solidFill>
          </w14:textFill>
        </w:rPr>
      </w:pPr>
    </w:p>
    <w:p w14:paraId="5345AE3C">
      <w:pPr>
        <w:pStyle w:val="10"/>
        <w:rPr>
          <w:color w:val="000000" w:themeColor="text1"/>
          <w14:textFill>
            <w14:solidFill>
              <w14:schemeClr w14:val="tx1"/>
            </w14:solidFill>
          </w14:textFill>
        </w:rPr>
      </w:pPr>
    </w:p>
    <w:p w14:paraId="4FF33009">
      <w:pPr>
        <w:pStyle w:val="10"/>
        <w:rPr>
          <w:color w:val="000000" w:themeColor="text1"/>
          <w14:textFill>
            <w14:solidFill>
              <w14:schemeClr w14:val="tx1"/>
            </w14:solidFill>
          </w14:textFill>
        </w:rPr>
      </w:pPr>
    </w:p>
    <w:p w14:paraId="496647B8">
      <w:pPr>
        <w:pStyle w:val="10"/>
        <w:spacing w:before="8"/>
        <w:rPr>
          <w:color w:val="000000" w:themeColor="text1"/>
          <w:sz w:val="26"/>
          <w14:textFill>
            <w14:solidFill>
              <w14:schemeClr w14:val="tx1"/>
            </w14:solidFill>
          </w14:textFill>
        </w:rPr>
      </w:pPr>
    </w:p>
    <w:p w14:paraId="147F8E4D">
      <w:pPr>
        <w:pStyle w:val="10"/>
        <w:tabs>
          <w:tab w:val="left" w:pos="3353"/>
        </w:tabs>
        <w:spacing w:before="1" w:line="436" w:lineRule="auto"/>
        <w:ind w:left="232" w:right="6190"/>
        <w:rPr>
          <w:color w:val="000000" w:themeColor="text1"/>
          <w:spacing w:val="-17"/>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（盖章</w:t>
      </w:r>
      <w:r>
        <w:rPr>
          <w:color w:val="000000" w:themeColor="text1"/>
          <w:spacing w:val="-17"/>
          <w14:textFill>
            <w14:solidFill>
              <w14:schemeClr w14:val="tx1"/>
            </w14:solidFill>
          </w14:textFill>
        </w:rPr>
        <w:t>）</w:t>
      </w:r>
    </w:p>
    <w:p w14:paraId="7BA7F54D">
      <w:pPr>
        <w:pStyle w:val="10"/>
        <w:tabs>
          <w:tab w:val="left" w:pos="3353"/>
        </w:tabs>
        <w:spacing w:before="1" w:line="436" w:lineRule="auto"/>
        <w:ind w:left="232" w:right="6190"/>
        <w:jc w:val="both"/>
        <w:rPr>
          <w:color w:val="000000" w:themeColor="text1"/>
          <w14:textFill>
            <w14:solidFill>
              <w14:schemeClr w14:val="tx1"/>
            </w14:solidFill>
          </w14:textFill>
        </w:rPr>
      </w:pP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法定代表人（签名或盖</w:t>
      </w:r>
      <w:r>
        <w:rPr>
          <w:rFonts w:hint="eastAsia"/>
          <w:color w:val="000000" w:themeColor="text1"/>
          <w14:textFill>
            <w14:solidFill>
              <w14:schemeClr w14:val="tx1"/>
            </w14:solidFill>
          </w14:textFill>
        </w:rPr>
        <w:t>章）</w:t>
      </w:r>
    </w:p>
    <w:p w14:paraId="539185B4">
      <w:pPr>
        <w:pStyle w:val="10"/>
        <w:tabs>
          <w:tab w:val="left" w:pos="1433"/>
          <w:tab w:val="left" w:pos="2033"/>
          <w:tab w:val="left" w:pos="2633"/>
        </w:tabs>
        <w:spacing w:line="307" w:lineRule="exact"/>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1EE1240C">
      <w:pPr>
        <w:pStyle w:val="10"/>
        <w:rPr>
          <w:color w:val="000000" w:themeColor="text1"/>
          <w14:textFill>
            <w14:solidFill>
              <w14:schemeClr w14:val="tx1"/>
            </w14:solidFill>
          </w14:textFill>
        </w:rPr>
      </w:pPr>
    </w:p>
    <w:p w14:paraId="61A71823">
      <w:pPr>
        <w:pStyle w:val="10"/>
        <w:rPr>
          <w:color w:val="000000" w:themeColor="text1"/>
          <w:sz w:val="31"/>
          <w14:textFill>
            <w14:solidFill>
              <w14:schemeClr w14:val="tx1"/>
            </w14:solidFill>
          </w14:textFill>
        </w:rPr>
      </w:pPr>
    </w:p>
    <w:p w14:paraId="537ADB4B">
      <w:pPr>
        <w:pStyle w:val="10"/>
        <w:spacing w:before="1"/>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12A85CA1">
      <w:pPr>
        <w:pStyle w:val="10"/>
        <w:rPr>
          <w:color w:val="000000" w:themeColor="text1"/>
          <w14:textFill>
            <w14:solidFill>
              <w14:schemeClr w14:val="tx1"/>
            </w14:solidFill>
          </w14:textFill>
        </w:rPr>
      </w:pPr>
    </w:p>
    <w:p w14:paraId="207E32CB">
      <w:pPr>
        <w:pStyle w:val="10"/>
        <w:spacing w:before="1"/>
        <w:rPr>
          <w:color w:val="000000" w:themeColor="text1"/>
          <w:sz w:val="30"/>
          <w14:textFill>
            <w14:solidFill>
              <w14:schemeClr w14:val="tx1"/>
            </w14:solidFill>
          </w14:textFill>
        </w:rPr>
      </w:pPr>
    </w:p>
    <w:p w14:paraId="1FAEA7B7">
      <w:pPr>
        <w:pStyle w:val="10"/>
        <w:ind w:left="772" w:right="443"/>
        <w:jc w:val="center"/>
        <w:rPr>
          <w:color w:val="000000" w:themeColor="text1"/>
          <w14:textFill>
            <w14:solidFill>
              <w14:schemeClr w14:val="tx1"/>
            </w14:solidFill>
          </w14:textFill>
        </w:rPr>
      </w:pPr>
      <w:r>
        <w:rPr>
          <w:color w:val="000000" w:themeColor="text1"/>
          <w14:textFill>
            <w14:solidFill>
              <w14:schemeClr w14:val="tx1"/>
            </w14:solidFill>
          </w14:textFill>
        </w:rPr>
        <w:t>有效身份证明复印件粘贴处</w:t>
      </w:r>
    </w:p>
    <w:p w14:paraId="1ACDA603">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4C308B0D">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法定代表人授权委托书</w:t>
      </w:r>
    </w:p>
    <w:p w14:paraId="0E62BF2B">
      <w:pPr>
        <w:pStyle w:val="10"/>
        <w:spacing w:before="10"/>
        <w:rPr>
          <w:b/>
          <w:color w:val="000000" w:themeColor="text1"/>
          <w:sz w:val="40"/>
          <w14:textFill>
            <w14:solidFill>
              <w14:schemeClr w14:val="tx1"/>
            </w14:solidFill>
          </w14:textFill>
        </w:rPr>
      </w:pPr>
    </w:p>
    <w:p w14:paraId="220FCF5C">
      <w:pPr>
        <w:pStyle w:val="10"/>
        <w:tabs>
          <w:tab w:val="left" w:pos="1776"/>
          <w:tab w:val="left" w:pos="4170"/>
          <w:tab w:val="left" w:pos="7020"/>
          <w:tab w:val="left" w:pos="8735"/>
        </w:tabs>
        <w:spacing w:line="468" w:lineRule="auto"/>
        <w:ind w:left="232" w:right="276" w:firstLine="480"/>
        <w:jc w:val="both"/>
        <w:rPr>
          <w:color w:val="000000" w:themeColor="text1"/>
          <w14:textFill>
            <w14:solidFill>
              <w14:schemeClr w14:val="tx1"/>
            </w14:solidFill>
          </w14:textFill>
        </w:rPr>
      </w:pPr>
      <w:r>
        <w:rPr>
          <w:color w:val="000000" w:themeColor="text1"/>
          <w14:textFill>
            <w14:solidFill>
              <w14:schemeClr w14:val="tx1"/>
            </w14:solidFill>
          </w14:textFill>
        </w:rPr>
        <w:t>本授权委托书声明</w:t>
      </w:r>
      <w:r>
        <w:rPr>
          <w:color w:val="000000" w:themeColor="text1"/>
          <w:spacing w:val="-15"/>
          <w14:textFill>
            <w14:solidFill>
              <w14:schemeClr w14:val="tx1"/>
            </w14:solidFill>
          </w14:textFill>
        </w:rPr>
        <w:t>，</w:t>
      </w:r>
      <w:r>
        <w:rPr>
          <w:color w:val="000000" w:themeColor="text1"/>
          <w14:textFill>
            <w14:solidFill>
              <w14:schemeClr w14:val="tx1"/>
            </w14:solidFill>
          </w14:textFill>
        </w:rPr>
        <w:t>我</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（姓名</w:t>
      </w:r>
      <w:r>
        <w:rPr>
          <w:color w:val="000000" w:themeColor="text1"/>
          <w:spacing w:val="-15"/>
          <w14:textFill>
            <w14:solidFill>
              <w14:schemeClr w14:val="tx1"/>
            </w14:solidFill>
          </w14:textFill>
        </w:rPr>
        <w:t>）</w:t>
      </w:r>
      <w:r>
        <w:rPr>
          <w:color w:val="000000" w:themeColor="text1"/>
          <w14:textFill>
            <w14:solidFill>
              <w14:schemeClr w14:val="tx1"/>
            </w14:solidFill>
          </w14:textFill>
        </w:rPr>
        <w:t>系</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（供应商名称</w:t>
      </w:r>
      <w:r>
        <w:rPr>
          <w:color w:val="000000" w:themeColor="text1"/>
          <w:spacing w:val="-15"/>
          <w14:textFill>
            <w14:solidFill>
              <w14:schemeClr w14:val="tx1"/>
            </w14:solidFill>
          </w14:textFill>
        </w:rPr>
        <w:t>）</w:t>
      </w:r>
      <w:r>
        <w:rPr>
          <w:color w:val="000000" w:themeColor="text1"/>
          <w14:textFill>
            <w14:solidFill>
              <w14:schemeClr w14:val="tx1"/>
            </w14:solidFill>
          </w14:textFill>
        </w:rPr>
        <w:t>的法定代表人</w:t>
      </w:r>
      <w:r>
        <w:rPr>
          <w:color w:val="000000" w:themeColor="text1"/>
          <w:spacing w:val="-15"/>
          <w14:textFill>
            <w14:solidFill>
              <w14:schemeClr w14:val="tx1"/>
            </w14:solidFill>
          </w14:textFill>
        </w:rPr>
        <w:t>，</w:t>
      </w:r>
      <w:r>
        <w:rPr>
          <w:color w:val="000000" w:themeColor="text1"/>
          <w14:textFill>
            <w14:solidFill>
              <w14:schemeClr w14:val="tx1"/>
            </w14:solidFill>
          </w14:textFill>
        </w:rPr>
        <w:t>现授</w:t>
      </w:r>
      <w:r>
        <w:rPr>
          <w:color w:val="000000" w:themeColor="text1"/>
          <w:spacing w:val="-16"/>
          <w14:textFill>
            <w14:solidFill>
              <w14:schemeClr w14:val="tx1"/>
            </w14:solidFill>
          </w14:textFill>
        </w:rPr>
        <w:t>权</w:t>
      </w:r>
      <w:r>
        <w:rPr>
          <w:color w:val="000000" w:themeColor="text1"/>
          <w:spacing w:val="9"/>
          <w14:textFill>
            <w14:solidFill>
              <w14:schemeClr w14:val="tx1"/>
            </w14:solidFill>
          </w14:textFill>
        </w:rPr>
        <w:t>委</w:t>
      </w:r>
      <w:r>
        <w:rPr>
          <w:color w:val="000000" w:themeColor="text1"/>
          <w:spacing w:val="10"/>
          <w14:textFill>
            <w14:solidFill>
              <w14:schemeClr w14:val="tx1"/>
            </w14:solidFill>
          </w14:textFill>
        </w:rPr>
        <w:t>托</w:t>
      </w:r>
      <w:r>
        <w:rPr>
          <w:rFonts w:ascii="Times New Roman" w:eastAsia="Times New Roman"/>
          <w:color w:val="000000" w:themeColor="text1"/>
          <w:spacing w:val="10"/>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姓名</w:t>
      </w:r>
      <w:r>
        <w:rPr>
          <w:color w:val="000000" w:themeColor="text1"/>
          <w:spacing w:val="9"/>
          <w14:textFill>
            <w14:solidFill>
              <w14:schemeClr w14:val="tx1"/>
            </w14:solidFill>
          </w14:textFill>
        </w:rPr>
        <w:t>）为我</w:t>
      </w:r>
      <w:r>
        <w:rPr>
          <w:color w:val="000000" w:themeColor="text1"/>
          <w:spacing w:val="11"/>
          <w14:textFill>
            <w14:solidFill>
              <w14:schemeClr w14:val="tx1"/>
            </w14:solidFill>
          </w14:textFill>
        </w:rPr>
        <w:t>单</w:t>
      </w:r>
      <w:r>
        <w:rPr>
          <w:color w:val="000000" w:themeColor="text1"/>
          <w:spacing w:val="9"/>
          <w14:textFill>
            <w14:solidFill>
              <w14:schemeClr w14:val="tx1"/>
            </w14:solidFill>
          </w14:textFill>
        </w:rPr>
        <w:t>位</w:t>
      </w:r>
      <w:r>
        <w:rPr>
          <w:color w:val="000000" w:themeColor="text1"/>
          <w:spacing w:val="11"/>
          <w14:textFill>
            <w14:solidFill>
              <w14:schemeClr w14:val="tx1"/>
            </w14:solidFill>
          </w14:textFill>
        </w:rPr>
        <w:t>代</w:t>
      </w:r>
      <w:r>
        <w:rPr>
          <w:color w:val="000000" w:themeColor="text1"/>
          <w:spacing w:val="9"/>
          <w14:textFill>
            <w14:solidFill>
              <w14:schemeClr w14:val="tx1"/>
            </w14:solidFill>
          </w14:textFill>
        </w:rPr>
        <w:t>理人</w:t>
      </w:r>
      <w:r>
        <w:rPr>
          <w:color w:val="000000" w:themeColor="text1"/>
          <w:spacing w:val="11"/>
          <w14:textFill>
            <w14:solidFill>
              <w14:schemeClr w14:val="tx1"/>
            </w14:solidFill>
          </w14:textFill>
        </w:rPr>
        <w:t>，</w:t>
      </w:r>
      <w:r>
        <w:rPr>
          <w:color w:val="000000" w:themeColor="text1"/>
          <w:spacing w:val="9"/>
          <w14:textFill>
            <w14:solidFill>
              <w14:schemeClr w14:val="tx1"/>
            </w14:solidFill>
          </w14:textFill>
        </w:rPr>
        <w:t>以本单</w:t>
      </w:r>
      <w:r>
        <w:rPr>
          <w:color w:val="000000" w:themeColor="text1"/>
          <w:spacing w:val="11"/>
          <w14:textFill>
            <w14:solidFill>
              <w14:schemeClr w14:val="tx1"/>
            </w14:solidFill>
          </w14:textFill>
        </w:rPr>
        <w:t>位</w:t>
      </w:r>
      <w:r>
        <w:rPr>
          <w:color w:val="000000" w:themeColor="text1"/>
          <w:spacing w:val="9"/>
          <w14:textFill>
            <w14:solidFill>
              <w14:schemeClr w14:val="tx1"/>
            </w14:solidFill>
          </w14:textFill>
        </w:rPr>
        <w:t>的</w:t>
      </w:r>
      <w:r>
        <w:rPr>
          <w:color w:val="000000" w:themeColor="text1"/>
          <w:spacing w:val="11"/>
          <w14:textFill>
            <w14:solidFill>
              <w14:schemeClr w14:val="tx1"/>
            </w14:solidFill>
          </w14:textFill>
        </w:rPr>
        <w:t>名</w:t>
      </w:r>
      <w:r>
        <w:rPr>
          <w:color w:val="000000" w:themeColor="text1"/>
          <w:spacing w:val="9"/>
          <w14:textFill>
            <w14:solidFill>
              <w14:schemeClr w14:val="tx1"/>
            </w14:solidFill>
          </w14:textFill>
        </w:rPr>
        <w:t>义参</w:t>
      </w:r>
      <w:r>
        <w:rPr>
          <w:color w:val="000000" w:themeColor="text1"/>
          <w:spacing w:val="17"/>
          <w14:textFill>
            <w14:solidFill>
              <w14:schemeClr w14:val="tx1"/>
            </w14:solidFill>
          </w14:textFill>
        </w:rPr>
        <w:t>加</w:t>
      </w:r>
      <w:r>
        <w:rPr>
          <w:rFonts w:ascii="Times New Roman" w:eastAsia="Times New Roman"/>
          <w:color w:val="000000" w:themeColor="text1"/>
          <w:spacing w:val="17"/>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采购</w:t>
      </w:r>
      <w:r>
        <w:rPr>
          <w:color w:val="000000" w:themeColor="text1"/>
          <w:spacing w:val="9"/>
          <w14:textFill>
            <w14:solidFill>
              <w14:schemeClr w14:val="tx1"/>
            </w14:solidFill>
          </w14:textFill>
        </w:rPr>
        <w:t>人）</w:t>
      </w:r>
      <w:r>
        <w:rPr>
          <w:color w:val="000000" w:themeColor="text1"/>
          <w:spacing w:val="-14"/>
          <w14:textFill>
            <w14:solidFill>
              <w14:schemeClr w14:val="tx1"/>
            </w14:solidFill>
          </w14:textFill>
        </w:rPr>
        <w:t>的</w:t>
      </w:r>
      <w:r>
        <w:rPr>
          <w:rFonts w:ascii="Times New Roman" w:eastAsia="Times New Roman"/>
          <w:color w:val="000000" w:themeColor="text1"/>
          <w:spacing w:val="10"/>
          <w:u w:val="single"/>
          <w14:textFill>
            <w14:solidFill>
              <w14:schemeClr w14:val="tx1"/>
            </w14:solidFill>
          </w14:textFill>
        </w:rPr>
        <w:tab/>
      </w:r>
      <w:r>
        <w:rPr>
          <w:rFonts w:hint="eastAsia"/>
          <w:color w:val="000000" w:themeColor="text1"/>
          <w:spacing w:val="10"/>
          <w14:textFill>
            <w14:solidFill>
              <w14:schemeClr w14:val="tx1"/>
            </w14:solidFill>
          </w14:textFill>
        </w:rPr>
        <w:t>（</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名称）</w:t>
      </w:r>
      <w:r>
        <w:rPr>
          <w:color w:val="000000" w:themeColor="text1"/>
          <w14:textFill>
            <w14:solidFill>
              <w14:schemeClr w14:val="tx1"/>
            </w14:solidFill>
          </w14:textFill>
        </w:rPr>
        <w:t>的投标活动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被授权代理人在投标</w:t>
      </w:r>
      <w:r>
        <w:rPr>
          <w:color w:val="000000" w:themeColor="text1"/>
          <w:spacing w:val="-22"/>
          <w14:textFill>
            <w14:solidFill>
              <w14:schemeClr w14:val="tx1"/>
            </w14:solidFill>
          </w14:textFill>
        </w:rPr>
        <w:t>、</w:t>
      </w:r>
      <w:r>
        <w:rPr>
          <w:color w:val="000000" w:themeColor="text1"/>
          <w14:textFill>
            <w14:solidFill>
              <w14:schemeClr w14:val="tx1"/>
            </w14:solidFill>
          </w14:textFill>
        </w:rPr>
        <w:t>开标</w:t>
      </w:r>
      <w:r>
        <w:rPr>
          <w:color w:val="000000" w:themeColor="text1"/>
          <w:spacing w:val="-22"/>
          <w14:textFill>
            <w14:solidFill>
              <w14:schemeClr w14:val="tx1"/>
            </w14:solidFill>
          </w14:textFill>
        </w:rPr>
        <w:t>、</w:t>
      </w:r>
      <w:r>
        <w:rPr>
          <w:color w:val="000000" w:themeColor="text1"/>
          <w14:textFill>
            <w14:solidFill>
              <w14:schemeClr w14:val="tx1"/>
            </w14:solidFill>
          </w14:textFill>
        </w:rPr>
        <w:t>评标</w:t>
      </w:r>
      <w:r>
        <w:rPr>
          <w:color w:val="000000" w:themeColor="text1"/>
          <w:spacing w:val="-22"/>
          <w14:textFill>
            <w14:solidFill>
              <w14:schemeClr w14:val="tx1"/>
            </w14:solidFill>
          </w14:textFill>
        </w:rPr>
        <w:t>、</w:t>
      </w:r>
      <w:r>
        <w:rPr>
          <w:color w:val="000000" w:themeColor="text1"/>
          <w14:textFill>
            <w14:solidFill>
              <w14:schemeClr w14:val="tx1"/>
            </w14:solidFill>
          </w14:textFill>
        </w:rPr>
        <w:t>合同谈判过程中所签署的一切文件和处</w:t>
      </w:r>
      <w:r>
        <w:rPr>
          <w:color w:val="000000" w:themeColor="text1"/>
          <w:spacing w:val="-14"/>
          <w14:textFill>
            <w14:solidFill>
              <w14:schemeClr w14:val="tx1"/>
            </w14:solidFill>
          </w14:textFill>
        </w:rPr>
        <w:t>理</w:t>
      </w:r>
      <w:r>
        <w:rPr>
          <w:color w:val="000000" w:themeColor="text1"/>
          <w14:textFill>
            <w14:solidFill>
              <w14:schemeClr w14:val="tx1"/>
            </w14:solidFill>
          </w14:textFill>
        </w:rPr>
        <w:t>与之有关的一切事务，我均予以承认。</w:t>
      </w:r>
    </w:p>
    <w:p w14:paraId="7212B8C0">
      <w:pPr>
        <w:pStyle w:val="10"/>
        <w:spacing w:before="1"/>
        <w:ind w:left="713"/>
        <w:rPr>
          <w:color w:val="000000" w:themeColor="text1"/>
          <w14:textFill>
            <w14:solidFill>
              <w14:schemeClr w14:val="tx1"/>
            </w14:solidFill>
          </w14:textFill>
        </w:rPr>
      </w:pPr>
      <w:r>
        <w:rPr>
          <w:color w:val="000000" w:themeColor="text1"/>
          <w14:textFill>
            <w14:solidFill>
              <w14:schemeClr w14:val="tx1"/>
            </w14:solidFill>
          </w14:textFill>
        </w:rPr>
        <w:t>被授权人无转委托权，特此委托。</w:t>
      </w:r>
    </w:p>
    <w:p w14:paraId="644FD5B2">
      <w:pPr>
        <w:pStyle w:val="10"/>
        <w:rPr>
          <w:color w:val="000000" w:themeColor="text1"/>
          <w14:textFill>
            <w14:solidFill>
              <w14:schemeClr w14:val="tx1"/>
            </w14:solidFill>
          </w14:textFill>
        </w:rPr>
      </w:pPr>
    </w:p>
    <w:p w14:paraId="1806E00C">
      <w:pPr>
        <w:pStyle w:val="10"/>
        <w:rPr>
          <w:color w:val="000000" w:themeColor="text1"/>
          <w14:textFill>
            <w14:solidFill>
              <w14:schemeClr w14:val="tx1"/>
            </w14:solidFill>
          </w14:textFill>
        </w:rPr>
      </w:pPr>
    </w:p>
    <w:p w14:paraId="7A626ECC">
      <w:pPr>
        <w:pStyle w:val="10"/>
        <w:spacing w:before="12"/>
        <w:rPr>
          <w:color w:val="000000" w:themeColor="text1"/>
          <w:sz w:val="33"/>
          <w14:textFill>
            <w14:solidFill>
              <w14:schemeClr w14:val="tx1"/>
            </w14:solidFill>
          </w14:textFill>
        </w:rPr>
      </w:pPr>
    </w:p>
    <w:p w14:paraId="1E6EA2D0">
      <w:pPr>
        <w:pStyle w:val="10"/>
        <w:tabs>
          <w:tab w:val="left" w:pos="2513"/>
          <w:tab w:val="left" w:pos="3833"/>
        </w:tabs>
        <w:ind w:left="232"/>
        <w:rPr>
          <w:color w:val="000000" w:themeColor="text1"/>
          <w14:textFill>
            <w14:solidFill>
              <w14:schemeClr w14:val="tx1"/>
            </w14:solidFill>
          </w14:textFill>
        </w:rPr>
      </w:pPr>
      <w:r>
        <w:rPr>
          <w:color w:val="000000" w:themeColor="text1"/>
          <w14:textFill>
            <w14:solidFill>
              <w14:schemeClr w14:val="tx1"/>
            </w14:solidFill>
          </w14:textFill>
        </w:rPr>
        <w:t>授权代理人：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w:t>
      </w:r>
      <w:r>
        <w:rPr>
          <w:color w:val="000000" w:themeColor="text1"/>
          <w:u w:val="single"/>
          <w14:textFill>
            <w14:solidFill>
              <w14:schemeClr w14:val="tx1"/>
            </w14:solidFill>
          </w14:textFill>
        </w:rPr>
        <w:tab/>
      </w:r>
    </w:p>
    <w:p w14:paraId="7518A10C">
      <w:pPr>
        <w:pStyle w:val="10"/>
        <w:rPr>
          <w:color w:val="000000" w:themeColor="text1"/>
          <w:sz w:val="17"/>
          <w14:textFill>
            <w14:solidFill>
              <w14:schemeClr w14:val="tx1"/>
            </w14:solidFill>
          </w14:textFill>
        </w:rPr>
      </w:pPr>
    </w:p>
    <w:p w14:paraId="69CC3964">
      <w:pPr>
        <w:pStyle w:val="10"/>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1D947B2F">
      <w:pPr>
        <w:pStyle w:val="10"/>
        <w:rPr>
          <w:rFonts w:ascii="Times New Roman"/>
          <w:color w:val="000000" w:themeColor="text1"/>
          <w:sz w:val="19"/>
          <w14:textFill>
            <w14:solidFill>
              <w14:schemeClr w14:val="tx1"/>
            </w14:solidFill>
          </w14:textFill>
        </w:rPr>
      </w:pPr>
    </w:p>
    <w:p w14:paraId="53D0B284">
      <w:pPr>
        <w:pStyle w:val="10"/>
        <w:tabs>
          <w:tab w:val="left" w:pos="340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6198B4CA">
      <w:pPr>
        <w:pStyle w:val="10"/>
        <w:rPr>
          <w:rFonts w:ascii="Times New Roman"/>
          <w:color w:val="000000" w:themeColor="text1"/>
          <w:sz w:val="19"/>
          <w14:textFill>
            <w14:solidFill>
              <w14:schemeClr w14:val="tx1"/>
            </w14:solidFill>
          </w14:textFill>
        </w:rPr>
      </w:pPr>
    </w:p>
    <w:p w14:paraId="00E9590A">
      <w:pPr>
        <w:pStyle w:val="10"/>
        <w:tabs>
          <w:tab w:val="left" w:pos="323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（盖章）</w:t>
      </w:r>
    </w:p>
    <w:p w14:paraId="31293BDB">
      <w:pPr>
        <w:pStyle w:val="10"/>
        <w:spacing w:before="1"/>
        <w:rPr>
          <w:color w:val="000000" w:themeColor="text1"/>
          <w:sz w:val="17"/>
          <w14:textFill>
            <w14:solidFill>
              <w14:schemeClr w14:val="tx1"/>
            </w14:solidFill>
          </w14:textFill>
        </w:rPr>
      </w:pPr>
    </w:p>
    <w:p w14:paraId="3F3D361E">
      <w:pPr>
        <w:pStyle w:val="10"/>
        <w:tabs>
          <w:tab w:val="left" w:pos="359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（签名或盖章）</w:t>
      </w:r>
    </w:p>
    <w:p w14:paraId="1134307D">
      <w:pPr>
        <w:pStyle w:val="10"/>
        <w:spacing w:before="9"/>
        <w:rPr>
          <w:color w:val="000000" w:themeColor="text1"/>
          <w:sz w:val="17"/>
          <w14:textFill>
            <w14:solidFill>
              <w14:schemeClr w14:val="tx1"/>
            </w14:solidFill>
          </w14:textFill>
        </w:rPr>
      </w:pPr>
    </w:p>
    <w:p w14:paraId="7B6A4F99">
      <w:pPr>
        <w:pStyle w:val="10"/>
        <w:tabs>
          <w:tab w:val="left" w:pos="1433"/>
          <w:tab w:val="left" w:pos="2033"/>
          <w:tab w:val="left" w:pos="2633"/>
        </w:tabs>
        <w:spacing w:before="66"/>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1AA61AD6">
      <w:pPr>
        <w:pStyle w:val="10"/>
        <w:rPr>
          <w:color w:val="000000" w:themeColor="text1"/>
          <w14:textFill>
            <w14:solidFill>
              <w14:schemeClr w14:val="tx1"/>
            </w14:solidFill>
          </w14:textFill>
        </w:rPr>
      </w:pPr>
    </w:p>
    <w:p w14:paraId="07607478">
      <w:pPr>
        <w:pStyle w:val="10"/>
        <w:rPr>
          <w:color w:val="000000" w:themeColor="text1"/>
          <w14:textFill>
            <w14:solidFill>
              <w14:schemeClr w14:val="tx1"/>
            </w14:solidFill>
          </w14:textFill>
        </w:rPr>
      </w:pPr>
    </w:p>
    <w:p w14:paraId="47C5F3F1">
      <w:pPr>
        <w:pStyle w:val="10"/>
        <w:spacing w:before="9"/>
        <w:rPr>
          <w:color w:val="000000" w:themeColor="text1"/>
          <w:sz w:val="21"/>
          <w14:textFill>
            <w14:solidFill>
              <w14:schemeClr w14:val="tx1"/>
            </w14:solidFill>
          </w14:textFill>
        </w:rPr>
      </w:pPr>
    </w:p>
    <w:p w14:paraId="363F5602">
      <w:pPr>
        <w:pStyle w:val="10"/>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374EF0BF">
      <w:pPr>
        <w:pStyle w:val="10"/>
        <w:spacing w:before="10"/>
        <w:rPr>
          <w:color w:val="000000" w:themeColor="text1"/>
          <w:sz w:val="22"/>
          <w14:textFill>
            <w14:solidFill>
              <w14:schemeClr w14:val="tx1"/>
            </w14:solidFill>
          </w14:textFill>
        </w:rPr>
      </w:pPr>
    </w:p>
    <w:p w14:paraId="7AE17379">
      <w:pPr>
        <w:pStyle w:val="10"/>
        <w:ind w:right="43"/>
        <w:jc w:val="center"/>
        <w:rPr>
          <w:color w:val="000000" w:themeColor="text1"/>
          <w14:textFill>
            <w14:solidFill>
              <w14:schemeClr w14:val="tx1"/>
            </w14:solidFill>
          </w14:textFill>
        </w:rPr>
      </w:pPr>
      <w:r>
        <w:rPr>
          <w:color w:val="000000" w:themeColor="text1"/>
          <w14:textFill>
            <w14:solidFill>
              <w14:schemeClr w14:val="tx1"/>
            </w14:solidFill>
          </w14:textFill>
        </w:rPr>
        <w:t>授权代理人有效身份证明复印件粘贴处</w:t>
      </w:r>
    </w:p>
    <w:p w14:paraId="513D2F77">
      <w:pPr>
        <w:pStyle w:val="10"/>
        <w:spacing w:before="11"/>
        <w:rPr>
          <w:color w:val="000000" w:themeColor="text1"/>
          <w:sz w:val="22"/>
          <w14:textFill>
            <w14:solidFill>
              <w14:schemeClr w14:val="tx1"/>
            </w14:solidFill>
          </w14:textFill>
        </w:rPr>
      </w:pPr>
    </w:p>
    <w:p w14:paraId="33B7BBA1">
      <w:pPr>
        <w:ind w:right="46"/>
        <w:jc w:val="center"/>
        <w:rPr>
          <w:b/>
          <w:color w:val="000000" w:themeColor="text1"/>
          <w14:textFill>
            <w14:solidFill>
              <w14:schemeClr w14:val="tx1"/>
            </w14:solidFill>
          </w14:textFill>
        </w:rPr>
      </w:pPr>
      <w:r>
        <w:rPr>
          <w:b/>
          <w:color w:val="000000" w:themeColor="text1"/>
          <w14:textFill>
            <w14:solidFill>
              <w14:schemeClr w14:val="tx1"/>
            </w14:solidFill>
          </w14:textFill>
        </w:rPr>
        <w:t>（后附授权代理人最近三个月中任意 1 个月个人社保缴纳证明文件）</w:t>
      </w:r>
    </w:p>
    <w:p w14:paraId="2555A6E1">
      <w:pPr>
        <w:widowControl/>
        <w:spacing w:line="240" w:lineRule="auto"/>
        <w:jc w:val="left"/>
        <w:rPr>
          <w:b/>
          <w:color w:val="000000" w:themeColor="text1"/>
          <w14:textFill>
            <w14:solidFill>
              <w14:schemeClr w14:val="tx1"/>
            </w14:solidFill>
          </w14:textFill>
        </w:rPr>
      </w:pPr>
      <w:r>
        <w:rPr>
          <w:b/>
          <w:color w:val="000000" w:themeColor="text1"/>
          <w14:textFill>
            <w14:solidFill>
              <w14:schemeClr w14:val="tx1"/>
            </w14:solidFill>
          </w14:textFill>
        </w:rPr>
        <w:br w:type="page"/>
      </w:r>
    </w:p>
    <w:p w14:paraId="55016EE5">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中小企业声明函（工程、服务）</w:t>
      </w:r>
    </w:p>
    <w:p w14:paraId="3F9AC315">
      <w:pPr>
        <w:jc w:val="center"/>
        <w:rPr>
          <w:b/>
          <w:bCs/>
          <w:color w:val="000000" w:themeColor="text1"/>
          <w:sz w:val="28"/>
          <w:szCs w:val="28"/>
          <w14:textFill>
            <w14:solidFill>
              <w14:schemeClr w14:val="tx1"/>
            </w14:solidFill>
          </w14:textFill>
        </w:rPr>
      </w:pPr>
    </w:p>
    <w:p w14:paraId="56BD7BE6">
      <w:pPr>
        <w:spacing w:line="600" w:lineRule="exact"/>
        <w:ind w:firstLine="480" w:firstLineChars="200"/>
        <w:rPr>
          <w:rFonts w:ascii="宋体" w:hAnsi="宋体"/>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本公司（联合体）郑重声明，根据《政府采购促进中小企业发展管理办法》</w:t>
      </w:r>
      <w:r>
        <w:rPr>
          <w:rFonts w:hint="eastAsia" w:ascii="宋体" w:hAnsi="宋体"/>
          <w:color w:val="000000" w:themeColor="text1"/>
          <w:szCs w:val="24"/>
          <w14:textFill>
            <w14:solidFill>
              <w14:schemeClr w14:val="tx1"/>
            </w14:solidFill>
          </w14:textFill>
        </w:rPr>
        <w:t>（财库</w:t>
      </w:r>
      <w:r>
        <w:rPr>
          <w:rFonts w:hint="eastAsia" w:ascii="宋体" w:hAnsi="宋体"/>
          <w:bCs/>
          <w:color w:val="000000" w:themeColor="text1"/>
          <w:szCs w:val="24"/>
          <w14:textFill>
            <w14:solidFill>
              <w14:schemeClr w14:val="tx1"/>
            </w14:solidFill>
          </w14:textFill>
        </w:rPr>
        <w:t>﹝2020﹞</w:t>
      </w:r>
      <w:r>
        <w:rPr>
          <w:rFonts w:hint="eastAsia" w:ascii="宋体" w:hAnsi="宋体"/>
          <w:color w:val="000000" w:themeColor="text1"/>
          <w:szCs w:val="24"/>
          <w14:textFill>
            <w14:solidFill>
              <w14:schemeClr w14:val="tx1"/>
            </w14:solidFill>
          </w14:textFill>
        </w:rPr>
        <w:t>4</w:t>
      </w:r>
      <w:r>
        <w:rPr>
          <w:rFonts w:ascii="宋体" w:hAnsi="宋体"/>
          <w:color w:val="000000" w:themeColor="text1"/>
          <w:szCs w:val="24"/>
          <w14:textFill>
            <w14:solidFill>
              <w14:schemeClr w14:val="tx1"/>
            </w14:solidFill>
          </w14:textFill>
        </w:rPr>
        <w:t>6</w:t>
      </w:r>
      <w:r>
        <w:rPr>
          <w:rFonts w:hint="eastAsia" w:ascii="宋体" w:hAnsi="宋体"/>
          <w:color w:val="000000" w:themeColor="text1"/>
          <w:szCs w:val="24"/>
          <w14:textFill>
            <w14:solidFill>
              <w14:schemeClr w14:val="tx1"/>
            </w14:solidFill>
          </w14:textFill>
        </w:rPr>
        <w:t>号）的规定，本公司（联合体）参加</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（单位名称）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的</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（项目名称）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采购活动，服务全部由符合政策要求的中小企业承接。相关企业（含联合体中的中小企业、签订分包意向协议的中小企业）的具体情况如下：</w:t>
      </w:r>
    </w:p>
    <w:p w14:paraId="249AB2D2">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w:t>
      </w:r>
      <w:r>
        <w:rPr>
          <w:rFonts w:hint="eastAsia" w:ascii="宋体" w:hAnsi="宋体"/>
          <w:bCs/>
          <w:color w:val="000000" w:themeColor="text1"/>
          <w:szCs w:val="24"/>
          <w:vertAlign w:val="superscript"/>
          <w14:textFill>
            <w14:solidFill>
              <w14:schemeClr w14:val="tx1"/>
            </w14:solidFill>
          </w14:textFill>
        </w:rPr>
        <w:t>1</w:t>
      </w:r>
      <w:r>
        <w:rPr>
          <w:rFonts w:hint="eastAsia" w:ascii="宋体" w:hAnsi="宋体"/>
          <w:bCs/>
          <w:color w:val="000000" w:themeColor="text1"/>
          <w:szCs w:val="24"/>
          <w14:textFill>
            <w14:solidFill>
              <w14:schemeClr w14:val="tx1"/>
            </w14:solidFill>
          </w14:textFill>
        </w:rPr>
        <w:t>，属于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63B02341">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2</w:t>
      </w:r>
      <w:r>
        <w:rPr>
          <w:rFonts w:ascii="宋体" w:hAnsi="宋体"/>
          <w:bCs/>
          <w:color w:val="000000" w:themeColor="text1"/>
          <w:szCs w:val="24"/>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01209F3F">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14:paraId="39EC4321">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以上企业，不属于大企业的分支机构，不存在控股股东为大企业的情形，也不存在与大企业的负责人为同一人的情形。</w:t>
      </w:r>
    </w:p>
    <w:p w14:paraId="2160CB6A">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本企业对上述声明的真实性负责。如有虚假，将依法承担相应责任。</w:t>
      </w:r>
    </w:p>
    <w:p w14:paraId="6BA27F5F">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企业名称（盖章）：</w:t>
      </w:r>
    </w:p>
    <w:p w14:paraId="3CDDF6D8">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日期：</w:t>
      </w:r>
    </w:p>
    <w:p w14:paraId="66394808">
      <w:pPr>
        <w:spacing w:line="600" w:lineRule="exact"/>
        <w:ind w:firstLine="5520" w:firstLineChars="2300"/>
        <w:rPr>
          <w:rFonts w:ascii="宋体" w:hAnsi="宋体"/>
          <w:color w:val="000000" w:themeColor="text1"/>
          <w:szCs w:val="24"/>
          <w14:textFill>
            <w14:solidFill>
              <w14:schemeClr w14:val="tx1"/>
            </w14:solidFill>
          </w14:textFill>
        </w:rPr>
      </w:pPr>
    </w:p>
    <w:p w14:paraId="039B8121">
      <w:pPr>
        <w:widowControl/>
        <w:tabs>
          <w:tab w:val="left" w:pos="312"/>
        </w:tabs>
        <w:spacing w:before="100" w:beforeAutospacing="1" w:after="100" w:afterAutospacing="1" w:line="440" w:lineRule="atLeast"/>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注1.从业人员、营业收入、资产总额填报上一年度数据，无上一年度数据的新成立企业可不填报。</w:t>
      </w:r>
    </w:p>
    <w:p w14:paraId="292BFA00">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53C1EF48">
      <w:pPr>
        <w:spacing w:before="62"/>
        <w:ind w:right="92"/>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信用承诺书</w:t>
      </w:r>
    </w:p>
    <w:p w14:paraId="61CD5E36">
      <w:pPr>
        <w:pStyle w:val="10"/>
        <w:rPr>
          <w:b/>
          <w:color w:val="000000" w:themeColor="text1"/>
          <w:sz w:val="20"/>
          <w14:textFill>
            <w14:solidFill>
              <w14:schemeClr w14:val="tx1"/>
            </w14:solidFill>
          </w14:textFill>
        </w:rPr>
      </w:pPr>
    </w:p>
    <w:p w14:paraId="52364AD5">
      <w:pPr>
        <w:pStyle w:val="10"/>
        <w:spacing w:before="2"/>
        <w:rPr>
          <w:b/>
          <w:color w:val="000000" w:themeColor="text1"/>
          <w:sz w:val="29"/>
          <w14:textFill>
            <w14:solidFill>
              <w14:schemeClr w14:val="tx1"/>
            </w14:solidFill>
          </w14:textFill>
        </w:rPr>
      </w:pPr>
    </w:p>
    <w:p w14:paraId="5BDA655B">
      <w:pPr>
        <w:pStyle w:val="10"/>
        <w:tabs>
          <w:tab w:val="left" w:pos="2753"/>
          <w:tab w:val="left" w:pos="6430"/>
        </w:tabs>
        <w:spacing w:before="74" w:line="499" w:lineRule="auto"/>
        <w:ind w:left="232" w:right="276"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w:t>
      </w:r>
      <w:r>
        <w:rPr>
          <w:color w:val="000000" w:themeColor="text1"/>
          <w:spacing w:val="-22"/>
          <w14:textFill>
            <w14:solidFill>
              <w14:schemeClr w14:val="tx1"/>
            </w14:solidFill>
          </w14:textFill>
        </w:rPr>
        <w:t>）</w:t>
      </w:r>
      <w:r>
        <w:rPr>
          <w:color w:val="000000" w:themeColor="text1"/>
          <w14:textFill>
            <w14:solidFill>
              <w14:schemeClr w14:val="tx1"/>
            </w14:solidFill>
          </w14:textFill>
        </w:rPr>
        <w:t>现参加</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（采购项目</w:t>
      </w:r>
      <w:r>
        <w:rPr>
          <w:color w:val="000000" w:themeColor="text1"/>
          <w:spacing w:val="-22"/>
          <w14:textFill>
            <w14:solidFill>
              <w14:schemeClr w14:val="tx1"/>
            </w14:solidFill>
          </w14:textFill>
        </w:rPr>
        <w:t>）</w:t>
      </w:r>
      <w:r>
        <w:rPr>
          <w:color w:val="000000" w:themeColor="text1"/>
          <w14:textFill>
            <w14:solidFill>
              <w14:schemeClr w14:val="tx1"/>
            </w14:solidFill>
          </w14:textFill>
        </w:rPr>
        <w:t>政府采购活动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郑重</w:t>
      </w:r>
      <w:r>
        <w:rPr>
          <w:color w:val="000000" w:themeColor="text1"/>
          <w:spacing w:val="-16"/>
          <w14:textFill>
            <w14:solidFill>
              <w14:schemeClr w14:val="tx1"/>
            </w14:solidFill>
          </w14:textFill>
        </w:rPr>
        <w:t>承</w:t>
      </w:r>
      <w:r>
        <w:rPr>
          <w:color w:val="000000" w:themeColor="text1"/>
          <w14:textFill>
            <w14:solidFill>
              <w14:schemeClr w14:val="tx1"/>
            </w14:solidFill>
          </w14:textFill>
        </w:rPr>
        <w:t>诺如下：</w:t>
      </w:r>
    </w:p>
    <w:p w14:paraId="57527022">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1、对所提供的资料合法性、真实性、准确性和有效性负责；</w:t>
      </w:r>
    </w:p>
    <w:p w14:paraId="0C399E9B">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spacing w:val="-17"/>
          <w14:textFill>
            <w14:solidFill>
              <w14:schemeClr w14:val="tx1"/>
            </w14:solidFill>
          </w14:textFill>
        </w:rPr>
        <w:t>、严格按照国家法律、法规和规章，依法开展相关经济活动，全面履行应尽的责任和义务；</w:t>
      </w:r>
    </w:p>
    <w:p w14:paraId="3960CD30">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spacing w:val="-12"/>
          <w14:textFill>
            <w14:solidFill>
              <w14:schemeClr w14:val="tx1"/>
            </w14:solidFill>
          </w14:textFill>
        </w:rPr>
        <w:t>、加强自我约束、自我规范、自我管理，不制假售假、不虚假宣传、不违约毁约、不恶意</w:t>
      </w:r>
      <w:r>
        <w:rPr>
          <w:color w:val="000000" w:themeColor="text1"/>
          <w14:textFill>
            <w14:solidFill>
              <w14:schemeClr w14:val="tx1"/>
            </w14:solidFill>
          </w14:textFill>
        </w:rPr>
        <w:t>逃债、不偷税漏税，诚信依法经营；</w:t>
      </w:r>
    </w:p>
    <w:p w14:paraId="3AE59258">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spacing w:val="-11"/>
          <w14:textFill>
            <w14:solidFill>
              <w14:schemeClr w14:val="tx1"/>
            </w14:solidFill>
          </w14:textFill>
        </w:rPr>
        <w:t>、自愿接受行政主管部门的依法检查、违背承诺约定将自愿承担违约责任，并接受法律法</w:t>
      </w:r>
      <w:r>
        <w:rPr>
          <w:color w:val="000000" w:themeColor="text1"/>
          <w14:textFill>
            <w14:solidFill>
              <w14:schemeClr w14:val="tx1"/>
            </w14:solidFill>
          </w14:textFill>
        </w:rPr>
        <w:t>规和相关部门规章制度的惩戒和约束；</w:t>
      </w:r>
    </w:p>
    <w:p w14:paraId="4C59703F">
      <w:pPr>
        <w:pStyle w:val="10"/>
        <w:spacing w:line="60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spacing w:val="-8"/>
          <w14:textFill>
            <w14:solidFill>
              <w14:schemeClr w14:val="tx1"/>
            </w14:solidFill>
          </w14:textFill>
        </w:rPr>
        <w:t>、按照信用信息管理有关要求，本单位</w:t>
      </w:r>
      <w:r>
        <w:rPr>
          <w:color w:val="000000" w:themeColor="text1"/>
          <w14:textFill>
            <w14:solidFill>
              <w14:schemeClr w14:val="tx1"/>
            </w14:solidFill>
          </w14:textFill>
        </w:rPr>
        <w:t>（个人</w:t>
      </w:r>
      <w:r>
        <w:rPr>
          <w:color w:val="000000" w:themeColor="text1"/>
          <w:spacing w:val="-24"/>
          <w14:textFill>
            <w14:solidFill>
              <w14:schemeClr w14:val="tx1"/>
            </w14:solidFill>
          </w14:textFill>
        </w:rPr>
        <w:t>）</w:t>
      </w:r>
      <w:r>
        <w:rPr>
          <w:color w:val="000000" w:themeColor="text1"/>
          <w:spacing w:val="-3"/>
          <w14:textFill>
            <w14:solidFill>
              <w14:schemeClr w14:val="tx1"/>
            </w14:solidFill>
          </w14:textFill>
        </w:rPr>
        <w:t>同意将以上承诺在信用湖州网站公示，若</w:t>
      </w:r>
      <w:r>
        <w:rPr>
          <w:color w:val="000000" w:themeColor="text1"/>
          <w:spacing w:val="-4"/>
          <w14:textFill>
            <w14:solidFill>
              <w14:schemeClr w14:val="tx1"/>
            </w14:solidFill>
          </w14:textFill>
        </w:rPr>
        <w:t>违背以上承诺，依据相关规定记入企业</w:t>
      </w:r>
      <w:r>
        <w:rPr>
          <w:color w:val="000000" w:themeColor="text1"/>
          <w14:textFill>
            <w14:solidFill>
              <w14:schemeClr w14:val="tx1"/>
            </w14:solidFill>
          </w14:textFill>
        </w:rPr>
        <w:t>（个人</w:t>
      </w:r>
      <w:r>
        <w:rPr>
          <w:color w:val="000000" w:themeColor="text1"/>
          <w:spacing w:val="-17"/>
          <w14:textFill>
            <w14:solidFill>
              <w14:schemeClr w14:val="tx1"/>
            </w14:solidFill>
          </w14:textFill>
        </w:rPr>
        <w:t>）</w:t>
      </w:r>
      <w:r>
        <w:rPr>
          <w:color w:val="000000" w:themeColor="text1"/>
          <w:spacing w:val="-7"/>
          <w14:textFill>
            <w14:solidFill>
              <w14:schemeClr w14:val="tx1"/>
            </w14:solidFill>
          </w14:textFill>
        </w:rPr>
        <w:t>信用档案；性质严重的，承担相应法律后果和责</w:t>
      </w:r>
      <w:r>
        <w:rPr>
          <w:color w:val="000000" w:themeColor="text1"/>
          <w14:textFill>
            <w14:solidFill>
              <w14:schemeClr w14:val="tx1"/>
            </w14:solidFill>
          </w14:textFill>
        </w:rPr>
        <w:t>任，并依法依规列入严重失信名单。</w:t>
      </w:r>
    </w:p>
    <w:p w14:paraId="1162C7C4">
      <w:pPr>
        <w:pStyle w:val="10"/>
        <w:rPr>
          <w:color w:val="000000" w:themeColor="text1"/>
          <w14:textFill>
            <w14:solidFill>
              <w14:schemeClr w14:val="tx1"/>
            </w14:solidFill>
          </w14:textFill>
        </w:rPr>
      </w:pPr>
    </w:p>
    <w:p w14:paraId="2B81A85A">
      <w:pPr>
        <w:pStyle w:val="10"/>
        <w:spacing w:before="12"/>
        <w:rPr>
          <w:color w:val="000000" w:themeColor="text1"/>
          <w:sz w:val="25"/>
          <w14:textFill>
            <w14:solidFill>
              <w14:schemeClr w14:val="tx1"/>
            </w14:solidFill>
          </w14:textFill>
        </w:rPr>
      </w:pPr>
    </w:p>
    <w:p w14:paraId="14DF7623">
      <w:pPr>
        <w:pStyle w:val="10"/>
        <w:tabs>
          <w:tab w:val="left" w:pos="4778"/>
        </w:tabs>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统一社会信用代码：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4C7588E0">
      <w:pPr>
        <w:pStyle w:val="10"/>
        <w:spacing w:before="7"/>
        <w:rPr>
          <w:rFonts w:ascii="Times New Roman"/>
          <w:color w:val="000000" w:themeColor="text1"/>
          <w:sz w:val="22"/>
          <w14:textFill>
            <w14:solidFill>
              <w14:schemeClr w14:val="tx1"/>
            </w14:solidFill>
          </w14:textFill>
        </w:rPr>
      </w:pPr>
    </w:p>
    <w:p w14:paraId="25040C08">
      <w:pPr>
        <w:pStyle w:val="10"/>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承诺单位：（盖章）</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39DD2F73">
      <w:pPr>
        <w:pStyle w:val="10"/>
        <w:spacing w:before="2"/>
        <w:rPr>
          <w:rFonts w:ascii="Times New Roman"/>
          <w:color w:val="000000" w:themeColor="text1"/>
          <w:sz w:val="23"/>
          <w14:textFill>
            <w14:solidFill>
              <w14:schemeClr w14:val="tx1"/>
            </w14:solidFill>
          </w14:textFill>
        </w:rPr>
      </w:pPr>
    </w:p>
    <w:p w14:paraId="6E2C9C2A">
      <w:pPr>
        <w:ind w:right="46"/>
        <w:rPr>
          <w:b/>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3A3D4371">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2BF9F74">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供应商自评分索引表</w:t>
      </w:r>
    </w:p>
    <w:p w14:paraId="02D24C2C">
      <w:pPr>
        <w:pStyle w:val="9"/>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投标供应商全称（公章）：              </w:t>
      </w:r>
    </w:p>
    <w:tbl>
      <w:tblPr>
        <w:tblStyle w:val="2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24"/>
        <w:gridCol w:w="3158"/>
        <w:gridCol w:w="1350"/>
        <w:gridCol w:w="1350"/>
      </w:tblGrid>
      <w:tr w14:paraId="549C4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6FF58366">
            <w:pPr>
              <w:snapToGrid w:val="0"/>
              <w:spacing w:before="163" w:beforeLines="5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2AD6E241">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1AE2C180">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67EAB9A4">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投标文件页码</w:t>
            </w:r>
          </w:p>
        </w:tc>
      </w:tr>
      <w:tr w14:paraId="24B4D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F1C4299">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对应评分办法及评分标准</w:t>
            </w:r>
          </w:p>
          <w:p w14:paraId="725F38E1">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（报价除外）</w:t>
            </w:r>
          </w:p>
        </w:tc>
        <w:tc>
          <w:tcPr>
            <w:tcW w:w="1700" w:type="pct"/>
            <w:tcBorders>
              <w:top w:val="single" w:color="auto" w:sz="4" w:space="0"/>
              <w:left w:val="single" w:color="auto" w:sz="4" w:space="0"/>
              <w:bottom w:val="single" w:color="auto" w:sz="4" w:space="0"/>
              <w:right w:val="single" w:color="auto" w:sz="4" w:space="0"/>
            </w:tcBorders>
          </w:tcPr>
          <w:p w14:paraId="14DB7F40">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F25797F">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365C766">
            <w:pPr>
              <w:snapToGrid w:val="0"/>
              <w:spacing w:before="163" w:beforeLines="50"/>
              <w:rPr>
                <w:rFonts w:ascii="宋体" w:hAnsi="宋体" w:cs="宋体"/>
                <w:color w:val="000000" w:themeColor="text1"/>
                <w14:textFill>
                  <w14:solidFill>
                    <w14:schemeClr w14:val="tx1"/>
                  </w14:solidFill>
                </w14:textFill>
              </w:rPr>
            </w:pPr>
          </w:p>
        </w:tc>
      </w:tr>
      <w:tr w14:paraId="2D2F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52E5076">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700" w:type="pct"/>
            <w:tcBorders>
              <w:top w:val="single" w:color="auto" w:sz="4" w:space="0"/>
              <w:left w:val="single" w:color="auto" w:sz="4" w:space="0"/>
              <w:bottom w:val="single" w:color="auto" w:sz="4" w:space="0"/>
              <w:right w:val="single" w:color="auto" w:sz="4" w:space="0"/>
            </w:tcBorders>
          </w:tcPr>
          <w:p w14:paraId="508D15FB">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C553688">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5E3D0FB">
            <w:pPr>
              <w:snapToGrid w:val="0"/>
              <w:spacing w:before="163" w:beforeLines="50"/>
              <w:ind w:left="43"/>
              <w:rPr>
                <w:rFonts w:ascii="宋体" w:hAnsi="宋体" w:cs="宋体"/>
                <w:color w:val="000000" w:themeColor="text1"/>
                <w14:textFill>
                  <w14:solidFill>
                    <w14:schemeClr w14:val="tx1"/>
                  </w14:solidFill>
                </w14:textFill>
              </w:rPr>
            </w:pPr>
          </w:p>
        </w:tc>
      </w:tr>
      <w:tr w14:paraId="4F67E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91101C4">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6571E77C">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0040FF4F">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A79C0B4">
            <w:pPr>
              <w:snapToGrid w:val="0"/>
              <w:spacing w:before="163" w:beforeLines="50"/>
              <w:ind w:left="43"/>
              <w:rPr>
                <w:rFonts w:ascii="宋体" w:hAnsi="宋体" w:cs="宋体"/>
                <w:color w:val="000000" w:themeColor="text1"/>
                <w14:textFill>
                  <w14:solidFill>
                    <w14:schemeClr w14:val="tx1"/>
                  </w14:solidFill>
                </w14:textFill>
              </w:rPr>
            </w:pPr>
          </w:p>
        </w:tc>
      </w:tr>
      <w:tr w14:paraId="3FA8F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6007CD6">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01D69D9E">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456EFF9">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CB83BF3">
            <w:pPr>
              <w:snapToGrid w:val="0"/>
              <w:spacing w:before="163" w:beforeLines="50"/>
              <w:ind w:left="43"/>
              <w:rPr>
                <w:rFonts w:ascii="宋体" w:hAnsi="宋体" w:cs="宋体"/>
                <w:color w:val="000000" w:themeColor="text1"/>
                <w14:textFill>
                  <w14:solidFill>
                    <w14:schemeClr w14:val="tx1"/>
                  </w14:solidFill>
                </w14:textFill>
              </w:rPr>
            </w:pPr>
          </w:p>
        </w:tc>
      </w:tr>
      <w:tr w14:paraId="7B933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58D85DD">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3868DB2D">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7796B63">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A8A2EB9">
            <w:pPr>
              <w:snapToGrid w:val="0"/>
              <w:spacing w:before="163" w:beforeLines="50"/>
              <w:rPr>
                <w:rFonts w:ascii="宋体" w:hAnsi="宋体" w:cs="宋体"/>
                <w:color w:val="000000" w:themeColor="text1"/>
                <w14:textFill>
                  <w14:solidFill>
                    <w14:schemeClr w14:val="tx1"/>
                  </w14:solidFill>
                </w14:textFill>
              </w:rPr>
            </w:pPr>
          </w:p>
        </w:tc>
      </w:tr>
      <w:tr w14:paraId="0EB8A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5F3349F">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5195964E">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4DE66B0D">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03CAF45">
            <w:pPr>
              <w:snapToGrid w:val="0"/>
              <w:spacing w:before="163" w:beforeLines="50"/>
              <w:rPr>
                <w:rFonts w:ascii="宋体" w:hAnsi="宋体" w:cs="宋体"/>
                <w:color w:val="000000" w:themeColor="text1"/>
                <w14:textFill>
                  <w14:solidFill>
                    <w14:schemeClr w14:val="tx1"/>
                  </w14:solidFill>
                </w14:textFill>
              </w:rPr>
            </w:pPr>
          </w:p>
        </w:tc>
      </w:tr>
      <w:tr w14:paraId="4A3E9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E238382">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03036F0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E3DED9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AC6DF3D">
            <w:pPr>
              <w:snapToGrid w:val="0"/>
              <w:spacing w:before="163" w:beforeLines="50"/>
              <w:rPr>
                <w:rFonts w:ascii="宋体" w:hAnsi="宋体" w:cs="宋体"/>
                <w:color w:val="000000" w:themeColor="text1"/>
                <w14:textFill>
                  <w14:solidFill>
                    <w14:schemeClr w14:val="tx1"/>
                  </w14:solidFill>
                </w14:textFill>
              </w:rPr>
            </w:pPr>
          </w:p>
        </w:tc>
      </w:tr>
      <w:tr w14:paraId="481A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9583BE5">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3848AB9B">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D6C4DA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7DAD7E7">
            <w:pPr>
              <w:snapToGrid w:val="0"/>
              <w:spacing w:before="163" w:beforeLines="50"/>
              <w:rPr>
                <w:rFonts w:ascii="宋体" w:hAnsi="宋体" w:cs="宋体"/>
                <w:color w:val="000000" w:themeColor="text1"/>
                <w14:textFill>
                  <w14:solidFill>
                    <w14:schemeClr w14:val="tx1"/>
                  </w14:solidFill>
                </w14:textFill>
              </w:rPr>
            </w:pPr>
          </w:p>
        </w:tc>
      </w:tr>
      <w:tr w14:paraId="2D3DA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94AB57D">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3A3A838C">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B4FF07B">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4D50179B">
            <w:pPr>
              <w:snapToGrid w:val="0"/>
              <w:spacing w:before="163" w:beforeLines="50"/>
              <w:rPr>
                <w:rFonts w:ascii="宋体" w:hAnsi="宋体" w:cs="宋体"/>
                <w:color w:val="000000" w:themeColor="text1"/>
                <w14:textFill>
                  <w14:solidFill>
                    <w14:schemeClr w14:val="tx1"/>
                  </w14:solidFill>
                </w14:textFill>
              </w:rPr>
            </w:pPr>
          </w:p>
        </w:tc>
      </w:tr>
    </w:tbl>
    <w:p w14:paraId="090949B3">
      <w:pPr>
        <w:snapToGrid w:val="0"/>
        <w:spacing w:before="163" w:beforeLine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28E8A324">
      <w:pPr>
        <w:spacing w:line="360" w:lineRule="auto"/>
        <w:ind w:firstLine="482" w:firstLineChars="200"/>
        <w:jc w:val="center"/>
        <w:rPr>
          <w:rFonts w:ascii="宋体" w:hAnsi="宋体" w:cs="宋体"/>
          <w:b/>
          <w:color w:val="000000" w:themeColor="text1"/>
          <w14:textFill>
            <w14:solidFill>
              <w14:schemeClr w14:val="tx1"/>
            </w14:solidFill>
          </w14:textFill>
        </w:rPr>
      </w:pPr>
    </w:p>
    <w:p w14:paraId="340F4097">
      <w:pPr>
        <w:pStyle w:val="11"/>
        <w:ind w:firstLine="0" w:firstLineChars="0"/>
        <w:rPr>
          <w:rFonts w:ascii="宋体" w:hAnsi="宋体" w:cs="宋体"/>
          <w:color w:val="000000" w:themeColor="text1"/>
          <w14:textFill>
            <w14:solidFill>
              <w14:schemeClr w14:val="tx1"/>
            </w14:solidFill>
          </w14:textFill>
        </w:rPr>
      </w:pPr>
    </w:p>
    <w:p w14:paraId="13C86FD9">
      <w:pPr>
        <w:pStyle w:val="8"/>
        <w:spacing w:line="360" w:lineRule="auto"/>
        <w:ind w:firstLine="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20"/>
          <w:sz w:val="24"/>
          <w14:textFill>
            <w14:solidFill>
              <w14:schemeClr w14:val="tx1"/>
            </w14:solidFill>
          </w14:textFill>
        </w:rPr>
        <w:t>投标供应商（盖章）：</w:t>
      </w:r>
      <w:r>
        <w:rPr>
          <w:rFonts w:hint="eastAsia" w:hAnsi="宋体" w:cs="宋体"/>
          <w:color w:val="000000" w:themeColor="text1"/>
          <w:spacing w:val="20"/>
          <w:sz w:val="24"/>
          <w:u w:val="single"/>
          <w14:textFill>
            <w14:solidFill>
              <w14:schemeClr w14:val="tx1"/>
            </w14:solidFill>
          </w14:textFill>
        </w:rPr>
        <w:t xml:space="preserve">            </w:t>
      </w:r>
    </w:p>
    <w:p w14:paraId="3BF3530C">
      <w:pPr>
        <w:pStyle w:val="8"/>
        <w:spacing w:line="360" w:lineRule="auto"/>
        <w:ind w:firstLine="0"/>
        <w:rPr>
          <w:rFonts w:hAnsi="宋体" w:cs="宋体"/>
          <w:color w:val="000000" w:themeColor="text1"/>
          <w:spacing w:val="20"/>
          <w:sz w:val="24"/>
          <w:szCs w:val="20"/>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法定代表人或其授权代表（盖章）</w:t>
      </w:r>
      <w:r>
        <w:rPr>
          <w:rFonts w:hint="eastAsia" w:hAnsi="宋体" w:cs="宋体"/>
          <w:color w:val="000000" w:themeColor="text1"/>
          <w:spacing w:val="20"/>
          <w:sz w:val="24"/>
          <w14:textFill>
            <w14:solidFill>
              <w14:schemeClr w14:val="tx1"/>
            </w14:solidFill>
          </w14:textFill>
        </w:rPr>
        <w:t>：</w:t>
      </w:r>
      <w:r>
        <w:rPr>
          <w:rFonts w:hint="eastAsia" w:hAnsi="宋体" w:cs="宋体"/>
          <w:color w:val="000000" w:themeColor="text1"/>
          <w:spacing w:val="20"/>
          <w:sz w:val="24"/>
          <w:u w:val="single"/>
          <w14:textFill>
            <w14:solidFill>
              <w14:schemeClr w14:val="tx1"/>
            </w14:solidFill>
          </w14:textFill>
        </w:rPr>
        <w:t xml:space="preserve">            </w:t>
      </w:r>
    </w:p>
    <w:p w14:paraId="7F4BE081">
      <w:pPr>
        <w:spacing w:line="360" w:lineRule="auto"/>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w:t>
      </w:r>
    </w:p>
    <w:p w14:paraId="67AEFB15">
      <w:pPr>
        <w:spacing w:line="360" w:lineRule="auto"/>
        <w:ind w:firstLine="5740" w:firstLineChars="2050"/>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年  月  日</w:t>
      </w:r>
    </w:p>
    <w:p w14:paraId="76292846">
      <w:pPr>
        <w:widowControl/>
        <w:spacing w:line="240" w:lineRule="auto"/>
        <w:jc w:val="left"/>
        <w:rPr>
          <w:rFonts w:ascii="宋体" w:hAnsi="宋体" w:cs="宋体"/>
          <w:color w:val="000000" w:themeColor="text1"/>
          <w:spacing w:val="20"/>
          <w14:textFill>
            <w14:solidFill>
              <w14:schemeClr w14:val="tx1"/>
            </w14:solidFill>
          </w14:textFill>
        </w:rPr>
      </w:pPr>
      <w:r>
        <w:rPr>
          <w:rFonts w:ascii="宋体" w:hAnsi="宋体" w:cs="宋体"/>
          <w:color w:val="000000" w:themeColor="text1"/>
          <w:spacing w:val="20"/>
          <w14:textFill>
            <w14:solidFill>
              <w14:schemeClr w14:val="tx1"/>
            </w14:solidFill>
          </w14:textFill>
        </w:rPr>
        <w:br w:type="page"/>
      </w:r>
    </w:p>
    <w:p w14:paraId="7C28D2AE">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企业业绩</w:t>
      </w:r>
    </w:p>
    <w:p w14:paraId="4245D9F4">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供应商全称（加盖公章）：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10"/>
        <w:gridCol w:w="1404"/>
        <w:gridCol w:w="1404"/>
        <w:gridCol w:w="1632"/>
        <w:gridCol w:w="2281"/>
      </w:tblGrid>
      <w:tr w14:paraId="36D8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1E98692A">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序号</w:t>
            </w:r>
          </w:p>
        </w:tc>
        <w:tc>
          <w:tcPr>
            <w:tcW w:w="921" w:type="pct"/>
            <w:tcBorders>
              <w:top w:val="single" w:color="auto" w:sz="4" w:space="0"/>
              <w:left w:val="single" w:color="auto" w:sz="4" w:space="0"/>
              <w:bottom w:val="single" w:color="auto" w:sz="4" w:space="0"/>
              <w:right w:val="single" w:color="auto" w:sz="4" w:space="0"/>
            </w:tcBorders>
          </w:tcPr>
          <w:p w14:paraId="7692C52B">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w:t>
            </w:r>
          </w:p>
        </w:tc>
        <w:tc>
          <w:tcPr>
            <w:tcW w:w="756" w:type="pct"/>
            <w:tcBorders>
              <w:top w:val="single" w:color="auto" w:sz="4" w:space="0"/>
              <w:left w:val="single" w:color="auto" w:sz="4" w:space="0"/>
              <w:bottom w:val="single" w:color="auto" w:sz="4" w:space="0"/>
              <w:right w:val="single" w:color="auto" w:sz="4" w:space="0"/>
            </w:tcBorders>
          </w:tcPr>
          <w:p w14:paraId="3D677F68">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合同金额</w:t>
            </w:r>
          </w:p>
        </w:tc>
        <w:tc>
          <w:tcPr>
            <w:tcW w:w="756" w:type="pct"/>
            <w:tcBorders>
              <w:top w:val="single" w:color="auto" w:sz="4" w:space="0"/>
              <w:left w:val="single" w:color="auto" w:sz="4" w:space="0"/>
              <w:bottom w:val="single" w:color="auto" w:sz="4" w:space="0"/>
              <w:right w:val="single" w:color="auto" w:sz="4" w:space="0"/>
            </w:tcBorders>
          </w:tcPr>
          <w:p w14:paraId="1D000932">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签订时间</w:t>
            </w:r>
          </w:p>
        </w:tc>
        <w:tc>
          <w:tcPr>
            <w:tcW w:w="879" w:type="pct"/>
            <w:tcBorders>
              <w:top w:val="single" w:color="auto" w:sz="4" w:space="0"/>
              <w:left w:val="single" w:color="auto" w:sz="4" w:space="0"/>
              <w:bottom w:val="single" w:color="auto" w:sz="4" w:space="0"/>
              <w:right w:val="single" w:color="auto" w:sz="4" w:space="0"/>
            </w:tcBorders>
          </w:tcPr>
          <w:p w14:paraId="35D7426D">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使用方联系人</w:t>
            </w:r>
          </w:p>
        </w:tc>
        <w:tc>
          <w:tcPr>
            <w:tcW w:w="1228" w:type="pct"/>
            <w:tcBorders>
              <w:top w:val="single" w:color="auto" w:sz="4" w:space="0"/>
              <w:left w:val="single" w:color="auto" w:sz="4" w:space="0"/>
              <w:bottom w:val="single" w:color="auto" w:sz="4" w:space="0"/>
              <w:right w:val="single" w:color="auto" w:sz="4" w:space="0"/>
            </w:tcBorders>
          </w:tcPr>
          <w:p w14:paraId="1AA21C7C">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联系方式</w:t>
            </w:r>
          </w:p>
        </w:tc>
      </w:tr>
      <w:tr w14:paraId="4378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29BE0F36">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1EB11FA8">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E694EB7">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5F5A99CE">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33DBD78D">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7BDD4563">
            <w:pPr>
              <w:spacing w:line="600" w:lineRule="exact"/>
              <w:rPr>
                <w:rFonts w:ascii="宋体" w:hAnsi="宋体" w:cs="宋体"/>
                <w:bCs/>
                <w:color w:val="000000" w:themeColor="text1"/>
                <w14:textFill>
                  <w14:solidFill>
                    <w14:schemeClr w14:val="tx1"/>
                  </w14:solidFill>
                </w14:textFill>
              </w:rPr>
            </w:pPr>
          </w:p>
        </w:tc>
      </w:tr>
      <w:tr w14:paraId="54DD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254F2238">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6B36E38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291AA0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AED785C">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3F07425E">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67522A9F">
            <w:pPr>
              <w:spacing w:line="600" w:lineRule="exact"/>
              <w:rPr>
                <w:rFonts w:ascii="宋体" w:hAnsi="宋体" w:cs="宋体"/>
                <w:bCs/>
                <w:color w:val="000000" w:themeColor="text1"/>
                <w14:textFill>
                  <w14:solidFill>
                    <w14:schemeClr w14:val="tx1"/>
                  </w14:solidFill>
                </w14:textFill>
              </w:rPr>
            </w:pPr>
          </w:p>
        </w:tc>
      </w:tr>
      <w:tr w14:paraId="4114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47ED2FB5">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42D12415">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6745F25">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76C38490">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19B74A7D">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58C33488">
            <w:pPr>
              <w:spacing w:line="600" w:lineRule="exact"/>
              <w:rPr>
                <w:rFonts w:ascii="宋体" w:hAnsi="宋体" w:cs="宋体"/>
                <w:bCs/>
                <w:color w:val="000000" w:themeColor="text1"/>
                <w14:textFill>
                  <w14:solidFill>
                    <w14:schemeClr w14:val="tx1"/>
                  </w14:solidFill>
                </w14:textFill>
              </w:rPr>
            </w:pPr>
          </w:p>
        </w:tc>
      </w:tr>
      <w:tr w14:paraId="7176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48C675F1">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2C2BCFEC">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D7AC754">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EA2822A">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577F3B13">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49067120">
            <w:pPr>
              <w:spacing w:line="600" w:lineRule="exact"/>
              <w:rPr>
                <w:rFonts w:ascii="宋体" w:hAnsi="宋体" w:cs="宋体"/>
                <w:bCs/>
                <w:color w:val="000000" w:themeColor="text1"/>
                <w14:textFill>
                  <w14:solidFill>
                    <w14:schemeClr w14:val="tx1"/>
                  </w14:solidFill>
                </w14:textFill>
              </w:rPr>
            </w:pPr>
          </w:p>
        </w:tc>
      </w:tr>
      <w:tr w14:paraId="2F12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00B71B9A">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1AE2D16D">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24C41D1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72C739AF">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5C34331E">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78583432">
            <w:pPr>
              <w:spacing w:line="600" w:lineRule="exact"/>
              <w:rPr>
                <w:rFonts w:ascii="宋体" w:hAnsi="宋体" w:cs="宋体"/>
                <w:bCs/>
                <w:color w:val="000000" w:themeColor="text1"/>
                <w14:textFill>
                  <w14:solidFill>
                    <w14:schemeClr w14:val="tx1"/>
                  </w14:solidFill>
                </w14:textFill>
              </w:rPr>
            </w:pPr>
          </w:p>
        </w:tc>
      </w:tr>
      <w:tr w14:paraId="28F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5B6AD29C">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7FAD4DA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F473F5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5F32EA0">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439D161C">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1A38BC86">
            <w:pPr>
              <w:spacing w:line="600" w:lineRule="exact"/>
              <w:rPr>
                <w:rFonts w:ascii="宋体" w:hAnsi="宋体" w:cs="宋体"/>
                <w:bCs/>
                <w:color w:val="000000" w:themeColor="text1"/>
                <w14:textFill>
                  <w14:solidFill>
                    <w14:schemeClr w14:val="tx1"/>
                  </w14:solidFill>
                </w14:textFill>
              </w:rPr>
            </w:pPr>
          </w:p>
        </w:tc>
      </w:tr>
      <w:tr w14:paraId="7692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173B800D">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0FFEF2CF">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E52D6C2">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545D9B4">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4F15C223">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5F2BE05D">
            <w:pPr>
              <w:spacing w:line="600" w:lineRule="exact"/>
              <w:rPr>
                <w:rFonts w:ascii="宋体" w:hAnsi="宋体" w:cs="宋体"/>
                <w:bCs/>
                <w:color w:val="000000" w:themeColor="text1"/>
                <w14:textFill>
                  <w14:solidFill>
                    <w14:schemeClr w14:val="tx1"/>
                  </w14:solidFill>
                </w14:textFill>
              </w:rPr>
            </w:pPr>
          </w:p>
        </w:tc>
      </w:tr>
    </w:tbl>
    <w:p w14:paraId="2544D389">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法定代表人或其授权代理人（盖章）：</w:t>
      </w:r>
    </w:p>
    <w:p w14:paraId="43E3C3D7">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14:paraId="7EBBF863">
      <w:pPr>
        <w:spacing w:line="6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注：此表仅提供了表格形式，供应商应根据需要准备足够数量的表格来填写。</w:t>
      </w:r>
    </w:p>
    <w:p w14:paraId="01510209">
      <w:pPr>
        <w:widowControl/>
        <w:spacing w:line="240" w:lineRule="auto"/>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14:paraId="51133C65">
      <w:pPr>
        <w:tabs>
          <w:tab w:val="left" w:pos="720"/>
        </w:tabs>
        <w:spacing w:line="360" w:lineRule="auto"/>
        <w:ind w:left="-2" w:leftChars="-1" w:firstLine="412" w:firstLineChars="171"/>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投标函</w:t>
      </w:r>
    </w:p>
    <w:p w14:paraId="142F78FC">
      <w:pPr>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致：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（采购代理机构名称）：</w:t>
      </w:r>
    </w:p>
    <w:p w14:paraId="2B320227">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__________</w:t>
      </w:r>
      <w:r>
        <w:rPr>
          <w:rFonts w:hint="eastAsia" w:ascii="宋体" w:hAnsi="宋体" w:cs="宋体"/>
          <w:color w:val="000000" w:themeColor="text1"/>
          <w:lang w:val="zh-CN"/>
          <w14:textFill>
            <w14:solidFill>
              <w14:schemeClr w14:val="tx1"/>
            </w14:solidFill>
          </w14:textFill>
        </w:rPr>
        <w:t xml:space="preserve">（供应商全称）授权 </w:t>
      </w:r>
      <w:r>
        <w:rPr>
          <w:rFonts w:hint="eastAsia" w:ascii="宋体" w:hAnsi="宋体" w:cs="宋体"/>
          <w:color w:val="000000" w:themeColor="text1"/>
          <w14:textFill>
            <w14:solidFill>
              <w14:schemeClr w14:val="tx1"/>
            </w14:solidFill>
          </w14:textFill>
        </w:rPr>
        <w:t>__________</w:t>
      </w:r>
      <w:bookmarkStart w:id="25" w:name="_GoBack"/>
      <w:bookmarkEnd w:id="25"/>
      <w:r>
        <w:rPr>
          <w:rFonts w:hint="eastAsia" w:ascii="宋体" w:hAnsi="宋体" w:cs="宋体"/>
          <w:color w:val="000000" w:themeColor="text1"/>
          <w:lang w:val="zh-CN"/>
          <w14:textFill>
            <w14:solidFill>
              <w14:schemeClr w14:val="tx1"/>
            </w14:solidFill>
          </w14:textFill>
        </w:rPr>
        <w:t>（授权代表名称）</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（职务、职称）为授权代表，参加贵方组织的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（采购项目名称）（括号内填项目编号）采购的有关活动，并对</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项目（采购项目名称）进行投标。为此：    </w:t>
      </w:r>
    </w:p>
    <w:p w14:paraId="5C4F7DAA">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r>
        <w:rPr>
          <w:rFonts w:hint="eastAsia" w:ascii="宋体" w:hAnsi="宋体" w:cs="宋体"/>
          <w:color w:val="000000" w:themeColor="text1"/>
          <w14:textFill>
            <w14:solidFill>
              <w14:schemeClr w14:val="tx1"/>
            </w14:solidFill>
          </w14:textFill>
        </w:rPr>
        <w:t>。</w:t>
      </w:r>
    </w:p>
    <w:p w14:paraId="5C201E9D">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据此函，签字代表宣布同意如下：</w:t>
      </w:r>
    </w:p>
    <w:p w14:paraId="6365A4E1">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1.投标供应商已详细审查全部“采购文件”，包括修改文件（如有的话）以及全部参考资料和有关附件，已经了解我方对于采购文件、采购过程、采购结果有依法进行询问、质疑、投诉的权利及相关渠道和要求。</w:t>
      </w:r>
    </w:p>
    <w:p w14:paraId="480CDC15">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2.投标供应商在投标之前已经与贵方进行了充分的沟通，完全理解并接受采购文件的各项规定和要求，对采购文件的合理性、合法性不再有异议。</w:t>
      </w:r>
    </w:p>
    <w:p w14:paraId="27C5709A">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3.本投标有效期自开标日起 ______个日。</w:t>
      </w:r>
    </w:p>
    <w:p w14:paraId="184F66D2">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4.如中标，本投标文件至本项目合同履行完毕止均保持有效，本投标供应商将按“采购文件”及政府采购法律、法规的规定履行合同责任和义务。</w:t>
      </w:r>
    </w:p>
    <w:p w14:paraId="164B3643">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5.投标供应商同意按照贵方要求提供与投标有关的一切数据或资料。</w:t>
      </w:r>
    </w:p>
    <w:p w14:paraId="2DFC5830">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6.与本投标有关的一切正式往来信函请寄：</w:t>
      </w:r>
    </w:p>
    <w:p w14:paraId="06E5269A">
      <w:pPr>
        <w:snapToGrid w:val="0"/>
        <w:spacing w:line="360" w:lineRule="auto"/>
        <w:jc w:val="lef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地址：__________</w:t>
      </w:r>
      <w:r>
        <w:rPr>
          <w:rFonts w:hint="eastAsia" w:ascii="宋体" w:hAnsi="宋体" w:cs="宋体"/>
          <w:color w:val="000000" w:themeColor="text1"/>
          <w:u w:val="single"/>
          <w14:textFill>
            <w14:solidFill>
              <w14:schemeClr w14:val="tx1"/>
            </w14:solidFill>
          </w14:textFill>
        </w:rPr>
        <w:t xml:space="preserve">        _</w:t>
      </w:r>
      <w:r>
        <w:rPr>
          <w:rFonts w:hint="eastAsia" w:ascii="宋体" w:hAnsi="宋体" w:cs="宋体"/>
          <w:color w:val="000000" w:themeColor="text1"/>
          <w14:textFill>
            <w14:solidFill>
              <w14:schemeClr w14:val="tx1"/>
            </w14:solidFill>
          </w14:textFill>
        </w:rPr>
        <w:t>____邮编：__________   电话：______________</w:t>
      </w:r>
    </w:p>
    <w:p w14:paraId="52DE1D48">
      <w:pPr>
        <w:snapToGrid w:val="0"/>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传真：______________投标供应商代表姓名 ___________  职务：______</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_______</w:t>
      </w:r>
    </w:p>
    <w:p w14:paraId="504F592A">
      <w:pPr>
        <w:snapToGrid w:val="0"/>
        <w:spacing w:line="360" w:lineRule="auto"/>
        <w:jc w:val="left"/>
        <w:rPr>
          <w:rFonts w:ascii="宋体" w:hAnsi="宋体" w:cs="宋体"/>
          <w:color w:val="000000" w:themeColor="text1"/>
          <w:szCs w:val="20"/>
          <w14:textFill>
            <w14:solidFill>
              <w14:schemeClr w14:val="tx1"/>
            </w14:solidFill>
          </w14:textFill>
        </w:rPr>
      </w:pPr>
    </w:p>
    <w:p w14:paraId="02ADEE5E">
      <w:pPr>
        <w:snapToGrid w:val="0"/>
        <w:spacing w:before="163" w:beforeLines="50" w:line="360" w:lineRule="auto"/>
        <w:ind w:firstLine="37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投标供应商全称（公章）：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017CB762">
      <w:pPr>
        <w:snapToGrid w:val="0"/>
        <w:spacing w:before="163" w:beforeLines="50" w:line="360" w:lineRule="auto"/>
        <w:ind w:firstLine="3780"/>
        <w:jc w:val="lef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法定代表人或委托代表人签字：</w:t>
      </w:r>
      <w:r>
        <w:rPr>
          <w:rFonts w:hint="eastAsia" w:ascii="宋体" w:hAnsi="宋体" w:cs="宋体"/>
          <w:color w:val="000000" w:themeColor="text1"/>
          <w:u w:val="single"/>
          <w14:textFill>
            <w14:solidFill>
              <w14:schemeClr w14:val="tx1"/>
            </w14:solidFill>
          </w14:textFill>
        </w:rPr>
        <w:t xml:space="preserve">             </w:t>
      </w:r>
    </w:p>
    <w:p w14:paraId="0D5E9EDC">
      <w:pPr>
        <w:snapToGrid w:val="0"/>
        <w:spacing w:before="163" w:beforeLines="50" w:after="50" w:line="360" w:lineRule="auto"/>
        <w:ind w:firstLine="24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14:paraId="6F8F4CCB">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3D84D41E">
      <w:pPr>
        <w:pStyle w:val="14"/>
        <w:snapToGrid w:val="0"/>
        <w:spacing w:before="295" w:after="295"/>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开标一览表</w:t>
      </w:r>
    </w:p>
    <w:p w14:paraId="0EC408E5">
      <w:pPr>
        <w:snapToGrid w:val="0"/>
        <w:spacing w:before="50" w:after="1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项目编号：                                  </w:t>
      </w:r>
    </w:p>
    <w:tbl>
      <w:tblPr>
        <w:tblStyle w:val="24"/>
        <w:tblpPr w:leftFromText="180" w:rightFromText="180" w:vertAnchor="text" w:horzAnchor="page" w:tblpX="1412" w:tblpY="630"/>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5829"/>
      </w:tblGrid>
      <w:tr w14:paraId="653A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681" w:type="dxa"/>
            <w:tcBorders>
              <w:top w:val="single" w:color="auto" w:sz="4" w:space="0"/>
              <w:left w:val="single" w:color="auto" w:sz="4" w:space="0"/>
              <w:bottom w:val="single" w:color="auto" w:sz="4" w:space="0"/>
              <w:right w:val="single" w:color="auto" w:sz="4" w:space="0"/>
            </w:tcBorders>
            <w:vAlign w:val="center"/>
          </w:tcPr>
          <w:p w14:paraId="0360BC5A">
            <w:pPr>
              <w:pStyle w:val="14"/>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p>
        </w:tc>
        <w:tc>
          <w:tcPr>
            <w:tcW w:w="5829" w:type="dxa"/>
            <w:tcBorders>
              <w:top w:val="single" w:color="auto" w:sz="4" w:space="0"/>
              <w:left w:val="single" w:color="auto" w:sz="4" w:space="0"/>
              <w:bottom w:val="single" w:color="auto" w:sz="4" w:space="0"/>
              <w:right w:val="single" w:color="auto" w:sz="4" w:space="0"/>
            </w:tcBorders>
            <w:vAlign w:val="center"/>
          </w:tcPr>
          <w:p w14:paraId="105616FE">
            <w:pPr>
              <w:pStyle w:val="14"/>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投标报价（元）</w:t>
            </w:r>
          </w:p>
        </w:tc>
      </w:tr>
      <w:tr w14:paraId="1A2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681" w:type="dxa"/>
            <w:vMerge w:val="restart"/>
            <w:tcBorders>
              <w:left w:val="single" w:color="auto" w:sz="4" w:space="0"/>
              <w:right w:val="single" w:color="auto" w:sz="4" w:space="0"/>
            </w:tcBorders>
            <w:vAlign w:val="center"/>
          </w:tcPr>
          <w:p w14:paraId="3DB62A0C">
            <w:pPr>
              <w:widowControl/>
              <w:jc w:val="center"/>
              <w:rPr>
                <w:rFonts w:ascii="宋体" w:hAnsi="宋体" w:cs="宋体"/>
                <w:color w:val="000000" w:themeColor="text1"/>
                <w:kern w:val="0"/>
                <w:szCs w:val="24"/>
                <w14:textFill>
                  <w14:solidFill>
                    <w14:schemeClr w14:val="tx1"/>
                  </w14:solidFill>
                </w14:textFill>
              </w:rPr>
            </w:pPr>
            <w:r>
              <w:rPr>
                <w:rFonts w:hint="eastAsia" w:ascii="宋体" w:hAnsi="宋体"/>
                <w:color w:val="000000" w:themeColor="text1"/>
                <w14:textFill>
                  <w14:solidFill>
                    <w14:schemeClr w14:val="tx1"/>
                  </w14:solidFill>
                </w14:textFill>
              </w:rPr>
              <w:t>湖州职业技术学院教学实训设备搬迁服务项目</w:t>
            </w:r>
          </w:p>
        </w:tc>
        <w:tc>
          <w:tcPr>
            <w:tcW w:w="5829" w:type="dxa"/>
            <w:tcBorders>
              <w:top w:val="single" w:color="auto" w:sz="4" w:space="0"/>
              <w:left w:val="single" w:color="auto" w:sz="4" w:space="0"/>
              <w:bottom w:val="single" w:color="auto" w:sz="4" w:space="0"/>
              <w:right w:val="single" w:color="auto" w:sz="4" w:space="0"/>
            </w:tcBorders>
            <w:vAlign w:val="center"/>
          </w:tcPr>
          <w:p w14:paraId="31CB28AE">
            <w:pPr>
              <w:pStyle w:val="14"/>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大写： </w:t>
            </w:r>
            <w:r>
              <w:rPr>
                <w:rFonts w:hAnsi="宋体" w:cs="宋体"/>
                <w:color w:val="000000" w:themeColor="text1"/>
                <w:sz w:val="24"/>
                <w:szCs w:val="24"/>
                <w14:textFill>
                  <w14:solidFill>
                    <w14:schemeClr w14:val="tx1"/>
                  </w14:solidFill>
                </w14:textFill>
              </w:rPr>
              <w:t xml:space="preserve">       </w:t>
            </w:r>
          </w:p>
        </w:tc>
      </w:tr>
      <w:tr w14:paraId="13CC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681" w:type="dxa"/>
            <w:vMerge w:val="continue"/>
            <w:tcBorders>
              <w:left w:val="single" w:color="auto" w:sz="4" w:space="0"/>
              <w:right w:val="single" w:color="auto" w:sz="4" w:space="0"/>
            </w:tcBorders>
            <w:vAlign w:val="center"/>
          </w:tcPr>
          <w:p w14:paraId="057DC746">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3E45A703">
            <w:pPr>
              <w:pStyle w:val="14"/>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小写： </w:t>
            </w:r>
            <w:r>
              <w:rPr>
                <w:rFonts w:hAnsi="宋体" w:cs="宋体"/>
                <w:color w:val="000000" w:themeColor="text1"/>
                <w:sz w:val="24"/>
                <w:szCs w:val="24"/>
                <w14:textFill>
                  <w14:solidFill>
                    <w14:schemeClr w14:val="tx1"/>
                  </w14:solidFill>
                </w14:textFill>
              </w:rPr>
              <w:t xml:space="preserve">       </w:t>
            </w:r>
          </w:p>
        </w:tc>
      </w:tr>
    </w:tbl>
    <w:p w14:paraId="75577F27">
      <w:pPr>
        <w:snapToGrid w:val="0"/>
        <w:spacing w:before="50" w:after="50"/>
        <w:jc w:val="left"/>
        <w:rPr>
          <w:rFonts w:ascii="宋体" w:hAnsi="宋体" w:cs="宋体"/>
          <w:color w:val="000000" w:themeColor="text1"/>
          <w:szCs w:val="24"/>
          <w14:textFill>
            <w14:solidFill>
              <w14:schemeClr w14:val="tx1"/>
            </w14:solidFill>
          </w14:textFill>
        </w:rPr>
      </w:pPr>
    </w:p>
    <w:p w14:paraId="2D63D220">
      <w:pPr>
        <w:pStyle w:val="14"/>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注：1. 开标一览表中的报价为完成本项目的所有费用。</w:t>
      </w:r>
    </w:p>
    <w:p w14:paraId="6D44427E">
      <w:pPr>
        <w:pStyle w:val="14"/>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 此栏内投标总价应与 “报价明细表”中汇总金额相一致。</w:t>
      </w:r>
    </w:p>
    <w:p w14:paraId="3EE035DF">
      <w:pPr>
        <w:pStyle w:val="14"/>
        <w:spacing w:before="120" w:after="120" w:line="50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3.报价一经涂改，应在涂改处加盖单位公章或者由法定代表人或授权委托人签字或盖章，否则其投标作无效标处理。</w:t>
      </w:r>
    </w:p>
    <w:p w14:paraId="318F482C">
      <w:pPr>
        <w:pStyle w:val="14"/>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p>
    <w:p w14:paraId="50279E44">
      <w:pPr>
        <w:snapToGrid w:val="0"/>
        <w:spacing w:before="50" w:after="50"/>
        <w:ind w:firstLine="480" w:firstLineChars="200"/>
        <w:rPr>
          <w:rFonts w:ascii="宋体" w:hAnsi="宋体" w:cs="宋体"/>
          <w:color w:val="000000" w:themeColor="text1"/>
          <w:szCs w:val="24"/>
          <w14:textFill>
            <w14:solidFill>
              <w14:schemeClr w14:val="tx1"/>
            </w14:solidFill>
          </w14:textFill>
        </w:rPr>
      </w:pPr>
    </w:p>
    <w:p w14:paraId="5932D6DB">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13B0E30D">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0796FBC5">
      <w:pPr>
        <w:spacing w:line="360" w:lineRule="auto"/>
        <w:jc w:val="left"/>
        <w:rPr>
          <w:rFonts w:ascii="宋体" w:hAnsi="宋体" w:cs="宋体"/>
          <w:color w:val="000000" w:themeColor="text1"/>
          <w14:textFill>
            <w14:solidFill>
              <w14:schemeClr w14:val="tx1"/>
            </w14:solidFill>
          </w14:textFill>
        </w:rPr>
      </w:pPr>
    </w:p>
    <w:p w14:paraId="6A878158">
      <w:pPr>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 </w:t>
      </w:r>
    </w:p>
    <w:p w14:paraId="2431D8C3">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59FA21FB">
      <w:pPr>
        <w:tabs>
          <w:tab w:val="left" w:pos="312"/>
        </w:tabs>
        <w:spacing w:line="56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报价明细表</w:t>
      </w:r>
    </w:p>
    <w:p w14:paraId="0213957F">
      <w:pPr>
        <w:spacing w:line="400" w:lineRule="exact"/>
        <w:rPr>
          <w:rFonts w:ascii="宋体" w:hAnsi="宋体" w:cs="宋体"/>
          <w:color w:val="000000" w:themeColor="text1"/>
          <w14:textFill>
            <w14:solidFill>
              <w14:schemeClr w14:val="tx1"/>
            </w14:solidFill>
          </w14:textFill>
        </w:rPr>
      </w:pPr>
    </w:p>
    <w:p w14:paraId="470D999C">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14:paraId="57755BBD">
      <w:pPr>
        <w:spacing w:line="400" w:lineRule="exact"/>
        <w:rPr>
          <w:rFonts w:ascii="宋体" w:hAnsi="宋体" w:cs="宋体"/>
          <w:color w:val="000000" w:themeColor="text1"/>
          <w14:textFill>
            <w14:solidFill>
              <w14:schemeClr w14:val="tx1"/>
            </w14:solidFill>
          </w14:textFill>
        </w:rPr>
      </w:pPr>
    </w:p>
    <w:p w14:paraId="5941017A">
      <w:pPr>
        <w:spacing w:line="400" w:lineRule="exact"/>
        <w:rPr>
          <w:rFonts w:ascii="宋体" w:hAnsi="宋体" w:cs="宋体"/>
          <w:color w:val="000000" w:themeColor="text1"/>
          <w14:textFill>
            <w14:solidFill>
              <w14:schemeClr w14:val="tx1"/>
            </w14:solidFill>
          </w14:textFill>
        </w:rPr>
      </w:pPr>
    </w:p>
    <w:p w14:paraId="39F377C7">
      <w:pPr>
        <w:spacing w:line="400" w:lineRule="exact"/>
        <w:rPr>
          <w:rFonts w:ascii="宋体" w:hAnsi="宋体" w:cs="宋体"/>
          <w:color w:val="000000" w:themeColor="text1"/>
          <w14:textFill>
            <w14:solidFill>
              <w14:schemeClr w14:val="tx1"/>
            </w14:solidFill>
          </w14:textFill>
        </w:rPr>
      </w:pPr>
    </w:p>
    <w:p w14:paraId="19E2A9EA">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注：1、本表所列项目应根据实际情况填写，并</w:t>
      </w:r>
      <w:r>
        <w:rPr>
          <w:rFonts w:hint="eastAsia" w:ascii="宋体" w:hAnsi="宋体" w:cs="宋体"/>
          <w:b/>
          <w:color w:val="000000" w:themeColor="text1"/>
          <w14:textFill>
            <w14:solidFill>
              <w14:schemeClr w14:val="tx1"/>
            </w14:solidFill>
          </w14:textFill>
        </w:rPr>
        <w:t>计入</w:t>
      </w:r>
      <w:r>
        <w:rPr>
          <w:rFonts w:hint="eastAsia" w:ascii="宋体" w:hAnsi="宋体" w:cs="宋体"/>
          <w:b/>
          <w:bCs/>
          <w:color w:val="000000" w:themeColor="text1"/>
          <w14:textFill>
            <w14:solidFill>
              <w14:schemeClr w14:val="tx1"/>
            </w14:solidFill>
          </w14:textFill>
        </w:rPr>
        <w:t>投标总价</w:t>
      </w:r>
      <w:r>
        <w:rPr>
          <w:rFonts w:hint="eastAsia" w:ascii="宋体" w:hAnsi="宋体" w:cs="宋体"/>
          <w:color w:val="000000" w:themeColor="text1"/>
          <w14:textFill>
            <w14:solidFill>
              <w14:schemeClr w14:val="tx1"/>
            </w14:solidFill>
          </w14:textFill>
        </w:rPr>
        <w:t>；</w:t>
      </w:r>
    </w:p>
    <w:p w14:paraId="32AFEA19">
      <w:pPr>
        <w:autoSpaceDE w:val="0"/>
        <w:autoSpaceDN w:val="0"/>
        <w:adjustRightInd w:val="0"/>
        <w:snapToGrid w:val="0"/>
        <w:ind w:firstLine="480" w:firstLineChars="200"/>
        <w:textAlignment w:val="bottom"/>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b/>
          <w:color w:val="000000" w:themeColor="text1"/>
          <w14:textFill>
            <w14:solidFill>
              <w14:schemeClr w14:val="tx1"/>
            </w14:solidFill>
          </w14:textFill>
        </w:rPr>
        <w:t>报价明细表最终汇总金额应与开标一览表一致；</w:t>
      </w:r>
    </w:p>
    <w:p w14:paraId="49285E75">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5A72CE7D">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14C61142">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2755E678">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768D6E9E">
      <w:pPr>
        <w:widowControl/>
        <w:tabs>
          <w:tab w:val="left" w:pos="312"/>
        </w:tabs>
        <w:spacing w:before="100" w:beforeAutospacing="1" w:after="100" w:afterAutospacing="1" w:line="440" w:lineRule="atLeas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w:t>
      </w:r>
    </w:p>
    <w:p w14:paraId="2353F0DE">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5BF44496">
      <w:pPr>
        <w:pStyle w:val="23"/>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招标代理服务费承诺函</w:t>
      </w:r>
    </w:p>
    <w:p w14:paraId="679FFD88">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浙江华夏工程管理有限公司：</w:t>
      </w:r>
    </w:p>
    <w:p w14:paraId="628BF0F0">
      <w:pPr>
        <w:spacing w:line="360" w:lineRule="auto"/>
        <w:ind w:firstLine="480" w:firstLineChars="200"/>
        <w:rPr>
          <w:rFonts w:ascii="宋体" w:hAnsi="宋体" w:cs="宋体"/>
          <w:color w:val="000000" w:themeColor="text1"/>
          <w14:textFill>
            <w14:solidFill>
              <w14:schemeClr w14:val="tx1"/>
            </w14:solidFill>
          </w14:textFill>
        </w:rPr>
      </w:pPr>
    </w:p>
    <w:p w14:paraId="4F46DD0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w:t>
      </w:r>
      <w:r>
        <w:rPr>
          <w:rFonts w:hint="eastAsia" w:ascii="宋体" w:hAnsi="宋体" w:cs="宋体"/>
          <w:color w:val="000000" w:themeColor="text1"/>
          <w:u w:val="single"/>
          <w14:textFill>
            <w14:solidFill>
              <w14:schemeClr w14:val="tx1"/>
            </w14:solidFill>
          </w14:textFill>
        </w:rPr>
        <w:t xml:space="preserve"> 湖州职业技术学院教学实训设备搬迁服务项目 </w:t>
      </w:r>
      <w:r>
        <w:rPr>
          <w:rFonts w:hint="eastAsia" w:ascii="宋体" w:hAnsi="宋体" w:cs="宋体"/>
          <w:color w:val="000000" w:themeColor="text1"/>
          <w14:textFill>
            <w14:solidFill>
              <w14:schemeClr w14:val="tx1"/>
            </w14:solidFill>
          </w14:textFill>
        </w:rPr>
        <w:t>采购文件规定，一旦我公司中标，由我公司按</w:t>
      </w:r>
      <w:r>
        <w:rPr>
          <w:rFonts w:hint="eastAsia" w:ascii="宋体" w:hAnsi="宋体" w:cs="宋体"/>
          <w:color w:val="000000" w:themeColor="text1"/>
          <w:lang w:val="en-US" w:eastAsia="zh-CN"/>
          <w14:textFill>
            <w14:solidFill>
              <w14:schemeClr w14:val="tx1"/>
            </w14:solidFill>
          </w14:textFill>
        </w:rPr>
        <w:t>招标文件规定</w:t>
      </w:r>
      <w:r>
        <w:rPr>
          <w:rFonts w:hint="eastAsia" w:ascii="宋体" w:hAnsi="宋体" w:cs="宋体"/>
          <w:color w:val="000000" w:themeColor="text1"/>
          <w14:textFill>
            <w14:solidFill>
              <w14:schemeClr w14:val="tx1"/>
            </w14:solidFill>
          </w14:textFill>
        </w:rPr>
        <w:t>全额支付本项目的采购代理服务费，在我公司收到中标通知书前一次性向贵公司缴清。</w:t>
      </w:r>
    </w:p>
    <w:p w14:paraId="5DAF24D6">
      <w:pPr>
        <w:spacing w:line="360" w:lineRule="auto"/>
        <w:ind w:firstLine="570"/>
        <w:rPr>
          <w:rFonts w:ascii="宋体" w:hAnsi="宋体" w:cs="宋体"/>
          <w:color w:val="000000" w:themeColor="text1"/>
          <w14:textFill>
            <w14:solidFill>
              <w14:schemeClr w14:val="tx1"/>
            </w14:solidFill>
          </w14:textFill>
        </w:rPr>
      </w:pPr>
    </w:p>
    <w:p w14:paraId="34B5F2DC">
      <w:pPr>
        <w:spacing w:line="360" w:lineRule="auto"/>
        <w:ind w:firstLine="57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本承诺函自开标之日起至本次采购期满有效。</w:t>
      </w:r>
    </w:p>
    <w:p w14:paraId="550662E8">
      <w:pPr>
        <w:spacing w:line="360" w:lineRule="auto"/>
        <w:ind w:firstLine="570"/>
        <w:rPr>
          <w:rFonts w:ascii="宋体" w:hAnsi="宋体" w:cs="宋体"/>
          <w:color w:val="000000" w:themeColor="text1"/>
          <w14:textFill>
            <w14:solidFill>
              <w14:schemeClr w14:val="tx1"/>
            </w14:solidFill>
          </w14:textFill>
        </w:rPr>
      </w:pPr>
    </w:p>
    <w:p w14:paraId="4DC62E72">
      <w:pPr>
        <w:spacing w:line="360" w:lineRule="auto"/>
        <w:ind w:firstLine="570"/>
        <w:rPr>
          <w:rFonts w:ascii="宋体" w:hAnsi="宋体" w:cs="宋体"/>
          <w:color w:val="000000" w:themeColor="text1"/>
          <w14:textFill>
            <w14:solidFill>
              <w14:schemeClr w14:val="tx1"/>
            </w14:solidFill>
          </w14:textFill>
        </w:rPr>
      </w:pPr>
    </w:p>
    <w:p w14:paraId="09F00111">
      <w:pPr>
        <w:pStyle w:val="8"/>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投标供应商：（盖章）</w:t>
      </w:r>
    </w:p>
    <w:p w14:paraId="19EFC783">
      <w:pPr>
        <w:pStyle w:val="8"/>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法定代表人或其授权代理人（签字或盖章）</w:t>
      </w:r>
    </w:p>
    <w:p w14:paraId="0F1AEC4A">
      <w:pPr>
        <w:pStyle w:val="8"/>
        <w:spacing w:line="520" w:lineRule="exact"/>
        <w:ind w:firstLine="5250" w:firstLineChars="2500"/>
        <w:rPr>
          <w:rFonts w:hAnsi="宋体" w:cs="宋体"/>
          <w:color w:val="000000" w:themeColor="text1"/>
          <w:spacing w:val="14"/>
          <w:szCs w:val="20"/>
          <w14:textFill>
            <w14:solidFill>
              <w14:schemeClr w14:val="tx1"/>
            </w14:solidFill>
          </w14:textFill>
        </w:rPr>
      </w:pPr>
      <w:r>
        <w:rPr>
          <w:rFonts w:hint="eastAsia" w:hAnsi="宋体" w:cs="宋体"/>
          <w:color w:val="000000" w:themeColor="text1"/>
          <w14:textFill>
            <w14:solidFill>
              <w14:schemeClr w14:val="tx1"/>
            </w14:solidFill>
          </w14:textFill>
        </w:rPr>
        <w:t>日期：    年   月   日</w:t>
      </w:r>
    </w:p>
    <w:p w14:paraId="6D99AFAC">
      <w:pPr>
        <w:widowControl/>
        <w:spacing w:line="240" w:lineRule="auto"/>
        <w:jc w:val="left"/>
        <w:rPr>
          <w:rFonts w:ascii="宋体" w:hAnsi="宋体" w:cs="宋体"/>
          <w:b/>
          <w:color w:val="000000" w:themeColor="text1"/>
          <w:szCs w:val="20"/>
          <w14:textFill>
            <w14:solidFill>
              <w14:schemeClr w14:val="tx1"/>
            </w14:solidFill>
          </w14:textFill>
        </w:rPr>
      </w:pPr>
      <w:r>
        <w:rPr>
          <w:rFonts w:ascii="宋体" w:hAnsi="宋体" w:cs="宋体"/>
          <w:b/>
          <w:color w:val="000000" w:themeColor="text1"/>
          <w:szCs w:val="20"/>
          <w14:textFill>
            <w14:solidFill>
              <w14:schemeClr w14:val="tx1"/>
            </w14:solidFill>
          </w14:textFill>
        </w:rPr>
        <w:br w:type="page"/>
      </w:r>
    </w:p>
    <w:p w14:paraId="19FF81AD">
      <w:pPr>
        <w:rPr>
          <w:rFonts w:ascii="宋体" w:hAnsi="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r>
        <w:rPr>
          <w:rFonts w:hint="eastAsia" w:ascii="宋体" w:hAnsi="宋体"/>
          <w:b/>
          <w:bCs/>
          <w:color w:val="000000" w:themeColor="text1"/>
          <w14:textFill>
            <w14:solidFill>
              <w14:schemeClr w14:val="tx1"/>
            </w14:solidFill>
          </w14:textFill>
        </w:rPr>
        <w:t>1</w:t>
      </w:r>
    </w:p>
    <w:p w14:paraId="63816C15">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残疾人福利企业声明函</w:t>
      </w:r>
    </w:p>
    <w:p w14:paraId="697C0645">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【非残疾人福利性单位不用提供】</w:t>
      </w:r>
    </w:p>
    <w:p w14:paraId="1EB5758D">
      <w:pPr>
        <w:snapToGrid w:val="0"/>
        <w:spacing w:line="360" w:lineRule="auto"/>
        <w:ind w:firstLine="602" w:firstLineChars="250"/>
        <w:jc w:val="center"/>
        <w:rPr>
          <w:rFonts w:ascii="宋体" w:hAnsi="宋体"/>
          <w:b/>
          <w:color w:val="000000" w:themeColor="text1"/>
          <w14:textFill>
            <w14:solidFill>
              <w14:schemeClr w14:val="tx1"/>
            </w14:solidFill>
          </w14:textFill>
        </w:rPr>
      </w:pPr>
    </w:p>
    <w:p w14:paraId="4B3FFB42">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项目采购活动提供本单位制造的货物（由本单位承担工程</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提供服务），或者提供其他残疾人福利性单位制造的货物（不包括使用非残疾人福利性单位注册商标的货物）。</w:t>
      </w:r>
    </w:p>
    <w:p w14:paraId="19AB31FB">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373675CF">
      <w:pPr>
        <w:snapToGrid w:val="0"/>
        <w:spacing w:line="360" w:lineRule="auto"/>
        <w:ind w:firstLine="480" w:firstLineChars="200"/>
        <w:rPr>
          <w:rFonts w:ascii="宋体" w:hAnsi="宋体"/>
          <w:color w:val="000000" w:themeColor="text1"/>
          <w14:textFill>
            <w14:solidFill>
              <w14:schemeClr w14:val="tx1"/>
            </w14:solidFill>
          </w14:textFill>
        </w:rPr>
      </w:pPr>
    </w:p>
    <w:p w14:paraId="749E4D5D">
      <w:pPr>
        <w:spacing w:line="588" w:lineRule="exact"/>
        <w:ind w:firstLine="480" w:firstLineChars="200"/>
        <w:rPr>
          <w:rFonts w:ascii="宋体" w:hAnsi="宋体"/>
          <w:color w:val="000000" w:themeColor="text1"/>
          <w14:textFill>
            <w14:solidFill>
              <w14:schemeClr w14:val="tx1"/>
            </w14:solidFill>
          </w14:textFill>
        </w:rPr>
      </w:pPr>
    </w:p>
    <w:p w14:paraId="5A3027E6">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1325DE0A">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p w14:paraId="353A81C5">
      <w:pPr>
        <w:tabs>
          <w:tab w:val="left" w:pos="465"/>
        </w:tabs>
        <w:ind w:firstLine="2783" w:firstLineChars="990"/>
        <w:rPr>
          <w:rFonts w:ascii="仿宋" w:hAnsi="仿宋" w:eastAsia="仿宋"/>
          <w:b/>
          <w:bCs/>
          <w:color w:val="000000" w:themeColor="text1"/>
          <w:sz w:val="28"/>
          <w:szCs w:val="28"/>
          <w14:textFill>
            <w14:solidFill>
              <w14:schemeClr w14:val="tx1"/>
            </w14:solidFill>
          </w14:textFill>
        </w:rPr>
      </w:pPr>
    </w:p>
    <w:p w14:paraId="7095ECCA">
      <w:pPr>
        <w:snapToGrid w:val="0"/>
        <w:spacing w:line="360" w:lineRule="auto"/>
        <w:rPr>
          <w:rFonts w:ascii="宋体" w:hAnsi="宋体"/>
          <w:b/>
          <w:color w:val="000000" w:themeColor="text1"/>
          <w14:textFill>
            <w14:solidFill>
              <w14:schemeClr w14:val="tx1"/>
            </w14:solidFill>
          </w14:textFill>
        </w:rPr>
      </w:pPr>
    </w:p>
    <w:p w14:paraId="428C6FB3">
      <w:pPr>
        <w:tabs>
          <w:tab w:val="left" w:pos="4860"/>
        </w:tabs>
        <w:spacing w:line="360" w:lineRule="auto"/>
        <w:ind w:right="1560"/>
        <w:jc w:val="left"/>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备注说明：</w:t>
      </w:r>
    </w:p>
    <w:p w14:paraId="77F0D4E9">
      <w:pPr>
        <w:spacing w:line="360" w:lineRule="auto"/>
        <w:ind w:firstLine="504" w:firstLineChars="200"/>
        <w:rPr>
          <w:rFonts w:ascii="宋体"/>
          <w:color w:val="000000" w:themeColor="text1"/>
          <w:spacing w:val="6"/>
          <w14:textFill>
            <w14:solidFill>
              <w14:schemeClr w14:val="tx1"/>
            </w14:solidFill>
          </w14:textFill>
        </w:rPr>
      </w:pPr>
      <w:r>
        <w:rPr>
          <w:rFonts w:hint="eastAsia" w:ascii="宋体"/>
          <w:color w:val="000000" w:themeColor="text1"/>
          <w:spacing w:val="6"/>
          <w14:textFill>
            <w14:solidFill>
              <w14:schemeClr w14:val="tx1"/>
            </w14:solidFill>
          </w14:textFill>
        </w:rPr>
        <w:t>1、如成交，将在成交公告中将此残疾人福利性单位声明函予以公示，接受社会监督；</w:t>
      </w:r>
    </w:p>
    <w:p w14:paraId="19A71CA8">
      <w:pPr>
        <w:spacing w:line="360" w:lineRule="auto"/>
        <w:ind w:firstLine="504" w:firstLineChars="200"/>
        <w:rPr>
          <w:rFonts w:ascii="宋体"/>
          <w:color w:val="000000" w:themeColor="text1"/>
          <w:spacing w:val="6"/>
          <w14:textFill>
            <w14:solidFill>
              <w14:schemeClr w14:val="tx1"/>
            </w14:solidFill>
          </w14:textFill>
        </w:rPr>
      </w:pPr>
      <w:r>
        <w:rPr>
          <w:rFonts w:ascii="宋体"/>
          <w:color w:val="000000" w:themeColor="text1"/>
          <w:spacing w:val="6"/>
          <w14:textFill>
            <w14:solidFill>
              <w14:schemeClr w14:val="tx1"/>
            </w14:solidFill>
          </w14:textFill>
        </w:rPr>
        <w:t>2</w:t>
      </w:r>
      <w:r>
        <w:rPr>
          <w:rFonts w:hint="eastAsia" w:ascii="宋体"/>
          <w:color w:val="000000" w:themeColor="text1"/>
          <w:spacing w:val="6"/>
          <w14:textFill>
            <w14:solidFill>
              <w14:schemeClr w14:val="tx1"/>
            </w14:solidFill>
          </w14:textFill>
        </w:rPr>
        <w:t>、供应商提供的《残疾人福利性单位声明函》与事实不符的，依照《政府采购法》第七十七条第一款的规定追究法律责任。</w:t>
      </w:r>
    </w:p>
    <w:p w14:paraId="7FF19CBA">
      <w:pPr>
        <w:widowControl/>
        <w:spacing w:line="24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14:paraId="108FCA54">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附件2</w:t>
      </w:r>
    </w:p>
    <w:p w14:paraId="46BE85FE">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监狱企业声明函</w:t>
      </w:r>
    </w:p>
    <w:p w14:paraId="6581EB92">
      <w:pPr>
        <w:widowControl/>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【非监狱企业的不用提供】</w:t>
      </w:r>
    </w:p>
    <w:p w14:paraId="5FF7A9CA">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p>
    <w:p w14:paraId="62F3DC11">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本企业郑重声明，根据《关于政府采购支持监狱企业发展有关问题的通知》(财库[2014]68 号）的规定，本企业为监狱企业。 </w:t>
      </w:r>
    </w:p>
    <w:p w14:paraId="45AC2F80">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根据上述标准，我企业属于监狱企业的理由为: </w:t>
      </w:r>
    </w:p>
    <w:p w14:paraId="51FF2456">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本企业为参加 (项目名称)(项目编号: )采购活动提供本企业的产品。 </w:t>
      </w:r>
    </w:p>
    <w:p w14:paraId="68018C4B">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本企业对上述声明的真实性负责。如有虚假，将依法承担相应责任。 </w:t>
      </w:r>
    </w:p>
    <w:p w14:paraId="0316AFA6">
      <w:pPr>
        <w:widowControl/>
        <w:spacing w:line="360" w:lineRule="auto"/>
        <w:jc w:val="left"/>
        <w:rPr>
          <w:rFonts w:ascii="宋体" w:hAnsi="宋体" w:cs="宋体"/>
          <w:color w:val="000000" w:themeColor="text1"/>
          <w:kern w:val="0"/>
          <w14:textFill>
            <w14:solidFill>
              <w14:schemeClr w14:val="tx1"/>
            </w14:solidFill>
          </w14:textFill>
        </w:rPr>
      </w:pPr>
    </w:p>
    <w:p w14:paraId="2AFE5768">
      <w:pPr>
        <w:widowControl/>
        <w:spacing w:line="360" w:lineRule="auto"/>
        <w:jc w:val="left"/>
        <w:rPr>
          <w:rFonts w:ascii="宋体" w:hAnsi="宋体" w:cs="宋体"/>
          <w:color w:val="000000" w:themeColor="text1"/>
          <w:kern w:val="0"/>
          <w14:textFill>
            <w14:solidFill>
              <w14:schemeClr w14:val="tx1"/>
            </w14:solidFill>
          </w14:textFill>
        </w:rPr>
      </w:pPr>
    </w:p>
    <w:p w14:paraId="66AB2590">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供应商名称(盖章) : </w:t>
      </w:r>
    </w:p>
    <w:p w14:paraId="6AB5B5E0">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日期: 年 月 日 </w:t>
      </w:r>
    </w:p>
    <w:p w14:paraId="35E7FFD4">
      <w:pPr>
        <w:widowControl/>
        <w:spacing w:line="360" w:lineRule="auto"/>
        <w:jc w:val="left"/>
        <w:rPr>
          <w:rFonts w:ascii="宋体" w:hAnsi="宋体" w:cs="宋体"/>
          <w:color w:val="000000" w:themeColor="text1"/>
          <w:kern w:val="0"/>
          <w14:textFill>
            <w14:solidFill>
              <w14:schemeClr w14:val="tx1"/>
            </w14:solidFill>
          </w14:textFill>
        </w:rPr>
      </w:pPr>
    </w:p>
    <w:p w14:paraId="3B8AC056">
      <w:pPr>
        <w:widowControl/>
        <w:spacing w:line="360" w:lineRule="auto"/>
        <w:jc w:val="left"/>
        <w:rPr>
          <w:rFonts w:ascii="宋体" w:hAnsi="宋体" w:cs="宋体"/>
          <w:color w:val="000000" w:themeColor="text1"/>
          <w:kern w:val="0"/>
          <w14:textFill>
            <w14:solidFill>
              <w14:schemeClr w14:val="tx1"/>
            </w14:solidFill>
          </w14:textFill>
        </w:rPr>
      </w:pPr>
    </w:p>
    <w:p w14:paraId="149CB6E0">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监狱企业参加政府采购活动时，应当提供由省级以上监狱管理局、戒毒管理局(新 疆生产建设兵团)出具的属于监狱企业的证明文件。</w:t>
      </w:r>
    </w:p>
    <w:p w14:paraId="4304C911">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6AC6A6">
      <w:pPr>
        <w:rPr>
          <w:b/>
          <w:bCs/>
        </w:rPr>
      </w:pPr>
    </w:p>
    <w:sectPr>
      <w:footerReference r:id="rId7" w:type="default"/>
      <w:pgSz w:w="11906" w:h="16838"/>
      <w:pgMar w:top="1440" w:right="1418" w:bottom="1440" w:left="1418" w:header="1020"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AD3E">
    <w:pPr>
      <w:pStyle w:val="18"/>
      <w:jc w:val="center"/>
    </w:pPr>
  </w:p>
  <w:p w14:paraId="38E3474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870451"/>
    </w:sdtPr>
    <w:sdtContent>
      <w:p w14:paraId="11BA5CC9">
        <w:pPr>
          <w:pStyle w:val="18"/>
          <w:pBdr>
            <w:top w:val="single" w:color="auto" w:sz="4" w:space="1"/>
          </w:pBdr>
          <w:jc w:val="center"/>
        </w:pPr>
        <w:r>
          <w:fldChar w:fldCharType="begin"/>
        </w:r>
        <w:r>
          <w:instrText xml:space="preserve">PAGE   \* MERGEFORMAT</w:instrText>
        </w:r>
        <w:r>
          <w:fldChar w:fldCharType="separate"/>
        </w:r>
        <w:r>
          <w:rPr>
            <w:lang w:val="zh-CN"/>
          </w:rPr>
          <w:t>41</w:t>
        </w:r>
        <w:r>
          <w:fldChar w:fldCharType="end"/>
        </w:r>
      </w:p>
    </w:sdtContent>
  </w:sdt>
  <w:p w14:paraId="086C93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2F8C">
    <w:pPr>
      <w:pStyle w:val="19"/>
      <w:rPr>
        <w:rFonts w:ascii="宋体" w:hAnsi="宋体"/>
      </w:rPr>
    </w:pPr>
    <w:r>
      <w:rPr>
        <w:rFonts w:hint="eastAsia" w:ascii="宋体" w:hAnsi="宋体"/>
      </w:rPr>
      <w:t xml:space="preserve">湖州职业技术学院教学实训设备搬迁服务项目 </w:t>
    </w:r>
    <w:r>
      <w:rPr>
        <w:rFonts w:ascii="宋体" w:hAnsi="宋体"/>
      </w:rPr>
      <w:t xml:space="preserve">                                  </w:t>
    </w:r>
    <w:r>
      <w:rPr>
        <w:rFonts w:hint="eastAsia" w:ascii="宋体" w:hAnsi="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D7D7A"/>
    <w:multiLevelType w:val="singleLevel"/>
    <w:tmpl w:val="8CCD7D7A"/>
    <w:lvl w:ilvl="0" w:tentative="0">
      <w:start w:val="1"/>
      <w:numFmt w:val="decimal"/>
      <w:lvlText w:val="(%1)"/>
      <w:lvlJc w:val="left"/>
      <w:pPr>
        <w:tabs>
          <w:tab w:val="left" w:pos="420"/>
        </w:tabs>
        <w:ind w:left="845" w:hanging="425"/>
      </w:pPr>
      <w:rPr>
        <w:rFonts w:hint="default"/>
      </w:rPr>
    </w:lvl>
  </w:abstractNum>
  <w:abstractNum w:abstractNumId="1">
    <w:nsid w:val="DC6E1F12"/>
    <w:multiLevelType w:val="singleLevel"/>
    <w:tmpl w:val="DC6E1F12"/>
    <w:lvl w:ilvl="0" w:tentative="0">
      <w:start w:val="1"/>
      <w:numFmt w:val="decimal"/>
      <w:lvlText w:val="%1."/>
      <w:lvlJc w:val="left"/>
      <w:pPr>
        <w:tabs>
          <w:tab w:val="left" w:pos="312"/>
        </w:tabs>
      </w:pPr>
    </w:lvl>
  </w:abstractNum>
  <w:abstractNum w:abstractNumId="2">
    <w:nsid w:val="E444F7FA"/>
    <w:multiLevelType w:val="singleLevel"/>
    <w:tmpl w:val="E444F7FA"/>
    <w:lvl w:ilvl="0" w:tentative="0">
      <w:start w:val="1"/>
      <w:numFmt w:val="ideographTraditional"/>
      <w:suff w:val="nothing"/>
      <w:lvlText w:val="%1、"/>
      <w:lvlJc w:val="left"/>
      <w:rPr>
        <w:rFonts w:hint="eastAsia"/>
      </w:rPr>
    </w:lvl>
  </w:abstractNum>
  <w:abstractNum w:abstractNumId="3">
    <w:nsid w:val="3C223E26"/>
    <w:multiLevelType w:val="singleLevel"/>
    <w:tmpl w:val="3C223E26"/>
    <w:lvl w:ilvl="0" w:tentative="0">
      <w:start w:val="2"/>
      <w:numFmt w:val="decimal"/>
      <w:suff w:val="nothing"/>
      <w:lvlText w:val="（%1）"/>
      <w:lvlJc w:val="left"/>
    </w:lvl>
  </w:abstractNum>
  <w:abstractNum w:abstractNumId="4">
    <w:nsid w:val="5A3A4967"/>
    <w:multiLevelType w:val="singleLevel"/>
    <w:tmpl w:val="5A3A4967"/>
    <w:lvl w:ilvl="0" w:tentative="0">
      <w:start w:val="1"/>
      <w:numFmt w:val="decimal"/>
      <w:lvlText w:val="(%1)"/>
      <w:lvlJc w:val="left"/>
      <w:pPr>
        <w:tabs>
          <w:tab w:val="left" w:pos="420"/>
        </w:tabs>
        <w:ind w:left="845" w:hanging="425"/>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8A"/>
    <w:rsid w:val="00005CB5"/>
    <w:rsid w:val="00013AD3"/>
    <w:rsid w:val="000228C1"/>
    <w:rsid w:val="000451FF"/>
    <w:rsid w:val="0006153E"/>
    <w:rsid w:val="000731FF"/>
    <w:rsid w:val="00083517"/>
    <w:rsid w:val="000C6106"/>
    <w:rsid w:val="00102ED4"/>
    <w:rsid w:val="00130A66"/>
    <w:rsid w:val="00131B2F"/>
    <w:rsid w:val="001531B6"/>
    <w:rsid w:val="001547B0"/>
    <w:rsid w:val="00170C3C"/>
    <w:rsid w:val="00184D5A"/>
    <w:rsid w:val="00195DA5"/>
    <w:rsid w:val="001A400D"/>
    <w:rsid w:val="001B5592"/>
    <w:rsid w:val="001F585F"/>
    <w:rsid w:val="002018BE"/>
    <w:rsid w:val="00242CE5"/>
    <w:rsid w:val="002624E1"/>
    <w:rsid w:val="00266964"/>
    <w:rsid w:val="00271AAB"/>
    <w:rsid w:val="002C4712"/>
    <w:rsid w:val="002D2046"/>
    <w:rsid w:val="002E68C7"/>
    <w:rsid w:val="0030252E"/>
    <w:rsid w:val="00312B0C"/>
    <w:rsid w:val="003159FA"/>
    <w:rsid w:val="00331818"/>
    <w:rsid w:val="00345BCE"/>
    <w:rsid w:val="003A7807"/>
    <w:rsid w:val="003C6658"/>
    <w:rsid w:val="003D77C6"/>
    <w:rsid w:val="003E133B"/>
    <w:rsid w:val="003F0894"/>
    <w:rsid w:val="003F5B23"/>
    <w:rsid w:val="003F715C"/>
    <w:rsid w:val="003F74E0"/>
    <w:rsid w:val="00402724"/>
    <w:rsid w:val="00422179"/>
    <w:rsid w:val="00455EB1"/>
    <w:rsid w:val="00482EE0"/>
    <w:rsid w:val="0048683F"/>
    <w:rsid w:val="004907FC"/>
    <w:rsid w:val="004A109E"/>
    <w:rsid w:val="004C0A44"/>
    <w:rsid w:val="004D13A5"/>
    <w:rsid w:val="004F2547"/>
    <w:rsid w:val="004F7443"/>
    <w:rsid w:val="005074CD"/>
    <w:rsid w:val="0051275B"/>
    <w:rsid w:val="00552DCA"/>
    <w:rsid w:val="005A2B4F"/>
    <w:rsid w:val="005B42AF"/>
    <w:rsid w:val="005B58BA"/>
    <w:rsid w:val="005B7F9B"/>
    <w:rsid w:val="005E7BD7"/>
    <w:rsid w:val="005F541D"/>
    <w:rsid w:val="00606E1F"/>
    <w:rsid w:val="0061489A"/>
    <w:rsid w:val="00640100"/>
    <w:rsid w:val="00643C52"/>
    <w:rsid w:val="00661EDD"/>
    <w:rsid w:val="006803C1"/>
    <w:rsid w:val="00686B35"/>
    <w:rsid w:val="006A2550"/>
    <w:rsid w:val="006E66AD"/>
    <w:rsid w:val="006F4854"/>
    <w:rsid w:val="0070466D"/>
    <w:rsid w:val="007113B7"/>
    <w:rsid w:val="00762E09"/>
    <w:rsid w:val="00771222"/>
    <w:rsid w:val="00777EEE"/>
    <w:rsid w:val="007958F2"/>
    <w:rsid w:val="007A5A53"/>
    <w:rsid w:val="007E71FC"/>
    <w:rsid w:val="00840E04"/>
    <w:rsid w:val="00843695"/>
    <w:rsid w:val="00856B44"/>
    <w:rsid w:val="008614CB"/>
    <w:rsid w:val="00873DAC"/>
    <w:rsid w:val="008E097D"/>
    <w:rsid w:val="008E78A3"/>
    <w:rsid w:val="00932B3A"/>
    <w:rsid w:val="00971D8A"/>
    <w:rsid w:val="009A089C"/>
    <w:rsid w:val="009E6E2F"/>
    <w:rsid w:val="00A66A76"/>
    <w:rsid w:val="00A70005"/>
    <w:rsid w:val="00A84E54"/>
    <w:rsid w:val="00A941AE"/>
    <w:rsid w:val="00AD3928"/>
    <w:rsid w:val="00B25E2B"/>
    <w:rsid w:val="00B4062D"/>
    <w:rsid w:val="00B77F2F"/>
    <w:rsid w:val="00B96253"/>
    <w:rsid w:val="00B96F9C"/>
    <w:rsid w:val="00BF445E"/>
    <w:rsid w:val="00C00B24"/>
    <w:rsid w:val="00C049AA"/>
    <w:rsid w:val="00C246BD"/>
    <w:rsid w:val="00C51B5D"/>
    <w:rsid w:val="00C5764B"/>
    <w:rsid w:val="00C73CCE"/>
    <w:rsid w:val="00C87D1C"/>
    <w:rsid w:val="00C90DAF"/>
    <w:rsid w:val="00CA2D1F"/>
    <w:rsid w:val="00CC13A4"/>
    <w:rsid w:val="00CF7617"/>
    <w:rsid w:val="00D4021B"/>
    <w:rsid w:val="00D40EBC"/>
    <w:rsid w:val="00D85149"/>
    <w:rsid w:val="00D8540C"/>
    <w:rsid w:val="00D874BD"/>
    <w:rsid w:val="00D92ED2"/>
    <w:rsid w:val="00DC2369"/>
    <w:rsid w:val="00DD01BE"/>
    <w:rsid w:val="00DE00E8"/>
    <w:rsid w:val="00DE07E0"/>
    <w:rsid w:val="00DF27D6"/>
    <w:rsid w:val="00DF5A58"/>
    <w:rsid w:val="00E1408B"/>
    <w:rsid w:val="00E1525B"/>
    <w:rsid w:val="00E4799D"/>
    <w:rsid w:val="00E81549"/>
    <w:rsid w:val="00E827CC"/>
    <w:rsid w:val="00E9729A"/>
    <w:rsid w:val="00EC28D7"/>
    <w:rsid w:val="00F05E48"/>
    <w:rsid w:val="00F13BA1"/>
    <w:rsid w:val="00F165BF"/>
    <w:rsid w:val="00F17E4D"/>
    <w:rsid w:val="00F3730D"/>
    <w:rsid w:val="00F52BF2"/>
    <w:rsid w:val="00F674D0"/>
    <w:rsid w:val="00F94F06"/>
    <w:rsid w:val="00FA4F25"/>
    <w:rsid w:val="00FE5F72"/>
    <w:rsid w:val="06722928"/>
    <w:rsid w:val="067601CC"/>
    <w:rsid w:val="0F371E8E"/>
    <w:rsid w:val="10F22B45"/>
    <w:rsid w:val="127C191E"/>
    <w:rsid w:val="127F48AC"/>
    <w:rsid w:val="17C50FB3"/>
    <w:rsid w:val="188943E0"/>
    <w:rsid w:val="1B2E6E70"/>
    <w:rsid w:val="1B6805D3"/>
    <w:rsid w:val="1ED2706D"/>
    <w:rsid w:val="20BC0BE2"/>
    <w:rsid w:val="26E847D0"/>
    <w:rsid w:val="2B4D6319"/>
    <w:rsid w:val="32342B66"/>
    <w:rsid w:val="3594183F"/>
    <w:rsid w:val="35FF230D"/>
    <w:rsid w:val="36184902"/>
    <w:rsid w:val="39CB0253"/>
    <w:rsid w:val="39E52B57"/>
    <w:rsid w:val="3B954675"/>
    <w:rsid w:val="3C241E9D"/>
    <w:rsid w:val="3D9557FB"/>
    <w:rsid w:val="413A0B2D"/>
    <w:rsid w:val="435123C6"/>
    <w:rsid w:val="44EA5589"/>
    <w:rsid w:val="46333408"/>
    <w:rsid w:val="47DC2DC6"/>
    <w:rsid w:val="47F873DE"/>
    <w:rsid w:val="4AEF3676"/>
    <w:rsid w:val="4B531E57"/>
    <w:rsid w:val="4B572E0E"/>
    <w:rsid w:val="4C266A57"/>
    <w:rsid w:val="52061EC8"/>
    <w:rsid w:val="53110E18"/>
    <w:rsid w:val="53601115"/>
    <w:rsid w:val="54AE00FE"/>
    <w:rsid w:val="58550FBC"/>
    <w:rsid w:val="5AE97A2A"/>
    <w:rsid w:val="5DD34990"/>
    <w:rsid w:val="61612A8C"/>
    <w:rsid w:val="63232AE4"/>
    <w:rsid w:val="64302B5C"/>
    <w:rsid w:val="66473D13"/>
    <w:rsid w:val="66F01DA5"/>
    <w:rsid w:val="67050CAA"/>
    <w:rsid w:val="6A3F637D"/>
    <w:rsid w:val="6CB150B1"/>
    <w:rsid w:val="6E056B89"/>
    <w:rsid w:val="784F6FA6"/>
    <w:rsid w:val="79E21CE4"/>
    <w:rsid w:val="7AC67DCB"/>
    <w:rsid w:val="7BB45A0A"/>
    <w:rsid w:val="7C4133B0"/>
    <w:rsid w:val="7D3C2E55"/>
    <w:rsid w:val="7D78412A"/>
    <w:rsid w:val="7DEE3196"/>
    <w:rsid w:val="7F69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eastAsia="宋体" w:asciiTheme="minorHAnsi" w:hAnsiTheme="minorHAnsi" w:cstheme="minorBidi"/>
      <w:kern w:val="2"/>
      <w:sz w:val="24"/>
      <w:szCs w:val="22"/>
      <w:lang w:val="en-US" w:eastAsia="zh-CN" w:bidi="ar-SA"/>
    </w:rPr>
  </w:style>
  <w:style w:type="paragraph" w:styleId="4">
    <w:name w:val="heading 1"/>
    <w:basedOn w:val="1"/>
    <w:next w:val="1"/>
    <w:link w:val="31"/>
    <w:qFormat/>
    <w:uiPriority w:val="9"/>
    <w:pPr>
      <w:keepNext/>
      <w:keepLines/>
      <w:spacing w:before="240" w:after="240" w:line="600" w:lineRule="exact"/>
      <w:jc w:val="center"/>
      <w:outlineLvl w:val="0"/>
    </w:pPr>
    <w:rPr>
      <w:b/>
      <w:bCs/>
      <w:kern w:val="44"/>
      <w:sz w:val="36"/>
      <w:szCs w:val="44"/>
    </w:rPr>
  </w:style>
  <w:style w:type="paragraph" w:styleId="5">
    <w:name w:val="heading 2"/>
    <w:basedOn w:val="1"/>
    <w:next w:val="1"/>
    <w:link w:val="40"/>
    <w:unhideWhenUsed/>
    <w:qFormat/>
    <w:uiPriority w:val="9"/>
    <w:pPr>
      <w:keepNext/>
      <w:keepLines/>
      <w:spacing w:before="120" w:after="120" w:line="400" w:lineRule="exact"/>
      <w:outlineLvl w:val="1"/>
    </w:pPr>
    <w:rPr>
      <w:rFonts w:asciiTheme="majorHAnsi" w:hAnsiTheme="majorHAnsi" w:cstheme="majorBidi"/>
      <w:b/>
      <w:bCs/>
      <w:sz w:val="32"/>
      <w:szCs w:val="32"/>
    </w:rPr>
  </w:style>
  <w:style w:type="paragraph" w:styleId="6">
    <w:name w:val="heading 4"/>
    <w:basedOn w:val="1"/>
    <w:next w:val="1"/>
    <w:link w:val="42"/>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39"/>
    <w:semiHidden/>
    <w:unhideWhenUsed/>
    <w:qFormat/>
    <w:uiPriority w:val="9"/>
    <w:pPr>
      <w:keepNext/>
      <w:keepLines/>
      <w:spacing w:before="280" w:after="290" w:line="376" w:lineRule="atLeast"/>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8">
    <w:name w:val="Normal Indent"/>
    <w:basedOn w:val="1"/>
    <w:next w:val="1"/>
    <w:link w:val="44"/>
    <w:semiHidden/>
    <w:unhideWhenUsed/>
    <w:qFormat/>
    <w:uiPriority w:val="0"/>
    <w:pPr>
      <w:spacing w:line="240" w:lineRule="auto"/>
      <w:ind w:firstLine="420"/>
    </w:pPr>
    <w:rPr>
      <w:rFonts w:ascii="宋体" w:hAnsi="Courier New"/>
      <w:sz w:val="21"/>
    </w:rPr>
  </w:style>
  <w:style w:type="paragraph" w:styleId="9">
    <w:name w:val="caption"/>
    <w:basedOn w:val="1"/>
    <w:next w:val="1"/>
    <w:link w:val="45"/>
    <w:semiHidden/>
    <w:unhideWhenUsed/>
    <w:qFormat/>
    <w:uiPriority w:val="0"/>
    <w:pPr>
      <w:spacing w:before="152" w:after="160" w:line="240" w:lineRule="auto"/>
    </w:pPr>
    <w:rPr>
      <w:rFonts w:ascii="Arial" w:hAnsi="Arial" w:eastAsia="黑体" w:cs="Arial"/>
      <w:sz w:val="21"/>
    </w:rPr>
  </w:style>
  <w:style w:type="paragraph" w:styleId="10">
    <w:name w:val="Body Text"/>
    <w:basedOn w:val="1"/>
    <w:next w:val="11"/>
    <w:link w:val="37"/>
    <w:qFormat/>
    <w:uiPriority w:val="1"/>
    <w:pPr>
      <w:autoSpaceDE w:val="0"/>
      <w:autoSpaceDN w:val="0"/>
      <w:spacing w:line="240" w:lineRule="auto"/>
      <w:jc w:val="left"/>
    </w:pPr>
    <w:rPr>
      <w:rFonts w:ascii="宋体" w:hAnsi="宋体" w:cs="宋体"/>
      <w:kern w:val="0"/>
      <w:szCs w:val="24"/>
    </w:rPr>
  </w:style>
  <w:style w:type="paragraph" w:styleId="11">
    <w:name w:val="Body Text First Indent"/>
    <w:basedOn w:val="10"/>
    <w:next w:val="1"/>
    <w:link w:val="43"/>
    <w:semiHidden/>
    <w:unhideWhenUsed/>
    <w:qFormat/>
    <w:uiPriority w:val="99"/>
    <w:pPr>
      <w:autoSpaceDE/>
      <w:autoSpaceDN/>
      <w:spacing w:after="120" w:line="500" w:lineRule="exact"/>
      <w:ind w:firstLine="420" w:firstLineChars="100"/>
      <w:jc w:val="both"/>
    </w:pPr>
    <w:rPr>
      <w:rFonts w:asciiTheme="minorHAnsi" w:hAnsiTheme="minorHAnsi" w:cstheme="minorBidi"/>
      <w:kern w:val="2"/>
      <w:szCs w:val="22"/>
    </w:rPr>
  </w:style>
  <w:style w:type="paragraph" w:styleId="12">
    <w:name w:val="Body Text Indent"/>
    <w:basedOn w:val="1"/>
    <w:next w:val="13"/>
    <w:link w:val="48"/>
    <w:semiHidden/>
    <w:unhideWhenUsed/>
    <w:qFormat/>
    <w:uiPriority w:val="99"/>
    <w:pPr>
      <w:spacing w:after="120"/>
      <w:ind w:left="420" w:leftChars="200"/>
    </w:pPr>
  </w:style>
  <w:style w:type="paragraph" w:styleId="13">
    <w:name w:val="Body Text First Indent 2"/>
    <w:basedOn w:val="12"/>
    <w:next w:val="1"/>
    <w:link w:val="49"/>
    <w:semiHidden/>
    <w:unhideWhenUsed/>
    <w:qFormat/>
    <w:uiPriority w:val="99"/>
    <w:pPr>
      <w:ind w:firstLine="420" w:firstLineChars="200"/>
    </w:pPr>
  </w:style>
  <w:style w:type="paragraph" w:styleId="14">
    <w:name w:val="Plain Text"/>
    <w:basedOn w:val="1"/>
    <w:next w:val="1"/>
    <w:link w:val="35"/>
    <w:unhideWhenUsed/>
    <w:qFormat/>
    <w:uiPriority w:val="0"/>
    <w:pPr>
      <w:spacing w:line="240" w:lineRule="auto"/>
    </w:pPr>
    <w:rPr>
      <w:rFonts w:ascii="宋体" w:hAnsi="Courier New" w:cs="Times New Roman"/>
      <w:sz w:val="21"/>
      <w:szCs w:val="20"/>
    </w:rPr>
  </w:style>
  <w:style w:type="paragraph" w:styleId="15">
    <w:name w:val="Date"/>
    <w:basedOn w:val="1"/>
    <w:next w:val="1"/>
    <w:link w:val="36"/>
    <w:semiHidden/>
    <w:unhideWhenUsed/>
    <w:qFormat/>
    <w:uiPriority w:val="99"/>
    <w:pPr>
      <w:ind w:left="100" w:leftChars="2500"/>
    </w:pPr>
  </w:style>
  <w:style w:type="paragraph" w:styleId="16">
    <w:name w:val="Body Text Indent 2"/>
    <w:basedOn w:val="1"/>
    <w:link w:val="50"/>
    <w:semiHidden/>
    <w:unhideWhenUsed/>
    <w:qFormat/>
    <w:uiPriority w:val="99"/>
    <w:pPr>
      <w:spacing w:after="120" w:line="480" w:lineRule="auto"/>
      <w:ind w:left="420" w:leftChars="200"/>
    </w:pPr>
  </w:style>
  <w:style w:type="paragraph" w:styleId="17">
    <w:name w:val="Balloon Text"/>
    <w:basedOn w:val="1"/>
    <w:link w:val="52"/>
    <w:semiHidden/>
    <w:unhideWhenUsed/>
    <w:qFormat/>
    <w:uiPriority w:val="99"/>
    <w:pPr>
      <w:spacing w:line="240" w:lineRule="auto"/>
    </w:pPr>
    <w:rPr>
      <w:sz w:val="18"/>
      <w:szCs w:val="18"/>
    </w:rPr>
  </w:style>
  <w:style w:type="paragraph" w:styleId="18">
    <w:name w:val="footer"/>
    <w:basedOn w:val="1"/>
    <w:link w:val="30"/>
    <w:unhideWhenUsed/>
    <w:qFormat/>
    <w:uiPriority w:val="99"/>
    <w:pPr>
      <w:tabs>
        <w:tab w:val="center" w:pos="4153"/>
        <w:tab w:val="right" w:pos="8306"/>
      </w:tabs>
      <w:snapToGrid w:val="0"/>
      <w:spacing w:line="240" w:lineRule="atLeast"/>
      <w:jc w:val="left"/>
    </w:pPr>
    <w:rPr>
      <w:sz w:val="18"/>
      <w:szCs w:val="18"/>
    </w:rPr>
  </w:style>
  <w:style w:type="paragraph" w:styleId="19">
    <w:name w:val="header"/>
    <w:basedOn w:val="1"/>
    <w:link w:val="2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style>
  <w:style w:type="paragraph" w:styleId="21">
    <w:name w:val="toc 6"/>
    <w:basedOn w:val="1"/>
    <w:next w:val="1"/>
    <w:qFormat/>
    <w:uiPriority w:val="0"/>
    <w:pPr>
      <w:ind w:left="2100" w:leftChars="1000"/>
    </w:pPr>
  </w:style>
  <w:style w:type="paragraph" w:styleId="22">
    <w:name w:val="toc 2"/>
    <w:basedOn w:val="1"/>
    <w:next w:val="1"/>
    <w:unhideWhenUsed/>
    <w:qFormat/>
    <w:uiPriority w:val="39"/>
    <w:pPr>
      <w:ind w:left="420" w:leftChars="200"/>
    </w:pPr>
  </w:style>
  <w:style w:type="paragraph" w:styleId="23">
    <w:name w:val="Body Text 2"/>
    <w:basedOn w:val="1"/>
    <w:link w:val="46"/>
    <w:semiHidden/>
    <w:unhideWhenUsed/>
    <w:qFormat/>
    <w:uiPriority w:val="0"/>
    <w:pPr>
      <w:spacing w:after="120" w:line="480" w:lineRule="auto"/>
    </w:pPr>
    <w:rPr>
      <w:rFonts w:ascii="Times New Roman" w:hAnsi="Times New Roman" w:cs="Times New Roman"/>
      <w:sz w:val="21"/>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paragraph" w:customStyle="1" w:styleId="28">
    <w:name w:val="表格文字"/>
    <w:basedOn w:val="1"/>
    <w:next w:val="10"/>
    <w:qFormat/>
    <w:uiPriority w:val="0"/>
    <w:pPr>
      <w:adjustRightInd w:val="0"/>
      <w:spacing w:line="420" w:lineRule="atLeast"/>
      <w:jc w:val="left"/>
      <w:textAlignment w:val="baseline"/>
    </w:pPr>
    <w:rPr>
      <w:rFonts w:ascii="Times New Roman" w:hAnsi="Times New Roman"/>
      <w:kern w:val="0"/>
    </w:rPr>
  </w:style>
  <w:style w:type="character" w:customStyle="1" w:styleId="29">
    <w:name w:val="页眉 Char"/>
    <w:basedOn w:val="26"/>
    <w:link w:val="19"/>
    <w:qFormat/>
    <w:uiPriority w:val="99"/>
    <w:rPr>
      <w:rFonts w:eastAsia="仿宋"/>
      <w:sz w:val="18"/>
      <w:szCs w:val="18"/>
    </w:rPr>
  </w:style>
  <w:style w:type="character" w:customStyle="1" w:styleId="30">
    <w:name w:val="页脚 Char"/>
    <w:basedOn w:val="26"/>
    <w:link w:val="18"/>
    <w:qFormat/>
    <w:uiPriority w:val="99"/>
    <w:rPr>
      <w:rFonts w:eastAsia="仿宋"/>
      <w:sz w:val="18"/>
      <w:szCs w:val="18"/>
    </w:rPr>
  </w:style>
  <w:style w:type="character" w:customStyle="1" w:styleId="31">
    <w:name w:val="标题 1 Char"/>
    <w:basedOn w:val="26"/>
    <w:link w:val="4"/>
    <w:qFormat/>
    <w:uiPriority w:val="9"/>
    <w:rPr>
      <w:rFonts w:eastAsia="宋体"/>
      <w:b/>
      <w:bCs/>
      <w:kern w:val="44"/>
      <w:sz w:val="36"/>
      <w:szCs w:val="44"/>
    </w:rPr>
  </w:style>
  <w:style w:type="paragraph" w:customStyle="1" w:styleId="32">
    <w:name w:val="正文段"/>
    <w:basedOn w:val="1"/>
    <w:qFormat/>
    <w:uiPriority w:val="0"/>
    <w:pPr>
      <w:widowControl/>
      <w:snapToGrid w:val="0"/>
      <w:spacing w:afterLines="50" w:line="240" w:lineRule="auto"/>
      <w:ind w:firstLine="200" w:firstLineChars="200"/>
    </w:pPr>
    <w:rPr>
      <w:rFonts w:ascii="Times New Roman" w:hAnsi="Times New Roman" w:cs="Times New Roman"/>
      <w:kern w:val="0"/>
      <w:szCs w:val="20"/>
    </w:rPr>
  </w:style>
  <w:style w:type="paragraph" w:styleId="33">
    <w:name w:val="List Paragraph"/>
    <w:basedOn w:val="1"/>
    <w:qFormat/>
    <w:uiPriority w:val="1"/>
    <w:pPr>
      <w:ind w:firstLine="420" w:firstLineChars="200"/>
    </w:pPr>
  </w:style>
  <w:style w:type="character" w:customStyle="1" w:styleId="34">
    <w:name w:val="未处理的提及1"/>
    <w:basedOn w:val="26"/>
    <w:semiHidden/>
    <w:unhideWhenUsed/>
    <w:qFormat/>
    <w:uiPriority w:val="99"/>
    <w:rPr>
      <w:color w:val="605E5C"/>
      <w:shd w:val="clear" w:color="auto" w:fill="E1DFDD"/>
    </w:rPr>
  </w:style>
  <w:style w:type="character" w:customStyle="1" w:styleId="35">
    <w:name w:val="纯文本 Char"/>
    <w:basedOn w:val="26"/>
    <w:link w:val="14"/>
    <w:qFormat/>
    <w:uiPriority w:val="0"/>
    <w:rPr>
      <w:rFonts w:ascii="宋体" w:hAnsi="Courier New" w:eastAsia="宋体" w:cs="Times New Roman"/>
      <w:szCs w:val="20"/>
    </w:rPr>
  </w:style>
  <w:style w:type="character" w:customStyle="1" w:styleId="36">
    <w:name w:val="日期 Char"/>
    <w:basedOn w:val="26"/>
    <w:link w:val="15"/>
    <w:semiHidden/>
    <w:qFormat/>
    <w:uiPriority w:val="99"/>
    <w:rPr>
      <w:rFonts w:eastAsia="宋体"/>
      <w:sz w:val="24"/>
    </w:rPr>
  </w:style>
  <w:style w:type="character" w:customStyle="1" w:styleId="37">
    <w:name w:val="正文文本 Char"/>
    <w:basedOn w:val="26"/>
    <w:link w:val="10"/>
    <w:qFormat/>
    <w:uiPriority w:val="1"/>
    <w:rPr>
      <w:rFonts w:ascii="宋体" w:hAnsi="宋体" w:eastAsia="宋体" w:cs="宋体"/>
      <w:kern w:val="0"/>
      <w:sz w:val="24"/>
      <w:szCs w:val="24"/>
    </w:rPr>
  </w:style>
  <w:style w:type="paragraph" w:styleId="38">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character" w:customStyle="1" w:styleId="39">
    <w:name w:val="标题 5 Char"/>
    <w:basedOn w:val="26"/>
    <w:link w:val="7"/>
    <w:semiHidden/>
    <w:qFormat/>
    <w:uiPriority w:val="9"/>
    <w:rPr>
      <w:rFonts w:eastAsia="宋体"/>
      <w:b/>
      <w:bCs/>
      <w:sz w:val="28"/>
      <w:szCs w:val="28"/>
    </w:rPr>
  </w:style>
  <w:style w:type="character" w:customStyle="1" w:styleId="40">
    <w:name w:val="标题 2 Char"/>
    <w:basedOn w:val="26"/>
    <w:link w:val="5"/>
    <w:qFormat/>
    <w:uiPriority w:val="9"/>
    <w:rPr>
      <w:rFonts w:eastAsia="宋体" w:asciiTheme="majorHAnsi" w:hAnsiTheme="majorHAnsi" w:cstheme="majorBidi"/>
      <w:b/>
      <w:bCs/>
      <w:sz w:val="32"/>
      <w:szCs w:val="32"/>
    </w:rPr>
  </w:style>
  <w:style w:type="paragraph" w:customStyle="1" w:styleId="41">
    <w:name w:val="Table Paragraph"/>
    <w:basedOn w:val="1"/>
    <w:qFormat/>
    <w:uiPriority w:val="1"/>
    <w:pPr>
      <w:autoSpaceDE w:val="0"/>
      <w:autoSpaceDN w:val="0"/>
      <w:spacing w:line="240" w:lineRule="auto"/>
      <w:jc w:val="left"/>
    </w:pPr>
    <w:rPr>
      <w:rFonts w:ascii="宋体" w:hAnsi="宋体" w:cs="宋体"/>
      <w:kern w:val="0"/>
      <w:sz w:val="22"/>
    </w:rPr>
  </w:style>
  <w:style w:type="character" w:customStyle="1" w:styleId="42">
    <w:name w:val="标题 4 Char"/>
    <w:basedOn w:val="26"/>
    <w:link w:val="6"/>
    <w:semiHidden/>
    <w:qFormat/>
    <w:uiPriority w:val="9"/>
    <w:rPr>
      <w:rFonts w:asciiTheme="majorHAnsi" w:hAnsiTheme="majorHAnsi" w:eastAsiaTheme="majorEastAsia" w:cstheme="majorBidi"/>
      <w:b/>
      <w:bCs/>
      <w:sz w:val="28"/>
      <w:szCs w:val="28"/>
    </w:rPr>
  </w:style>
  <w:style w:type="character" w:customStyle="1" w:styleId="43">
    <w:name w:val="正文首行缩进 Char"/>
    <w:basedOn w:val="37"/>
    <w:link w:val="11"/>
    <w:semiHidden/>
    <w:qFormat/>
    <w:uiPriority w:val="99"/>
    <w:rPr>
      <w:rFonts w:ascii="宋体" w:hAnsi="宋体" w:eastAsia="宋体" w:cs="宋体"/>
      <w:kern w:val="0"/>
      <w:sz w:val="24"/>
      <w:szCs w:val="24"/>
    </w:rPr>
  </w:style>
  <w:style w:type="character" w:customStyle="1" w:styleId="44">
    <w:name w:val="正文缩进 Char"/>
    <w:link w:val="8"/>
    <w:semiHidden/>
    <w:qFormat/>
    <w:locked/>
    <w:uiPriority w:val="0"/>
    <w:rPr>
      <w:rFonts w:ascii="宋体" w:hAnsi="Courier New" w:eastAsia="宋体"/>
    </w:rPr>
  </w:style>
  <w:style w:type="character" w:customStyle="1" w:styleId="45">
    <w:name w:val="题注 Char"/>
    <w:link w:val="9"/>
    <w:semiHidden/>
    <w:qFormat/>
    <w:locked/>
    <w:uiPriority w:val="0"/>
    <w:rPr>
      <w:rFonts w:ascii="Arial" w:hAnsi="Arial" w:eastAsia="黑体" w:cs="Arial"/>
    </w:rPr>
  </w:style>
  <w:style w:type="character" w:customStyle="1" w:styleId="46">
    <w:name w:val="正文文本 2 Char"/>
    <w:basedOn w:val="26"/>
    <w:link w:val="23"/>
    <w:semiHidden/>
    <w:qFormat/>
    <w:uiPriority w:val="0"/>
    <w:rPr>
      <w:rFonts w:ascii="Times New Roman" w:hAnsi="Times New Roman" w:eastAsia="宋体" w:cs="Times New Roman"/>
      <w:szCs w:val="24"/>
    </w:rPr>
  </w:style>
  <w:style w:type="paragraph" w:customStyle="1" w:styleId="47">
    <w:name w:val="TOC 标题1"/>
    <w:basedOn w:val="4"/>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8">
    <w:name w:val="正文文本缩进 Char"/>
    <w:basedOn w:val="26"/>
    <w:link w:val="12"/>
    <w:semiHidden/>
    <w:qFormat/>
    <w:uiPriority w:val="99"/>
    <w:rPr>
      <w:rFonts w:eastAsia="宋体"/>
      <w:kern w:val="2"/>
      <w:sz w:val="24"/>
      <w:szCs w:val="22"/>
    </w:rPr>
  </w:style>
  <w:style w:type="character" w:customStyle="1" w:styleId="49">
    <w:name w:val="正文首行缩进 2 Char"/>
    <w:basedOn w:val="48"/>
    <w:link w:val="13"/>
    <w:semiHidden/>
    <w:qFormat/>
    <w:uiPriority w:val="99"/>
    <w:rPr>
      <w:rFonts w:eastAsia="宋体"/>
      <w:kern w:val="2"/>
      <w:sz w:val="24"/>
      <w:szCs w:val="22"/>
    </w:rPr>
  </w:style>
  <w:style w:type="character" w:customStyle="1" w:styleId="50">
    <w:name w:val="正文文本缩进 2 Char"/>
    <w:basedOn w:val="26"/>
    <w:link w:val="16"/>
    <w:semiHidden/>
    <w:qFormat/>
    <w:uiPriority w:val="99"/>
    <w:rPr>
      <w:rFonts w:eastAsia="宋体"/>
      <w:kern w:val="2"/>
      <w:sz w:val="24"/>
      <w:szCs w:val="22"/>
    </w:rPr>
  </w:style>
  <w:style w:type="paragraph" w:customStyle="1" w:styleId="51">
    <w:name w:val="首行缩进"/>
    <w:basedOn w:val="1"/>
    <w:next w:val="10"/>
    <w:qFormat/>
    <w:uiPriority w:val="0"/>
    <w:pPr>
      <w:spacing w:line="360" w:lineRule="auto"/>
      <w:ind w:firstLine="480" w:firstLineChars="200"/>
    </w:pPr>
    <w:rPr>
      <w:rFonts w:ascii="宋体"/>
      <w:szCs w:val="20"/>
    </w:rPr>
  </w:style>
  <w:style w:type="character" w:customStyle="1" w:styleId="52">
    <w:name w:val="批注框文本 Char"/>
    <w:basedOn w:val="26"/>
    <w:link w:val="17"/>
    <w:semiHidden/>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59</Pages>
  <Words>9792</Words>
  <Characters>10618</Characters>
  <Lines>258</Lines>
  <Paragraphs>72</Paragraphs>
  <TotalTime>5</TotalTime>
  <ScaleCrop>false</ScaleCrop>
  <LinksUpToDate>false</LinksUpToDate>
  <CharactersWithSpaces>10766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2021-12-17T01:29:00Z</dcterms:created>
  <dc:creator>Administrator</dc:creator>
  <cp:lastModifiedBy>Administrator</cp:lastModifiedBy>
  <dcterms:modified xsi:type="dcterms:W3CDTF">2025-05-09T06:50:13Z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AB795B8626B04877A53122092CB9C55F_12</vt:lpwstr>
  </property>
  <property fmtid="{D5CDD505-2E9C-101B-9397-08002B2CF9AE}" pid="4" name="KSOTemplateDocerSaveRecord">
    <vt:lpwstr>eyJoZGlkIjoiOTBlODU3NmIzZDk1YjlhNTUwNGIwMjA4YjcwNWFiMmMiLCJ1c2VySWQiOiIyNDg3NDg4MDMifQ==</vt:lpwstr>
  </property>
</Properties>
</file>