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E59C7">
      <w:pPr>
        <w:spacing w:line="360" w:lineRule="auto"/>
        <w:jc w:val="center"/>
        <w:outlineLvl w:val="0"/>
        <w:rPr>
          <w:rFonts w:hint="default" w:ascii="隶书" w:hAnsi="Arial" w:eastAsia="隶书" w:cs="Arial"/>
          <w:b/>
          <w:color w:val="auto"/>
          <w:spacing w:val="-12"/>
          <w:sz w:val="44"/>
          <w:szCs w:val="44"/>
          <w:highlight w:val="none"/>
          <w:lang w:val="en-US" w:eastAsia="zh-CN"/>
        </w:rPr>
      </w:pPr>
      <w:r>
        <w:rPr>
          <w:rFonts w:hint="eastAsia" w:ascii="隶书" w:hAnsi="Arial" w:eastAsia="隶书" w:cs="Arial"/>
          <w:b/>
          <w:color w:val="auto"/>
          <w:spacing w:val="-12"/>
          <w:sz w:val="44"/>
          <w:szCs w:val="44"/>
          <w:highlight w:val="none"/>
          <w:lang w:val="en-US" w:eastAsia="zh-CN"/>
        </w:rPr>
        <w:t xml:space="preserve"> </w:t>
      </w:r>
    </w:p>
    <w:p w14:paraId="4223B38A">
      <w:pPr>
        <w:spacing w:line="360" w:lineRule="auto"/>
        <w:jc w:val="center"/>
        <w:outlineLvl w:val="0"/>
        <w:rPr>
          <w:rFonts w:hint="eastAsia" w:ascii="隶书" w:hAnsi="Arial" w:eastAsia="隶书" w:cs="Arial"/>
          <w:b/>
          <w:color w:val="auto"/>
          <w:spacing w:val="-12"/>
          <w:sz w:val="44"/>
          <w:szCs w:val="44"/>
          <w:highlight w:val="none"/>
          <w:lang w:eastAsia="zh-CN"/>
        </w:rPr>
      </w:pPr>
      <w:r>
        <w:rPr>
          <w:rFonts w:hint="eastAsia" w:ascii="隶书" w:hAnsi="Arial" w:eastAsia="隶书" w:cs="Arial"/>
          <w:b/>
          <w:color w:val="auto"/>
          <w:spacing w:val="-12"/>
          <w:sz w:val="44"/>
          <w:szCs w:val="44"/>
          <w:highlight w:val="none"/>
          <w:lang w:eastAsia="zh-CN"/>
        </w:rPr>
        <w:t>杭州市西湖区住房和城乡建设局建设工程消防验收技术服务框架协议采购项目（封闭式）</w:t>
      </w:r>
    </w:p>
    <w:p w14:paraId="504BE7D5">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default" w:ascii="隶书" w:hAnsi="Arial" w:eastAsia="隶书" w:cs="Arial"/>
          <w:b/>
          <w:color w:val="auto"/>
          <w:spacing w:val="-12"/>
          <w:sz w:val="48"/>
          <w:szCs w:val="48"/>
          <w:highlight w:val="none"/>
          <w:lang w:val="en-US" w:eastAsia="zh-CN"/>
        </w:rPr>
      </w:pPr>
    </w:p>
    <w:p w14:paraId="73BCBD21">
      <w:pPr>
        <w:pStyle w:val="9"/>
        <w:rPr>
          <w:rFonts w:hint="default"/>
          <w:color w:val="auto"/>
          <w:highlight w:val="none"/>
          <w:lang w:val="en-US" w:eastAsia="zh-CN"/>
        </w:rPr>
      </w:pPr>
    </w:p>
    <w:p w14:paraId="0D20A13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隶书" w:hAnsi="Arial" w:eastAsia="隶书" w:cs="Arial"/>
          <w:b/>
          <w:color w:val="auto"/>
          <w:sz w:val="72"/>
          <w:szCs w:val="72"/>
          <w:highlight w:val="none"/>
        </w:rPr>
      </w:pPr>
    </w:p>
    <w:p w14:paraId="57EC52C9">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隶书" w:hAnsi="Arial" w:eastAsia="隶书" w:cs="Arial"/>
          <w:b/>
          <w:color w:val="auto"/>
          <w:sz w:val="72"/>
          <w:szCs w:val="72"/>
          <w:highlight w:val="none"/>
        </w:rPr>
      </w:pPr>
      <w:r>
        <w:rPr>
          <w:rFonts w:hint="eastAsia" w:ascii="隶书" w:hAnsi="Arial" w:eastAsia="隶书" w:cs="Arial"/>
          <w:b/>
          <w:color w:val="auto"/>
          <w:sz w:val="72"/>
          <w:szCs w:val="72"/>
          <w:highlight w:val="none"/>
        </w:rPr>
        <w:t>征</w:t>
      </w:r>
    </w:p>
    <w:p w14:paraId="5C89E4BD">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隶书" w:hAnsi="Arial" w:eastAsia="隶书" w:cs="Arial"/>
          <w:b/>
          <w:color w:val="auto"/>
          <w:sz w:val="72"/>
          <w:szCs w:val="72"/>
          <w:highlight w:val="none"/>
        </w:rPr>
      </w:pPr>
      <w:r>
        <w:rPr>
          <w:rFonts w:hint="eastAsia" w:ascii="隶书" w:hAnsi="Arial" w:eastAsia="隶书" w:cs="Arial"/>
          <w:b/>
          <w:color w:val="auto"/>
          <w:sz w:val="72"/>
          <w:szCs w:val="72"/>
          <w:highlight w:val="none"/>
        </w:rPr>
        <w:t>集</w:t>
      </w:r>
    </w:p>
    <w:p w14:paraId="3B0D27B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隶书" w:hAnsi="Arial" w:eastAsia="隶书" w:cs="Arial"/>
          <w:b/>
          <w:color w:val="auto"/>
          <w:sz w:val="72"/>
          <w:szCs w:val="72"/>
          <w:highlight w:val="none"/>
        </w:rPr>
      </w:pPr>
      <w:r>
        <w:rPr>
          <w:rFonts w:hint="eastAsia" w:ascii="隶书" w:hAnsi="Arial" w:eastAsia="隶书" w:cs="Arial"/>
          <w:b/>
          <w:color w:val="auto"/>
          <w:sz w:val="72"/>
          <w:szCs w:val="72"/>
          <w:highlight w:val="none"/>
        </w:rPr>
        <w:t>文</w:t>
      </w:r>
    </w:p>
    <w:p w14:paraId="5B539228">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隶书" w:hAnsi="Arial" w:eastAsia="隶书" w:cs="Arial"/>
          <w:b/>
          <w:color w:val="auto"/>
          <w:sz w:val="72"/>
          <w:szCs w:val="72"/>
          <w:highlight w:val="none"/>
        </w:rPr>
      </w:pPr>
      <w:r>
        <w:rPr>
          <w:rFonts w:hint="eastAsia" w:ascii="隶书" w:hAnsi="Arial" w:eastAsia="隶书" w:cs="Arial"/>
          <w:b/>
          <w:color w:val="auto"/>
          <w:sz w:val="72"/>
          <w:szCs w:val="72"/>
          <w:highlight w:val="none"/>
        </w:rPr>
        <w:t>件</w:t>
      </w:r>
    </w:p>
    <w:p w14:paraId="58A9AB50">
      <w:pPr>
        <w:spacing w:line="312" w:lineRule="auto"/>
        <w:jc w:val="center"/>
        <w:rPr>
          <w:rFonts w:hint="default" w:ascii="隶书" w:eastAsia="隶书"/>
          <w:b/>
          <w:bCs w:val="0"/>
          <w:color w:val="auto"/>
          <w:sz w:val="28"/>
          <w:szCs w:val="28"/>
          <w:highlight w:val="none"/>
          <w:lang w:val="en-US" w:eastAsia="zh-CN"/>
        </w:rPr>
      </w:pPr>
      <w:r>
        <w:rPr>
          <w:rFonts w:hint="eastAsia" w:ascii="隶书" w:eastAsia="隶书"/>
          <w:b/>
          <w:bCs w:val="0"/>
          <w:color w:val="auto"/>
          <w:sz w:val="28"/>
          <w:szCs w:val="28"/>
          <w:highlight w:val="none"/>
        </w:rPr>
        <w:t>征集编号:</w:t>
      </w:r>
      <w:r>
        <w:rPr>
          <w:rFonts w:hint="eastAsia" w:ascii="隶书" w:eastAsia="隶书"/>
          <w:b/>
          <w:bCs w:val="0"/>
          <w:color w:val="auto"/>
          <w:sz w:val="28"/>
          <w:szCs w:val="28"/>
          <w:highlight w:val="none"/>
          <w:lang w:val="en-US" w:eastAsia="zh-CN"/>
        </w:rPr>
        <w:t>ZJZC-ZFGK-202504</w:t>
      </w:r>
    </w:p>
    <w:p w14:paraId="467ECC6C">
      <w:pPr>
        <w:pStyle w:val="2"/>
        <w:numPr>
          <w:ilvl w:val="0"/>
          <w:numId w:val="0"/>
        </w:numPr>
        <w:ind w:leftChars="0"/>
        <w:rPr>
          <w:color w:val="auto"/>
          <w:highlight w:val="none"/>
        </w:rPr>
      </w:pPr>
    </w:p>
    <w:p w14:paraId="7A4C9598">
      <w:pPr>
        <w:rPr>
          <w:color w:val="auto"/>
          <w:highlight w:val="none"/>
        </w:rPr>
      </w:pPr>
    </w:p>
    <w:p w14:paraId="667CD2A5">
      <w:pPr>
        <w:pStyle w:val="18"/>
        <w:rPr>
          <w:color w:val="auto"/>
          <w:highlight w:val="none"/>
        </w:rPr>
      </w:pPr>
    </w:p>
    <w:p w14:paraId="016C3DEB">
      <w:pPr>
        <w:rPr>
          <w:color w:val="auto"/>
          <w:highlight w:val="none"/>
        </w:rPr>
      </w:pPr>
    </w:p>
    <w:p w14:paraId="1F51E4EF">
      <w:pPr>
        <w:spacing w:line="312" w:lineRule="auto"/>
        <w:jc w:val="center"/>
        <w:rPr>
          <w:rFonts w:hint="eastAsia" w:ascii="隶书" w:eastAsia="隶书"/>
          <w:b/>
          <w:bCs w:val="0"/>
          <w:color w:val="auto"/>
          <w:sz w:val="28"/>
          <w:szCs w:val="28"/>
          <w:highlight w:val="none"/>
        </w:rPr>
      </w:pPr>
    </w:p>
    <w:tbl>
      <w:tblPr>
        <w:tblStyle w:val="19"/>
        <w:tblW w:w="8119" w:type="dxa"/>
        <w:jc w:val="center"/>
        <w:tblLayout w:type="fixed"/>
        <w:tblCellMar>
          <w:top w:w="0" w:type="dxa"/>
          <w:left w:w="108" w:type="dxa"/>
          <w:bottom w:w="0" w:type="dxa"/>
          <w:right w:w="108" w:type="dxa"/>
        </w:tblCellMar>
      </w:tblPr>
      <w:tblGrid>
        <w:gridCol w:w="2452"/>
        <w:gridCol w:w="5667"/>
      </w:tblGrid>
      <w:tr w14:paraId="14B17F4D">
        <w:tblPrEx>
          <w:tblCellMar>
            <w:top w:w="0" w:type="dxa"/>
            <w:left w:w="108" w:type="dxa"/>
            <w:bottom w:w="0" w:type="dxa"/>
            <w:right w:w="108" w:type="dxa"/>
          </w:tblCellMar>
        </w:tblPrEx>
        <w:trPr>
          <w:trHeight w:val="774" w:hRule="atLeast"/>
          <w:jc w:val="center"/>
        </w:trPr>
        <w:tc>
          <w:tcPr>
            <w:tcW w:w="2452" w:type="dxa"/>
            <w:vAlign w:val="center"/>
          </w:tcPr>
          <w:p w14:paraId="769CE72C">
            <w:pPr>
              <w:spacing w:line="312" w:lineRule="auto"/>
              <w:rPr>
                <w:rFonts w:ascii="隶书" w:hAnsi="宋体" w:eastAsia="隶书"/>
                <w:color w:val="auto"/>
                <w:sz w:val="28"/>
                <w:szCs w:val="28"/>
                <w:highlight w:val="none"/>
              </w:rPr>
            </w:pPr>
            <w:r>
              <w:rPr>
                <w:rFonts w:hint="eastAsia" w:ascii="隶书" w:hAnsi="宋体" w:eastAsia="隶书"/>
                <w:color w:val="auto"/>
                <w:spacing w:val="93"/>
                <w:kern w:val="0"/>
                <w:sz w:val="28"/>
                <w:szCs w:val="28"/>
                <w:highlight w:val="none"/>
              </w:rPr>
              <w:t>征集单</w:t>
            </w:r>
            <w:r>
              <w:rPr>
                <w:rFonts w:hint="eastAsia" w:ascii="隶书" w:hAnsi="宋体" w:eastAsia="隶书"/>
                <w:color w:val="auto"/>
                <w:spacing w:val="1"/>
                <w:kern w:val="0"/>
                <w:sz w:val="28"/>
                <w:szCs w:val="28"/>
                <w:highlight w:val="none"/>
              </w:rPr>
              <w:t>位</w:t>
            </w:r>
            <w:r>
              <w:rPr>
                <w:rFonts w:hint="eastAsia" w:ascii="隶书" w:hAnsi="宋体" w:eastAsia="隶书"/>
                <w:color w:val="auto"/>
                <w:sz w:val="28"/>
                <w:szCs w:val="28"/>
                <w:highlight w:val="none"/>
              </w:rPr>
              <w:t>：</w:t>
            </w:r>
          </w:p>
        </w:tc>
        <w:tc>
          <w:tcPr>
            <w:tcW w:w="5667" w:type="dxa"/>
            <w:vAlign w:val="center"/>
          </w:tcPr>
          <w:p w14:paraId="50FB2C8C">
            <w:pPr>
              <w:spacing w:line="312" w:lineRule="auto"/>
              <w:outlineLvl w:val="0"/>
              <w:rPr>
                <w:rFonts w:hint="default" w:ascii="隶书" w:hAnsi="宋体" w:eastAsia="隶书"/>
                <w:color w:val="auto"/>
                <w:sz w:val="28"/>
                <w:szCs w:val="28"/>
                <w:highlight w:val="none"/>
                <w:lang w:val="en-US"/>
              </w:rPr>
            </w:pPr>
            <w:r>
              <w:rPr>
                <w:rFonts w:hint="eastAsia" w:ascii="隶书" w:hAnsi="宋体" w:eastAsia="隶书"/>
                <w:color w:val="auto"/>
                <w:sz w:val="28"/>
                <w:szCs w:val="28"/>
                <w:highlight w:val="none"/>
                <w:lang w:eastAsia="zh-CN"/>
              </w:rPr>
              <w:t>杭州市西湖区住房和城乡建设局</w:t>
            </w:r>
          </w:p>
        </w:tc>
      </w:tr>
      <w:tr w14:paraId="7C7943C1">
        <w:tblPrEx>
          <w:tblCellMar>
            <w:top w:w="0" w:type="dxa"/>
            <w:left w:w="108" w:type="dxa"/>
            <w:bottom w:w="0" w:type="dxa"/>
            <w:right w:w="108" w:type="dxa"/>
          </w:tblCellMar>
        </w:tblPrEx>
        <w:trPr>
          <w:trHeight w:val="774" w:hRule="atLeast"/>
          <w:jc w:val="center"/>
        </w:trPr>
        <w:tc>
          <w:tcPr>
            <w:tcW w:w="2452" w:type="dxa"/>
            <w:vAlign w:val="center"/>
          </w:tcPr>
          <w:p w14:paraId="5CF07E4C">
            <w:pPr>
              <w:spacing w:line="312" w:lineRule="auto"/>
              <w:rPr>
                <w:rFonts w:ascii="隶书" w:hAnsi="宋体" w:eastAsia="隶书"/>
                <w:color w:val="auto"/>
                <w:sz w:val="28"/>
                <w:szCs w:val="28"/>
                <w:highlight w:val="none"/>
              </w:rPr>
            </w:pPr>
            <w:r>
              <w:rPr>
                <w:rFonts w:hint="eastAsia" w:ascii="隶书" w:hAnsi="宋体" w:eastAsia="隶书"/>
                <w:color w:val="auto"/>
                <w:spacing w:val="0"/>
                <w:kern w:val="0"/>
                <w:sz w:val="28"/>
                <w:szCs w:val="28"/>
                <w:highlight w:val="none"/>
                <w:fitText w:val="1680" w:id="1393580706"/>
              </w:rPr>
              <w:t>征集代理机构</w:t>
            </w:r>
            <w:r>
              <w:rPr>
                <w:rFonts w:hint="eastAsia" w:ascii="隶书" w:hAnsi="宋体" w:eastAsia="隶书"/>
                <w:color w:val="auto"/>
                <w:sz w:val="28"/>
                <w:szCs w:val="28"/>
                <w:highlight w:val="none"/>
              </w:rPr>
              <w:t>：</w:t>
            </w:r>
          </w:p>
        </w:tc>
        <w:tc>
          <w:tcPr>
            <w:tcW w:w="5667" w:type="dxa"/>
            <w:vAlign w:val="center"/>
          </w:tcPr>
          <w:p w14:paraId="5C21DC8D">
            <w:pPr>
              <w:spacing w:line="312" w:lineRule="auto"/>
              <w:rPr>
                <w:rFonts w:hint="eastAsia" w:ascii="隶书" w:hAnsi="宋体" w:eastAsia="隶书"/>
                <w:color w:val="auto"/>
                <w:sz w:val="28"/>
                <w:szCs w:val="28"/>
                <w:highlight w:val="none"/>
                <w:lang w:eastAsia="zh-CN"/>
              </w:rPr>
            </w:pPr>
            <w:r>
              <w:rPr>
                <w:rFonts w:hint="eastAsia" w:ascii="隶书" w:hAnsi="宋体" w:eastAsia="隶书"/>
                <w:color w:val="auto"/>
                <w:sz w:val="28"/>
                <w:szCs w:val="28"/>
                <w:highlight w:val="none"/>
                <w:lang w:eastAsia="zh-CN"/>
              </w:rPr>
              <w:t>浙江中诚工程管理科技有限公司</w:t>
            </w:r>
          </w:p>
        </w:tc>
      </w:tr>
      <w:tr w14:paraId="50ED2BB7">
        <w:tblPrEx>
          <w:tblCellMar>
            <w:top w:w="0" w:type="dxa"/>
            <w:left w:w="108" w:type="dxa"/>
            <w:bottom w:w="0" w:type="dxa"/>
            <w:right w:w="108" w:type="dxa"/>
          </w:tblCellMar>
        </w:tblPrEx>
        <w:trPr>
          <w:trHeight w:val="774" w:hRule="atLeast"/>
          <w:jc w:val="center"/>
        </w:trPr>
        <w:tc>
          <w:tcPr>
            <w:tcW w:w="8119" w:type="dxa"/>
            <w:gridSpan w:val="2"/>
            <w:vAlign w:val="center"/>
          </w:tcPr>
          <w:p w14:paraId="557E3A16">
            <w:pPr>
              <w:spacing w:line="312" w:lineRule="auto"/>
              <w:jc w:val="center"/>
              <w:rPr>
                <w:rFonts w:ascii="隶书" w:hAnsi="宋体" w:eastAsia="隶书"/>
                <w:color w:val="auto"/>
                <w:sz w:val="28"/>
                <w:szCs w:val="28"/>
                <w:highlight w:val="none"/>
              </w:rPr>
            </w:pPr>
            <w:r>
              <w:rPr>
                <w:rFonts w:hint="eastAsia" w:ascii="隶书" w:eastAsia="隶书"/>
                <w:color w:val="auto"/>
                <w:sz w:val="28"/>
                <w:szCs w:val="28"/>
                <w:highlight w:val="none"/>
              </w:rPr>
              <w:t>二〇二</w:t>
            </w:r>
            <w:r>
              <w:rPr>
                <w:rFonts w:hint="eastAsia" w:ascii="隶书" w:eastAsia="隶书"/>
                <w:color w:val="auto"/>
                <w:sz w:val="28"/>
                <w:szCs w:val="28"/>
                <w:highlight w:val="none"/>
                <w:lang w:val="en-US" w:eastAsia="zh-CN"/>
              </w:rPr>
              <w:t>五</w:t>
            </w:r>
            <w:r>
              <w:rPr>
                <w:rFonts w:hint="eastAsia" w:ascii="隶书" w:eastAsia="隶书"/>
                <w:color w:val="auto"/>
                <w:sz w:val="28"/>
                <w:szCs w:val="28"/>
                <w:highlight w:val="none"/>
              </w:rPr>
              <w:t>年</w:t>
            </w:r>
            <w:r>
              <w:rPr>
                <w:rFonts w:hint="eastAsia" w:ascii="隶书" w:eastAsia="隶书"/>
                <w:color w:val="auto"/>
                <w:sz w:val="28"/>
                <w:szCs w:val="28"/>
                <w:highlight w:val="none"/>
                <w:lang w:val="en-US" w:eastAsia="zh-CN"/>
              </w:rPr>
              <w:t>三</w:t>
            </w:r>
            <w:r>
              <w:rPr>
                <w:rFonts w:hint="eastAsia" w:ascii="隶书" w:eastAsia="隶书"/>
                <w:color w:val="auto"/>
                <w:sz w:val="28"/>
                <w:szCs w:val="28"/>
                <w:highlight w:val="none"/>
              </w:rPr>
              <w:t>月</w:t>
            </w:r>
          </w:p>
        </w:tc>
      </w:tr>
    </w:tbl>
    <w:p w14:paraId="27736607">
      <w:pPr>
        <w:pStyle w:val="22"/>
        <w:rPr>
          <w:rFonts w:ascii="隶书" w:eastAsia="隶书"/>
          <w:b/>
          <w:color w:val="auto"/>
          <w:sz w:val="44"/>
          <w:szCs w:val="44"/>
          <w:highlight w:val="none"/>
        </w:rPr>
      </w:pPr>
    </w:p>
    <w:p w14:paraId="74008ACA">
      <w:pPr>
        <w:pStyle w:val="22"/>
        <w:rPr>
          <w:rFonts w:ascii="隶书" w:eastAsia="隶书"/>
          <w:b/>
          <w:color w:val="auto"/>
          <w:sz w:val="44"/>
          <w:szCs w:val="44"/>
          <w:highlight w:val="none"/>
        </w:rPr>
      </w:pPr>
    </w:p>
    <w:p w14:paraId="4F31D227">
      <w:pPr>
        <w:spacing w:line="360" w:lineRule="auto"/>
        <w:jc w:val="center"/>
        <w:rPr>
          <w:rFonts w:hint="eastAsia" w:ascii="仿宋_GB2312" w:eastAsia="仿宋_GB2312"/>
          <w:b/>
          <w:color w:val="auto"/>
          <w:sz w:val="44"/>
          <w:szCs w:val="44"/>
          <w:highlight w:val="none"/>
        </w:rPr>
      </w:pPr>
    </w:p>
    <w:p w14:paraId="47ECFE42">
      <w:pPr>
        <w:spacing w:line="360" w:lineRule="auto"/>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目</w:t>
      </w:r>
      <w:r>
        <w:rPr>
          <w:rFonts w:hint="eastAsia" w:ascii="仿宋_GB2312" w:eastAsia="仿宋_GB2312"/>
          <w:b/>
          <w:color w:val="auto"/>
          <w:sz w:val="48"/>
          <w:szCs w:val="48"/>
          <w:highlight w:val="none"/>
          <w:lang w:val="en-US" w:eastAsia="zh-CN"/>
        </w:rPr>
        <w:t xml:space="preserve"> </w:t>
      </w:r>
      <w:r>
        <w:rPr>
          <w:rFonts w:hint="eastAsia" w:ascii="仿宋_GB2312" w:eastAsia="仿宋_GB2312"/>
          <w:b/>
          <w:color w:val="auto"/>
          <w:sz w:val="48"/>
          <w:szCs w:val="48"/>
          <w:highlight w:val="none"/>
        </w:rPr>
        <w:t>录</w:t>
      </w:r>
    </w:p>
    <w:p w14:paraId="5F368E79">
      <w:pPr>
        <w:spacing w:line="360" w:lineRule="auto"/>
        <w:jc w:val="center"/>
        <w:rPr>
          <w:rFonts w:ascii="隶书" w:eastAsia="隶书"/>
          <w:b/>
          <w:color w:val="auto"/>
          <w:sz w:val="44"/>
          <w:szCs w:val="44"/>
          <w:highlight w:val="none"/>
        </w:rPr>
      </w:pPr>
    </w:p>
    <w:p w14:paraId="5AEC56B3">
      <w:pPr>
        <w:spacing w:line="360" w:lineRule="auto"/>
        <w:jc w:val="center"/>
        <w:rPr>
          <w:rFonts w:ascii="隶书" w:eastAsia="隶书"/>
          <w:color w:val="auto"/>
          <w:highlight w:val="none"/>
        </w:rPr>
      </w:pPr>
    </w:p>
    <w:p w14:paraId="113641D8">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第一部分    征集公告</w:t>
      </w:r>
    </w:p>
    <w:p w14:paraId="0CC91E4A">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第二部分    投标人须知</w:t>
      </w:r>
    </w:p>
    <w:p w14:paraId="2BDDED13">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第三部分    征集项目范围及要求</w:t>
      </w:r>
    </w:p>
    <w:p w14:paraId="7C6CF4F6">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第四部分    征集办法</w:t>
      </w:r>
    </w:p>
    <w:p w14:paraId="3F654E76">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第五部分    拟签订的合同文本</w:t>
      </w:r>
    </w:p>
    <w:p w14:paraId="1ECD9404">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第六部分    考核管理</w:t>
      </w:r>
    </w:p>
    <w:p w14:paraId="1C6B22C2">
      <w:pPr>
        <w:snapToGrid w:val="0"/>
        <w:spacing w:line="36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第七部分    应提交的有关格式范例</w:t>
      </w:r>
    </w:p>
    <w:p w14:paraId="49A5CA20">
      <w:pPr>
        <w:spacing w:line="360" w:lineRule="auto"/>
        <w:rPr>
          <w:color w:val="auto"/>
          <w:highlight w:val="none"/>
        </w:rPr>
        <w:sectPr>
          <w:headerReference r:id="rId3" w:type="default"/>
          <w:pgSz w:w="11906" w:h="16838"/>
          <w:pgMar w:top="1440" w:right="1247" w:bottom="1440" w:left="1247" w:header="851" w:footer="992" w:gutter="0"/>
          <w:pgNumType w:start="1"/>
          <w:cols w:space="425" w:num="1"/>
          <w:docGrid w:type="lines" w:linePitch="312" w:charSpace="0"/>
        </w:sectPr>
      </w:pPr>
    </w:p>
    <w:p w14:paraId="269D5B94">
      <w:pPr>
        <w:spacing w:line="358"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征集公告</w:t>
      </w:r>
    </w:p>
    <w:p w14:paraId="5EA57ED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pacing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F60995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杭州市西湖区住房和城乡建设局建设工程消防验收技术服务框架协议采购项目（封闭式）</w:t>
      </w:r>
      <w:r>
        <w:rPr>
          <w:rFonts w:hint="eastAsia" w:ascii="仿宋" w:hAnsi="仿宋" w:eastAsia="仿宋" w:cs="仿宋"/>
          <w:color w:val="auto"/>
          <w:sz w:val="24"/>
          <w:szCs w:val="24"/>
          <w:highlight w:val="none"/>
        </w:rPr>
        <w:t>征集项目的潜在投标人应在政采云平台（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https://www.zcygov.cn/）获取（下载）征集文件，并于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 xml:space="preserve">（北京时间）前递交（上传）响应文件。 </w:t>
      </w:r>
    </w:p>
    <w:p w14:paraId="153216FB">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44AFEE5A">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ZJZC-ZFGK-202504</w:t>
      </w:r>
    </w:p>
    <w:p w14:paraId="3F2FCEA9">
      <w:pPr>
        <w:pStyle w:val="31"/>
        <w:keepNext w:val="0"/>
        <w:keepLines w:val="0"/>
        <w:pageBreakBefore w:val="0"/>
        <w:widowControl/>
        <w:kinsoku/>
        <w:wordWrap/>
        <w:overflowPunct/>
        <w:topLinePunct w:val="0"/>
        <w:autoSpaceDE/>
        <w:autoSpaceDN/>
        <w:bidi w:val="0"/>
        <w:adjustRightInd/>
        <w:snapToGrid w:val="0"/>
        <w:spacing w:afterLines="0"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bCs/>
          <w:color w:val="auto"/>
          <w:sz w:val="24"/>
          <w:szCs w:val="24"/>
          <w:highlight w:val="none"/>
          <w:lang w:eastAsia="zh-CN"/>
        </w:rPr>
        <w:t>杭州市西湖区住房和城乡建设局建设工程消防验收技术服务框架协议采购项目（封闭式）</w:t>
      </w:r>
    </w:p>
    <w:p w14:paraId="4F409804">
      <w:pPr>
        <w:pStyle w:val="31"/>
        <w:keepNext w:val="0"/>
        <w:keepLines w:val="0"/>
        <w:pageBreakBefore w:val="0"/>
        <w:widowControl/>
        <w:kinsoku/>
        <w:wordWrap/>
        <w:overflowPunct/>
        <w:topLinePunct w:val="0"/>
        <w:autoSpaceDE/>
        <w:autoSpaceDN/>
        <w:bidi w:val="0"/>
        <w:adjustRightInd/>
        <w:snapToGrid w:val="0"/>
        <w:spacing w:afterLines="0"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预算金额（元）：1312.64万元（其中：2025年</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512.64万；2026年</w:t>
      </w:r>
      <w:r>
        <w:rPr>
          <w:rFonts w:hint="eastAsia" w:ascii="仿宋" w:hAnsi="仿宋" w:eastAsia="仿宋" w:cs="仿宋"/>
          <w:color w:val="auto"/>
          <w:sz w:val="24"/>
          <w:szCs w:val="24"/>
          <w:highlight w:val="none"/>
          <w:lang w:val="en-US" w:eastAsia="zh-CN"/>
        </w:rPr>
        <w:t>预估：</w:t>
      </w:r>
      <w:r>
        <w:rPr>
          <w:rFonts w:hint="eastAsia" w:ascii="仿宋" w:hAnsi="仿宋" w:eastAsia="仿宋" w:cs="仿宋"/>
          <w:color w:val="auto"/>
          <w:sz w:val="24"/>
          <w:szCs w:val="24"/>
          <w:highlight w:val="none"/>
        </w:rPr>
        <w:t>800万)</w:t>
      </w:r>
      <w:r>
        <w:rPr>
          <w:rFonts w:hint="eastAsia" w:ascii="仿宋" w:hAnsi="仿宋" w:eastAsia="仿宋" w:cs="仿宋"/>
          <w:color w:val="auto"/>
          <w:sz w:val="24"/>
          <w:szCs w:val="24"/>
          <w:highlight w:val="none"/>
          <w:lang w:eastAsia="zh-CN"/>
        </w:rPr>
        <w:t>；</w:t>
      </w:r>
    </w:p>
    <w:p w14:paraId="688B8676">
      <w:pPr>
        <w:pStyle w:val="31"/>
        <w:keepNext w:val="0"/>
        <w:keepLines w:val="0"/>
        <w:pageBreakBefore w:val="0"/>
        <w:widowControl/>
        <w:kinsoku/>
        <w:wordWrap/>
        <w:overflowPunct/>
        <w:topLinePunct w:val="0"/>
        <w:autoSpaceDE/>
        <w:autoSpaceDN/>
        <w:bidi w:val="0"/>
        <w:adjustRightInd/>
        <w:snapToGrid w:val="0"/>
        <w:spacing w:afterLines="0"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u w:val="single"/>
          <w:lang w:val="en-US" w:eastAsia="zh-CN"/>
        </w:rPr>
        <w:t>特殊建设工程项目最高限价为2.0元/平方米，其他建设工程项目最高限价为2.0元/平方米。同时单个项目最高服务价格定为300000元/个项目，最低服务价格定为3000元/个项目</w:t>
      </w:r>
      <w:r>
        <w:rPr>
          <w:rFonts w:hint="eastAsia" w:ascii="仿宋" w:hAnsi="仿宋" w:eastAsia="仿宋" w:cs="仿宋"/>
          <w:color w:val="auto"/>
          <w:szCs w:val="24"/>
          <w:highlight w:val="none"/>
          <w:u w:val="single"/>
        </w:rPr>
        <w:t>（收费标准详见第二部分 三、投标6.3报价文件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66947BB4">
      <w:pPr>
        <w:pStyle w:val="31"/>
        <w:keepNext w:val="0"/>
        <w:keepLines w:val="0"/>
        <w:pageBreakBefore w:val="0"/>
        <w:widowControl/>
        <w:kinsoku/>
        <w:wordWrap/>
        <w:overflowPunct/>
        <w:topLinePunct w:val="0"/>
        <w:autoSpaceDE/>
        <w:autoSpaceDN/>
        <w:bidi w:val="0"/>
        <w:adjustRightInd/>
        <w:snapToGrid w:val="0"/>
        <w:spacing w:afterLines="0" w:line="336" w:lineRule="auto"/>
        <w:ind w:firstLine="48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Cs/>
          <w:color w:val="auto"/>
          <w:sz w:val="24"/>
          <w:szCs w:val="24"/>
          <w:highlight w:val="none"/>
          <w:lang w:eastAsia="zh-CN"/>
        </w:rPr>
        <w:t>杭州市西湖区住房和城乡建设局建设工程消防验收技术服务框架协议采购项目（封闭式）</w:t>
      </w:r>
    </w:p>
    <w:p w14:paraId="229B4D92">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20B6A7C9">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w:t>
      </w:r>
      <w:r>
        <w:rPr>
          <w:rFonts w:hint="eastAsia" w:ascii="仿宋" w:hAnsi="仿宋" w:eastAsia="仿宋" w:cs="仿宋"/>
          <w:color w:val="auto"/>
          <w:sz w:val="24"/>
          <w:szCs w:val="24"/>
          <w:highlight w:val="none"/>
          <w:lang w:eastAsia="zh-CN"/>
        </w:rPr>
        <w:t>估</w:t>
      </w:r>
      <w:r>
        <w:rPr>
          <w:rFonts w:hint="eastAsia" w:ascii="仿宋" w:hAnsi="仿宋" w:eastAsia="仿宋" w:cs="仿宋"/>
          <w:color w:val="auto"/>
          <w:sz w:val="24"/>
          <w:szCs w:val="24"/>
          <w:highlight w:val="none"/>
        </w:rPr>
        <w:t>金额（元）:</w:t>
      </w:r>
      <w:r>
        <w:rPr>
          <w:rFonts w:hint="eastAsia" w:ascii="仿宋" w:hAnsi="仿宋" w:eastAsia="仿宋" w:cs="仿宋"/>
          <w:color w:val="auto"/>
          <w:sz w:val="24"/>
          <w:szCs w:val="24"/>
          <w:highlight w:val="none"/>
          <w:lang w:eastAsia="zh-CN"/>
        </w:rPr>
        <w:t>预估合计</w:t>
      </w:r>
      <w:r>
        <w:rPr>
          <w:rFonts w:hint="eastAsia" w:ascii="仿宋" w:hAnsi="仿宋" w:eastAsia="仿宋" w:cs="仿宋"/>
          <w:color w:val="auto"/>
          <w:sz w:val="24"/>
          <w:szCs w:val="24"/>
          <w:highlight w:val="none"/>
        </w:rPr>
        <w:t>1312.64万元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具体金额</w:t>
      </w:r>
      <w:r>
        <w:rPr>
          <w:rFonts w:hint="eastAsia" w:ascii="仿宋" w:hAnsi="仿宋" w:eastAsia="仿宋" w:cs="仿宋"/>
          <w:color w:val="auto"/>
          <w:sz w:val="24"/>
          <w:szCs w:val="24"/>
          <w:highlight w:val="none"/>
          <w:lang w:eastAsia="zh-CN"/>
        </w:rPr>
        <w:t>以实际为准。</w:t>
      </w:r>
      <w:r>
        <w:rPr>
          <w:rFonts w:hint="eastAsia" w:ascii="仿宋" w:hAnsi="仿宋" w:eastAsia="仿宋" w:cs="仿宋"/>
          <w:color w:val="auto"/>
          <w:sz w:val="24"/>
          <w:szCs w:val="24"/>
          <w:highlight w:val="none"/>
        </w:rPr>
        <w:t xml:space="preserve"> </w:t>
      </w:r>
    </w:p>
    <w:p w14:paraId="4745DF56">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jc w:val="both"/>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u w:val="single"/>
        </w:rPr>
        <w:t>对杭州市西湖区</w:t>
      </w:r>
      <w:r>
        <w:rPr>
          <w:rFonts w:hint="eastAsia" w:ascii="仿宋" w:hAnsi="仿宋" w:eastAsia="仿宋" w:cs="仿宋"/>
          <w:strike w:val="0"/>
          <w:dstrike w:val="0"/>
          <w:color w:val="auto"/>
          <w:sz w:val="24"/>
          <w:szCs w:val="24"/>
          <w:highlight w:val="none"/>
          <w:u w:val="single"/>
          <w:lang w:val="en-US" w:eastAsia="zh-CN"/>
        </w:rPr>
        <w:t>行政辖区内</w:t>
      </w:r>
      <w:r>
        <w:rPr>
          <w:rFonts w:hint="eastAsia" w:ascii="仿宋" w:hAnsi="仿宋" w:eastAsia="仿宋" w:cs="仿宋"/>
          <w:color w:val="auto"/>
          <w:sz w:val="24"/>
          <w:szCs w:val="24"/>
          <w:highlight w:val="none"/>
          <w:u w:val="single"/>
        </w:rPr>
        <w:t>的消防验收和备案（抽查）项目，严格依据国家法律法规、国家工程建设消防技术标准和省、市有关规定、涉及消防的建设工程竣工图纸、消防设计审查意见，开展消防验收技术服务工作（含备案未抽中项目），包括但不限于图纸及资料核查服务、提前服务、整改监督、现场评定、现场检查及档案整理等服务工作，及时出具意见或报告，并对出具的意见或报告负责</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需协助采购人完成信访工作及其他交办的事宜</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具体</w:t>
      </w:r>
      <w:r>
        <w:rPr>
          <w:rFonts w:hint="eastAsia" w:ascii="仿宋" w:hAnsi="仿宋" w:eastAsia="仿宋" w:cs="仿宋"/>
          <w:color w:val="auto"/>
          <w:sz w:val="24"/>
          <w:szCs w:val="24"/>
          <w:highlight w:val="none"/>
          <w:u w:val="single"/>
          <w:lang w:eastAsia="zh-CN"/>
        </w:rPr>
        <w:t>详见征集需求。</w:t>
      </w:r>
    </w:p>
    <w:p w14:paraId="2E288C5D">
      <w:pPr>
        <w:pStyle w:val="31"/>
        <w:keepNext w:val="0"/>
        <w:keepLines w:val="0"/>
        <w:pageBreakBefore w:val="0"/>
        <w:kinsoku/>
        <w:wordWrap/>
        <w:overflowPunct/>
        <w:topLinePunct w:val="0"/>
        <w:bidi w:val="0"/>
        <w:spacing w:afterLines="0"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p w14:paraId="0FE9C82D">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1.本项目征集入围合格供应商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淘汰比例</w:t>
      </w:r>
      <w:r>
        <w:rPr>
          <w:rFonts w:hint="eastAsia" w:ascii="仿宋" w:hAnsi="仿宋" w:eastAsia="仿宋" w:cs="仿宋"/>
          <w:b w:val="0"/>
          <w:bCs w:val="0"/>
          <w:color w:val="auto"/>
          <w:kern w:val="0"/>
          <w:sz w:val="24"/>
          <w:szCs w:val="24"/>
          <w:highlight w:val="none"/>
          <w:lang w:eastAsia="zh-CN"/>
        </w:rPr>
        <w:t>最少</w:t>
      </w:r>
      <w:r>
        <w:rPr>
          <w:rFonts w:hint="eastAsia" w:ascii="仿宋" w:hAnsi="仿宋" w:eastAsia="仿宋" w:cs="仿宋"/>
          <w:b w:val="0"/>
          <w:bCs w:val="0"/>
          <w:color w:val="auto"/>
          <w:kern w:val="0"/>
          <w:sz w:val="24"/>
          <w:szCs w:val="24"/>
          <w:highlight w:val="none"/>
        </w:rPr>
        <w:t>为</w:t>
      </w:r>
      <w:r>
        <w:rPr>
          <w:rFonts w:hint="eastAsia" w:ascii="仿宋" w:hAnsi="仿宋" w:eastAsia="仿宋" w:cs="仿宋"/>
          <w:b w:val="0"/>
          <w:bCs w:val="0"/>
          <w:color w:val="auto"/>
          <w:sz w:val="24"/>
          <w:szCs w:val="24"/>
          <w:highlight w:val="none"/>
        </w:rPr>
        <w:t>有效响应单位</w:t>
      </w:r>
      <w:r>
        <w:rPr>
          <w:rFonts w:hint="eastAsia" w:ascii="仿宋" w:hAnsi="仿宋" w:eastAsia="仿宋" w:cs="仿宋"/>
          <w:b w:val="0"/>
          <w:bCs w:val="0"/>
          <w:color w:val="auto"/>
          <w:kern w:val="0"/>
          <w:sz w:val="24"/>
          <w:szCs w:val="24"/>
          <w:highlight w:val="none"/>
        </w:rPr>
        <w:t>的20%</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向上取整数</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i w:val="0"/>
          <w:iCs w:val="0"/>
          <w:color w:val="auto"/>
          <w:kern w:val="2"/>
          <w:sz w:val="24"/>
          <w:szCs w:val="24"/>
          <w:highlight w:val="none"/>
          <w:lang w:val="en-US" w:eastAsia="zh-CN"/>
        </w:rPr>
        <w:t>如</w:t>
      </w:r>
      <w:r>
        <w:rPr>
          <w:rFonts w:hint="eastAsia" w:ascii="仿宋" w:hAnsi="仿宋" w:eastAsia="仿宋" w:cs="仿宋"/>
          <w:b w:val="0"/>
          <w:bCs w:val="0"/>
          <w:color w:val="auto"/>
          <w:sz w:val="24"/>
          <w:szCs w:val="24"/>
          <w:highlight w:val="none"/>
        </w:rPr>
        <w:t>有效响应单位</w:t>
      </w:r>
      <w:r>
        <w:rPr>
          <w:rFonts w:hint="eastAsia" w:ascii="仿宋" w:hAnsi="仿宋" w:eastAsia="仿宋" w:cs="仿宋"/>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5</w:t>
      </w:r>
      <w:r>
        <w:rPr>
          <w:rFonts w:hint="eastAsia" w:ascii="仿宋" w:hAnsi="仿宋" w:eastAsia="仿宋" w:cs="仿宋"/>
          <w:b w:val="0"/>
          <w:bCs w:val="0"/>
          <w:i w:val="0"/>
          <w:iCs w:val="0"/>
          <w:color w:val="auto"/>
          <w:kern w:val="0"/>
          <w:sz w:val="24"/>
          <w:szCs w:val="24"/>
          <w:highlight w:val="none"/>
          <w:lang w:val="en-US" w:eastAsia="zh-CN"/>
        </w:rPr>
        <w:t>家则</w:t>
      </w:r>
      <w:r>
        <w:rPr>
          <w:rFonts w:hint="eastAsia" w:ascii="仿宋" w:hAnsi="仿宋" w:eastAsia="仿宋" w:cs="仿宋"/>
          <w:b w:val="0"/>
          <w:bCs w:val="0"/>
          <w:i w:val="0"/>
          <w:iCs w:val="0"/>
          <w:color w:val="auto"/>
          <w:kern w:val="2"/>
          <w:sz w:val="24"/>
          <w:szCs w:val="24"/>
          <w:highlight w:val="none"/>
          <w:lang w:eastAsia="zh-CN"/>
        </w:rPr>
        <w:t>确定</w:t>
      </w:r>
      <w:r>
        <w:rPr>
          <w:rFonts w:hint="eastAsia" w:ascii="仿宋" w:hAnsi="仿宋" w:eastAsia="仿宋" w:cs="仿宋"/>
          <w:b w:val="0"/>
          <w:bCs w:val="0"/>
          <w:i w:val="0"/>
          <w:iCs w:val="0"/>
          <w:color w:val="auto"/>
          <w:kern w:val="2"/>
          <w:sz w:val="24"/>
          <w:szCs w:val="24"/>
          <w:highlight w:val="none"/>
          <w:lang w:val="en-US" w:eastAsia="zh-CN"/>
        </w:rPr>
        <w:t>4家入围供应商；如</w:t>
      </w:r>
      <w:r>
        <w:rPr>
          <w:rFonts w:hint="eastAsia" w:ascii="仿宋" w:hAnsi="仿宋" w:eastAsia="仿宋" w:cs="仿宋"/>
          <w:b w:val="0"/>
          <w:bCs w:val="0"/>
          <w:color w:val="auto"/>
          <w:sz w:val="24"/>
          <w:szCs w:val="24"/>
          <w:highlight w:val="none"/>
        </w:rPr>
        <w:t>有效响应单位</w:t>
      </w:r>
      <w:r>
        <w:rPr>
          <w:rFonts w:hint="eastAsia" w:ascii="仿宋" w:hAnsi="仿宋" w:eastAsia="仿宋" w:cs="仿宋"/>
          <w:b w:val="0"/>
          <w:bCs w:val="0"/>
          <w:color w:val="auto"/>
          <w:sz w:val="24"/>
          <w:szCs w:val="24"/>
          <w:highlight w:val="none"/>
          <w:lang w:val="en-US" w:eastAsia="zh-CN"/>
        </w:rPr>
        <w:t>&lt;</w:t>
      </w:r>
      <w:r>
        <w:rPr>
          <w:rFonts w:hint="eastAsia" w:ascii="仿宋" w:hAnsi="仿宋" w:eastAsia="仿宋" w:cs="仿宋"/>
          <w:b w:val="0"/>
          <w:bCs w:val="0"/>
          <w:i w:val="0"/>
          <w:iCs w:val="0"/>
          <w:color w:val="auto"/>
          <w:kern w:val="0"/>
          <w:sz w:val="24"/>
          <w:szCs w:val="24"/>
          <w:highlight w:val="none"/>
          <w:lang w:val="en-US" w:eastAsia="zh-CN"/>
        </w:rPr>
        <w:t>5家则重新组织采购。</w:t>
      </w:r>
    </w:p>
    <w:p w14:paraId="50D2341F">
      <w:pPr>
        <w:pStyle w:val="31"/>
        <w:keepNext w:val="0"/>
        <w:keepLines w:val="0"/>
        <w:pageBreakBefore w:val="0"/>
        <w:widowControl/>
        <w:kinsoku/>
        <w:wordWrap/>
        <w:overflowPunct/>
        <w:topLinePunct w:val="0"/>
        <w:autoSpaceDE/>
        <w:autoSpaceDN/>
        <w:bidi w:val="0"/>
        <w:adjustRightInd/>
        <w:snapToGrid w:val="0"/>
        <w:spacing w:afterLines="0" w:line="336" w:lineRule="auto"/>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2.报价采用折扣率，</w:t>
      </w:r>
      <w:r>
        <w:rPr>
          <w:rFonts w:hint="eastAsia" w:ascii="仿宋" w:hAnsi="仿宋" w:eastAsia="仿宋" w:cs="仿宋"/>
          <w:color w:val="auto"/>
          <w:szCs w:val="24"/>
          <w:highlight w:val="none"/>
          <w:lang w:eastAsia="zh-CN"/>
        </w:rPr>
        <w:t>投标时</w:t>
      </w:r>
      <w:r>
        <w:rPr>
          <w:rFonts w:hint="eastAsia" w:ascii="仿宋" w:hAnsi="仿宋" w:eastAsia="仿宋" w:cs="仿宋"/>
          <w:color w:val="auto"/>
          <w:szCs w:val="24"/>
          <w:highlight w:val="none"/>
        </w:rPr>
        <w:t>以征集人制定的收费标准为</w:t>
      </w:r>
      <w:r>
        <w:rPr>
          <w:rFonts w:hint="eastAsia" w:ascii="仿宋" w:hAnsi="仿宋" w:eastAsia="仿宋" w:cs="仿宋"/>
          <w:color w:val="auto"/>
          <w:szCs w:val="24"/>
          <w:highlight w:val="none"/>
          <w:lang w:eastAsia="zh-CN"/>
        </w:rPr>
        <w:t>基准</w:t>
      </w:r>
      <w:r>
        <w:rPr>
          <w:rFonts w:hint="eastAsia" w:ascii="仿宋" w:hAnsi="仿宋" w:eastAsia="仿宋" w:cs="仿宋"/>
          <w:color w:val="auto"/>
          <w:szCs w:val="24"/>
          <w:highlight w:val="none"/>
        </w:rPr>
        <w:t>，以该基准的</w:t>
      </w:r>
      <w:r>
        <w:rPr>
          <w:rFonts w:hint="eastAsia" w:ascii="仿宋" w:hAnsi="仿宋" w:eastAsia="仿宋" w:cs="仿宋"/>
          <w:color w:val="auto"/>
          <w:szCs w:val="24"/>
          <w:highlight w:val="none"/>
          <w:lang w:val="en-US" w:eastAsia="zh-CN"/>
        </w:rPr>
        <w:t>99</w:t>
      </w:r>
      <w:r>
        <w:rPr>
          <w:rFonts w:hint="eastAsia" w:ascii="仿宋" w:hAnsi="仿宋" w:eastAsia="仿宋" w:cs="仿宋"/>
          <w:color w:val="auto"/>
          <w:szCs w:val="24"/>
          <w:highlight w:val="none"/>
        </w:rPr>
        <w:t>%（含）为最高限制单价（或最高限制折扣率），高于该报价按无效标</w:t>
      </w:r>
      <w:r>
        <w:rPr>
          <w:rFonts w:hint="eastAsia" w:ascii="仿宋" w:hAnsi="仿宋" w:eastAsia="仿宋" w:cs="仿宋"/>
          <w:color w:val="auto"/>
          <w:szCs w:val="24"/>
          <w:highlight w:val="none"/>
          <w:lang w:val="en-US" w:eastAsia="zh-CN"/>
        </w:rPr>
        <w:t>处理</w:t>
      </w:r>
      <w:r>
        <w:rPr>
          <w:rFonts w:hint="eastAsia" w:ascii="仿宋" w:hAnsi="仿宋" w:eastAsia="仿宋" w:cs="仿宋"/>
          <w:color w:val="auto"/>
          <w:szCs w:val="24"/>
          <w:highlight w:val="none"/>
        </w:rPr>
        <w:t>。报价不作为评分依据，但作为</w:t>
      </w:r>
      <w:r>
        <w:rPr>
          <w:rFonts w:hint="eastAsia" w:ascii="仿宋" w:hAnsi="仿宋" w:eastAsia="仿宋" w:cs="仿宋"/>
          <w:color w:val="auto"/>
          <w:szCs w:val="24"/>
          <w:highlight w:val="none"/>
          <w:lang w:eastAsia="zh-CN"/>
        </w:rPr>
        <w:t>供应商得</w:t>
      </w:r>
      <w:r>
        <w:rPr>
          <w:rFonts w:hint="eastAsia" w:ascii="仿宋" w:hAnsi="仿宋" w:eastAsia="仿宋" w:cs="仿宋"/>
          <w:b w:val="0"/>
          <w:bCs/>
          <w:color w:val="auto"/>
          <w:kern w:val="0"/>
          <w:sz w:val="24"/>
          <w:highlight w:val="none"/>
        </w:rPr>
        <w:t>分</w:t>
      </w:r>
      <w:r>
        <w:rPr>
          <w:rFonts w:hint="eastAsia" w:ascii="仿宋" w:hAnsi="仿宋" w:eastAsia="仿宋" w:cs="仿宋"/>
          <w:b w:val="0"/>
          <w:bCs/>
          <w:color w:val="auto"/>
          <w:kern w:val="0"/>
          <w:sz w:val="24"/>
          <w:highlight w:val="none"/>
          <w:lang w:eastAsia="zh-CN"/>
        </w:rPr>
        <w:t>相同时的</w:t>
      </w:r>
      <w:r>
        <w:rPr>
          <w:rFonts w:hint="eastAsia" w:ascii="仿宋" w:hAnsi="仿宋" w:eastAsia="仿宋" w:cs="仿宋"/>
          <w:b w:val="0"/>
          <w:bCs/>
          <w:color w:val="auto"/>
          <w:kern w:val="0"/>
          <w:sz w:val="24"/>
          <w:highlight w:val="none"/>
        </w:rPr>
        <w:t>排序</w:t>
      </w:r>
      <w:r>
        <w:rPr>
          <w:rFonts w:hint="eastAsia" w:ascii="仿宋" w:hAnsi="仿宋" w:eastAsia="仿宋" w:cs="仿宋"/>
          <w:b w:val="0"/>
          <w:bCs/>
          <w:color w:val="auto"/>
          <w:kern w:val="0"/>
          <w:sz w:val="24"/>
          <w:highlight w:val="none"/>
          <w:lang w:eastAsia="zh-CN"/>
        </w:rPr>
        <w:t>依据</w:t>
      </w:r>
      <w:r>
        <w:rPr>
          <w:rFonts w:hint="eastAsia" w:ascii="仿宋" w:hAnsi="仿宋" w:eastAsia="仿宋" w:cs="仿宋"/>
          <w:color w:val="auto"/>
          <w:szCs w:val="24"/>
          <w:highlight w:val="none"/>
        </w:rPr>
        <w:t>。</w:t>
      </w:r>
    </w:p>
    <w:p w14:paraId="0D8A95DB">
      <w:pPr>
        <w:pStyle w:val="31"/>
        <w:keepNext w:val="0"/>
        <w:keepLines w:val="0"/>
        <w:pageBreakBefore w:val="0"/>
        <w:widowControl/>
        <w:kinsoku/>
        <w:wordWrap/>
        <w:overflowPunct/>
        <w:topLinePunct w:val="0"/>
        <w:autoSpaceDE/>
        <w:autoSpaceDN/>
        <w:bidi w:val="0"/>
        <w:adjustRightInd/>
        <w:snapToGrid w:val="0"/>
        <w:spacing w:afterLines="0" w:line="336" w:lineRule="auto"/>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3.协议入围供应商需自觉接受采购单位考核管理，</w:t>
      </w:r>
      <w:r>
        <w:rPr>
          <w:rFonts w:hint="eastAsia" w:ascii="仿宋" w:hAnsi="仿宋" w:eastAsia="仿宋" w:cs="仿宋"/>
          <w:color w:val="auto"/>
          <w:szCs w:val="24"/>
          <w:highlight w:val="none"/>
          <w:lang w:eastAsia="zh-CN"/>
        </w:rPr>
        <w:t>考核</w:t>
      </w:r>
      <w:r>
        <w:rPr>
          <w:rFonts w:hint="eastAsia" w:ascii="仿宋" w:hAnsi="仿宋" w:eastAsia="仿宋" w:cs="仿宋"/>
          <w:color w:val="auto"/>
          <w:szCs w:val="24"/>
          <w:highlight w:val="none"/>
        </w:rPr>
        <w:t>管理详见第六部分。</w:t>
      </w:r>
      <w:r>
        <w:rPr>
          <w:rFonts w:hint="eastAsia" w:ascii="仿宋" w:hAnsi="仿宋" w:eastAsia="仿宋" w:cs="仿宋"/>
          <w:color w:val="auto"/>
          <w:szCs w:val="24"/>
          <w:highlight w:val="none"/>
          <w:lang w:eastAsia="zh-CN"/>
        </w:rPr>
        <w:t>具体考核</w:t>
      </w:r>
      <w:r>
        <w:rPr>
          <w:rFonts w:hint="eastAsia" w:ascii="仿宋" w:hAnsi="仿宋" w:eastAsia="仿宋" w:cs="仿宋"/>
          <w:color w:val="auto"/>
          <w:szCs w:val="24"/>
          <w:highlight w:val="none"/>
        </w:rPr>
        <w:t>管理办法</w:t>
      </w:r>
      <w:r>
        <w:rPr>
          <w:rFonts w:hint="eastAsia" w:ascii="仿宋" w:hAnsi="仿宋" w:eastAsia="仿宋" w:cs="仿宋"/>
          <w:color w:val="auto"/>
          <w:szCs w:val="24"/>
          <w:highlight w:val="none"/>
          <w:lang w:eastAsia="zh-CN"/>
        </w:rPr>
        <w:t>另行制定</w:t>
      </w:r>
      <w:r>
        <w:rPr>
          <w:rFonts w:hint="eastAsia" w:ascii="仿宋" w:hAnsi="仿宋" w:eastAsia="仿宋" w:cs="仿宋"/>
          <w:color w:val="auto"/>
          <w:szCs w:val="24"/>
          <w:highlight w:val="none"/>
        </w:rPr>
        <w:t>。</w:t>
      </w:r>
    </w:p>
    <w:p w14:paraId="35E77C3C">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14:paraId="6D3965E7">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合同履约期限：</w:t>
      </w:r>
      <w:r>
        <w:rPr>
          <w:rFonts w:hint="eastAsia" w:ascii="仿宋" w:hAnsi="仿宋" w:eastAsia="仿宋" w:cs="仿宋"/>
          <w:color w:val="auto"/>
          <w:sz w:val="24"/>
          <w:szCs w:val="24"/>
          <w:highlight w:val="none"/>
        </w:rPr>
        <w:t>总服务期限</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2年，合同一年一签，服务起止时间以合同为准。</w:t>
      </w:r>
      <w:r>
        <w:rPr>
          <w:rFonts w:hint="eastAsia" w:ascii="仿宋" w:hAnsi="仿宋" w:eastAsia="仿宋" w:cs="仿宋"/>
          <w:color w:val="auto"/>
          <w:sz w:val="24"/>
          <w:szCs w:val="24"/>
          <w:highlight w:val="none"/>
          <w:lang w:val="en-US" w:eastAsia="zh-CN"/>
        </w:rPr>
        <w:t>首年</w:t>
      </w:r>
      <w:r>
        <w:rPr>
          <w:rFonts w:hint="eastAsia" w:ascii="仿宋" w:hAnsi="仿宋" w:eastAsia="仿宋" w:cs="仿宋"/>
          <w:color w:val="auto"/>
          <w:sz w:val="24"/>
          <w:szCs w:val="24"/>
          <w:highlight w:val="none"/>
        </w:rPr>
        <w:t>服务期满</w:t>
      </w:r>
      <w:r>
        <w:rPr>
          <w:rFonts w:hint="eastAsia" w:ascii="仿宋" w:hAnsi="仿宋" w:eastAsia="仿宋" w:cs="仿宋"/>
          <w:color w:val="auto"/>
          <w:sz w:val="24"/>
          <w:szCs w:val="24"/>
          <w:highlight w:val="none"/>
          <w:lang w:val="en-US" w:eastAsia="zh-CN"/>
        </w:rPr>
        <w:t>后，对于考</w:t>
      </w:r>
      <w:r>
        <w:rPr>
          <w:rFonts w:hint="eastAsia" w:ascii="仿宋" w:hAnsi="仿宋" w:eastAsia="仿宋" w:cs="仿宋"/>
          <w:color w:val="auto"/>
          <w:sz w:val="24"/>
          <w:szCs w:val="24"/>
          <w:highlight w:val="none"/>
        </w:rPr>
        <w:t>核验收</w:t>
      </w:r>
      <w:r>
        <w:rPr>
          <w:rFonts w:hint="eastAsia" w:ascii="仿宋" w:hAnsi="仿宋" w:eastAsia="仿宋" w:cs="仿宋"/>
          <w:color w:val="auto"/>
          <w:sz w:val="24"/>
          <w:szCs w:val="24"/>
          <w:highlight w:val="none"/>
          <w:lang w:val="en-US" w:eastAsia="zh-CN"/>
        </w:rPr>
        <w:t>通过的单位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可续签下一年合同。合同履行期内若供应商达不到考核要求，采购单位可终止下一年度的服务合同。</w:t>
      </w:r>
    </w:p>
    <w:p w14:paraId="3C18D325">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color w:val="auto"/>
          <w:sz w:val="24"/>
          <w:szCs w:val="24"/>
          <w:highlight w:val="none"/>
        </w:rPr>
        <w:t xml:space="preserve"> </w:t>
      </w:r>
      <w:sdt>
        <w:sdtPr>
          <w:rPr>
            <w:rFonts w:hint="eastAsia" w:ascii="仿宋" w:hAnsi="仿宋" w:eastAsia="仿宋" w:cs="仿宋"/>
            <w:color w:val="auto"/>
            <w:sz w:val="24"/>
            <w:szCs w:val="24"/>
            <w:highlight w:val="none"/>
          </w:rPr>
          <w:id w:val="147456245"/>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是；</w:t>
      </w:r>
      <w:sdt>
        <w:sdtPr>
          <w:rPr>
            <w:rFonts w:hint="eastAsia" w:ascii="仿宋" w:hAnsi="仿宋" w:eastAsia="仿宋" w:cs="仿宋"/>
            <w:color w:val="auto"/>
            <w:sz w:val="24"/>
            <w:szCs w:val="24"/>
            <w:highlight w:val="none"/>
          </w:rPr>
          <w:id w:val="147467924"/>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接受联合体投标，应满足下列要求：</w:t>
      </w:r>
    </w:p>
    <w:p w14:paraId="577875E9">
      <w:pPr>
        <w:keepNext w:val="0"/>
        <w:keepLines w:val="0"/>
        <w:pageBreakBefore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（1）联合体所有成员数量不得超过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 </w:t>
      </w:r>
      <w:r>
        <w:rPr>
          <w:rFonts w:hint="eastAsia" w:ascii="仿宋" w:hAnsi="仿宋" w:eastAsia="仿宋" w:cs="仿宋"/>
          <w:color w:val="auto"/>
          <w:sz w:val="24"/>
          <w:szCs w:val="24"/>
          <w:highlight w:val="none"/>
        </w:rPr>
        <w:t>个；</w:t>
      </w:r>
    </w:p>
    <w:p w14:paraId="2CEE14A9">
      <w:pPr>
        <w:keepNext w:val="0"/>
        <w:keepLines w:val="0"/>
        <w:pageBreakBefore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w:t>
      </w:r>
      <w:r>
        <w:rPr>
          <w:rFonts w:hint="eastAsia" w:ascii="仿宋" w:hAnsi="仿宋" w:eastAsia="仿宋" w:cs="仿宋"/>
          <w:color w:val="auto"/>
          <w:sz w:val="24"/>
          <w:szCs w:val="24"/>
          <w:highlight w:val="none"/>
          <w:u w:val="single"/>
          <w:lang w:val="en-US" w:eastAsia="zh-CN"/>
        </w:rPr>
        <w:t xml:space="preserve">  工程设计综合甲级资质（或工程设计建筑行业甲级资质或工程设计建筑行业建筑工程专业甲级资质）  </w:t>
      </w:r>
      <w:r>
        <w:rPr>
          <w:rFonts w:hint="eastAsia" w:ascii="仿宋" w:hAnsi="仿宋" w:eastAsia="仿宋" w:cs="仿宋"/>
          <w:color w:val="auto"/>
          <w:sz w:val="24"/>
          <w:szCs w:val="24"/>
          <w:highlight w:val="none"/>
          <w:lang w:val="en-US" w:eastAsia="zh-CN"/>
        </w:rPr>
        <w:t>的单位</w:t>
      </w:r>
      <w:r>
        <w:rPr>
          <w:rFonts w:hint="eastAsia" w:ascii="仿宋" w:hAnsi="仿宋" w:eastAsia="仿宋" w:cs="仿宋"/>
          <w:color w:val="auto"/>
          <w:sz w:val="24"/>
          <w:szCs w:val="24"/>
          <w:highlight w:val="none"/>
        </w:rPr>
        <w:t>作为联合体牵头人；</w:t>
      </w:r>
    </w:p>
    <w:p w14:paraId="2F752A89">
      <w:pPr>
        <w:keepNext w:val="0"/>
        <w:keepLines w:val="0"/>
        <w:pageBreakBefore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（3）拟派项目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的委派要求</w:t>
      </w:r>
      <w:r>
        <w:rPr>
          <w:rFonts w:hint="eastAsia" w:ascii="仿宋" w:hAnsi="仿宋" w:eastAsia="仿宋" w:cs="仿宋"/>
          <w:color w:val="auto"/>
          <w:sz w:val="24"/>
          <w:szCs w:val="24"/>
          <w:highlight w:val="none"/>
          <w:u w:val="single"/>
          <w:lang w:val="en-US" w:eastAsia="zh-CN"/>
        </w:rPr>
        <w:t xml:space="preserve"> 由联合体牵头人 </w:t>
      </w:r>
      <w:r>
        <w:rPr>
          <w:rFonts w:hint="eastAsia" w:ascii="仿宋" w:hAnsi="仿宋" w:eastAsia="仿宋" w:cs="仿宋"/>
          <w:color w:val="auto"/>
          <w:sz w:val="24"/>
          <w:szCs w:val="24"/>
          <w:highlight w:val="none"/>
        </w:rPr>
        <w:t>委派；</w:t>
      </w:r>
    </w:p>
    <w:p w14:paraId="7BFE9DC4">
      <w:pPr>
        <w:keepNext w:val="0"/>
        <w:keepLines w:val="0"/>
        <w:pageBreakBefore w:val="0"/>
        <w:kinsoku/>
        <w:wordWrap/>
        <w:overflowPunct/>
        <w:topLinePunct w:val="0"/>
        <w:bidi w:val="0"/>
        <w:adjustRightInd w:val="0"/>
        <w:spacing w:line="336" w:lineRule="auto"/>
        <w:ind w:firstLine="480" w:firstLineChars="200"/>
        <w:textAlignment w:val="auto"/>
        <w:rPr>
          <w:rFonts w:hint="eastAsia"/>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联合体投标的，应按招标文件要求提交各成员的有关证书证件和证明材料。</w:t>
      </w:r>
    </w:p>
    <w:p w14:paraId="3D35F3FF">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二、申请人的资格要求：</w:t>
      </w:r>
    </w:p>
    <w:p w14:paraId="4AC94476">
      <w:pPr>
        <w:keepNext w:val="0"/>
        <w:keepLines w:val="0"/>
        <w:pageBreakBefore w:val="0"/>
        <w:kinsoku/>
        <w:wordWrap/>
        <w:overflowPunct/>
        <w:topLinePunct w:val="0"/>
        <w:bidi w:val="0"/>
        <w:spacing w:line="336"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9F59C0">
      <w:pPr>
        <w:keepNext w:val="0"/>
        <w:keepLines w:val="0"/>
        <w:pageBreakBefore w:val="0"/>
        <w:kinsoku/>
        <w:wordWrap/>
        <w:overflowPunct/>
        <w:topLinePunct w:val="0"/>
        <w:bidi w:val="0"/>
        <w:spacing w:line="336"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2.以联合体形式投标的，提供联合体协议（本项目不接受联合体投标或者投标人不以联合体形式投标的，则不需要提供）；</w:t>
      </w:r>
    </w:p>
    <w:p w14:paraId="50E228AA">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748FD427">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无；</w:t>
      </w:r>
    </w:p>
    <w:p w14:paraId="6764D734">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0D4381BF">
      <w:pPr>
        <w:keepNext w:val="0"/>
        <w:keepLines w:val="0"/>
        <w:pageBreakBefore w:val="0"/>
        <w:kinsoku/>
        <w:wordWrap/>
        <w:overflowPunct/>
        <w:topLinePunct w:val="0"/>
        <w:bidi w:val="0"/>
        <w:spacing w:line="336" w:lineRule="auto"/>
        <w:ind w:firstLine="897" w:firstLineChars="374"/>
        <w:textAlignment w:val="auto"/>
        <w:rPr>
          <w:rFonts w:hint="eastAsia" w:ascii="仿宋" w:hAnsi="仿宋" w:eastAsia="仿宋" w:cs="仿宋"/>
          <w:color w:val="auto"/>
          <w:sz w:val="24"/>
          <w:szCs w:val="24"/>
          <w:highlight w:val="none"/>
          <w:u w:val="single"/>
        </w:rPr>
      </w:pPr>
      <w:sdt>
        <w:sdtPr>
          <w:rPr>
            <w:rFonts w:hint="eastAsia" w:ascii="仿宋" w:hAnsi="仿宋" w:eastAsia="仿宋" w:cs="仿宋"/>
            <w:color w:val="auto"/>
            <w:kern w:val="0"/>
            <w:sz w:val="24"/>
            <w:szCs w:val="24"/>
            <w:highlight w:val="none"/>
          </w:rPr>
          <w:id w:val="14746763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货物全部由符合政策要求的中小企业制造，提供中小企业声明函；</w:t>
      </w:r>
    </w:p>
    <w:p w14:paraId="1B20B3B9">
      <w:pPr>
        <w:keepNext w:val="0"/>
        <w:keepLines w:val="0"/>
        <w:pageBreakBefore w:val="0"/>
        <w:kinsoku/>
        <w:wordWrap/>
        <w:overflowPunct/>
        <w:topLinePunct w:val="0"/>
        <w:bidi w:val="0"/>
        <w:spacing w:line="336" w:lineRule="auto"/>
        <w:ind w:firstLine="897" w:firstLineChars="374"/>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69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货物全部由符合政策要求的小微企业制造，提供中小企业声明函；</w:t>
      </w:r>
    </w:p>
    <w:p w14:paraId="0BB6D13A">
      <w:pPr>
        <w:keepNext w:val="0"/>
        <w:keepLines w:val="0"/>
        <w:pageBreakBefore w:val="0"/>
        <w:kinsoku/>
        <w:wordWrap/>
        <w:overflowPunct/>
        <w:topLinePunct w:val="0"/>
        <w:bidi w:val="0"/>
        <w:spacing w:line="336" w:lineRule="auto"/>
        <w:ind w:firstLine="897" w:firstLineChars="374"/>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488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服务全部由符合政策要求的中小企业承接，提供中小企业声明函；</w:t>
      </w:r>
    </w:p>
    <w:p w14:paraId="60E76EC1">
      <w:pPr>
        <w:keepNext w:val="0"/>
        <w:keepLines w:val="0"/>
        <w:pageBreakBefore w:val="0"/>
        <w:kinsoku/>
        <w:wordWrap/>
        <w:overflowPunct/>
        <w:topLinePunct w:val="0"/>
        <w:bidi w:val="0"/>
        <w:spacing w:line="336" w:lineRule="auto"/>
        <w:ind w:firstLine="897" w:firstLineChars="374"/>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149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服务全部由符合政策要求的小微企业承接，提供中小企业声明函；</w:t>
      </w:r>
    </w:p>
    <w:p w14:paraId="3822198A">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77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486499AE">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;如果供应商本身提供所有标的均由中小企业制造、承建或承接，视同符合了资格条件，无需再向中小企业分包，无需提供分包意向协议；</w:t>
      </w:r>
    </w:p>
    <w:p w14:paraId="26FACF54">
      <w:pPr>
        <w:keepNext w:val="0"/>
        <w:keepLines w:val="0"/>
        <w:pageBreakBefore w:val="0"/>
        <w:numPr>
          <w:ilvl w:val="0"/>
          <w:numId w:val="4"/>
        </w:numPr>
        <w:kinsoku/>
        <w:wordWrap/>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本项目的特定资格要求：供应商</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具有工程设计综合甲级资质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或工程设计建筑行业甲级资质或工程设计建筑行业建筑工程专业甲级资质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和满足国家、省级消防部门制定的《消防技术服务机构从业条件》，并接受行业监管。 </w:t>
      </w:r>
    </w:p>
    <w:p w14:paraId="22368A44">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咨询、初审等服务后不得再参加该采购项目的其他采购活动。</w:t>
      </w:r>
    </w:p>
    <w:p w14:paraId="3DFF6AA4">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三、获取征集文件 </w:t>
      </w:r>
    </w:p>
    <w:p w14:paraId="39791866">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日 </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46242869">
      <w:pPr>
        <w:keepNext w:val="0"/>
        <w:keepLines w:val="0"/>
        <w:pageBreakBefore w:val="0"/>
        <w:kinsoku/>
        <w:wordWrap/>
        <w:overflowPunct/>
        <w:topLinePunct w:val="0"/>
        <w:bidi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70DD4475">
      <w:pPr>
        <w:keepNext w:val="0"/>
        <w:keepLines w:val="0"/>
        <w:pageBreakBefore w:val="0"/>
        <w:kinsoku/>
        <w:wordWrap/>
        <w:overflowPunct/>
        <w:topLinePunct w:val="0"/>
        <w:bidi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供应商登录政采云平台https://www.zcygov.cn/在线申请获取征集文件（进入“项目采购”应用，在获取采购文件菜单中选择项目，申请获取征集文件）。 </w:t>
      </w:r>
    </w:p>
    <w:p w14:paraId="49B87E7D">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p>
    <w:p w14:paraId="3A1892D0">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四、提交响应文件截止时间、开标时间和地点</w:t>
      </w:r>
    </w:p>
    <w:p w14:paraId="23F17C3E">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提交响应文件截止时间：</w:t>
      </w:r>
      <w:r>
        <w:rPr>
          <w:rFonts w:hint="eastAsia" w:ascii="仿宋" w:hAnsi="仿宋" w:eastAsia="仿宋" w:cs="仿宋"/>
          <w:bCs/>
          <w:color w:val="auto"/>
          <w:sz w:val="24"/>
          <w:szCs w:val="24"/>
          <w:highlight w:val="none"/>
          <w:u w:val="single"/>
          <w:lang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（北京时间）</w:t>
      </w:r>
    </w:p>
    <w:p w14:paraId="762E5454">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30C60B92">
      <w:pPr>
        <w:keepNext w:val="0"/>
        <w:keepLines w:val="0"/>
        <w:pageBreakBefore w:val="0"/>
        <w:kinsoku/>
        <w:wordWrap/>
        <w:overflowPunct/>
        <w:topLinePunct w:val="0"/>
        <w:bidi w:val="0"/>
        <w:adjustRightInd w:val="0"/>
        <w:spacing w:line="33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分00秒</w:t>
      </w:r>
    </w:p>
    <w:p w14:paraId="51A3C01F">
      <w:pPr>
        <w:pStyle w:val="31"/>
        <w:keepNext w:val="0"/>
        <w:keepLines w:val="0"/>
        <w:pageBreakBefore w:val="0"/>
        <w:kinsoku/>
        <w:wordWrap/>
        <w:overflowPunct/>
        <w:topLinePunct w:val="0"/>
        <w:bidi w:val="0"/>
        <w:spacing w:afterLines="0" w:line="336"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在政府采购云平台（www.zcygov.cn）上开启响应文件。  </w:t>
      </w:r>
    </w:p>
    <w:p w14:paraId="01F03F29">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五、公告期限 </w:t>
      </w:r>
    </w:p>
    <w:p w14:paraId="27EBEC80">
      <w:pPr>
        <w:keepNext w:val="0"/>
        <w:keepLines w:val="0"/>
        <w:pageBreakBefore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02EE5B3">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214DF30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BAB3D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2D61F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文件的，以公告期限届满之日为准）起7个工作日内，以书面形式向征集人提出质疑。质疑供应商对</w:t>
      </w:r>
      <w:r>
        <w:rPr>
          <w:rFonts w:hint="eastAsia" w:ascii="仿宋" w:hAnsi="仿宋" w:eastAsia="仿宋" w:cs="仿宋"/>
          <w:color w:val="auto"/>
          <w:sz w:val="24"/>
          <w:highlight w:val="none"/>
          <w:lang w:eastAsia="zh-CN"/>
        </w:rPr>
        <w:t>征集人</w:t>
      </w:r>
      <w:r>
        <w:rPr>
          <w:rFonts w:hint="eastAsia" w:ascii="仿宋" w:hAnsi="仿宋" w:eastAsia="仿宋" w:cs="仿宋"/>
          <w:color w:val="auto"/>
          <w:sz w:val="24"/>
          <w:highlight w:val="none"/>
        </w:rPr>
        <w:t>的答复不满意或者</w:t>
      </w:r>
      <w:r>
        <w:rPr>
          <w:rFonts w:hint="eastAsia" w:ascii="仿宋" w:hAnsi="仿宋" w:eastAsia="仿宋" w:cs="仿宋"/>
          <w:color w:val="auto"/>
          <w:sz w:val="24"/>
          <w:highlight w:val="none"/>
          <w:lang w:eastAsia="zh-CN"/>
        </w:rPr>
        <w:t>征集人</w:t>
      </w:r>
      <w:r>
        <w:rPr>
          <w:rFonts w:hint="eastAsia" w:ascii="仿宋" w:hAnsi="仿宋" w:eastAsia="仿宋" w:cs="仿宋"/>
          <w:color w:val="auto"/>
          <w:sz w:val="24"/>
          <w:highlight w:val="none"/>
        </w:rPr>
        <w:t>未在规定的时间内作出答复的，可以在答复期满后十五个工作日内向</w:t>
      </w:r>
      <w:r>
        <w:rPr>
          <w:rFonts w:hint="eastAsia" w:ascii="仿宋" w:hAnsi="仿宋" w:eastAsia="仿宋" w:cs="仿宋"/>
          <w:color w:val="auto"/>
          <w:sz w:val="24"/>
          <w:highlight w:val="none"/>
          <w:lang w:eastAsia="zh-CN"/>
        </w:rPr>
        <w:t>预算级次最高的</w:t>
      </w:r>
      <w:r>
        <w:rPr>
          <w:rFonts w:hint="eastAsia" w:ascii="仿宋" w:hAnsi="仿宋" w:eastAsia="仿宋" w:cs="仿宋"/>
          <w:color w:val="auto"/>
          <w:sz w:val="24"/>
          <w:highlight w:val="none"/>
        </w:rPr>
        <w:t>政府采购监督管理部门投诉。质疑函范本、投诉书范本请到浙江政府采购网下载专区下载。</w:t>
      </w:r>
    </w:p>
    <w:p w14:paraId="1C8D5E57">
      <w:pPr>
        <w:spacing w:line="500" w:lineRule="exact"/>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4.其他事项：（1）需要落实的政府采购政策：详见</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文件的第二部分总则。（2）电子招投标</w:t>
      </w:r>
      <w:r>
        <w:rPr>
          <w:rFonts w:hint="eastAsia" w:ascii="仿宋" w:hAnsi="仿宋" w:eastAsia="仿宋" w:cs="仿宋"/>
          <w:color w:val="auto"/>
          <w:sz w:val="24"/>
          <w:highlight w:val="none"/>
          <w:lang w:eastAsia="zh-CN"/>
        </w:rPr>
        <w:t>（公开征集电子采购）</w:t>
      </w:r>
      <w:r>
        <w:rPr>
          <w:rFonts w:hint="eastAsia" w:ascii="仿宋" w:hAnsi="仿宋" w:eastAsia="仿宋" w:cs="仿宋"/>
          <w:color w:val="auto"/>
          <w:sz w:val="24"/>
          <w:highlight w:val="none"/>
        </w:rPr>
        <w:t>的说明：①电子招投标</w:t>
      </w:r>
      <w:r>
        <w:rPr>
          <w:rFonts w:hint="eastAsia" w:ascii="仿宋" w:hAnsi="仿宋" w:eastAsia="仿宋" w:cs="仿宋"/>
          <w:color w:val="auto"/>
          <w:sz w:val="24"/>
          <w:highlight w:val="none"/>
          <w:lang w:eastAsia="zh-CN"/>
        </w:rPr>
        <w:t>（公开征集电子采购）</w:t>
      </w:r>
      <w:r>
        <w:rPr>
          <w:rFonts w:hint="eastAsia" w:ascii="仿宋" w:hAnsi="仿宋" w:eastAsia="仿宋" w:cs="仿宋"/>
          <w:color w:val="auto"/>
          <w:sz w:val="24"/>
          <w:highlight w:val="none"/>
        </w:rPr>
        <w:t>：本项目以数据电文形式，依托“政府采购云平台（www.zcygov.cn）”进行招投标</w:t>
      </w:r>
      <w:r>
        <w:rPr>
          <w:rFonts w:hint="eastAsia" w:ascii="仿宋" w:hAnsi="仿宋" w:eastAsia="仿宋" w:cs="仿宋"/>
          <w:color w:val="auto"/>
          <w:sz w:val="24"/>
          <w:highlight w:val="none"/>
          <w:lang w:eastAsia="zh-CN"/>
        </w:rPr>
        <w:t>（公开征集电子采购）</w:t>
      </w:r>
      <w:r>
        <w:rPr>
          <w:rFonts w:hint="eastAsia" w:ascii="仿宋" w:hAnsi="仿宋" w:eastAsia="仿宋" w:cs="仿宋"/>
          <w:color w:val="auto"/>
          <w:sz w:val="24"/>
          <w:highlight w:val="none"/>
        </w:rPr>
        <w:t>活动，不接受纸质投标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文件；②投标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文件的获取：使用账号登录或者使用CA登录政采云平台；进入“项目采购”应用，在获取采购文件菜单中选择项目，获取招标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文件；④投标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文件的制作：在“政采云电子交易客户端”中完成“填写基本信息”、“导入投标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文件”、“标书关联”、“标书检查”、“电子签名”、“生成电子标书”等操作；⑤采购人、采购机构</w:t>
      </w:r>
      <w:r>
        <w:rPr>
          <w:rFonts w:hint="eastAsia" w:ascii="仿宋" w:hAnsi="仿宋" w:eastAsia="仿宋" w:cs="仿宋"/>
          <w:color w:val="auto"/>
          <w:sz w:val="24"/>
          <w:highlight w:val="none"/>
          <w:lang w:eastAsia="zh-CN"/>
        </w:rPr>
        <w:t>（征集人）</w:t>
      </w:r>
      <w:r>
        <w:rPr>
          <w:rFonts w:hint="eastAsia" w:ascii="仿宋" w:hAnsi="仿宋" w:eastAsia="仿宋" w:cs="仿宋"/>
          <w:color w:val="auto"/>
          <w:sz w:val="24"/>
          <w:highlight w:val="none"/>
        </w:rPr>
        <w:t>将依托政采云平台完成本项目的电子交易活动，平台不接受未按上述方式获取招标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文件的供应商进行投标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 ⑥对未按上述方式获取招标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文件的供应商对该文件提出的质疑，</w:t>
      </w:r>
      <w:r>
        <w:rPr>
          <w:rFonts w:hint="eastAsia" w:ascii="仿宋" w:hAnsi="仿宋" w:eastAsia="仿宋" w:cs="仿宋"/>
          <w:color w:val="auto"/>
          <w:sz w:val="24"/>
          <w:highlight w:val="none"/>
          <w:lang w:eastAsia="zh-CN"/>
        </w:rPr>
        <w:t>征集人</w:t>
      </w:r>
      <w:r>
        <w:rPr>
          <w:rFonts w:hint="eastAsia" w:ascii="仿宋" w:hAnsi="仿宋" w:eastAsia="仿宋" w:cs="仿宋"/>
          <w:color w:val="auto"/>
          <w:sz w:val="24"/>
          <w:highlight w:val="none"/>
        </w:rPr>
        <w:t>将不予处理；⑦不提供招标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文件纸质版；⑧投标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文件的传输递交：投标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在投标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文件上传至政府采购云平台，还可以在投标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截止时间前直接提交或者以邮政快递方式递交备份投标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文件1份。备份投标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文件的制作、存储、密封详见</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文件第二部分第15点—“备份投标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文件”；⑨投标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文件的解密：投标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按照平台提示和招标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文件的规定在半小时内完成在线解密。通过“政府采购云平台”上传递交的投标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文件无法按时解密，投标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供应商递交了备份投标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文件的，以备份投标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文件为依据，否则视为投标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文件撤回。通过“政府采购云平台”上传递交的投标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文件已按时解密的，备份投标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文件自动失效。投标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仅提交备份投标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文件，未在电子交易平台传输递交投标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文件的，投标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w:t>
      </w:r>
      <w:r>
        <w:rPr>
          <w:rFonts w:hint="eastAsia" w:ascii="仿宋" w:hAnsi="仿宋" w:eastAsia="仿宋" w:cs="仿宋"/>
          <w:color w:val="auto"/>
          <w:sz w:val="24"/>
          <w:highlight w:val="none"/>
          <w:lang w:eastAsia="zh-CN"/>
        </w:rPr>
        <w:t>登录后</w:t>
      </w:r>
      <w:r>
        <w:rPr>
          <w:rFonts w:hint="eastAsia" w:ascii="仿宋" w:hAnsi="仿宋" w:eastAsia="仿宋" w:cs="仿宋"/>
          <w:color w:val="auto"/>
          <w:sz w:val="24"/>
          <w:highlight w:val="none"/>
        </w:rPr>
        <w:t>详见政采云平台“服务中心-帮助文档-项目采购-</w:t>
      </w:r>
      <w:r>
        <w:rPr>
          <w:rFonts w:hint="eastAsia" w:ascii="仿宋" w:hAnsi="仿宋" w:eastAsia="仿宋" w:cs="仿宋"/>
          <w:color w:val="auto"/>
          <w:sz w:val="24"/>
          <w:highlight w:val="none"/>
          <w:lang w:eastAsia="zh-CN"/>
        </w:rPr>
        <w:t>操作流程</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电子招投标-政府采购项目电子交易管理操作指南-供应商”</w:t>
      </w:r>
      <w:r>
        <w:rPr>
          <w:rFonts w:hint="eastAsia" w:ascii="仿宋" w:hAnsi="仿宋" w:eastAsia="仿宋" w:cs="仿宋"/>
          <w:color w:val="auto"/>
          <w:sz w:val="24"/>
          <w:highlight w:val="none"/>
          <w:lang w:eastAsia="zh-CN"/>
        </w:rPr>
        <w:t>，政采云平台如有更新的，以平台更新为准。</w:t>
      </w:r>
      <w:r>
        <w:rPr>
          <w:rFonts w:hint="eastAsia" w:ascii="仿宋" w:hAnsi="仿宋" w:eastAsia="仿宋" w:cs="仿宋"/>
          <w:color w:val="auto"/>
          <w:sz w:val="24"/>
          <w:highlight w:val="none"/>
        </w:rPr>
        <w:t>（3）招标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文件公告期限与招标</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公告的公告期限一致。</w:t>
      </w:r>
    </w:p>
    <w:p w14:paraId="66727917">
      <w:pPr>
        <w:keepNext w:val="0"/>
        <w:keepLines w:val="0"/>
        <w:pageBreakBefore w:val="0"/>
        <w:kinsoku/>
        <w:wordWrap/>
        <w:overflowPunct/>
        <w:topLinePunct w:val="0"/>
        <w:bidi w:val="0"/>
        <w:adjustRightInd w:val="0"/>
        <w:spacing w:line="336"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七、对本次征集提出询问、质疑、投诉，请按以下方式联系</w:t>
      </w:r>
    </w:p>
    <w:p w14:paraId="5EF661A4">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1.征集人信息</w:t>
      </w:r>
    </w:p>
    <w:p w14:paraId="56352E3B">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名称：杭州市西湖区住房和城乡建设局</w:t>
      </w:r>
    </w:p>
    <w:p w14:paraId="15D97174">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西湖区五云中路1号 </w:t>
      </w:r>
    </w:p>
    <w:p w14:paraId="5CC22F93">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14:paraId="16F1904F">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项目联系人（询问）：徐先生          </w:t>
      </w:r>
    </w:p>
    <w:p w14:paraId="066412F7">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项目联系方式（询问）：0571-89513465</w:t>
      </w:r>
    </w:p>
    <w:p w14:paraId="2B702795">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 徐先生</w:t>
      </w:r>
    </w:p>
    <w:p w14:paraId="34426C71">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89513430</w:t>
      </w:r>
    </w:p>
    <w:p w14:paraId="2D27C771">
      <w:pPr>
        <w:pStyle w:val="31"/>
        <w:keepNext w:val="0"/>
        <w:keepLines w:val="0"/>
        <w:pageBreakBefore w:val="0"/>
        <w:kinsoku/>
        <w:wordWrap/>
        <w:overflowPunct/>
        <w:topLinePunct w:val="0"/>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2.征集代理机构信息       </w:t>
      </w:r>
    </w:p>
    <w:p w14:paraId="05FEB75F">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称：浙江中诚工程管理科技有限公司</w:t>
      </w:r>
    </w:p>
    <w:p w14:paraId="75BF628F">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址：杭州市西湖区莲花街333号莲花商务中心B座6楼</w:t>
      </w:r>
    </w:p>
    <w:p w14:paraId="4A4E132E">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2295D47D">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项麟钧</w:t>
      </w:r>
    </w:p>
    <w:p w14:paraId="00DAB055">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13819150435</w:t>
      </w:r>
    </w:p>
    <w:p w14:paraId="4FD5A946">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质疑联系人：李慧</w:t>
      </w:r>
    </w:p>
    <w:p w14:paraId="552EE8DF">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质疑联系方式：13750853027   </w:t>
      </w:r>
    </w:p>
    <w:p w14:paraId="5FB7D3E8">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3.同级政府采购监督管理部门       </w:t>
      </w:r>
    </w:p>
    <w:p w14:paraId="1692DF9A">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称：杭州市西湖区财政局、浙江省政府采购行政裁决服务中心（杭州）</w:t>
      </w:r>
    </w:p>
    <w:p w14:paraId="27A626CF">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址：杭州市上城区清泰街549号城建综合大楼11楼（快递仅限ems或顺丰） </w:t>
      </w:r>
    </w:p>
    <w:p w14:paraId="5E7B0858">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14:paraId="7E211842">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：朱女士、王女士</w:t>
      </w:r>
    </w:p>
    <w:p w14:paraId="405A922C">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监督投诉电话：电话：0571-87227671,0571-87800218  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获取热线服务帮助。</w:t>
      </w:r>
    </w:p>
    <w:p w14:paraId="2C6E1E8A">
      <w:pPr>
        <w:pStyle w:val="31"/>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1C0D5329">
      <w:pPr>
        <w:rPr>
          <w:rFonts w:hint="eastAsia"/>
          <w:highlight w:val="none"/>
        </w:rPr>
      </w:pPr>
      <w:r>
        <w:rPr>
          <w:rFonts w:hint="eastAsia"/>
          <w:color w:val="auto"/>
          <w:highlight w:val="none"/>
        </w:rPr>
        <w:br w:type="page"/>
      </w:r>
    </w:p>
    <w:p w14:paraId="76EDBFC7">
      <w:pPr>
        <w:spacing w:line="360" w:lineRule="auto"/>
        <w:jc w:val="center"/>
        <w:outlineLvl w:val="0"/>
        <w:rPr>
          <w:rFonts w:hint="eastAsia" w:ascii="仿宋" w:hAnsi="仿宋" w:eastAsia="仿宋" w:cs="仿宋"/>
          <w:b/>
          <w:bCs w:val="0"/>
          <w:color w:val="auto"/>
          <w:sz w:val="36"/>
          <w:szCs w:val="20"/>
          <w:highlight w:val="none"/>
        </w:rPr>
      </w:pPr>
      <w:r>
        <w:rPr>
          <w:rFonts w:hint="eastAsia" w:ascii="仿宋" w:hAnsi="仿宋" w:eastAsia="仿宋" w:cs="仿宋"/>
          <w:b/>
          <w:bCs w:val="0"/>
          <w:color w:val="auto"/>
          <w:sz w:val="36"/>
          <w:szCs w:val="20"/>
          <w:highlight w:val="none"/>
        </w:rPr>
        <w:t>第二部分 投标人须知</w:t>
      </w:r>
    </w:p>
    <w:p w14:paraId="18D7C4E8">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p>
    <w:p w14:paraId="23E832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2285"/>
        <w:gridCol w:w="6627"/>
      </w:tblGrid>
      <w:tr w14:paraId="430D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647" w:type="dxa"/>
            <w:vAlign w:val="center"/>
          </w:tcPr>
          <w:p w14:paraId="2482C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85" w:type="dxa"/>
            <w:vAlign w:val="center"/>
          </w:tcPr>
          <w:p w14:paraId="466C39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627" w:type="dxa"/>
            <w:vAlign w:val="center"/>
          </w:tcPr>
          <w:p w14:paraId="205BB7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4795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8" w:hRule="atLeast"/>
          <w:jc w:val="center"/>
        </w:trPr>
        <w:tc>
          <w:tcPr>
            <w:tcW w:w="647" w:type="dxa"/>
            <w:vAlign w:val="center"/>
          </w:tcPr>
          <w:p w14:paraId="0B4CDB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85" w:type="dxa"/>
            <w:vAlign w:val="center"/>
          </w:tcPr>
          <w:p w14:paraId="7E898E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627" w:type="dxa"/>
            <w:vAlign w:val="center"/>
          </w:tcPr>
          <w:p w14:paraId="1AA81D35">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。征集文件未列明，而供应商认为必需的费用也需列入报价。</w:t>
            </w:r>
            <w:r>
              <w:rPr>
                <w:rFonts w:hint="eastAsia" w:ascii="仿宋" w:hAnsi="仿宋" w:eastAsia="仿宋" w:cs="仿宋"/>
                <w:b/>
                <w:color w:val="auto"/>
                <w:kern w:val="0"/>
                <w:sz w:val="24"/>
                <w:szCs w:val="24"/>
                <w:highlight w:val="none"/>
                <w:lang w:val="zh-CN"/>
              </w:rPr>
              <w:t>响应报价出现下列情形的，响应无效：</w:t>
            </w:r>
          </w:p>
          <w:p w14:paraId="47AB466C">
            <w:pPr>
              <w:keepNext w:val="0"/>
              <w:keepLines w:val="0"/>
              <w:pageBreakBefore w:val="0"/>
              <w:widowControl w:val="0"/>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响应文件出现不是唯一的、有选择性响应报价的；</w:t>
            </w:r>
          </w:p>
          <w:p w14:paraId="7DA2B569">
            <w:pPr>
              <w:keepNext w:val="0"/>
              <w:keepLines w:val="0"/>
              <w:pageBreakBefore w:val="0"/>
              <w:widowControl w:val="0"/>
              <w:kinsoku/>
              <w:wordWrap/>
              <w:overflowPunct/>
              <w:topLinePunct w:val="0"/>
              <w:autoSpaceDE/>
              <w:autoSpaceDN/>
              <w:bidi w:val="0"/>
              <w:snapToGrid w:val="0"/>
              <w:spacing w:line="36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响应报价超过征集文件中规定的预算金额或者最高限制单价的;</w:t>
            </w:r>
          </w:p>
          <w:p w14:paraId="51169D33">
            <w:pPr>
              <w:keepNext w:val="0"/>
              <w:keepLines w:val="0"/>
              <w:pageBreakBefore w:val="0"/>
              <w:widowControl w:val="0"/>
              <w:kinsoku/>
              <w:wordWrap/>
              <w:overflowPunct/>
              <w:topLinePunct w:val="0"/>
              <w:autoSpaceDE/>
              <w:autoSpaceDN/>
              <w:bidi w:val="0"/>
              <w:spacing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2D6DAD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供应商对根据修正原则修正后的报价不确认的</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w:t>
            </w:r>
          </w:p>
        </w:tc>
      </w:tr>
      <w:tr w14:paraId="6F9E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47" w:type="dxa"/>
            <w:vAlign w:val="center"/>
          </w:tcPr>
          <w:p w14:paraId="6FFB408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85" w:type="dxa"/>
            <w:vAlign w:val="center"/>
          </w:tcPr>
          <w:p w14:paraId="6110C36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入围方式</w:t>
            </w:r>
          </w:p>
        </w:tc>
        <w:tc>
          <w:tcPr>
            <w:tcW w:w="6627" w:type="dxa"/>
            <w:vAlign w:val="center"/>
          </w:tcPr>
          <w:p w14:paraId="3C4EB9B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1.根据中华人民共和国财政部令第 110 号《政府采购框架协议采购方式管理办法》，确定第一阶段入围供应商的评审方法为</w:t>
            </w:r>
            <w:r>
              <w:rPr>
                <w:rFonts w:hint="eastAsia" w:ascii="仿宋" w:hAnsi="仿宋" w:eastAsia="仿宋" w:cs="仿宋"/>
                <w:b/>
                <w:bCs/>
                <w:color w:val="auto"/>
                <w:kern w:val="0"/>
                <w:sz w:val="24"/>
                <w:szCs w:val="24"/>
                <w:highlight w:val="none"/>
                <w:u w:val="single"/>
                <w:lang w:val="en-US" w:eastAsia="zh-CN"/>
              </w:rPr>
              <w:t>质量优先法</w:t>
            </w:r>
            <w:r>
              <w:rPr>
                <w:rFonts w:hint="eastAsia" w:ascii="仿宋" w:hAnsi="仿宋" w:eastAsia="仿宋" w:cs="仿宋"/>
                <w:color w:val="auto"/>
                <w:kern w:val="0"/>
                <w:sz w:val="24"/>
                <w:szCs w:val="24"/>
                <w:highlight w:val="none"/>
              </w:rPr>
              <w:t>，确定第二阶段成交供应商的方式为</w:t>
            </w:r>
            <w:r>
              <w:rPr>
                <w:rFonts w:hint="eastAsia" w:ascii="仿宋" w:hAnsi="仿宋" w:eastAsia="仿宋" w:cs="仿宋"/>
                <w:b/>
                <w:bCs/>
                <w:color w:val="auto"/>
                <w:kern w:val="0"/>
                <w:sz w:val="24"/>
                <w:szCs w:val="24"/>
                <w:highlight w:val="none"/>
                <w:u w:val="single"/>
                <w:lang w:val="en-US" w:eastAsia="zh-CN"/>
              </w:rPr>
              <w:t>顺序轮候</w:t>
            </w:r>
            <w:r>
              <w:rPr>
                <w:rFonts w:hint="eastAsia" w:ascii="仿宋" w:hAnsi="仿宋" w:eastAsia="仿宋" w:cs="仿宋"/>
                <w:color w:val="auto"/>
                <w:kern w:val="0"/>
                <w:sz w:val="24"/>
                <w:szCs w:val="24"/>
                <w:highlight w:val="none"/>
                <w:lang w:val="en-US" w:eastAsia="zh-CN"/>
              </w:rPr>
              <w:t xml:space="preserve">，按入围供应商的综合得分高到低排序循环方式进行分配。 </w:t>
            </w:r>
          </w:p>
          <w:p w14:paraId="226D80B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2.评标委员会评审后按商务技术汇总得分由高到低顺序排列。若商务技术汇总得分一致的，则根据供应商报价进行排序。若结果仍一致的，由评标委员会随机抽取的方式确定。</w:t>
            </w:r>
          </w:p>
          <w:p w14:paraId="637F73A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3.本项目给定了入围供应商的数量，评标委员会按照征集文件中规定的各项因素进行综合质量评审后，以评标总得分高低的顺序依次推荐入围服务供应商。 </w:t>
            </w:r>
          </w:p>
        </w:tc>
      </w:tr>
      <w:tr w14:paraId="5ED0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19659D3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85" w:type="dxa"/>
            <w:vAlign w:val="center"/>
          </w:tcPr>
          <w:p w14:paraId="7203CCD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响应文件有效期</w:t>
            </w:r>
          </w:p>
        </w:tc>
        <w:tc>
          <w:tcPr>
            <w:tcW w:w="6627" w:type="dxa"/>
            <w:vAlign w:val="center"/>
          </w:tcPr>
          <w:p w14:paraId="5A76D2B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响应文件有效期为从提交响应文件的截止之日起90天。投标人的征集响应文件中承诺的投标有效期少于征集文件中载明的投标有效期的，投标无效。</w:t>
            </w:r>
          </w:p>
        </w:tc>
      </w:tr>
      <w:tr w14:paraId="536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10BDD8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85" w:type="dxa"/>
            <w:vAlign w:val="center"/>
          </w:tcPr>
          <w:p w14:paraId="764921DE">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转包</w:t>
            </w:r>
          </w:p>
        </w:tc>
        <w:tc>
          <w:tcPr>
            <w:tcW w:w="6627" w:type="dxa"/>
            <w:vAlign w:val="center"/>
          </w:tcPr>
          <w:p w14:paraId="7E9FB328">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本项目不得转包。</w:t>
            </w:r>
          </w:p>
        </w:tc>
      </w:tr>
      <w:tr w14:paraId="2D8A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3A1EA5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85" w:type="dxa"/>
            <w:vAlign w:val="center"/>
          </w:tcPr>
          <w:p w14:paraId="7D1AEC4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627" w:type="dxa"/>
            <w:vAlign w:val="center"/>
          </w:tcPr>
          <w:p w14:paraId="52A7A46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790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55170998">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29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79F4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0" w:hRule="atLeast"/>
          <w:jc w:val="center"/>
        </w:trPr>
        <w:tc>
          <w:tcPr>
            <w:tcW w:w="647" w:type="dxa"/>
            <w:vAlign w:val="center"/>
          </w:tcPr>
          <w:p w14:paraId="5D06E3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85" w:type="dxa"/>
            <w:vAlign w:val="center"/>
          </w:tcPr>
          <w:p w14:paraId="37E4CC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27" w:type="dxa"/>
            <w:vAlign w:val="center"/>
          </w:tcPr>
          <w:p w14:paraId="1F10E05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见征集文件第二部分</w:t>
            </w:r>
          </w:p>
        </w:tc>
      </w:tr>
      <w:tr w14:paraId="3AF2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3907C31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85" w:type="dxa"/>
            <w:vAlign w:val="center"/>
          </w:tcPr>
          <w:p w14:paraId="141552C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27" w:type="dxa"/>
            <w:vAlign w:val="center"/>
          </w:tcPr>
          <w:p w14:paraId="6EAAA086">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8161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A155E5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napToGrid w:val="0"/>
                <w:color w:val="auto"/>
                <w:sz w:val="24"/>
                <w:szCs w:val="24"/>
                <w:highlight w:val="none"/>
              </w:rPr>
            </w:pPr>
            <w:sdt>
              <w:sdtPr>
                <w:rPr>
                  <w:rFonts w:hint="eastAsia" w:ascii="仿宋" w:hAnsi="仿宋" w:eastAsia="仿宋" w:cs="仿宋"/>
                  <w:color w:val="auto"/>
                  <w:kern w:val="0"/>
                  <w:sz w:val="24"/>
                  <w:szCs w:val="24"/>
                  <w:highlight w:val="none"/>
                </w:rPr>
                <w:id w:val="14745950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290A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406AB1B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85" w:type="dxa"/>
            <w:vAlign w:val="center"/>
          </w:tcPr>
          <w:p w14:paraId="6ACEE2C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627" w:type="dxa"/>
            <w:vAlign w:val="center"/>
          </w:tcPr>
          <w:p w14:paraId="40A8CA0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860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39B70B49">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p>
          <w:p w14:paraId="0B6AEE4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p>
          <w:p w14:paraId="53A7411A">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w:t>
            </w:r>
          </w:p>
          <w:p w14:paraId="616CE63D">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征集办法</w:t>
            </w:r>
            <w:r>
              <w:rPr>
                <w:rFonts w:hint="eastAsia" w:ascii="仿宋" w:hAnsi="仿宋" w:eastAsia="仿宋" w:cs="仿宋"/>
                <w:color w:val="auto"/>
                <w:kern w:val="0"/>
                <w:sz w:val="24"/>
                <w:szCs w:val="24"/>
                <w:highlight w:val="none"/>
              </w:rPr>
              <w:t>；</w:t>
            </w:r>
          </w:p>
          <w:p w14:paraId="6C71DE36">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（4）是否需要针对样品提交检测报告：</w:t>
            </w:r>
            <w:sdt>
              <w:sdtPr>
                <w:rPr>
                  <w:rFonts w:hint="eastAsia" w:ascii="仿宋" w:hAnsi="仿宋" w:eastAsia="仿宋" w:cs="仿宋"/>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检测报告编制在响应文件中。</w:t>
            </w:r>
          </w:p>
          <w:p w14:paraId="09C9C686">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（5）提供样品的截止时间：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，联系电话：  /  </w:t>
            </w:r>
            <w:r>
              <w:rPr>
                <w:rFonts w:hint="eastAsia" w:ascii="仿宋" w:hAnsi="仿宋" w:eastAsia="仿宋" w:cs="仿宋"/>
                <w:color w:val="auto"/>
                <w:sz w:val="24"/>
                <w:szCs w:val="24"/>
                <w:highlight w:val="none"/>
              </w:rPr>
              <w:t>。请投标人在上述时间内提供样品并按规定位置安装完毕。超过截止时间的，征集人或征集代理机构将不予接收，并将清场并封闭样品现场。</w:t>
            </w:r>
          </w:p>
          <w:p w14:paraId="64D082E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征集人、征集机构将通知未中标人在规定的时间内取回，逾期未取回的，征集人、征集机构不负保管义务；对于中标人提供的样品，征集人将进行保管、封存，并作为履约验收的参考。</w:t>
            </w:r>
          </w:p>
          <w:p w14:paraId="654EF66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43B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5C353B8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85" w:type="dxa"/>
            <w:vAlign w:val="center"/>
          </w:tcPr>
          <w:p w14:paraId="64D16F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627" w:type="dxa"/>
            <w:vAlign w:val="center"/>
          </w:tcPr>
          <w:p w14:paraId="5F1B5FB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39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977707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65137E3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在评标时安排每个投标人进行方案讲解演示。每个投标人时间不超过20分钟，讲解次序以响应文件解密时间先后次序为准，讲解演示人员不超过3人。讲解演示结束后按要求解答评标委员会提问。</w:t>
            </w:r>
          </w:p>
          <w:p w14:paraId="1E1170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现场讲解地点为</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14:paraId="3A4C0C5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BA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123DBBE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285" w:type="dxa"/>
            <w:vAlign w:val="center"/>
          </w:tcPr>
          <w:p w14:paraId="2ED8E12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w:t>
            </w:r>
          </w:p>
          <w:p w14:paraId="213C840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w:t>
            </w:r>
          </w:p>
        </w:tc>
        <w:tc>
          <w:tcPr>
            <w:tcW w:w="6627" w:type="dxa"/>
            <w:vAlign w:val="center"/>
          </w:tcPr>
          <w:p w14:paraId="279DD0B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4748047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2E5B090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751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征集人及其委托的征集代理机构不对其加以限制，将按照公平竞争原则实施采购。</w:t>
            </w:r>
          </w:p>
        </w:tc>
      </w:tr>
      <w:tr w14:paraId="4824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79F2C5F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85" w:type="dxa"/>
            <w:vAlign w:val="center"/>
          </w:tcPr>
          <w:p w14:paraId="344405B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27" w:type="dxa"/>
            <w:vAlign w:val="center"/>
          </w:tcPr>
          <w:p w14:paraId="3926BCB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E5BBD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7244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78F380D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85" w:type="dxa"/>
            <w:vAlign w:val="center"/>
          </w:tcPr>
          <w:p w14:paraId="6C3ED84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中小企业划分标准所属行业</w:t>
            </w:r>
          </w:p>
        </w:tc>
        <w:tc>
          <w:tcPr>
            <w:tcW w:w="6627" w:type="dxa"/>
            <w:vAlign w:val="center"/>
          </w:tcPr>
          <w:p w14:paraId="7396418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杭州市西湖区住房和城乡建设局建设工程消防验收技术服务框架协议采购项目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eastAsia="zh-CN"/>
              </w:rPr>
              <w:t>其他未列明行业</w:t>
            </w:r>
            <w:r>
              <w:rPr>
                <w:rFonts w:hint="eastAsia" w:ascii="仿宋" w:hAnsi="仿宋" w:eastAsia="仿宋" w:cs="仿宋"/>
                <w:color w:val="auto"/>
                <w:kern w:val="0"/>
                <w:sz w:val="24"/>
                <w:szCs w:val="24"/>
                <w:highlight w:val="none"/>
              </w:rPr>
              <w:t>；</w:t>
            </w:r>
          </w:p>
          <w:p w14:paraId="7D72CF7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备注：《关于印发中小企业划型标准规定的通知》（工信部联企业〔2011〕300号）：</w:t>
            </w:r>
          </w:p>
          <w:p w14:paraId="22E62F91">
            <w:pPr>
              <w:keepNext w:val="0"/>
              <w:keepLines w:val="0"/>
              <w:pageBreakBefore w:val="0"/>
              <w:widowControl w:val="0"/>
              <w:kinsoku/>
              <w:wordWrap/>
              <w:overflowPunct/>
              <w:topLinePunct w:val="0"/>
              <w:autoSpaceDE/>
              <w:autoSpaceDN/>
              <w:bidi w:val="0"/>
              <w:spacing w:line="360" w:lineRule="auto"/>
              <w:textAlignment w:val="auto"/>
              <w:rPr>
                <w:rFonts w:hint="eastAsia"/>
                <w:highlight w:val="none"/>
              </w:rPr>
            </w:pPr>
            <w:r>
              <w:rPr>
                <w:rFonts w:hint="eastAsia" w:ascii="仿宋" w:hAnsi="仿宋" w:eastAsia="仿宋" w:cs="仿宋"/>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4A23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Merge w:val="restart"/>
            <w:vAlign w:val="center"/>
          </w:tcPr>
          <w:p w14:paraId="0631509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85" w:type="dxa"/>
            <w:vMerge w:val="restart"/>
            <w:vAlign w:val="center"/>
          </w:tcPr>
          <w:p w14:paraId="0818BF4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投标人信用信息事项</w:t>
            </w:r>
          </w:p>
        </w:tc>
        <w:tc>
          <w:tcPr>
            <w:tcW w:w="6627" w:type="dxa"/>
            <w:vAlign w:val="center"/>
          </w:tcPr>
          <w:p w14:paraId="3F56035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征集人或征集人委托的评审小组或征集代理机构将通过“信用中国”网站(www.creditchina.gov.cn)、中国政府采购网(www.ccgp.gov.cn)渠道查询投标人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22CF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Merge w:val="continue"/>
            <w:vAlign w:val="center"/>
          </w:tcPr>
          <w:p w14:paraId="319695B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p>
        </w:tc>
        <w:tc>
          <w:tcPr>
            <w:tcW w:w="2285" w:type="dxa"/>
            <w:vMerge w:val="continue"/>
            <w:vAlign w:val="center"/>
          </w:tcPr>
          <w:p w14:paraId="4AE6A5A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p>
        </w:tc>
        <w:tc>
          <w:tcPr>
            <w:tcW w:w="6627" w:type="dxa"/>
            <w:vAlign w:val="center"/>
          </w:tcPr>
          <w:p w14:paraId="282E811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征集人或征集人委托的评审小组或征集代理机构现场查询投标人的信用记录，查询结果经确认后与征集文件一起存档。</w:t>
            </w:r>
          </w:p>
        </w:tc>
      </w:tr>
      <w:tr w14:paraId="04CB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Merge w:val="continue"/>
            <w:vAlign w:val="center"/>
          </w:tcPr>
          <w:p w14:paraId="2A69A0C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p>
        </w:tc>
        <w:tc>
          <w:tcPr>
            <w:tcW w:w="2285" w:type="dxa"/>
            <w:vMerge w:val="continue"/>
            <w:vAlign w:val="center"/>
          </w:tcPr>
          <w:p w14:paraId="4FABE28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4"/>
                <w:szCs w:val="24"/>
                <w:highlight w:val="none"/>
              </w:rPr>
            </w:pPr>
          </w:p>
        </w:tc>
        <w:tc>
          <w:tcPr>
            <w:tcW w:w="6627" w:type="dxa"/>
            <w:vAlign w:val="center"/>
          </w:tcPr>
          <w:p w14:paraId="4AC8726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经查询列入失信被执行人名单、重大税收违法案件当事人名单、政府采购严重违法失信行为记录名单的投标人将被拒绝参与政府征集活动。</w:t>
            </w:r>
          </w:p>
          <w:p w14:paraId="0D12C4F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征集活动的，应当对所有联合体成员进行信用记录查询，联合体成员存在不良信用记录的，视同联合体存在不良信用记录。</w:t>
            </w:r>
          </w:p>
        </w:tc>
      </w:tr>
      <w:tr w14:paraId="40A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1B3E22F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85" w:type="dxa"/>
            <w:vAlign w:val="center"/>
          </w:tcPr>
          <w:p w14:paraId="5CB5250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扰乱公共资源交易市场秩序行为</w:t>
            </w:r>
          </w:p>
        </w:tc>
        <w:tc>
          <w:tcPr>
            <w:tcW w:w="6627" w:type="dxa"/>
            <w:vAlign w:val="center"/>
          </w:tcPr>
          <w:p w14:paraId="12B474D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不诚信参加公共资源交易活动，扰乱市场秩序，被绍兴市公共资源交易平台责令整改、暂停交易的投标人，在此期间将被拒绝参与政府采购活动。</w:t>
            </w:r>
          </w:p>
        </w:tc>
      </w:tr>
      <w:tr w14:paraId="1BFD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3A4521F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85" w:type="dxa"/>
            <w:vAlign w:val="center"/>
          </w:tcPr>
          <w:p w14:paraId="0AA73473">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需要落实的政府采购政策</w:t>
            </w:r>
          </w:p>
        </w:tc>
        <w:tc>
          <w:tcPr>
            <w:tcW w:w="6627" w:type="dxa"/>
            <w:vAlign w:val="center"/>
          </w:tcPr>
          <w:p w14:paraId="1CDB8EF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包括保护环境、节约能源、促进中小企业发展等。详见征集文件第二部分总则。</w:t>
            </w:r>
          </w:p>
        </w:tc>
      </w:tr>
      <w:tr w14:paraId="05BB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744E3B3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912" w:type="dxa"/>
            <w:gridSpan w:val="2"/>
            <w:vAlign w:val="center"/>
          </w:tcPr>
          <w:p w14:paraId="78EA52A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1E1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shd w:val="clear" w:color="auto" w:fill="auto"/>
            <w:vAlign w:val="center"/>
          </w:tcPr>
          <w:p w14:paraId="6A6DC34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912" w:type="dxa"/>
            <w:gridSpan w:val="2"/>
            <w:shd w:val="clear" w:color="auto" w:fill="auto"/>
            <w:vAlign w:val="center"/>
          </w:tcPr>
          <w:p w14:paraId="1CC5B6EE">
            <w:pPr>
              <w:pStyle w:val="12"/>
              <w:spacing w:line="500" w:lineRule="exact"/>
              <w:jc w:val="both"/>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采购代理服务费：</w:t>
            </w:r>
            <w:r>
              <w:rPr>
                <w:rFonts w:hint="eastAsia" w:ascii="仿宋" w:hAnsi="仿宋" w:eastAsia="仿宋" w:cs="仿宋"/>
                <w:snapToGrid/>
                <w:color w:val="auto"/>
                <w:kern w:val="2"/>
                <w:sz w:val="24"/>
                <w:szCs w:val="24"/>
                <w:highlight w:val="none"/>
                <w:lang w:val="en-US" w:eastAsia="zh-CN" w:bidi="ar-SA"/>
              </w:rPr>
              <w:t>本项目的招标代理费由中标单位支付。</w:t>
            </w:r>
          </w:p>
          <w:p w14:paraId="59BD567D">
            <w:pPr>
              <w:pStyle w:val="12"/>
              <w:spacing w:line="500" w:lineRule="exact"/>
              <w:jc w:val="both"/>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计费标准：招标代理服务费参照国家计委关于印发《招标代理服务收费管理暂行办法》(计价格[2002]1980号)文件规定收费标准为参照基础，以中标价为收费基数，按收费标准的80%收取。</w:t>
            </w:r>
          </w:p>
          <w:p w14:paraId="6B5C2E71">
            <w:pPr>
              <w:pStyle w:val="12"/>
              <w:spacing w:line="500" w:lineRule="exact"/>
              <w:jc w:val="both"/>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收款单位（户名）：浙江中诚工程管理科技有限公司；</w:t>
            </w:r>
          </w:p>
          <w:p w14:paraId="0A2DF392">
            <w:pPr>
              <w:pStyle w:val="12"/>
              <w:spacing w:line="500" w:lineRule="exact"/>
              <w:jc w:val="both"/>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开户：中国农业银行杭州城西支行</w:t>
            </w:r>
          </w:p>
          <w:p w14:paraId="6B15F71C">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账号：19020101040014120</w:t>
            </w:r>
          </w:p>
          <w:p w14:paraId="243D2A5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snapToGrid/>
                <w:color w:val="auto"/>
                <w:kern w:val="2"/>
                <w:sz w:val="24"/>
                <w:szCs w:val="24"/>
                <w:highlight w:val="none"/>
                <w:lang w:val="en-US" w:eastAsia="zh-CN" w:bidi="ar-SA"/>
              </w:rPr>
              <w:t>潜在供应商</w:t>
            </w:r>
            <w:r>
              <w:rPr>
                <w:rFonts w:hint="eastAsia" w:ascii="仿宋" w:hAnsi="仿宋" w:eastAsia="仿宋" w:cs="仿宋"/>
                <w:color w:val="auto"/>
                <w:sz w:val="24"/>
                <w:szCs w:val="24"/>
                <w:highlight w:val="none"/>
              </w:rPr>
              <w:t>因充分考虑此部分费用，参与投标活动时综合考虑在报价中。</w:t>
            </w:r>
          </w:p>
        </w:tc>
      </w:tr>
      <w:tr w14:paraId="3CC1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7" w:type="dxa"/>
            <w:vAlign w:val="center"/>
          </w:tcPr>
          <w:p w14:paraId="5E2B942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912" w:type="dxa"/>
            <w:gridSpan w:val="2"/>
            <w:vAlign w:val="center"/>
          </w:tcPr>
          <w:p w14:paraId="7B36E688">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sz w:val="24"/>
                <w:szCs w:val="24"/>
                <w:highlight w:val="none"/>
              </w:rPr>
              <w:t>解释：凡涉及本征集文件的解释权属于征集人。</w:t>
            </w:r>
          </w:p>
        </w:tc>
      </w:tr>
    </w:tbl>
    <w:p w14:paraId="744856B3">
      <w:pPr>
        <w:pStyle w:val="13"/>
        <w:spacing w:line="360" w:lineRule="auto"/>
        <w:ind w:firstLine="0" w:firstLineChars="0"/>
        <w:rPr>
          <w:color w:val="auto"/>
          <w:highlight w:val="none"/>
        </w:rPr>
      </w:pPr>
    </w:p>
    <w:p w14:paraId="25815EB2">
      <w:pPr>
        <w:pStyle w:val="13"/>
        <w:spacing w:line="360" w:lineRule="auto"/>
        <w:ind w:firstLine="0" w:firstLineChars="0"/>
        <w:rPr>
          <w:color w:val="auto"/>
          <w:highlight w:val="none"/>
        </w:rPr>
      </w:pPr>
    </w:p>
    <w:p w14:paraId="06285005">
      <w:pPr>
        <w:pStyle w:val="13"/>
        <w:spacing w:line="360" w:lineRule="auto"/>
        <w:ind w:firstLine="0" w:firstLineChars="0"/>
        <w:rPr>
          <w:color w:val="auto"/>
          <w:highlight w:val="none"/>
        </w:rPr>
      </w:pPr>
    </w:p>
    <w:p w14:paraId="0D3EF41D">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5BEBB682">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w:t>
      </w:r>
      <w:r>
        <w:rPr>
          <w:rFonts w:hint="eastAsia" w:ascii="仿宋" w:hAnsi="仿宋" w:eastAsia="仿宋" w:cs="仿宋"/>
          <w:b/>
          <w:color w:val="auto"/>
          <w:sz w:val="32"/>
          <w:szCs w:val="20"/>
          <w:highlight w:val="none"/>
          <w:lang w:val="en-US" w:eastAsia="zh-CN"/>
        </w:rPr>
        <w:t xml:space="preserve"> </w:t>
      </w:r>
      <w:r>
        <w:rPr>
          <w:rFonts w:hint="eastAsia" w:ascii="仿宋" w:hAnsi="仿宋" w:eastAsia="仿宋" w:cs="仿宋"/>
          <w:b/>
          <w:color w:val="auto"/>
          <w:sz w:val="32"/>
          <w:szCs w:val="20"/>
          <w:highlight w:val="none"/>
        </w:rPr>
        <w:t>则</w:t>
      </w:r>
    </w:p>
    <w:p w14:paraId="79795F0D">
      <w:pPr>
        <w:keepNext w:val="0"/>
        <w:keepLines w:val="0"/>
        <w:pageBreakBefore w:val="0"/>
        <w:kinsoku/>
        <w:wordWrap/>
        <w:overflowPunct/>
        <w:topLinePunct w:val="0"/>
        <w:bidi w:val="0"/>
        <w:adjustRightInd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2D7956B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本征集文件适用于该项目的招标、投标、开标、资格审查及信用信息查询、评标、定标、合同、验收等行为（法律、法规另有规定的，从其规定）。</w:t>
      </w:r>
    </w:p>
    <w:p w14:paraId="7486B16F">
      <w:pPr>
        <w:keepNext w:val="0"/>
        <w:keepLines w:val="0"/>
        <w:pageBreakBefore w:val="0"/>
        <w:kinsoku/>
        <w:wordWrap/>
        <w:overflowPunct/>
        <w:topLinePunct w:val="0"/>
        <w:bidi w:val="0"/>
        <w:adjustRightInd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035F158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“征集人”、“采购人”和“甲方”是指依法进行政府采购的国家机关、事业单位、团体组织。 </w:t>
      </w:r>
    </w:p>
    <w:p w14:paraId="7C038F97">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“征集人”是指（征集单位）和（采购单位）。</w:t>
      </w:r>
    </w:p>
    <w:p w14:paraId="0777473F">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1B9898FC">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CBF4426">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highlight w:val="none"/>
        </w:rPr>
        <w:t>“电子签名”系指数据电</w:t>
      </w:r>
      <w:r>
        <w:rPr>
          <w:rFonts w:hint="eastAsia" w:ascii="仿宋" w:hAnsi="仿宋" w:eastAsia="仿宋" w:cs="仿宋"/>
          <w:color w:val="auto"/>
          <w:sz w:val="24"/>
          <w:szCs w:val="24"/>
          <w:highlight w:val="none"/>
        </w:rPr>
        <w:t>文中以电子形式所含、所附用于识别签名人身份并表明签名人认可其中内容的数据；“公章”系指单位法定名称章。因特殊原因需要使用冠以法定名称的业务专用章的，投标时须提供《业务专用章使用说明函》。</w:t>
      </w:r>
    </w:p>
    <w:p w14:paraId="65E1D45A">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14:paraId="747BDBA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“★”系指实质性指标要求条款，“▲” 系指主要性能指标要求条款。如任意一条打“★”的指标出现负偏离视为实质性不响应招标文件要求，作无效投标处理；如任意一条打“▲”的指标出现负偏离按评分标准作扣分处理。“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highlight w:val="none"/>
          </w:rPr>
          <w:id w:val="14745829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 系指适用本项目的要求，“☐”系指不适用本项目的要求。</w:t>
      </w:r>
    </w:p>
    <w:p w14:paraId="1E454E9C">
      <w:pPr>
        <w:keepNext w:val="0"/>
        <w:keepLines w:val="0"/>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44B2DE4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机构不会对其加以限制，仍将按照公平竞争原则实施采购）。</w:t>
      </w:r>
    </w:p>
    <w:p w14:paraId="29FDD13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82C23E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征集人拟采购的产品属于品目清单范围的，征集人及其委托的征集人代理机构将依据国家确定的认证机构出具的、处于有效期之内的节能产品、环境标志产品认证证书，对获得证书的产品实施政府优先采购或强制采购。投标人须按招标文件要求提供相关产品认证证书。</w:t>
      </w:r>
    </w:p>
    <w:p w14:paraId="5B0B615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征集人拟采购的产品属于政府强制采购的节能产品品目清单范围的，投标人未按招标文件要求提供国家确定的认证机构出具的、处于有效期之内的节能产品认证证书，投标无效。</w:t>
      </w:r>
    </w:p>
    <w:p w14:paraId="63C4D82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修缮、装修类项目采购建材的，征集人应将绿色建筑和绿色建材性能、指标等作为实质性条件纳入招标文件和合同。</w:t>
      </w:r>
    </w:p>
    <w:p w14:paraId="6FE110C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18B4378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支持中小</w:t>
      </w:r>
      <w:r>
        <w:rPr>
          <w:rFonts w:hint="eastAsia" w:ascii="仿宋" w:hAnsi="仿宋" w:eastAsia="仿宋" w:cs="仿宋"/>
          <w:bCs/>
          <w:color w:val="auto"/>
          <w:sz w:val="24"/>
          <w:highlight w:val="none"/>
          <w:lang w:eastAsia="zh-CN"/>
        </w:rPr>
        <w:t>微</w:t>
      </w:r>
      <w:r>
        <w:rPr>
          <w:rFonts w:hint="eastAsia" w:ascii="仿宋" w:hAnsi="仿宋" w:eastAsia="仿宋" w:cs="仿宋"/>
          <w:bCs/>
          <w:color w:val="auto"/>
          <w:sz w:val="24"/>
          <w:highlight w:val="none"/>
        </w:rPr>
        <w:t>企业发展</w:t>
      </w:r>
    </w:p>
    <w:p w14:paraId="48C9BEB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62390A5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6F204D1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投标人提供的货物既有中小企业制造货物，也有大型企业制造货物的，不享受中小企业扶持政策。</w:t>
      </w:r>
    </w:p>
    <w:p w14:paraId="0E69DCE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282804A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3.3.4小微企业应按照招标文件格式要求提供《中小企业声明函》。</w:t>
      </w:r>
    </w:p>
    <w:p w14:paraId="2982C7C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征集人、征集人代理机构将对符合规定的小微企业报价给予10%的扣除，用扣除后的价格参加评审。</w:t>
      </w:r>
    </w:p>
    <w:p w14:paraId="2321E9A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征集人、征集人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36305ACD">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6DA4DFE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3.3.7符合《关于促进残疾人就业政府采购政策的通知》（财库〔2017〕141号）规定的条件并提供《残疾人福利性单位声明函》（附件1）的残疾人福利性单位视同小微企业；</w:t>
      </w:r>
    </w:p>
    <w:p w14:paraId="0739CFF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F2D37E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支持科技创新创新发展</w:t>
      </w:r>
    </w:p>
    <w:p w14:paraId="2BEDB56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1300B149">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color w:val="auto"/>
          <w:szCs w:val="24"/>
          <w:highlight w:val="none"/>
        </w:rPr>
        <w:t xml:space="preserve"> </w:t>
      </w:r>
      <w:r>
        <w:rPr>
          <w:rFonts w:hint="eastAsia" w:ascii="仿宋" w:hAnsi="仿宋" w:eastAsia="仿宋" w:cs="仿宋"/>
          <w:b/>
          <w:color w:val="auto"/>
          <w:sz w:val="24"/>
          <w:szCs w:val="24"/>
          <w:highlight w:val="none"/>
        </w:rPr>
        <w:t xml:space="preserve"> 询问、质疑、投诉</w:t>
      </w:r>
    </w:p>
    <w:p w14:paraId="7DC9524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zh-CN"/>
        </w:rPr>
        <w:t>.1供应商询问</w:t>
      </w:r>
    </w:p>
    <w:p w14:paraId="0AB8C6D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征集人或者征集代理机构应当在3个工作日内对供应商依法提出的询问作出答复，但答复的内容不得涉及商业秘密。供应商提出的询问超出征集人对征集代理机构委托授权范围的，征集代理机构应当告知供应商向征集人提出。</w:t>
      </w:r>
    </w:p>
    <w:p w14:paraId="5F2B24D7">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.2供应商质疑</w:t>
      </w:r>
    </w:p>
    <w:p w14:paraId="46E672AA">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.1提出质疑的供应商应当是参与所质疑项目采购活动的供应商。潜在供应商已依法获取其可质疑的征集文件的，可以对该文件提出质疑。</w:t>
      </w:r>
    </w:p>
    <w:p w14:paraId="1A664CBD">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征集文件、采购过程和中标结果使自己的权益受到损害的，可以在知道或者应知其权益受到损害之日起七个工作日内，以书面形式向征集人或者征集机构提出质疑，否则，征集人或者征集机构不予受理：</w:t>
      </w:r>
    </w:p>
    <w:p w14:paraId="4EE6350D">
      <w:pPr>
        <w:pStyle w:val="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4.2.2.1对征集文件提出质疑的，质疑期限为供应商获得征集文件之日或者征集文件公告期限届满之日起计算。</w:t>
      </w:r>
    </w:p>
    <w:p w14:paraId="4A05BA46">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438BF63C">
      <w:pPr>
        <w:pStyle w:val="1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60DC150E">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14:paraId="41D15F6A">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4</w:t>
      </w:r>
      <w:r>
        <w:rPr>
          <w:rFonts w:hint="eastAsia" w:ascii="仿宋" w:hAnsi="仿宋" w:eastAsia="仿宋" w:cs="仿宋"/>
          <w:color w:val="auto"/>
          <w:sz w:val="24"/>
          <w:highlight w:val="none"/>
          <w:lang w:val="zh-CN"/>
        </w:rPr>
        <w:t>.2.3.1</w:t>
      </w:r>
      <w:r>
        <w:rPr>
          <w:rFonts w:hint="eastAsia" w:ascii="仿宋" w:hAnsi="仿宋" w:eastAsia="仿宋" w:cs="仿宋"/>
          <w:color w:val="auto"/>
          <w:sz w:val="24"/>
          <w:highlight w:val="none"/>
        </w:rPr>
        <w:t>供应商的姓名或者名称、地址、邮编、联系人及联系电话；</w:t>
      </w:r>
    </w:p>
    <w:p w14:paraId="2070D73F">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4</w:t>
      </w:r>
      <w:r>
        <w:rPr>
          <w:rFonts w:hint="eastAsia" w:ascii="仿宋" w:hAnsi="仿宋" w:eastAsia="仿宋" w:cs="仿宋"/>
          <w:color w:val="auto"/>
          <w:sz w:val="24"/>
          <w:highlight w:val="none"/>
          <w:lang w:val="zh-CN"/>
        </w:rPr>
        <w:t>.2.3.2</w:t>
      </w:r>
      <w:r>
        <w:rPr>
          <w:rFonts w:hint="eastAsia" w:ascii="仿宋" w:hAnsi="仿宋" w:eastAsia="仿宋" w:cs="仿宋"/>
          <w:color w:val="auto"/>
          <w:sz w:val="24"/>
          <w:highlight w:val="none"/>
        </w:rPr>
        <w:t>质疑项目的名称、编号；</w:t>
      </w:r>
    </w:p>
    <w:p w14:paraId="0F62ABC0">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4</w:t>
      </w:r>
      <w:r>
        <w:rPr>
          <w:rFonts w:hint="eastAsia" w:ascii="仿宋" w:hAnsi="仿宋" w:eastAsia="仿宋" w:cs="仿宋"/>
          <w:color w:val="auto"/>
          <w:sz w:val="24"/>
          <w:highlight w:val="none"/>
          <w:lang w:val="zh-CN"/>
        </w:rPr>
        <w:t>.2.3.3</w:t>
      </w:r>
      <w:r>
        <w:rPr>
          <w:rFonts w:hint="eastAsia" w:ascii="仿宋" w:hAnsi="仿宋" w:eastAsia="仿宋" w:cs="仿宋"/>
          <w:color w:val="auto"/>
          <w:sz w:val="24"/>
          <w:highlight w:val="none"/>
        </w:rPr>
        <w:t>具体、明确的质疑事项和与质疑事项相关的请求；</w:t>
      </w:r>
    </w:p>
    <w:p w14:paraId="4ADC9A44">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4</w:t>
      </w:r>
      <w:r>
        <w:rPr>
          <w:rFonts w:hint="eastAsia" w:ascii="仿宋" w:hAnsi="仿宋" w:eastAsia="仿宋" w:cs="仿宋"/>
          <w:color w:val="auto"/>
          <w:sz w:val="24"/>
          <w:highlight w:val="none"/>
          <w:lang w:val="zh-CN"/>
        </w:rPr>
        <w:t>.2.3.4</w:t>
      </w:r>
      <w:r>
        <w:rPr>
          <w:rFonts w:hint="eastAsia" w:ascii="仿宋" w:hAnsi="仿宋" w:eastAsia="仿宋" w:cs="仿宋"/>
          <w:color w:val="auto"/>
          <w:sz w:val="24"/>
          <w:highlight w:val="none"/>
        </w:rPr>
        <w:t>事实依据；</w:t>
      </w:r>
    </w:p>
    <w:p w14:paraId="09A4AEE1">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4</w:t>
      </w:r>
      <w:r>
        <w:rPr>
          <w:rFonts w:hint="eastAsia" w:ascii="仿宋" w:hAnsi="仿宋" w:eastAsia="仿宋" w:cs="仿宋"/>
          <w:color w:val="auto"/>
          <w:sz w:val="24"/>
          <w:highlight w:val="none"/>
          <w:lang w:val="zh-CN"/>
        </w:rPr>
        <w:t>.2.3.5</w:t>
      </w:r>
      <w:r>
        <w:rPr>
          <w:rFonts w:hint="eastAsia" w:ascii="仿宋" w:hAnsi="仿宋" w:eastAsia="仿宋" w:cs="仿宋"/>
          <w:color w:val="auto"/>
          <w:sz w:val="24"/>
          <w:highlight w:val="none"/>
        </w:rPr>
        <w:t>必要的法律依据；</w:t>
      </w:r>
    </w:p>
    <w:p w14:paraId="22E95A5C">
      <w:pPr>
        <w:pStyle w:val="12"/>
        <w:keepNext w:val="0"/>
        <w:keepLines w:val="0"/>
        <w:pageBreakBefore w:val="0"/>
        <w:kinsoku/>
        <w:wordWrap/>
        <w:overflowPunct/>
        <w:topLinePunct w:val="0"/>
        <w:bidi w:val="0"/>
        <w:snapToGrid w:val="0"/>
        <w:spacing w:line="360" w:lineRule="auto"/>
        <w:ind w:firstLine="960" w:firstLineChars="4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.2.3.6</w:t>
      </w:r>
      <w:r>
        <w:rPr>
          <w:rFonts w:hint="eastAsia" w:ascii="仿宋" w:hAnsi="仿宋" w:eastAsia="仿宋" w:cs="仿宋"/>
          <w:color w:val="auto"/>
          <w:sz w:val="24"/>
          <w:highlight w:val="none"/>
        </w:rPr>
        <w:t>提出质疑的日期。</w:t>
      </w:r>
    </w:p>
    <w:p w14:paraId="0E78E37D">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81A99F6">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.4征集人或者征集机构应当在收到供应商的书面质疑后七个工作日内作出答复，并以书面形式通知质疑供应商和其他与质疑处理结果有利害关系的政府采购当事人，但答复的内容不得涉及商业秘密。</w:t>
      </w:r>
    </w:p>
    <w:p w14:paraId="201D1D00">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.5询问或者质疑事项可能影响采购结果的，征集人应当暂停签订合同，已经签订合同的，应当中止履行合同。</w:t>
      </w:r>
    </w:p>
    <w:p w14:paraId="5C253719">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.3供应商投诉</w:t>
      </w:r>
    </w:p>
    <w:p w14:paraId="433D02EE">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4.3.1质疑供应商对征集人、征集机构的答复不满意或者征集人、征集机构未在规定的时间内作出答复的，可以在答复期满后十五个工作日内向同级政府采购监督管理部门提出投诉。</w:t>
      </w:r>
    </w:p>
    <w:p w14:paraId="512C15D1">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01AEA1CD">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26768170">
      <w:pPr>
        <w:pStyle w:val="12"/>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 以联合体形式参加政府采购活动的，其投诉应当由组成联合体的所有供应商共同提出。</w:t>
      </w:r>
    </w:p>
    <w:p w14:paraId="59B90ACC">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二、征集文件的构成、澄清、修改</w:t>
      </w:r>
    </w:p>
    <w:p w14:paraId="68E563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1．征集文件的构成</w:t>
      </w:r>
    </w:p>
    <w:p w14:paraId="13D22C2A">
      <w:pPr>
        <w:pStyle w:val="1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征集文件包括下列文件及附件：</w:t>
      </w:r>
    </w:p>
    <w:p w14:paraId="0A7FDD99">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1.1.1征集公告；</w:t>
      </w:r>
    </w:p>
    <w:p w14:paraId="4CB0C019">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1.1.2投标人须知；</w:t>
      </w:r>
    </w:p>
    <w:p w14:paraId="654518DF">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1.1.3征集项目范围及要求；</w:t>
      </w:r>
    </w:p>
    <w:p w14:paraId="2896558C">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1.1.4征集办法；</w:t>
      </w:r>
    </w:p>
    <w:p w14:paraId="377DB877">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1.1.5拟签订的合同文本；</w:t>
      </w:r>
    </w:p>
    <w:p w14:paraId="63C1B055">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1.1.6考核管理；</w:t>
      </w:r>
    </w:p>
    <w:p w14:paraId="2BE63C41">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1.1.7</w:t>
      </w:r>
      <w:r>
        <w:rPr>
          <w:rFonts w:hint="eastAsia" w:ascii="仿宋" w:hAnsi="仿宋" w:eastAsia="仿宋" w:cs="仿宋"/>
          <w:color w:val="auto"/>
          <w:sz w:val="24"/>
          <w:szCs w:val="24"/>
          <w:highlight w:val="none"/>
        </w:rPr>
        <w:t>应提交的有关格式范例；</w:t>
      </w:r>
    </w:p>
    <w:p w14:paraId="2DDAD56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1.2与本项目有关的</w:t>
      </w:r>
      <w:r>
        <w:rPr>
          <w:rFonts w:hint="eastAsia" w:ascii="仿宋" w:hAnsi="仿宋" w:eastAsia="仿宋" w:cs="仿宋"/>
          <w:bCs/>
          <w:color w:val="auto"/>
          <w:sz w:val="24"/>
          <w:highlight w:val="none"/>
        </w:rPr>
        <w:t>澄清或者修改的内容为征集文件的组成部分</w:t>
      </w:r>
      <w:r>
        <w:rPr>
          <w:rFonts w:hint="eastAsia" w:ascii="仿宋" w:hAnsi="仿宋" w:eastAsia="仿宋" w:cs="仿宋"/>
          <w:color w:val="auto"/>
          <w:sz w:val="24"/>
          <w:highlight w:val="none"/>
        </w:rPr>
        <w:t>。</w:t>
      </w:r>
    </w:p>
    <w:p w14:paraId="13F97AB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2. 征集文件的澄清、修改</w:t>
      </w:r>
    </w:p>
    <w:p w14:paraId="16D93E60">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2.1已获取征集文件的潜在投标人，若有问题需要澄清，应于响应截止时间前，以书面形式向征集机构提出。</w:t>
      </w:r>
    </w:p>
    <w:p w14:paraId="1D78BBAC">
      <w:pPr>
        <w:pStyle w:val="12"/>
        <w:keepNext w:val="0"/>
        <w:keepLines w:val="0"/>
        <w:pageBreakBefore w:val="0"/>
        <w:widowControl w:val="0"/>
        <w:tabs>
          <w:tab w:val="left" w:pos="84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征集机构对征集文件进行澄清或修改的，将同时通过电子交易平台通知已获取征集文件的潜在投标人。依法应当公告的，将按规定公告，同时视情况延长响应截止时间和开标时间。该澄清或者修改的内容为征集文件的组成部分。</w:t>
      </w:r>
    </w:p>
    <w:p w14:paraId="7F915CC4">
      <w:pPr>
        <w:spacing w:line="360" w:lineRule="auto"/>
        <w:rPr>
          <w:rFonts w:hint="eastAsia" w:ascii="仿宋" w:hAnsi="仿宋" w:eastAsia="仿宋" w:cs="仿宋"/>
          <w:color w:val="auto"/>
          <w:highlight w:val="none"/>
        </w:rPr>
      </w:pPr>
    </w:p>
    <w:p w14:paraId="52AC2069">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标</w:t>
      </w:r>
    </w:p>
    <w:p w14:paraId="48AF7736">
      <w:pPr>
        <w:pageBreakBefore w:val="0"/>
        <w:widowControl w:val="0"/>
        <w:kinsoku/>
        <w:wordWrap/>
        <w:overflowPunct/>
        <w:topLinePunct w:val="0"/>
        <w:bidi w:val="0"/>
        <w:adjustRightInd w:val="0"/>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1.征集文件的获取</w:t>
      </w:r>
    </w:p>
    <w:p w14:paraId="3CE3C2EF">
      <w:pPr>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详见征集公告中获取征集文件的时间期限、地点、方式及征集文件售价。</w:t>
      </w:r>
    </w:p>
    <w:p w14:paraId="50223269">
      <w:pPr>
        <w:pageBreakBefore w:val="0"/>
        <w:widowControl w:val="0"/>
        <w:kinsoku/>
        <w:wordWrap/>
        <w:overflowPunct/>
        <w:topLinePunct w:val="0"/>
        <w:bidi w:val="0"/>
        <w:adjustRightInd w:val="0"/>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2.开标前答疑会或现场考察</w:t>
      </w:r>
    </w:p>
    <w:p w14:paraId="450F68AB">
      <w:pPr>
        <w:pStyle w:val="12"/>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征集人组织潜在投标人现场考察或者召开开标前答疑会的，潜在投标人按第二部分投标人须知前附表的规定参加现场考察或者开标前答疑会。</w:t>
      </w:r>
    </w:p>
    <w:p w14:paraId="2666E54D">
      <w:pPr>
        <w:pageBreakBefore w:val="0"/>
        <w:widowControl w:val="0"/>
        <w:kinsoku/>
        <w:wordWrap/>
        <w:overflowPunct/>
        <w:topLinePunct w:val="0"/>
        <w:bidi w:val="0"/>
        <w:adjustRightInd w:val="0"/>
        <w:spacing w:line="360" w:lineRule="auto"/>
        <w:textAlignment w:val="auto"/>
        <w:rPr>
          <w:rFonts w:hint="eastAsia" w:ascii="仿宋" w:hAnsi="仿宋" w:eastAsia="仿宋" w:cs="仿宋"/>
          <w:b/>
          <w:snapToGrid w:val="0"/>
          <w:color w:val="auto"/>
          <w:szCs w:val="24"/>
          <w:highlight w:val="none"/>
        </w:rPr>
      </w:pPr>
      <w:r>
        <w:rPr>
          <w:rFonts w:hint="eastAsia" w:ascii="仿宋" w:hAnsi="仿宋" w:eastAsia="仿宋" w:cs="仿宋"/>
          <w:b/>
          <w:snapToGrid w:val="0"/>
          <w:color w:val="auto"/>
          <w:kern w:val="28"/>
          <w:sz w:val="24"/>
          <w:szCs w:val="24"/>
          <w:highlight w:val="none"/>
        </w:rPr>
        <w:t>3.投标保证金</w:t>
      </w:r>
    </w:p>
    <w:p w14:paraId="124C7767">
      <w:pPr>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本项目不需交纳投标保证金。</w:t>
      </w:r>
    </w:p>
    <w:p w14:paraId="6D8500A7">
      <w:pPr>
        <w:pageBreakBefore w:val="0"/>
        <w:widowControl w:val="0"/>
        <w:kinsoku/>
        <w:wordWrap/>
        <w:overflowPunct/>
        <w:topLinePunct w:val="0"/>
        <w:bidi w:val="0"/>
        <w:adjustRightInd w:val="0"/>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4.响应文件的语言</w:t>
      </w:r>
    </w:p>
    <w:p w14:paraId="5E3CD7DC">
      <w:pPr>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响应文件及投标人与采购有关的来往通知、函件和文件均应使用中文。</w:t>
      </w:r>
    </w:p>
    <w:p w14:paraId="7ED5C327">
      <w:pPr>
        <w:pageBreakBefore w:val="0"/>
        <w:widowControl w:val="0"/>
        <w:kinsoku/>
        <w:wordWrap/>
        <w:overflowPunct/>
        <w:topLinePunct w:val="0"/>
        <w:bidi w:val="0"/>
        <w:adjustRightInd w:val="0"/>
        <w:spacing w:line="360" w:lineRule="auto"/>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5.响应文件的组成</w:t>
      </w:r>
    </w:p>
    <w:p w14:paraId="13736C12">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响应文件由</w:t>
      </w:r>
      <w:r>
        <w:rPr>
          <w:rFonts w:hint="eastAsia" w:ascii="仿宋" w:hAnsi="仿宋" w:eastAsia="仿宋" w:cs="仿宋"/>
          <w:b/>
          <w:bCs/>
          <w:color w:val="auto"/>
          <w:sz w:val="24"/>
          <w:highlight w:val="none"/>
        </w:rPr>
        <w:t>“报价文件资料”</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“商务技术（资信）文件资料”</w:t>
      </w:r>
      <w:r>
        <w:rPr>
          <w:rFonts w:hint="eastAsia" w:ascii="仿宋" w:hAnsi="仿宋" w:eastAsia="仿宋" w:cs="仿宋"/>
          <w:color w:val="auto"/>
          <w:sz w:val="24"/>
          <w:highlight w:val="none"/>
        </w:rPr>
        <w:t>两部分组成，其中电子征集响应文件中所须加盖公章部分均应采用电子签章。</w:t>
      </w:r>
    </w:p>
    <w:p w14:paraId="2697D393">
      <w:pPr>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5.1 “报价文件资料”应包含以下内容：</w:t>
      </w:r>
    </w:p>
    <w:p w14:paraId="33E19F15">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5.1.1投标响应函（格式见第七部分附件）； </w:t>
      </w:r>
    </w:p>
    <w:p w14:paraId="049E273F">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5.1.2开标一览表（格式见第七部分附件）；</w:t>
      </w:r>
    </w:p>
    <w:p w14:paraId="21EC36AD">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以上文件组成“报价文件资料”。投标人在“报价文件资料”中应对征集文件作实质性响应，该项内容将作为评标重要指标。</w:t>
      </w:r>
    </w:p>
    <w:p w14:paraId="5E1A93FB">
      <w:pPr>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5.2 “商务技术（资信）文件资料”应包括以下内容：</w:t>
      </w:r>
    </w:p>
    <w:p w14:paraId="47004753">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5.2.1法定代表人授权委托书(格式见第七部分附件)；</w:t>
      </w:r>
    </w:p>
    <w:p w14:paraId="7361DA2F">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5.2.2授权代表社保证明（格式见第七部分附件）；</w:t>
      </w:r>
    </w:p>
    <w:p w14:paraId="285EA901">
      <w:pPr>
        <w:pageBreakBefore w:val="0"/>
        <w:widowControl w:val="0"/>
        <w:kinsoku/>
        <w:wordWrap/>
        <w:overflowPunct/>
        <w:topLinePunct w:val="0"/>
        <w:bidi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5.2.3</w:t>
      </w:r>
      <w:r>
        <w:rPr>
          <w:rFonts w:hint="eastAsia" w:ascii="仿宋" w:hAnsi="仿宋" w:eastAsia="仿宋" w:cs="仿宋"/>
          <w:color w:val="auto"/>
          <w:sz w:val="24"/>
          <w:highlight w:val="none"/>
          <w:lang w:eastAsia="zh-CN"/>
        </w:rPr>
        <w:t>法定代表人及其</w:t>
      </w:r>
      <w:r>
        <w:rPr>
          <w:rFonts w:hint="eastAsia" w:ascii="仿宋" w:hAnsi="仿宋" w:eastAsia="仿宋" w:cs="仿宋"/>
          <w:color w:val="auto"/>
          <w:sz w:val="24"/>
          <w:highlight w:val="none"/>
          <w:lang w:val="en-US" w:eastAsia="zh-CN"/>
        </w:rPr>
        <w:t>授权代表的身份证复印件（正反面）</w:t>
      </w:r>
    </w:p>
    <w:p w14:paraId="635BF965">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法定代表人身份证明书（格式见第七部分附件）；</w:t>
      </w:r>
    </w:p>
    <w:p w14:paraId="30D4D736">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，满足</w:t>
      </w:r>
      <w:r>
        <w:rPr>
          <w:rFonts w:hint="eastAsia" w:ascii="仿宋" w:hAnsi="仿宋" w:eastAsia="仿宋" w:cs="仿宋"/>
          <w:color w:val="auto"/>
          <w:sz w:val="24"/>
          <w:highlight w:val="none"/>
        </w:rPr>
        <w:t>特定资格要求</w:t>
      </w:r>
      <w:r>
        <w:rPr>
          <w:rFonts w:hint="eastAsia" w:ascii="仿宋" w:hAnsi="仿宋" w:eastAsia="仿宋" w:cs="仿宋"/>
          <w:color w:val="auto"/>
          <w:sz w:val="24"/>
          <w:highlight w:val="none"/>
          <w:lang w:eastAsia="zh-CN"/>
        </w:rPr>
        <w:t>的相应证明资料和承诺书</w:t>
      </w:r>
      <w:r>
        <w:rPr>
          <w:rFonts w:hint="eastAsia" w:ascii="仿宋" w:hAnsi="仿宋" w:eastAsia="仿宋" w:cs="仿宋"/>
          <w:color w:val="auto"/>
          <w:sz w:val="24"/>
          <w:highlight w:val="none"/>
        </w:rPr>
        <w:t xml:space="preserve">； </w:t>
      </w:r>
    </w:p>
    <w:p w14:paraId="1E36F58D">
      <w:pPr>
        <w:pageBreakBefore w:val="0"/>
        <w:widowControl w:val="0"/>
        <w:kinsoku/>
        <w:wordWrap/>
        <w:overflowPunct/>
        <w:topLinePunct w:val="0"/>
        <w:bidi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5.2.6 中小企业声明函；</w:t>
      </w:r>
    </w:p>
    <w:p w14:paraId="3B181684">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5.2.7 </w:t>
      </w:r>
      <w:r>
        <w:rPr>
          <w:rFonts w:hint="eastAsia" w:ascii="仿宋" w:eastAsia="仿宋"/>
          <w:color w:val="auto"/>
          <w:sz w:val="24"/>
          <w:highlight w:val="none"/>
        </w:rPr>
        <w:t>残疾人福利性单位声明函</w:t>
      </w:r>
      <w:r>
        <w:rPr>
          <w:rFonts w:hint="eastAsia" w:ascii="仿宋" w:eastAsia="仿宋"/>
          <w:color w:val="auto"/>
          <w:sz w:val="24"/>
          <w:highlight w:val="none"/>
          <w:lang w:eastAsia="zh-CN"/>
        </w:rPr>
        <w:t>（</w:t>
      </w:r>
      <w:r>
        <w:rPr>
          <w:rFonts w:hint="eastAsia" w:ascii="仿宋" w:eastAsia="仿宋"/>
          <w:color w:val="auto"/>
          <w:sz w:val="24"/>
          <w:highlight w:val="none"/>
          <w:lang w:val="en-US" w:eastAsia="zh-CN"/>
        </w:rPr>
        <w:t>如有）</w:t>
      </w:r>
      <w:r>
        <w:rPr>
          <w:rFonts w:hint="eastAsia" w:ascii="仿宋" w:eastAsia="仿宋"/>
          <w:color w:val="auto"/>
          <w:sz w:val="24"/>
          <w:highlight w:val="none"/>
          <w:lang w:eastAsia="zh-CN"/>
        </w:rPr>
        <w:t>；</w:t>
      </w:r>
    </w:p>
    <w:p w14:paraId="3A61BF74">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征集标准相应的商务技术资料；</w:t>
      </w:r>
    </w:p>
    <w:p w14:paraId="10208E9A">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商务技术偏离表；</w:t>
      </w:r>
    </w:p>
    <w:p w14:paraId="3CFB1E23">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廉政承诺书（格式见第七部分附件）；</w:t>
      </w:r>
    </w:p>
    <w:p w14:paraId="7F0C059B">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以上文件组成“商务技术（资信）文件资料”。投标人在“商务技术（资信）文件资料”中应对征集文件作实质性响应，该项内容将作为评标重要指标。</w:t>
      </w:r>
    </w:p>
    <w:p w14:paraId="561B1654">
      <w:pPr>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投标人不按征集文件的要求提供的征集响应文件，可能会被评标委员会视为未实质性响应，其风险应由投标人自行承担。</w:t>
      </w:r>
    </w:p>
    <w:p w14:paraId="63802FBF">
      <w:pPr>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6</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3报价文件：</w:t>
      </w:r>
      <w:r>
        <w:rPr>
          <w:rFonts w:hint="eastAsia" w:ascii="仿宋" w:hAnsi="仿宋" w:eastAsia="仿宋" w:cs="仿宋"/>
          <w:color w:val="auto"/>
          <w:sz w:val="24"/>
          <w:highlight w:val="none"/>
        </w:rPr>
        <w:t xml:space="preserve"> </w:t>
      </w:r>
    </w:p>
    <w:p w14:paraId="2B3A75BC">
      <w:pPr>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6.3.1投标人应按征集文件中《开标一览表》等附表要求填写。</w:t>
      </w:r>
    </w:p>
    <w:p w14:paraId="5724C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6.3.2</w:t>
      </w:r>
      <w:r>
        <w:rPr>
          <w:rFonts w:hint="eastAsia" w:ascii="仿宋" w:hAnsi="仿宋" w:eastAsia="仿宋" w:cs="仿宋"/>
          <w:color w:val="auto"/>
          <w:sz w:val="24"/>
          <w:highlight w:val="none"/>
          <w:lang w:eastAsia="zh-CN"/>
        </w:rPr>
        <w:t>采购收费</w:t>
      </w:r>
      <w:r>
        <w:rPr>
          <w:rFonts w:hint="eastAsia" w:ascii="仿宋" w:hAnsi="仿宋" w:eastAsia="仿宋" w:cs="仿宋"/>
          <w:color w:val="auto"/>
          <w:sz w:val="24"/>
          <w:highlight w:val="none"/>
        </w:rPr>
        <w:t>标准：</w:t>
      </w:r>
      <w:r>
        <w:rPr>
          <w:rFonts w:hint="eastAsia" w:ascii="仿宋" w:hAnsi="仿宋" w:eastAsia="仿宋" w:cs="仿宋"/>
          <w:color w:val="auto"/>
          <w:sz w:val="24"/>
          <w:highlight w:val="none"/>
          <w:lang w:val="en-US" w:eastAsia="zh-CN"/>
        </w:rPr>
        <w:t>特殊建设工程项目最高限价为2.0元/平方米，其他建设工程项目最高限价为2.0元/平方米。同时单个项目最高服务价格定为300000元/个项目，最低服务价格定为3000元/个项目。已</w:t>
      </w:r>
      <w:r>
        <w:rPr>
          <w:rFonts w:hint="eastAsia" w:ascii="仿宋" w:hAnsi="仿宋" w:eastAsia="仿宋" w:cs="仿宋"/>
          <w:snapToGrid/>
          <w:color w:val="auto"/>
          <w:kern w:val="2"/>
          <w:sz w:val="24"/>
          <w:szCs w:val="22"/>
          <w:highlight w:val="none"/>
          <w:lang w:val="en-US" w:eastAsia="zh-CN" w:bidi="ar-SA"/>
        </w:rPr>
        <w:t>包</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项目全部服务</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eastAsia="zh-CN"/>
        </w:rPr>
        <w:t>和服务要求，直至项目验收合格</w:t>
      </w:r>
      <w:r>
        <w:rPr>
          <w:rFonts w:hint="eastAsia" w:ascii="仿宋" w:hAnsi="仿宋" w:eastAsia="仿宋" w:cs="仿宋"/>
          <w:color w:val="auto"/>
          <w:sz w:val="24"/>
          <w:highlight w:val="none"/>
        </w:rPr>
        <w:t>所需</w:t>
      </w:r>
      <w:r>
        <w:rPr>
          <w:rFonts w:hint="eastAsia" w:ascii="仿宋" w:hAnsi="仿宋" w:eastAsia="仿宋" w:cs="仿宋"/>
          <w:color w:val="auto"/>
          <w:sz w:val="24"/>
          <w:highlight w:val="none"/>
          <w:lang w:eastAsia="zh-CN"/>
        </w:rPr>
        <w:t>要</w:t>
      </w:r>
      <w:r>
        <w:rPr>
          <w:rFonts w:hint="eastAsia" w:ascii="仿宋" w:hAnsi="仿宋" w:eastAsia="仿宋" w:cs="仿宋"/>
          <w:color w:val="auto"/>
          <w:sz w:val="24"/>
          <w:highlight w:val="none"/>
        </w:rPr>
        <w:t>的一切</w:t>
      </w:r>
      <w:r>
        <w:rPr>
          <w:rFonts w:hint="eastAsia" w:ascii="仿宋" w:hAnsi="仿宋" w:eastAsia="仿宋" w:cs="仿宋"/>
          <w:color w:val="auto"/>
          <w:sz w:val="24"/>
          <w:highlight w:val="none"/>
          <w:lang w:eastAsia="zh-CN"/>
        </w:rPr>
        <w:t>费用。</w:t>
      </w:r>
    </w:p>
    <w:p w14:paraId="75A56E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6.3.3</w:t>
      </w:r>
      <w:r>
        <w:rPr>
          <w:rFonts w:hint="eastAsia" w:ascii="仿宋" w:hAnsi="仿宋" w:eastAsia="仿宋" w:cs="仿宋"/>
          <w:snapToGrid/>
          <w:color w:val="auto"/>
          <w:kern w:val="2"/>
          <w:sz w:val="24"/>
          <w:szCs w:val="22"/>
          <w:highlight w:val="none"/>
          <w:lang w:val="en-US" w:eastAsia="zh-CN" w:bidi="ar-SA"/>
        </w:rPr>
        <w:t>投标人根据自身实际情况，自行确定一个折扣率，折扣率保留</w:t>
      </w:r>
      <w:r>
        <w:rPr>
          <w:rFonts w:hint="eastAsia" w:ascii="仿宋" w:hAnsi="仿宋" w:eastAsia="仿宋" w:cs="仿宋"/>
          <w:color w:val="auto"/>
          <w:sz w:val="24"/>
          <w:highlight w:val="none"/>
          <w:lang w:val="en-US" w:eastAsia="zh-CN"/>
        </w:rPr>
        <w:t>百分比小数点后一位，即**.*%，投标单价=最高限价*折扣率，</w:t>
      </w:r>
      <w:r>
        <w:rPr>
          <w:rFonts w:hint="eastAsia" w:ascii="仿宋" w:hAnsi="仿宋" w:eastAsia="仿宋" w:cs="仿宋"/>
          <w:color w:val="auto"/>
          <w:sz w:val="24"/>
          <w:highlight w:val="none"/>
          <w:lang w:eastAsia="zh-CN"/>
        </w:rPr>
        <w:t>投标单价在协议执行期内固定不变。</w:t>
      </w:r>
      <w:r>
        <w:rPr>
          <w:rFonts w:hint="eastAsia" w:ascii="仿宋" w:hAnsi="仿宋" w:eastAsia="仿宋" w:cs="仿宋"/>
          <w:color w:val="auto"/>
          <w:sz w:val="24"/>
          <w:highlight w:val="none"/>
          <w:lang w:val="en-US" w:eastAsia="zh-CN"/>
        </w:rPr>
        <w:t>按一个季度为一个</w:t>
      </w:r>
      <w:r>
        <w:rPr>
          <w:rFonts w:hint="eastAsia" w:ascii="仿宋" w:hAnsi="仿宋" w:eastAsia="仿宋" w:cs="仿宋"/>
          <w:color w:val="auto"/>
          <w:kern w:val="0"/>
          <w:sz w:val="24"/>
          <w:szCs w:val="24"/>
          <w:highlight w:val="none"/>
          <w:lang w:val="en-US" w:eastAsia="zh-CN" w:bidi="ar-SA"/>
        </w:rPr>
        <w:t>结算周期</w:t>
      </w:r>
      <w:r>
        <w:rPr>
          <w:rFonts w:hint="eastAsia" w:ascii="仿宋" w:hAnsi="仿宋" w:eastAsia="仿宋" w:cs="仿宋"/>
          <w:color w:val="auto"/>
          <w:sz w:val="24"/>
          <w:highlight w:val="none"/>
        </w:rPr>
        <w:t>。</w:t>
      </w:r>
    </w:p>
    <w:p w14:paraId="30EAC240">
      <w:pPr>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6.4采购人将对供应商进行</w:t>
      </w:r>
      <w:r>
        <w:rPr>
          <w:rFonts w:hint="eastAsia" w:ascii="仿宋" w:hAnsi="仿宋" w:eastAsia="仿宋" w:cs="仿宋"/>
          <w:color w:val="auto"/>
          <w:sz w:val="24"/>
          <w:highlight w:val="none"/>
          <w:lang w:eastAsia="zh-CN"/>
        </w:rPr>
        <w:t>考评管理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考核结果优秀的，可以视情作为延长服务期限的依据</w:t>
      </w:r>
      <w:r>
        <w:rPr>
          <w:rFonts w:hint="eastAsia" w:ascii="仿宋" w:hAnsi="仿宋" w:eastAsia="仿宋" w:cs="仿宋"/>
          <w:color w:val="auto"/>
          <w:sz w:val="24"/>
          <w:highlight w:val="none"/>
        </w:rPr>
        <w:t>。</w:t>
      </w:r>
    </w:p>
    <w:p w14:paraId="6FE25F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6.5</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单价应包括完成全部检测内容所需的一切人工、工具、设备、保险、交通、利润、税金、其它需乙方承担的费用及潜在满足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监管要求可能涉及的一切费用。</w:t>
      </w:r>
    </w:p>
    <w:p w14:paraId="4EF0E435">
      <w:pPr>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6.6征集文件未列明，而投标人认为必需的费用也需列入报价。</w:t>
      </w:r>
    </w:p>
    <w:p w14:paraId="5AD38845">
      <w:pPr>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6.7投标报价只允许有一个报价，有选择的报价将不予接受（除指定外）。</w:t>
      </w:r>
    </w:p>
    <w:p w14:paraId="052B0149">
      <w:pPr>
        <w:pageBreakBefore w:val="0"/>
        <w:widowControl w:val="0"/>
        <w:kinsoku/>
        <w:wordWrap/>
        <w:overflowPunct/>
        <w:topLinePunct w:val="0"/>
        <w:bidi w:val="0"/>
        <w:adjustRightInd w:val="0"/>
        <w:snapToGrid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响应文件的编制</w:t>
      </w:r>
    </w:p>
    <w:p w14:paraId="56EF738F">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1响应文件分为“报价文件资料”、“商务技术（资信）文件资料”两部分。各投标人在编制响应文件时请按照征集文件第七部分规定的格式进行，混乱的编排导致响应文件被误读或评标委员会查找不到有效文件是投标人的风险。</w:t>
      </w:r>
    </w:p>
    <w:p w14:paraId="3D96A6B9">
      <w:pPr>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.2投标人进行电子投标应安装客户端软件—“政采云电子交易客户端”，并按照征集文件和电子交易平台的要求编制并加密响应文件。投标人未按规定加密的响应文件，电子交易平台将拒收并提示。</w:t>
      </w:r>
    </w:p>
    <w:p w14:paraId="328A9EB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0212017C">
      <w:pPr>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8.响应文件的签署、盖章</w:t>
      </w:r>
    </w:p>
    <w:p w14:paraId="4543C62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8.1响应文件按照征集文件第七部分格式要</w:t>
      </w:r>
      <w:r>
        <w:rPr>
          <w:rFonts w:hint="eastAsia" w:ascii="仿宋" w:hAnsi="仿宋" w:eastAsia="仿宋" w:cs="仿宋"/>
          <w:color w:val="auto"/>
          <w:sz w:val="24"/>
          <w:highlight w:val="none"/>
        </w:rPr>
        <w:t>求进行签署、盖章。</w:t>
      </w:r>
      <w:r>
        <w:rPr>
          <w:rFonts w:hint="eastAsia" w:ascii="仿宋" w:hAnsi="仿宋" w:eastAsia="仿宋" w:cs="仿宋"/>
          <w:b/>
          <w:color w:val="auto"/>
          <w:sz w:val="24"/>
          <w:highlight w:val="none"/>
        </w:rPr>
        <w:t>★投标人的响应文件未按照征集文件要求签署、盖章的，其响应无效</w:t>
      </w:r>
      <w:r>
        <w:rPr>
          <w:rFonts w:hint="eastAsia" w:ascii="仿宋" w:hAnsi="仿宋" w:eastAsia="仿宋" w:cs="仿宋"/>
          <w:color w:val="auto"/>
          <w:sz w:val="24"/>
          <w:szCs w:val="24"/>
          <w:highlight w:val="none"/>
        </w:rPr>
        <w:t>。</w:t>
      </w:r>
    </w:p>
    <w:p w14:paraId="69F629A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8.2为确保网上操作合法、有效和安全，投标人应当在响应截止时间前完成在“政府采购云平台”的身份认证，确保在电子投标过程中能够对相关数据电文进行加密和使用电子签名。</w:t>
      </w:r>
    </w:p>
    <w:p w14:paraId="7FBE4AA3">
      <w:pPr>
        <w:pStyle w:val="2"/>
        <w:pageBreakBefore w:val="0"/>
        <w:widowControl w:val="0"/>
        <w:numPr>
          <w:ilvl w:val="0"/>
          <w:numId w:val="0"/>
        </w:numP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2"/>
          <w:highlight w:val="none"/>
          <w:lang w:val="en-US"/>
        </w:rPr>
      </w:pPr>
      <w:r>
        <w:rPr>
          <w:rFonts w:hint="eastAsia" w:ascii="仿宋" w:hAnsi="仿宋" w:eastAsia="仿宋" w:cs="仿宋"/>
          <w:b w:val="0"/>
          <w:bCs w:val="0"/>
          <w:color w:val="auto"/>
          <w:sz w:val="24"/>
          <w:szCs w:val="22"/>
          <w:highlight w:val="none"/>
          <w:lang w:val="en-US"/>
        </w:rPr>
        <w:t>8.3征集文件对响应文件签署、盖章的要求适用于电子签名。</w:t>
      </w:r>
    </w:p>
    <w:p w14:paraId="5C4DBFE1">
      <w:pPr>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响应文件的提交、补充、修改、撤回</w:t>
      </w:r>
    </w:p>
    <w:p w14:paraId="6BB03E34">
      <w:pPr>
        <w:pStyle w:val="27"/>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9.1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63C9906">
      <w:pPr>
        <w:pStyle w:val="27"/>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9.2电子交易平台收到响应文件，将妥善保存并即时向供应商发出确认回执通知。在响应截止时间前，除供应商补充、修改或者撤回响应文件外，任何单位和个人不得解密或提取响应文件。</w:t>
      </w:r>
    </w:p>
    <w:p w14:paraId="3172D468">
      <w:pPr>
        <w:pStyle w:val="27"/>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9.3征集人、征集机构可以视情况延长响应文件提交的截止时间。在上述情况下，征集机构与投标人以前在响应截止期方面的全部权利、责任和义务，将适用于延长至新的响应截止期。</w:t>
      </w:r>
    </w:p>
    <w:p w14:paraId="1EFB0476">
      <w:pPr>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10.投标有效期</w:t>
      </w:r>
    </w:p>
    <w:p w14:paraId="684669C5">
      <w:pPr>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10.1投标有效期为从提交响应文件的截止之日起90天。★</w:t>
      </w:r>
      <w:r>
        <w:rPr>
          <w:rFonts w:hint="eastAsia" w:ascii="仿宋" w:hAnsi="仿宋" w:eastAsia="仿宋" w:cs="仿宋"/>
          <w:b/>
          <w:color w:val="auto"/>
          <w:sz w:val="24"/>
          <w:szCs w:val="20"/>
          <w:highlight w:val="none"/>
        </w:rPr>
        <w:t>投标人的响应文件中承</w:t>
      </w:r>
      <w:r>
        <w:rPr>
          <w:rFonts w:hint="eastAsia" w:ascii="仿宋" w:hAnsi="仿宋" w:eastAsia="仿宋" w:cs="仿宋"/>
          <w:b/>
          <w:color w:val="auto"/>
          <w:sz w:val="24"/>
          <w:szCs w:val="21"/>
          <w:highlight w:val="none"/>
        </w:rPr>
        <w:t>诺的投标有效期少于征集文件中载明的投标有效期的，投标无效。</w:t>
      </w:r>
    </w:p>
    <w:p w14:paraId="16418A25">
      <w:pPr>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10.2响应文件合格投递后，自响应截止日期起，在投标有效期内有效。</w:t>
      </w:r>
    </w:p>
    <w:p w14:paraId="078F37C4">
      <w:pPr>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10.3在原定投标有效期满之前，如果出现特殊情况，征集机构可以以书面形式通知投标人延长投标有效期。投标人同意延长的，不得要求或被允许修改其响应文件，投标人拒绝延长的，其响应无效。</w:t>
      </w:r>
    </w:p>
    <w:p w14:paraId="3B047D05">
      <w:pPr>
        <w:pStyle w:val="18"/>
        <w:rPr>
          <w:rFonts w:hint="eastAsia"/>
          <w:color w:val="auto"/>
          <w:highlight w:val="none"/>
        </w:rPr>
      </w:pPr>
    </w:p>
    <w:p w14:paraId="69B670E1">
      <w:pPr>
        <w:pageBreakBefore w:val="0"/>
        <w:kinsoku/>
        <w:wordWrap/>
        <w:overflowPunct/>
        <w:topLinePunct w:val="0"/>
        <w:bidi w:val="0"/>
        <w:adjustRightInd w:val="0"/>
        <w:spacing w:line="360" w:lineRule="auto"/>
        <w:ind w:firstLine="1928" w:firstLineChars="600"/>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D5BA711">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b/>
          <w:color w:val="auto"/>
          <w:kern w:val="0"/>
          <w:sz w:val="24"/>
          <w:szCs w:val="24"/>
          <w:highlight w:val="none"/>
        </w:rPr>
        <w:t>1.开标</w:t>
      </w:r>
      <w:r>
        <w:rPr>
          <w:rFonts w:hint="eastAsia" w:ascii="仿宋" w:hAnsi="仿宋" w:eastAsia="仿宋" w:cs="仿宋"/>
          <w:color w:val="auto"/>
          <w:kern w:val="0"/>
          <w:sz w:val="24"/>
          <w:szCs w:val="20"/>
          <w:highlight w:val="none"/>
        </w:rPr>
        <w:t xml:space="preserve"> </w:t>
      </w:r>
    </w:p>
    <w:p w14:paraId="4C83879A">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strike/>
          <w:color w:val="auto"/>
          <w:kern w:val="0"/>
          <w:sz w:val="24"/>
          <w:szCs w:val="20"/>
          <w:highlight w:val="none"/>
        </w:rPr>
      </w:pPr>
      <w:r>
        <w:rPr>
          <w:rFonts w:hint="eastAsia" w:ascii="仿宋" w:hAnsi="仿宋" w:eastAsia="仿宋" w:cs="仿宋"/>
          <w:color w:val="auto"/>
          <w:kern w:val="0"/>
          <w:sz w:val="24"/>
          <w:szCs w:val="20"/>
          <w:highlight w:val="none"/>
        </w:rPr>
        <w:t>1.1征集机构按照征集文件规定的时间通过电子交易平台组织开标，所有投标人均应当准时在线参加。</w:t>
      </w:r>
    </w:p>
    <w:p w14:paraId="063A1499">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1.2开标时，电子交易平台按开标时间自动提取所有响应文件。征集机构依托电子交易平台发起开始解密指令，投标人按照平台提示和征集文件的规定在半小时内完成在线解密。</w:t>
      </w:r>
    </w:p>
    <w:p w14:paraId="16859BD9">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2、资格审查</w:t>
      </w:r>
    </w:p>
    <w:p w14:paraId="73DE8290">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2.1开标后，征集人或征集机构将依法对投标人的资格进行审查。</w:t>
      </w:r>
    </w:p>
    <w:p w14:paraId="4307B7BF">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2.2征集人或征集机构依据法律法规和征集文件的规定，对投标人的基本资格条件、特定资格条件进行审查。</w:t>
      </w:r>
    </w:p>
    <w:p w14:paraId="13F5AF67">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2.3投标人未按照征集文件要求提供与基本资格条件、特定资格条件相应的有效资格证明材料的，视为投标人不具备征集文件中规定的资格要求，其响应无效。</w:t>
      </w:r>
    </w:p>
    <w:p w14:paraId="55AFF88A">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2.4对未通过资格审查的投标人，征集人或征集机构告知其未通过的原因。</w:t>
      </w:r>
    </w:p>
    <w:p w14:paraId="24836615">
      <w:pPr>
        <w:keepNext w:val="0"/>
        <w:keepLines w:val="0"/>
        <w:pageBreakBefore w:val="0"/>
        <w:kinsoku/>
        <w:wordWrap/>
        <w:overflowPunct/>
        <w:topLinePunct w:val="0"/>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3、信用信息查询</w:t>
      </w:r>
    </w:p>
    <w:p w14:paraId="3CBE3DD8">
      <w:pPr>
        <w:keepNext w:val="0"/>
        <w:keepLines w:val="0"/>
        <w:pageBreakBefore w:val="0"/>
        <w:kinsoku/>
        <w:wordWrap/>
        <w:overflowPunct/>
        <w:topLinePunct w:val="0"/>
        <w:bidi w:val="0"/>
        <w:adjustRightInd w:val="0"/>
        <w:snapToGrid/>
        <w:spacing w:line="360" w:lineRule="auto"/>
        <w:ind w:firstLine="4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3.1信用信息查询渠道及截止时间：征集机构将通过“信用中国”网站(www.creditchina.gov.cn)、中国政府采购网(www.ccgp.gov.cn)渠道查询投标人投标截止时间当天的信用记录。</w:t>
      </w:r>
    </w:p>
    <w:p w14:paraId="6EFD1CA7">
      <w:pPr>
        <w:keepNext w:val="0"/>
        <w:keepLines w:val="0"/>
        <w:pageBreakBefore w:val="0"/>
        <w:kinsoku/>
        <w:wordWrap/>
        <w:overflowPunct/>
        <w:topLinePunct w:val="0"/>
        <w:bidi w:val="0"/>
        <w:adjustRightInd w:val="0"/>
        <w:snapToGrid/>
        <w:spacing w:line="360" w:lineRule="auto"/>
        <w:ind w:firstLine="4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3.2信用信息查询记录和证据留存的具体方式：现场查询的投标人的信用记录、查询结果经确认后将与征集文件一起存档。</w:t>
      </w:r>
    </w:p>
    <w:p w14:paraId="096B283D">
      <w:pPr>
        <w:keepNext w:val="0"/>
        <w:keepLines w:val="0"/>
        <w:pageBreakBefore w:val="0"/>
        <w:kinsoku/>
        <w:wordWrap/>
        <w:overflowPunct/>
        <w:topLinePunct w:val="0"/>
        <w:bidi w:val="0"/>
        <w:adjustRightInd w:val="0"/>
        <w:snapToGrid/>
        <w:spacing w:line="360" w:lineRule="auto"/>
        <w:ind w:firstLine="4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3.3信用信息的使用规则：经查询列入失信被执行人名单、重大税收违法案件当事人名单、政府采购严重违法失信行为记录名单的投标人将被拒绝参与政府采购活动。</w:t>
      </w:r>
    </w:p>
    <w:p w14:paraId="1FBFBD5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highlight w:val="none"/>
        </w:rPr>
        <w:t>。</w:t>
      </w:r>
    </w:p>
    <w:p w14:paraId="541BB56B">
      <w:pPr>
        <w:pStyle w:val="18"/>
        <w:spacing w:line="360" w:lineRule="auto"/>
        <w:rPr>
          <w:rFonts w:hint="eastAsia" w:ascii="仿宋" w:hAnsi="仿宋" w:eastAsia="仿宋" w:cs="仿宋"/>
          <w:color w:val="auto"/>
          <w:highlight w:val="none"/>
        </w:rPr>
      </w:pPr>
    </w:p>
    <w:p w14:paraId="7F889D04">
      <w:pPr>
        <w:pageBreakBefore w:val="0"/>
        <w:kinsoku/>
        <w:wordWrap/>
        <w:overflowPunct/>
        <w:topLinePunct w:val="0"/>
        <w:bidi w:val="0"/>
        <w:adjustRightInd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t>五、评</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标</w:t>
      </w:r>
    </w:p>
    <w:p w14:paraId="5B6326C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color w:val="auto"/>
          <w:szCs w:val="24"/>
          <w:highlight w:val="none"/>
        </w:rPr>
        <w:t xml:space="preserve"> </w:t>
      </w:r>
      <w:r>
        <w:rPr>
          <w:rFonts w:hint="eastAsia" w:ascii="仿宋" w:hAnsi="仿宋" w:eastAsia="仿宋" w:cs="仿宋"/>
          <w:color w:val="auto"/>
          <w:sz w:val="24"/>
          <w:szCs w:val="24"/>
          <w:highlight w:val="none"/>
        </w:rPr>
        <w:t>评标委员会将根据征集文件和有关规定，履行评标工作职责，并按照评标方法及评分标准，全面衡量各投标人对征集文件的响应情况。对实质上响应征集文件的投标人，按照评审因素的量化指标排出推荐入围供应商先后顺序，并按顺序提出授标建议。</w:t>
      </w:r>
      <w:r>
        <w:rPr>
          <w:rFonts w:hint="eastAsia" w:ascii="仿宋" w:hAnsi="仿宋" w:eastAsia="仿宋" w:cs="仿宋"/>
          <w:b/>
          <w:color w:val="auto"/>
          <w:sz w:val="24"/>
          <w:highlight w:val="none"/>
        </w:rPr>
        <w:t>详见征集文件第四部分征集办法。</w:t>
      </w:r>
    </w:p>
    <w:p w14:paraId="4AE827F9">
      <w:pPr>
        <w:pageBreakBefore w:val="0"/>
        <w:kinsoku/>
        <w:wordWrap/>
        <w:overflowPunct/>
        <w:topLinePunct w:val="0"/>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六、入</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围</w:t>
      </w:r>
    </w:p>
    <w:p w14:paraId="1EAC8F6F">
      <w:pPr>
        <w:pageBreakBefore w:val="0"/>
        <w:kinsoku/>
        <w:wordWrap/>
        <w:overflowPunct/>
        <w:topLinePunct w:val="0"/>
        <w:autoSpaceDE/>
        <w:autoSpaceDN/>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确定入围供应商</w:t>
      </w:r>
    </w:p>
    <w:p w14:paraId="2D272EC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征集人将自收到评审报告之日起2个工作日内通过电子交易平台在评审报告推荐的入围供应商。</w:t>
      </w:r>
    </w:p>
    <w:p w14:paraId="032BE792">
      <w:pPr>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入围通知与入围结果公告</w:t>
      </w:r>
    </w:p>
    <w:p w14:paraId="673C473F">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2.1自入围供应商确定之日起2个工作日内，征集机构通过电子交易平台向入围供应商发出入围通知书，同时编制发布入围结果公告。征集机构也可以以纸质形式进行入围通知。</w:t>
      </w:r>
    </w:p>
    <w:p w14:paraId="56AC89E7">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2.2入围结果公告应当包括以下主要内容： </w:t>
      </w:r>
    </w:p>
    <w:p w14:paraId="797F86BD">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（一）征集项目名称、编号； </w:t>
      </w:r>
    </w:p>
    <w:p w14:paraId="1C9D270D">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（二）征集人的名称、地址、联系人和联系方式； </w:t>
      </w:r>
    </w:p>
    <w:p w14:paraId="3B971909">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（三）入围供应商名称、地址及排序； </w:t>
      </w:r>
    </w:p>
    <w:p w14:paraId="25A1F9DD">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（四）最高入围价格或者最低入围分值； </w:t>
      </w:r>
    </w:p>
    <w:p w14:paraId="01047042">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（五）入围产品名称、规格型号或者主要服务内容及服务标准，入围单价； </w:t>
      </w:r>
    </w:p>
    <w:p w14:paraId="426C383D">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（六）评审小组成员名单； </w:t>
      </w:r>
    </w:p>
    <w:p w14:paraId="7C925391">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（七）征集人代理机构服务收费标准及金额； </w:t>
      </w:r>
    </w:p>
    <w:p w14:paraId="6895A483">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（八）公告期限； </w:t>
      </w:r>
    </w:p>
    <w:p w14:paraId="4699EB51">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（九）省级以上财政部门规定的其他事项。</w:t>
      </w:r>
    </w:p>
    <w:p w14:paraId="75E30B66">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2.3公告期限为1个工作日。</w:t>
      </w:r>
    </w:p>
    <w:p w14:paraId="2E301A3F">
      <w:pPr>
        <w:pStyle w:val="2"/>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2"/>
          <w:highlight w:val="none"/>
          <w:lang w:val="en-US"/>
        </w:rPr>
      </w:pPr>
      <w:r>
        <w:rPr>
          <w:rFonts w:hint="eastAsia" w:ascii="仿宋" w:hAnsi="仿宋" w:eastAsia="仿宋" w:cs="仿宋"/>
          <w:b w:val="0"/>
          <w:bCs w:val="0"/>
          <w:color w:val="auto"/>
          <w:sz w:val="24"/>
          <w:szCs w:val="22"/>
          <w:highlight w:val="none"/>
          <w:lang w:val="en-US"/>
        </w:rPr>
        <w:t>2.4入围供应商的清退和补充规则</w:t>
      </w:r>
    </w:p>
    <w:p w14:paraId="7D054773">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在下列情形下甲方有权清退入围供应商，而不需要承担任何责任：</w:t>
      </w:r>
    </w:p>
    <w:p w14:paraId="79A20C3E">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1）入围供应商实质性违反本协议约定的；</w:t>
      </w:r>
    </w:p>
    <w:p w14:paraId="36C2E131">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2）入围供应商有违反合同约定或其职责、义务的行为，在征集人指定期限内未予以纠正或补救的；</w:t>
      </w:r>
    </w:p>
    <w:p w14:paraId="4D598285">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3）入围供应商资质吊销或注销的；</w:t>
      </w:r>
    </w:p>
    <w:p w14:paraId="00B3BDC9">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4）入围供应商泄漏委托方的秘密或与第三方串通损害征集人利益的；由此造成的经济损失，入围方应予赔偿；存在违法违规行为的，由相关部门进行处理；</w:t>
      </w:r>
    </w:p>
    <w:p w14:paraId="158893D4">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5）征集人针对项目服务时限、质量有权提出要求，由于入围供应商原因，项目服务时限超出委托时限或质量不合格的；</w:t>
      </w:r>
    </w:p>
    <w:p w14:paraId="7C525070">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6）入围供应商与项目相关单位或个人私下交易，接受财物、吃请等违纪行为经查实的；存在违法违规行为的，由相关部门进行处理；</w:t>
      </w:r>
    </w:p>
    <w:p w14:paraId="0A17BA5F">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7）入围供应商在绿色全过程工程造价审核服务过程中将资料丢失的；由此造成的经济损失，入围供应商应予赔偿；存在违法违规行为的，由相关部门进行处理；</w:t>
      </w:r>
    </w:p>
    <w:p w14:paraId="526DBDBB">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8）在入围供应商违约情形下，征集人有权对本项目合同进行必要的变更。 因入围供应商违约导致合同解除的，入围供应商应按本项目正常计算酬金的 20%支付违约金；</w:t>
      </w:r>
    </w:p>
    <w:p w14:paraId="20160362">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9）入围供应商提供服务时，需按委托人要求时限完成，无正当理由，未按时完成的将解除合同；</w:t>
      </w:r>
    </w:p>
    <w:p w14:paraId="6F864AAD">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10）执行纠错机制，即因</w:t>
      </w:r>
      <w:r>
        <w:rPr>
          <w:rFonts w:hint="eastAsia" w:ascii="仿宋" w:hAnsi="仿宋" w:eastAsia="仿宋" w:cs="仿宋"/>
          <w:color w:val="auto"/>
          <w:sz w:val="24"/>
          <w:highlight w:val="none"/>
          <w:lang w:eastAsia="zh-CN"/>
        </w:rPr>
        <w:t>建设工程消防验收技术</w:t>
      </w:r>
      <w:r>
        <w:rPr>
          <w:rFonts w:hint="eastAsia" w:ascii="仿宋" w:hAnsi="仿宋" w:eastAsia="仿宋" w:cs="仿宋"/>
          <w:color w:val="auto"/>
          <w:sz w:val="24"/>
          <w:highlight w:val="none"/>
        </w:rPr>
        <w:t>服务项目结果存在较大争议，相关单位提出投诉，并确认入围供应商为责任方的，征集人有权终止合同。</w:t>
      </w:r>
    </w:p>
    <w:p w14:paraId="5C5FB3B8">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确定入围供应商后，征集人有权对入围供应商提供的人员名单、注册证明、执业资格、人事关系、业绩材料等相关资料到相关部门进行核实，如征集响应文件存在虚假情况，则取消中标候选人的中标资格，存在违法违规行为的，由相关部门进行处理；</w:t>
      </w:r>
    </w:p>
    <w:p w14:paraId="375B6860">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12）如遇到政策变化或者其他不可抗力因素，本协议自动解除。</w:t>
      </w:r>
    </w:p>
    <w:p w14:paraId="760B968B">
      <w:pPr>
        <w:pageBreakBefore w:val="0"/>
        <w:widowControl/>
        <w:shd w:val="clear" w:color="auto"/>
        <w:kinsoku/>
        <w:wordWrap/>
        <w:overflowPunct/>
        <w:topLinePunct w:val="0"/>
        <w:autoSpaceDE/>
        <w:autoSpaceDN/>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除剩余入围供应商不足入围供应商总数70%且影响框架协议执行的情形外，框架协议有效期内，征集人不得补充征集供应商。</w:t>
      </w:r>
    </w:p>
    <w:p w14:paraId="5B87546F">
      <w:pPr>
        <w:pStyle w:val="18"/>
        <w:rPr>
          <w:rFonts w:hint="eastAsia"/>
          <w:color w:val="auto"/>
          <w:highlight w:val="none"/>
        </w:rPr>
      </w:pPr>
    </w:p>
    <w:p w14:paraId="5129C91F">
      <w:pPr>
        <w:pageBreakBefore w:val="0"/>
        <w:numPr>
          <w:ilvl w:val="0"/>
          <w:numId w:val="0"/>
        </w:numPr>
        <w:kinsoku/>
        <w:wordWrap/>
        <w:overflowPunct/>
        <w:topLinePunct w:val="0"/>
        <w:bidi w:val="0"/>
        <w:adjustRightInd w:val="0"/>
        <w:spacing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七、</w:t>
      </w:r>
      <w:r>
        <w:rPr>
          <w:rFonts w:hint="eastAsia" w:ascii="仿宋" w:hAnsi="仿宋" w:eastAsia="仿宋" w:cs="仿宋"/>
          <w:b/>
          <w:color w:val="auto"/>
          <w:sz w:val="32"/>
          <w:highlight w:val="none"/>
        </w:rPr>
        <w:t>协议授予</w:t>
      </w:r>
    </w:p>
    <w:p w14:paraId="41845B96">
      <w:pPr>
        <w:pStyle w:val="10"/>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color w:val="auto"/>
          <w:highlight w:val="none"/>
        </w:rPr>
        <w:t>合同主要条款详见第五部分拟签订的</w:t>
      </w:r>
      <w:r>
        <w:rPr>
          <w:rFonts w:hint="eastAsia" w:ascii="仿宋" w:hAnsi="仿宋" w:eastAsia="仿宋" w:cs="仿宋"/>
          <w:b/>
          <w:bCs/>
          <w:color w:val="auto"/>
          <w:highlight w:val="none"/>
        </w:rPr>
        <w:t>合同</w:t>
      </w:r>
      <w:r>
        <w:rPr>
          <w:rFonts w:hint="eastAsia" w:ascii="仿宋" w:hAnsi="仿宋" w:eastAsia="仿宋" w:cs="仿宋"/>
          <w:color w:val="auto"/>
          <w:highlight w:val="none"/>
        </w:rPr>
        <w:t>文本。</w:t>
      </w:r>
    </w:p>
    <w:p w14:paraId="66F971F7">
      <w:pPr>
        <w:pStyle w:val="10"/>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2.合同的签订</w:t>
      </w:r>
    </w:p>
    <w:p w14:paraId="0892A9C7">
      <w:pPr>
        <w:keepNext w:val="0"/>
        <w:keepLines w:val="0"/>
        <w:pageBreakBefore w:val="0"/>
        <w:widowControl/>
        <w:shd w:val="clear" w:color="auto"/>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kern w:val="0"/>
          <w:sz w:val="24"/>
          <w:szCs w:val="24"/>
          <w:highlight w:val="none"/>
        </w:rPr>
        <w:t xml:space="preserve"> 征集人与入围供应商应当在入围通知书发出之日起三十日内，按照征集文件确定的事项签订政府采购</w:t>
      </w:r>
      <w:r>
        <w:rPr>
          <w:rFonts w:hint="eastAsia" w:ascii="仿宋" w:hAnsi="仿宋" w:eastAsia="仿宋" w:cs="仿宋"/>
          <w:b/>
          <w:bCs/>
          <w:color w:val="auto"/>
          <w:sz w:val="24"/>
          <w:szCs w:val="24"/>
          <w:highlight w:val="none"/>
        </w:rPr>
        <w:t>框架协议</w:t>
      </w:r>
      <w:r>
        <w:rPr>
          <w:rFonts w:hint="eastAsia" w:ascii="仿宋" w:hAnsi="仿宋" w:eastAsia="仿宋" w:cs="仿宋"/>
          <w:color w:val="auto"/>
          <w:kern w:val="0"/>
          <w:sz w:val="24"/>
          <w:szCs w:val="24"/>
          <w:highlight w:val="none"/>
        </w:rPr>
        <w:t>。</w:t>
      </w:r>
    </w:p>
    <w:p w14:paraId="6EF3F99A">
      <w:pPr>
        <w:keepNext w:val="0"/>
        <w:keepLines w:val="0"/>
        <w:pageBreakBefore w:val="0"/>
        <w:widowControl/>
        <w:shd w:val="clear" w:color="auto"/>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征集人应当自政府采购</w:t>
      </w:r>
      <w:r>
        <w:rPr>
          <w:rFonts w:hint="eastAsia" w:ascii="仿宋" w:hAnsi="仿宋" w:eastAsia="仿宋" w:cs="仿宋"/>
          <w:b/>
          <w:bCs/>
          <w:color w:val="auto"/>
          <w:sz w:val="24"/>
          <w:szCs w:val="24"/>
          <w:highlight w:val="none"/>
        </w:rPr>
        <w:t>框架协议</w:t>
      </w:r>
      <w:r>
        <w:rPr>
          <w:rFonts w:hint="eastAsia" w:ascii="仿宋" w:hAnsi="仿宋" w:eastAsia="仿宋" w:cs="仿宋"/>
          <w:color w:val="auto"/>
          <w:sz w:val="24"/>
          <w:szCs w:val="24"/>
          <w:highlight w:val="none"/>
          <w:shd w:val="clear" w:color="auto" w:fill="FFFFFF"/>
        </w:rPr>
        <w:t>签订之日起2个工作日内，将</w:t>
      </w:r>
      <w:r>
        <w:rPr>
          <w:rFonts w:hint="eastAsia" w:ascii="仿宋" w:hAnsi="仿宋" w:eastAsia="仿宋" w:cs="仿宋"/>
          <w:b/>
          <w:bCs/>
          <w:color w:val="auto"/>
          <w:sz w:val="24"/>
          <w:szCs w:val="24"/>
          <w:highlight w:val="none"/>
        </w:rPr>
        <w:t>框架协议</w:t>
      </w:r>
      <w:r>
        <w:rPr>
          <w:rFonts w:hint="eastAsia" w:ascii="仿宋" w:hAnsi="仿宋" w:eastAsia="仿宋" w:cs="仿宋"/>
          <w:color w:val="auto"/>
          <w:sz w:val="24"/>
          <w:szCs w:val="24"/>
          <w:highlight w:val="none"/>
          <w:shd w:val="clear" w:color="auto" w:fill="FFFFFF"/>
        </w:rPr>
        <w:t>在省级以上人民政府财政部门指定的媒体上公告，但</w:t>
      </w:r>
      <w:r>
        <w:rPr>
          <w:rFonts w:hint="eastAsia" w:ascii="仿宋" w:hAnsi="仿宋" w:eastAsia="仿宋" w:cs="仿宋"/>
          <w:b/>
          <w:bCs/>
          <w:color w:val="auto"/>
          <w:sz w:val="24"/>
          <w:szCs w:val="24"/>
          <w:highlight w:val="none"/>
        </w:rPr>
        <w:t>框架协议</w:t>
      </w:r>
      <w:r>
        <w:rPr>
          <w:rFonts w:hint="eastAsia" w:ascii="仿宋" w:hAnsi="仿宋" w:eastAsia="仿宋" w:cs="仿宋"/>
          <w:color w:val="auto"/>
          <w:sz w:val="24"/>
          <w:szCs w:val="24"/>
          <w:highlight w:val="none"/>
          <w:shd w:val="clear" w:color="auto" w:fill="FFFFFF"/>
        </w:rPr>
        <w:t>中涉及国家秘密、商业秘密的内容除外。</w:t>
      </w:r>
      <w:r>
        <w:rPr>
          <w:rFonts w:hint="eastAsia" w:ascii="仿宋" w:hAnsi="仿宋" w:eastAsia="仿宋" w:cs="仿宋"/>
          <w:color w:val="auto"/>
          <w:kern w:val="0"/>
          <w:sz w:val="24"/>
          <w:szCs w:val="24"/>
          <w:highlight w:val="none"/>
        </w:rPr>
        <w:t>政府采购项目的</w:t>
      </w:r>
      <w:r>
        <w:rPr>
          <w:rFonts w:hint="eastAsia" w:ascii="仿宋" w:hAnsi="仿宋" w:eastAsia="仿宋" w:cs="仿宋"/>
          <w:b/>
          <w:bCs/>
          <w:color w:val="auto"/>
          <w:sz w:val="24"/>
          <w:szCs w:val="24"/>
          <w:highlight w:val="none"/>
        </w:rPr>
        <w:t>框架协议</w:t>
      </w:r>
      <w:r>
        <w:rPr>
          <w:rFonts w:hint="eastAsia" w:ascii="仿宋" w:hAnsi="仿宋" w:eastAsia="仿宋" w:cs="仿宋"/>
          <w:color w:val="auto"/>
          <w:kern w:val="0"/>
          <w:sz w:val="24"/>
          <w:szCs w:val="24"/>
          <w:highlight w:val="none"/>
        </w:rPr>
        <w:t>自签订之日起七个工作日内，采购人应当将</w:t>
      </w:r>
      <w:r>
        <w:rPr>
          <w:rFonts w:hint="eastAsia" w:ascii="仿宋" w:hAnsi="仿宋" w:eastAsia="仿宋" w:cs="仿宋"/>
          <w:b/>
          <w:bCs/>
          <w:color w:val="auto"/>
          <w:sz w:val="24"/>
          <w:szCs w:val="24"/>
          <w:highlight w:val="none"/>
        </w:rPr>
        <w:t>协议副本</w:t>
      </w:r>
      <w:r>
        <w:rPr>
          <w:rFonts w:hint="eastAsia" w:ascii="仿宋" w:hAnsi="仿宋" w:eastAsia="仿宋" w:cs="仿宋"/>
          <w:color w:val="auto"/>
          <w:kern w:val="0"/>
          <w:sz w:val="24"/>
          <w:szCs w:val="24"/>
          <w:highlight w:val="none"/>
        </w:rPr>
        <w:t>报同级政府采购监督管理部门和有关部门备案。</w:t>
      </w:r>
    </w:p>
    <w:p w14:paraId="6D7C3391">
      <w:pPr>
        <w:pStyle w:val="27"/>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入围供应商</w:t>
      </w:r>
      <w:r>
        <w:rPr>
          <w:rFonts w:hint="eastAsia" w:ascii="仿宋" w:hAnsi="仿宋" w:eastAsia="仿宋" w:cs="仿宋"/>
          <w:color w:val="auto"/>
          <w:kern w:val="0"/>
          <w:highlight w:val="none"/>
          <w:lang w:val="zh-CN"/>
        </w:rPr>
        <w:t>按规定的日期、时间、地点，由法定代表人或其授权代表与采购人代表签订</w:t>
      </w:r>
      <w:r>
        <w:rPr>
          <w:rFonts w:hint="eastAsia" w:ascii="仿宋" w:hAnsi="仿宋" w:eastAsia="仿宋" w:cs="仿宋"/>
          <w:b/>
          <w:bCs/>
          <w:color w:val="auto"/>
          <w:szCs w:val="24"/>
          <w:highlight w:val="none"/>
        </w:rPr>
        <w:t>框架协议</w:t>
      </w:r>
      <w:r>
        <w:rPr>
          <w:rFonts w:hint="eastAsia" w:ascii="仿宋" w:hAnsi="仿宋" w:eastAsia="仿宋" w:cs="仿宋"/>
          <w:color w:val="auto"/>
          <w:kern w:val="0"/>
          <w:highlight w:val="none"/>
          <w:lang w:val="zh-CN"/>
        </w:rPr>
        <w:t>。如</w:t>
      </w:r>
      <w:r>
        <w:rPr>
          <w:rFonts w:hint="eastAsia" w:ascii="仿宋" w:hAnsi="仿宋" w:eastAsia="仿宋" w:cs="仿宋"/>
          <w:color w:val="auto"/>
          <w:kern w:val="0"/>
          <w:highlight w:val="none"/>
        </w:rPr>
        <w:t>入围供应商</w:t>
      </w:r>
      <w:r>
        <w:rPr>
          <w:rFonts w:hint="eastAsia" w:ascii="仿宋" w:hAnsi="仿宋" w:eastAsia="仿宋" w:cs="仿宋"/>
          <w:color w:val="auto"/>
          <w:kern w:val="0"/>
          <w:highlight w:val="none"/>
          <w:lang w:val="zh-CN"/>
        </w:rPr>
        <w:t>为联合体的，由联合体成员各方法定代表人或其授权代表与采购人代表签订</w:t>
      </w:r>
      <w:r>
        <w:rPr>
          <w:rFonts w:hint="eastAsia" w:ascii="仿宋" w:hAnsi="仿宋" w:eastAsia="仿宋" w:cs="仿宋"/>
          <w:b/>
          <w:bCs/>
          <w:color w:val="auto"/>
          <w:szCs w:val="24"/>
          <w:highlight w:val="none"/>
        </w:rPr>
        <w:t>框架协议</w:t>
      </w:r>
      <w:r>
        <w:rPr>
          <w:rFonts w:hint="eastAsia" w:ascii="仿宋" w:hAnsi="仿宋" w:eastAsia="仿宋" w:cs="仿宋"/>
          <w:color w:val="auto"/>
          <w:kern w:val="0"/>
          <w:highlight w:val="none"/>
          <w:lang w:val="zh-CN"/>
        </w:rPr>
        <w:t>。</w:t>
      </w:r>
    </w:p>
    <w:p w14:paraId="5FB71CC7">
      <w:pPr>
        <w:pStyle w:val="27"/>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2.3如签订</w:t>
      </w:r>
      <w:r>
        <w:rPr>
          <w:rFonts w:hint="eastAsia" w:ascii="仿宋" w:hAnsi="仿宋" w:eastAsia="仿宋" w:cs="仿宋"/>
          <w:b/>
          <w:bCs/>
          <w:color w:val="auto"/>
          <w:szCs w:val="24"/>
          <w:highlight w:val="none"/>
        </w:rPr>
        <w:t>协议</w:t>
      </w:r>
      <w:r>
        <w:rPr>
          <w:rFonts w:hint="eastAsia" w:ascii="仿宋" w:hAnsi="仿宋" w:eastAsia="仿宋" w:cs="仿宋"/>
          <w:color w:val="auto"/>
          <w:highlight w:val="none"/>
        </w:rPr>
        <w:t>并生效后，</w:t>
      </w:r>
      <w:r>
        <w:rPr>
          <w:rFonts w:hint="eastAsia" w:ascii="仿宋" w:hAnsi="仿宋" w:eastAsia="仿宋" w:cs="仿宋"/>
          <w:b/>
          <w:bCs/>
          <w:color w:val="auto"/>
          <w:szCs w:val="24"/>
          <w:highlight w:val="none"/>
        </w:rPr>
        <w:t>入围供应商不得主动放弃入围资格或者退出框架协议，无故退出的单位禁止其参与下一次框架协议的签订同时也不得作为非入围供应商承接本区域内相关项目。</w:t>
      </w:r>
    </w:p>
    <w:p w14:paraId="4BF01307">
      <w:pPr>
        <w:pStyle w:val="27"/>
        <w:keepNext w:val="0"/>
        <w:keepLines w:val="0"/>
        <w:pageBreakBefore w:val="0"/>
        <w:kinsoku/>
        <w:wordWrap/>
        <w:overflowPunct/>
        <w:topLinePunct w:val="0"/>
        <w:autoSpaceDE/>
        <w:autoSpaceDN/>
        <w:bidi w:val="0"/>
        <w:snapToGrid w:val="0"/>
        <w:spacing w:before="0" w:line="360" w:lineRule="auto"/>
        <w:ind w:firstLine="482"/>
        <w:textAlignment w:val="auto"/>
        <w:rPr>
          <w:rFonts w:hint="eastAsia" w:ascii="仿宋" w:hAnsi="仿宋" w:eastAsia="仿宋" w:cs="仿宋"/>
          <w:b/>
          <w:bCs/>
          <w:i/>
          <w:iCs/>
          <w:color w:val="auto"/>
          <w:szCs w:val="24"/>
          <w:highlight w:val="none"/>
        </w:rPr>
      </w:pPr>
      <w:r>
        <w:rPr>
          <w:rFonts w:hint="eastAsia" w:ascii="仿宋" w:hAnsi="仿宋" w:eastAsia="仿宋" w:cs="仿宋"/>
          <w:b/>
          <w:bCs/>
          <w:color w:val="auto"/>
          <w:szCs w:val="24"/>
          <w:highlight w:val="none"/>
        </w:rPr>
        <w:t>2.4针对每个按照征集文件约定的方式选择签订合同单位。签订合同并生效后，供应商无故拒绝或延期，除按照合同约定条款处理外，列入不良行为记录一次，并给予通报。拒绝签订合同的供应商予以清退且禁止其参与下一次框架协议的签订同时也不得作为非入围供应商承接本区域内相关项目。</w:t>
      </w:r>
    </w:p>
    <w:p w14:paraId="44A4854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履约保证金</w:t>
      </w:r>
    </w:p>
    <w:p w14:paraId="708EA1F8">
      <w:pPr>
        <w:keepNext w:val="0"/>
        <w:keepLines w:val="0"/>
        <w:pageBreakBefore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rPr>
        <w:t>拟签订的合同文本要求入围供应商提交履约保证金的，供应商应当以支票、汇票、本票或者金融机构、担保机构出具的保函等非现金形式提交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征集人不得拒收履约保函。</w:t>
      </w:r>
      <w:r>
        <w:rPr>
          <w:rFonts w:hint="eastAsia" w:ascii="仿宋" w:hAnsi="仿宋" w:eastAsia="仿宋" w:cs="仿宋"/>
          <w:b/>
          <w:color w:val="auto"/>
          <w:sz w:val="24"/>
          <w:highlight w:val="none"/>
          <w:lang w:eastAsia="zh-CN"/>
        </w:rPr>
        <w:t>本项目履约保证金：无。</w:t>
      </w:r>
    </w:p>
    <w:p w14:paraId="5C80E926">
      <w:pPr>
        <w:pStyle w:val="18"/>
        <w:rPr>
          <w:rFonts w:hint="eastAsia"/>
          <w:color w:val="auto"/>
          <w:highlight w:val="none"/>
          <w:lang w:eastAsia="zh-CN"/>
        </w:rPr>
      </w:pPr>
    </w:p>
    <w:p w14:paraId="3782E985">
      <w:pPr>
        <w:pageBreakBefore w:val="0"/>
        <w:kinsoku/>
        <w:wordWrap/>
        <w:overflowPunct/>
        <w:topLinePunct w:val="0"/>
        <w:bidi w:val="0"/>
        <w:adjustRightInd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0F5DDC59">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szCs w:val="24"/>
          <w:highlight w:val="none"/>
        </w:rPr>
        <w:t>1. 电子交易活动的中止。</w:t>
      </w:r>
      <w:r>
        <w:rPr>
          <w:rFonts w:hint="eastAsia" w:ascii="仿宋" w:hAnsi="仿宋" w:eastAsia="仿宋" w:cs="仿宋"/>
          <w:color w:val="auto"/>
          <w:sz w:val="24"/>
          <w:highlight w:val="none"/>
        </w:rPr>
        <w:t>征集过程中出现以下情形，导致电子交易平台无法正常运行，或者无法保证电子交易的公平、公正和安</w:t>
      </w:r>
      <w:r>
        <w:rPr>
          <w:rFonts w:hint="eastAsia" w:ascii="仿宋" w:hAnsi="仿宋" w:eastAsia="仿宋" w:cs="仿宋"/>
          <w:color w:val="auto"/>
          <w:kern w:val="0"/>
          <w:sz w:val="24"/>
          <w:highlight w:val="none"/>
        </w:rPr>
        <w:t>全时，征集机构可中止电子交易活动：</w:t>
      </w:r>
    </w:p>
    <w:p w14:paraId="4148D38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6934B68C">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56B030B8">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5DDF611E">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330BBDA8">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705B817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出现以上情形，不影响采购公平、公正性的，征集组织机构可以待上述情形消除后继续组织电子交易活动，也可以决定某些环节以纸质形式进行；影响或可能影响采购公平、公正性的，应当重新征集。</w:t>
      </w:r>
    </w:p>
    <w:p w14:paraId="6E00FB9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highlight w:val="none"/>
        </w:rPr>
      </w:pPr>
    </w:p>
    <w:p w14:paraId="77528B35">
      <w:pPr>
        <w:pageBreakBefore w:val="0"/>
        <w:kinsoku/>
        <w:wordWrap/>
        <w:overflowPunct/>
        <w:topLinePunct w:val="0"/>
        <w:bidi w:val="0"/>
        <w:adjustRightInd w:val="0"/>
        <w:snapToGrid w:val="0"/>
        <w:spacing w:line="360" w:lineRule="auto"/>
        <w:ind w:firstLine="482" w:firstLineChars="150"/>
        <w:jc w:val="center"/>
        <w:textAlignment w:val="auto"/>
        <w:rPr>
          <w:rFonts w:hint="eastAsia" w:ascii="仿宋" w:hAnsi="仿宋" w:eastAsia="仿宋" w:cs="仿宋"/>
          <w:b/>
          <w:color w:val="auto"/>
          <w:sz w:val="32"/>
          <w:szCs w:val="24"/>
          <w:highlight w:val="none"/>
        </w:rPr>
      </w:pPr>
      <w:r>
        <w:rPr>
          <w:rFonts w:hint="eastAsia" w:ascii="仿宋" w:hAnsi="仿宋" w:eastAsia="仿宋" w:cs="仿宋"/>
          <w:b/>
          <w:color w:val="auto"/>
          <w:sz w:val="32"/>
          <w:szCs w:val="24"/>
          <w:highlight w:val="none"/>
        </w:rPr>
        <w:t>九、验</w:t>
      </w:r>
      <w:r>
        <w:rPr>
          <w:rFonts w:hint="eastAsia" w:ascii="仿宋" w:hAnsi="仿宋" w:eastAsia="仿宋" w:cs="仿宋"/>
          <w:b/>
          <w:color w:val="auto"/>
          <w:sz w:val="32"/>
          <w:szCs w:val="24"/>
          <w:highlight w:val="none"/>
          <w:lang w:val="en-US" w:eastAsia="zh-CN"/>
        </w:rPr>
        <w:t xml:space="preserve"> </w:t>
      </w:r>
      <w:r>
        <w:rPr>
          <w:rFonts w:hint="eastAsia" w:ascii="仿宋" w:hAnsi="仿宋" w:eastAsia="仿宋" w:cs="仿宋"/>
          <w:b/>
          <w:color w:val="auto"/>
          <w:sz w:val="32"/>
          <w:szCs w:val="24"/>
          <w:highlight w:val="none"/>
        </w:rPr>
        <w:t>收</w:t>
      </w:r>
    </w:p>
    <w:p w14:paraId="19F17C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1.验收</w:t>
      </w:r>
    </w:p>
    <w:p w14:paraId="1CBA8F6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人组织对供应商的过程验收和履约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30DC8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1.2采购人可以邀请参加本项目的其他投标人或者第三方机构参与验收。参与验收的投标人或者第三方机构的意见作为验收书的参考资料一并存档。</w:t>
      </w:r>
    </w:p>
    <w:p w14:paraId="2CC7351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w:t>
      </w:r>
      <w:r>
        <w:rPr>
          <w:rFonts w:hint="eastAsia" w:ascii="仿宋" w:hAnsi="仿宋" w:eastAsia="仿宋" w:cs="仿宋"/>
          <w:b w:val="0"/>
          <w:bCs w:val="0"/>
          <w:strike w:val="0"/>
          <w:dstrike w:val="0"/>
          <w:color w:val="auto"/>
          <w:kern w:val="0"/>
          <w:sz w:val="24"/>
          <w:szCs w:val="24"/>
          <w:highlight w:val="none"/>
        </w:rPr>
        <w:t>。</w:t>
      </w:r>
      <w:r>
        <w:rPr>
          <w:rFonts w:hint="eastAsia" w:ascii="仿宋" w:hAnsi="仿宋" w:eastAsia="仿宋" w:cs="仿宋"/>
          <w:b w:val="0"/>
          <w:bCs w:val="0"/>
          <w:color w:val="auto"/>
          <w:kern w:val="0"/>
          <w:sz w:val="24"/>
          <w:szCs w:val="24"/>
          <w:highlight w:val="none"/>
        </w:rPr>
        <w:t>履约验收的各项资料应当存档备查。</w:t>
      </w:r>
    </w:p>
    <w:p w14:paraId="03D0AE57">
      <w:pPr>
        <w:pStyle w:val="1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1.4验收合格的项目，采购人将根据采购合同的约定及时向供应商支付采购资金、退还履约保证金。验收不合格的项目，采购人将依法及时处理。采购</w:t>
      </w:r>
      <w:r>
        <w:rPr>
          <w:rFonts w:hint="eastAsia" w:ascii="仿宋" w:hAnsi="仿宋" w:eastAsia="仿宋" w:cs="仿宋"/>
          <w:color w:val="auto"/>
          <w:kern w:val="0"/>
          <w:sz w:val="24"/>
          <w:szCs w:val="24"/>
          <w:highlight w:val="none"/>
        </w:rPr>
        <w:t>合同的履行、违约责任和解决争议的方式等适用《中华人民共和国民法典》。供应商在履约过程中有政府采购法律法规规定的违法违规情形的，采购人应当及时报告本级财政部门。</w:t>
      </w:r>
    </w:p>
    <w:p w14:paraId="68B78206">
      <w:pPr>
        <w:pStyle w:val="6"/>
        <w:rPr>
          <w:rFonts w:hint="eastAsia" w:ascii="仿宋" w:hAnsi="仿宋" w:eastAsia="仿宋" w:cs="仿宋"/>
          <w:color w:val="auto"/>
          <w:kern w:val="0"/>
          <w:sz w:val="24"/>
          <w:szCs w:val="24"/>
          <w:highlight w:val="none"/>
        </w:rPr>
      </w:pPr>
    </w:p>
    <w:p w14:paraId="5180886E">
      <w:pPr>
        <w:rPr>
          <w:rFonts w:hint="eastAsia" w:ascii="仿宋" w:hAnsi="仿宋" w:eastAsia="仿宋" w:cs="仿宋"/>
          <w:color w:val="auto"/>
          <w:kern w:val="0"/>
          <w:sz w:val="24"/>
          <w:szCs w:val="24"/>
          <w:highlight w:val="none"/>
        </w:rPr>
      </w:pPr>
    </w:p>
    <w:p w14:paraId="150964F2">
      <w:pPr>
        <w:pStyle w:val="18"/>
        <w:rPr>
          <w:rFonts w:hint="eastAsia" w:ascii="仿宋" w:hAnsi="仿宋" w:eastAsia="仿宋" w:cs="仿宋"/>
          <w:color w:val="auto"/>
          <w:kern w:val="0"/>
          <w:sz w:val="24"/>
          <w:szCs w:val="24"/>
          <w:highlight w:val="none"/>
        </w:rPr>
      </w:pPr>
    </w:p>
    <w:p w14:paraId="10370BD4">
      <w:pPr>
        <w:rPr>
          <w:rFonts w:hint="eastAsia" w:ascii="仿宋" w:hAnsi="仿宋" w:eastAsia="仿宋" w:cs="仿宋"/>
          <w:color w:val="auto"/>
          <w:kern w:val="0"/>
          <w:sz w:val="24"/>
          <w:szCs w:val="24"/>
          <w:highlight w:val="none"/>
        </w:rPr>
      </w:pPr>
    </w:p>
    <w:p w14:paraId="0C1AB146">
      <w:pPr>
        <w:pStyle w:val="18"/>
        <w:rPr>
          <w:rFonts w:hint="eastAsia" w:ascii="仿宋" w:hAnsi="仿宋" w:eastAsia="仿宋" w:cs="仿宋"/>
          <w:color w:val="auto"/>
          <w:kern w:val="0"/>
          <w:sz w:val="24"/>
          <w:szCs w:val="24"/>
          <w:highlight w:val="none"/>
        </w:rPr>
      </w:pPr>
    </w:p>
    <w:p w14:paraId="31A10FAF">
      <w:pPr>
        <w:rPr>
          <w:rFonts w:hint="eastAsia" w:ascii="仿宋" w:hAnsi="仿宋" w:eastAsia="仿宋" w:cs="仿宋"/>
          <w:color w:val="auto"/>
          <w:kern w:val="0"/>
          <w:sz w:val="24"/>
          <w:szCs w:val="24"/>
          <w:highlight w:val="none"/>
        </w:rPr>
      </w:pPr>
    </w:p>
    <w:p w14:paraId="00CB1917">
      <w:pPr>
        <w:pStyle w:val="18"/>
        <w:rPr>
          <w:rFonts w:hint="eastAsia" w:ascii="仿宋" w:hAnsi="仿宋" w:eastAsia="仿宋" w:cs="仿宋"/>
          <w:color w:val="auto"/>
          <w:kern w:val="0"/>
          <w:sz w:val="24"/>
          <w:szCs w:val="24"/>
          <w:highlight w:val="none"/>
        </w:rPr>
      </w:pPr>
    </w:p>
    <w:p w14:paraId="16EC3D77">
      <w:pPr>
        <w:rPr>
          <w:rFonts w:hint="eastAsia" w:ascii="仿宋" w:hAnsi="仿宋" w:eastAsia="仿宋" w:cs="仿宋"/>
          <w:color w:val="auto"/>
          <w:kern w:val="0"/>
          <w:sz w:val="24"/>
          <w:szCs w:val="24"/>
          <w:highlight w:val="none"/>
        </w:rPr>
      </w:pPr>
    </w:p>
    <w:p w14:paraId="55112ECB">
      <w:pPr>
        <w:pStyle w:val="18"/>
        <w:rPr>
          <w:rFonts w:hint="eastAsia" w:ascii="仿宋" w:hAnsi="仿宋" w:eastAsia="仿宋" w:cs="仿宋"/>
          <w:color w:val="auto"/>
          <w:kern w:val="0"/>
          <w:sz w:val="24"/>
          <w:szCs w:val="24"/>
          <w:highlight w:val="none"/>
        </w:rPr>
      </w:pPr>
    </w:p>
    <w:p w14:paraId="45039A87">
      <w:pPr>
        <w:rPr>
          <w:rFonts w:hint="eastAsia" w:ascii="仿宋" w:hAnsi="仿宋" w:eastAsia="仿宋" w:cs="仿宋"/>
          <w:color w:val="auto"/>
          <w:kern w:val="0"/>
          <w:sz w:val="24"/>
          <w:szCs w:val="24"/>
          <w:highlight w:val="none"/>
        </w:rPr>
      </w:pPr>
    </w:p>
    <w:p w14:paraId="33EBF3A6">
      <w:pPr>
        <w:pStyle w:val="18"/>
        <w:rPr>
          <w:rFonts w:hint="eastAsia" w:ascii="仿宋" w:hAnsi="仿宋" w:eastAsia="仿宋" w:cs="仿宋"/>
          <w:color w:val="auto"/>
          <w:kern w:val="0"/>
          <w:sz w:val="24"/>
          <w:szCs w:val="24"/>
          <w:highlight w:val="none"/>
        </w:rPr>
      </w:pPr>
    </w:p>
    <w:p w14:paraId="113D01DD">
      <w:pPr>
        <w:rPr>
          <w:rFonts w:hint="eastAsia" w:ascii="仿宋" w:hAnsi="仿宋" w:eastAsia="仿宋" w:cs="仿宋"/>
          <w:color w:val="auto"/>
          <w:kern w:val="0"/>
          <w:sz w:val="24"/>
          <w:szCs w:val="24"/>
          <w:highlight w:val="none"/>
        </w:rPr>
      </w:pPr>
    </w:p>
    <w:p w14:paraId="45D999DE">
      <w:pPr>
        <w:pStyle w:val="18"/>
        <w:rPr>
          <w:rFonts w:hint="eastAsia" w:ascii="仿宋" w:hAnsi="仿宋" w:eastAsia="仿宋" w:cs="仿宋"/>
          <w:color w:val="auto"/>
          <w:kern w:val="0"/>
          <w:sz w:val="24"/>
          <w:szCs w:val="24"/>
          <w:highlight w:val="none"/>
        </w:rPr>
      </w:pPr>
    </w:p>
    <w:p w14:paraId="22288688">
      <w:pPr>
        <w:rPr>
          <w:rFonts w:hint="eastAsia" w:ascii="仿宋" w:hAnsi="仿宋" w:eastAsia="仿宋" w:cs="仿宋"/>
          <w:color w:val="auto"/>
          <w:kern w:val="0"/>
          <w:sz w:val="24"/>
          <w:szCs w:val="24"/>
          <w:highlight w:val="none"/>
        </w:rPr>
      </w:pPr>
    </w:p>
    <w:p w14:paraId="108DDED7">
      <w:pPr>
        <w:rPr>
          <w:rFonts w:hint="eastAsia"/>
          <w:highlight w:val="none"/>
        </w:rPr>
      </w:pPr>
      <w:r>
        <w:rPr>
          <w:rFonts w:hint="eastAsia"/>
          <w:color w:val="auto"/>
          <w:highlight w:val="none"/>
        </w:rPr>
        <w:br w:type="page"/>
      </w:r>
    </w:p>
    <w:p w14:paraId="58E2AEB6">
      <w:pPr>
        <w:adjustRightIn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第三部分   征集项目范围及要求</w:t>
      </w:r>
    </w:p>
    <w:p w14:paraId="69DEB6D1">
      <w:pPr>
        <w:pStyle w:val="12"/>
        <w:keepNext w:val="0"/>
        <w:keepLines w:val="0"/>
        <w:pageBreakBefore w:val="0"/>
        <w:widowControl w:val="0"/>
        <w:kinsoku/>
        <w:wordWrap/>
        <w:overflowPunct/>
        <w:topLinePunct w:val="0"/>
        <w:bidi w:val="0"/>
        <w:spacing w:line="400" w:lineRule="exact"/>
        <w:ind w:firstLine="482" w:firstLineChars="200"/>
        <w:jc w:val="left"/>
        <w:textAlignment w:val="auto"/>
        <w:rPr>
          <w:rFonts w:hint="eastAsia" w:ascii="仿宋" w:hAnsi="仿宋" w:eastAsia="仿宋" w:cs="仿宋"/>
          <w:b/>
          <w:color w:val="auto"/>
          <w:kern w:val="0"/>
          <w:sz w:val="24"/>
          <w:szCs w:val="24"/>
          <w:highlight w:val="none"/>
        </w:rPr>
      </w:pPr>
    </w:p>
    <w:p w14:paraId="0FFAD8BF">
      <w:pPr>
        <w:pStyle w:val="18"/>
        <w:spacing w:line="360" w:lineRule="auto"/>
        <w:ind w:left="0" w:leftChars="0" w:firstLine="480" w:firstLineChars="200"/>
        <w:rPr>
          <w:rFonts w:hint="eastAsia" w:cs="宋体"/>
          <w:b w:val="0"/>
          <w:bCs w:val="0"/>
          <w:color w:val="auto"/>
          <w:sz w:val="24"/>
          <w:szCs w:val="24"/>
          <w:highlight w:val="none"/>
          <w:lang w:eastAsia="zh-CN"/>
        </w:rPr>
      </w:pPr>
      <w:r>
        <w:rPr>
          <w:rFonts w:hint="eastAsia" w:cs="宋体"/>
          <w:b w:val="0"/>
          <w:bCs w:val="0"/>
          <w:color w:val="auto"/>
          <w:sz w:val="24"/>
          <w:szCs w:val="24"/>
          <w:highlight w:val="none"/>
          <w:lang w:eastAsia="zh-CN"/>
        </w:rPr>
        <w:t>注：“▲” 系指实质性要求条款，不满足征集文件的实质性要求的，响应无效。</w:t>
      </w:r>
    </w:p>
    <w:p w14:paraId="7C6CDDDE">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简要规格描述或项目基本概况介绍、用途：</w:t>
      </w:r>
    </w:p>
    <w:p w14:paraId="3A2EFC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一、</w:t>
      </w:r>
      <w:bookmarkStart w:id="0" w:name="_Toc298856057"/>
      <w:bookmarkStart w:id="1" w:name="_Toc388261186"/>
      <w:bookmarkStart w:id="2" w:name="OLE_LINK50"/>
      <w:bookmarkStart w:id="3" w:name="OLE_LINK20"/>
      <w:bookmarkStart w:id="4" w:name="OLE_LINK19"/>
      <w:r>
        <w:rPr>
          <w:rFonts w:hint="eastAsia" w:ascii="宋体" w:hAnsi="宋体" w:eastAsia="宋体" w:cs="宋体"/>
          <w:b/>
          <w:bCs/>
          <w:color w:val="auto"/>
          <w:sz w:val="24"/>
          <w:szCs w:val="24"/>
          <w:highlight w:val="none"/>
          <w:lang w:val="en-US" w:eastAsia="zh-Hans"/>
        </w:rPr>
        <w:t>项目概况</w:t>
      </w:r>
      <w:bookmarkEnd w:id="0"/>
      <w:r>
        <w:rPr>
          <w:rFonts w:hint="eastAsia" w:ascii="宋体" w:hAnsi="宋体" w:eastAsia="宋体" w:cs="宋体"/>
          <w:b/>
          <w:bCs/>
          <w:color w:val="auto"/>
          <w:sz w:val="24"/>
          <w:szCs w:val="24"/>
          <w:highlight w:val="none"/>
          <w:lang w:val="en-US" w:eastAsia="zh-Hans"/>
        </w:rPr>
        <w:t>及内容</w:t>
      </w:r>
      <w:bookmarkEnd w:id="1"/>
    </w:p>
    <w:bookmarkEnd w:id="2"/>
    <w:bookmarkEnd w:id="3"/>
    <w:bookmarkEnd w:id="4"/>
    <w:p w14:paraId="7D09A24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对杭州市西湖区行政辖区内的消防验收和备案（抽查）项目，严格依据国家法律法规、国家工程建设消防技术标准和省、市有关规定、涉及</w:t>
      </w:r>
      <w:r>
        <w:rPr>
          <w:rFonts w:hint="eastAsia" w:ascii="宋体" w:hAnsi="宋体" w:eastAsia="宋体" w:cs="宋体"/>
          <w:b w:val="0"/>
          <w:bCs w:val="0"/>
          <w:i/>
          <w:iCs/>
          <w:color w:val="auto"/>
          <w:sz w:val="24"/>
          <w:szCs w:val="24"/>
          <w:highlight w:val="none"/>
          <w:lang w:val="en-US" w:eastAsia="zh-Hans"/>
        </w:rPr>
        <w:t>消防的建设工程竣工图纸</w:t>
      </w:r>
      <w:r>
        <w:rPr>
          <w:rFonts w:hint="eastAsia" w:ascii="宋体" w:hAnsi="宋体" w:eastAsia="宋体" w:cs="宋体"/>
          <w:b w:val="0"/>
          <w:bCs w:val="0"/>
          <w:color w:val="auto"/>
          <w:sz w:val="24"/>
          <w:szCs w:val="24"/>
          <w:highlight w:val="none"/>
          <w:lang w:val="en-US" w:eastAsia="zh-Hans"/>
        </w:rPr>
        <w:t>、消防设计审查意见，开展消防验收技术服务工作（含备案未抽中项目），包括但不限于图纸及资料核查服务、提前服务、整改监督、现场评定、现场检查及档案整理等服务工作，及时出具意见或报告，并对出具的意见或报告负责</w:t>
      </w:r>
      <w:r>
        <w:rPr>
          <w:rFonts w:hint="eastAsia" w:ascii="宋体" w:hAnsi="宋体" w:eastAsia="宋体" w:cs="宋体"/>
          <w:b w:val="0"/>
          <w:bCs w:val="0"/>
          <w:color w:val="auto"/>
          <w:sz w:val="24"/>
          <w:szCs w:val="24"/>
          <w:highlight w:val="none"/>
          <w:lang w:val="en-US" w:eastAsia="zh-CN"/>
        </w:rPr>
        <w:t>；需协助采购人完成信访工作及其他交办的事宜</w:t>
      </w:r>
      <w:r>
        <w:rPr>
          <w:rFonts w:hint="eastAsia" w:ascii="宋体" w:hAnsi="宋体" w:eastAsia="宋体" w:cs="宋体"/>
          <w:b w:val="0"/>
          <w:bCs w:val="0"/>
          <w:color w:val="auto"/>
          <w:sz w:val="24"/>
          <w:szCs w:val="24"/>
          <w:highlight w:val="none"/>
          <w:lang w:val="en-US" w:eastAsia="zh-Hans"/>
        </w:rPr>
        <w:t>。</w:t>
      </w:r>
    </w:p>
    <w:p w14:paraId="60F7BCFE">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i w:val="0"/>
          <w:iCs w:val="0"/>
          <w:color w:val="auto"/>
          <w:sz w:val="24"/>
          <w:szCs w:val="24"/>
          <w:highlight w:val="none"/>
          <w:lang w:bidi="ar"/>
        </w:rPr>
      </w:pPr>
      <w:r>
        <w:rPr>
          <w:rFonts w:hint="eastAsia" w:ascii="宋体" w:hAnsi="宋体" w:eastAsia="宋体" w:cs="宋体"/>
          <w:b w:val="0"/>
          <w:bCs w:val="0"/>
          <w:i w:val="0"/>
          <w:iCs w:val="0"/>
          <w:color w:val="auto"/>
          <w:sz w:val="24"/>
          <w:szCs w:val="24"/>
          <w:highlight w:val="none"/>
        </w:rPr>
        <w:t>消防验收项目的建设单位、设计单位及存在相关利益的</w:t>
      </w:r>
      <w:r>
        <w:rPr>
          <w:rFonts w:hint="eastAsia" w:ascii="宋体" w:hAnsi="宋体" w:eastAsia="宋体" w:cs="宋体"/>
          <w:b w:val="0"/>
          <w:bCs w:val="0"/>
          <w:i w:val="0"/>
          <w:iCs w:val="0"/>
          <w:color w:val="auto"/>
          <w:sz w:val="24"/>
          <w:szCs w:val="24"/>
          <w:highlight w:val="none"/>
          <w:lang w:val="en-US" w:eastAsia="zh-CN"/>
        </w:rPr>
        <w:t>相关人员</w:t>
      </w:r>
      <w:r>
        <w:rPr>
          <w:rFonts w:hint="eastAsia" w:ascii="宋体" w:hAnsi="宋体" w:eastAsia="宋体" w:cs="宋体"/>
          <w:b w:val="0"/>
          <w:bCs w:val="0"/>
          <w:i w:val="0"/>
          <w:iCs w:val="0"/>
          <w:color w:val="auto"/>
          <w:sz w:val="24"/>
          <w:szCs w:val="24"/>
          <w:highlight w:val="none"/>
        </w:rPr>
        <w:t>不能参加对应标项的</w:t>
      </w:r>
      <w:r>
        <w:rPr>
          <w:rFonts w:hint="eastAsia" w:ascii="宋体" w:hAnsi="宋体" w:eastAsia="宋体" w:cs="宋体"/>
          <w:b w:val="0"/>
          <w:bCs w:val="0"/>
          <w:i w:val="0"/>
          <w:iCs w:val="0"/>
          <w:color w:val="auto"/>
          <w:sz w:val="24"/>
          <w:szCs w:val="24"/>
          <w:highlight w:val="none"/>
          <w:lang w:val="en-US" w:eastAsia="zh-CN"/>
        </w:rPr>
        <w:t>验收工作</w:t>
      </w:r>
      <w:r>
        <w:rPr>
          <w:rFonts w:hint="eastAsia" w:ascii="宋体" w:hAnsi="宋体" w:eastAsia="宋体" w:cs="宋体"/>
          <w:b w:val="0"/>
          <w:bCs w:val="0"/>
          <w:i w:val="0"/>
          <w:iCs w:val="0"/>
          <w:color w:val="auto"/>
          <w:sz w:val="24"/>
          <w:szCs w:val="24"/>
          <w:highlight w:val="none"/>
        </w:rPr>
        <w:t>。</w:t>
      </w:r>
    </w:p>
    <w:p w14:paraId="2929906E">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服务范围</w:t>
      </w:r>
    </w:p>
    <w:p w14:paraId="4115FB6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本项目行政辖区内共计约780万方；具体按以供应商入围后，采购人提供的数据为准。</w:t>
      </w:r>
    </w:p>
    <w:p w14:paraId="6DE4C964">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项目须执行的标准、规范（如有新法规或制度的按新规范执行）</w:t>
      </w:r>
    </w:p>
    <w:p w14:paraId="458C8C97">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1、《中华人民共和国消防法》（2021年4月29日修正版）；</w:t>
      </w:r>
    </w:p>
    <w:p w14:paraId="5A307EDF">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2、《建设工程消防设计审查验收管理暂行规定》（住房和城乡建设部令第5</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号）；</w:t>
      </w:r>
    </w:p>
    <w:p w14:paraId="65880DFF">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住房和城乡建设部《关于印发〈建设工程消防设计审查验收工作细则〉和〈建设工程消防设计审查、消防验收、备案和抽查文书式样〉的通知》（建科规〔2020〕5号）；</w:t>
      </w:r>
    </w:p>
    <w:p w14:paraId="636B03C2">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4、《关于深化消防执法改革的意见》（厅字〔2019〕34号）；</w:t>
      </w:r>
    </w:p>
    <w:p w14:paraId="39286F7B">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5、《浙江省建设工程消防设计审查验收管理暂行办法》；</w:t>
      </w:r>
    </w:p>
    <w:p w14:paraId="446AA76E">
      <w:pPr>
        <w:pStyle w:val="2"/>
        <w:numPr>
          <w:ilvl w:val="0"/>
          <w:numId w:val="0"/>
        </w:numPr>
        <w:ind w:leftChars="0"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kern w:val="2"/>
          <w:sz w:val="24"/>
          <w:szCs w:val="24"/>
          <w:highlight w:val="none"/>
          <w:lang w:val="en-US" w:eastAsia="zh-CN" w:bidi="ar-SA"/>
        </w:rPr>
        <w:t>《浙江省建筑工程消防验收操作技术导则》（试行）；</w:t>
      </w:r>
    </w:p>
    <w:p w14:paraId="5C4C6DEA">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7、《杭州市建设工程消防验收技术导则》（试行）；</w:t>
      </w:r>
    </w:p>
    <w:p w14:paraId="362AEE54">
      <w:pPr>
        <w:pStyle w:val="2"/>
        <w:numPr>
          <w:ilvl w:val="0"/>
          <w:numId w:val="0"/>
        </w:numPr>
        <w:ind w:leftChars="0"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8、《浙江省建设工程消防设计审查工作指南》（试行）；</w:t>
      </w:r>
    </w:p>
    <w:p w14:paraId="7C0CD27F">
      <w:pPr>
        <w:autoSpaceDE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sz w:val="24"/>
          <w:szCs w:val="24"/>
          <w:highlight w:val="none"/>
        </w:rPr>
        <w:t>《杭州市建设工消防设计审查工作指南》（试行）；</w:t>
      </w:r>
    </w:p>
    <w:p w14:paraId="5CC7D66A">
      <w:pPr>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10、市建委相关监督管理办法及规章制度；</w:t>
      </w:r>
    </w:p>
    <w:p w14:paraId="6E3782A0">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、其他国家和地方要求执行的法律法规。</w:t>
      </w:r>
    </w:p>
    <w:p w14:paraId="32C36067">
      <w:pPr>
        <w:autoSpaceDE w:val="0"/>
        <w:spacing w:line="360" w:lineRule="auto"/>
        <w:ind w:firstLine="42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注：如违背上述法规或规章制度，经财政备案后采购人有权终止合同，并要求供应商做出相应赔偿。</w:t>
      </w:r>
    </w:p>
    <w:p w14:paraId="508668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四、服务内容及要求</w:t>
      </w:r>
    </w:p>
    <w:p w14:paraId="0EF0444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1、服务范围：</w:t>
      </w:r>
      <w:r>
        <w:rPr>
          <w:rFonts w:hint="eastAsia" w:ascii="宋体" w:hAnsi="宋体" w:cs="宋体"/>
          <w:b w:val="0"/>
          <w:bCs w:val="0"/>
          <w:color w:val="auto"/>
          <w:sz w:val="24"/>
          <w:szCs w:val="24"/>
          <w:highlight w:val="none"/>
          <w:lang w:val="en-US" w:eastAsia="zh-CN"/>
        </w:rPr>
        <w:t>本项目</w:t>
      </w:r>
      <w:r>
        <w:rPr>
          <w:rFonts w:hint="eastAsia" w:ascii="宋体" w:hAnsi="宋体" w:cs="宋体"/>
          <w:b w:val="0"/>
          <w:bCs w:val="0"/>
          <w:color w:val="auto"/>
          <w:kern w:val="0"/>
          <w:sz w:val="24"/>
          <w:szCs w:val="24"/>
          <w:highlight w:val="none"/>
          <w:lang w:eastAsia="zh-CN"/>
        </w:rPr>
        <w:t>范围内</w:t>
      </w:r>
      <w:r>
        <w:rPr>
          <w:rFonts w:hint="eastAsia" w:ascii="宋体" w:hAnsi="宋体" w:eastAsia="宋体" w:cs="宋体"/>
          <w:b w:val="0"/>
          <w:bCs w:val="0"/>
          <w:color w:val="auto"/>
          <w:kern w:val="0"/>
          <w:sz w:val="24"/>
          <w:szCs w:val="24"/>
          <w:highlight w:val="none"/>
        </w:rPr>
        <w:t>需</w:t>
      </w:r>
      <w:r>
        <w:rPr>
          <w:rFonts w:hint="eastAsia" w:ascii="宋体" w:hAnsi="宋体" w:cs="宋体"/>
          <w:b w:val="0"/>
          <w:bCs w:val="0"/>
          <w:color w:val="auto"/>
          <w:kern w:val="0"/>
          <w:sz w:val="24"/>
          <w:szCs w:val="24"/>
          <w:highlight w:val="none"/>
          <w:lang w:eastAsia="zh-CN"/>
        </w:rPr>
        <w:t>要</w:t>
      </w:r>
      <w:r>
        <w:rPr>
          <w:rFonts w:hint="eastAsia" w:ascii="宋体" w:hAnsi="宋体" w:eastAsia="宋体" w:cs="宋体"/>
          <w:b w:val="0"/>
          <w:bCs w:val="0"/>
          <w:color w:val="auto"/>
          <w:kern w:val="0"/>
          <w:sz w:val="24"/>
          <w:szCs w:val="24"/>
          <w:highlight w:val="none"/>
        </w:rPr>
        <w:t>消防验收</w:t>
      </w:r>
      <w:r>
        <w:rPr>
          <w:rFonts w:hint="eastAsia" w:ascii="宋体" w:hAnsi="宋体" w:eastAsia="宋体" w:cs="宋体"/>
          <w:b w:val="0"/>
          <w:bCs w:val="0"/>
          <w:color w:val="auto"/>
          <w:kern w:val="0"/>
          <w:sz w:val="24"/>
          <w:szCs w:val="24"/>
          <w:highlight w:val="none"/>
          <w:lang w:eastAsia="zh-CN"/>
        </w:rPr>
        <w:t>、备案（抽查）</w:t>
      </w:r>
      <w:r>
        <w:rPr>
          <w:rFonts w:hint="eastAsia" w:ascii="宋体" w:hAnsi="宋体" w:eastAsia="宋体" w:cs="宋体"/>
          <w:b w:val="0"/>
          <w:bCs w:val="0"/>
          <w:color w:val="auto"/>
          <w:kern w:val="0"/>
          <w:sz w:val="24"/>
          <w:szCs w:val="24"/>
          <w:highlight w:val="none"/>
        </w:rPr>
        <w:t>的建设工程项目</w:t>
      </w:r>
      <w:r>
        <w:rPr>
          <w:rFonts w:hint="eastAsia" w:ascii="宋体" w:hAnsi="宋体" w:eastAsia="宋体" w:cs="宋体"/>
          <w:b w:val="0"/>
          <w:bCs w:val="0"/>
          <w:color w:val="auto"/>
          <w:kern w:val="0"/>
          <w:sz w:val="24"/>
          <w:szCs w:val="24"/>
          <w:highlight w:val="none"/>
          <w:lang w:eastAsia="zh-CN"/>
        </w:rPr>
        <w:t>；</w:t>
      </w:r>
    </w:p>
    <w:p w14:paraId="0CCE3BB7">
      <w:pPr>
        <w:pStyle w:val="27"/>
        <w:spacing w:before="0" w:line="500" w:lineRule="exact"/>
        <w:ind w:firstLine="482"/>
        <w:outlineLvl w:val="2"/>
        <w:rPr>
          <w:rFonts w:hint="eastAsia" w:ascii="宋体" w:hAnsi="宋体" w:eastAsia="宋体" w:cs="宋体"/>
          <w:b w:val="0"/>
          <w:bCs/>
          <w:color w:val="auto"/>
          <w:kern w:val="1"/>
          <w:szCs w:val="24"/>
          <w:highlight w:val="none"/>
        </w:rPr>
      </w:pPr>
      <w:r>
        <w:rPr>
          <w:rFonts w:hint="eastAsia" w:ascii="宋体" w:hAnsi="宋体" w:eastAsia="宋体" w:cs="宋体"/>
          <w:b w:val="0"/>
          <w:bCs w:val="0"/>
          <w:color w:val="auto"/>
          <w:sz w:val="24"/>
          <w:szCs w:val="24"/>
          <w:highlight w:val="none"/>
        </w:rPr>
        <w:t>2、服务期限：</w:t>
      </w:r>
      <w:bookmarkStart w:id="5" w:name="_Toc226426145"/>
      <w:bookmarkStart w:id="6" w:name="_Toc226369504"/>
      <w:bookmarkStart w:id="7" w:name="_Toc341361257"/>
      <w:bookmarkStart w:id="8" w:name="_Toc112643418"/>
      <w:bookmarkStart w:id="9" w:name="_Toc243115081"/>
      <w:r>
        <w:rPr>
          <w:rFonts w:hint="eastAsia" w:ascii="宋体" w:hAnsi="宋体" w:eastAsia="宋体" w:cs="宋体"/>
          <w:b w:val="0"/>
          <w:bCs/>
          <w:color w:val="auto"/>
          <w:kern w:val="1"/>
          <w:szCs w:val="24"/>
          <w:highlight w:val="none"/>
        </w:rPr>
        <w:t>总服务期限</w:t>
      </w:r>
      <w:r>
        <w:rPr>
          <w:rFonts w:hint="eastAsia" w:ascii="宋体" w:hAnsi="宋体" w:eastAsia="宋体" w:cs="宋体"/>
          <w:b w:val="0"/>
          <w:bCs/>
          <w:color w:val="auto"/>
          <w:kern w:val="1"/>
          <w:szCs w:val="24"/>
          <w:highlight w:val="none"/>
          <w:lang w:val="en-US" w:eastAsia="zh-CN"/>
        </w:rPr>
        <w:t>为</w:t>
      </w:r>
      <w:r>
        <w:rPr>
          <w:rFonts w:hint="eastAsia" w:ascii="宋体" w:hAnsi="宋体" w:eastAsia="宋体" w:cs="宋体"/>
          <w:b w:val="0"/>
          <w:bCs/>
          <w:color w:val="auto"/>
          <w:kern w:val="1"/>
          <w:szCs w:val="24"/>
          <w:highlight w:val="none"/>
        </w:rPr>
        <w:t>2年，合同一年一签，服务起止时间以合同为准。</w:t>
      </w:r>
      <w:r>
        <w:rPr>
          <w:rFonts w:hint="eastAsia" w:ascii="宋体" w:hAnsi="宋体" w:eastAsia="宋体" w:cs="宋体"/>
          <w:b w:val="0"/>
          <w:bCs/>
          <w:color w:val="auto"/>
          <w:kern w:val="1"/>
          <w:szCs w:val="24"/>
          <w:highlight w:val="none"/>
          <w:lang w:val="en-US" w:eastAsia="zh-CN"/>
        </w:rPr>
        <w:t>首年</w:t>
      </w:r>
      <w:r>
        <w:rPr>
          <w:rFonts w:hint="eastAsia" w:ascii="宋体" w:hAnsi="宋体" w:eastAsia="宋体" w:cs="宋体"/>
          <w:b w:val="0"/>
          <w:bCs/>
          <w:color w:val="auto"/>
          <w:kern w:val="1"/>
          <w:szCs w:val="24"/>
          <w:highlight w:val="none"/>
        </w:rPr>
        <w:t>服务期满</w:t>
      </w:r>
      <w:r>
        <w:rPr>
          <w:rFonts w:hint="eastAsia" w:ascii="宋体" w:hAnsi="宋体" w:eastAsia="宋体" w:cs="宋体"/>
          <w:b w:val="0"/>
          <w:bCs/>
          <w:color w:val="auto"/>
          <w:kern w:val="1"/>
          <w:szCs w:val="24"/>
          <w:highlight w:val="none"/>
          <w:lang w:val="en-US" w:eastAsia="zh-CN"/>
        </w:rPr>
        <w:t>后，对于</w:t>
      </w:r>
      <w:r>
        <w:rPr>
          <w:rFonts w:hint="eastAsia" w:ascii="宋体" w:hAnsi="宋体" w:cs="宋体"/>
          <w:b w:val="0"/>
          <w:bCs/>
          <w:color w:val="auto"/>
          <w:kern w:val="1"/>
          <w:szCs w:val="24"/>
          <w:highlight w:val="none"/>
          <w:lang w:val="en-US" w:eastAsia="zh-CN"/>
        </w:rPr>
        <w:t>考</w:t>
      </w:r>
      <w:r>
        <w:rPr>
          <w:rFonts w:hint="eastAsia" w:ascii="宋体" w:hAnsi="宋体" w:eastAsia="宋体" w:cs="宋体"/>
          <w:b w:val="0"/>
          <w:bCs/>
          <w:color w:val="auto"/>
          <w:kern w:val="1"/>
          <w:szCs w:val="24"/>
          <w:highlight w:val="none"/>
        </w:rPr>
        <w:t>核验收</w:t>
      </w:r>
      <w:r>
        <w:rPr>
          <w:rFonts w:hint="eastAsia" w:ascii="宋体" w:hAnsi="宋体" w:eastAsia="宋体" w:cs="宋体"/>
          <w:b w:val="0"/>
          <w:bCs/>
          <w:color w:val="auto"/>
          <w:kern w:val="1"/>
          <w:szCs w:val="24"/>
          <w:highlight w:val="none"/>
          <w:lang w:val="en-US" w:eastAsia="zh-CN"/>
        </w:rPr>
        <w:t>通过的单位</w:t>
      </w:r>
      <w:r>
        <w:rPr>
          <w:rFonts w:hint="eastAsia" w:ascii="宋体" w:hAnsi="宋体" w:eastAsia="宋体" w:cs="宋体"/>
          <w:b w:val="0"/>
          <w:bCs/>
          <w:color w:val="auto"/>
          <w:kern w:val="1"/>
          <w:szCs w:val="24"/>
          <w:highlight w:val="none"/>
        </w:rPr>
        <w:t>，</w:t>
      </w:r>
      <w:r>
        <w:rPr>
          <w:rFonts w:hint="eastAsia" w:ascii="宋体" w:hAnsi="宋体" w:eastAsia="宋体" w:cs="宋体"/>
          <w:b w:val="0"/>
          <w:bCs/>
          <w:color w:val="auto"/>
          <w:kern w:val="1"/>
          <w:szCs w:val="24"/>
          <w:highlight w:val="none"/>
          <w:lang w:val="en-US" w:eastAsia="zh-CN"/>
        </w:rPr>
        <w:t>采购人</w:t>
      </w:r>
      <w:r>
        <w:rPr>
          <w:rFonts w:hint="eastAsia" w:ascii="宋体" w:hAnsi="宋体" w:eastAsia="宋体" w:cs="宋体"/>
          <w:b w:val="0"/>
          <w:bCs/>
          <w:color w:val="auto"/>
          <w:kern w:val="1"/>
          <w:szCs w:val="24"/>
          <w:highlight w:val="none"/>
        </w:rPr>
        <w:t>可续签下一年合同。合同履行期内若供应商达不到考核要求，采购单位可终止下一年度的服务合同。</w:t>
      </w:r>
    </w:p>
    <w:p w14:paraId="0FC2A6C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服务人员的配</w:t>
      </w:r>
      <w:r>
        <w:rPr>
          <w:rFonts w:hint="eastAsia" w:ascii="宋体" w:hAnsi="宋体" w:eastAsia="宋体" w:cs="宋体"/>
          <w:b w:val="0"/>
          <w:bCs w:val="0"/>
          <w:color w:val="auto"/>
          <w:sz w:val="24"/>
          <w:szCs w:val="24"/>
          <w:highlight w:val="none"/>
          <w:lang w:val="en-US" w:eastAsia="zh-CN"/>
        </w:rPr>
        <w:t>置</w:t>
      </w:r>
      <w:r>
        <w:rPr>
          <w:rFonts w:hint="eastAsia" w:ascii="宋体" w:hAnsi="宋体" w:eastAsia="宋体" w:cs="宋体"/>
          <w:b w:val="0"/>
          <w:bCs w:val="0"/>
          <w:color w:val="auto"/>
          <w:sz w:val="24"/>
          <w:szCs w:val="24"/>
          <w:highlight w:val="none"/>
        </w:rPr>
        <w:t>要求</w:t>
      </w:r>
      <w:bookmarkEnd w:id="5"/>
      <w:bookmarkEnd w:id="6"/>
      <w:bookmarkEnd w:id="7"/>
      <w:bookmarkEnd w:id="8"/>
      <w:bookmarkEnd w:id="9"/>
    </w:p>
    <w:p w14:paraId="505591DD">
      <w:p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）具体人员配</w:t>
      </w:r>
      <w:r>
        <w:rPr>
          <w:rFonts w:hint="eastAsia" w:ascii="宋体" w:hAnsi="宋体" w:eastAsia="宋体" w:cs="宋体"/>
          <w:b w:val="0"/>
          <w:bCs w:val="0"/>
          <w:color w:val="auto"/>
          <w:sz w:val="24"/>
          <w:szCs w:val="24"/>
          <w:highlight w:val="none"/>
          <w:lang w:val="en-US" w:eastAsia="zh-CN"/>
        </w:rPr>
        <w:t>置</w:t>
      </w:r>
      <w:r>
        <w:rPr>
          <w:rFonts w:hint="eastAsia" w:ascii="宋体" w:hAnsi="宋体" w:eastAsia="宋体" w:cs="宋体"/>
          <w:b w:val="0"/>
          <w:bCs w:val="0"/>
          <w:color w:val="auto"/>
          <w:sz w:val="24"/>
          <w:szCs w:val="24"/>
          <w:highlight w:val="none"/>
        </w:rPr>
        <w:t>数量</w:t>
      </w:r>
      <w:r>
        <w:rPr>
          <w:rFonts w:hint="eastAsia" w:ascii="宋体" w:hAnsi="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要求详见下表。</w:t>
      </w:r>
    </w:p>
    <w:p w14:paraId="579B9D14">
      <w:pPr>
        <w:pStyle w:val="2"/>
        <w:numPr>
          <w:ilvl w:val="0"/>
          <w:numId w:val="0"/>
        </w:numPr>
        <w:ind w:leftChars="0"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 </w:t>
      </w:r>
      <w:r>
        <w:rPr>
          <w:rFonts w:hint="eastAsia" w:ascii="宋体" w:hAnsi="宋体" w:eastAsia="宋体" w:cs="宋体"/>
          <w:b w:val="0"/>
          <w:bCs w:val="0"/>
          <w:color w:val="auto"/>
          <w:sz w:val="24"/>
          <w:szCs w:val="24"/>
          <w:highlight w:val="none"/>
        </w:rPr>
        <w:t>服务人员</w:t>
      </w:r>
      <w:r>
        <w:rPr>
          <w:rFonts w:hint="eastAsia" w:ascii="宋体" w:hAnsi="宋体" w:eastAsia="宋体" w:cs="宋体"/>
          <w:b w:val="0"/>
          <w:bCs w:val="0"/>
          <w:color w:val="auto"/>
          <w:sz w:val="24"/>
          <w:szCs w:val="24"/>
          <w:highlight w:val="none"/>
          <w:lang w:val="en-US" w:eastAsia="zh-CN"/>
        </w:rPr>
        <w:t>配置要求</w:t>
      </w:r>
    </w:p>
    <w:p w14:paraId="40B8F720">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0"/>
          <w:sz w:val="24"/>
          <w:szCs w:val="24"/>
          <w:highlight w:val="none"/>
        </w:rPr>
        <w:t>人员配</w:t>
      </w:r>
      <w:r>
        <w:rPr>
          <w:rFonts w:hint="eastAsia" w:ascii="宋体" w:hAnsi="宋体" w:eastAsia="宋体" w:cs="宋体"/>
          <w:b w:val="0"/>
          <w:bCs w:val="0"/>
          <w:color w:val="auto"/>
          <w:spacing w:val="20"/>
          <w:sz w:val="24"/>
          <w:szCs w:val="24"/>
          <w:highlight w:val="none"/>
          <w:lang w:val="en-US" w:eastAsia="zh-CN"/>
        </w:rPr>
        <w:t>置表</w:t>
      </w:r>
    </w:p>
    <w:tbl>
      <w:tblPr>
        <w:tblStyle w:val="19"/>
        <w:tblW w:w="848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39"/>
        <w:gridCol w:w="2612"/>
        <w:gridCol w:w="1681"/>
        <w:gridCol w:w="3349"/>
      </w:tblGrid>
      <w:tr w14:paraId="463732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61B2B1CF">
            <w:pPr>
              <w:pStyle w:val="39"/>
              <w:spacing w:line="360" w:lineRule="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序号</w:t>
            </w:r>
          </w:p>
        </w:tc>
        <w:tc>
          <w:tcPr>
            <w:tcW w:w="2612" w:type="dxa"/>
            <w:tcBorders>
              <w:top w:val="single" w:color="auto" w:sz="4" w:space="0"/>
              <w:left w:val="nil"/>
              <w:bottom w:val="single" w:color="auto" w:sz="4" w:space="0"/>
              <w:right w:val="single" w:color="auto" w:sz="4" w:space="0"/>
            </w:tcBorders>
            <w:vAlign w:val="center"/>
          </w:tcPr>
          <w:p w14:paraId="5248C39C">
            <w:pPr>
              <w:pStyle w:val="3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岗位</w:t>
            </w:r>
          </w:p>
        </w:tc>
        <w:tc>
          <w:tcPr>
            <w:tcW w:w="1681" w:type="dxa"/>
            <w:tcBorders>
              <w:top w:val="single" w:color="auto" w:sz="4" w:space="0"/>
              <w:left w:val="nil"/>
              <w:bottom w:val="single" w:color="auto" w:sz="4" w:space="0"/>
              <w:right w:val="single" w:color="auto" w:sz="4" w:space="0"/>
            </w:tcBorders>
            <w:vAlign w:val="center"/>
          </w:tcPr>
          <w:p w14:paraId="7858129F">
            <w:pPr>
              <w:pStyle w:val="39"/>
              <w:spacing w:line="360" w:lineRule="auto"/>
              <w:jc w:val="both"/>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w w:val="100"/>
                <w:sz w:val="24"/>
                <w:szCs w:val="24"/>
                <w:highlight w:val="none"/>
                <w:shd w:val="clear" w:color="auto" w:fill="FFFFFF"/>
              </w:rPr>
              <w:t>基本人员数量</w:t>
            </w:r>
          </w:p>
        </w:tc>
        <w:tc>
          <w:tcPr>
            <w:tcW w:w="3349" w:type="dxa"/>
            <w:tcBorders>
              <w:top w:val="single" w:color="auto" w:sz="4" w:space="0"/>
              <w:left w:val="nil"/>
              <w:bottom w:val="single" w:color="auto" w:sz="4" w:space="0"/>
              <w:right w:val="single" w:color="auto" w:sz="4" w:space="0"/>
            </w:tcBorders>
            <w:vAlign w:val="center"/>
          </w:tcPr>
          <w:p w14:paraId="60B86CBB">
            <w:pPr>
              <w:pStyle w:val="3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备注</w:t>
            </w:r>
          </w:p>
        </w:tc>
      </w:tr>
      <w:tr w14:paraId="637FF5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48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5C74530B">
            <w:pPr>
              <w:pStyle w:val="3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固定管理人员（须在投标文件中明确</w:t>
            </w:r>
            <w:r>
              <w:rPr>
                <w:rFonts w:hint="eastAsia" w:ascii="宋体" w:hAnsi="宋体" w:eastAsia="宋体" w:cs="宋体"/>
                <w:b w:val="0"/>
                <w:bCs w:val="0"/>
                <w:i w:val="0"/>
                <w:iCs w:val="0"/>
                <w:color w:val="auto"/>
                <w:sz w:val="24"/>
                <w:szCs w:val="24"/>
                <w:highlight w:val="none"/>
              </w:rPr>
              <w:t>具体人员</w:t>
            </w:r>
            <w:r>
              <w:rPr>
                <w:rFonts w:hint="eastAsia" w:ascii="宋体" w:hAnsi="宋体" w:eastAsia="宋体" w:cs="宋体"/>
                <w:b w:val="0"/>
                <w:bCs w:val="0"/>
                <w:i w:val="0"/>
                <w:iCs w:val="0"/>
                <w:color w:val="auto"/>
                <w:sz w:val="24"/>
                <w:szCs w:val="24"/>
                <w:highlight w:val="none"/>
                <w:shd w:val="clear" w:color="auto" w:fill="FFFFFF"/>
              </w:rPr>
              <w:t>）</w:t>
            </w:r>
          </w:p>
        </w:tc>
      </w:tr>
      <w:tr w14:paraId="1D830E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1BE5B3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(1)</w:t>
            </w:r>
          </w:p>
        </w:tc>
        <w:tc>
          <w:tcPr>
            <w:tcW w:w="2612" w:type="dxa"/>
            <w:tcBorders>
              <w:top w:val="single" w:color="auto" w:sz="4" w:space="0"/>
              <w:left w:val="nil"/>
              <w:bottom w:val="single" w:color="auto" w:sz="4" w:space="0"/>
              <w:right w:val="single" w:color="auto" w:sz="4" w:space="0"/>
            </w:tcBorders>
            <w:vAlign w:val="center"/>
          </w:tcPr>
          <w:p w14:paraId="07E5130A">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项目负责人</w:t>
            </w:r>
          </w:p>
          <w:p w14:paraId="629A5DC8">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lang w:eastAsia="zh-CN"/>
              </w:rPr>
            </w:pPr>
            <w:r>
              <w:rPr>
                <w:rFonts w:hint="eastAsia" w:ascii="宋体" w:hAnsi="宋体" w:cs="宋体"/>
                <w:b/>
                <w:bCs/>
                <w:i w:val="0"/>
                <w:iCs w:val="0"/>
                <w:color w:val="auto"/>
                <w:sz w:val="24"/>
                <w:szCs w:val="24"/>
                <w:highlight w:val="none"/>
                <w:shd w:val="clear" w:color="auto" w:fill="FFFFFF"/>
                <w:lang w:eastAsia="zh-CN"/>
              </w:rPr>
              <w:t>（</w:t>
            </w:r>
            <w:r>
              <w:rPr>
                <w:rFonts w:hint="eastAsia" w:ascii="宋体" w:hAnsi="宋体" w:cs="宋体"/>
                <w:b/>
                <w:bCs/>
                <w:i w:val="0"/>
                <w:iCs w:val="0"/>
                <w:color w:val="auto"/>
                <w:sz w:val="24"/>
                <w:szCs w:val="24"/>
                <w:highlight w:val="none"/>
                <w:shd w:val="clear" w:color="auto" w:fill="FFFFFF"/>
                <w:lang w:val="en-US" w:eastAsia="zh-CN"/>
              </w:rPr>
              <w:t>如联合体投标的，需由联合体牵头人拟派</w:t>
            </w:r>
            <w:r>
              <w:rPr>
                <w:rFonts w:hint="eastAsia" w:ascii="宋体" w:hAnsi="宋体" w:cs="宋体"/>
                <w:b/>
                <w:bCs/>
                <w:i w:val="0"/>
                <w:iCs w:val="0"/>
                <w:color w:val="auto"/>
                <w:sz w:val="24"/>
                <w:szCs w:val="24"/>
                <w:highlight w:val="none"/>
                <w:shd w:val="clear" w:color="auto" w:fill="FFFFFF"/>
                <w:lang w:eastAsia="zh-CN"/>
              </w:rPr>
              <w:t>）</w:t>
            </w:r>
          </w:p>
        </w:tc>
        <w:tc>
          <w:tcPr>
            <w:tcW w:w="1681" w:type="dxa"/>
            <w:tcBorders>
              <w:top w:val="single" w:color="auto" w:sz="4" w:space="0"/>
              <w:left w:val="nil"/>
              <w:bottom w:val="single" w:color="auto" w:sz="4" w:space="0"/>
              <w:right w:val="single" w:color="auto" w:sz="4" w:space="0"/>
            </w:tcBorders>
            <w:vAlign w:val="center"/>
          </w:tcPr>
          <w:p w14:paraId="3B928AD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1人</w:t>
            </w:r>
          </w:p>
        </w:tc>
        <w:tc>
          <w:tcPr>
            <w:tcW w:w="3349" w:type="dxa"/>
            <w:tcBorders>
              <w:top w:val="single" w:color="auto" w:sz="4" w:space="0"/>
              <w:left w:val="nil"/>
              <w:bottom w:val="single" w:color="auto" w:sz="4" w:space="0"/>
              <w:right w:val="single" w:color="auto" w:sz="4" w:space="0"/>
            </w:tcBorders>
            <w:vAlign w:val="center"/>
          </w:tcPr>
          <w:p w14:paraId="7DDCE560">
            <w:pPr>
              <w:pStyle w:val="39"/>
              <w:keepNext w:val="0"/>
              <w:keepLines w:val="0"/>
              <w:pageBreakBefore w:val="0"/>
              <w:widowControl w:val="0"/>
              <w:kinsoku/>
              <w:wordWrap/>
              <w:overflowPunct/>
              <w:topLinePunct w:val="0"/>
              <w:autoSpaceDE/>
              <w:autoSpaceDN/>
              <w:adjustRightInd/>
              <w:snapToGrid/>
              <w:spacing w:line="360" w:lineRule="auto"/>
              <w:jc w:val="center"/>
              <w:rPr>
                <w:rFonts w:hint="eastAsia" w:ascii="宋体" w:hAnsi="宋体" w:cs="宋体"/>
                <w:b w:val="0"/>
                <w:bCs w:val="0"/>
                <w:sz w:val="24"/>
                <w:szCs w:val="24"/>
                <w:highlight w:val="none"/>
                <w:shd w:val="clear" w:color="auto" w:fill="FFFFFF"/>
              </w:rPr>
            </w:pPr>
            <w:r>
              <w:rPr>
                <w:rFonts w:hint="eastAsia" w:ascii="宋体" w:hAnsi="宋体" w:cs="宋体"/>
                <w:b w:val="0"/>
                <w:bCs w:val="0"/>
                <w:i w:val="0"/>
                <w:iCs w:val="0"/>
                <w:color w:val="auto"/>
                <w:sz w:val="24"/>
                <w:szCs w:val="24"/>
                <w:highlight w:val="none"/>
                <w:shd w:val="clear" w:color="auto" w:fill="FFFFFF"/>
                <w:lang w:eastAsia="zh-CN"/>
              </w:rPr>
              <w:t>一级注册</w:t>
            </w:r>
            <w:r>
              <w:rPr>
                <w:rFonts w:hint="eastAsia" w:ascii="宋体" w:hAnsi="宋体" w:eastAsia="宋体" w:cs="宋体"/>
                <w:b w:val="0"/>
                <w:bCs w:val="0"/>
                <w:i w:val="0"/>
                <w:iCs w:val="0"/>
                <w:color w:val="auto"/>
                <w:sz w:val="24"/>
                <w:szCs w:val="24"/>
                <w:highlight w:val="none"/>
                <w:shd w:val="clear" w:color="auto" w:fill="FFFFFF"/>
              </w:rPr>
              <w:t>建筑师且具有</w:t>
            </w:r>
            <w:r>
              <w:rPr>
                <w:rFonts w:hint="eastAsia" w:ascii="宋体" w:hAnsi="宋体" w:cs="宋体"/>
                <w:b w:val="0"/>
                <w:bCs w:val="0"/>
                <w:i w:val="0"/>
                <w:iCs w:val="0"/>
                <w:color w:val="auto"/>
                <w:sz w:val="24"/>
                <w:szCs w:val="24"/>
                <w:highlight w:val="none"/>
                <w:shd w:val="clear" w:color="auto" w:fill="FFFFFF"/>
                <w:lang w:val="en-US" w:eastAsia="zh-CN"/>
              </w:rPr>
              <w:t>高级工程师及</w:t>
            </w:r>
            <w:r>
              <w:rPr>
                <w:rFonts w:hint="eastAsia" w:ascii="宋体" w:hAnsi="宋体" w:eastAsia="宋体" w:cs="宋体"/>
                <w:b w:val="0"/>
                <w:bCs w:val="0"/>
                <w:i w:val="0"/>
                <w:iCs w:val="0"/>
                <w:color w:val="auto"/>
                <w:sz w:val="24"/>
                <w:szCs w:val="24"/>
                <w:highlight w:val="none"/>
                <w:shd w:val="clear" w:color="auto" w:fill="FFFFFF"/>
              </w:rPr>
              <w:t>以上职称</w:t>
            </w:r>
          </w:p>
        </w:tc>
      </w:tr>
      <w:tr w14:paraId="60B05B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EEC1B27">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5948F25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建筑专业技术人员</w:t>
            </w:r>
          </w:p>
        </w:tc>
        <w:tc>
          <w:tcPr>
            <w:tcW w:w="1681" w:type="dxa"/>
            <w:tcBorders>
              <w:top w:val="single" w:color="auto" w:sz="4" w:space="0"/>
              <w:left w:val="nil"/>
              <w:bottom w:val="single" w:color="auto" w:sz="4" w:space="0"/>
              <w:right w:val="single" w:color="auto" w:sz="4" w:space="0"/>
            </w:tcBorders>
            <w:vAlign w:val="center"/>
          </w:tcPr>
          <w:p w14:paraId="0DC24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A90FF62">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名取得一级注册建筑师证书</w:t>
            </w:r>
          </w:p>
        </w:tc>
      </w:tr>
      <w:tr w14:paraId="7F2CEA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347B7716">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3</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shd w:val="clear" w:color="auto" w:fill="auto"/>
            <w:vAlign w:val="center"/>
          </w:tcPr>
          <w:p w14:paraId="1F13B68D">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cs="宋体"/>
                <w:b w:val="0"/>
                <w:bCs w:val="0"/>
                <w:i w:val="0"/>
                <w:iCs w:val="0"/>
                <w:color w:val="auto"/>
                <w:sz w:val="24"/>
                <w:szCs w:val="24"/>
                <w:highlight w:val="none"/>
                <w:shd w:val="clear" w:color="auto" w:fill="FFFFFF"/>
                <w:lang w:eastAsia="zh-CN"/>
              </w:rPr>
              <w:t>结构</w:t>
            </w:r>
            <w:r>
              <w:rPr>
                <w:rFonts w:hint="eastAsia" w:ascii="宋体" w:hAnsi="宋体" w:eastAsia="宋体" w:cs="宋体"/>
                <w:b w:val="0"/>
                <w:bCs w:val="0"/>
                <w:i w:val="0"/>
                <w:iCs w:val="0"/>
                <w:color w:val="auto"/>
                <w:sz w:val="24"/>
                <w:szCs w:val="24"/>
                <w:highlight w:val="none"/>
                <w:shd w:val="clear" w:color="auto" w:fill="FFFFFF"/>
              </w:rPr>
              <w:t>专业技术人员</w:t>
            </w:r>
          </w:p>
        </w:tc>
        <w:tc>
          <w:tcPr>
            <w:tcW w:w="1681" w:type="dxa"/>
            <w:tcBorders>
              <w:top w:val="single" w:color="auto" w:sz="4" w:space="0"/>
              <w:left w:val="nil"/>
              <w:bottom w:val="single" w:color="auto" w:sz="4" w:space="0"/>
              <w:right w:val="single" w:color="auto" w:sz="4" w:space="0"/>
            </w:tcBorders>
            <w:shd w:val="clear" w:color="auto" w:fill="auto"/>
            <w:vAlign w:val="center"/>
          </w:tcPr>
          <w:p w14:paraId="5E0D7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shd w:val="clear" w:color="auto" w:fill="auto"/>
            <w:vAlign w:val="center"/>
          </w:tcPr>
          <w:p w14:paraId="70FF7E06">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名取得一级注册</w:t>
            </w:r>
            <w:r>
              <w:rPr>
                <w:rStyle w:val="20"/>
                <w:rFonts w:hint="eastAsia" w:ascii="宋体" w:hAnsi="宋体" w:eastAsia="宋体" w:cs="宋体"/>
                <w:b w:val="0"/>
                <w:bCs w:val="0"/>
                <w:color w:val="auto"/>
                <w:sz w:val="24"/>
                <w:szCs w:val="24"/>
                <w:highlight w:val="none"/>
                <w:lang w:val="en-US" w:eastAsia="zh-CN"/>
              </w:rPr>
              <w:t>结构师</w:t>
            </w:r>
            <w:r>
              <w:rPr>
                <w:rFonts w:hint="eastAsia" w:ascii="宋体" w:hAnsi="宋体" w:eastAsia="宋体" w:cs="宋体"/>
                <w:b w:val="0"/>
                <w:bCs w:val="0"/>
                <w:i w:val="0"/>
                <w:iCs w:val="0"/>
                <w:color w:val="auto"/>
                <w:sz w:val="24"/>
                <w:szCs w:val="24"/>
                <w:highlight w:val="none"/>
                <w:shd w:val="clear" w:color="auto" w:fill="FFFFFF"/>
              </w:rPr>
              <w:t>证书</w:t>
            </w:r>
          </w:p>
        </w:tc>
      </w:tr>
      <w:tr w14:paraId="77E77A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0AA718D3">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4</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0B838337">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暖通专业技术人员</w:t>
            </w:r>
          </w:p>
        </w:tc>
        <w:tc>
          <w:tcPr>
            <w:tcW w:w="1681" w:type="dxa"/>
            <w:tcBorders>
              <w:top w:val="single" w:color="auto" w:sz="4" w:space="0"/>
              <w:left w:val="nil"/>
              <w:bottom w:val="single" w:color="auto" w:sz="4" w:space="0"/>
              <w:right w:val="single" w:color="auto" w:sz="4" w:space="0"/>
            </w:tcBorders>
            <w:vAlign w:val="center"/>
          </w:tcPr>
          <w:p w14:paraId="2F0FC3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336905D2">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名取得注册公用设备工程师（暖通空调）证书</w:t>
            </w:r>
          </w:p>
        </w:tc>
      </w:tr>
      <w:tr w14:paraId="31E5F7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5A5B128F">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5</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0B7AF33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给排水专业技术人员</w:t>
            </w:r>
          </w:p>
        </w:tc>
        <w:tc>
          <w:tcPr>
            <w:tcW w:w="1681" w:type="dxa"/>
            <w:tcBorders>
              <w:top w:val="single" w:color="auto" w:sz="4" w:space="0"/>
              <w:left w:val="nil"/>
              <w:bottom w:val="single" w:color="auto" w:sz="4" w:space="0"/>
              <w:right w:val="single" w:color="auto" w:sz="4" w:space="0"/>
            </w:tcBorders>
            <w:vAlign w:val="center"/>
          </w:tcPr>
          <w:p w14:paraId="2CC67A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3EC3B7F1">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名取得注册公用设备工程师（给排水）证书</w:t>
            </w:r>
          </w:p>
        </w:tc>
      </w:tr>
      <w:tr w14:paraId="794CE3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430C7573">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6</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3639BF71">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电气专业技术人员</w:t>
            </w:r>
          </w:p>
        </w:tc>
        <w:tc>
          <w:tcPr>
            <w:tcW w:w="1681" w:type="dxa"/>
            <w:tcBorders>
              <w:top w:val="single" w:color="auto" w:sz="4" w:space="0"/>
              <w:left w:val="nil"/>
              <w:bottom w:val="single" w:color="auto" w:sz="4" w:space="0"/>
              <w:right w:val="single" w:color="auto" w:sz="4" w:space="0"/>
            </w:tcBorders>
            <w:vAlign w:val="center"/>
          </w:tcPr>
          <w:p w14:paraId="3D649C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260C90D">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名取得国家注册电气工程师证书</w:t>
            </w:r>
            <w:bookmarkStart w:id="10" w:name="_GoBack"/>
            <w:bookmarkEnd w:id="10"/>
          </w:p>
        </w:tc>
      </w:tr>
      <w:tr w14:paraId="12981F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2B07937">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7</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6ADF3916">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消防设施检测技术人员</w:t>
            </w:r>
          </w:p>
        </w:tc>
        <w:tc>
          <w:tcPr>
            <w:tcW w:w="1681" w:type="dxa"/>
            <w:tcBorders>
              <w:top w:val="single" w:color="auto" w:sz="4" w:space="0"/>
              <w:left w:val="nil"/>
              <w:bottom w:val="single" w:color="auto" w:sz="4" w:space="0"/>
              <w:right w:val="single" w:color="auto" w:sz="4" w:space="0"/>
            </w:tcBorders>
            <w:vAlign w:val="center"/>
          </w:tcPr>
          <w:p w14:paraId="37A6F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035EF5AD">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至少2名取得一级注册消防工程师资格证书</w:t>
            </w:r>
          </w:p>
        </w:tc>
      </w:tr>
      <w:tr w14:paraId="443A7F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0D428AB9">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lang w:eastAsia="zh-CN"/>
              </w:rPr>
            </w:pPr>
            <w:r>
              <w:rPr>
                <w:rFonts w:hint="eastAsia" w:ascii="宋体" w:hAnsi="宋体" w:cs="宋体"/>
                <w:b w:val="0"/>
                <w:bCs w:val="0"/>
                <w:i w:val="0"/>
                <w:iCs w:val="0"/>
                <w:color w:val="auto"/>
                <w:sz w:val="24"/>
                <w:szCs w:val="24"/>
                <w:highlight w:val="none"/>
                <w:shd w:val="clear" w:color="auto" w:fill="FFFFFF"/>
                <w:lang w:eastAsia="zh-CN"/>
              </w:rPr>
              <w:t>（</w:t>
            </w:r>
            <w:r>
              <w:rPr>
                <w:rFonts w:hint="eastAsia" w:ascii="宋体" w:hAnsi="宋体" w:cs="宋体"/>
                <w:b w:val="0"/>
                <w:bCs w:val="0"/>
                <w:i w:val="0"/>
                <w:iCs w:val="0"/>
                <w:color w:val="auto"/>
                <w:sz w:val="24"/>
                <w:szCs w:val="24"/>
                <w:highlight w:val="none"/>
                <w:shd w:val="clear" w:color="auto" w:fill="FFFFFF"/>
                <w:lang w:val="en-US" w:eastAsia="zh-CN"/>
              </w:rPr>
              <w:t>8</w:t>
            </w:r>
            <w:r>
              <w:rPr>
                <w:rFonts w:hint="eastAsia" w:ascii="宋体" w:hAnsi="宋体" w:cs="宋体"/>
                <w:b w:val="0"/>
                <w:bCs w:val="0"/>
                <w:i w:val="0"/>
                <w:iCs w:val="0"/>
                <w:color w:val="auto"/>
                <w:sz w:val="24"/>
                <w:szCs w:val="24"/>
                <w:highlight w:val="none"/>
                <w:shd w:val="clear" w:color="auto" w:fill="FFFFFF"/>
                <w:lang w:eastAsia="zh-CN"/>
              </w:rPr>
              <w:t>）</w:t>
            </w:r>
          </w:p>
        </w:tc>
        <w:tc>
          <w:tcPr>
            <w:tcW w:w="2612" w:type="dxa"/>
            <w:tcBorders>
              <w:top w:val="single" w:color="auto" w:sz="4" w:space="0"/>
              <w:left w:val="nil"/>
              <w:bottom w:val="single" w:color="auto" w:sz="4" w:space="0"/>
              <w:right w:val="single" w:color="auto" w:sz="4" w:space="0"/>
            </w:tcBorders>
            <w:vAlign w:val="center"/>
          </w:tcPr>
          <w:p w14:paraId="1632DC55">
            <w:pPr>
              <w:pStyle w:val="39"/>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资料员</w:t>
            </w:r>
          </w:p>
        </w:tc>
        <w:tc>
          <w:tcPr>
            <w:tcW w:w="1681" w:type="dxa"/>
            <w:tcBorders>
              <w:top w:val="single" w:color="auto" w:sz="4" w:space="0"/>
              <w:left w:val="nil"/>
              <w:bottom w:val="single" w:color="auto" w:sz="4" w:space="0"/>
              <w:right w:val="single" w:color="auto" w:sz="4" w:space="0"/>
            </w:tcBorders>
            <w:vAlign w:val="center"/>
          </w:tcPr>
          <w:p w14:paraId="3E634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716C0D0">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cs="宋体"/>
                <w:b w:val="0"/>
                <w:bCs w:val="0"/>
                <w:color w:val="auto"/>
                <w:sz w:val="24"/>
                <w:szCs w:val="24"/>
                <w:highlight w:val="none"/>
                <w:lang w:val="en-US" w:eastAsia="zh-CN"/>
              </w:rPr>
              <w:t>大专及以上学历</w:t>
            </w:r>
          </w:p>
        </w:tc>
      </w:tr>
      <w:tr w14:paraId="508DA0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jc w:val="center"/>
        </w:trPr>
        <w:tc>
          <w:tcPr>
            <w:tcW w:w="3451" w:type="dxa"/>
            <w:gridSpan w:val="2"/>
            <w:tcBorders>
              <w:top w:val="single" w:color="auto" w:sz="4" w:space="0"/>
              <w:left w:val="single" w:color="auto" w:sz="4" w:space="0"/>
              <w:bottom w:val="single" w:color="auto" w:sz="4" w:space="0"/>
              <w:right w:val="single" w:color="auto" w:sz="4" w:space="0"/>
            </w:tcBorders>
            <w:vAlign w:val="center"/>
          </w:tcPr>
          <w:p w14:paraId="4DBF1D8C">
            <w:pPr>
              <w:pStyle w:val="39"/>
              <w:spacing w:line="360" w:lineRule="auto"/>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合计</w:t>
            </w:r>
          </w:p>
        </w:tc>
        <w:tc>
          <w:tcPr>
            <w:tcW w:w="1681" w:type="dxa"/>
            <w:tcBorders>
              <w:top w:val="single" w:color="auto" w:sz="4" w:space="0"/>
              <w:left w:val="nil"/>
              <w:bottom w:val="single" w:color="auto" w:sz="4" w:space="0"/>
              <w:right w:val="single" w:color="auto" w:sz="4" w:space="0"/>
            </w:tcBorders>
            <w:vAlign w:val="center"/>
          </w:tcPr>
          <w:p w14:paraId="616928DC">
            <w:pPr>
              <w:pStyle w:val="39"/>
              <w:spacing w:line="360" w:lineRule="auto"/>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lang w:val="en-US" w:eastAsia="zh-CN"/>
              </w:rPr>
              <w:t>不少于</w:t>
            </w:r>
            <w:r>
              <w:rPr>
                <w:rFonts w:hint="eastAsia" w:ascii="宋体" w:hAnsi="宋体" w:cs="宋体"/>
                <w:b w:val="0"/>
                <w:bCs w:val="0"/>
                <w:i w:val="0"/>
                <w:iCs w:val="0"/>
                <w:color w:val="auto"/>
                <w:sz w:val="24"/>
                <w:szCs w:val="24"/>
                <w:highlight w:val="none"/>
                <w:shd w:val="clear" w:color="auto" w:fill="FFFFFF"/>
                <w:lang w:val="en-US" w:eastAsia="zh-CN"/>
              </w:rPr>
              <w:t>15</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23922D3F">
            <w:pPr>
              <w:pStyle w:val="40"/>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p>
        </w:tc>
      </w:tr>
    </w:tbl>
    <w:p w14:paraId="4CA48D39">
      <w:pPr>
        <w:spacing w:line="360" w:lineRule="auto"/>
        <w:rPr>
          <w:rFonts w:hint="eastAsia" w:ascii="宋体" w:hAnsi="宋体" w:eastAsia="宋体" w:cs="宋体"/>
          <w:b w:val="0"/>
          <w:bCs w:val="0"/>
          <w:color w:val="auto"/>
          <w:sz w:val="24"/>
          <w:szCs w:val="24"/>
          <w:highlight w:val="none"/>
        </w:rPr>
      </w:pPr>
    </w:p>
    <w:p w14:paraId="309C233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各类项目组成员应符合以下资</w:t>
      </w:r>
      <w:r>
        <w:rPr>
          <w:rFonts w:hint="eastAsia" w:ascii="宋体" w:hAnsi="宋体" w:eastAsia="宋体" w:cs="宋体"/>
          <w:b w:val="0"/>
          <w:bCs w:val="0"/>
          <w:color w:val="auto"/>
          <w:sz w:val="24"/>
          <w:szCs w:val="24"/>
          <w:highlight w:val="none"/>
          <w:lang w:val="en-US" w:eastAsia="zh-CN"/>
        </w:rPr>
        <w:t>格</w:t>
      </w:r>
      <w:r>
        <w:rPr>
          <w:rFonts w:hint="eastAsia" w:ascii="宋体" w:hAnsi="宋体" w:eastAsia="宋体" w:cs="宋体"/>
          <w:b w:val="0"/>
          <w:bCs w:val="0"/>
          <w:color w:val="auto"/>
          <w:sz w:val="24"/>
          <w:szCs w:val="24"/>
          <w:highlight w:val="none"/>
        </w:rPr>
        <w:t>要求：</w:t>
      </w:r>
    </w:p>
    <w:p w14:paraId="21F1379F">
      <w:pPr>
        <w:adjustRightInd/>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项目负责人</w:t>
      </w:r>
      <w:r>
        <w:rPr>
          <w:rFonts w:hint="eastAsia" w:ascii="宋体" w:hAnsi="宋体" w:eastAsia="宋体" w:cs="宋体"/>
          <w:b w:val="0"/>
          <w:bCs w:val="0"/>
          <w:color w:val="auto"/>
          <w:sz w:val="24"/>
          <w:szCs w:val="24"/>
          <w:highlight w:val="none"/>
          <w:lang w:val="en-US" w:eastAsia="zh-CN"/>
        </w:rPr>
        <w:t>应具有</w:t>
      </w:r>
      <w:r>
        <w:rPr>
          <w:rFonts w:hint="eastAsia" w:ascii="宋体" w:hAnsi="宋体" w:cs="宋体"/>
          <w:b w:val="0"/>
          <w:bCs w:val="0"/>
          <w:i w:val="0"/>
          <w:iCs w:val="0"/>
          <w:color w:val="auto"/>
          <w:sz w:val="24"/>
          <w:szCs w:val="24"/>
          <w:highlight w:val="none"/>
          <w:lang w:eastAsia="zh-CN"/>
        </w:rPr>
        <w:t>一级注册</w:t>
      </w:r>
      <w:r>
        <w:rPr>
          <w:rFonts w:hint="eastAsia" w:ascii="宋体" w:hAnsi="宋体" w:cs="宋体"/>
          <w:b w:val="0"/>
          <w:bCs w:val="0"/>
          <w:i w:val="0"/>
          <w:iCs w:val="0"/>
          <w:color w:val="auto"/>
          <w:sz w:val="24"/>
          <w:szCs w:val="24"/>
          <w:highlight w:val="none"/>
          <w:shd w:val="clear" w:color="auto" w:fill="FFFFFF"/>
          <w:lang w:eastAsia="zh-CN"/>
        </w:rPr>
        <w:t>建筑工</w:t>
      </w:r>
      <w:r>
        <w:rPr>
          <w:rFonts w:hint="eastAsia" w:ascii="宋体" w:hAnsi="宋体" w:cs="宋体"/>
          <w:b w:val="0"/>
          <w:bCs w:val="0"/>
          <w:i w:val="0"/>
          <w:iCs w:val="0"/>
          <w:color w:val="auto"/>
          <w:sz w:val="24"/>
          <w:szCs w:val="24"/>
          <w:highlight w:val="none"/>
          <w:lang w:eastAsia="zh-CN"/>
        </w:rPr>
        <w:t>程师</w:t>
      </w:r>
      <w:r>
        <w:rPr>
          <w:rFonts w:hint="eastAsia" w:ascii="宋体" w:hAnsi="宋体" w:cs="宋体"/>
          <w:b w:val="0"/>
          <w:bCs w:val="0"/>
          <w:i w:val="0"/>
          <w:iCs w:val="0"/>
          <w:color w:val="auto"/>
          <w:sz w:val="24"/>
          <w:szCs w:val="24"/>
          <w:highlight w:val="none"/>
          <w:lang w:val="en-US" w:eastAsia="zh-CN"/>
        </w:rPr>
        <w:t>资格</w:t>
      </w:r>
      <w:r>
        <w:rPr>
          <w:rFonts w:hint="eastAsia" w:ascii="宋体" w:hAnsi="宋体" w:cs="宋体"/>
          <w:b w:val="0"/>
          <w:bCs w:val="0"/>
          <w:i w:val="0"/>
          <w:iCs w:val="0"/>
          <w:color w:val="auto"/>
          <w:sz w:val="24"/>
          <w:szCs w:val="24"/>
          <w:highlight w:val="none"/>
          <w:lang w:eastAsia="zh-CN"/>
        </w:rPr>
        <w:t>证书</w:t>
      </w:r>
      <w:r>
        <w:rPr>
          <w:rFonts w:hint="eastAsia" w:ascii="宋体" w:hAnsi="宋体" w:cs="宋体"/>
          <w:b w:val="0"/>
          <w:bCs w:val="0"/>
          <w:i w:val="0"/>
          <w:iCs w:val="0"/>
          <w:color w:val="auto"/>
          <w:sz w:val="24"/>
          <w:szCs w:val="24"/>
          <w:highlight w:val="none"/>
          <w:lang w:val="en-US" w:eastAsia="zh-CN"/>
        </w:rPr>
        <w:t>和高级工程师及以上职称证书</w:t>
      </w:r>
      <w:r>
        <w:rPr>
          <w:rFonts w:hint="eastAsia" w:ascii="宋体" w:hAnsi="宋体" w:eastAsia="宋体" w:cs="宋体"/>
          <w:b w:val="0"/>
          <w:bCs w:val="0"/>
          <w:i w:val="0"/>
          <w:iCs w:val="0"/>
          <w:color w:val="auto"/>
          <w:sz w:val="24"/>
          <w:szCs w:val="24"/>
          <w:highlight w:val="none"/>
        </w:rPr>
        <w:t>，</w:t>
      </w:r>
      <w:r>
        <w:rPr>
          <w:rFonts w:hint="eastAsia" w:ascii="宋体" w:hAnsi="宋体" w:cs="宋体"/>
          <w:b w:val="0"/>
          <w:bCs w:val="0"/>
          <w:i w:val="0"/>
          <w:iCs w:val="0"/>
          <w:color w:val="auto"/>
          <w:sz w:val="24"/>
          <w:szCs w:val="24"/>
          <w:highlight w:val="none"/>
          <w:lang w:val="en-US" w:eastAsia="zh-CN"/>
        </w:rPr>
        <w:t>具有类似项目经验</w:t>
      </w:r>
      <w:r>
        <w:rPr>
          <w:rFonts w:hint="eastAsia" w:ascii="宋体" w:hAnsi="宋体" w:eastAsia="宋体" w:cs="宋体"/>
          <w:b w:val="0"/>
          <w:bCs w:val="0"/>
          <w:i w:val="0"/>
          <w:iCs w:val="0"/>
          <w:color w:val="auto"/>
          <w:sz w:val="24"/>
          <w:szCs w:val="24"/>
          <w:highlight w:val="none"/>
        </w:rPr>
        <w:t>10年及以上</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color w:val="auto"/>
          <w:sz w:val="24"/>
          <w:szCs w:val="24"/>
          <w:highlight w:val="none"/>
        </w:rPr>
        <w:t>年龄不超过60周岁（至投标截止之日）</w:t>
      </w:r>
      <w:r>
        <w:rPr>
          <w:rFonts w:hint="eastAsia" w:ascii="宋体" w:hAnsi="宋体" w:eastAsia="宋体" w:cs="宋体"/>
          <w:b w:val="0"/>
          <w:bCs w:val="0"/>
          <w:color w:val="auto"/>
          <w:sz w:val="24"/>
          <w:szCs w:val="24"/>
          <w:highlight w:val="none"/>
          <w:lang w:eastAsia="zh-CN"/>
        </w:rPr>
        <w:t>。</w:t>
      </w:r>
    </w:p>
    <w:p w14:paraId="2D098759">
      <w:pPr>
        <w:adjustRightInd/>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color w:val="auto"/>
          <w:sz w:val="24"/>
          <w:szCs w:val="24"/>
          <w:highlight w:val="none"/>
        </w:rPr>
        <w:t>2）建筑、</w:t>
      </w:r>
      <w:r>
        <w:rPr>
          <w:rFonts w:hint="eastAsia" w:ascii="宋体" w:hAnsi="宋体" w:cs="宋体"/>
          <w:b w:val="0"/>
          <w:bCs w:val="0"/>
          <w:color w:val="auto"/>
          <w:sz w:val="24"/>
          <w:szCs w:val="24"/>
          <w:highlight w:val="none"/>
          <w:lang w:eastAsia="zh-CN"/>
        </w:rPr>
        <w:t>结构、</w:t>
      </w:r>
      <w:r>
        <w:rPr>
          <w:rFonts w:hint="eastAsia" w:ascii="宋体" w:hAnsi="宋体" w:eastAsia="宋体" w:cs="宋体"/>
          <w:b w:val="0"/>
          <w:bCs w:val="0"/>
          <w:color w:val="auto"/>
          <w:sz w:val="24"/>
          <w:szCs w:val="24"/>
          <w:highlight w:val="none"/>
        </w:rPr>
        <w:t>暖通、电气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给排水专业技术人员</w:t>
      </w:r>
      <w:r>
        <w:rPr>
          <w:rFonts w:hint="eastAsia" w:ascii="宋体" w:hAnsi="宋体" w:eastAsia="宋体" w:cs="宋体"/>
          <w:b w:val="0"/>
          <w:bCs w:val="0"/>
          <w:i w:val="0"/>
          <w:iCs w:val="0"/>
          <w:color w:val="auto"/>
          <w:sz w:val="24"/>
          <w:szCs w:val="24"/>
          <w:highlight w:val="none"/>
          <w:lang w:val="en-US" w:eastAsia="zh-CN"/>
        </w:rPr>
        <w:t>具有相关</w:t>
      </w:r>
      <w:r>
        <w:rPr>
          <w:rFonts w:hint="eastAsia" w:ascii="宋体" w:hAnsi="宋体" w:cs="宋体"/>
          <w:b w:val="0"/>
          <w:bCs w:val="0"/>
          <w:i w:val="0"/>
          <w:iCs w:val="0"/>
          <w:color w:val="auto"/>
          <w:sz w:val="24"/>
          <w:szCs w:val="24"/>
          <w:highlight w:val="none"/>
          <w:lang w:val="en-US" w:eastAsia="zh-CN"/>
        </w:rPr>
        <w:t>类似项目</w:t>
      </w:r>
      <w:r>
        <w:rPr>
          <w:rFonts w:hint="eastAsia" w:ascii="宋体" w:hAnsi="宋体" w:eastAsia="宋体" w:cs="宋体"/>
          <w:b w:val="0"/>
          <w:bCs w:val="0"/>
          <w:i w:val="0"/>
          <w:iCs w:val="0"/>
          <w:color w:val="auto"/>
          <w:sz w:val="24"/>
          <w:szCs w:val="24"/>
          <w:highlight w:val="none"/>
        </w:rPr>
        <w:t>工作经验</w:t>
      </w:r>
      <w:r>
        <w:rPr>
          <w:rFonts w:hint="eastAsia" w:ascii="宋体" w:hAnsi="宋体" w:cs="宋体"/>
          <w:b w:val="0"/>
          <w:bCs w:val="0"/>
          <w:i w:val="0"/>
          <w:iCs w:val="0"/>
          <w:color w:val="auto"/>
          <w:sz w:val="24"/>
          <w:szCs w:val="24"/>
          <w:highlight w:val="none"/>
          <w:lang w:val="en-US" w:eastAsia="zh-CN"/>
        </w:rPr>
        <w:t>5年以上</w:t>
      </w:r>
      <w:r>
        <w:rPr>
          <w:rFonts w:hint="eastAsia" w:ascii="宋体" w:hAnsi="宋体" w:eastAsia="宋体" w:cs="宋体"/>
          <w:b w:val="0"/>
          <w:bCs w:val="0"/>
          <w:i w:val="0"/>
          <w:iCs w:val="0"/>
          <w:color w:val="auto"/>
          <w:sz w:val="24"/>
          <w:szCs w:val="24"/>
          <w:highlight w:val="none"/>
        </w:rPr>
        <w:t>且具有相应专业注册资格</w:t>
      </w:r>
      <w:r>
        <w:rPr>
          <w:rFonts w:hint="eastAsia" w:ascii="宋体" w:hAnsi="宋体" w:eastAsia="宋体" w:cs="宋体"/>
          <w:b w:val="0"/>
          <w:bCs w:val="0"/>
          <w:i w:val="0"/>
          <w:iCs w:val="0"/>
          <w:color w:val="auto"/>
          <w:sz w:val="24"/>
          <w:szCs w:val="24"/>
          <w:highlight w:val="none"/>
          <w:lang w:val="en-US" w:eastAsia="zh-CN"/>
        </w:rPr>
        <w:t>职业证书</w:t>
      </w:r>
      <w:r>
        <w:rPr>
          <w:rFonts w:hint="eastAsia" w:ascii="宋体" w:hAnsi="宋体" w:cs="宋体"/>
          <w:b w:val="0"/>
          <w:bCs w:val="0"/>
          <w:i w:val="0"/>
          <w:i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年龄不超过60周岁（至投标截止之日）</w:t>
      </w:r>
      <w:r>
        <w:rPr>
          <w:rFonts w:hint="eastAsia" w:ascii="宋体" w:hAnsi="宋体" w:eastAsia="宋体" w:cs="宋体"/>
          <w:b w:val="0"/>
          <w:bCs w:val="0"/>
          <w:i w:val="0"/>
          <w:iCs w:val="0"/>
          <w:color w:val="auto"/>
          <w:sz w:val="24"/>
          <w:szCs w:val="24"/>
          <w:highlight w:val="none"/>
        </w:rPr>
        <w:t>。</w:t>
      </w:r>
    </w:p>
    <w:p w14:paraId="57D1072E">
      <w:pPr>
        <w:adjustRightInd/>
        <w:snapToGrid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）消防设施检测技术人员应具有一级注册消防工程师资格证书</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且</w:t>
      </w:r>
      <w:r>
        <w:rPr>
          <w:rFonts w:hint="eastAsia" w:ascii="宋体" w:hAnsi="宋体" w:eastAsia="宋体" w:cs="宋体"/>
          <w:b w:val="0"/>
          <w:bCs w:val="0"/>
          <w:i w:val="0"/>
          <w:iCs w:val="0"/>
          <w:color w:val="auto"/>
          <w:sz w:val="24"/>
          <w:szCs w:val="24"/>
          <w:highlight w:val="none"/>
        </w:rPr>
        <w:t>从事消防设施检测5年及以上工作经验</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年龄不超过60周岁（至投标截止之日）。</w:t>
      </w:r>
    </w:p>
    <w:p w14:paraId="47EFF97D">
      <w:pPr>
        <w:pStyle w:val="2"/>
        <w:numPr>
          <w:ilvl w:val="0"/>
          <w:numId w:val="0"/>
        </w:numPr>
        <w:ind w:left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4）资料员</w:t>
      </w:r>
      <w:r>
        <w:rPr>
          <w:rFonts w:hint="eastAsia" w:ascii="宋体" w:hAnsi="宋体" w:eastAsia="宋体" w:cs="宋体"/>
          <w:b w:val="0"/>
          <w:bCs w:val="0"/>
          <w:color w:val="auto"/>
          <w:sz w:val="24"/>
          <w:szCs w:val="24"/>
          <w:highlight w:val="none"/>
        </w:rPr>
        <w:t>需</w:t>
      </w:r>
      <w:r>
        <w:rPr>
          <w:rFonts w:hint="eastAsia" w:ascii="宋体" w:hAnsi="宋体" w:eastAsia="宋体" w:cs="宋体"/>
          <w:b w:val="0"/>
          <w:bCs w:val="0"/>
          <w:color w:val="auto"/>
          <w:sz w:val="24"/>
          <w:szCs w:val="24"/>
          <w:highlight w:val="none"/>
          <w:lang w:val="en-US" w:eastAsia="zh-CN"/>
        </w:rPr>
        <w:t>对建设工程消防验收、备案（抽查）资料核查和档案整理有一定的工作能力。</w:t>
      </w:r>
    </w:p>
    <w:p w14:paraId="6ED11A4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4、服务人员变更要求：</w:t>
      </w:r>
    </w:p>
    <w:p w14:paraId="1E40536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服务人员未经采购人同意不得随意变更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如有特殊原因需要变更时，应报采购人备案，并经采购人审批同意后方可变更服务人员。</w:t>
      </w:r>
    </w:p>
    <w:p w14:paraId="1384EC6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采购人每月对服务人员的责任心、工作能力、合作性、廉洁性进行考核，如有考核不合格人员</w:t>
      </w:r>
      <w:r>
        <w:rPr>
          <w:rFonts w:hint="eastAsia" w:ascii="宋体" w:hAnsi="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立即更换，招标人不承担任何人员更换的额外费用，期间不合格服务人员的服务费用不予支付。</w:t>
      </w:r>
    </w:p>
    <w:p w14:paraId="184C42D3">
      <w:pPr>
        <w:pStyle w:val="6"/>
        <w:numPr>
          <w:ilvl w:val="0"/>
          <w:numId w:val="7"/>
        </w:numPr>
        <w:spacing w:line="360" w:lineRule="auto"/>
        <w:ind w:left="0" w:firstLine="480"/>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color w:val="auto"/>
          <w:sz w:val="24"/>
          <w:szCs w:val="24"/>
          <w:highlight w:val="none"/>
        </w:rPr>
        <w:t>服务内容：</w:t>
      </w:r>
      <w:r>
        <w:rPr>
          <w:rFonts w:hint="eastAsia" w:ascii="宋体" w:hAnsi="宋体" w:eastAsia="宋体" w:cs="宋体"/>
          <w:b w:val="0"/>
          <w:bCs w:val="0"/>
          <w:snapToGrid/>
          <w:color w:val="auto"/>
          <w:kern w:val="2"/>
          <w:sz w:val="24"/>
          <w:szCs w:val="24"/>
          <w:highlight w:val="none"/>
        </w:rPr>
        <w:t>供应商</w:t>
      </w:r>
      <w:r>
        <w:rPr>
          <w:rFonts w:hint="eastAsia" w:hAnsi="宋体" w:cs="宋体"/>
          <w:b w:val="0"/>
          <w:bCs w:val="0"/>
          <w:snapToGrid/>
          <w:color w:val="auto"/>
          <w:kern w:val="2"/>
          <w:sz w:val="24"/>
          <w:szCs w:val="24"/>
          <w:highlight w:val="none"/>
          <w:lang w:val="en-US" w:eastAsia="zh-CN"/>
        </w:rPr>
        <w:t>应</w:t>
      </w:r>
      <w:r>
        <w:rPr>
          <w:rFonts w:hint="eastAsia" w:ascii="宋体" w:hAnsi="宋体" w:eastAsia="宋体" w:cs="宋体"/>
          <w:b w:val="0"/>
          <w:bCs w:val="0"/>
          <w:snapToGrid/>
          <w:color w:val="auto"/>
          <w:kern w:val="2"/>
          <w:sz w:val="24"/>
          <w:szCs w:val="24"/>
          <w:highlight w:val="none"/>
        </w:rPr>
        <w:t>严格依据国家法律法规、国家工程建设消防技术标准和省、市有关规定、</w:t>
      </w:r>
      <w:r>
        <w:rPr>
          <w:rFonts w:hint="eastAsia" w:ascii="宋体" w:hAnsi="宋体" w:eastAsia="宋体" w:cs="宋体"/>
          <w:b w:val="0"/>
          <w:bCs w:val="0"/>
          <w:color w:val="auto"/>
          <w:sz w:val="24"/>
          <w:szCs w:val="24"/>
          <w:highlight w:val="none"/>
        </w:rPr>
        <w:t>涉及消防的建设工程竣工图纸、消防设计审查意见，</w:t>
      </w:r>
      <w:r>
        <w:rPr>
          <w:rFonts w:hint="eastAsia" w:ascii="宋体" w:hAnsi="宋体" w:eastAsia="宋体" w:cs="宋体"/>
          <w:b w:val="0"/>
          <w:bCs w:val="0"/>
          <w:snapToGrid/>
          <w:color w:val="auto"/>
          <w:kern w:val="2"/>
          <w:sz w:val="24"/>
          <w:szCs w:val="24"/>
          <w:highlight w:val="none"/>
        </w:rPr>
        <w:t>开展消防验收</w:t>
      </w:r>
      <w:r>
        <w:rPr>
          <w:rFonts w:hint="eastAsia" w:ascii="宋体" w:hAnsi="宋体" w:eastAsia="宋体" w:cs="宋体"/>
          <w:b w:val="0"/>
          <w:bCs w:val="0"/>
          <w:snapToGrid/>
          <w:color w:val="auto"/>
          <w:kern w:val="2"/>
          <w:sz w:val="24"/>
          <w:szCs w:val="24"/>
          <w:highlight w:val="none"/>
          <w:lang w:eastAsia="zh-CN"/>
        </w:rPr>
        <w:t>、备案（抽查）</w:t>
      </w:r>
      <w:r>
        <w:rPr>
          <w:rFonts w:hint="eastAsia" w:ascii="宋体" w:hAnsi="宋体" w:eastAsia="宋体" w:cs="宋体"/>
          <w:b w:val="0"/>
          <w:bCs w:val="0"/>
          <w:snapToGrid/>
          <w:color w:val="auto"/>
          <w:kern w:val="2"/>
          <w:sz w:val="24"/>
          <w:szCs w:val="24"/>
          <w:highlight w:val="none"/>
        </w:rPr>
        <w:t>技术服务工作（含备案未抽中项目），图纸及资料核查服务</w:t>
      </w:r>
      <w:r>
        <w:rPr>
          <w:rFonts w:hint="eastAsia" w:ascii="宋体" w:hAnsi="宋体" w:eastAsia="宋体" w:cs="宋体"/>
          <w:b w:val="0"/>
          <w:bCs w:val="0"/>
          <w:color w:val="auto"/>
          <w:spacing w:val="-1"/>
          <w:sz w:val="24"/>
          <w:szCs w:val="24"/>
          <w:highlight w:val="none"/>
        </w:rPr>
        <w:t>、整改监督</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z w:val="24"/>
          <w:szCs w:val="24"/>
          <w:highlight w:val="none"/>
        </w:rPr>
        <w:t>现场评定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pacing w:val="-1"/>
          <w:sz w:val="24"/>
          <w:szCs w:val="24"/>
          <w:highlight w:val="none"/>
        </w:rPr>
        <w:t>档案整理</w:t>
      </w:r>
      <w:r>
        <w:rPr>
          <w:rFonts w:hint="eastAsia" w:ascii="宋体" w:hAnsi="宋体" w:eastAsia="宋体" w:cs="宋体"/>
          <w:b w:val="0"/>
          <w:bCs w:val="0"/>
          <w:color w:val="auto"/>
          <w:spacing w:val="-1"/>
          <w:sz w:val="24"/>
          <w:szCs w:val="24"/>
          <w:highlight w:val="none"/>
          <w:lang w:val="en-US" w:eastAsia="zh-CN"/>
        </w:rPr>
        <w:t>和信访处理</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val="en-US" w:eastAsia="zh-CN"/>
        </w:rPr>
        <w:t>消防服务</w:t>
      </w:r>
      <w:r>
        <w:rPr>
          <w:rFonts w:hint="eastAsia" w:ascii="宋体" w:hAnsi="宋体" w:eastAsia="宋体" w:cs="宋体"/>
          <w:b w:val="0"/>
          <w:bCs w:val="0"/>
          <w:color w:val="auto"/>
          <w:sz w:val="24"/>
          <w:szCs w:val="24"/>
          <w:highlight w:val="none"/>
        </w:rPr>
        <w:t>工作，及时出具</w:t>
      </w:r>
      <w:r>
        <w:rPr>
          <w:rFonts w:hint="eastAsia" w:ascii="宋体" w:hAnsi="宋体" w:eastAsia="宋体" w:cs="宋体"/>
          <w:b w:val="0"/>
          <w:bCs w:val="0"/>
          <w:color w:val="auto"/>
          <w:sz w:val="24"/>
          <w:szCs w:val="24"/>
          <w:highlight w:val="none"/>
          <w:lang w:val="en-US" w:eastAsia="zh-CN"/>
        </w:rPr>
        <w:t>消防</w:t>
      </w:r>
      <w:r>
        <w:rPr>
          <w:rFonts w:hint="eastAsia" w:ascii="宋体" w:hAnsi="宋体" w:eastAsia="宋体" w:cs="宋体"/>
          <w:b w:val="0"/>
          <w:bCs w:val="0"/>
          <w:color w:val="auto"/>
          <w:sz w:val="24"/>
          <w:szCs w:val="24"/>
          <w:highlight w:val="none"/>
        </w:rPr>
        <w:t>意见或报</w:t>
      </w:r>
      <w:r>
        <w:rPr>
          <w:rFonts w:hint="eastAsia" w:ascii="宋体" w:hAnsi="宋体" w:eastAsia="宋体" w:cs="宋体"/>
          <w:b w:val="0"/>
          <w:bCs w:val="0"/>
          <w:color w:val="auto"/>
          <w:spacing w:val="1"/>
          <w:sz w:val="24"/>
          <w:szCs w:val="24"/>
          <w:highlight w:val="none"/>
        </w:rPr>
        <w:t>告，并对出具的</w:t>
      </w:r>
      <w:r>
        <w:rPr>
          <w:rFonts w:hint="eastAsia" w:ascii="宋体" w:hAnsi="宋体" w:eastAsia="宋体" w:cs="宋体"/>
          <w:b w:val="0"/>
          <w:bCs w:val="0"/>
          <w:color w:val="auto"/>
          <w:spacing w:val="1"/>
          <w:sz w:val="24"/>
          <w:szCs w:val="24"/>
          <w:highlight w:val="none"/>
          <w:lang w:val="en-US" w:eastAsia="zh-CN"/>
        </w:rPr>
        <w:t>消防</w:t>
      </w:r>
      <w:r>
        <w:rPr>
          <w:rFonts w:hint="eastAsia" w:ascii="宋体" w:hAnsi="宋体" w:eastAsia="宋体" w:cs="宋体"/>
          <w:b w:val="0"/>
          <w:bCs w:val="0"/>
          <w:color w:val="auto"/>
          <w:spacing w:val="1"/>
          <w:sz w:val="24"/>
          <w:szCs w:val="24"/>
          <w:highlight w:val="none"/>
        </w:rPr>
        <w:t>意见或报告负</w:t>
      </w:r>
      <w:r>
        <w:rPr>
          <w:rFonts w:hint="eastAsia" w:ascii="宋体" w:hAnsi="宋体" w:eastAsia="宋体" w:cs="宋体"/>
          <w:b w:val="0"/>
          <w:bCs w:val="0"/>
          <w:color w:val="auto"/>
          <w:spacing w:val="-1"/>
          <w:sz w:val="24"/>
          <w:szCs w:val="24"/>
          <w:highlight w:val="none"/>
        </w:rPr>
        <w:t>责</w:t>
      </w:r>
      <w:r>
        <w:rPr>
          <w:rFonts w:hint="eastAsia" w:hAnsi="宋体" w:cs="宋体"/>
          <w:b w:val="0"/>
          <w:bCs w:val="0"/>
          <w:color w:val="auto"/>
          <w:spacing w:val="-1"/>
          <w:sz w:val="24"/>
          <w:szCs w:val="24"/>
          <w:highlight w:val="none"/>
          <w:lang w:eastAsia="zh-CN"/>
        </w:rPr>
        <w:t>，；需协助采购人完成信访工作及其他交办的事宜。</w:t>
      </w:r>
    </w:p>
    <w:p w14:paraId="0DA7603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服务的具体内容包括但不限于以下内容：</w:t>
      </w:r>
    </w:p>
    <w:p w14:paraId="5E6C649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5.1图纸及资料核查服务</w:t>
      </w:r>
    </w:p>
    <w:p w14:paraId="3A125F4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（1）核查涉及消防的建设工程竣工图纸与经审查合格的消防设计文件相符情况。</w:t>
      </w:r>
    </w:p>
    <w:p w14:paraId="4F63524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（2）核查消防验收报验材料是否齐全完整，真实合法。</w:t>
      </w:r>
    </w:p>
    <w:p w14:paraId="0DF2008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5.2现场评定服务</w:t>
      </w:r>
    </w:p>
    <w:p w14:paraId="422883A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现场评定具体项目包括：</w:t>
      </w:r>
    </w:p>
    <w:p w14:paraId="0527E959">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建筑类别与耐火等级；</w:t>
      </w:r>
    </w:p>
    <w:p w14:paraId="0D558981">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总平面布局，包括防火间距、消防车道、消防车登高面、消防车登高操作场地等项目；</w:t>
      </w:r>
    </w:p>
    <w:p w14:paraId="2AEAE35C">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2A2D8B41">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建筑外墙、屋面保温和建筑外墙装饰；</w:t>
      </w:r>
    </w:p>
    <w:p w14:paraId="775CDCF2">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7EB5B0CE">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防火分隔，包括防火分区，防火墙，防火门、窗，竖向管道井、其他有防火分隔要求的部位等项目；</w:t>
      </w:r>
    </w:p>
    <w:p w14:paraId="629F2615">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防爆，包括泄压设施，以及防静电、防积聚、防流散等措施；</w:t>
      </w:r>
    </w:p>
    <w:p w14:paraId="521D5B7B">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安全疏散，包括安全出口、疏散门、疏散走道、避难层(间)、消防应急照明和疏散指示标志等项目；</w:t>
      </w:r>
    </w:p>
    <w:p w14:paraId="4687E597">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消防电梯；</w:t>
      </w:r>
    </w:p>
    <w:p w14:paraId="5D4ADEF6">
      <w:pPr>
        <w:numPr>
          <w:ilvl w:val="0"/>
          <w:numId w:val="8"/>
        </w:numPr>
        <w:spacing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消火栓系统，包括供水水源、消防水池、消防水泵、官网、室内外消火栓、系统功能等项目；</w:t>
      </w:r>
    </w:p>
    <w:p w14:paraId="69FC1BF8">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自动喷水灭火系统，包括供水水源、消防水池、消防水泵、报警阀组、喷头、系统功能等项目；</w:t>
      </w:r>
    </w:p>
    <w:p w14:paraId="53660DAC">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火灾自动报警系统，包括系统形式、火灾探测器的报警功能、系统功能、以及火灾报警控制器、联动设备和消防控制室图形显示装置等项目；</w:t>
      </w:r>
    </w:p>
    <w:p w14:paraId="51F46A5E">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防烟排烟系统及通风、空调系统防火，包括系统设置、排烟风机、管道、系统功能等项目；</w:t>
      </w:r>
    </w:p>
    <w:p w14:paraId="4B586A22">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消防电气，包括消防电源、柴油发电机房、变配电房、消防配电、用电设施等项目；</w:t>
      </w:r>
    </w:p>
    <w:p w14:paraId="36F432C7">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建筑灭火器，包括种类、数量、配置、布置等项目；</w:t>
      </w:r>
    </w:p>
    <w:p w14:paraId="4B48F9E7">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泡沫灭火系统，包括泡沫灭火系统防护区、以及泡沫比例混合、泡沫发生装置等项目；</w:t>
      </w:r>
    </w:p>
    <w:p w14:paraId="33DB10BC">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气体灭火系统的系统功能；</w:t>
      </w:r>
    </w:p>
    <w:p w14:paraId="08EB4F27">
      <w:pPr>
        <w:numPr>
          <w:ilvl w:val="0"/>
          <w:numId w:val="8"/>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其他国家工程建设消防技术标准强制性条文规定的项目，以及带有“严禁”、“必须”、“应”、“不应”、“不得”要求的非强制性条文规定的项目。</w:t>
      </w:r>
    </w:p>
    <w:p w14:paraId="3C5A582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5.2.2抽样要求</w:t>
      </w:r>
    </w:p>
    <w:p w14:paraId="03133A0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现场抽样查看、测量、设施及系统功能测试应符合下列要求：</w:t>
      </w:r>
    </w:p>
    <w:p w14:paraId="31893D1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（1）每一项目的抽样数量不少于2处，当总数不大于2处时，全部检查；</w:t>
      </w:r>
    </w:p>
    <w:p w14:paraId="760B617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（2）防火间距、消防车登高操作场地、消防车道的设置及安全出口的形式和数量应全部检查。</w:t>
      </w:r>
    </w:p>
    <w:p w14:paraId="535E7DC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5.2.3现场评定结论</w:t>
      </w:r>
    </w:p>
    <w:p w14:paraId="3760526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消防验收现场评定符合下列条件的，结论为合格；不符合下列任意一项的，结论为不合格：</w:t>
      </w:r>
    </w:p>
    <w:p w14:paraId="0F5875D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（1）现场评定内容符合经消防设计审查合格的消防设计文件； </w:t>
      </w:r>
    </w:p>
    <w:p w14:paraId="0498684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（2）现场评定内容符合国家工程建设消防技术标准强制性条文规定的要求；</w:t>
      </w:r>
    </w:p>
    <w:p w14:paraId="42957D7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0FCFA07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（4）现场评定内容为消防设施性能的，满足设计文件要求并能正常实现；</w:t>
      </w:r>
    </w:p>
    <w:p w14:paraId="140C75F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（5）现场评定内容为系统功能的，系统主要功能满足设计文件要求并能正常实现。</w:t>
      </w:r>
    </w:p>
    <w:p w14:paraId="785D542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5.3整改监督服务</w:t>
      </w:r>
    </w:p>
    <w:p w14:paraId="7111A3F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（1）负责对项目存在的消防验收问题提出整改要求及指导意见服务。</w:t>
      </w:r>
    </w:p>
    <w:p w14:paraId="428618F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（2）负责对经办不合格项目的消防复验工作，直至项目消防验收合格。</w:t>
      </w:r>
    </w:p>
    <w:p w14:paraId="7C69111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5.4协助采购人进行档案整理</w:t>
      </w:r>
    </w:p>
    <w:p w14:paraId="144B9EE0">
      <w:pPr>
        <w:pStyle w:val="18"/>
        <w:spacing w:after="0"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提供建设工程消防验收第三方服务人员应当协助采购人及时对所承办的消防验收的相关资料进行收集、整理，及时按照归档内容及装订顺序立卷存放，确保案卷材料齐全完整、真实合法。</w:t>
      </w:r>
    </w:p>
    <w:p w14:paraId="408FA357">
      <w:pPr>
        <w:pStyle w:val="18"/>
        <w:spacing w:after="0" w:line="360" w:lineRule="auto"/>
        <w:ind w:left="0" w:leftChars="0"/>
        <w:rPr>
          <w:rFonts w:hint="default" w:ascii="宋体" w:hAnsi="宋体" w:cs="宋体" w:eastAsiaTheme="minorEastAsia"/>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5.5</w:t>
      </w:r>
      <w:r>
        <w:rPr>
          <w:rFonts w:hint="eastAsia"/>
          <w:highlight w:val="none"/>
          <w:lang w:val="en-US" w:eastAsia="zh-CN"/>
        </w:rPr>
        <w:t>供应商需协助采购人完成信访工作及其他交办的事宜。</w:t>
      </w:r>
    </w:p>
    <w:p w14:paraId="574ABE60">
      <w:pPr>
        <w:pStyle w:val="18"/>
        <w:spacing w:line="360" w:lineRule="auto"/>
        <w:ind w:left="0" w:leftChars="0"/>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、其他</w:t>
      </w:r>
    </w:p>
    <w:p w14:paraId="6D1B6835">
      <w:pPr>
        <w:pStyle w:val="18"/>
        <w:spacing w:after="0"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在供应商服务期内，若国家、省、市有关部门出台建设工程消防验收有关的新政策、新规定、新要求等，应按相关规定提供服务，总价不作调整。</w:t>
      </w:r>
    </w:p>
    <w:p w14:paraId="6348DFEA">
      <w:pPr>
        <w:spacing w:before="120" w:beforeLines="50"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、服务质量要求</w:t>
      </w:r>
    </w:p>
    <w:p w14:paraId="2803DDE0">
      <w:pPr>
        <w:pStyle w:val="6"/>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供应商严格依据建设工程法律法规、国家工程建设消防技术标准、《建设工程消防设计审查验收管理暂行规定》（住建部令第5</w:t>
      </w:r>
      <w:r>
        <w:rPr>
          <w:rFonts w:hint="eastAsia"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号）和国家、省、市有关规定和实施细、涉及消防的建设工程竣工图纸、消防设计审查意见，</w:t>
      </w:r>
      <w:r>
        <w:rPr>
          <w:rFonts w:hint="eastAsia" w:ascii="宋体" w:hAnsi="宋体" w:eastAsia="宋体" w:cs="宋体"/>
          <w:b w:val="0"/>
          <w:bCs w:val="0"/>
          <w:snapToGrid/>
          <w:color w:val="auto"/>
          <w:kern w:val="2"/>
          <w:sz w:val="24"/>
          <w:szCs w:val="24"/>
          <w:highlight w:val="none"/>
        </w:rPr>
        <w:t>开展</w:t>
      </w:r>
      <w:r>
        <w:rPr>
          <w:rFonts w:hint="eastAsia" w:ascii="宋体" w:hAnsi="宋体" w:eastAsia="宋体" w:cs="宋体"/>
          <w:b w:val="0"/>
          <w:bCs w:val="0"/>
          <w:color w:val="auto"/>
          <w:sz w:val="24"/>
          <w:szCs w:val="24"/>
          <w:highlight w:val="none"/>
        </w:rPr>
        <w:t>建设阶段性</w:t>
      </w:r>
      <w:r>
        <w:rPr>
          <w:rFonts w:hint="eastAsia" w:ascii="宋体" w:hAnsi="宋体" w:eastAsia="宋体" w:cs="宋体"/>
          <w:b w:val="0"/>
          <w:bCs w:val="0"/>
          <w:snapToGrid/>
          <w:color w:val="auto"/>
          <w:kern w:val="2"/>
          <w:sz w:val="24"/>
          <w:szCs w:val="24"/>
          <w:highlight w:val="none"/>
        </w:rPr>
        <w:t>消防验收</w:t>
      </w:r>
      <w:r>
        <w:rPr>
          <w:rFonts w:hint="eastAsia" w:ascii="宋体" w:hAnsi="宋体" w:eastAsia="宋体" w:cs="宋体"/>
          <w:b w:val="0"/>
          <w:bCs w:val="0"/>
          <w:snapToGrid/>
          <w:color w:val="auto"/>
          <w:kern w:val="2"/>
          <w:sz w:val="24"/>
          <w:szCs w:val="24"/>
          <w:highlight w:val="none"/>
          <w:lang w:eastAsia="zh-CN"/>
        </w:rPr>
        <w:t>、备案（抽查）</w:t>
      </w:r>
      <w:r>
        <w:rPr>
          <w:rFonts w:hint="eastAsia" w:ascii="宋体" w:hAnsi="宋体" w:eastAsia="宋体" w:cs="宋体"/>
          <w:b w:val="0"/>
          <w:bCs w:val="0"/>
          <w:snapToGrid/>
          <w:color w:val="auto"/>
          <w:kern w:val="2"/>
          <w:sz w:val="24"/>
          <w:szCs w:val="24"/>
          <w:highlight w:val="none"/>
        </w:rPr>
        <w:t>技术服务工作（含备案未抽中项目），图纸及资料核查服务</w:t>
      </w:r>
      <w:r>
        <w:rPr>
          <w:rFonts w:hint="eastAsia" w:ascii="宋体" w:hAnsi="宋体" w:eastAsia="宋体" w:cs="宋体"/>
          <w:b w:val="0"/>
          <w:bCs w:val="0"/>
          <w:color w:val="auto"/>
          <w:spacing w:val="-1"/>
          <w:sz w:val="24"/>
          <w:szCs w:val="24"/>
          <w:highlight w:val="none"/>
        </w:rPr>
        <w:t>、整改监督</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z w:val="24"/>
          <w:szCs w:val="24"/>
          <w:highlight w:val="none"/>
        </w:rPr>
        <w:t>现场评定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pacing w:val="-1"/>
          <w:sz w:val="24"/>
          <w:szCs w:val="24"/>
          <w:highlight w:val="none"/>
        </w:rPr>
        <w:t>档案整理</w:t>
      </w:r>
      <w:r>
        <w:rPr>
          <w:rFonts w:hint="eastAsia" w:ascii="宋体" w:hAnsi="宋体" w:eastAsia="宋体" w:cs="宋体"/>
          <w:b w:val="0"/>
          <w:bCs w:val="0"/>
          <w:color w:val="auto"/>
          <w:spacing w:val="-1"/>
          <w:sz w:val="24"/>
          <w:szCs w:val="24"/>
          <w:highlight w:val="none"/>
          <w:lang w:val="en-US" w:eastAsia="zh-CN"/>
        </w:rPr>
        <w:t>和信访处理</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val="en-US" w:eastAsia="zh-CN"/>
        </w:rPr>
        <w:t>消防服务</w:t>
      </w:r>
      <w:r>
        <w:rPr>
          <w:rFonts w:hint="eastAsia" w:ascii="宋体" w:hAnsi="宋体" w:eastAsia="宋体" w:cs="宋体"/>
          <w:b w:val="0"/>
          <w:bCs w:val="0"/>
          <w:color w:val="auto"/>
          <w:sz w:val="24"/>
          <w:szCs w:val="24"/>
          <w:highlight w:val="none"/>
        </w:rPr>
        <w:t>工作，现场评定意见或报告应及时反馈，结论应清晰、明确，并对提供的意见或报告负责，提供的意见或报告须</w:t>
      </w:r>
      <w:r>
        <w:rPr>
          <w:rFonts w:hint="eastAsia" w:ascii="宋体" w:hAnsi="宋体" w:eastAsia="宋体" w:cs="宋体"/>
          <w:b w:val="0"/>
          <w:bCs w:val="0"/>
          <w:color w:val="auto"/>
          <w:sz w:val="24"/>
          <w:szCs w:val="24"/>
          <w:highlight w:val="none"/>
          <w:lang w:val="en-US" w:eastAsia="zh-CN"/>
        </w:rPr>
        <w:t>经</w:t>
      </w:r>
      <w:r>
        <w:rPr>
          <w:rFonts w:hint="eastAsia" w:ascii="宋体" w:hAnsi="宋体" w:eastAsia="宋体" w:cs="宋体"/>
          <w:b w:val="0"/>
          <w:bCs w:val="0"/>
          <w:color w:val="auto"/>
          <w:sz w:val="24"/>
          <w:szCs w:val="24"/>
          <w:highlight w:val="none"/>
        </w:rPr>
        <w:t>项目负责人</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各专业技术人员签字，</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盖章确认（若存在分包，分包部分需供应商及分包单位同时盖章确认）。</w:t>
      </w:r>
    </w:p>
    <w:p w14:paraId="2ECA82E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Hans"/>
        </w:rPr>
        <w:t>、报价要求</w:t>
      </w:r>
    </w:p>
    <w:p w14:paraId="5610D2D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1、所有检测设备均由投标人自行提供，相关费用包含在投标报价中。</w:t>
      </w:r>
    </w:p>
    <w:p w14:paraId="069185E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2、报价要求：本项目按</w:t>
      </w:r>
      <w:r>
        <w:rPr>
          <w:rFonts w:hint="eastAsia" w:ascii="宋体" w:hAnsi="宋体" w:eastAsia="宋体" w:cs="宋体"/>
          <w:b w:val="0"/>
          <w:bCs w:val="0"/>
          <w:color w:val="auto"/>
          <w:sz w:val="24"/>
          <w:szCs w:val="24"/>
          <w:highlight w:val="none"/>
          <w:lang w:val="zh-CN"/>
        </w:rPr>
        <w:t>按</w:t>
      </w:r>
      <w:r>
        <w:rPr>
          <w:rFonts w:hint="eastAsia" w:ascii="宋体" w:hAnsi="宋体" w:eastAsia="宋体" w:cs="宋体"/>
          <w:b w:val="0"/>
          <w:bCs w:val="0"/>
          <w:color w:val="auto"/>
          <w:sz w:val="24"/>
          <w:szCs w:val="24"/>
          <w:highlight w:val="none"/>
          <w:lang w:val="en-US" w:eastAsia="zh-CN"/>
        </w:rPr>
        <w:t>固定单价</w:t>
      </w:r>
      <w:r>
        <w:rPr>
          <w:rFonts w:hint="eastAsia" w:ascii="宋体" w:hAnsi="宋体" w:cs="宋体"/>
          <w:b w:val="0"/>
          <w:bCs w:val="0"/>
          <w:color w:val="auto"/>
          <w:sz w:val="24"/>
          <w:szCs w:val="24"/>
          <w:highlight w:val="none"/>
          <w:lang w:val="en-US" w:eastAsia="zh-CN"/>
        </w:rPr>
        <w:t>包干的方式报价</w:t>
      </w:r>
      <w:r>
        <w:rPr>
          <w:rFonts w:hint="eastAsia" w:ascii="宋体" w:hAnsi="宋体" w:eastAsia="宋体" w:cs="宋体"/>
          <w:b w:val="0"/>
          <w:bCs w:val="0"/>
          <w:color w:val="auto"/>
          <w:sz w:val="24"/>
          <w:szCs w:val="24"/>
          <w:highlight w:val="none"/>
        </w:rPr>
        <w:t>，需验收面积以实际情况为准，采购人可根据项目实际情况对项目验收内容进行合理调整，供应商须积极配合，报价中供应商须考虑调整后的各种可能出现的风险且报价须包括与本项目实施有关的各种费用。</w:t>
      </w:r>
    </w:p>
    <w:p w14:paraId="5BF1FB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六、采购控制价</w:t>
      </w:r>
    </w:p>
    <w:p w14:paraId="24528B82">
      <w:pPr>
        <w:pStyle w:val="16"/>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1、采用固定单价包干的方式，</w:t>
      </w:r>
      <w:r>
        <w:rPr>
          <w:rFonts w:hint="eastAsia" w:cs="宋体"/>
          <w:b w:val="0"/>
          <w:bCs w:val="0"/>
          <w:color w:val="auto"/>
          <w:kern w:val="2"/>
          <w:sz w:val="24"/>
          <w:szCs w:val="24"/>
          <w:highlight w:val="none"/>
          <w:lang w:val="en-US" w:eastAsia="zh-CN" w:bidi="ar"/>
        </w:rPr>
        <w:t>本项目</w:t>
      </w:r>
      <w:r>
        <w:rPr>
          <w:rFonts w:hint="eastAsia" w:ascii="宋体" w:hAnsi="宋体" w:eastAsia="宋体" w:cs="宋体"/>
          <w:b w:val="0"/>
          <w:bCs w:val="0"/>
          <w:color w:val="auto"/>
          <w:kern w:val="2"/>
          <w:sz w:val="24"/>
          <w:szCs w:val="24"/>
          <w:highlight w:val="none"/>
          <w:lang w:val="en-US" w:eastAsia="zh-CN" w:bidi="ar"/>
        </w:rPr>
        <w:t>的特殊建设工程项目最高限价为</w:t>
      </w:r>
      <w:r>
        <w:rPr>
          <w:rFonts w:hint="eastAsia"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.0元/平方米，其他建设工程项目最高限价为2.0元/平方米。同时单个项目最高服务价格定为300000元/个项目，最低服务价格定为3000元/个项目。</w:t>
      </w:r>
    </w:p>
    <w:p w14:paraId="7B26B918">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2、关于结算。</w:t>
      </w:r>
    </w:p>
    <w:p w14:paraId="322DD746">
      <w:pPr>
        <w:pStyle w:val="16"/>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val="0"/>
          <w:strike w:val="0"/>
          <w:dstrike w:val="0"/>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eastAsia="宋体" w:cs="宋体"/>
          <w:b w:val="0"/>
          <w:bCs w:val="0"/>
          <w:strike w:val="0"/>
          <w:dstrike w:val="0"/>
          <w:color w:val="auto"/>
          <w:kern w:val="2"/>
          <w:sz w:val="24"/>
          <w:szCs w:val="24"/>
          <w:highlight w:val="none"/>
          <w:lang w:val="en-US" w:eastAsia="zh-CN" w:bidi="ar"/>
        </w:rPr>
        <w:t>在服务期内，</w:t>
      </w:r>
      <w:r>
        <w:rPr>
          <w:rFonts w:hint="eastAsia" w:cs="宋体"/>
          <w:b w:val="0"/>
          <w:bCs w:val="0"/>
          <w:strike w:val="0"/>
          <w:dstrike w:val="0"/>
          <w:color w:val="auto"/>
          <w:kern w:val="2"/>
          <w:sz w:val="24"/>
          <w:szCs w:val="24"/>
          <w:highlight w:val="none"/>
          <w:lang w:val="en-US" w:eastAsia="zh-CN" w:bidi="ar"/>
        </w:rPr>
        <w:t>入围供应商</w:t>
      </w:r>
      <w:r>
        <w:rPr>
          <w:rFonts w:hint="eastAsia" w:ascii="宋体" w:hAnsi="宋体" w:eastAsia="宋体" w:cs="宋体"/>
          <w:b w:val="0"/>
          <w:bCs w:val="0"/>
          <w:strike w:val="0"/>
          <w:dstrike w:val="0"/>
          <w:color w:val="auto"/>
          <w:kern w:val="2"/>
          <w:sz w:val="24"/>
          <w:szCs w:val="24"/>
          <w:highlight w:val="none"/>
          <w:lang w:val="en-US" w:eastAsia="zh-CN" w:bidi="ar"/>
        </w:rPr>
        <w:t>根据项目完成的服务内容及数量，按实结算。如按实结算金额超出本次预算金额时，采用总价包干，采购人实际最多按项目预</w:t>
      </w:r>
      <w:r>
        <w:rPr>
          <w:rFonts w:hint="eastAsia" w:ascii="宋体" w:hAnsi="宋体" w:eastAsia="宋体" w:cs="宋体"/>
          <w:b w:val="0"/>
          <w:bCs w:val="0"/>
          <w:strike w:val="0"/>
          <w:dstrike w:val="0"/>
          <w:kern w:val="2"/>
          <w:sz w:val="24"/>
          <w:szCs w:val="24"/>
          <w:highlight w:val="none"/>
          <w:lang w:val="en-US" w:eastAsia="zh-CN" w:bidi="ar"/>
        </w:rPr>
        <w:t>算支付。如未超过本项目预算，按实际结算支付。</w:t>
      </w:r>
    </w:p>
    <w:p w14:paraId="09E3AD5E">
      <w:pPr>
        <w:pStyle w:val="16"/>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cs="宋体"/>
          <w:b w:val="0"/>
          <w:bCs w:val="0"/>
          <w:color w:val="FF0000"/>
          <w:sz w:val="24"/>
          <w:szCs w:val="24"/>
          <w:highlight w:val="none"/>
          <w:lang w:val="en-US" w:eastAsia="zh-CN"/>
        </w:rPr>
      </w:pPr>
      <w:r>
        <w:rPr>
          <w:rFonts w:hint="eastAsia" w:ascii="宋体" w:hAnsi="宋体" w:eastAsia="宋体" w:cs="宋体"/>
          <w:b w:val="0"/>
          <w:bCs w:val="0"/>
          <w:kern w:val="2"/>
          <w:sz w:val="24"/>
          <w:szCs w:val="24"/>
          <w:highlight w:val="none"/>
          <w:lang w:val="en-US" w:eastAsia="zh-CN" w:bidi="ar"/>
        </w:rPr>
        <w:t>（2）住宅类建筑的结算面积按项目申报建筑面积的50%进行结算，非住宅项目的结算面积按项目申报建筑面积的实际面积进行结算。</w:t>
      </w:r>
    </w:p>
    <w:p w14:paraId="5CDE4FB9">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注：中标单位</w:t>
      </w:r>
      <w:r>
        <w:rPr>
          <w:rFonts w:hint="eastAsia" w:ascii="宋体" w:hAnsi="宋体" w:eastAsia="宋体" w:cs="宋体"/>
          <w:b w:val="0"/>
          <w:bCs w:val="0"/>
          <w:color w:val="auto"/>
          <w:sz w:val="24"/>
          <w:szCs w:val="24"/>
          <w:highlight w:val="none"/>
        </w:rPr>
        <w:t>申请款项时应提供满足</w:t>
      </w:r>
      <w:r>
        <w:rPr>
          <w:rFonts w:hint="eastAsia" w:ascii="宋体" w:hAnsi="宋体" w:cs="宋体"/>
          <w:b w:val="0"/>
          <w:bCs w:val="0"/>
          <w:color w:val="auto"/>
          <w:sz w:val="24"/>
          <w:szCs w:val="24"/>
          <w:highlight w:val="none"/>
          <w:lang w:val="en-US" w:eastAsia="zh-CN"/>
        </w:rPr>
        <w:t>采购方</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发票。</w:t>
      </w:r>
    </w:p>
    <w:p w14:paraId="76746D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七、履约验收</w:t>
      </w:r>
    </w:p>
    <w:p w14:paraId="3C1A9D9C">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期满后，采购人按照政府采购合同规定的技术、服务、安全标准组织对供应商履约情况进行验收，并出具验收报告，接收相关部门监督。验收范围包括但不限于人员到位情况、服务响应情况、报告质量情况、完成时间情况等。</w:t>
      </w:r>
    </w:p>
    <w:p w14:paraId="2A20D7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八、实施要求</w:t>
      </w:r>
    </w:p>
    <w:p w14:paraId="2F3BD29B">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1、对项目背景、现状、目标、任务、内容进行全面理解分析。</w:t>
      </w:r>
    </w:p>
    <w:p w14:paraId="28BCE8C5">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2、实施方案科学完整；流程清晰、规范、可操作强，各工序衔接自然、严密，服务效率、服务水平，提出实施的整体思路，与项目实施地现状相结合，方案中体现较高的服务效率和服务水平。</w:t>
      </w:r>
    </w:p>
    <w:p w14:paraId="1DD4A980">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3、具有针对本项目完整的风险控制预案，风险控制预案能确保项目目标按时达成，具有完善的保障措施。</w:t>
      </w:r>
    </w:p>
    <w:p w14:paraId="0C2B831D">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4、具有专职的管理人员及明确的管理人员职责要求，各项管理制度齐全，落实情况良好。</w:t>
      </w:r>
    </w:p>
    <w:p w14:paraId="225C8549">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5、质量保证体系完备，措施具体、有效，可行性强。</w:t>
      </w:r>
    </w:p>
    <w:p w14:paraId="356EB8F0">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6、基础资料信息掌握全面，提出有助提高项目的研究深度和广度建议。</w:t>
      </w:r>
    </w:p>
    <w:p w14:paraId="6F605FBA">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7、检测仪器、设备齐全充足，先进精准。</w:t>
      </w:r>
    </w:p>
    <w:p w14:paraId="4FA33030">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8、工作小组机构合理、人员充足、经验丰富，有充足的时间投入本项目。</w:t>
      </w:r>
    </w:p>
    <w:p w14:paraId="45A7F06E">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9、投标人具有较强售后服务能力，售后服务响应迅速，售后服务方案科学合理。</w:t>
      </w:r>
    </w:p>
    <w:p w14:paraId="57A07FDB">
      <w:pPr>
        <w:autoSpaceDE w:val="0"/>
        <w:spacing w:line="360" w:lineRule="auto"/>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▲10、中标单位在进场服务前需在浙江省消防技术服务管理系统完成备案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建设工程</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消防设施功能、联调联试消防设施的系统功能进行抽样测试，应由完成备案的消防设施检测机构实施</w:t>
      </w:r>
      <w:r>
        <w:rPr>
          <w:rFonts w:hint="eastAsia" w:ascii="宋体" w:hAnsi="宋体" w:eastAsia="宋体" w:cs="宋体"/>
          <w:b w:val="0"/>
          <w:bCs w:val="0"/>
          <w:color w:val="auto"/>
          <w:sz w:val="24"/>
          <w:szCs w:val="24"/>
          <w:highlight w:val="none"/>
        </w:rPr>
        <w:t>。</w:t>
      </w:r>
    </w:p>
    <w:p w14:paraId="5C580BE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九、特殊要求：</w:t>
      </w:r>
    </w:p>
    <w:p w14:paraId="34F94419">
      <w:pPr>
        <w:pStyle w:val="6"/>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按照《浙江省住房城乡建设领域“双随机”抽查规范事中事后监管办法》，</w:t>
      </w:r>
      <w:r>
        <w:rPr>
          <w:rFonts w:hint="eastAsia" w:hAnsi="宋体" w:cs="宋体"/>
          <w:b w:val="0"/>
          <w:bCs w:val="0"/>
          <w:color w:val="auto"/>
          <w:sz w:val="24"/>
          <w:szCs w:val="24"/>
          <w:highlight w:val="none"/>
          <w:lang w:val="en-US" w:eastAsia="zh-CN"/>
        </w:rPr>
        <w:t>部分项目</w:t>
      </w:r>
      <w:r>
        <w:rPr>
          <w:rFonts w:hint="eastAsia" w:ascii="宋体" w:hAnsi="宋体" w:eastAsia="宋体" w:cs="宋体"/>
          <w:b w:val="0"/>
          <w:bCs w:val="0"/>
          <w:color w:val="auto"/>
          <w:sz w:val="24"/>
          <w:szCs w:val="24"/>
          <w:highlight w:val="none"/>
          <w:lang w:eastAsia="zh-CN"/>
        </w:rPr>
        <w:t>采用</w:t>
      </w:r>
      <w:r>
        <w:rPr>
          <w:rFonts w:hint="eastAsia" w:ascii="宋体" w:hAnsi="宋体" w:eastAsia="宋体" w:cs="宋体"/>
          <w:b w:val="0"/>
          <w:bCs w:val="0"/>
          <w:color w:val="auto"/>
          <w:sz w:val="24"/>
          <w:szCs w:val="24"/>
          <w:highlight w:val="none"/>
        </w:rPr>
        <w:t>“双随机”</w:t>
      </w:r>
      <w:r>
        <w:rPr>
          <w:rFonts w:hint="eastAsia" w:ascii="宋体" w:hAnsi="宋体" w:eastAsia="宋体" w:cs="宋体"/>
          <w:b w:val="0"/>
          <w:bCs w:val="0"/>
          <w:color w:val="auto"/>
          <w:sz w:val="24"/>
          <w:szCs w:val="24"/>
          <w:highlight w:val="none"/>
          <w:lang w:eastAsia="zh-CN"/>
        </w:rPr>
        <w:t>工作机制</w:t>
      </w:r>
      <w:r>
        <w:rPr>
          <w:rFonts w:hint="eastAsia" w:ascii="宋体" w:hAnsi="宋体" w:eastAsia="宋体" w:cs="宋体"/>
          <w:b w:val="0"/>
          <w:bCs w:val="0"/>
          <w:color w:val="auto"/>
          <w:sz w:val="24"/>
          <w:szCs w:val="24"/>
          <w:highlight w:val="none"/>
          <w:lang w:val="en-US" w:eastAsia="zh-CN"/>
        </w:rPr>
        <w:t>。</w:t>
      </w:r>
    </w:p>
    <w:p w14:paraId="5E7D38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Hans"/>
        </w:rPr>
        <w:t xml:space="preserve"> </w:t>
      </w:r>
      <w:r>
        <w:rPr>
          <w:rFonts w:hint="eastAsia" w:ascii="宋体" w:hAnsi="宋体" w:eastAsia="宋体" w:cs="宋体"/>
          <w:b/>
          <w:bCs/>
          <w:color w:val="auto"/>
          <w:sz w:val="24"/>
          <w:szCs w:val="24"/>
          <w:highlight w:val="none"/>
          <w:lang w:val="en-US" w:eastAsia="zh-CN"/>
        </w:rPr>
        <w:t>十、考核管理</w:t>
      </w:r>
    </w:p>
    <w:p w14:paraId="219D52E4">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征集人有权组织供应商服务质量考核，供应商应无条件接受考核管理，详见</w:t>
      </w:r>
      <w:r>
        <w:rPr>
          <w:rFonts w:hint="eastAsia" w:hAnsi="宋体" w:cs="宋体"/>
          <w:b w:val="0"/>
          <w:bCs w:val="0"/>
          <w:color w:val="auto"/>
          <w:sz w:val="24"/>
          <w:highlight w:val="none"/>
          <w:lang w:val="en-US" w:eastAsia="zh-CN"/>
        </w:rPr>
        <w:t>附件一</w:t>
      </w:r>
      <w:r>
        <w:rPr>
          <w:rFonts w:hint="eastAsia" w:ascii="宋体" w:hAnsi="宋体" w:eastAsia="宋体" w:cs="宋体"/>
          <w:b w:val="0"/>
          <w:bCs w:val="0"/>
          <w:color w:val="auto"/>
          <w:sz w:val="24"/>
          <w:highlight w:val="none"/>
          <w:lang w:val="en-US" w:eastAsia="zh-CN"/>
        </w:rPr>
        <w:t>考核管理。具体考核管理办法另行制定。</w:t>
      </w:r>
    </w:p>
    <w:p w14:paraId="579C90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十一、入围供应商的清退规则 </w:t>
      </w:r>
    </w:p>
    <w:p w14:paraId="378CE679">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（一）清退规则：下列情形下征集人有权清退入围供应商，而不需要承担任何责任：</w:t>
      </w:r>
    </w:p>
    <w:p w14:paraId="65400472">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1.入围供应商实质性违反本协议约定的；</w:t>
      </w:r>
    </w:p>
    <w:p w14:paraId="65718E5A">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2.入围供应商有违反合同约定或其职责、义务的行为，在采购人指定期限内未予以纠正或补救的； </w:t>
      </w:r>
    </w:p>
    <w:p w14:paraId="433BDD9A">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3.入围供应商资质吊销或注销的；</w:t>
      </w:r>
    </w:p>
    <w:p w14:paraId="320A37B3">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4.入围供应商未严格执行保密制度，泄漏委托方的秘密或与第三方串通损害采购人利益的；</w:t>
      </w:r>
    </w:p>
    <w:p w14:paraId="373EC6F3">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5.征集人针对项目服务时限、质量有权提出要求并进行考核，由于入围供应商原因，项目服务时限超出委托时限要求或质量不合格导致考核结果不合格的；</w:t>
      </w:r>
    </w:p>
    <w:p w14:paraId="78ED9CA7">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6.入围供应商与项目相关单位或人员私下交易，接受财物、吃请等违纪行为经查实的；</w:t>
      </w:r>
    </w:p>
    <w:p w14:paraId="4865812D">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7.在入围供应商违约情形下，采购人有权对本项目合同进行必要的变更。</w:t>
      </w:r>
    </w:p>
    <w:p w14:paraId="39565359">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8.入围供应商提供服务时，需按委托人要求时限完成，无正当理由，未按时完成的将解除合同。</w:t>
      </w:r>
    </w:p>
    <w:p w14:paraId="19CF9259">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2B3C4DA7">
      <w:pPr>
        <w:pStyle w:val="6"/>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10.如遇到政策变化或者其他不可抗力因素，本协议自动解除。</w:t>
      </w:r>
    </w:p>
    <w:p w14:paraId="4872FD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十二、入围供应商补充规则</w:t>
      </w:r>
    </w:p>
    <w:p w14:paraId="4CA77EA2">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1.有效期 2 年。在协议有效期内，入围供应商无正当理由，不得主动放弃入围资格或者退出框架协议。 </w:t>
      </w:r>
    </w:p>
    <w:p w14:paraId="706275D1">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2.本项目征集入围合格供应商，淘汰比例最少为有效响应单位的20%，向上取整数。如有效响应单位≥5家则确定4家入围供应商；如有效响应单位&lt;5家则重新组织采购。</w:t>
      </w:r>
    </w:p>
    <w:p w14:paraId="19B7448F">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3.第二阶段成交供应商 </w:t>
      </w:r>
    </w:p>
    <w:p w14:paraId="578544DD">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确定第二阶段成交供应商的方式为顺序轮候，按入围供应商的综合得分高到低排序循环方式进行分配。 </w:t>
      </w:r>
    </w:p>
    <w:p w14:paraId="05E4338A">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4.补充征集：本框架协议有效期内，不再补充征集供应商。</w:t>
      </w:r>
    </w:p>
    <w:p w14:paraId="4290D61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2"/>
          <w:highlight w:val="none"/>
          <w:lang w:val="en-US" w:eastAsia="zh-CN" w:bidi="ar-SA"/>
        </w:rPr>
      </w:pPr>
    </w:p>
    <w:p w14:paraId="4938569A">
      <w:pPr>
        <w:rPr>
          <w:rFonts w:hint="eastAsia" w:ascii="仿宋" w:hAnsi="仿宋" w:eastAsia="仿宋" w:cs="仿宋"/>
          <w:color w:val="auto"/>
          <w:kern w:val="0"/>
          <w:sz w:val="24"/>
          <w:szCs w:val="22"/>
          <w:highlight w:val="none"/>
          <w:lang w:val="en-US" w:eastAsia="zh-CN" w:bidi="ar-SA"/>
        </w:rPr>
      </w:pPr>
    </w:p>
    <w:p w14:paraId="5A2BEB51">
      <w:pPr>
        <w:pStyle w:val="2"/>
        <w:numPr>
          <w:ilvl w:val="0"/>
          <w:numId w:val="0"/>
        </w:numPr>
        <w:ind w:leftChars="0"/>
        <w:rPr>
          <w:rFonts w:hint="eastAsia"/>
          <w:color w:val="auto"/>
          <w:highlight w:val="none"/>
          <w:lang w:val="en-US" w:eastAsia="zh-CN"/>
        </w:rPr>
      </w:pPr>
    </w:p>
    <w:p w14:paraId="7E767F8E">
      <w:pPr>
        <w:rPr>
          <w:rFonts w:hint="eastAsia"/>
          <w:color w:val="auto"/>
          <w:highlight w:val="none"/>
          <w:lang w:val="en-US" w:eastAsia="zh-CN"/>
        </w:rPr>
      </w:pPr>
    </w:p>
    <w:p w14:paraId="22224042">
      <w:pPr>
        <w:pStyle w:val="18"/>
        <w:rPr>
          <w:rFonts w:hint="eastAsia"/>
          <w:color w:val="auto"/>
          <w:highlight w:val="none"/>
          <w:lang w:val="en-US" w:eastAsia="zh-CN"/>
        </w:rPr>
      </w:pPr>
    </w:p>
    <w:p w14:paraId="66ACB299">
      <w:pPr>
        <w:rPr>
          <w:rFonts w:hint="eastAsia"/>
          <w:color w:val="auto"/>
          <w:highlight w:val="none"/>
          <w:lang w:val="en-US" w:eastAsia="zh-CN"/>
        </w:rPr>
      </w:pPr>
    </w:p>
    <w:p w14:paraId="09C7A6E3">
      <w:pPr>
        <w:pStyle w:val="18"/>
        <w:rPr>
          <w:rFonts w:hint="eastAsia"/>
          <w:color w:val="auto"/>
          <w:highlight w:val="none"/>
          <w:lang w:val="en-US" w:eastAsia="zh-CN"/>
        </w:rPr>
      </w:pPr>
    </w:p>
    <w:p w14:paraId="1909537A">
      <w:pPr>
        <w:rPr>
          <w:rFonts w:hint="eastAsia"/>
          <w:color w:val="auto"/>
          <w:highlight w:val="none"/>
          <w:lang w:val="en-US" w:eastAsia="zh-CN"/>
        </w:rPr>
      </w:pPr>
    </w:p>
    <w:p w14:paraId="4702B37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9F6EDFB">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征集办法</w:t>
      </w:r>
    </w:p>
    <w:p w14:paraId="5E607ECF">
      <w:pPr>
        <w:adjustRightInd w:val="0"/>
        <w:snapToGrid w:val="0"/>
        <w:spacing w:line="360" w:lineRule="auto"/>
        <w:rPr>
          <w:rFonts w:ascii="仿宋_GB2312" w:hAnsi="仿宋" w:eastAsia="仿宋_GB2312" w:cs="Times New Roman"/>
          <w:b/>
          <w:color w:val="auto"/>
          <w:sz w:val="28"/>
          <w:szCs w:val="28"/>
          <w:highlight w:val="none"/>
        </w:rPr>
      </w:pPr>
      <w:r>
        <w:rPr>
          <w:rFonts w:hint="eastAsia" w:ascii="仿宋_GB2312" w:hAnsi="仿宋" w:eastAsia="仿宋_GB2312" w:cs="仿宋_GB2312"/>
          <w:b/>
          <w:color w:val="auto"/>
          <w:sz w:val="32"/>
          <w:szCs w:val="24"/>
          <w:highlight w:val="none"/>
        </w:rPr>
        <w:t>一、征集办法</w:t>
      </w:r>
    </w:p>
    <w:p w14:paraId="07A2ACC0">
      <w:pPr>
        <w:spacing w:line="360" w:lineRule="auto"/>
        <w:ind w:firstLine="472" w:firstLineChars="196"/>
        <w:rPr>
          <w:rFonts w:hint="eastAsia"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本项目采用质量优先法。</w:t>
      </w:r>
      <w:r>
        <w:rPr>
          <w:rFonts w:hint="eastAsia" w:ascii="仿宋_GB2312" w:hAnsi="仿宋" w:eastAsia="仿宋_GB2312" w:cs="Arial"/>
          <w:color w:val="auto"/>
          <w:kern w:val="0"/>
          <w:sz w:val="24"/>
          <w:highlight w:val="none"/>
        </w:rPr>
        <w:t>质量优先法是指对满足采购需求且响应报价不超过最高限制</w:t>
      </w:r>
      <w:r>
        <w:rPr>
          <w:rFonts w:hint="eastAsia" w:ascii="仿宋_GB2312" w:hAnsi="仿宋" w:eastAsia="仿宋_GB2312" w:cs="Arial"/>
          <w:color w:val="auto"/>
          <w:kern w:val="0"/>
          <w:sz w:val="24"/>
          <w:highlight w:val="none"/>
          <w:lang w:val="en-US" w:eastAsia="zh-CN"/>
        </w:rPr>
        <w:t>折扣率</w:t>
      </w:r>
      <w:r>
        <w:rPr>
          <w:rFonts w:hint="eastAsia" w:ascii="仿宋_GB2312" w:hAnsi="仿宋" w:eastAsia="仿宋_GB2312" w:cs="Arial"/>
          <w:color w:val="auto"/>
          <w:kern w:val="0"/>
          <w:sz w:val="24"/>
          <w:highlight w:val="none"/>
        </w:rPr>
        <w:t>的货物、服务进行质量综合评分，按照质量评分从高到低排序，根据征集文件规定的淘汰率或者入围供应商数量上限，确定入围供应商的评审方法。</w:t>
      </w:r>
    </w:p>
    <w:tbl>
      <w:tblPr>
        <w:tblStyle w:val="19"/>
        <w:tblpPr w:leftFromText="180" w:rightFromText="180" w:vertAnchor="text" w:horzAnchor="page" w:tblpX="1031"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85"/>
        <w:gridCol w:w="5889"/>
        <w:gridCol w:w="766"/>
        <w:gridCol w:w="1426"/>
      </w:tblGrid>
      <w:tr w14:paraId="635B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9" w:type="dxa"/>
            <w:vAlign w:val="center"/>
          </w:tcPr>
          <w:p w14:paraId="1A2D2666">
            <w:pPr>
              <w:spacing w:line="276"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85" w:type="dxa"/>
            <w:vAlign w:val="center"/>
          </w:tcPr>
          <w:p w14:paraId="1F3F586F">
            <w:pPr>
              <w:pStyle w:val="12"/>
              <w:snapToGrid w:val="0"/>
              <w:spacing w:line="276" w:lineRule="auto"/>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评分因素</w:t>
            </w:r>
          </w:p>
        </w:tc>
        <w:tc>
          <w:tcPr>
            <w:tcW w:w="5889" w:type="dxa"/>
            <w:vAlign w:val="center"/>
          </w:tcPr>
          <w:p w14:paraId="27707E17">
            <w:pPr>
              <w:pStyle w:val="12"/>
              <w:snapToGrid w:val="0"/>
              <w:spacing w:line="276" w:lineRule="auto"/>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评分细则</w:t>
            </w:r>
          </w:p>
        </w:tc>
        <w:tc>
          <w:tcPr>
            <w:tcW w:w="766" w:type="dxa"/>
            <w:vAlign w:val="center"/>
          </w:tcPr>
          <w:p w14:paraId="53634EC7">
            <w:pPr>
              <w:spacing w:line="276" w:lineRule="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权重</w:t>
            </w:r>
          </w:p>
        </w:tc>
        <w:tc>
          <w:tcPr>
            <w:tcW w:w="1426" w:type="dxa"/>
          </w:tcPr>
          <w:p w14:paraId="337D72FE">
            <w:pPr>
              <w:spacing w:line="276" w:lineRule="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r>
              <w:rPr>
                <w:rFonts w:hint="eastAsia" w:ascii="仿宋" w:hAnsi="仿宋" w:eastAsia="仿宋" w:cs="仿宋"/>
                <w:color w:val="auto"/>
                <w:sz w:val="21"/>
                <w:szCs w:val="21"/>
                <w:highlight w:val="none"/>
                <w:shd w:val="clear" w:color="auto" w:fill="FFFFFF"/>
              </w:rPr>
              <w:t> *</w:t>
            </w:r>
          </w:p>
        </w:tc>
      </w:tr>
      <w:tr w14:paraId="5981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0A981AA9">
            <w:pPr>
              <w:pStyle w:val="12"/>
              <w:snapToGri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85" w:type="dxa"/>
            <w:vAlign w:val="center"/>
          </w:tcPr>
          <w:p w14:paraId="743E3518">
            <w:pPr>
              <w:snapToGrid w:val="0"/>
              <w:spacing w:before="120" w:beforeLines="50" w:line="276"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kern w:val="0"/>
                <w:sz w:val="21"/>
                <w:szCs w:val="21"/>
                <w:highlight w:val="none"/>
                <w:lang w:val="en-US" w:eastAsia="zh-CN"/>
              </w:rPr>
              <w:t>类似</w:t>
            </w:r>
            <w:r>
              <w:rPr>
                <w:rFonts w:hint="eastAsia" w:ascii="仿宋" w:hAnsi="仿宋" w:eastAsia="仿宋" w:cs="仿宋"/>
                <w:bCs/>
                <w:color w:val="auto"/>
                <w:kern w:val="0"/>
                <w:sz w:val="21"/>
                <w:szCs w:val="21"/>
                <w:highlight w:val="none"/>
              </w:rPr>
              <w:t>业绩</w:t>
            </w:r>
          </w:p>
        </w:tc>
        <w:tc>
          <w:tcPr>
            <w:tcW w:w="5889" w:type="dxa"/>
            <w:vAlign w:val="center"/>
          </w:tcPr>
          <w:p w14:paraId="2B08DF83">
            <w:pPr>
              <w:snapToGrid w:val="0"/>
              <w:spacing w:line="276"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若联合体投标的，指</w:t>
            </w:r>
            <w:r>
              <w:rPr>
                <w:rFonts w:hint="eastAsia" w:ascii="仿宋" w:hAnsi="仿宋" w:eastAsia="仿宋" w:cs="仿宋"/>
                <w:color w:val="auto"/>
                <w:sz w:val="21"/>
                <w:szCs w:val="21"/>
                <w:highlight w:val="none"/>
                <w:lang w:val="en-US" w:eastAsia="zh-CN"/>
              </w:rPr>
              <w:t>联合体</w:t>
            </w:r>
            <w:r>
              <w:rPr>
                <w:rFonts w:hint="eastAsia" w:ascii="仿宋" w:hAnsi="仿宋" w:eastAsia="仿宋" w:cs="仿宋"/>
                <w:color w:val="auto"/>
                <w:sz w:val="21"/>
                <w:szCs w:val="21"/>
                <w:highlight w:val="none"/>
                <w:lang w:val="en-US"/>
              </w:rPr>
              <w:t>牵头人</w:t>
            </w:r>
            <w:r>
              <w:rPr>
                <w:rFonts w:hint="eastAsia" w:ascii="仿宋" w:hAnsi="仿宋" w:eastAsia="仿宋" w:cs="仿宋"/>
                <w:color w:val="auto"/>
                <w:sz w:val="21"/>
                <w:szCs w:val="21"/>
                <w:highlight w:val="none"/>
              </w:rPr>
              <w:t>）自202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年1月1日（以合同签订日期为准）以来作为第三方技术服务机构参与建设工程消防验收（合同内容须包含《建设工程消防设计审查验收管理暂行规定》（5</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号部令）要求的现场评定），每具有1个项目得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分，没有不得分。</w:t>
            </w:r>
          </w:p>
          <w:p w14:paraId="26B82AAD">
            <w:pPr>
              <w:snapToGrid w:val="0"/>
              <w:spacing w:line="276"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（若消防设施检测服务内容分包，分包单位业绩不得分；业绩需提供合同复印件及现场评定报告复印件，能体现项目信息，否则不得分。）</w:t>
            </w:r>
          </w:p>
        </w:tc>
        <w:tc>
          <w:tcPr>
            <w:tcW w:w="766" w:type="dxa"/>
            <w:vAlign w:val="center"/>
          </w:tcPr>
          <w:p w14:paraId="1259B974">
            <w:pPr>
              <w:snapToGri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1426" w:type="dxa"/>
          </w:tcPr>
          <w:p w14:paraId="62426F1A">
            <w:pPr>
              <w:spacing w:line="276" w:lineRule="auto"/>
              <w:outlineLvl w:val="0"/>
              <w:rPr>
                <w:rFonts w:hint="eastAsia" w:ascii="仿宋" w:hAnsi="仿宋" w:eastAsia="仿宋" w:cs="仿宋"/>
                <w:color w:val="auto"/>
                <w:sz w:val="21"/>
                <w:szCs w:val="21"/>
                <w:highlight w:val="none"/>
              </w:rPr>
            </w:pPr>
          </w:p>
        </w:tc>
      </w:tr>
      <w:tr w14:paraId="7ACE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55CCD923">
            <w:pPr>
              <w:pStyle w:val="12"/>
              <w:snapToGri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85" w:type="dxa"/>
            <w:vAlign w:val="center"/>
          </w:tcPr>
          <w:p w14:paraId="35769644">
            <w:pPr>
              <w:widowControl/>
              <w:snapToGri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检测仪器、设备</w:t>
            </w:r>
          </w:p>
        </w:tc>
        <w:tc>
          <w:tcPr>
            <w:tcW w:w="5889" w:type="dxa"/>
            <w:vAlign w:val="center"/>
          </w:tcPr>
          <w:p w14:paraId="4B787C1F">
            <w:pPr>
              <w:snapToGrid w:val="0"/>
              <w:spacing w:line="276" w:lineRule="auto"/>
              <w:rPr>
                <w:rFonts w:hint="default" w:ascii="仿宋" w:hAnsi="仿宋" w:eastAsia="仿宋" w:cs="仿宋"/>
                <w:bCs/>
                <w:color w:val="auto"/>
                <w:sz w:val="21"/>
                <w:szCs w:val="21"/>
                <w:highlight w:val="none"/>
                <w:lang w:val="en-US" w:eastAsia="zh-CN"/>
              </w:rPr>
            </w:pPr>
            <w:r>
              <w:rPr>
                <w:rFonts w:hint="eastAsia" w:ascii="仿宋" w:hAnsi="仿宋" w:eastAsia="仿宋" w:cs="仿宋"/>
                <w:i w:val="0"/>
                <w:iCs w:val="0"/>
                <w:color w:val="auto"/>
                <w:sz w:val="21"/>
                <w:szCs w:val="21"/>
                <w:highlight w:val="none"/>
              </w:rPr>
              <w:t>检测仪器、设备齐全充足；（需附检测仪器设备的发票或租赁合同（租赁期限至少至202</w:t>
            </w:r>
            <w:r>
              <w:rPr>
                <w:rFonts w:hint="eastAsia" w:ascii="仿宋" w:hAnsi="仿宋" w:eastAsia="仿宋" w:cs="仿宋"/>
                <w:i w:val="0"/>
                <w:iCs w:val="0"/>
                <w:color w:val="auto"/>
                <w:sz w:val="21"/>
                <w:szCs w:val="21"/>
                <w:highlight w:val="none"/>
                <w:lang w:val="en-US" w:eastAsia="zh-CN"/>
              </w:rPr>
              <w:t>7</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月31日）扫描件、照片、介绍说明）</w:t>
            </w:r>
            <w:r>
              <w:rPr>
                <w:rFonts w:hint="eastAsia" w:ascii="仿宋" w:hAnsi="仿宋" w:eastAsia="仿宋" w:cs="仿宋"/>
                <w:b/>
                <w:bCs/>
                <w:i w:val="0"/>
                <w:iCs w:val="0"/>
                <w:color w:val="auto"/>
                <w:sz w:val="21"/>
                <w:szCs w:val="21"/>
                <w:highlight w:val="none"/>
              </w:rPr>
              <w:t>（若</w:t>
            </w:r>
            <w:r>
              <w:rPr>
                <w:rFonts w:hint="eastAsia" w:ascii="仿宋" w:hAnsi="仿宋" w:eastAsia="仿宋" w:cs="仿宋"/>
                <w:b/>
                <w:bCs/>
                <w:i w:val="0"/>
                <w:iCs w:val="0"/>
                <w:color w:val="auto"/>
                <w:sz w:val="21"/>
                <w:szCs w:val="21"/>
                <w:highlight w:val="none"/>
                <w:lang w:val="en-US"/>
              </w:rPr>
              <w:t>联合体投标的，指</w:t>
            </w:r>
            <w:r>
              <w:rPr>
                <w:rFonts w:hint="eastAsia" w:ascii="仿宋" w:hAnsi="仿宋" w:eastAsia="仿宋" w:cs="仿宋"/>
                <w:b/>
                <w:bCs/>
                <w:i w:val="0"/>
                <w:iCs w:val="0"/>
                <w:color w:val="auto"/>
                <w:sz w:val="21"/>
                <w:szCs w:val="21"/>
                <w:highlight w:val="none"/>
                <w:lang w:val="en-US" w:eastAsia="zh-CN"/>
              </w:rPr>
              <w:t>联合体</w:t>
            </w:r>
            <w:r>
              <w:rPr>
                <w:rFonts w:hint="eastAsia" w:ascii="仿宋" w:hAnsi="仿宋" w:eastAsia="仿宋" w:cs="仿宋"/>
                <w:b/>
                <w:bCs/>
                <w:i w:val="0"/>
                <w:iCs w:val="0"/>
                <w:color w:val="auto"/>
                <w:sz w:val="21"/>
                <w:szCs w:val="21"/>
                <w:highlight w:val="none"/>
                <w:lang w:val="en-US"/>
              </w:rPr>
              <w:t>牵头人</w:t>
            </w:r>
            <w:r>
              <w:rPr>
                <w:rFonts w:hint="eastAsia" w:ascii="仿宋" w:hAnsi="仿宋" w:eastAsia="仿宋" w:cs="仿宋"/>
                <w:b/>
                <w:bCs/>
                <w:i w:val="0"/>
                <w:iCs w:val="0"/>
                <w:color w:val="auto"/>
                <w:sz w:val="21"/>
                <w:szCs w:val="21"/>
                <w:highlight w:val="none"/>
                <w:lang w:val="en-US" w:eastAsia="zh-CN"/>
              </w:rPr>
              <w:t>及联合体成员均可</w:t>
            </w:r>
            <w:r>
              <w:rPr>
                <w:rFonts w:hint="eastAsia" w:ascii="仿宋" w:hAnsi="仿宋" w:eastAsia="仿宋" w:cs="仿宋"/>
                <w:b/>
                <w:bCs/>
                <w:i w:val="0"/>
                <w:iCs w:val="0"/>
                <w:color w:val="auto"/>
                <w:sz w:val="21"/>
                <w:szCs w:val="21"/>
                <w:highlight w:val="none"/>
              </w:rPr>
              <w:t>）</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满分3分，评分范围：3,2,1</w:t>
            </w:r>
            <w:r>
              <w:rPr>
                <w:rFonts w:hint="eastAsia" w:ascii="仿宋" w:hAnsi="仿宋" w:eastAsia="仿宋" w:cs="仿宋"/>
                <w:i w:val="0"/>
                <w:iCs w:val="0"/>
                <w:color w:val="auto"/>
                <w:sz w:val="21"/>
                <w:szCs w:val="21"/>
                <w:highlight w:val="none"/>
                <w:lang w:eastAsia="zh-CN"/>
              </w:rPr>
              <w:t>）</w:t>
            </w:r>
          </w:p>
        </w:tc>
        <w:tc>
          <w:tcPr>
            <w:tcW w:w="766" w:type="dxa"/>
            <w:vAlign w:val="center"/>
          </w:tcPr>
          <w:p w14:paraId="2A0E054E">
            <w:pPr>
              <w:snapToGrid w:val="0"/>
              <w:spacing w:line="276"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1426" w:type="dxa"/>
          </w:tcPr>
          <w:p w14:paraId="0A3EFAC1">
            <w:pPr>
              <w:spacing w:line="276" w:lineRule="auto"/>
              <w:outlineLvl w:val="0"/>
              <w:rPr>
                <w:rFonts w:hint="eastAsia" w:ascii="仿宋" w:hAnsi="仿宋" w:eastAsia="仿宋" w:cs="仿宋"/>
                <w:color w:val="auto"/>
                <w:sz w:val="21"/>
                <w:szCs w:val="21"/>
                <w:highlight w:val="none"/>
              </w:rPr>
            </w:pPr>
          </w:p>
        </w:tc>
      </w:tr>
      <w:tr w14:paraId="5132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537C53EB">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85" w:type="dxa"/>
            <w:shd w:val="clear" w:color="auto" w:fill="auto"/>
            <w:vAlign w:val="center"/>
          </w:tcPr>
          <w:p w14:paraId="3722E03A">
            <w:pPr>
              <w:widowControl/>
              <w:wordWrap/>
              <w:topLinePunct w:val="0"/>
              <w:bidi w:val="0"/>
              <w:snapToGrid w:val="0"/>
              <w:spacing w:line="30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工作组情况</w:t>
            </w:r>
          </w:p>
        </w:tc>
        <w:tc>
          <w:tcPr>
            <w:tcW w:w="5889" w:type="dxa"/>
            <w:shd w:val="clear" w:color="auto" w:fill="auto"/>
            <w:vAlign w:val="center"/>
          </w:tcPr>
          <w:p w14:paraId="08E03F7C">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1、项目负责人</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color w:val="auto"/>
                <w:sz w:val="21"/>
                <w:szCs w:val="21"/>
                <w:highlight w:val="none"/>
                <w:lang w:val="en-US"/>
              </w:rPr>
              <w:t>若联合体投标的，指</w:t>
            </w:r>
            <w:r>
              <w:rPr>
                <w:rFonts w:hint="eastAsia" w:ascii="仿宋" w:hAnsi="仿宋" w:eastAsia="仿宋" w:cs="仿宋"/>
                <w:b/>
                <w:bCs/>
                <w:color w:val="auto"/>
                <w:sz w:val="21"/>
                <w:szCs w:val="21"/>
                <w:highlight w:val="none"/>
                <w:lang w:val="en-US" w:eastAsia="zh-CN"/>
              </w:rPr>
              <w:t>联合体</w:t>
            </w:r>
            <w:r>
              <w:rPr>
                <w:rFonts w:hint="eastAsia" w:ascii="仿宋" w:hAnsi="仿宋" w:eastAsia="仿宋" w:cs="仿宋"/>
                <w:b/>
                <w:bCs/>
                <w:color w:val="auto"/>
                <w:sz w:val="21"/>
                <w:szCs w:val="21"/>
                <w:highlight w:val="none"/>
                <w:lang w:val="en-US"/>
              </w:rPr>
              <w:t>牵头人</w:t>
            </w:r>
            <w:r>
              <w:rPr>
                <w:rFonts w:hint="eastAsia" w:ascii="仿宋" w:hAnsi="仿宋" w:eastAsia="仿宋" w:cs="仿宋"/>
                <w:b/>
                <w:bCs/>
                <w:i w:val="0"/>
                <w:iCs w:val="0"/>
                <w:color w:val="auto"/>
                <w:sz w:val="21"/>
                <w:szCs w:val="21"/>
                <w:highlight w:val="none"/>
              </w:rPr>
              <w:t>）</w:t>
            </w:r>
            <w:r>
              <w:rPr>
                <w:rFonts w:hint="eastAsia" w:ascii="仿宋" w:hAnsi="仿宋" w:eastAsia="仿宋" w:cs="仿宋"/>
                <w:i w:val="0"/>
                <w:iCs w:val="0"/>
                <w:color w:val="auto"/>
                <w:sz w:val="21"/>
                <w:szCs w:val="21"/>
                <w:highlight w:val="none"/>
              </w:rPr>
              <w:t>：年龄不超过60周岁（至投标截止之日），</w:t>
            </w:r>
            <w:r>
              <w:rPr>
                <w:rFonts w:hint="eastAsia" w:ascii="仿宋" w:hAnsi="仿宋" w:eastAsia="仿宋" w:cs="仿宋"/>
                <w:i w:val="0"/>
                <w:iCs w:val="0"/>
                <w:color w:val="auto"/>
                <w:sz w:val="21"/>
                <w:szCs w:val="21"/>
                <w:highlight w:val="none"/>
                <w:lang w:val="en-US" w:eastAsia="zh-CN"/>
              </w:rPr>
              <w:t>具有</w:t>
            </w:r>
            <w:r>
              <w:rPr>
                <w:rFonts w:hint="eastAsia" w:ascii="仿宋" w:hAnsi="仿宋" w:eastAsia="仿宋" w:cs="仿宋"/>
                <w:i w:val="0"/>
                <w:iCs w:val="0"/>
                <w:color w:val="auto"/>
                <w:sz w:val="21"/>
                <w:szCs w:val="21"/>
                <w:highlight w:val="none"/>
              </w:rPr>
              <w:t>国家一级注册建筑师</w:t>
            </w:r>
            <w:r>
              <w:rPr>
                <w:rFonts w:hint="eastAsia" w:ascii="仿宋" w:hAnsi="仿宋" w:eastAsia="仿宋" w:cs="仿宋"/>
                <w:i w:val="0"/>
                <w:iCs w:val="0"/>
                <w:color w:val="auto"/>
                <w:sz w:val="21"/>
                <w:szCs w:val="21"/>
                <w:highlight w:val="none"/>
                <w:lang w:val="en-US" w:eastAsia="zh-CN"/>
              </w:rPr>
              <w:t>和</w:t>
            </w:r>
            <w:r>
              <w:rPr>
                <w:rFonts w:hint="eastAsia" w:ascii="仿宋" w:hAnsi="仿宋" w:eastAsia="仿宋" w:cs="仿宋"/>
                <w:i w:val="0"/>
                <w:iCs w:val="0"/>
                <w:color w:val="auto"/>
                <w:sz w:val="21"/>
                <w:szCs w:val="21"/>
                <w:highlight w:val="none"/>
              </w:rPr>
              <w:t>高级工程师及以上职称，从事工程设计10年及以上工作经验。全部满足得</w:t>
            </w: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rPr>
              <w:t>分，否则不得分。</w:t>
            </w:r>
          </w:p>
          <w:p w14:paraId="43139B08">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2、结构、建筑、暖通、给排水及电气专业技术人员</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rPr>
              <w:t>若联合体投标的，指</w:t>
            </w:r>
            <w:r>
              <w:rPr>
                <w:rFonts w:hint="eastAsia" w:ascii="仿宋" w:hAnsi="仿宋" w:eastAsia="仿宋" w:cs="仿宋"/>
                <w:b/>
                <w:bCs/>
                <w:i w:val="0"/>
                <w:iCs w:val="0"/>
                <w:color w:val="auto"/>
                <w:sz w:val="21"/>
                <w:szCs w:val="21"/>
                <w:highlight w:val="none"/>
                <w:lang w:val="en-US" w:eastAsia="zh-CN"/>
              </w:rPr>
              <w:t>联合体</w:t>
            </w:r>
            <w:r>
              <w:rPr>
                <w:rFonts w:hint="eastAsia" w:ascii="仿宋" w:hAnsi="仿宋" w:eastAsia="仿宋" w:cs="仿宋"/>
                <w:b/>
                <w:bCs/>
                <w:i w:val="0"/>
                <w:iCs w:val="0"/>
                <w:color w:val="auto"/>
                <w:sz w:val="21"/>
                <w:szCs w:val="21"/>
                <w:highlight w:val="none"/>
                <w:lang w:val="en-US"/>
              </w:rPr>
              <w:t>牵头人</w:t>
            </w:r>
            <w:r>
              <w:rPr>
                <w:rFonts w:hint="eastAsia" w:ascii="仿宋" w:hAnsi="仿宋" w:eastAsia="仿宋" w:cs="仿宋"/>
                <w:b/>
                <w:bCs/>
                <w:i w:val="0"/>
                <w:iCs w:val="0"/>
                <w:color w:val="auto"/>
                <w:sz w:val="21"/>
                <w:szCs w:val="21"/>
                <w:highlight w:val="none"/>
                <w:lang w:val="en-US" w:eastAsia="zh-CN"/>
              </w:rPr>
              <w:t>及联合体成员均可</w:t>
            </w:r>
            <w:r>
              <w:rPr>
                <w:rFonts w:hint="eastAsia" w:ascii="仿宋" w:hAnsi="仿宋" w:eastAsia="仿宋" w:cs="仿宋"/>
                <w:b/>
                <w:bCs/>
                <w:i w:val="0"/>
                <w:iCs w:val="0"/>
                <w:color w:val="auto"/>
                <w:sz w:val="21"/>
                <w:szCs w:val="21"/>
                <w:highlight w:val="none"/>
              </w:rPr>
              <w:t>）</w:t>
            </w:r>
            <w:r>
              <w:rPr>
                <w:rFonts w:hint="eastAsia" w:ascii="仿宋" w:hAnsi="仿宋" w:eastAsia="仿宋" w:cs="仿宋"/>
                <w:i w:val="0"/>
                <w:iCs w:val="0"/>
                <w:color w:val="auto"/>
                <w:sz w:val="21"/>
                <w:szCs w:val="21"/>
                <w:highlight w:val="none"/>
              </w:rPr>
              <w:t>：每个专业不少于</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名技术人员，每个专业不少于</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人具有工程师以上（含工程师）技术职称，年龄不超过60周岁（至投标截止之日），从事工程设计5年及以上工作经验且具有相应专业注册资格的专业工程师。每满足一个专业得</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分，最高得</w:t>
            </w:r>
            <w:r>
              <w:rPr>
                <w:rFonts w:hint="eastAsia" w:ascii="仿宋" w:hAnsi="仿宋" w:eastAsia="仿宋" w:cs="仿宋"/>
                <w:i w:val="0"/>
                <w:iCs w:val="0"/>
                <w:color w:val="auto"/>
                <w:sz w:val="21"/>
                <w:szCs w:val="21"/>
                <w:highlight w:val="none"/>
                <w:lang w:val="en-US" w:eastAsia="zh-CN"/>
              </w:rPr>
              <w:t>15</w:t>
            </w:r>
            <w:r>
              <w:rPr>
                <w:rFonts w:hint="eastAsia" w:ascii="仿宋" w:hAnsi="仿宋" w:eastAsia="仿宋" w:cs="仿宋"/>
                <w:i w:val="0"/>
                <w:iCs w:val="0"/>
                <w:color w:val="auto"/>
                <w:sz w:val="21"/>
                <w:szCs w:val="21"/>
                <w:highlight w:val="none"/>
              </w:rPr>
              <w:t>分。</w:t>
            </w:r>
          </w:p>
          <w:p w14:paraId="763E2659">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3、消防设施检测技术人员</w:t>
            </w: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rPr>
              <w:t>若联合体投标的，指</w:t>
            </w:r>
            <w:r>
              <w:rPr>
                <w:rFonts w:hint="eastAsia" w:ascii="仿宋" w:hAnsi="仿宋" w:eastAsia="仿宋" w:cs="仿宋"/>
                <w:b/>
                <w:bCs/>
                <w:i w:val="0"/>
                <w:iCs w:val="0"/>
                <w:color w:val="auto"/>
                <w:sz w:val="21"/>
                <w:szCs w:val="21"/>
                <w:highlight w:val="none"/>
                <w:lang w:val="en-US" w:eastAsia="zh-CN"/>
              </w:rPr>
              <w:t>联合体</w:t>
            </w:r>
            <w:r>
              <w:rPr>
                <w:rFonts w:hint="eastAsia" w:ascii="仿宋" w:hAnsi="仿宋" w:eastAsia="仿宋" w:cs="仿宋"/>
                <w:b/>
                <w:bCs/>
                <w:i w:val="0"/>
                <w:iCs w:val="0"/>
                <w:color w:val="auto"/>
                <w:sz w:val="21"/>
                <w:szCs w:val="21"/>
                <w:highlight w:val="none"/>
                <w:lang w:val="en-US"/>
              </w:rPr>
              <w:t>牵头人</w:t>
            </w:r>
            <w:r>
              <w:rPr>
                <w:rFonts w:hint="eastAsia" w:ascii="仿宋" w:hAnsi="仿宋" w:eastAsia="仿宋" w:cs="仿宋"/>
                <w:b/>
                <w:bCs/>
                <w:i w:val="0"/>
                <w:iCs w:val="0"/>
                <w:color w:val="auto"/>
                <w:sz w:val="21"/>
                <w:szCs w:val="21"/>
                <w:highlight w:val="none"/>
                <w:lang w:val="en-US" w:eastAsia="zh-CN"/>
              </w:rPr>
              <w:t>及联合体成员均可</w:t>
            </w:r>
            <w:r>
              <w:rPr>
                <w:rFonts w:hint="eastAsia" w:ascii="仿宋" w:hAnsi="仿宋" w:eastAsia="仿宋" w:cs="仿宋"/>
                <w:b/>
                <w:bCs/>
                <w:i w:val="0"/>
                <w:iCs w:val="0"/>
                <w:color w:val="auto"/>
                <w:sz w:val="21"/>
                <w:szCs w:val="21"/>
                <w:highlight w:val="none"/>
              </w:rPr>
              <w:t>）</w:t>
            </w:r>
            <w:r>
              <w:rPr>
                <w:rFonts w:hint="eastAsia" w:ascii="仿宋" w:hAnsi="仿宋" w:eastAsia="仿宋" w:cs="仿宋"/>
                <w:i w:val="0"/>
                <w:iCs w:val="0"/>
                <w:color w:val="auto"/>
                <w:sz w:val="21"/>
                <w:szCs w:val="21"/>
                <w:highlight w:val="none"/>
              </w:rPr>
              <w:t>：技术人员不少于</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人，不少于</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人</w:t>
            </w:r>
            <w:r>
              <w:rPr>
                <w:rFonts w:hint="eastAsia" w:ascii="仿宋" w:hAnsi="仿宋" w:eastAsia="仿宋" w:cs="仿宋"/>
                <w:i w:val="0"/>
                <w:iCs w:val="0"/>
                <w:color w:val="auto"/>
                <w:sz w:val="21"/>
                <w:szCs w:val="21"/>
                <w:highlight w:val="none"/>
                <w:lang w:val="en-US" w:eastAsia="zh-CN"/>
              </w:rPr>
              <w:t>具有工程师以上（含工程师）技术职称</w:t>
            </w:r>
            <w:r>
              <w:rPr>
                <w:rFonts w:hint="eastAsia" w:ascii="仿宋" w:hAnsi="仿宋" w:eastAsia="仿宋" w:cs="仿宋"/>
                <w:i w:val="0"/>
                <w:iCs w:val="0"/>
                <w:color w:val="auto"/>
                <w:sz w:val="21"/>
                <w:szCs w:val="21"/>
                <w:highlight w:val="none"/>
              </w:rPr>
              <w:t>，年龄不超过60周岁（至投标截止之日），从事消防设施检测5年及以上工作经验，</w:t>
            </w:r>
            <w:r>
              <w:rPr>
                <w:rFonts w:hint="eastAsia" w:ascii="仿宋" w:hAnsi="仿宋" w:eastAsia="仿宋" w:cs="仿宋"/>
                <w:i w:val="0"/>
                <w:iCs w:val="0"/>
                <w:color w:val="auto"/>
                <w:sz w:val="21"/>
                <w:szCs w:val="21"/>
                <w:highlight w:val="none"/>
                <w:lang w:val="en-US" w:eastAsia="zh-CN"/>
              </w:rPr>
              <w:t>并持有一级注册消防工程师证书。</w:t>
            </w:r>
            <w:r>
              <w:rPr>
                <w:rFonts w:hint="eastAsia" w:ascii="仿宋" w:hAnsi="仿宋" w:eastAsia="仿宋" w:cs="仿宋"/>
                <w:i w:val="0"/>
                <w:iCs w:val="0"/>
                <w:color w:val="auto"/>
                <w:sz w:val="21"/>
                <w:szCs w:val="21"/>
                <w:highlight w:val="none"/>
              </w:rPr>
              <w:t>全部满足得</w:t>
            </w: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分，否则不得分。</w:t>
            </w:r>
          </w:p>
          <w:p w14:paraId="30EE92CA">
            <w:pPr>
              <w:widowControl/>
              <w:snapToGrid w:val="0"/>
              <w:spacing w:line="300" w:lineRule="auto"/>
              <w:jc w:val="left"/>
              <w:rPr>
                <w:rFonts w:hint="eastAsia" w:ascii="仿宋" w:hAnsi="仿宋" w:eastAsia="仿宋" w:cs="仿宋"/>
                <w:highlight w:val="none"/>
                <w:lang w:val="en-US" w:eastAsia="zh-CN"/>
              </w:rPr>
            </w:pPr>
            <w:r>
              <w:rPr>
                <w:rFonts w:hint="eastAsia" w:ascii="仿宋" w:hAnsi="仿宋" w:eastAsia="仿宋" w:cs="仿宋"/>
                <w:b/>
                <w:bCs/>
                <w:i w:val="0"/>
                <w:iCs w:val="0"/>
                <w:color w:val="auto"/>
                <w:sz w:val="21"/>
                <w:szCs w:val="21"/>
                <w:highlight w:val="none"/>
              </w:rPr>
              <w:t>注：以上需提供人员清单</w:t>
            </w:r>
            <w:r>
              <w:rPr>
                <w:rFonts w:hint="eastAsia" w:ascii="仿宋" w:hAnsi="仿宋" w:eastAsia="仿宋" w:cs="仿宋"/>
                <w:b/>
                <w:bCs/>
                <w:i w:val="0"/>
                <w:iCs w:val="0"/>
                <w:color w:val="auto"/>
                <w:sz w:val="21"/>
                <w:szCs w:val="21"/>
                <w:highlight w:val="none"/>
                <w:lang w:val="en-US" w:eastAsia="zh-CN"/>
              </w:rPr>
              <w:t>截止投标截止日止近六</w:t>
            </w:r>
            <w:r>
              <w:rPr>
                <w:rFonts w:hint="eastAsia" w:ascii="仿宋" w:hAnsi="仿宋" w:eastAsia="仿宋" w:cs="仿宋"/>
                <w:b/>
                <w:bCs/>
                <w:i w:val="0"/>
                <w:iCs w:val="0"/>
                <w:color w:val="auto"/>
                <w:sz w:val="21"/>
                <w:szCs w:val="21"/>
                <w:highlight w:val="none"/>
              </w:rPr>
              <w:t>个月</w:t>
            </w:r>
            <w:r>
              <w:rPr>
                <w:rFonts w:hint="eastAsia" w:ascii="仿宋" w:hAnsi="仿宋" w:eastAsia="仿宋" w:cs="仿宋"/>
                <w:b/>
                <w:bCs/>
                <w:i w:val="0"/>
                <w:iCs w:val="0"/>
                <w:color w:val="auto"/>
                <w:sz w:val="21"/>
                <w:szCs w:val="21"/>
                <w:highlight w:val="none"/>
                <w:lang w:val="en-US" w:eastAsia="zh-CN"/>
              </w:rPr>
              <w:t>及以上参与投标单位</w:t>
            </w:r>
            <w:r>
              <w:rPr>
                <w:rFonts w:hint="eastAsia" w:ascii="仿宋" w:hAnsi="仿宋" w:eastAsia="仿宋" w:cs="仿宋"/>
                <w:b/>
                <w:bCs/>
                <w:i w:val="0"/>
                <w:iCs w:val="0"/>
                <w:color w:val="auto"/>
                <w:sz w:val="21"/>
                <w:szCs w:val="21"/>
                <w:highlight w:val="none"/>
              </w:rPr>
              <w:t>社保证明、相关证书复印件、</w:t>
            </w:r>
            <w:r>
              <w:rPr>
                <w:rFonts w:hint="eastAsia" w:ascii="仿宋" w:hAnsi="仿宋" w:eastAsia="仿宋" w:cs="仿宋"/>
                <w:b/>
                <w:bCs/>
                <w:i w:val="0"/>
                <w:iCs w:val="0"/>
                <w:color w:val="auto"/>
                <w:sz w:val="21"/>
                <w:szCs w:val="21"/>
                <w:highlight w:val="none"/>
                <w:lang w:val="en-US" w:eastAsia="zh-CN"/>
              </w:rPr>
              <w:t>毕业证书复印件、</w:t>
            </w:r>
            <w:r>
              <w:rPr>
                <w:rFonts w:hint="eastAsia" w:ascii="仿宋" w:hAnsi="仿宋" w:eastAsia="仿宋" w:cs="仿宋"/>
                <w:b/>
                <w:bCs/>
                <w:i w:val="0"/>
                <w:iCs w:val="0"/>
                <w:color w:val="auto"/>
                <w:sz w:val="21"/>
                <w:szCs w:val="21"/>
                <w:highlight w:val="none"/>
                <w:lang w:eastAsia="zh-CN"/>
              </w:rPr>
              <w:t>工作经验年限证明</w:t>
            </w:r>
            <w:r>
              <w:rPr>
                <w:rFonts w:hint="eastAsia" w:ascii="仿宋" w:hAnsi="仿宋" w:eastAsia="仿宋" w:cs="仿宋"/>
                <w:b/>
                <w:bCs/>
                <w:i w:val="0"/>
                <w:iCs w:val="0"/>
                <w:color w:val="auto"/>
                <w:sz w:val="21"/>
                <w:szCs w:val="21"/>
                <w:highlight w:val="none"/>
              </w:rPr>
              <w:t>等材料。</w:t>
            </w:r>
            <w:r>
              <w:rPr>
                <w:rFonts w:hint="eastAsia" w:ascii="仿宋" w:hAnsi="仿宋" w:eastAsia="仿宋" w:cs="仿宋"/>
                <w:b/>
                <w:bCs/>
                <w:i w:val="0"/>
                <w:iCs w:val="0"/>
                <w:color w:val="auto"/>
                <w:sz w:val="21"/>
                <w:szCs w:val="21"/>
                <w:highlight w:val="none"/>
                <w:lang w:eastAsia="zh-CN"/>
              </w:rPr>
              <w:t>（相关工作经验年限证明：提供工作单位合同及相应时间的社保证明或提供工作单位开具的工作证明材料及相应时间的社保证明，工作单位合同和工作单位开具的工作证明材料需要体现人员的工作岗位和部门。）以上证明材料缺少或未达到招标文件要求的，为无效，该项不得分。</w:t>
            </w:r>
          </w:p>
        </w:tc>
        <w:tc>
          <w:tcPr>
            <w:tcW w:w="766" w:type="dxa"/>
            <w:shd w:val="clear" w:color="auto" w:fill="auto"/>
            <w:vAlign w:val="center"/>
          </w:tcPr>
          <w:p w14:paraId="3C96854E">
            <w:pPr>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分</w:t>
            </w:r>
          </w:p>
        </w:tc>
        <w:tc>
          <w:tcPr>
            <w:tcW w:w="1426" w:type="dxa"/>
          </w:tcPr>
          <w:p w14:paraId="314CBAA7">
            <w:pPr>
              <w:spacing w:line="276" w:lineRule="auto"/>
              <w:outlineLvl w:val="0"/>
              <w:rPr>
                <w:rFonts w:hint="eastAsia" w:ascii="仿宋" w:hAnsi="仿宋" w:eastAsia="仿宋" w:cs="仿宋"/>
                <w:color w:val="auto"/>
                <w:sz w:val="21"/>
                <w:szCs w:val="21"/>
                <w:highlight w:val="none"/>
              </w:rPr>
            </w:pPr>
          </w:p>
        </w:tc>
      </w:tr>
      <w:tr w14:paraId="33F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58785DED">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85" w:type="dxa"/>
            <w:shd w:val="clear" w:color="auto" w:fill="auto"/>
            <w:vAlign w:val="center"/>
          </w:tcPr>
          <w:p w14:paraId="5FFEA54F">
            <w:pPr>
              <w:pStyle w:val="41"/>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i w:val="0"/>
                <w:iCs w:val="0"/>
                <w:color w:val="auto"/>
                <w:kern w:val="2"/>
                <w:sz w:val="21"/>
                <w:szCs w:val="21"/>
                <w:highlight w:val="none"/>
                <w:vertAlign w:val="baseline"/>
                <w:lang w:val="en-US" w:eastAsia="zh-CN" w:bidi="ar-SA"/>
              </w:rPr>
              <w:t>对项目理解</w:t>
            </w:r>
          </w:p>
        </w:tc>
        <w:tc>
          <w:tcPr>
            <w:tcW w:w="5889" w:type="dxa"/>
            <w:shd w:val="clear" w:color="auto" w:fill="auto"/>
            <w:vAlign w:val="center"/>
          </w:tcPr>
          <w:p w14:paraId="1B72F5B9">
            <w:pPr>
              <w:widowControl/>
              <w:wordWrap/>
              <w:topLinePunct w:val="0"/>
              <w:bidi w:val="0"/>
              <w:snapToGrid w:val="0"/>
              <w:spacing w:line="30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根据投标人对本项目范围内建设工程消防验收技术服务工作内容和重点的了解程度，包括但不限于认识程度准确性、认识深度；资料收集以及分析的思路；制定规划验收技术路线等。</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shd w:val="clear" w:color="auto" w:fill="auto"/>
            <w:vAlign w:val="center"/>
          </w:tcPr>
          <w:p w14:paraId="163A261D">
            <w:pPr>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1426" w:type="dxa"/>
          </w:tcPr>
          <w:p w14:paraId="2EF16FE8">
            <w:pPr>
              <w:spacing w:line="276" w:lineRule="auto"/>
              <w:outlineLvl w:val="0"/>
              <w:rPr>
                <w:rFonts w:hint="eastAsia" w:ascii="仿宋" w:hAnsi="仿宋" w:eastAsia="仿宋" w:cs="仿宋"/>
                <w:color w:val="auto"/>
                <w:sz w:val="21"/>
                <w:szCs w:val="21"/>
                <w:highlight w:val="none"/>
              </w:rPr>
            </w:pPr>
          </w:p>
        </w:tc>
      </w:tr>
      <w:tr w14:paraId="416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Align w:val="center"/>
          </w:tcPr>
          <w:p w14:paraId="749EDCE7">
            <w:pPr>
              <w:pStyle w:val="12"/>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185" w:type="dxa"/>
            <w:vAlign w:val="center"/>
          </w:tcPr>
          <w:p w14:paraId="7A1FF04C">
            <w:pPr>
              <w:pStyle w:val="41"/>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sz w:val="21"/>
                <w:szCs w:val="21"/>
                <w:highlight w:val="none"/>
                <w:vertAlign w:val="baseline"/>
                <w:lang w:val="zh-TW" w:eastAsia="zh-CN"/>
              </w:rPr>
              <w:t>实施方案</w:t>
            </w:r>
          </w:p>
        </w:tc>
        <w:tc>
          <w:tcPr>
            <w:tcW w:w="5889" w:type="dxa"/>
            <w:vAlign w:val="center"/>
          </w:tcPr>
          <w:p w14:paraId="0E6AE061">
            <w:pPr>
              <w:widowControl/>
              <w:numPr>
                <w:ilvl w:val="0"/>
                <w:numId w:val="0"/>
              </w:numPr>
              <w:wordWrap/>
              <w:topLinePunct w:val="0"/>
              <w:bidi w:val="0"/>
              <w:snapToGrid w:val="0"/>
              <w:spacing w:line="300" w:lineRule="auto"/>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rPr>
              <w:t>根据投标人对</w:t>
            </w:r>
            <w:r>
              <w:rPr>
                <w:rFonts w:hint="eastAsia" w:ascii="仿宋" w:hAnsi="仿宋" w:eastAsia="仿宋" w:cs="仿宋"/>
                <w:color w:val="auto"/>
                <w:sz w:val="21"/>
                <w:szCs w:val="21"/>
                <w:highlight w:val="none"/>
                <w:lang w:val="en-US" w:eastAsia="zh-CN"/>
              </w:rPr>
              <w:t>本</w:t>
            </w:r>
            <w:r>
              <w:rPr>
                <w:rFonts w:hint="eastAsia" w:ascii="仿宋" w:hAnsi="仿宋" w:eastAsia="仿宋" w:cs="仿宋"/>
                <w:color w:val="auto"/>
                <w:sz w:val="21"/>
                <w:szCs w:val="21"/>
                <w:highlight w:val="none"/>
              </w:rPr>
              <w:t>项目消防验收技术服务实施方案科学性、完整性进行打分；</w:t>
            </w:r>
            <w:r>
              <w:rPr>
                <w:rFonts w:hint="eastAsia" w:ascii="仿宋" w:hAnsi="仿宋" w:eastAsia="仿宋" w:cs="仿宋"/>
                <w:i w:val="0"/>
                <w:iCs w:val="0"/>
                <w:color w:val="auto"/>
                <w:sz w:val="21"/>
                <w:szCs w:val="21"/>
                <w:highlight w:val="none"/>
                <w:lang w:val="en-US" w:eastAsia="zh-CN"/>
              </w:rPr>
              <w:t>包括但不限于编制方案可行性、详细程度；与招标文件要求的符合程度；对于采购方实施环境的熟悉程度。</w:t>
            </w:r>
          </w:p>
          <w:p w14:paraId="360374B0">
            <w:pPr>
              <w:widowControl/>
              <w:numPr>
                <w:ilvl w:val="0"/>
                <w:numId w:val="0"/>
              </w:numPr>
              <w:wordWrap/>
              <w:topLinePunct w:val="0"/>
              <w:bidi w:val="0"/>
              <w:snapToGrid w:val="0"/>
              <w:spacing w:line="30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20D6125A">
            <w:pPr>
              <w:widowControl/>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1426" w:type="dxa"/>
          </w:tcPr>
          <w:p w14:paraId="6228F902">
            <w:pPr>
              <w:spacing w:line="276" w:lineRule="auto"/>
              <w:outlineLvl w:val="0"/>
              <w:rPr>
                <w:rFonts w:hint="eastAsia" w:ascii="仿宋" w:hAnsi="仿宋" w:eastAsia="仿宋" w:cs="仿宋"/>
                <w:color w:val="auto"/>
                <w:sz w:val="21"/>
                <w:szCs w:val="21"/>
                <w:highlight w:val="none"/>
              </w:rPr>
            </w:pPr>
          </w:p>
        </w:tc>
      </w:tr>
      <w:tr w14:paraId="423B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restart"/>
            <w:vAlign w:val="center"/>
          </w:tcPr>
          <w:p w14:paraId="3F16AFF2">
            <w:pPr>
              <w:pStyle w:val="12"/>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185" w:type="dxa"/>
            <w:vMerge w:val="restart"/>
            <w:vAlign w:val="center"/>
          </w:tcPr>
          <w:p w14:paraId="15C9FBE9">
            <w:pPr>
              <w:widowControl/>
              <w:wordWrap/>
              <w:topLinePunct w:val="0"/>
              <w:bidi w:val="0"/>
              <w:snapToGrid w:val="0"/>
              <w:spacing w:line="300" w:lineRule="auto"/>
              <w:jc w:val="center"/>
              <w:rPr>
                <w:rFonts w:hint="eastAsia" w:ascii="仿宋" w:hAnsi="仿宋" w:eastAsia="仿宋" w:cs="仿宋"/>
                <w:snapToGrid w:val="0"/>
                <w:color w:val="auto"/>
                <w:sz w:val="21"/>
                <w:szCs w:val="21"/>
                <w:highlight w:val="none"/>
              </w:rPr>
            </w:pPr>
            <w:r>
              <w:rPr>
                <w:rFonts w:hint="eastAsia" w:ascii="仿宋" w:hAnsi="仿宋" w:eastAsia="仿宋" w:cs="仿宋"/>
                <w:i w:val="0"/>
                <w:iCs w:val="0"/>
                <w:color w:val="auto"/>
                <w:sz w:val="21"/>
                <w:szCs w:val="21"/>
                <w:highlight w:val="none"/>
              </w:rPr>
              <w:t>风险防控方案</w:t>
            </w:r>
          </w:p>
        </w:tc>
        <w:tc>
          <w:tcPr>
            <w:tcW w:w="5889" w:type="dxa"/>
            <w:vAlign w:val="center"/>
          </w:tcPr>
          <w:p w14:paraId="03FEEEF6">
            <w:pPr>
              <w:widowControl/>
              <w:numPr>
                <w:ilvl w:val="0"/>
                <w:numId w:val="0"/>
              </w:numPr>
              <w:wordWrap/>
              <w:topLinePunct w:val="0"/>
              <w:bidi w:val="0"/>
              <w:snapToGrid w:val="0"/>
              <w:spacing w:line="300" w:lineRule="auto"/>
              <w:jc w:val="left"/>
              <w:rPr>
                <w:rFonts w:hint="eastAsia" w:ascii="仿宋" w:hAnsi="仿宋" w:eastAsia="仿宋" w:cs="仿宋"/>
                <w:snapToGrid w:val="0"/>
                <w:color w:val="auto"/>
                <w:sz w:val="21"/>
                <w:szCs w:val="21"/>
                <w:highlight w:val="none"/>
                <w:lang w:val="zh-CN"/>
              </w:rPr>
            </w:pPr>
            <w:r>
              <w:rPr>
                <w:rFonts w:hint="eastAsia" w:ascii="仿宋" w:hAnsi="仿宋" w:eastAsia="仿宋" w:cs="仿宋"/>
                <w:color w:val="auto"/>
                <w:sz w:val="21"/>
                <w:szCs w:val="21"/>
                <w:highlight w:val="none"/>
                <w:lang w:val="en-US" w:eastAsia="zh-CN"/>
              </w:rPr>
              <w:t>根</w:t>
            </w:r>
            <w:r>
              <w:rPr>
                <w:rFonts w:hint="eastAsia" w:ascii="仿宋" w:hAnsi="仿宋" w:eastAsia="仿宋" w:cs="仿宋"/>
                <w:color w:val="auto"/>
                <w:sz w:val="21"/>
                <w:szCs w:val="21"/>
                <w:highlight w:val="none"/>
              </w:rPr>
              <w:t>据投标人</w:t>
            </w:r>
            <w:r>
              <w:rPr>
                <w:rFonts w:hint="eastAsia" w:ascii="仿宋" w:hAnsi="仿宋" w:eastAsia="仿宋" w:cs="仿宋"/>
                <w:i w:val="0"/>
                <w:iCs w:val="0"/>
                <w:color w:val="auto"/>
                <w:sz w:val="21"/>
                <w:szCs w:val="21"/>
                <w:highlight w:val="none"/>
                <w:lang w:val="en-US" w:eastAsia="zh-CN"/>
              </w:rPr>
              <w:t>对本项目消防验收技术服务完整的风险控制预案进行打分。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满分4分，评分范围：4,3,2,1</w:t>
            </w:r>
            <w:r>
              <w:rPr>
                <w:rFonts w:hint="eastAsia" w:ascii="仿宋" w:hAnsi="仿宋" w:eastAsia="仿宋" w:cs="仿宋"/>
                <w:i w:val="0"/>
                <w:iCs w:val="0"/>
                <w:color w:val="auto"/>
                <w:sz w:val="21"/>
                <w:szCs w:val="21"/>
                <w:highlight w:val="none"/>
                <w:lang w:eastAsia="zh-CN"/>
              </w:rPr>
              <w:t>）</w:t>
            </w:r>
          </w:p>
        </w:tc>
        <w:tc>
          <w:tcPr>
            <w:tcW w:w="766" w:type="dxa"/>
            <w:vMerge w:val="restart"/>
            <w:vAlign w:val="center"/>
          </w:tcPr>
          <w:p w14:paraId="76837421">
            <w:pPr>
              <w:snapToGrid w:val="0"/>
              <w:spacing w:line="276" w:lineRule="auto"/>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8分</w:t>
            </w:r>
          </w:p>
        </w:tc>
        <w:tc>
          <w:tcPr>
            <w:tcW w:w="1426" w:type="dxa"/>
            <w:vMerge w:val="restart"/>
          </w:tcPr>
          <w:p w14:paraId="5B898DDD">
            <w:pPr>
              <w:spacing w:line="276" w:lineRule="auto"/>
              <w:outlineLvl w:val="0"/>
              <w:rPr>
                <w:rFonts w:hint="eastAsia" w:ascii="仿宋" w:hAnsi="仿宋" w:eastAsia="仿宋" w:cs="仿宋"/>
                <w:color w:val="auto"/>
                <w:sz w:val="21"/>
                <w:szCs w:val="21"/>
                <w:highlight w:val="none"/>
              </w:rPr>
            </w:pPr>
          </w:p>
        </w:tc>
      </w:tr>
      <w:tr w14:paraId="575A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vAlign w:val="center"/>
          </w:tcPr>
          <w:p w14:paraId="79E351FC">
            <w:pPr>
              <w:pStyle w:val="12"/>
              <w:snapToGrid w:val="0"/>
              <w:spacing w:line="276" w:lineRule="auto"/>
              <w:jc w:val="center"/>
              <w:rPr>
                <w:rFonts w:hint="eastAsia" w:ascii="仿宋" w:hAnsi="仿宋" w:eastAsia="仿宋" w:cs="仿宋"/>
                <w:color w:val="auto"/>
                <w:sz w:val="21"/>
                <w:szCs w:val="21"/>
                <w:highlight w:val="none"/>
                <w:lang w:val="en-US" w:eastAsia="zh-CN"/>
              </w:rPr>
            </w:pPr>
          </w:p>
        </w:tc>
        <w:tc>
          <w:tcPr>
            <w:tcW w:w="1185" w:type="dxa"/>
            <w:vMerge w:val="continue"/>
            <w:vAlign w:val="center"/>
          </w:tcPr>
          <w:p w14:paraId="04A5A034">
            <w:pPr>
              <w:widowControl/>
              <w:wordWrap/>
              <w:topLinePunct w:val="0"/>
              <w:bidi w:val="0"/>
              <w:snapToGrid w:val="0"/>
              <w:spacing w:line="300" w:lineRule="auto"/>
              <w:jc w:val="left"/>
              <w:rPr>
                <w:rFonts w:hint="eastAsia" w:ascii="仿宋" w:hAnsi="仿宋" w:eastAsia="仿宋" w:cs="仿宋"/>
                <w:snapToGrid w:val="0"/>
                <w:color w:val="auto"/>
                <w:sz w:val="21"/>
                <w:szCs w:val="21"/>
                <w:highlight w:val="none"/>
              </w:rPr>
            </w:pPr>
          </w:p>
        </w:tc>
        <w:tc>
          <w:tcPr>
            <w:tcW w:w="5889" w:type="dxa"/>
            <w:vAlign w:val="center"/>
          </w:tcPr>
          <w:p w14:paraId="72CF5F0A">
            <w:pPr>
              <w:widowControl/>
              <w:numPr>
                <w:ilvl w:val="0"/>
                <w:numId w:val="0"/>
              </w:numPr>
              <w:wordWrap/>
              <w:topLinePunct w:val="0"/>
              <w:bidi w:val="0"/>
              <w:snapToGrid w:val="0"/>
              <w:spacing w:line="300" w:lineRule="auto"/>
              <w:jc w:val="left"/>
              <w:rPr>
                <w:rFonts w:hint="eastAsia" w:ascii="仿宋" w:hAnsi="仿宋" w:eastAsia="仿宋" w:cs="仿宋"/>
                <w:snapToGrid w:val="0"/>
                <w:color w:val="auto"/>
                <w:sz w:val="21"/>
                <w:szCs w:val="21"/>
                <w:highlight w:val="none"/>
                <w:lang w:val="zh-CN"/>
              </w:rPr>
            </w:pPr>
            <w:r>
              <w:rPr>
                <w:rFonts w:hint="eastAsia" w:ascii="仿宋" w:hAnsi="仿宋" w:eastAsia="仿宋" w:cs="仿宋"/>
                <w:i w:val="0"/>
                <w:iCs w:val="0"/>
                <w:color w:val="auto"/>
                <w:sz w:val="21"/>
                <w:szCs w:val="21"/>
                <w:highlight w:val="none"/>
                <w:lang w:val="en-US" w:eastAsia="zh-CN"/>
              </w:rPr>
              <w:t>根据投标人对本项目风险控制预案能确保项目消防验收技术服务目标按时达成，完善的保障措施进行打分。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满分4分，评分范围：4,3,2,1</w:t>
            </w:r>
            <w:r>
              <w:rPr>
                <w:rFonts w:hint="eastAsia" w:ascii="仿宋" w:hAnsi="仿宋" w:eastAsia="仿宋" w:cs="仿宋"/>
                <w:i w:val="0"/>
                <w:iCs w:val="0"/>
                <w:color w:val="auto"/>
                <w:sz w:val="21"/>
                <w:szCs w:val="21"/>
                <w:highlight w:val="none"/>
                <w:lang w:eastAsia="zh-CN"/>
              </w:rPr>
              <w:t>）</w:t>
            </w:r>
          </w:p>
        </w:tc>
        <w:tc>
          <w:tcPr>
            <w:tcW w:w="766" w:type="dxa"/>
            <w:vMerge w:val="continue"/>
            <w:vAlign w:val="center"/>
          </w:tcPr>
          <w:p w14:paraId="462224BF">
            <w:pPr>
              <w:snapToGrid w:val="0"/>
              <w:spacing w:line="276" w:lineRule="auto"/>
              <w:jc w:val="center"/>
              <w:rPr>
                <w:rFonts w:hint="eastAsia" w:ascii="仿宋" w:hAnsi="仿宋" w:eastAsia="仿宋" w:cs="仿宋"/>
                <w:snapToGrid w:val="0"/>
                <w:color w:val="auto"/>
                <w:sz w:val="21"/>
                <w:szCs w:val="21"/>
                <w:highlight w:val="none"/>
              </w:rPr>
            </w:pPr>
          </w:p>
        </w:tc>
        <w:tc>
          <w:tcPr>
            <w:tcW w:w="1426" w:type="dxa"/>
            <w:vMerge w:val="continue"/>
          </w:tcPr>
          <w:p w14:paraId="563A1B10">
            <w:pPr>
              <w:spacing w:line="276" w:lineRule="auto"/>
              <w:outlineLvl w:val="0"/>
              <w:rPr>
                <w:rFonts w:hint="eastAsia" w:ascii="仿宋" w:hAnsi="仿宋" w:eastAsia="仿宋" w:cs="仿宋"/>
                <w:color w:val="auto"/>
                <w:sz w:val="21"/>
                <w:szCs w:val="21"/>
                <w:highlight w:val="none"/>
              </w:rPr>
            </w:pPr>
          </w:p>
        </w:tc>
      </w:tr>
      <w:tr w14:paraId="2265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79" w:type="dxa"/>
            <w:vAlign w:val="center"/>
          </w:tcPr>
          <w:p w14:paraId="5F7B8F21">
            <w:pPr>
              <w:pStyle w:val="12"/>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1185" w:type="dxa"/>
            <w:vAlign w:val="center"/>
          </w:tcPr>
          <w:p w14:paraId="04BC7823">
            <w:pPr>
              <w:widowControl/>
              <w:wordWrap/>
              <w:topLinePunct w:val="0"/>
              <w:bidi w:val="0"/>
              <w:snapToGrid w:val="0"/>
              <w:spacing w:line="300" w:lineRule="auto"/>
              <w:jc w:val="center"/>
              <w:rPr>
                <w:rFonts w:hint="eastAsia" w:ascii="仿宋" w:hAnsi="仿宋" w:eastAsia="仿宋" w:cs="仿宋"/>
                <w:bCs/>
                <w:color w:val="auto"/>
                <w:sz w:val="21"/>
                <w:szCs w:val="21"/>
                <w:highlight w:val="none"/>
              </w:rPr>
            </w:pPr>
            <w:r>
              <w:rPr>
                <w:rFonts w:hint="eastAsia" w:ascii="仿宋" w:hAnsi="仿宋" w:eastAsia="仿宋" w:cs="仿宋"/>
                <w:i w:val="0"/>
                <w:iCs w:val="0"/>
                <w:color w:val="auto"/>
                <w:sz w:val="21"/>
                <w:szCs w:val="21"/>
                <w:highlight w:val="none"/>
              </w:rPr>
              <w:t>组织机构、管理制度</w:t>
            </w:r>
          </w:p>
        </w:tc>
        <w:tc>
          <w:tcPr>
            <w:tcW w:w="5889" w:type="dxa"/>
            <w:vAlign w:val="center"/>
          </w:tcPr>
          <w:p w14:paraId="6459D586">
            <w:pPr>
              <w:widowControl/>
              <w:numPr>
                <w:ilvl w:val="0"/>
                <w:numId w:val="0"/>
              </w:numPr>
              <w:wordWrap/>
              <w:topLinePunct w:val="0"/>
              <w:bidi w:val="0"/>
              <w:snapToGrid w:val="0"/>
              <w:spacing w:line="300" w:lineRule="auto"/>
              <w:ind w:leftChars="0"/>
              <w:jc w:val="left"/>
              <w:rPr>
                <w:rFonts w:hint="default" w:ascii="仿宋" w:hAnsi="仿宋" w:eastAsia="仿宋" w:cs="仿宋"/>
                <w:bCs/>
                <w:color w:val="auto"/>
                <w:sz w:val="21"/>
                <w:szCs w:val="21"/>
                <w:highlight w:val="none"/>
                <w:lang w:val="en-US"/>
              </w:rPr>
            </w:pPr>
            <w:r>
              <w:rPr>
                <w:rFonts w:hint="eastAsia" w:ascii="仿宋" w:hAnsi="仿宋" w:eastAsia="仿宋" w:cs="仿宋"/>
                <w:color w:val="auto"/>
                <w:kern w:val="2"/>
                <w:sz w:val="21"/>
                <w:szCs w:val="21"/>
                <w:highlight w:val="none"/>
                <w:lang w:val="en-US" w:eastAsia="zh-CN"/>
              </w:rPr>
              <w:t>投标人有完善的组织架构，包括组织管理、组织架构、岗位设置、监督机制、岗位职责进行打分。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4E57FFE0">
            <w:pPr>
              <w:snapToGrid w:val="0"/>
              <w:spacing w:line="276"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5分</w:t>
            </w:r>
          </w:p>
        </w:tc>
        <w:tc>
          <w:tcPr>
            <w:tcW w:w="1426" w:type="dxa"/>
          </w:tcPr>
          <w:p w14:paraId="240F7172">
            <w:pPr>
              <w:spacing w:line="276" w:lineRule="auto"/>
              <w:outlineLvl w:val="0"/>
              <w:rPr>
                <w:rFonts w:hint="eastAsia" w:ascii="仿宋" w:hAnsi="仿宋" w:eastAsia="仿宋" w:cs="仿宋"/>
                <w:color w:val="auto"/>
                <w:sz w:val="21"/>
                <w:szCs w:val="21"/>
                <w:highlight w:val="none"/>
              </w:rPr>
            </w:pPr>
          </w:p>
        </w:tc>
      </w:tr>
      <w:tr w14:paraId="4C38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79" w:type="dxa"/>
            <w:vAlign w:val="center"/>
          </w:tcPr>
          <w:p w14:paraId="469704BF">
            <w:pPr>
              <w:pStyle w:val="12"/>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1185" w:type="dxa"/>
            <w:vAlign w:val="center"/>
          </w:tcPr>
          <w:p w14:paraId="4F1A7C6C">
            <w:pPr>
              <w:widowControl/>
              <w:wordWrap/>
              <w:topLinePunct w:val="0"/>
              <w:bidi w:val="0"/>
              <w:snapToGrid w:val="0"/>
              <w:spacing w:line="300" w:lineRule="auto"/>
              <w:jc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质量保证措施</w:t>
            </w:r>
          </w:p>
        </w:tc>
        <w:tc>
          <w:tcPr>
            <w:tcW w:w="5889" w:type="dxa"/>
            <w:vAlign w:val="center"/>
          </w:tcPr>
          <w:p w14:paraId="5FEF2C28">
            <w:pPr>
              <w:widowControl/>
              <w:wordWrap/>
              <w:topLinePunct w:val="0"/>
              <w:bidi w:val="0"/>
              <w:snapToGrid w:val="0"/>
              <w:spacing w:line="30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根据投标人</w:t>
            </w:r>
            <w:r>
              <w:rPr>
                <w:rFonts w:hint="eastAsia" w:ascii="仿宋" w:hAnsi="仿宋" w:eastAsia="仿宋" w:cs="仿宋"/>
                <w:i w:val="0"/>
                <w:iCs w:val="0"/>
                <w:color w:val="auto"/>
                <w:sz w:val="21"/>
                <w:szCs w:val="21"/>
                <w:highlight w:val="none"/>
                <w:lang w:val="en-US" w:eastAsia="zh-CN"/>
              </w:rPr>
              <w:t>消防验收技术服务</w:t>
            </w:r>
            <w:r>
              <w:rPr>
                <w:rFonts w:hint="eastAsia" w:ascii="仿宋" w:hAnsi="仿宋" w:eastAsia="仿宋" w:cs="仿宋"/>
                <w:i w:val="0"/>
                <w:iCs w:val="0"/>
                <w:color w:val="auto"/>
                <w:sz w:val="21"/>
                <w:szCs w:val="21"/>
                <w:highlight w:val="none"/>
              </w:rPr>
              <w:t>质量保证体系</w:t>
            </w:r>
            <w:r>
              <w:rPr>
                <w:rFonts w:hint="eastAsia" w:ascii="仿宋" w:hAnsi="仿宋" w:eastAsia="仿宋" w:cs="仿宋"/>
                <w:color w:val="auto"/>
                <w:kern w:val="2"/>
                <w:sz w:val="21"/>
                <w:szCs w:val="21"/>
                <w:highlight w:val="none"/>
                <w:lang w:val="en-US" w:eastAsia="zh-CN"/>
              </w:rPr>
              <w:t>；包括质量目标、质量保证措施、安全保障措施、质量监管方法及措施、监管配合、奖罚措施。</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满分4分，评分范围：4,3,2,1</w:t>
            </w:r>
            <w:r>
              <w:rPr>
                <w:rFonts w:hint="eastAsia" w:ascii="仿宋" w:hAnsi="仿宋" w:eastAsia="仿宋" w:cs="仿宋"/>
                <w:i w:val="0"/>
                <w:iCs w:val="0"/>
                <w:color w:val="auto"/>
                <w:sz w:val="21"/>
                <w:szCs w:val="21"/>
                <w:highlight w:val="none"/>
                <w:lang w:eastAsia="zh-CN"/>
              </w:rPr>
              <w:t>）</w:t>
            </w:r>
          </w:p>
        </w:tc>
        <w:tc>
          <w:tcPr>
            <w:tcW w:w="766" w:type="dxa"/>
            <w:vAlign w:val="center"/>
          </w:tcPr>
          <w:p w14:paraId="19A08618">
            <w:pPr>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4分</w:t>
            </w:r>
          </w:p>
        </w:tc>
        <w:tc>
          <w:tcPr>
            <w:tcW w:w="1426" w:type="dxa"/>
          </w:tcPr>
          <w:p w14:paraId="2A5E52BB">
            <w:pPr>
              <w:spacing w:line="276" w:lineRule="auto"/>
              <w:outlineLvl w:val="0"/>
              <w:rPr>
                <w:rFonts w:hint="eastAsia" w:ascii="仿宋" w:hAnsi="仿宋" w:eastAsia="仿宋" w:cs="仿宋"/>
                <w:color w:val="auto"/>
                <w:sz w:val="21"/>
                <w:szCs w:val="21"/>
                <w:highlight w:val="none"/>
              </w:rPr>
            </w:pPr>
          </w:p>
        </w:tc>
      </w:tr>
      <w:tr w14:paraId="2EC6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9" w:type="dxa"/>
            <w:vAlign w:val="center"/>
          </w:tcPr>
          <w:p w14:paraId="5FA8F589">
            <w:pPr>
              <w:pStyle w:val="12"/>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1185" w:type="dxa"/>
            <w:shd w:val="clear" w:color="auto" w:fill="auto"/>
            <w:vAlign w:val="center"/>
          </w:tcPr>
          <w:p w14:paraId="2C364842">
            <w:pPr>
              <w:widowControl/>
              <w:wordWrap/>
              <w:topLinePunct w:val="0"/>
              <w:bidi w:val="0"/>
              <w:snapToGrid w:val="0"/>
              <w:spacing w:line="300" w:lineRule="auto"/>
              <w:jc w:val="center"/>
              <w:rPr>
                <w:rFonts w:hint="eastAsia" w:ascii="仿宋" w:hAnsi="仿宋" w:eastAsia="仿宋" w:cs="仿宋"/>
                <w:b w:val="0"/>
                <w:bCs w:val="0"/>
                <w:i w:val="0"/>
                <w:iCs w:val="0"/>
                <w:color w:val="auto"/>
                <w:kern w:val="2"/>
                <w:sz w:val="21"/>
                <w:szCs w:val="21"/>
                <w:highlight w:val="none"/>
                <w:vertAlign w:val="baseline"/>
                <w:lang w:val="en-US" w:eastAsia="zh-CN" w:bidi="ar-SA"/>
              </w:rPr>
            </w:pPr>
            <w:r>
              <w:rPr>
                <w:rFonts w:hint="eastAsia" w:ascii="仿宋" w:hAnsi="仿宋" w:eastAsia="仿宋" w:cs="仿宋"/>
                <w:b w:val="0"/>
                <w:bCs w:val="0"/>
                <w:i w:val="0"/>
                <w:iCs w:val="0"/>
                <w:color w:val="auto"/>
                <w:sz w:val="21"/>
                <w:szCs w:val="21"/>
                <w:highlight w:val="none"/>
                <w:lang w:val="en-US" w:eastAsia="zh-CN"/>
              </w:rPr>
              <w:t>管理制度</w:t>
            </w:r>
          </w:p>
        </w:tc>
        <w:tc>
          <w:tcPr>
            <w:tcW w:w="5889" w:type="dxa"/>
            <w:shd w:val="clear" w:color="auto" w:fill="auto"/>
            <w:vAlign w:val="center"/>
          </w:tcPr>
          <w:p w14:paraId="3A969965">
            <w:pPr>
              <w:widowControl/>
              <w:wordWrap/>
              <w:adjustRightInd/>
              <w:snapToGrid/>
              <w:spacing w:before="0" w:beforeAutospacing="0" w:after="0" w:afterAutospacing="0" w:line="312" w:lineRule="auto"/>
              <w:ind w:left="0" w:leftChars="0" w:right="0"/>
              <w:jc w:val="left"/>
              <w:textAlignment w:val="auto"/>
              <w:rPr>
                <w:rFonts w:hint="eastAsia" w:ascii="仿宋" w:hAnsi="仿宋" w:eastAsia="仿宋" w:cs="仿宋"/>
                <w:b w:val="0"/>
                <w:bCs w:val="0"/>
                <w:i w:val="0"/>
                <w:iCs w:val="0"/>
                <w:color w:val="auto"/>
                <w:kern w:val="2"/>
                <w:sz w:val="21"/>
                <w:szCs w:val="21"/>
                <w:highlight w:val="none"/>
                <w:vertAlign w:val="baseline"/>
                <w:lang w:val="zh-TW" w:eastAsia="zh-CN" w:bidi="ar-SA"/>
              </w:rPr>
            </w:pPr>
            <w:r>
              <w:rPr>
                <w:rFonts w:hint="eastAsia" w:ascii="仿宋" w:hAnsi="仿宋" w:eastAsia="仿宋" w:cs="仿宋"/>
                <w:b w:val="0"/>
                <w:bCs w:val="0"/>
                <w:color w:val="auto"/>
                <w:kern w:val="2"/>
                <w:sz w:val="21"/>
                <w:szCs w:val="21"/>
                <w:highlight w:val="none"/>
                <w:lang w:val="en-US" w:eastAsia="zh-CN"/>
              </w:rPr>
              <w:t>投标人的管理制度包括以下内容：1、廉政措施，2、如何防止出具虚假报告、3、如何规避不按规定验收、4、转包验收业务等违规行为，根据监管制度、措施和惩治办法的合理性、规范性和可操作性进行评分。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02147160">
            <w:pPr>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1426" w:type="dxa"/>
          </w:tcPr>
          <w:p w14:paraId="0C021EB9">
            <w:pPr>
              <w:spacing w:line="276" w:lineRule="auto"/>
              <w:outlineLvl w:val="0"/>
              <w:rPr>
                <w:rFonts w:hint="eastAsia" w:ascii="仿宋" w:hAnsi="仿宋" w:eastAsia="仿宋" w:cs="仿宋"/>
                <w:color w:val="auto"/>
                <w:sz w:val="21"/>
                <w:szCs w:val="21"/>
                <w:highlight w:val="none"/>
              </w:rPr>
            </w:pPr>
          </w:p>
        </w:tc>
      </w:tr>
      <w:tr w14:paraId="7F91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79" w:type="dxa"/>
            <w:vAlign w:val="center"/>
          </w:tcPr>
          <w:p w14:paraId="28E87741">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185" w:type="dxa"/>
            <w:vAlign w:val="center"/>
          </w:tcPr>
          <w:p w14:paraId="7ED056F5">
            <w:pPr>
              <w:widowControl/>
              <w:wordWrap/>
              <w:topLinePunct w:val="0"/>
              <w:bidi w:val="0"/>
              <w:snapToGrid w:val="0"/>
              <w:spacing w:line="300" w:lineRule="auto"/>
              <w:jc w:val="center"/>
              <w:rPr>
                <w:rFonts w:hint="eastAsia" w:ascii="仿宋" w:hAnsi="仿宋" w:eastAsia="仿宋" w:cs="仿宋"/>
                <w:b/>
                <w:bCs/>
                <w:color w:val="auto"/>
                <w:sz w:val="21"/>
                <w:szCs w:val="21"/>
                <w:highlight w:val="none"/>
              </w:rPr>
            </w:pPr>
            <w:r>
              <w:rPr>
                <w:rFonts w:hint="eastAsia" w:ascii="仿宋" w:hAnsi="仿宋" w:eastAsia="仿宋" w:cs="仿宋"/>
                <w:b w:val="0"/>
                <w:bCs w:val="0"/>
                <w:color w:val="auto"/>
                <w:kern w:val="0"/>
                <w:sz w:val="21"/>
                <w:szCs w:val="21"/>
                <w:highlight w:val="none"/>
              </w:rPr>
              <w:t>人员管理方案</w:t>
            </w:r>
          </w:p>
        </w:tc>
        <w:tc>
          <w:tcPr>
            <w:tcW w:w="5889" w:type="dxa"/>
            <w:vAlign w:val="center"/>
          </w:tcPr>
          <w:p w14:paraId="376F4A29">
            <w:pPr>
              <w:widowControl/>
              <w:wordWrap/>
              <w:adjustRightInd/>
              <w:snapToGrid/>
              <w:spacing w:before="0" w:beforeAutospacing="0" w:after="0" w:afterAutospacing="0" w:line="312" w:lineRule="auto"/>
              <w:ind w:left="0" w:leftChars="0" w:right="0"/>
              <w:jc w:val="left"/>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根据</w:t>
            </w:r>
            <w:r>
              <w:rPr>
                <w:rFonts w:hint="eastAsia" w:ascii="仿宋" w:hAnsi="仿宋" w:eastAsia="仿宋" w:cs="仿宋"/>
                <w:b w:val="0"/>
                <w:bCs w:val="0"/>
                <w:color w:val="auto"/>
                <w:sz w:val="21"/>
                <w:szCs w:val="21"/>
                <w:highlight w:val="none"/>
                <w:lang w:val="en-US" w:eastAsia="zh-CN"/>
              </w:rPr>
              <w:t>投标人</w:t>
            </w:r>
            <w:r>
              <w:rPr>
                <w:rFonts w:hint="eastAsia" w:ascii="仿宋" w:hAnsi="仿宋" w:eastAsia="仿宋" w:cs="仿宋"/>
                <w:b w:val="0"/>
                <w:bCs w:val="0"/>
                <w:color w:val="auto"/>
                <w:sz w:val="21"/>
                <w:szCs w:val="21"/>
                <w:highlight w:val="none"/>
              </w:rPr>
              <w:t>提出的人员管理方案，人员考核方案、合同执行期间的人员数量保障方案、服务人员专业能力、人员管理规范、人员培训计划的合理性等内容是否完善</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满分3分，评分范围：3,2,1</w:t>
            </w:r>
            <w:r>
              <w:rPr>
                <w:rFonts w:hint="eastAsia" w:ascii="仿宋" w:hAnsi="仿宋" w:eastAsia="仿宋" w:cs="仿宋"/>
                <w:i w:val="0"/>
                <w:iCs w:val="0"/>
                <w:color w:val="auto"/>
                <w:sz w:val="21"/>
                <w:szCs w:val="21"/>
                <w:highlight w:val="none"/>
                <w:lang w:eastAsia="zh-CN"/>
              </w:rPr>
              <w:t>）</w:t>
            </w:r>
          </w:p>
        </w:tc>
        <w:tc>
          <w:tcPr>
            <w:tcW w:w="766" w:type="dxa"/>
            <w:vAlign w:val="center"/>
          </w:tcPr>
          <w:p w14:paraId="6DA11FD3">
            <w:pPr>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3分</w:t>
            </w:r>
          </w:p>
        </w:tc>
        <w:tc>
          <w:tcPr>
            <w:tcW w:w="1426" w:type="dxa"/>
          </w:tcPr>
          <w:p w14:paraId="153B6E10">
            <w:pPr>
              <w:spacing w:line="276" w:lineRule="auto"/>
              <w:outlineLvl w:val="0"/>
              <w:rPr>
                <w:rFonts w:hint="eastAsia" w:ascii="仿宋" w:hAnsi="仿宋" w:eastAsia="仿宋" w:cs="仿宋"/>
                <w:color w:val="auto"/>
                <w:sz w:val="21"/>
                <w:szCs w:val="21"/>
                <w:highlight w:val="none"/>
              </w:rPr>
            </w:pPr>
          </w:p>
        </w:tc>
      </w:tr>
      <w:tr w14:paraId="4098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79" w:type="dxa"/>
            <w:vAlign w:val="center"/>
          </w:tcPr>
          <w:p w14:paraId="6E772FE0">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185" w:type="dxa"/>
            <w:vAlign w:val="center"/>
          </w:tcPr>
          <w:p w14:paraId="741FB85B">
            <w:pPr>
              <w:widowControl/>
              <w:wordWrap/>
              <w:topLinePunct w:val="0"/>
              <w:bidi w:val="0"/>
              <w:snapToGrid w:val="0"/>
              <w:spacing w:line="300" w:lineRule="auto"/>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kern w:val="0"/>
                <w:sz w:val="21"/>
                <w:szCs w:val="21"/>
                <w:highlight w:val="none"/>
                <w:lang w:val="en-US" w:eastAsia="zh-CN"/>
              </w:rPr>
              <w:t>档案管理制度</w:t>
            </w:r>
          </w:p>
        </w:tc>
        <w:tc>
          <w:tcPr>
            <w:tcW w:w="5889" w:type="dxa"/>
            <w:vAlign w:val="center"/>
          </w:tcPr>
          <w:p w14:paraId="214FD6F2">
            <w:pPr>
              <w:widowControl/>
              <w:wordWrap/>
              <w:adjustRightInd/>
              <w:snapToGrid/>
              <w:spacing w:before="0" w:beforeAutospacing="0" w:after="0" w:afterAutospacing="0" w:line="312" w:lineRule="auto"/>
              <w:ind w:left="0" w:leftChars="0" w:right="0"/>
              <w:jc w:val="left"/>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根据投标人验收项目档案资料管理制度完善情况</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1958C0F9">
            <w:pPr>
              <w:widowControl/>
              <w:wordWrap/>
              <w:topLinePunct w:val="0"/>
              <w:bidi w:val="0"/>
              <w:snapToGrid w:val="0"/>
              <w:spacing w:line="300" w:lineRule="auto"/>
              <w:jc w:val="center"/>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sz w:val="21"/>
                <w:szCs w:val="21"/>
                <w:highlight w:val="none"/>
                <w:vertAlign w:val="baseline"/>
                <w:lang w:val="en-US" w:eastAsia="zh-CN"/>
              </w:rPr>
              <w:t>5分</w:t>
            </w:r>
          </w:p>
        </w:tc>
        <w:tc>
          <w:tcPr>
            <w:tcW w:w="1426" w:type="dxa"/>
          </w:tcPr>
          <w:p w14:paraId="75DEBCFC">
            <w:pPr>
              <w:spacing w:line="276" w:lineRule="auto"/>
              <w:outlineLvl w:val="0"/>
              <w:rPr>
                <w:rFonts w:hint="eastAsia" w:ascii="仿宋" w:hAnsi="仿宋" w:eastAsia="仿宋" w:cs="仿宋"/>
                <w:color w:val="auto"/>
                <w:sz w:val="21"/>
                <w:szCs w:val="21"/>
                <w:highlight w:val="none"/>
              </w:rPr>
            </w:pPr>
          </w:p>
        </w:tc>
      </w:tr>
      <w:tr w14:paraId="564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79" w:type="dxa"/>
            <w:vAlign w:val="center"/>
          </w:tcPr>
          <w:p w14:paraId="2766582F">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185" w:type="dxa"/>
            <w:vAlign w:val="center"/>
          </w:tcPr>
          <w:p w14:paraId="1B606694">
            <w:pPr>
              <w:widowControl/>
              <w:wordWrap/>
              <w:topLinePunct w:val="0"/>
              <w:bidi w:val="0"/>
              <w:snapToGrid w:val="0"/>
              <w:spacing w:line="300" w:lineRule="auto"/>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kern w:val="0"/>
                <w:sz w:val="21"/>
                <w:szCs w:val="21"/>
                <w:highlight w:val="none"/>
              </w:rPr>
              <w:t>工作进度安排</w:t>
            </w:r>
          </w:p>
        </w:tc>
        <w:tc>
          <w:tcPr>
            <w:tcW w:w="5889" w:type="dxa"/>
            <w:shd w:val="clear" w:color="auto" w:fill="auto"/>
            <w:vAlign w:val="center"/>
          </w:tcPr>
          <w:p w14:paraId="59692501">
            <w:pPr>
              <w:widowControl/>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根据投标人验收项目档案资料管理制度完善情况</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shd w:val="clear" w:color="auto" w:fill="auto"/>
            <w:vAlign w:val="center"/>
          </w:tcPr>
          <w:p w14:paraId="29C7946D">
            <w:pPr>
              <w:widowControl/>
              <w:wordWrap/>
              <w:topLinePunct w:val="0"/>
              <w:bidi w:val="0"/>
              <w:snapToGrid w:val="0"/>
              <w:spacing w:line="30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i w:val="0"/>
                <w:iCs w:val="0"/>
                <w:color w:val="auto"/>
                <w:sz w:val="21"/>
                <w:szCs w:val="21"/>
                <w:highlight w:val="none"/>
                <w:vertAlign w:val="baseline"/>
                <w:lang w:val="en-US" w:eastAsia="zh-CN"/>
              </w:rPr>
              <w:t>5分</w:t>
            </w:r>
          </w:p>
        </w:tc>
        <w:tc>
          <w:tcPr>
            <w:tcW w:w="1426" w:type="dxa"/>
          </w:tcPr>
          <w:p w14:paraId="33616CE2">
            <w:pPr>
              <w:spacing w:line="276" w:lineRule="auto"/>
              <w:outlineLvl w:val="0"/>
              <w:rPr>
                <w:rFonts w:hint="eastAsia" w:ascii="仿宋" w:hAnsi="仿宋" w:eastAsia="仿宋" w:cs="仿宋"/>
                <w:color w:val="auto"/>
                <w:sz w:val="21"/>
                <w:szCs w:val="21"/>
                <w:highlight w:val="none"/>
              </w:rPr>
            </w:pPr>
          </w:p>
        </w:tc>
      </w:tr>
      <w:tr w14:paraId="0B6C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79" w:type="dxa"/>
            <w:vAlign w:val="center"/>
          </w:tcPr>
          <w:p w14:paraId="0E24E0FA">
            <w:pPr>
              <w:pStyle w:val="12"/>
              <w:snapToGrid w:val="0"/>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185" w:type="dxa"/>
            <w:vAlign w:val="center"/>
          </w:tcPr>
          <w:p w14:paraId="42048507">
            <w:pPr>
              <w:widowControl/>
              <w:wordWrap/>
              <w:topLinePunct w:val="0"/>
              <w:bidi w:val="0"/>
              <w:snapToGrid w:val="0"/>
              <w:spacing w:line="300" w:lineRule="auto"/>
              <w:jc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成果文件</w:t>
            </w:r>
          </w:p>
        </w:tc>
        <w:tc>
          <w:tcPr>
            <w:tcW w:w="5889" w:type="dxa"/>
            <w:shd w:val="clear" w:color="auto" w:fill="auto"/>
            <w:vAlign w:val="center"/>
          </w:tcPr>
          <w:p w14:paraId="2556FB6F">
            <w:pPr>
              <w:widowControl/>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根据投标人服务成果提交：理解和落实服务内容及要求，突出关键和重点，体现技术服务成效，编制相关技术服务报告。要求提供技术服务报告的文本模板</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shd w:val="clear" w:color="auto" w:fill="auto"/>
            <w:vAlign w:val="center"/>
          </w:tcPr>
          <w:p w14:paraId="337F8077">
            <w:pPr>
              <w:widowControl/>
              <w:wordWrap/>
              <w:topLinePunct w:val="0"/>
              <w:bidi w:val="0"/>
              <w:snapToGrid w:val="0"/>
              <w:spacing w:line="300" w:lineRule="auto"/>
              <w:jc w:val="center"/>
              <w:rPr>
                <w:rFonts w:hint="eastAsia" w:ascii="仿宋" w:hAnsi="仿宋" w:eastAsia="仿宋" w:cs="仿宋"/>
                <w:b w:val="0"/>
                <w:bCs w:val="0"/>
                <w:i w:val="0"/>
                <w:iCs w:val="0"/>
                <w:color w:val="auto"/>
                <w:sz w:val="21"/>
                <w:szCs w:val="21"/>
                <w:highlight w:val="none"/>
                <w:vertAlign w:val="baseline"/>
                <w:lang w:val="en-US" w:eastAsia="zh-CN"/>
              </w:rPr>
            </w:pPr>
            <w:r>
              <w:rPr>
                <w:rFonts w:hint="eastAsia" w:ascii="仿宋" w:hAnsi="仿宋" w:eastAsia="仿宋" w:cs="仿宋"/>
                <w:b w:val="0"/>
                <w:bCs w:val="0"/>
                <w:i w:val="0"/>
                <w:iCs w:val="0"/>
                <w:color w:val="auto"/>
                <w:sz w:val="21"/>
                <w:szCs w:val="21"/>
                <w:highlight w:val="none"/>
                <w:vertAlign w:val="baseline"/>
                <w:lang w:val="en-US" w:eastAsia="zh-CN"/>
              </w:rPr>
              <w:t>5分</w:t>
            </w:r>
          </w:p>
        </w:tc>
        <w:tc>
          <w:tcPr>
            <w:tcW w:w="1426" w:type="dxa"/>
          </w:tcPr>
          <w:p w14:paraId="7AB91A10">
            <w:pPr>
              <w:spacing w:line="276" w:lineRule="auto"/>
              <w:outlineLvl w:val="0"/>
              <w:rPr>
                <w:rFonts w:hint="eastAsia" w:ascii="仿宋" w:hAnsi="仿宋" w:eastAsia="仿宋" w:cs="仿宋"/>
                <w:color w:val="auto"/>
                <w:sz w:val="21"/>
                <w:szCs w:val="21"/>
                <w:highlight w:val="none"/>
              </w:rPr>
            </w:pPr>
          </w:p>
        </w:tc>
      </w:tr>
      <w:tr w14:paraId="7EA6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9" w:type="dxa"/>
            <w:vAlign w:val="center"/>
          </w:tcPr>
          <w:p w14:paraId="12C01C27">
            <w:pPr>
              <w:pStyle w:val="12"/>
              <w:snapToGrid w:val="0"/>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185" w:type="dxa"/>
            <w:vAlign w:val="center"/>
          </w:tcPr>
          <w:p w14:paraId="5269E51F">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技术服务支撑</w:t>
            </w:r>
          </w:p>
        </w:tc>
        <w:tc>
          <w:tcPr>
            <w:tcW w:w="5889" w:type="dxa"/>
            <w:vAlign w:val="center"/>
          </w:tcPr>
          <w:p w14:paraId="1ACB8F8D">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根据投标人提出与消防验收评定相关的工作建议意见，提供技术咨询和疑难问题处理支撑服务，协助征集人做好消防行政管理工作。</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6E3E1D89">
            <w:pPr>
              <w:widowControl/>
              <w:wordWrap/>
              <w:topLinePunct w:val="0"/>
              <w:bidi w:val="0"/>
              <w:snapToGrid w:val="0"/>
              <w:spacing w:line="30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2"/>
                <w:sz w:val="21"/>
                <w:szCs w:val="21"/>
                <w:highlight w:val="none"/>
                <w:lang w:val="en-US" w:eastAsia="zh-CN" w:bidi="ar-SA"/>
              </w:rPr>
              <w:t>5分</w:t>
            </w:r>
          </w:p>
        </w:tc>
        <w:tc>
          <w:tcPr>
            <w:tcW w:w="1426" w:type="dxa"/>
          </w:tcPr>
          <w:p w14:paraId="3886E480">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p>
        </w:tc>
      </w:tr>
      <w:tr w14:paraId="2D9D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9" w:type="dxa"/>
            <w:vAlign w:val="center"/>
          </w:tcPr>
          <w:p w14:paraId="59C5466C">
            <w:pPr>
              <w:pStyle w:val="12"/>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185" w:type="dxa"/>
            <w:vAlign w:val="center"/>
          </w:tcPr>
          <w:p w14:paraId="22969087">
            <w:pPr>
              <w:widowControl/>
              <w:wordWrap/>
              <w:topLinePunct w:val="0"/>
              <w:bidi w:val="0"/>
              <w:snapToGrid w:val="0"/>
              <w:spacing w:line="30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售后服务方案</w:t>
            </w:r>
          </w:p>
        </w:tc>
        <w:tc>
          <w:tcPr>
            <w:tcW w:w="5889" w:type="dxa"/>
            <w:vAlign w:val="center"/>
          </w:tcPr>
          <w:p w14:paraId="28B1FFD3">
            <w:pPr>
              <w:widowControl/>
              <w:wordWrap/>
              <w:topLinePunct w:val="0"/>
              <w:bidi w:val="0"/>
              <w:snapToGrid w:val="0"/>
              <w:spacing w:line="30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投标人具有较强售后服务能力，售后服务响应迅速，售后服务方案科学合理。</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满分5分，评分范围：5,4,3,2,1</w:t>
            </w:r>
            <w:r>
              <w:rPr>
                <w:rFonts w:hint="eastAsia" w:ascii="仿宋" w:hAnsi="仿宋" w:eastAsia="仿宋" w:cs="仿宋"/>
                <w:i w:val="0"/>
                <w:iCs w:val="0"/>
                <w:color w:val="auto"/>
                <w:sz w:val="21"/>
                <w:szCs w:val="21"/>
                <w:highlight w:val="none"/>
                <w:lang w:eastAsia="zh-CN"/>
              </w:rPr>
              <w:t>）</w:t>
            </w:r>
          </w:p>
        </w:tc>
        <w:tc>
          <w:tcPr>
            <w:tcW w:w="766" w:type="dxa"/>
            <w:vAlign w:val="center"/>
          </w:tcPr>
          <w:p w14:paraId="71C194C3">
            <w:pPr>
              <w:widowControl/>
              <w:wordWrap/>
              <w:topLinePunct w:val="0"/>
              <w:bidi w:val="0"/>
              <w:snapToGrid w:val="0"/>
              <w:spacing w:line="300" w:lineRule="auto"/>
              <w:jc w:val="center"/>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5分</w:t>
            </w:r>
          </w:p>
        </w:tc>
        <w:tc>
          <w:tcPr>
            <w:tcW w:w="1426" w:type="dxa"/>
          </w:tcPr>
          <w:p w14:paraId="7948913D">
            <w:pPr>
              <w:spacing w:line="276" w:lineRule="auto"/>
              <w:outlineLvl w:val="0"/>
              <w:rPr>
                <w:rFonts w:hint="eastAsia" w:ascii="仿宋" w:hAnsi="仿宋" w:eastAsia="仿宋" w:cs="仿宋"/>
                <w:color w:val="auto"/>
                <w:sz w:val="21"/>
                <w:szCs w:val="21"/>
                <w:highlight w:val="none"/>
              </w:rPr>
            </w:pPr>
          </w:p>
        </w:tc>
      </w:tr>
      <w:tr w14:paraId="46ED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9" w:type="dxa"/>
            <w:vAlign w:val="center"/>
          </w:tcPr>
          <w:p w14:paraId="3EC299BB">
            <w:pPr>
              <w:pStyle w:val="12"/>
              <w:snapToGrid w:val="0"/>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185" w:type="dxa"/>
            <w:vAlign w:val="center"/>
          </w:tcPr>
          <w:p w14:paraId="59CC664F">
            <w:pPr>
              <w:widowControl/>
              <w:wordWrap/>
              <w:topLinePunct w:val="0"/>
              <w:bidi w:val="0"/>
              <w:snapToGrid w:val="0"/>
              <w:spacing w:line="300" w:lineRule="auto"/>
              <w:jc w:val="left"/>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优惠措施</w:t>
            </w:r>
          </w:p>
        </w:tc>
        <w:tc>
          <w:tcPr>
            <w:tcW w:w="5889" w:type="dxa"/>
            <w:vAlign w:val="center"/>
          </w:tcPr>
          <w:p w14:paraId="0A9625DB">
            <w:pPr>
              <w:widowControl/>
              <w:wordWrap/>
              <w:topLinePunct w:val="0"/>
              <w:bidi w:val="0"/>
              <w:snapToGrid w:val="0"/>
              <w:spacing w:line="300" w:lineRule="auto"/>
              <w:jc w:val="left"/>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提供消防技术相关业务培训及相关优惠承诺。</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满分2分，评分范围：2,1</w:t>
            </w:r>
            <w:r>
              <w:rPr>
                <w:rFonts w:hint="eastAsia" w:ascii="仿宋" w:hAnsi="仿宋" w:eastAsia="仿宋" w:cs="仿宋"/>
                <w:i w:val="0"/>
                <w:iCs w:val="0"/>
                <w:color w:val="auto"/>
                <w:sz w:val="21"/>
                <w:szCs w:val="21"/>
                <w:highlight w:val="none"/>
                <w:lang w:eastAsia="zh-CN"/>
              </w:rPr>
              <w:t>）</w:t>
            </w:r>
          </w:p>
        </w:tc>
        <w:tc>
          <w:tcPr>
            <w:tcW w:w="766" w:type="dxa"/>
            <w:vAlign w:val="center"/>
          </w:tcPr>
          <w:p w14:paraId="10461FD1">
            <w:pPr>
              <w:widowControl/>
              <w:wordWrap/>
              <w:topLinePunct w:val="0"/>
              <w:bidi w:val="0"/>
              <w:snapToGrid w:val="0"/>
              <w:spacing w:line="300" w:lineRule="auto"/>
              <w:jc w:val="center"/>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2分</w:t>
            </w:r>
          </w:p>
        </w:tc>
        <w:tc>
          <w:tcPr>
            <w:tcW w:w="1426" w:type="dxa"/>
          </w:tcPr>
          <w:p w14:paraId="05CEA4DA">
            <w:pPr>
              <w:spacing w:line="276" w:lineRule="auto"/>
              <w:outlineLvl w:val="0"/>
              <w:rPr>
                <w:rFonts w:hint="eastAsia" w:ascii="仿宋" w:hAnsi="仿宋" w:eastAsia="仿宋" w:cs="仿宋"/>
                <w:color w:val="auto"/>
                <w:sz w:val="21"/>
                <w:szCs w:val="21"/>
                <w:highlight w:val="none"/>
              </w:rPr>
            </w:pPr>
          </w:p>
        </w:tc>
      </w:tr>
    </w:tbl>
    <w:p w14:paraId="04F2AF18">
      <w:pPr>
        <w:rPr>
          <w:rFonts w:hint="eastAsia"/>
          <w:highlight w:val="none"/>
        </w:rPr>
      </w:pPr>
    </w:p>
    <w:p w14:paraId="284F8EDB">
      <w:pPr>
        <w:snapToGrid w:val="0"/>
        <w:spacing w:line="360" w:lineRule="auto"/>
        <w:rPr>
          <w:color w:val="auto"/>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投标人编制响应文件（商务技术文件部分）时，建议按此目录（序号和内容）提供征集标准相应的商务技术资料。</w:t>
      </w:r>
      <w:r>
        <w:rPr>
          <w:rFonts w:ascii="仿宋" w:hAnsi="仿宋" w:eastAsia="仿宋" w:cs="仿宋_GB2312"/>
          <w:color w:val="auto"/>
          <w:sz w:val="24"/>
          <w:highlight w:val="none"/>
        </w:rPr>
        <w:t> </w:t>
      </w:r>
    </w:p>
    <w:p w14:paraId="75AB5C20">
      <w:pPr>
        <w:pageBreakBefore w:val="0"/>
        <w:kinsoku/>
        <w:wordWrap/>
        <w:overflowPunct/>
        <w:topLinePunct w:val="0"/>
        <w:autoSpaceDE/>
        <w:autoSpaceDN/>
        <w:bidi w:val="0"/>
        <w:spacing w:line="360" w:lineRule="auto"/>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sz w:val="32"/>
          <w:szCs w:val="24"/>
          <w:highlight w:val="none"/>
        </w:rPr>
        <w:t>三、评审程序</w:t>
      </w:r>
    </w:p>
    <w:p w14:paraId="1DEFEFAF">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评标委员会应当对符合资格的响应投标人的响应文件进行符合性审查，以确定其是否满足征集件的实质性要求。不满足征集文件的实质性要求的，响应无效。</w:t>
      </w:r>
    </w:p>
    <w:p w14:paraId="1F85FFFB">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评标委员会应当按照征集文件中规定的征集方法和标准，对符合性审查合格的响应文件进行商务和技术评估，综合比较与评价。</w:t>
      </w:r>
    </w:p>
    <w:p w14:paraId="79C7649F">
      <w:pPr>
        <w:pStyle w:val="2"/>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3.3汇总商务技术得分。评标委员会各成员应当独立对每个响应投标人的商务和技术文件进行评价，并汇总商务技术得分情况。</w:t>
      </w:r>
    </w:p>
    <w:p w14:paraId="0F86D0E2">
      <w:pPr>
        <w:pStyle w:val="27"/>
        <w:pageBreakBefore w:val="0"/>
        <w:kinsoku/>
        <w:wordWrap/>
        <w:overflowPunct/>
        <w:topLinePunct w:val="0"/>
        <w:autoSpaceDE/>
        <w:autoSpaceDN/>
        <w:bidi w:val="0"/>
        <w:spacing w:before="0" w:line="360" w:lineRule="auto"/>
        <w:ind w:firstLine="482"/>
        <w:textAlignment w:val="auto"/>
        <w:rPr>
          <w:rFonts w:hint="eastAsia" w:ascii="仿宋" w:hAnsi="仿宋" w:eastAsia="仿宋" w:cs="仿宋"/>
          <w:color w:val="auto"/>
          <w:kern w:val="0"/>
          <w:highlight w:val="none"/>
        </w:rPr>
      </w:pPr>
      <w:r>
        <w:rPr>
          <w:rFonts w:hint="eastAsia" w:ascii="仿宋" w:hAnsi="仿宋" w:eastAsia="仿宋" w:cs="仿宋"/>
          <w:b/>
          <w:color w:val="auto"/>
          <w:kern w:val="0"/>
          <w:highlight w:val="none"/>
        </w:rPr>
        <w:t>3.4</w:t>
      </w:r>
      <w:r>
        <w:rPr>
          <w:rFonts w:hint="eastAsia" w:ascii="仿宋" w:hAnsi="仿宋" w:eastAsia="仿宋" w:cs="仿宋"/>
          <w:b/>
          <w:bCs/>
          <w:color w:val="auto"/>
          <w:kern w:val="0"/>
          <w:highlight w:val="none"/>
        </w:rPr>
        <w:t>报价审核。</w:t>
      </w:r>
      <w:r>
        <w:rPr>
          <w:rFonts w:hint="eastAsia" w:ascii="仿宋" w:hAnsi="仿宋" w:eastAsia="仿宋" w:cs="仿宋"/>
          <w:color w:val="auto"/>
          <w:kern w:val="0"/>
          <w:highlight w:val="none"/>
        </w:rPr>
        <w:t>对经商务和技术评审符合采购需求的供应商的报价的合理性、准确性等进行审查核实。</w:t>
      </w:r>
    </w:p>
    <w:p w14:paraId="35FF3AA5">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仿宋" w:hAnsi="仿宋" w:eastAsia="仿宋" w:cs="仿宋"/>
          <w:b/>
          <w:bCs/>
          <w:color w:val="auto"/>
          <w:kern w:val="0"/>
          <w:highlight w:val="none"/>
        </w:rPr>
        <w:t>供应商不能提供或提供的相关材料不被评标委员会接受的，评标委员会认定其报价低于成本价，该单位报价无效。</w:t>
      </w:r>
    </w:p>
    <w:p w14:paraId="2BD2787E">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3.4.2根据财政部发布的《政府采购促进中小企业发展办法》规定，对于非专门面向中小企业的项目，对小型和微型企业产品的价格给予一定的扣除，用扣除后的价格参与评审。</w:t>
      </w:r>
    </w:p>
    <w:p w14:paraId="63E19A9A">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3.4.3投标价格的修正原则。投标文件报价出现前后不一致的，按照下列规定修正：</w:t>
      </w:r>
    </w:p>
    <w:p w14:paraId="2C134BDF">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3.4.4投标文件中开标一览表内容与投标文件中相应内容不一致的，以开标一览表为准；</w:t>
      </w:r>
    </w:p>
    <w:p w14:paraId="46C3A786">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3.4.5大写金额和小写金额不一致的，以大写金额为准；</w:t>
      </w:r>
    </w:p>
    <w:p w14:paraId="3DDE6589">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3.4.6政采云系统中的报价与上传的电子投标文件的开标一览表内容不一致的，以上传的电子投标文件的开标一览表为准；</w:t>
      </w:r>
    </w:p>
    <w:p w14:paraId="3C858276">
      <w:pPr>
        <w:pStyle w:val="27"/>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highlight w:val="none"/>
        </w:rPr>
        <w:t>3.4.7同时出现两种以上不一致的，按照前款规定的顺序修正。修正后的报价按照经供应商加盖公章，或者由法</w:t>
      </w:r>
      <w:r>
        <w:rPr>
          <w:rFonts w:hint="eastAsia" w:ascii="仿宋" w:hAnsi="仿宋" w:eastAsia="仿宋" w:cs="仿宋"/>
          <w:color w:val="auto"/>
          <w:kern w:val="0"/>
          <w:szCs w:val="24"/>
          <w:highlight w:val="none"/>
        </w:rPr>
        <w:t>定代表人或其授权的代表签字确认后产生约束力，供应商不确认的，其投标无效，供应商确认可按前款评审程序中供应商澄清、说明或者补正中的方式进行。</w:t>
      </w:r>
    </w:p>
    <w:p w14:paraId="1CD76FC3">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供应商对根据修正原则修正后的报价不确认的，投标无效。</w:t>
      </w:r>
    </w:p>
    <w:p w14:paraId="1F8B9AF7">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3.5入围原则</w:t>
      </w:r>
    </w:p>
    <w:p w14:paraId="201F81B9">
      <w:pPr>
        <w:pStyle w:val="31"/>
        <w:keepNext w:val="0"/>
        <w:keepLines w:val="0"/>
        <w:pageBreakBefore w:val="0"/>
        <w:kinsoku/>
        <w:wordWrap/>
        <w:overflowPunct/>
        <w:topLinePunct w:val="0"/>
        <w:bidi w:val="0"/>
        <w:spacing w:afterLines="0"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第一阶段入围供应商的评审方法为</w:t>
      </w:r>
      <w:r>
        <w:rPr>
          <w:rFonts w:hint="eastAsia" w:ascii="仿宋" w:hAnsi="仿宋" w:eastAsia="仿宋" w:cs="仿宋"/>
          <w:b/>
          <w:bCs/>
          <w:color w:val="auto"/>
          <w:kern w:val="0"/>
          <w:sz w:val="24"/>
          <w:szCs w:val="24"/>
          <w:highlight w:val="none"/>
          <w:u w:val="single"/>
          <w:lang w:val="en-US" w:eastAsia="zh-CN"/>
        </w:rPr>
        <w:t>质量优先法</w:t>
      </w:r>
      <w:r>
        <w:rPr>
          <w:rFonts w:hint="eastAsia" w:ascii="仿宋" w:hAnsi="仿宋" w:eastAsia="仿宋" w:cs="仿宋"/>
          <w:color w:val="auto"/>
          <w:kern w:val="0"/>
          <w:sz w:val="24"/>
          <w:highlight w:val="none"/>
        </w:rPr>
        <w:t>，确定第二阶段成交供应商的方式为</w:t>
      </w:r>
      <w:r>
        <w:rPr>
          <w:rFonts w:hint="eastAsia" w:ascii="仿宋" w:hAnsi="仿宋" w:eastAsia="仿宋" w:cs="仿宋"/>
          <w:b/>
          <w:bCs/>
          <w:color w:val="auto"/>
          <w:kern w:val="0"/>
          <w:sz w:val="24"/>
          <w:highlight w:val="none"/>
          <w:u w:val="single"/>
        </w:rPr>
        <w:t>顺序轮候</w:t>
      </w:r>
      <w:r>
        <w:rPr>
          <w:rFonts w:hint="eastAsia" w:ascii="仿宋" w:hAnsi="仿宋" w:eastAsia="仿宋" w:cs="仿宋"/>
          <w:color w:val="auto"/>
          <w:kern w:val="0"/>
          <w:sz w:val="24"/>
          <w:highlight w:val="none"/>
        </w:rPr>
        <w:t xml:space="preserve">，按入围供应商的综合得分高到低排序循环方式进行分配。 </w:t>
      </w:r>
    </w:p>
    <w:p w14:paraId="04F77AA3">
      <w:pPr>
        <w:pStyle w:val="31"/>
        <w:keepNext w:val="0"/>
        <w:keepLines w:val="0"/>
        <w:pageBreakBefore w:val="0"/>
        <w:kinsoku/>
        <w:wordWrap/>
        <w:overflowPunct/>
        <w:topLinePunct w:val="0"/>
        <w:bidi w:val="0"/>
        <w:spacing w:afterLines="0" w:line="360" w:lineRule="auto"/>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3.5.1评标委员会评审后按商务技术汇总得分由高到低顺序排列。若商务技术汇总得分一致的，则根据供应商报价进行排序</w:t>
      </w:r>
      <w:r>
        <w:rPr>
          <w:rFonts w:hint="eastAsia" w:ascii="仿宋" w:hAnsi="仿宋" w:eastAsia="仿宋" w:cs="仿宋"/>
          <w:b w:val="0"/>
          <w:bCs/>
          <w:strike w:val="0"/>
          <w:dstrike w:val="0"/>
          <w:color w:val="auto"/>
          <w:kern w:val="0"/>
          <w:sz w:val="24"/>
          <w:highlight w:val="none"/>
          <w:lang w:eastAsia="zh-CN"/>
        </w:rPr>
        <w:t>（</w:t>
      </w:r>
      <w:r>
        <w:rPr>
          <w:rFonts w:hint="eastAsia" w:ascii="仿宋" w:hAnsi="仿宋" w:eastAsia="仿宋" w:cs="仿宋"/>
          <w:b w:val="0"/>
          <w:bCs/>
          <w:strike w:val="0"/>
          <w:dstrike w:val="0"/>
          <w:color w:val="auto"/>
          <w:sz w:val="24"/>
          <w:szCs w:val="24"/>
          <w:highlight w:val="none"/>
          <w:lang w:eastAsia="zh-CN"/>
        </w:rPr>
        <w:t>报价低者排名在前</w:t>
      </w:r>
      <w:r>
        <w:rPr>
          <w:rFonts w:hint="eastAsia" w:ascii="仿宋" w:hAnsi="仿宋" w:eastAsia="仿宋" w:cs="仿宋"/>
          <w:b w:val="0"/>
          <w:bCs/>
          <w:strike w:val="0"/>
          <w:dstrike w:val="0"/>
          <w:color w:val="auto"/>
          <w:kern w:val="0"/>
          <w:sz w:val="24"/>
          <w:highlight w:val="none"/>
          <w:lang w:eastAsia="zh-CN"/>
        </w:rPr>
        <w:t>）</w:t>
      </w:r>
      <w:r>
        <w:rPr>
          <w:rFonts w:hint="eastAsia" w:ascii="仿宋" w:hAnsi="仿宋" w:eastAsia="仿宋" w:cs="仿宋"/>
          <w:b w:val="0"/>
          <w:bCs/>
          <w:color w:val="auto"/>
          <w:kern w:val="0"/>
          <w:sz w:val="24"/>
          <w:highlight w:val="none"/>
        </w:rPr>
        <w:t>。若结果仍一致的，由评标委员会随机抽取的方式确定。</w:t>
      </w:r>
    </w:p>
    <w:p w14:paraId="69721ED8">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val="0"/>
          <w:color w:val="auto"/>
          <w:kern w:val="0"/>
          <w:sz w:val="24"/>
          <w:highlight w:val="none"/>
          <w:lang w:val="en-US" w:eastAsia="zh-CN"/>
        </w:rPr>
      </w:pPr>
      <w:r>
        <w:rPr>
          <w:rFonts w:hint="eastAsia" w:ascii="仿宋" w:hAnsi="仿宋" w:eastAsia="仿宋" w:cs="仿宋"/>
          <w:b/>
          <w:bCs w:val="0"/>
          <w:color w:val="auto"/>
          <w:kern w:val="0"/>
          <w:sz w:val="24"/>
          <w:highlight w:val="none"/>
        </w:rPr>
        <w:t>本项目征集入围合格供应商</w:t>
      </w:r>
      <w:r>
        <w:rPr>
          <w:rFonts w:hint="eastAsia" w:ascii="仿宋" w:hAnsi="仿宋" w:eastAsia="仿宋" w:cs="仿宋"/>
          <w:b/>
          <w:bCs w:val="0"/>
          <w:color w:val="auto"/>
          <w:kern w:val="0"/>
          <w:sz w:val="24"/>
          <w:highlight w:val="none"/>
          <w:lang w:eastAsia="zh-CN"/>
        </w:rPr>
        <w:t>，</w:t>
      </w:r>
      <w:r>
        <w:rPr>
          <w:rFonts w:hint="eastAsia" w:ascii="仿宋" w:hAnsi="仿宋" w:eastAsia="仿宋" w:cs="仿宋"/>
          <w:b/>
          <w:bCs w:val="0"/>
          <w:color w:val="auto"/>
          <w:kern w:val="0"/>
          <w:sz w:val="24"/>
          <w:highlight w:val="none"/>
        </w:rPr>
        <w:t>淘汰比例</w:t>
      </w:r>
      <w:r>
        <w:rPr>
          <w:rFonts w:hint="eastAsia" w:ascii="仿宋" w:hAnsi="仿宋" w:eastAsia="仿宋" w:cs="仿宋"/>
          <w:b/>
          <w:bCs w:val="0"/>
          <w:color w:val="auto"/>
          <w:kern w:val="0"/>
          <w:sz w:val="24"/>
          <w:highlight w:val="none"/>
          <w:lang w:eastAsia="zh-CN"/>
        </w:rPr>
        <w:t>最少</w:t>
      </w:r>
      <w:r>
        <w:rPr>
          <w:rFonts w:hint="eastAsia" w:ascii="仿宋" w:hAnsi="仿宋" w:eastAsia="仿宋" w:cs="仿宋"/>
          <w:b/>
          <w:bCs w:val="0"/>
          <w:color w:val="auto"/>
          <w:kern w:val="0"/>
          <w:sz w:val="24"/>
          <w:highlight w:val="none"/>
        </w:rPr>
        <w:t>为有效响应单位的20%</w:t>
      </w:r>
      <w:r>
        <w:rPr>
          <w:rFonts w:hint="eastAsia" w:ascii="仿宋" w:hAnsi="仿宋" w:eastAsia="仿宋" w:cs="仿宋"/>
          <w:b/>
          <w:bCs w:val="0"/>
          <w:color w:val="auto"/>
          <w:kern w:val="0"/>
          <w:sz w:val="24"/>
          <w:highlight w:val="none"/>
          <w:lang w:eastAsia="zh-CN"/>
        </w:rPr>
        <w:t>，</w:t>
      </w:r>
      <w:r>
        <w:rPr>
          <w:rFonts w:hint="eastAsia" w:ascii="仿宋" w:hAnsi="仿宋" w:eastAsia="仿宋" w:cs="仿宋"/>
          <w:b/>
          <w:bCs w:val="0"/>
          <w:color w:val="auto"/>
          <w:kern w:val="0"/>
          <w:sz w:val="24"/>
          <w:highlight w:val="none"/>
        </w:rPr>
        <w:t>向上取整数</w:t>
      </w:r>
      <w:r>
        <w:rPr>
          <w:rFonts w:hint="eastAsia" w:ascii="仿宋" w:hAnsi="仿宋" w:eastAsia="仿宋" w:cs="仿宋"/>
          <w:b/>
          <w:bCs w:val="0"/>
          <w:color w:val="auto"/>
          <w:kern w:val="0"/>
          <w:sz w:val="24"/>
          <w:highlight w:val="none"/>
          <w:lang w:eastAsia="zh-CN"/>
        </w:rPr>
        <w:t>。</w:t>
      </w:r>
      <w:r>
        <w:rPr>
          <w:rFonts w:hint="eastAsia" w:ascii="仿宋" w:hAnsi="仿宋" w:eastAsia="仿宋" w:cs="仿宋"/>
          <w:b/>
          <w:bCs w:val="0"/>
          <w:color w:val="auto"/>
          <w:kern w:val="0"/>
          <w:sz w:val="24"/>
          <w:highlight w:val="none"/>
          <w:lang w:val="en-US" w:eastAsia="zh-CN"/>
        </w:rPr>
        <w:t>如</w:t>
      </w:r>
      <w:r>
        <w:rPr>
          <w:rFonts w:hint="eastAsia" w:ascii="仿宋" w:hAnsi="仿宋" w:eastAsia="仿宋" w:cs="仿宋"/>
          <w:b/>
          <w:bCs w:val="0"/>
          <w:color w:val="auto"/>
          <w:kern w:val="0"/>
          <w:sz w:val="24"/>
          <w:highlight w:val="none"/>
        </w:rPr>
        <w:t>有效响应单位</w:t>
      </w:r>
      <w:r>
        <w:rPr>
          <w:rFonts w:hint="eastAsia" w:ascii="仿宋" w:hAnsi="仿宋" w:eastAsia="仿宋" w:cs="仿宋"/>
          <w:b/>
          <w:bCs w:val="0"/>
          <w:color w:val="auto"/>
          <w:kern w:val="0"/>
          <w:sz w:val="24"/>
          <w:highlight w:val="none"/>
          <w:lang w:val="en-US" w:eastAsia="zh-CN"/>
        </w:rPr>
        <w:t>≥5家则</w:t>
      </w:r>
      <w:r>
        <w:rPr>
          <w:rFonts w:hint="eastAsia" w:ascii="仿宋" w:hAnsi="仿宋" w:eastAsia="仿宋" w:cs="仿宋"/>
          <w:b/>
          <w:bCs w:val="0"/>
          <w:color w:val="auto"/>
          <w:kern w:val="0"/>
          <w:sz w:val="24"/>
          <w:highlight w:val="none"/>
          <w:lang w:eastAsia="zh-CN"/>
        </w:rPr>
        <w:t>确定</w:t>
      </w:r>
      <w:r>
        <w:rPr>
          <w:rFonts w:hint="eastAsia" w:ascii="仿宋" w:hAnsi="仿宋" w:eastAsia="仿宋" w:cs="仿宋"/>
          <w:b/>
          <w:bCs w:val="0"/>
          <w:color w:val="auto"/>
          <w:kern w:val="0"/>
          <w:sz w:val="24"/>
          <w:highlight w:val="none"/>
          <w:lang w:val="en-US" w:eastAsia="zh-CN"/>
        </w:rPr>
        <w:t>4家入围供应商；如</w:t>
      </w:r>
      <w:r>
        <w:rPr>
          <w:rFonts w:hint="eastAsia" w:ascii="仿宋" w:hAnsi="仿宋" w:eastAsia="仿宋" w:cs="仿宋"/>
          <w:b/>
          <w:bCs w:val="0"/>
          <w:color w:val="auto"/>
          <w:kern w:val="0"/>
          <w:sz w:val="24"/>
          <w:highlight w:val="none"/>
        </w:rPr>
        <w:t>有效响应单位</w:t>
      </w:r>
      <w:r>
        <w:rPr>
          <w:rFonts w:hint="eastAsia" w:ascii="仿宋" w:hAnsi="仿宋" w:eastAsia="仿宋" w:cs="仿宋"/>
          <w:b/>
          <w:bCs w:val="0"/>
          <w:color w:val="auto"/>
          <w:kern w:val="0"/>
          <w:sz w:val="24"/>
          <w:highlight w:val="none"/>
          <w:lang w:val="en-US" w:eastAsia="zh-CN"/>
        </w:rPr>
        <w:t>&lt;5家则重新组织采购。</w:t>
      </w:r>
    </w:p>
    <w:p w14:paraId="499FB127">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3.5.2第二阶段成交供应商确定：顺序轮候。</w:t>
      </w:r>
    </w:p>
    <w:p w14:paraId="0107F5A6">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征集人</w:t>
      </w:r>
      <w:r>
        <w:rPr>
          <w:rFonts w:hint="eastAsia" w:ascii="仿宋" w:hAnsi="仿宋" w:eastAsia="仿宋" w:cs="仿宋"/>
          <w:color w:val="auto"/>
          <w:kern w:val="0"/>
          <w:sz w:val="24"/>
          <w:highlight w:val="none"/>
        </w:rPr>
        <w:t xml:space="preserve">按入围供应商的综合得分高到低排序循环方式进行分配。 </w:t>
      </w:r>
      <w:r>
        <w:rPr>
          <w:rFonts w:hint="eastAsia" w:ascii="仿宋" w:hAnsi="仿宋" w:eastAsia="仿宋" w:cs="仿宋"/>
          <w:color w:val="auto"/>
          <w:kern w:val="0"/>
          <w:sz w:val="24"/>
          <w:szCs w:val="24"/>
          <w:highlight w:val="none"/>
          <w:lang w:val="en-US" w:eastAsia="zh-CN" w:bidi="ar-SA"/>
        </w:rPr>
        <w:t>按项目签订消防验收技术服务委托合同。其中与建设项目有业务关联的入围供应商自动放弃该项目的服务资格。</w:t>
      </w:r>
    </w:p>
    <w:p w14:paraId="2C4FDB33">
      <w:pPr>
        <w:keepNext w:val="0"/>
        <w:keepLines w:val="0"/>
        <w:pageBreakBefore w:val="0"/>
        <w:widowControl/>
        <w:shd w:val="clear" w:color="auto"/>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07A7B5">
      <w:pPr>
        <w:pStyle w:val="27"/>
        <w:pageBreakBefore w:val="0"/>
        <w:kinsoku/>
        <w:wordWrap/>
        <w:overflowPunct/>
        <w:topLinePunct w:val="0"/>
        <w:autoSpaceDE/>
        <w:autoSpaceDN/>
        <w:bidi w:val="0"/>
        <w:spacing w:before="0" w:line="36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征集响应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征集响应文件的范围或者改变征集响应文件的实质性内容。</w:t>
      </w:r>
    </w:p>
    <w:p w14:paraId="039C8C85">
      <w:pPr>
        <w:pStyle w:val="27"/>
        <w:pageBreakBefore w:val="0"/>
        <w:kinsoku/>
        <w:wordWrap/>
        <w:overflowPunct/>
        <w:topLinePunct w:val="0"/>
        <w:autoSpaceDE/>
        <w:autoSpaceDN/>
        <w:bidi w:val="0"/>
        <w:spacing w:before="0" w:line="360"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highlight w:val="none"/>
        </w:rPr>
        <w:t>有下列情况之一的，投标无效：</w:t>
      </w:r>
    </w:p>
    <w:p w14:paraId="56DC9451">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4.2.1投标人不具备征集文件中规定的资格要求的（投标人未提供有效的资格文件的，视为投标人不具备征集文件中规定的资格要求）；</w:t>
      </w:r>
    </w:p>
    <w:p w14:paraId="527EC398">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4.2.2征集响应文件未按照征集文件要求签署、盖章的；</w:t>
      </w:r>
    </w:p>
    <w:p w14:paraId="58CD5EE8">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4.2.3征集人拟采购的产品属于政府强制采购的节能产品品目清单范围的，投标人未按征集文件要求提供国家确定的认证机构出具的、处于有效期之内的节能产品认证证书的；</w:t>
      </w:r>
    </w:p>
    <w:p w14:paraId="7EADE867">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4.2.4征集响应文件含有征集人不能接受的附加条件的；</w:t>
      </w:r>
    </w:p>
    <w:p w14:paraId="1CC45262">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4.2.5征集响应文件中承诺的投标有效期少于征集文件中载明的投标有效期的；</w:t>
      </w:r>
    </w:p>
    <w:p w14:paraId="2C3CDBA9">
      <w:pPr>
        <w:pageBreakBefore w:val="0"/>
        <w:kinsoku/>
        <w:wordWrap/>
        <w:overflowPunct/>
        <w:topLinePunct w:val="0"/>
        <w:autoSpaceDE/>
        <w:autoSpaceDN/>
        <w:bidi w:val="0"/>
        <w:snapToGrid w:val="0"/>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4.2.6征集响应文件出现不是唯一的、有选择性投标报价的;</w:t>
      </w:r>
    </w:p>
    <w:p w14:paraId="3D319759">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4.2.7投标报价超过征集文件中规定的预算金额或者最高限价的;</w:t>
      </w:r>
    </w:p>
    <w:p w14:paraId="1E2C6463">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7CEE9982">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04F6E3D8">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1A7819E">
      <w:pPr>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4.2.11投标人有恶意串通、妨碍其他投标人的竞争行为、损害征集人或者其他投标人的合法权益情形的；</w:t>
      </w:r>
    </w:p>
    <w:p w14:paraId="5584FD19">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4.2.12投标人仅提交备份征集响应文件，没有在电子交易平台传输递交征集响应文件的，投标无效；</w:t>
      </w:r>
    </w:p>
    <w:p w14:paraId="69BAB1FA">
      <w:pPr>
        <w:pStyle w:val="2"/>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征集响应文件不满足征集文件的其它实质性要求的；</w:t>
      </w:r>
    </w:p>
    <w:p w14:paraId="644C239A">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7FF88AF4">
      <w:pPr>
        <w:pStyle w:val="10"/>
        <w:pageBreakBefore w:val="0"/>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8A80AEF">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5.1符合专业条件的供应商或者对征集文件作实质响应的供应商不足的；</w:t>
      </w:r>
    </w:p>
    <w:p w14:paraId="02E769BF">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722126A">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5.3投标人的报价均超过了采购预算，征集人不能支付的；</w:t>
      </w:r>
    </w:p>
    <w:p w14:paraId="08E55B5F">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35F3C43">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废标后，征集机构应当将废标理由通知所有投标人。</w:t>
      </w:r>
    </w:p>
    <w:p w14:paraId="6E7A5434">
      <w:pPr>
        <w:pStyle w:val="10"/>
        <w:pageBreakBefore w:val="0"/>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6.修改征集文件，重新组织采购活动。</w:t>
      </w:r>
      <w:r>
        <w:rPr>
          <w:rFonts w:hint="eastAsia" w:ascii="仿宋" w:hAnsi="仿宋" w:eastAsia="仿宋" w:cs="仿宋"/>
          <w:color w:val="auto"/>
          <w:highlight w:val="none"/>
        </w:rPr>
        <w:t>评标委员会发现征集文件存在歧义、重大缺陷导致评标工作无法进行，或者征集文件内容违反国家有关强制性规定的，将停止评标工作，并与征集人、征集机构沟通并作书面记录。征集人、征集机构确认后，将修改征集文件，重新组织采购活动。</w:t>
      </w:r>
    </w:p>
    <w:p w14:paraId="63F9B837">
      <w:pPr>
        <w:pStyle w:val="10"/>
        <w:pageBreakBefore w:val="0"/>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DA807D6">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428BA9B1">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DF2CB12">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2839354A">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7.4政府采购合同已经履行，给征集人、供应商造成损失的，由责任人承担赔偿责任。</w:t>
      </w:r>
    </w:p>
    <w:p w14:paraId="75B2DCBB">
      <w:pPr>
        <w:pStyle w:val="1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366C1F1D">
      <w:pPr>
        <w:rPr>
          <w:rFonts w:ascii="仿宋_GB2312" w:hAnsi="仿宋" w:eastAsia="仿宋_GB2312" w:cs="仿宋_GB2312"/>
          <w:color w:val="auto"/>
          <w:highlight w:val="none"/>
        </w:rPr>
      </w:pPr>
    </w:p>
    <w:p w14:paraId="4AAFBB95">
      <w:pPr>
        <w:bidi w:val="0"/>
        <w:rPr>
          <w:color w:val="auto"/>
          <w:highlight w:val="none"/>
        </w:rPr>
      </w:pPr>
    </w:p>
    <w:p w14:paraId="7AC900B4">
      <w:pPr>
        <w:bidi w:val="0"/>
        <w:rPr>
          <w:color w:val="auto"/>
          <w:highlight w:val="none"/>
        </w:rPr>
      </w:pPr>
    </w:p>
    <w:p w14:paraId="67EB22DD">
      <w:pPr>
        <w:bidi w:val="0"/>
        <w:rPr>
          <w:color w:val="auto"/>
          <w:highlight w:val="none"/>
        </w:rPr>
      </w:pPr>
    </w:p>
    <w:p w14:paraId="084B3598">
      <w:pPr>
        <w:bidi w:val="0"/>
        <w:rPr>
          <w:color w:val="auto"/>
          <w:highlight w:val="none"/>
        </w:rPr>
      </w:pPr>
    </w:p>
    <w:p w14:paraId="0BC92FF6">
      <w:pPr>
        <w:bidi w:val="0"/>
        <w:rPr>
          <w:color w:val="auto"/>
          <w:highlight w:val="none"/>
        </w:rPr>
      </w:pPr>
    </w:p>
    <w:p w14:paraId="50D897DE">
      <w:pPr>
        <w:bidi w:val="0"/>
        <w:rPr>
          <w:color w:val="auto"/>
          <w:highlight w:val="none"/>
        </w:rPr>
      </w:pPr>
    </w:p>
    <w:p w14:paraId="3AFEACC9">
      <w:pPr>
        <w:bidi w:val="0"/>
        <w:rPr>
          <w:color w:val="auto"/>
          <w:highlight w:val="none"/>
        </w:rPr>
      </w:pPr>
    </w:p>
    <w:p w14:paraId="14488F4E">
      <w:pPr>
        <w:bidi w:val="0"/>
        <w:rPr>
          <w:color w:val="auto"/>
          <w:highlight w:val="none"/>
        </w:rPr>
      </w:pPr>
    </w:p>
    <w:p w14:paraId="218AA366">
      <w:pPr>
        <w:bidi w:val="0"/>
        <w:rPr>
          <w:color w:val="auto"/>
          <w:highlight w:val="none"/>
        </w:rPr>
      </w:pPr>
    </w:p>
    <w:p w14:paraId="42CB0918">
      <w:pPr>
        <w:bidi w:val="0"/>
        <w:rPr>
          <w:color w:val="auto"/>
          <w:highlight w:val="none"/>
        </w:rPr>
      </w:pPr>
    </w:p>
    <w:p w14:paraId="1F31AA05">
      <w:pPr>
        <w:bidi w:val="0"/>
        <w:rPr>
          <w:color w:val="auto"/>
          <w:highlight w:val="none"/>
        </w:rPr>
      </w:pPr>
    </w:p>
    <w:p w14:paraId="5A3AB2A9">
      <w:pPr>
        <w:bidi w:val="0"/>
        <w:rPr>
          <w:color w:val="auto"/>
          <w:highlight w:val="none"/>
        </w:rPr>
      </w:pPr>
    </w:p>
    <w:p w14:paraId="1DFC11FC">
      <w:pPr>
        <w:bidi w:val="0"/>
        <w:rPr>
          <w:color w:val="auto"/>
          <w:highlight w:val="none"/>
        </w:rPr>
      </w:pPr>
    </w:p>
    <w:p w14:paraId="7CB7B431">
      <w:pPr>
        <w:bidi w:val="0"/>
        <w:rPr>
          <w:color w:val="auto"/>
          <w:highlight w:val="none"/>
        </w:rPr>
      </w:pPr>
    </w:p>
    <w:p w14:paraId="31DFF9FE">
      <w:pPr>
        <w:bidi w:val="0"/>
        <w:rPr>
          <w:color w:val="auto"/>
          <w:highlight w:val="none"/>
        </w:rPr>
      </w:pPr>
    </w:p>
    <w:p w14:paraId="3C537B55">
      <w:pPr>
        <w:bidi w:val="0"/>
        <w:rPr>
          <w:color w:val="auto"/>
          <w:highlight w:val="none"/>
        </w:rPr>
      </w:pPr>
    </w:p>
    <w:p w14:paraId="0E716271">
      <w:pPr>
        <w:rPr>
          <w:highlight w:val="none"/>
        </w:rPr>
      </w:pPr>
      <w:r>
        <w:rPr>
          <w:color w:val="auto"/>
          <w:highlight w:val="none"/>
        </w:rPr>
        <w:br w:type="page"/>
      </w:r>
    </w:p>
    <w:p w14:paraId="6720500D">
      <w:pPr>
        <w:pStyle w:val="12"/>
        <w:numPr>
          <w:ilvl w:val="0"/>
          <w:numId w:val="9"/>
        </w:numPr>
        <w:tabs>
          <w:tab w:val="left" w:pos="840"/>
        </w:tabs>
        <w:spacing w:line="360" w:lineRule="auto"/>
        <w:jc w:val="center"/>
        <w:rPr>
          <w:rFonts w:ascii="仿宋_GB2312" w:hAnsi="仿宋" w:eastAsia="仿宋_GB2312" w:cs="仿宋_GB2312"/>
          <w:b/>
          <w:bCs/>
          <w:color w:val="auto"/>
          <w:sz w:val="36"/>
          <w:szCs w:val="36"/>
          <w:highlight w:val="none"/>
        </w:rPr>
      </w:pPr>
      <w:r>
        <w:rPr>
          <w:rFonts w:hint="eastAsia" w:ascii="仿宋_GB2312" w:hAnsi="仿宋" w:eastAsia="仿宋_GB2312" w:cs="仿宋_GB2312"/>
          <w:b/>
          <w:bCs/>
          <w:color w:val="auto"/>
          <w:sz w:val="36"/>
          <w:szCs w:val="36"/>
          <w:highlight w:val="none"/>
        </w:rPr>
        <w:t>拟签订的合同文本</w:t>
      </w:r>
    </w:p>
    <w:p w14:paraId="6792541F">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仿宋" w:hAnsi="仿宋" w:eastAsia="仿宋" w:cs="仿宋"/>
          <w:b/>
          <w:bCs w:val="0"/>
          <w:color w:val="auto"/>
          <w:spacing w:val="0"/>
          <w:sz w:val="36"/>
          <w:szCs w:val="36"/>
          <w:highlight w:val="none"/>
          <w:lang w:eastAsia="zh-CN"/>
        </w:rPr>
      </w:pPr>
    </w:p>
    <w:p w14:paraId="143932D6">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仿宋" w:hAnsi="仿宋" w:eastAsia="仿宋" w:cs="仿宋"/>
          <w:b/>
          <w:bCs w:val="0"/>
          <w:color w:val="auto"/>
          <w:spacing w:val="0"/>
          <w:sz w:val="32"/>
          <w:szCs w:val="32"/>
          <w:highlight w:val="none"/>
          <w:lang w:eastAsia="zh-CN"/>
        </w:rPr>
      </w:pPr>
      <w:r>
        <w:rPr>
          <w:rFonts w:hint="eastAsia" w:ascii="仿宋" w:hAnsi="仿宋" w:eastAsia="仿宋" w:cs="仿宋"/>
          <w:b/>
          <w:bCs w:val="0"/>
          <w:color w:val="auto"/>
          <w:spacing w:val="0"/>
          <w:sz w:val="32"/>
          <w:szCs w:val="32"/>
          <w:highlight w:val="none"/>
          <w:lang w:eastAsia="zh-CN"/>
        </w:rPr>
        <w:t>杭州市西湖区住房和城乡建设局建设工程消防验收技术服务</w:t>
      </w:r>
    </w:p>
    <w:p w14:paraId="641BED93">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仿宋" w:hAnsi="仿宋" w:eastAsia="仿宋" w:cs="仿宋"/>
          <w:b/>
          <w:bCs w:val="0"/>
          <w:color w:val="auto"/>
          <w:spacing w:val="0"/>
          <w:sz w:val="32"/>
          <w:szCs w:val="32"/>
          <w:highlight w:val="none"/>
          <w:lang w:eastAsia="zh-CN"/>
        </w:rPr>
      </w:pPr>
      <w:r>
        <w:rPr>
          <w:rFonts w:hint="eastAsia" w:ascii="仿宋" w:hAnsi="仿宋" w:eastAsia="仿宋" w:cs="仿宋"/>
          <w:b/>
          <w:bCs w:val="0"/>
          <w:color w:val="auto"/>
          <w:spacing w:val="0"/>
          <w:sz w:val="32"/>
          <w:szCs w:val="32"/>
          <w:highlight w:val="none"/>
          <w:lang w:eastAsia="zh-CN"/>
        </w:rPr>
        <w:t>框架协议（样本）</w:t>
      </w:r>
    </w:p>
    <w:p w14:paraId="6831914B">
      <w:pPr>
        <w:pageBreakBefore w:val="0"/>
        <w:wordWrap/>
        <w:topLinePunct w:val="0"/>
        <w:bidi w:val="0"/>
        <w:snapToGrid w:val="0"/>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以</w:t>
      </w:r>
      <w:r>
        <w:rPr>
          <w:rFonts w:hint="eastAsia" w:ascii="仿宋" w:hAnsi="仿宋" w:eastAsia="仿宋" w:cs="仿宋"/>
          <w:b w:val="0"/>
          <w:bCs w:val="0"/>
          <w:color w:val="auto"/>
          <w:sz w:val="24"/>
          <w:szCs w:val="24"/>
          <w:highlight w:val="none"/>
        </w:rPr>
        <w:t>实际签订合同为准）</w:t>
      </w:r>
    </w:p>
    <w:p w14:paraId="03694813">
      <w:pPr>
        <w:pStyle w:val="12"/>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甲方（征集人）：                   </w:t>
      </w:r>
    </w:p>
    <w:p w14:paraId="72BAB5CC">
      <w:pPr>
        <w:pStyle w:val="12"/>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乙方（入围单位）：                                           </w:t>
      </w:r>
    </w:p>
    <w:p w14:paraId="2F8157F3">
      <w:pPr>
        <w:pStyle w:val="12"/>
        <w:tabs>
          <w:tab w:val="left" w:pos="840"/>
        </w:tabs>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经过公开征集，确定乙方为</w:t>
      </w:r>
      <w:r>
        <w:rPr>
          <w:rFonts w:hint="eastAsia" w:ascii="仿宋" w:hAnsi="仿宋" w:eastAsia="仿宋" w:cs="仿宋"/>
          <w:b w:val="0"/>
          <w:bCs w:val="0"/>
          <w:color w:val="auto"/>
          <w:kern w:val="0"/>
          <w:sz w:val="24"/>
          <w:szCs w:val="24"/>
          <w:highlight w:val="none"/>
          <w:lang w:eastAsia="zh-CN"/>
        </w:rPr>
        <w:t>杭州市西湖区住房和城乡建设局建设工程消防验收技术服务框架协议采购项目</w:t>
      </w:r>
      <w:r>
        <w:rPr>
          <w:rFonts w:hint="eastAsia" w:ascii="仿宋" w:hAnsi="仿宋" w:eastAsia="仿宋" w:cs="仿宋"/>
          <w:b w:val="0"/>
          <w:bCs w:val="0"/>
          <w:color w:val="auto"/>
          <w:kern w:val="0"/>
          <w:sz w:val="24"/>
          <w:szCs w:val="24"/>
          <w:highlight w:val="none"/>
        </w:rPr>
        <w:t>的入围单位，为明确双方权利义务，经协商一致，签订本协议书。</w:t>
      </w:r>
    </w:p>
    <w:p w14:paraId="77651B23">
      <w:pPr>
        <w:pStyle w:val="2"/>
        <w:keepLines w:val="0"/>
        <w:pageBreakBefore w:val="0"/>
        <w:widowControl w:val="0"/>
        <w:numPr>
          <w:ilvl w:val="0"/>
          <w:numId w:val="0"/>
        </w:numPr>
        <w:kinsoku/>
        <w:wordWrap/>
        <w:overflowPunct/>
        <w:topLinePunct w:val="0"/>
        <w:autoSpaceDE/>
        <w:autoSpaceDN/>
        <w:bidi w:val="0"/>
        <w:snapToGrid/>
        <w:spacing w:line="360" w:lineRule="auto"/>
        <w:ind w:leftChars="200"/>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sz w:val="24"/>
          <w:szCs w:val="24"/>
          <w:highlight w:val="none"/>
          <w:lang w:val="en-US" w:eastAsia="zh-CN"/>
        </w:rPr>
        <w:t>一、服务内容</w:t>
      </w:r>
    </w:p>
    <w:p w14:paraId="257F1B8A">
      <w:pPr>
        <w:pStyle w:val="2"/>
        <w:keepNext/>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eastAsia="zh-CN"/>
        </w:rPr>
        <w:t>受甲方委托，乙方</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rPr>
        <w:t>法律法规、工程建设消防技术标准和</w:t>
      </w:r>
      <w:r>
        <w:rPr>
          <w:rFonts w:hint="eastAsia" w:ascii="仿宋" w:hAnsi="仿宋" w:eastAsia="仿宋" w:cs="仿宋"/>
          <w:color w:val="auto"/>
          <w:sz w:val="24"/>
          <w:szCs w:val="24"/>
          <w:highlight w:val="none"/>
          <w:lang w:eastAsia="zh-CN"/>
        </w:rPr>
        <w:t>规范性文件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lang w:eastAsia="zh-CN"/>
        </w:rPr>
        <w:t>对杭州市西湖区住房和城乡建设局</w:t>
      </w:r>
      <w:r>
        <w:rPr>
          <w:rFonts w:hint="eastAsia" w:ascii="仿宋" w:hAnsi="仿宋" w:eastAsia="仿宋" w:cs="仿宋"/>
          <w:color w:val="auto"/>
          <w:kern w:val="0"/>
          <w:sz w:val="24"/>
          <w:szCs w:val="24"/>
          <w:highlight w:val="none"/>
          <w:lang w:val="en-US" w:eastAsia="zh-CN"/>
        </w:rPr>
        <w:t>管辖范围内的消防验收和备案（抽查）项目，严格依据国家法律法规、国家工程建设消防技术标准和省、市有关规定、涉及消防的建设工程竣工图纸、消防设计审查意见，开展消防验收技术服务工作（含备案未抽中项目），包括但不限于图纸及资料核查服务、提前服务、整改监督、现场评定、现场检查及档案整理等服务工作，及时出具意见或报告，并对出具的意见或报告负责，需协助采购人完成信访工作及其他交办的事宜。</w:t>
      </w:r>
    </w:p>
    <w:p w14:paraId="0E86A81D">
      <w:pPr>
        <w:pStyle w:val="2"/>
        <w:keepNext/>
        <w:keepLines w:val="0"/>
        <w:pageBreakBefore w:val="0"/>
        <w:widowControl w:val="0"/>
        <w:numPr>
          <w:ilvl w:val="0"/>
          <w:numId w:val="10"/>
        </w:numPr>
        <w:kinsoku/>
        <w:wordWrap/>
        <w:overflowPunct/>
        <w:topLinePunct w:val="0"/>
        <w:autoSpaceDE/>
        <w:autoSpaceDN/>
        <w:bidi w:val="0"/>
        <w:adjustRightInd w:val="0"/>
        <w:snapToGrid/>
        <w:spacing w:line="360" w:lineRule="auto"/>
        <w:ind w:leftChars="200"/>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服务范围</w:t>
      </w:r>
    </w:p>
    <w:p w14:paraId="7D80B090">
      <w:pPr>
        <w:autoSpaceDE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本项目行政辖区内共计约780万方；具体按以供应商入围后，采购人提供的数据为准。</w:t>
      </w:r>
    </w:p>
    <w:p w14:paraId="72B22C62">
      <w:pPr>
        <w:pStyle w:val="2"/>
        <w:numPr>
          <w:ilvl w:val="0"/>
          <w:numId w:val="0"/>
        </w:numPr>
        <w:spacing w:before="120" w:beforeLines="50"/>
        <w:ind w:leftChars="0" w:firstLine="482" w:firstLineChars="2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三、项目须执行的标准、规范（如有新法规或制度的按新规范执行）</w:t>
      </w:r>
    </w:p>
    <w:p w14:paraId="0CD0A959">
      <w:pPr>
        <w:autoSpaceDE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1、《中华人民共和国消防法》（2021年4月29日修正版）；</w:t>
      </w:r>
    </w:p>
    <w:p w14:paraId="5403B546">
      <w:pPr>
        <w:autoSpaceDE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2、《建设工程消防设计审查验收管理暂行规定》（住房和城乡建设部令第5</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号）；</w:t>
      </w:r>
    </w:p>
    <w:p w14:paraId="135E09AB">
      <w:pPr>
        <w:autoSpaceDE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 住房和城乡建设部《关于印发〈建设工程消防设计审查验收工作细则〉和〈建设工程消防设计审查、消防验收、备案和抽查文书式样〉的通知》（建科规〔2020〕5号）；</w:t>
      </w:r>
    </w:p>
    <w:p w14:paraId="7AB4F23C">
      <w:pPr>
        <w:autoSpaceDE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4、《关于深化消防执法改革的意见》（厅字〔2019〕34号）；</w:t>
      </w:r>
    </w:p>
    <w:p w14:paraId="72DB6F70">
      <w:pPr>
        <w:autoSpaceDE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5、《浙江省建设工程消防设计审查验收管理暂行办法》；</w:t>
      </w:r>
    </w:p>
    <w:p w14:paraId="7C719286">
      <w:pPr>
        <w:pStyle w:val="2"/>
        <w:numPr>
          <w:ilvl w:val="0"/>
          <w:numId w:val="0"/>
        </w:numPr>
        <w:ind w:leftChars="0"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6、《浙江省建筑工程消防验收操作技术导则》（试行）；</w:t>
      </w:r>
    </w:p>
    <w:p w14:paraId="25755ACE">
      <w:pPr>
        <w:autoSpaceDE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7、《杭州市建设工程消防验收技术导则》（试行）；</w:t>
      </w:r>
    </w:p>
    <w:p w14:paraId="310E2D27">
      <w:pPr>
        <w:pStyle w:val="2"/>
        <w:numPr>
          <w:ilvl w:val="0"/>
          <w:numId w:val="0"/>
        </w:numPr>
        <w:ind w:leftChars="0"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8、《浙江省建设工程消防设计审查工作指南》（试行）；</w:t>
      </w:r>
    </w:p>
    <w:p w14:paraId="7A750BE0">
      <w:pPr>
        <w:autoSpaceDE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9、《杭州市建设工消防设计审查工作指南》（试行）；</w:t>
      </w:r>
    </w:p>
    <w:p w14:paraId="51E75BF1">
      <w:pPr>
        <w:ind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10、市建委相关监督管理办法及规章制度；</w:t>
      </w:r>
    </w:p>
    <w:p w14:paraId="3C77C4EB">
      <w:pPr>
        <w:autoSpaceDE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11、其他国家和地方要求执行的法律法规。</w:t>
      </w:r>
    </w:p>
    <w:p w14:paraId="6832B096">
      <w:pPr>
        <w:autoSpaceDE w:val="0"/>
        <w:spacing w:line="360" w:lineRule="auto"/>
        <w:ind w:firstLine="42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注：如违背上述法规或规章制度，经财政备案后采购人有权终止合同，并要求供应商做出相应赔偿。</w:t>
      </w:r>
    </w:p>
    <w:p w14:paraId="21E07BC5">
      <w:pPr>
        <w:pStyle w:val="2"/>
        <w:numPr>
          <w:ilvl w:val="0"/>
          <w:numId w:val="0"/>
        </w:numPr>
        <w:spacing w:before="120" w:beforeLines="50"/>
        <w:ind w:leftChars="0" w:firstLine="482" w:firstLineChars="2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四、服务内容及要求</w:t>
      </w:r>
    </w:p>
    <w:p w14:paraId="14127FC3">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1、服务范围：</w:t>
      </w:r>
      <w:r>
        <w:rPr>
          <w:rFonts w:hint="eastAsia" w:ascii="仿宋" w:hAnsi="仿宋" w:eastAsia="仿宋" w:cs="仿宋"/>
          <w:b w:val="0"/>
          <w:bCs w:val="0"/>
          <w:color w:val="auto"/>
          <w:sz w:val="24"/>
          <w:szCs w:val="24"/>
          <w:highlight w:val="none"/>
          <w:lang w:val="en-US" w:eastAsia="zh-CN"/>
        </w:rPr>
        <w:t>本项目</w:t>
      </w:r>
      <w:r>
        <w:rPr>
          <w:rFonts w:hint="eastAsia" w:ascii="仿宋" w:hAnsi="仿宋" w:eastAsia="仿宋" w:cs="仿宋"/>
          <w:b w:val="0"/>
          <w:bCs w:val="0"/>
          <w:color w:val="auto"/>
          <w:kern w:val="0"/>
          <w:sz w:val="24"/>
          <w:szCs w:val="24"/>
          <w:highlight w:val="none"/>
          <w:lang w:eastAsia="zh-CN"/>
        </w:rPr>
        <w:t>范围内</w:t>
      </w:r>
      <w:r>
        <w:rPr>
          <w:rFonts w:hint="eastAsia" w:ascii="仿宋" w:hAnsi="仿宋" w:eastAsia="仿宋" w:cs="仿宋"/>
          <w:b w:val="0"/>
          <w:bCs w:val="0"/>
          <w:color w:val="auto"/>
          <w:kern w:val="0"/>
          <w:sz w:val="24"/>
          <w:szCs w:val="24"/>
          <w:highlight w:val="none"/>
        </w:rPr>
        <w:t>需</w:t>
      </w:r>
      <w:r>
        <w:rPr>
          <w:rFonts w:hint="eastAsia" w:ascii="仿宋" w:hAnsi="仿宋" w:eastAsia="仿宋" w:cs="仿宋"/>
          <w:b w:val="0"/>
          <w:bCs w:val="0"/>
          <w:color w:val="auto"/>
          <w:kern w:val="0"/>
          <w:sz w:val="24"/>
          <w:szCs w:val="24"/>
          <w:highlight w:val="none"/>
          <w:lang w:eastAsia="zh-CN"/>
        </w:rPr>
        <w:t>要</w:t>
      </w:r>
      <w:r>
        <w:rPr>
          <w:rFonts w:hint="eastAsia" w:ascii="仿宋" w:hAnsi="仿宋" w:eastAsia="仿宋" w:cs="仿宋"/>
          <w:b w:val="0"/>
          <w:bCs w:val="0"/>
          <w:color w:val="auto"/>
          <w:kern w:val="0"/>
          <w:sz w:val="24"/>
          <w:szCs w:val="24"/>
          <w:highlight w:val="none"/>
        </w:rPr>
        <w:t>消防验收</w:t>
      </w:r>
      <w:r>
        <w:rPr>
          <w:rFonts w:hint="eastAsia" w:ascii="仿宋" w:hAnsi="仿宋" w:eastAsia="仿宋" w:cs="仿宋"/>
          <w:b w:val="0"/>
          <w:bCs w:val="0"/>
          <w:color w:val="auto"/>
          <w:kern w:val="0"/>
          <w:sz w:val="24"/>
          <w:szCs w:val="24"/>
          <w:highlight w:val="none"/>
          <w:lang w:eastAsia="zh-CN"/>
        </w:rPr>
        <w:t>、备案（抽查）</w:t>
      </w:r>
      <w:r>
        <w:rPr>
          <w:rFonts w:hint="eastAsia" w:ascii="仿宋" w:hAnsi="仿宋" w:eastAsia="仿宋" w:cs="仿宋"/>
          <w:b w:val="0"/>
          <w:bCs w:val="0"/>
          <w:color w:val="auto"/>
          <w:kern w:val="0"/>
          <w:sz w:val="24"/>
          <w:szCs w:val="24"/>
          <w:highlight w:val="none"/>
        </w:rPr>
        <w:t>的建设工程项目</w:t>
      </w:r>
      <w:r>
        <w:rPr>
          <w:rFonts w:hint="eastAsia" w:ascii="仿宋" w:hAnsi="仿宋" w:eastAsia="仿宋" w:cs="仿宋"/>
          <w:b w:val="0"/>
          <w:bCs w:val="0"/>
          <w:color w:val="auto"/>
          <w:kern w:val="0"/>
          <w:sz w:val="24"/>
          <w:szCs w:val="24"/>
          <w:highlight w:val="none"/>
          <w:lang w:eastAsia="zh-CN"/>
        </w:rPr>
        <w:t>；</w:t>
      </w:r>
    </w:p>
    <w:p w14:paraId="20963EF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服务人员的配</w:t>
      </w:r>
      <w:r>
        <w:rPr>
          <w:rFonts w:hint="eastAsia" w:ascii="仿宋" w:hAnsi="仿宋" w:eastAsia="仿宋" w:cs="仿宋"/>
          <w:b w:val="0"/>
          <w:bCs w:val="0"/>
          <w:color w:val="auto"/>
          <w:sz w:val="24"/>
          <w:szCs w:val="24"/>
          <w:highlight w:val="none"/>
          <w:lang w:val="en-US" w:eastAsia="zh-CN"/>
        </w:rPr>
        <w:t>置</w:t>
      </w:r>
      <w:r>
        <w:rPr>
          <w:rFonts w:hint="eastAsia" w:ascii="仿宋" w:hAnsi="仿宋" w:eastAsia="仿宋" w:cs="仿宋"/>
          <w:b w:val="0"/>
          <w:bCs w:val="0"/>
          <w:color w:val="auto"/>
          <w:sz w:val="24"/>
          <w:szCs w:val="24"/>
          <w:highlight w:val="none"/>
        </w:rPr>
        <w:t>要求</w:t>
      </w:r>
    </w:p>
    <w:p w14:paraId="2789867F">
      <w:p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）具体人员配</w:t>
      </w:r>
      <w:r>
        <w:rPr>
          <w:rFonts w:hint="eastAsia" w:ascii="仿宋" w:hAnsi="仿宋" w:eastAsia="仿宋" w:cs="仿宋"/>
          <w:b w:val="0"/>
          <w:bCs w:val="0"/>
          <w:color w:val="auto"/>
          <w:sz w:val="24"/>
          <w:szCs w:val="24"/>
          <w:highlight w:val="none"/>
          <w:lang w:val="en-US" w:eastAsia="zh-CN"/>
        </w:rPr>
        <w:t>置</w:t>
      </w:r>
      <w:r>
        <w:rPr>
          <w:rFonts w:hint="eastAsia" w:ascii="仿宋" w:hAnsi="仿宋" w:eastAsia="仿宋" w:cs="仿宋"/>
          <w:b w:val="0"/>
          <w:bCs w:val="0"/>
          <w:color w:val="auto"/>
          <w:sz w:val="24"/>
          <w:szCs w:val="24"/>
          <w:highlight w:val="none"/>
        </w:rPr>
        <w:t>数量</w:t>
      </w:r>
      <w:r>
        <w:rPr>
          <w:rFonts w:hint="eastAsia" w:ascii="仿宋" w:hAnsi="仿宋" w:eastAsia="仿宋" w:cs="仿宋"/>
          <w:b w:val="0"/>
          <w:bCs w:val="0"/>
          <w:color w:val="auto"/>
          <w:sz w:val="24"/>
          <w:szCs w:val="24"/>
          <w:highlight w:val="none"/>
          <w:lang w:eastAsia="zh-CN"/>
        </w:rPr>
        <w:t>及</w:t>
      </w:r>
      <w:r>
        <w:rPr>
          <w:rFonts w:hint="eastAsia" w:ascii="仿宋" w:hAnsi="仿宋" w:eastAsia="仿宋" w:cs="仿宋"/>
          <w:b w:val="0"/>
          <w:bCs w:val="0"/>
          <w:color w:val="auto"/>
          <w:sz w:val="24"/>
          <w:szCs w:val="24"/>
          <w:highlight w:val="none"/>
        </w:rPr>
        <w:t>要求详见下表。</w:t>
      </w:r>
    </w:p>
    <w:p w14:paraId="683245DD">
      <w:pPr>
        <w:pStyle w:val="2"/>
        <w:numPr>
          <w:ilvl w:val="0"/>
          <w:numId w:val="0"/>
        </w:numPr>
        <w:ind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① </w:t>
      </w:r>
      <w:r>
        <w:rPr>
          <w:rFonts w:hint="eastAsia" w:ascii="仿宋" w:hAnsi="仿宋" w:eastAsia="仿宋" w:cs="仿宋"/>
          <w:b w:val="0"/>
          <w:bCs w:val="0"/>
          <w:color w:val="auto"/>
          <w:sz w:val="24"/>
          <w:szCs w:val="24"/>
          <w:highlight w:val="none"/>
        </w:rPr>
        <w:t>服务人员</w:t>
      </w:r>
      <w:r>
        <w:rPr>
          <w:rFonts w:hint="eastAsia" w:ascii="仿宋" w:hAnsi="仿宋" w:eastAsia="仿宋" w:cs="仿宋"/>
          <w:b w:val="0"/>
          <w:bCs w:val="0"/>
          <w:color w:val="auto"/>
          <w:sz w:val="24"/>
          <w:szCs w:val="24"/>
          <w:highlight w:val="none"/>
          <w:lang w:val="en-US" w:eastAsia="zh-CN"/>
        </w:rPr>
        <w:t>配置要求</w:t>
      </w:r>
    </w:p>
    <w:p w14:paraId="027ADFA5">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20"/>
          <w:sz w:val="24"/>
          <w:szCs w:val="24"/>
          <w:highlight w:val="none"/>
        </w:rPr>
        <w:t>人员配</w:t>
      </w:r>
      <w:r>
        <w:rPr>
          <w:rFonts w:hint="eastAsia" w:ascii="仿宋" w:hAnsi="仿宋" w:eastAsia="仿宋" w:cs="仿宋"/>
          <w:b w:val="0"/>
          <w:bCs w:val="0"/>
          <w:color w:val="auto"/>
          <w:spacing w:val="20"/>
          <w:sz w:val="24"/>
          <w:szCs w:val="24"/>
          <w:highlight w:val="none"/>
          <w:lang w:val="en-US" w:eastAsia="zh-CN"/>
        </w:rPr>
        <w:t>置表</w:t>
      </w:r>
    </w:p>
    <w:tbl>
      <w:tblPr>
        <w:tblStyle w:val="19"/>
        <w:tblW w:w="848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39"/>
        <w:gridCol w:w="2185"/>
        <w:gridCol w:w="2108"/>
        <w:gridCol w:w="3349"/>
      </w:tblGrid>
      <w:tr w14:paraId="3B935C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653E9E5">
            <w:pPr>
              <w:pStyle w:val="39"/>
              <w:spacing w:line="360" w:lineRule="auto"/>
              <w:jc w:val="center"/>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序号</w:t>
            </w:r>
          </w:p>
        </w:tc>
        <w:tc>
          <w:tcPr>
            <w:tcW w:w="2185" w:type="dxa"/>
            <w:tcBorders>
              <w:top w:val="single" w:color="auto" w:sz="4" w:space="0"/>
              <w:left w:val="nil"/>
              <w:bottom w:val="single" w:color="auto" w:sz="4" w:space="0"/>
              <w:right w:val="single" w:color="auto" w:sz="4" w:space="0"/>
            </w:tcBorders>
            <w:vAlign w:val="center"/>
          </w:tcPr>
          <w:p w14:paraId="33F8D4FA">
            <w:pPr>
              <w:pStyle w:val="39"/>
              <w:spacing w:line="360" w:lineRule="auto"/>
              <w:ind w:firstLine="211"/>
              <w:jc w:val="center"/>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岗位</w:t>
            </w:r>
          </w:p>
        </w:tc>
        <w:tc>
          <w:tcPr>
            <w:tcW w:w="2108" w:type="dxa"/>
            <w:tcBorders>
              <w:top w:val="single" w:color="auto" w:sz="4" w:space="0"/>
              <w:left w:val="nil"/>
              <w:bottom w:val="single" w:color="auto" w:sz="4" w:space="0"/>
              <w:right w:val="single" w:color="auto" w:sz="4" w:space="0"/>
            </w:tcBorders>
            <w:vAlign w:val="center"/>
          </w:tcPr>
          <w:p w14:paraId="3BD5F77C">
            <w:pPr>
              <w:pStyle w:val="39"/>
              <w:spacing w:line="360" w:lineRule="auto"/>
              <w:jc w:val="center"/>
              <w:rPr>
                <w:rFonts w:hint="eastAsia" w:ascii="仿宋" w:hAnsi="仿宋" w:eastAsia="仿宋" w:cs="仿宋"/>
                <w:b w:val="0"/>
                <w:bCs w:val="0"/>
                <w:i w:val="0"/>
                <w:iCs w:val="0"/>
                <w:color w:val="auto"/>
                <w:sz w:val="24"/>
                <w:szCs w:val="24"/>
                <w:highlight w:val="none"/>
                <w:shd w:val="clear" w:color="auto" w:fill="FFFFFF"/>
                <w:lang w:val="en-US" w:eastAsia="zh-CN"/>
              </w:rPr>
            </w:pPr>
            <w:r>
              <w:rPr>
                <w:rFonts w:hint="eastAsia" w:ascii="仿宋" w:hAnsi="仿宋" w:eastAsia="仿宋" w:cs="仿宋"/>
                <w:b w:val="0"/>
                <w:bCs w:val="0"/>
                <w:i w:val="0"/>
                <w:iCs w:val="0"/>
                <w:color w:val="auto"/>
                <w:sz w:val="24"/>
                <w:szCs w:val="24"/>
                <w:highlight w:val="none"/>
                <w:shd w:val="clear" w:color="auto" w:fill="FFFFFF"/>
                <w:lang w:val="en-US" w:eastAsia="zh-CN"/>
              </w:rPr>
              <w:t>姓名</w:t>
            </w:r>
          </w:p>
        </w:tc>
        <w:tc>
          <w:tcPr>
            <w:tcW w:w="3349" w:type="dxa"/>
            <w:tcBorders>
              <w:top w:val="single" w:color="auto" w:sz="4" w:space="0"/>
              <w:left w:val="nil"/>
              <w:bottom w:val="single" w:color="auto" w:sz="4" w:space="0"/>
              <w:right w:val="single" w:color="auto" w:sz="4" w:space="0"/>
            </w:tcBorders>
            <w:vAlign w:val="center"/>
          </w:tcPr>
          <w:p w14:paraId="6AC4CD5D">
            <w:pPr>
              <w:pStyle w:val="39"/>
              <w:spacing w:line="360" w:lineRule="auto"/>
              <w:ind w:firstLine="211"/>
              <w:jc w:val="center"/>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备注</w:t>
            </w:r>
          </w:p>
        </w:tc>
      </w:tr>
      <w:tr w14:paraId="2E96B8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87369AB">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(1)</w:t>
            </w:r>
          </w:p>
        </w:tc>
        <w:tc>
          <w:tcPr>
            <w:tcW w:w="2185" w:type="dxa"/>
            <w:tcBorders>
              <w:top w:val="single" w:color="auto" w:sz="4" w:space="0"/>
              <w:left w:val="nil"/>
              <w:bottom w:val="single" w:color="auto" w:sz="4" w:space="0"/>
              <w:right w:val="single" w:color="auto" w:sz="4" w:space="0"/>
            </w:tcBorders>
            <w:vAlign w:val="center"/>
          </w:tcPr>
          <w:p w14:paraId="4CF2C80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项目负责人</w:t>
            </w:r>
          </w:p>
        </w:tc>
        <w:tc>
          <w:tcPr>
            <w:tcW w:w="2108" w:type="dxa"/>
            <w:tcBorders>
              <w:top w:val="single" w:color="auto" w:sz="4" w:space="0"/>
              <w:left w:val="nil"/>
              <w:bottom w:val="single" w:color="auto" w:sz="4" w:space="0"/>
              <w:right w:val="single" w:color="auto" w:sz="4" w:space="0"/>
            </w:tcBorders>
            <w:vAlign w:val="center"/>
          </w:tcPr>
          <w:p w14:paraId="1D6A74F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11D64A07">
            <w:pPr>
              <w:pStyle w:val="39"/>
              <w:keepNext w:val="0"/>
              <w:keepLines w:val="0"/>
              <w:pageBreakBefore w:val="0"/>
              <w:widowControl w:val="0"/>
              <w:kinsoku/>
              <w:wordWrap/>
              <w:overflowPunct/>
              <w:topLinePunct w:val="0"/>
              <w:autoSpaceDE/>
              <w:autoSpaceDN/>
              <w:adjustRightInd/>
              <w:snapToGrid/>
              <w:spacing w:line="360" w:lineRule="auto"/>
              <w:jc w:val="center"/>
              <w:rPr>
                <w:rFonts w:hint="eastAsia" w:ascii="仿宋" w:hAnsi="仿宋" w:eastAsia="仿宋" w:cs="仿宋"/>
                <w:b w:val="0"/>
                <w:bCs w:val="0"/>
                <w:sz w:val="24"/>
                <w:szCs w:val="24"/>
                <w:highlight w:val="none"/>
                <w:shd w:val="clear" w:color="auto" w:fill="FFFFFF"/>
              </w:rPr>
            </w:pPr>
          </w:p>
        </w:tc>
      </w:tr>
      <w:tr w14:paraId="39B6F8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21A12B8">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2</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16B0789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建筑专业技术人员</w:t>
            </w:r>
          </w:p>
        </w:tc>
        <w:tc>
          <w:tcPr>
            <w:tcW w:w="2108" w:type="dxa"/>
            <w:tcBorders>
              <w:top w:val="single" w:color="auto" w:sz="4" w:space="0"/>
              <w:left w:val="nil"/>
              <w:bottom w:val="single" w:color="auto" w:sz="4" w:space="0"/>
              <w:right w:val="single" w:color="auto" w:sz="4" w:space="0"/>
            </w:tcBorders>
            <w:vAlign w:val="center"/>
          </w:tcPr>
          <w:p w14:paraId="01871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285F6EC3">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13CBDB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229056AD">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3</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shd w:val="clear" w:color="auto" w:fill="auto"/>
            <w:vAlign w:val="center"/>
          </w:tcPr>
          <w:p w14:paraId="0793CCF0">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lang w:eastAsia="zh-CN"/>
              </w:rPr>
              <w:t>结构</w:t>
            </w:r>
            <w:r>
              <w:rPr>
                <w:rFonts w:hint="eastAsia" w:ascii="仿宋" w:hAnsi="仿宋" w:eastAsia="仿宋" w:cs="仿宋"/>
                <w:b w:val="0"/>
                <w:bCs w:val="0"/>
                <w:i w:val="0"/>
                <w:iCs w:val="0"/>
                <w:color w:val="auto"/>
                <w:sz w:val="24"/>
                <w:szCs w:val="24"/>
                <w:highlight w:val="none"/>
                <w:shd w:val="clear" w:color="auto" w:fill="FFFFFF"/>
              </w:rPr>
              <w:t>专业技术人员</w:t>
            </w:r>
          </w:p>
        </w:tc>
        <w:tc>
          <w:tcPr>
            <w:tcW w:w="2108" w:type="dxa"/>
            <w:tcBorders>
              <w:top w:val="single" w:color="auto" w:sz="4" w:space="0"/>
              <w:left w:val="nil"/>
              <w:bottom w:val="single" w:color="auto" w:sz="4" w:space="0"/>
              <w:right w:val="single" w:color="auto" w:sz="4" w:space="0"/>
            </w:tcBorders>
            <w:shd w:val="clear" w:color="auto" w:fill="auto"/>
            <w:vAlign w:val="center"/>
          </w:tcPr>
          <w:p w14:paraId="57F4E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p>
        </w:tc>
        <w:tc>
          <w:tcPr>
            <w:tcW w:w="3349" w:type="dxa"/>
            <w:tcBorders>
              <w:top w:val="single" w:color="auto" w:sz="4" w:space="0"/>
              <w:left w:val="nil"/>
              <w:bottom w:val="single" w:color="auto" w:sz="4" w:space="0"/>
              <w:right w:val="single" w:color="auto" w:sz="4" w:space="0"/>
            </w:tcBorders>
            <w:shd w:val="clear" w:color="auto" w:fill="auto"/>
            <w:vAlign w:val="center"/>
          </w:tcPr>
          <w:p w14:paraId="3BB07CA8">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p>
        </w:tc>
      </w:tr>
      <w:tr w14:paraId="63A18F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04FE40F9">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4</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34C1D7AF">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暖通专业技术人员</w:t>
            </w:r>
          </w:p>
        </w:tc>
        <w:tc>
          <w:tcPr>
            <w:tcW w:w="2108" w:type="dxa"/>
            <w:tcBorders>
              <w:top w:val="single" w:color="auto" w:sz="4" w:space="0"/>
              <w:left w:val="nil"/>
              <w:bottom w:val="single" w:color="auto" w:sz="4" w:space="0"/>
              <w:right w:val="single" w:color="auto" w:sz="4" w:space="0"/>
            </w:tcBorders>
            <w:vAlign w:val="center"/>
          </w:tcPr>
          <w:p w14:paraId="5DA65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7C2246B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4DFC4B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98E4B99">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5</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23CB09F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给排水专业技术人员</w:t>
            </w:r>
          </w:p>
        </w:tc>
        <w:tc>
          <w:tcPr>
            <w:tcW w:w="2108" w:type="dxa"/>
            <w:tcBorders>
              <w:top w:val="single" w:color="auto" w:sz="4" w:space="0"/>
              <w:left w:val="nil"/>
              <w:bottom w:val="single" w:color="auto" w:sz="4" w:space="0"/>
              <w:right w:val="single" w:color="auto" w:sz="4" w:space="0"/>
            </w:tcBorders>
            <w:vAlign w:val="center"/>
          </w:tcPr>
          <w:p w14:paraId="390133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57E3951A">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0E969F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065B291A">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6</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558713C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电气专业技术人员</w:t>
            </w:r>
          </w:p>
        </w:tc>
        <w:tc>
          <w:tcPr>
            <w:tcW w:w="2108" w:type="dxa"/>
            <w:tcBorders>
              <w:top w:val="single" w:color="auto" w:sz="4" w:space="0"/>
              <w:left w:val="nil"/>
              <w:bottom w:val="single" w:color="auto" w:sz="4" w:space="0"/>
              <w:right w:val="single" w:color="auto" w:sz="4" w:space="0"/>
            </w:tcBorders>
            <w:vAlign w:val="center"/>
          </w:tcPr>
          <w:p w14:paraId="4607B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3D8503F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2AA56C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45C5D619">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kern w:val="2"/>
                <w:sz w:val="24"/>
                <w:szCs w:val="24"/>
                <w:highlight w:val="none"/>
                <w:shd w:val="clear" w:color="auto" w:fill="FFFFFF"/>
                <w:lang w:val="en-US" w:eastAsia="zh-CN" w:bidi="ar-SA"/>
              </w:rPr>
            </w:pPr>
            <w:r>
              <w:rPr>
                <w:rFonts w:hint="eastAsia" w:ascii="仿宋" w:hAnsi="仿宋" w:eastAsia="仿宋" w:cs="仿宋"/>
                <w:b w:val="0"/>
                <w:bCs w:val="0"/>
                <w:i w:val="0"/>
                <w:iCs w:val="0"/>
                <w:color w:val="auto"/>
                <w:sz w:val="24"/>
                <w:szCs w:val="24"/>
                <w:highlight w:val="none"/>
                <w:shd w:val="clear" w:color="auto" w:fill="FFFFFF"/>
              </w:rPr>
              <w:t>（</w:t>
            </w:r>
            <w:r>
              <w:rPr>
                <w:rFonts w:hint="eastAsia" w:ascii="仿宋" w:hAnsi="仿宋" w:eastAsia="仿宋" w:cs="仿宋"/>
                <w:b w:val="0"/>
                <w:bCs w:val="0"/>
                <w:i w:val="0"/>
                <w:iCs w:val="0"/>
                <w:color w:val="auto"/>
                <w:sz w:val="24"/>
                <w:szCs w:val="24"/>
                <w:highlight w:val="none"/>
                <w:shd w:val="clear" w:color="auto" w:fill="FFFFFF"/>
                <w:lang w:val="en-US" w:eastAsia="zh-CN"/>
              </w:rPr>
              <w:t>7</w:t>
            </w:r>
            <w:r>
              <w:rPr>
                <w:rFonts w:hint="eastAsia" w:ascii="仿宋" w:hAnsi="仿宋" w:eastAsia="仿宋" w:cs="仿宋"/>
                <w:b w:val="0"/>
                <w:bCs w:val="0"/>
                <w:i w:val="0"/>
                <w:iCs w:val="0"/>
                <w:color w:val="auto"/>
                <w:sz w:val="24"/>
                <w:szCs w:val="24"/>
                <w:highlight w:val="none"/>
                <w:shd w:val="clear" w:color="auto" w:fill="FFFFFF"/>
              </w:rPr>
              <w:t>）</w:t>
            </w:r>
          </w:p>
        </w:tc>
        <w:tc>
          <w:tcPr>
            <w:tcW w:w="2185" w:type="dxa"/>
            <w:tcBorders>
              <w:top w:val="single" w:color="auto" w:sz="4" w:space="0"/>
              <w:left w:val="nil"/>
              <w:bottom w:val="single" w:color="auto" w:sz="4" w:space="0"/>
              <w:right w:val="single" w:color="auto" w:sz="4" w:space="0"/>
            </w:tcBorders>
            <w:vAlign w:val="center"/>
          </w:tcPr>
          <w:p w14:paraId="39621F4E">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消防设施检测技术人员</w:t>
            </w:r>
          </w:p>
        </w:tc>
        <w:tc>
          <w:tcPr>
            <w:tcW w:w="2108" w:type="dxa"/>
            <w:tcBorders>
              <w:top w:val="single" w:color="auto" w:sz="4" w:space="0"/>
              <w:left w:val="nil"/>
              <w:bottom w:val="single" w:color="auto" w:sz="4" w:space="0"/>
              <w:right w:val="single" w:color="auto" w:sz="4" w:space="0"/>
            </w:tcBorders>
            <w:vAlign w:val="center"/>
          </w:tcPr>
          <w:p w14:paraId="79B8E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0B6CA3B5">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5BBD8D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0322A08C">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lang w:eastAsia="zh-CN"/>
              </w:rPr>
            </w:pPr>
            <w:r>
              <w:rPr>
                <w:rFonts w:hint="eastAsia" w:ascii="仿宋" w:hAnsi="仿宋" w:eastAsia="仿宋" w:cs="仿宋"/>
                <w:b w:val="0"/>
                <w:bCs w:val="0"/>
                <w:i w:val="0"/>
                <w:iCs w:val="0"/>
                <w:color w:val="auto"/>
                <w:sz w:val="24"/>
                <w:szCs w:val="24"/>
                <w:highlight w:val="none"/>
                <w:shd w:val="clear" w:color="auto" w:fill="FFFFFF"/>
                <w:lang w:eastAsia="zh-CN"/>
              </w:rPr>
              <w:t>（</w:t>
            </w:r>
            <w:r>
              <w:rPr>
                <w:rFonts w:hint="eastAsia" w:ascii="仿宋" w:hAnsi="仿宋" w:eastAsia="仿宋" w:cs="仿宋"/>
                <w:b w:val="0"/>
                <w:bCs w:val="0"/>
                <w:i w:val="0"/>
                <w:iCs w:val="0"/>
                <w:color w:val="auto"/>
                <w:sz w:val="24"/>
                <w:szCs w:val="24"/>
                <w:highlight w:val="none"/>
                <w:shd w:val="clear" w:color="auto" w:fill="FFFFFF"/>
                <w:lang w:val="en-US" w:eastAsia="zh-CN"/>
              </w:rPr>
              <w:t>8</w:t>
            </w:r>
            <w:r>
              <w:rPr>
                <w:rFonts w:hint="eastAsia" w:ascii="仿宋" w:hAnsi="仿宋" w:eastAsia="仿宋" w:cs="仿宋"/>
                <w:b w:val="0"/>
                <w:bCs w:val="0"/>
                <w:i w:val="0"/>
                <w:iCs w:val="0"/>
                <w:color w:val="auto"/>
                <w:sz w:val="24"/>
                <w:szCs w:val="24"/>
                <w:highlight w:val="none"/>
                <w:shd w:val="clear" w:color="auto" w:fill="FFFFFF"/>
                <w:lang w:eastAsia="zh-CN"/>
              </w:rPr>
              <w:t>）</w:t>
            </w:r>
          </w:p>
        </w:tc>
        <w:tc>
          <w:tcPr>
            <w:tcW w:w="2185" w:type="dxa"/>
            <w:tcBorders>
              <w:top w:val="single" w:color="auto" w:sz="4" w:space="0"/>
              <w:left w:val="nil"/>
              <w:bottom w:val="single" w:color="auto" w:sz="4" w:space="0"/>
              <w:right w:val="single" w:color="auto" w:sz="4" w:space="0"/>
            </w:tcBorders>
            <w:vAlign w:val="center"/>
          </w:tcPr>
          <w:p w14:paraId="4A988478">
            <w:pPr>
              <w:pStyle w:val="39"/>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资料员</w:t>
            </w:r>
          </w:p>
        </w:tc>
        <w:tc>
          <w:tcPr>
            <w:tcW w:w="2108" w:type="dxa"/>
            <w:tcBorders>
              <w:top w:val="single" w:color="auto" w:sz="4" w:space="0"/>
              <w:left w:val="nil"/>
              <w:bottom w:val="single" w:color="auto" w:sz="4" w:space="0"/>
              <w:right w:val="single" w:color="auto" w:sz="4" w:space="0"/>
            </w:tcBorders>
            <w:vAlign w:val="center"/>
          </w:tcPr>
          <w:p w14:paraId="4AF51A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c>
          <w:tcPr>
            <w:tcW w:w="3349" w:type="dxa"/>
            <w:tcBorders>
              <w:top w:val="single" w:color="auto" w:sz="4" w:space="0"/>
              <w:left w:val="nil"/>
              <w:bottom w:val="single" w:color="auto" w:sz="4" w:space="0"/>
              <w:right w:val="single" w:color="auto" w:sz="4" w:space="0"/>
            </w:tcBorders>
            <w:vAlign w:val="center"/>
          </w:tcPr>
          <w:p w14:paraId="5E45B512">
            <w:pPr>
              <w:pStyle w:val="3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4"/>
                <w:szCs w:val="24"/>
                <w:highlight w:val="none"/>
                <w:shd w:val="clear" w:color="auto" w:fill="FFFFFF"/>
              </w:rPr>
            </w:pPr>
          </w:p>
        </w:tc>
      </w:tr>
      <w:tr w14:paraId="7B1DDB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jc w:val="center"/>
        </w:trPr>
        <w:tc>
          <w:tcPr>
            <w:tcW w:w="3024" w:type="dxa"/>
            <w:gridSpan w:val="2"/>
            <w:tcBorders>
              <w:top w:val="single" w:color="auto" w:sz="4" w:space="0"/>
              <w:left w:val="single" w:color="auto" w:sz="4" w:space="0"/>
              <w:bottom w:val="single" w:color="auto" w:sz="4" w:space="0"/>
              <w:right w:val="single" w:color="auto" w:sz="4" w:space="0"/>
            </w:tcBorders>
            <w:vAlign w:val="center"/>
          </w:tcPr>
          <w:p w14:paraId="1E8998BE">
            <w:pPr>
              <w:pStyle w:val="39"/>
              <w:spacing w:line="360" w:lineRule="auto"/>
              <w:jc w:val="center"/>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rPr>
              <w:t>合计</w:t>
            </w:r>
          </w:p>
        </w:tc>
        <w:tc>
          <w:tcPr>
            <w:tcW w:w="2108" w:type="dxa"/>
            <w:tcBorders>
              <w:top w:val="single" w:color="auto" w:sz="4" w:space="0"/>
              <w:left w:val="nil"/>
              <w:bottom w:val="single" w:color="auto" w:sz="4" w:space="0"/>
              <w:right w:val="single" w:color="auto" w:sz="4" w:space="0"/>
            </w:tcBorders>
            <w:vAlign w:val="center"/>
          </w:tcPr>
          <w:p w14:paraId="00F482C1">
            <w:pPr>
              <w:pStyle w:val="39"/>
              <w:spacing w:line="360" w:lineRule="auto"/>
              <w:jc w:val="center"/>
              <w:rPr>
                <w:rFonts w:hint="eastAsia" w:ascii="仿宋" w:hAnsi="仿宋" w:eastAsia="仿宋" w:cs="仿宋"/>
                <w:b w:val="0"/>
                <w:bCs w:val="0"/>
                <w:i w:val="0"/>
                <w:iCs w:val="0"/>
                <w:color w:val="auto"/>
                <w:sz w:val="24"/>
                <w:szCs w:val="24"/>
                <w:highlight w:val="none"/>
                <w:shd w:val="clear" w:color="auto" w:fill="FFFFFF"/>
              </w:rPr>
            </w:pPr>
            <w:r>
              <w:rPr>
                <w:rFonts w:hint="eastAsia" w:ascii="仿宋" w:hAnsi="仿宋" w:eastAsia="仿宋" w:cs="仿宋"/>
                <w:b w:val="0"/>
                <w:bCs w:val="0"/>
                <w:i w:val="0"/>
                <w:iCs w:val="0"/>
                <w:color w:val="auto"/>
                <w:sz w:val="24"/>
                <w:szCs w:val="24"/>
                <w:highlight w:val="none"/>
                <w:shd w:val="clear" w:color="auto" w:fill="FFFFFF"/>
                <w:lang w:val="en-US" w:eastAsia="zh-CN"/>
              </w:rPr>
              <w:t xml:space="preserve"> </w:t>
            </w:r>
          </w:p>
        </w:tc>
        <w:tc>
          <w:tcPr>
            <w:tcW w:w="3349" w:type="dxa"/>
            <w:tcBorders>
              <w:top w:val="single" w:color="auto" w:sz="4" w:space="0"/>
              <w:left w:val="nil"/>
              <w:bottom w:val="single" w:color="auto" w:sz="4" w:space="0"/>
              <w:right w:val="single" w:color="auto" w:sz="4" w:space="0"/>
            </w:tcBorders>
            <w:vAlign w:val="center"/>
          </w:tcPr>
          <w:p w14:paraId="1DA2D228">
            <w:pPr>
              <w:pStyle w:val="40"/>
              <w:spacing w:line="360" w:lineRule="auto"/>
              <w:ind w:firstLine="211"/>
              <w:jc w:val="center"/>
              <w:rPr>
                <w:rFonts w:hint="eastAsia" w:ascii="仿宋" w:hAnsi="仿宋" w:eastAsia="仿宋" w:cs="仿宋"/>
                <w:b w:val="0"/>
                <w:bCs w:val="0"/>
                <w:i w:val="0"/>
                <w:iCs w:val="0"/>
                <w:color w:val="auto"/>
                <w:sz w:val="24"/>
                <w:szCs w:val="24"/>
                <w:highlight w:val="none"/>
                <w:shd w:val="clear" w:color="auto" w:fill="FFFFFF"/>
              </w:rPr>
            </w:pPr>
          </w:p>
        </w:tc>
      </w:tr>
    </w:tbl>
    <w:p w14:paraId="6F3F35E4">
      <w:pPr>
        <w:spacing w:line="360" w:lineRule="auto"/>
        <w:rPr>
          <w:rFonts w:hint="eastAsia" w:ascii="仿宋" w:hAnsi="仿宋" w:eastAsia="仿宋" w:cs="仿宋"/>
          <w:b w:val="0"/>
          <w:bCs w:val="0"/>
          <w:color w:val="auto"/>
          <w:sz w:val="24"/>
          <w:szCs w:val="24"/>
          <w:highlight w:val="none"/>
        </w:rPr>
      </w:pPr>
    </w:p>
    <w:p w14:paraId="1EE472D7">
      <w:pPr>
        <w:pStyle w:val="6"/>
        <w:numPr>
          <w:ilvl w:val="-1"/>
          <w:numId w:val="0"/>
        </w:numPr>
        <w:spacing w:line="360" w:lineRule="auto"/>
        <w:ind w:left="0" w:firstLine="480" w:firstLineChars="200"/>
        <w:rPr>
          <w:rFonts w:hint="eastAsia" w:ascii="仿宋" w:hAnsi="仿宋" w:eastAsia="仿宋" w:cs="仿宋"/>
          <w:b w:val="0"/>
          <w:bCs w:val="0"/>
          <w:snapToGrid/>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服务内容：</w:t>
      </w:r>
      <w:r>
        <w:rPr>
          <w:rFonts w:hint="eastAsia" w:ascii="仿宋" w:hAnsi="仿宋" w:eastAsia="仿宋" w:cs="仿宋"/>
          <w:b w:val="0"/>
          <w:bCs w:val="0"/>
          <w:snapToGrid/>
          <w:color w:val="auto"/>
          <w:kern w:val="2"/>
          <w:sz w:val="24"/>
          <w:szCs w:val="24"/>
          <w:highlight w:val="none"/>
        </w:rPr>
        <w:t>供应商</w:t>
      </w:r>
      <w:r>
        <w:rPr>
          <w:rFonts w:hint="eastAsia" w:ascii="仿宋" w:hAnsi="仿宋" w:eastAsia="仿宋" w:cs="仿宋"/>
          <w:b w:val="0"/>
          <w:bCs w:val="0"/>
          <w:snapToGrid/>
          <w:color w:val="auto"/>
          <w:kern w:val="2"/>
          <w:sz w:val="24"/>
          <w:szCs w:val="24"/>
          <w:highlight w:val="none"/>
          <w:lang w:val="en-US" w:eastAsia="zh-CN"/>
        </w:rPr>
        <w:t>应</w:t>
      </w:r>
      <w:r>
        <w:rPr>
          <w:rFonts w:hint="eastAsia" w:ascii="仿宋" w:hAnsi="仿宋" w:eastAsia="仿宋" w:cs="仿宋"/>
          <w:b w:val="0"/>
          <w:bCs w:val="0"/>
          <w:snapToGrid/>
          <w:color w:val="auto"/>
          <w:kern w:val="2"/>
          <w:sz w:val="24"/>
          <w:szCs w:val="24"/>
          <w:highlight w:val="none"/>
        </w:rPr>
        <w:t>严格依据国家法律法规、国家工程建设消防技术标准和省、市有关规定、</w:t>
      </w:r>
      <w:r>
        <w:rPr>
          <w:rFonts w:hint="eastAsia" w:ascii="仿宋" w:hAnsi="仿宋" w:eastAsia="仿宋" w:cs="仿宋"/>
          <w:b w:val="0"/>
          <w:bCs w:val="0"/>
          <w:color w:val="auto"/>
          <w:sz w:val="24"/>
          <w:szCs w:val="24"/>
          <w:highlight w:val="none"/>
        </w:rPr>
        <w:t>涉及消防的建设工程竣工图纸、消防设计审查意见，</w:t>
      </w:r>
      <w:r>
        <w:rPr>
          <w:rFonts w:hint="eastAsia" w:ascii="仿宋" w:hAnsi="仿宋" w:eastAsia="仿宋" w:cs="仿宋"/>
          <w:b w:val="0"/>
          <w:bCs w:val="0"/>
          <w:snapToGrid/>
          <w:color w:val="auto"/>
          <w:kern w:val="2"/>
          <w:sz w:val="24"/>
          <w:szCs w:val="24"/>
          <w:highlight w:val="none"/>
        </w:rPr>
        <w:t>开展消防验收</w:t>
      </w:r>
      <w:r>
        <w:rPr>
          <w:rFonts w:hint="eastAsia" w:ascii="仿宋" w:hAnsi="仿宋" w:eastAsia="仿宋" w:cs="仿宋"/>
          <w:b w:val="0"/>
          <w:bCs w:val="0"/>
          <w:snapToGrid/>
          <w:color w:val="auto"/>
          <w:kern w:val="2"/>
          <w:sz w:val="24"/>
          <w:szCs w:val="24"/>
          <w:highlight w:val="none"/>
          <w:lang w:eastAsia="zh-CN"/>
        </w:rPr>
        <w:t>、备案（抽查）</w:t>
      </w:r>
      <w:r>
        <w:rPr>
          <w:rFonts w:hint="eastAsia" w:ascii="仿宋" w:hAnsi="仿宋" w:eastAsia="仿宋" w:cs="仿宋"/>
          <w:b w:val="0"/>
          <w:bCs w:val="0"/>
          <w:snapToGrid/>
          <w:color w:val="auto"/>
          <w:kern w:val="2"/>
          <w:sz w:val="24"/>
          <w:szCs w:val="24"/>
          <w:highlight w:val="none"/>
        </w:rPr>
        <w:t>技术服务工作（含备案未抽中项目），图纸及资料核查服务</w:t>
      </w:r>
      <w:r>
        <w:rPr>
          <w:rFonts w:hint="eastAsia" w:ascii="仿宋" w:hAnsi="仿宋" w:eastAsia="仿宋" w:cs="仿宋"/>
          <w:b w:val="0"/>
          <w:bCs w:val="0"/>
          <w:color w:val="auto"/>
          <w:spacing w:val="-1"/>
          <w:sz w:val="24"/>
          <w:szCs w:val="24"/>
          <w:highlight w:val="none"/>
        </w:rPr>
        <w:t>、整改监督</w:t>
      </w:r>
      <w:r>
        <w:rPr>
          <w:rFonts w:hint="eastAsia" w:ascii="仿宋" w:hAnsi="仿宋" w:eastAsia="仿宋" w:cs="仿宋"/>
          <w:b w:val="0"/>
          <w:bCs w:val="0"/>
          <w:color w:val="auto"/>
          <w:spacing w:val="-1"/>
          <w:sz w:val="24"/>
          <w:szCs w:val="24"/>
          <w:highlight w:val="none"/>
          <w:lang w:eastAsia="zh-CN"/>
        </w:rPr>
        <w:t>、</w:t>
      </w:r>
      <w:r>
        <w:rPr>
          <w:rFonts w:hint="eastAsia" w:ascii="仿宋" w:hAnsi="仿宋" w:eastAsia="仿宋" w:cs="仿宋"/>
          <w:b w:val="0"/>
          <w:bCs w:val="0"/>
          <w:color w:val="auto"/>
          <w:sz w:val="24"/>
          <w:szCs w:val="24"/>
          <w:highlight w:val="none"/>
        </w:rPr>
        <w:t>现场评定</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pacing w:val="-1"/>
          <w:sz w:val="24"/>
          <w:szCs w:val="24"/>
          <w:highlight w:val="none"/>
        </w:rPr>
        <w:t>档案整理</w:t>
      </w:r>
      <w:r>
        <w:rPr>
          <w:rFonts w:hint="eastAsia" w:ascii="仿宋" w:hAnsi="仿宋" w:eastAsia="仿宋" w:cs="仿宋"/>
          <w:b w:val="0"/>
          <w:bCs w:val="0"/>
          <w:color w:val="auto"/>
          <w:spacing w:val="-1"/>
          <w:sz w:val="24"/>
          <w:szCs w:val="24"/>
          <w:highlight w:val="none"/>
          <w:lang w:val="en-US" w:eastAsia="zh-CN"/>
        </w:rPr>
        <w:t>和信访处理</w:t>
      </w:r>
      <w:r>
        <w:rPr>
          <w:rFonts w:hint="eastAsia" w:ascii="仿宋" w:hAnsi="仿宋" w:eastAsia="仿宋" w:cs="仿宋"/>
          <w:b w:val="0"/>
          <w:bCs w:val="0"/>
          <w:color w:val="auto"/>
          <w:sz w:val="24"/>
          <w:szCs w:val="24"/>
          <w:highlight w:val="none"/>
        </w:rPr>
        <w:t>等</w:t>
      </w:r>
      <w:r>
        <w:rPr>
          <w:rFonts w:hint="eastAsia" w:ascii="仿宋" w:hAnsi="仿宋" w:eastAsia="仿宋" w:cs="仿宋"/>
          <w:b w:val="0"/>
          <w:bCs w:val="0"/>
          <w:color w:val="auto"/>
          <w:sz w:val="24"/>
          <w:szCs w:val="24"/>
          <w:highlight w:val="none"/>
          <w:lang w:val="en-US" w:eastAsia="zh-CN"/>
        </w:rPr>
        <w:t>消防服务</w:t>
      </w:r>
      <w:r>
        <w:rPr>
          <w:rFonts w:hint="eastAsia" w:ascii="仿宋" w:hAnsi="仿宋" w:eastAsia="仿宋" w:cs="仿宋"/>
          <w:b w:val="0"/>
          <w:bCs w:val="0"/>
          <w:color w:val="auto"/>
          <w:sz w:val="24"/>
          <w:szCs w:val="24"/>
          <w:highlight w:val="none"/>
        </w:rPr>
        <w:t>工作，及时出具</w:t>
      </w:r>
      <w:r>
        <w:rPr>
          <w:rFonts w:hint="eastAsia" w:ascii="仿宋" w:hAnsi="仿宋" w:eastAsia="仿宋" w:cs="仿宋"/>
          <w:b w:val="0"/>
          <w:bCs w:val="0"/>
          <w:color w:val="auto"/>
          <w:sz w:val="24"/>
          <w:szCs w:val="24"/>
          <w:highlight w:val="none"/>
          <w:lang w:val="en-US" w:eastAsia="zh-CN"/>
        </w:rPr>
        <w:t>消防</w:t>
      </w:r>
      <w:r>
        <w:rPr>
          <w:rFonts w:hint="eastAsia" w:ascii="仿宋" w:hAnsi="仿宋" w:eastAsia="仿宋" w:cs="仿宋"/>
          <w:b w:val="0"/>
          <w:bCs w:val="0"/>
          <w:color w:val="auto"/>
          <w:sz w:val="24"/>
          <w:szCs w:val="24"/>
          <w:highlight w:val="none"/>
        </w:rPr>
        <w:t>意见或报</w:t>
      </w:r>
      <w:r>
        <w:rPr>
          <w:rFonts w:hint="eastAsia" w:ascii="仿宋" w:hAnsi="仿宋" w:eastAsia="仿宋" w:cs="仿宋"/>
          <w:b w:val="0"/>
          <w:bCs w:val="0"/>
          <w:color w:val="auto"/>
          <w:spacing w:val="1"/>
          <w:sz w:val="24"/>
          <w:szCs w:val="24"/>
          <w:highlight w:val="none"/>
        </w:rPr>
        <w:t>告，并对出具的</w:t>
      </w:r>
      <w:r>
        <w:rPr>
          <w:rFonts w:hint="eastAsia" w:ascii="仿宋" w:hAnsi="仿宋" w:eastAsia="仿宋" w:cs="仿宋"/>
          <w:b w:val="0"/>
          <w:bCs w:val="0"/>
          <w:color w:val="auto"/>
          <w:spacing w:val="1"/>
          <w:sz w:val="24"/>
          <w:szCs w:val="24"/>
          <w:highlight w:val="none"/>
          <w:lang w:val="en-US" w:eastAsia="zh-CN"/>
        </w:rPr>
        <w:t>消防</w:t>
      </w:r>
      <w:r>
        <w:rPr>
          <w:rFonts w:hint="eastAsia" w:ascii="仿宋" w:hAnsi="仿宋" w:eastAsia="仿宋" w:cs="仿宋"/>
          <w:b w:val="0"/>
          <w:bCs w:val="0"/>
          <w:color w:val="auto"/>
          <w:spacing w:val="1"/>
          <w:sz w:val="24"/>
          <w:szCs w:val="24"/>
          <w:highlight w:val="none"/>
        </w:rPr>
        <w:t>意见或报告负</w:t>
      </w:r>
      <w:r>
        <w:rPr>
          <w:rFonts w:hint="eastAsia" w:ascii="仿宋" w:hAnsi="仿宋" w:eastAsia="仿宋" w:cs="仿宋"/>
          <w:b w:val="0"/>
          <w:bCs w:val="0"/>
          <w:color w:val="auto"/>
          <w:spacing w:val="-1"/>
          <w:sz w:val="24"/>
          <w:szCs w:val="24"/>
          <w:highlight w:val="none"/>
        </w:rPr>
        <w:t>责。</w:t>
      </w:r>
    </w:p>
    <w:p w14:paraId="4DA4729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服务的具体内容包括但不限于以下内容：</w:t>
      </w:r>
    </w:p>
    <w:p w14:paraId="132E4059">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rPr>
        <w:t>图纸及资料核查服务</w:t>
      </w:r>
    </w:p>
    <w:p w14:paraId="1CA5B27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（1）核查涉及消防的建设工程竣工图纸与经审查合格的消防设计文件相符情况。</w:t>
      </w:r>
    </w:p>
    <w:p w14:paraId="5A407EB0">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（2）核查消防验收报验材料是否齐全完整，真实合法。</w:t>
      </w:r>
    </w:p>
    <w:p w14:paraId="2E4AE7DF">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3.2.1</w:t>
      </w:r>
      <w:r>
        <w:rPr>
          <w:rFonts w:hint="eastAsia" w:ascii="仿宋" w:hAnsi="仿宋" w:eastAsia="仿宋" w:cs="仿宋"/>
          <w:b w:val="0"/>
          <w:bCs w:val="0"/>
          <w:color w:val="auto"/>
          <w:sz w:val="24"/>
          <w:szCs w:val="24"/>
          <w:highlight w:val="none"/>
        </w:rPr>
        <w:t>现场评定服务</w:t>
      </w:r>
    </w:p>
    <w:p w14:paraId="451FD44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现场评定具体项目包括：</w:t>
      </w:r>
    </w:p>
    <w:p w14:paraId="1487B66D">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建筑类别与耐火等级；</w:t>
      </w:r>
    </w:p>
    <w:p w14:paraId="3A0B7CE0">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总平面布局，包括防火间距、消防车道、消防车登高面、消防车登高操作场地等项目；</w:t>
      </w:r>
    </w:p>
    <w:p w14:paraId="189414ED">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50E6F2A9">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建筑外墙、屋面保温和建筑外墙装饰；</w:t>
      </w:r>
    </w:p>
    <w:p w14:paraId="49007F96">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4F90AB4A">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防火分隔，包括防火分区，防火墙，防火门、窗，竖向管道井、其他有防火分隔要求的部位等项目；</w:t>
      </w:r>
    </w:p>
    <w:p w14:paraId="16812174">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防爆，包括泄压设施，以及防静电、防积聚、防流散等措施；</w:t>
      </w:r>
    </w:p>
    <w:p w14:paraId="7429559D">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安全疏散，包括安全出口、疏散门、疏散走道、避难层(间)、消防应急照明和疏散指示标志等项目；</w:t>
      </w:r>
    </w:p>
    <w:p w14:paraId="7EFA6339">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消防电梯；</w:t>
      </w:r>
    </w:p>
    <w:p w14:paraId="7BC96274">
      <w:pPr>
        <w:numPr>
          <w:ilvl w:val="0"/>
          <w:numId w:val="11"/>
        </w:numPr>
        <w:spacing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消火栓系统，包括供水水源、消防水池、消防水泵、官网、室内外消火栓、系统功能等项目；</w:t>
      </w:r>
    </w:p>
    <w:p w14:paraId="0B279B90">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自动喷水灭火系统，包括供水水源、消防水池、消防水泵、报警阀组、喷头、系统功能等项目；</w:t>
      </w:r>
    </w:p>
    <w:p w14:paraId="599CA35A">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火灾自动报警系统，包括系统形式、火灾探测器的报警功能、系统功能、以及火灾报警控制器、联动设备和消防控制室图形显示装置等项目；</w:t>
      </w:r>
    </w:p>
    <w:p w14:paraId="3DDD3C0A">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防烟排烟系统及通风、空调系统防火，包括系统设置、排烟风机、管道、系统功能等项目；</w:t>
      </w:r>
    </w:p>
    <w:p w14:paraId="607467C2">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消防电气，包括消防电源、柴油发电机房、变配电房、消防配电、用电设施等项目；</w:t>
      </w:r>
    </w:p>
    <w:p w14:paraId="6F197684">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建筑灭火器，包括种类、数量、配置、布置等项目；</w:t>
      </w:r>
    </w:p>
    <w:p w14:paraId="1F73894F">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泡沫灭火系统，包括泡沫灭火系统防护区、以及泡沫比例混合、泡沫发生装置等项目；</w:t>
      </w:r>
    </w:p>
    <w:p w14:paraId="77951E3A">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气体灭火系统的系统功能；</w:t>
      </w:r>
    </w:p>
    <w:p w14:paraId="2D0EA26A">
      <w:pPr>
        <w:numPr>
          <w:ilvl w:val="0"/>
          <w:numId w:val="11"/>
        </w:numPr>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其他国家工程建设消防技术标准强制性条文规定的项目，以及带有“严禁”、“必须”、“应”、“不应”、“不得”要求的非强制性条文规定的项目。</w:t>
      </w:r>
    </w:p>
    <w:p w14:paraId="5BEA4D88">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3.2.2</w:t>
      </w:r>
      <w:r>
        <w:rPr>
          <w:rFonts w:hint="eastAsia" w:ascii="仿宋" w:hAnsi="仿宋" w:eastAsia="仿宋" w:cs="仿宋"/>
          <w:b w:val="0"/>
          <w:bCs w:val="0"/>
          <w:color w:val="auto"/>
          <w:sz w:val="24"/>
          <w:szCs w:val="24"/>
          <w:highlight w:val="none"/>
        </w:rPr>
        <w:t>抽样要求</w:t>
      </w:r>
    </w:p>
    <w:p w14:paraId="5476121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现场抽样查看、测量、设施及系统功能测试应符合下列要求：</w:t>
      </w:r>
    </w:p>
    <w:p w14:paraId="65E41008">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（1）每一项目的抽样数量不少于2处，当总数不大于2处时，全部检查；</w:t>
      </w:r>
    </w:p>
    <w:p w14:paraId="31B77470">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（2）防火间距、消防车登高操作场地、消防车道的设置及安全出口的形式和数量应全部检查。</w:t>
      </w:r>
    </w:p>
    <w:p w14:paraId="64382CD6">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3.2.3</w:t>
      </w:r>
      <w:r>
        <w:rPr>
          <w:rFonts w:hint="eastAsia" w:ascii="仿宋" w:hAnsi="仿宋" w:eastAsia="仿宋" w:cs="仿宋"/>
          <w:b w:val="0"/>
          <w:bCs w:val="0"/>
          <w:color w:val="auto"/>
          <w:sz w:val="24"/>
          <w:szCs w:val="24"/>
          <w:highlight w:val="none"/>
        </w:rPr>
        <w:t>现场评定结论</w:t>
      </w:r>
    </w:p>
    <w:p w14:paraId="31B5CD48">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消防验收现场评定符合下列条件的，结论为合格；不符合下列任意一项的，结论为不合格：</w:t>
      </w:r>
    </w:p>
    <w:p w14:paraId="1D38D7DD">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（1）现场评定内容符合经消防设计审查合格的消防设计文件； </w:t>
      </w:r>
    </w:p>
    <w:p w14:paraId="22428F17">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（2）现场评定内容符合国家工程建设消防技术标准强制性条文规定的要求；</w:t>
      </w:r>
    </w:p>
    <w:p w14:paraId="5711C1A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5D589050">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（4）现场评定内容为消防设施性能的，满足设计文件要求并能正常实现；</w:t>
      </w:r>
    </w:p>
    <w:p w14:paraId="7B615844">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（5）现场评定内容为系统功能的，系统主要功能满足设计文件要求并能正常实现。</w:t>
      </w:r>
    </w:p>
    <w:p w14:paraId="6C4BC28E">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.3整改监督服务</w:t>
      </w:r>
    </w:p>
    <w:p w14:paraId="17D57588">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（1）负责对项目存在的消防验收问题提出整改要求及指导意见服务。</w:t>
      </w:r>
    </w:p>
    <w:p w14:paraId="43AA8C9F">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（2）负责对经办不合格项目的消防复验工作，直至项目消防验收合格。</w:t>
      </w:r>
    </w:p>
    <w:p w14:paraId="1B448034">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3.4</w:t>
      </w:r>
      <w:r>
        <w:rPr>
          <w:rFonts w:hint="eastAsia" w:ascii="仿宋" w:hAnsi="仿宋" w:eastAsia="仿宋" w:cs="仿宋"/>
          <w:b w:val="0"/>
          <w:bCs w:val="0"/>
          <w:color w:val="auto"/>
          <w:sz w:val="24"/>
          <w:szCs w:val="24"/>
          <w:highlight w:val="none"/>
        </w:rPr>
        <w:t>协助采购人进行档案整理</w:t>
      </w:r>
    </w:p>
    <w:p w14:paraId="363FFF15">
      <w:pPr>
        <w:pStyle w:val="18"/>
        <w:spacing w:after="0" w:line="360" w:lineRule="auto"/>
        <w:ind w:left="0"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提供建设工程消防验收第三方服务人员应当协助采购人及时对所承办的消防验收的相关资料进行收集、整理，及时按照归档内容及装订顺序立卷存放，确保案卷材料齐全完整、真实合法。</w:t>
      </w:r>
    </w:p>
    <w:p w14:paraId="0AA771E4">
      <w:pPr>
        <w:pStyle w:val="18"/>
        <w:spacing w:line="360" w:lineRule="auto"/>
        <w:ind w:left="0"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、其他</w:t>
      </w:r>
    </w:p>
    <w:p w14:paraId="0B9F4299">
      <w:pPr>
        <w:pStyle w:val="18"/>
        <w:spacing w:after="0" w:line="360" w:lineRule="auto"/>
        <w:ind w:left="0"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在供应商服务期内，若国家、省、市有关部门出台建设工程消防验收有关的新政策、新规定、新要求等，应按相关规定提供服务，总价不作调整。</w:t>
      </w:r>
    </w:p>
    <w:p w14:paraId="38E84053">
      <w:pPr>
        <w:spacing w:before="120" w:beforeLines="50"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、服务质量要求</w:t>
      </w:r>
    </w:p>
    <w:p w14:paraId="0A0FD11B">
      <w:pPr>
        <w:pStyle w:val="6"/>
        <w:spacing w:line="360" w:lineRule="auto"/>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供应商严格依据建设工程法律法规、国家工程建设消防技术标准、《建设工程消防设计审查验收管理暂行规定》（住建部令第5</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号）和国家、省、市有关规定和实施细、涉及消防的建设工程竣工图纸、消防设计审查意见，</w:t>
      </w:r>
      <w:r>
        <w:rPr>
          <w:rFonts w:hint="eastAsia" w:ascii="仿宋" w:hAnsi="仿宋" w:eastAsia="仿宋" w:cs="仿宋"/>
          <w:b w:val="0"/>
          <w:bCs w:val="0"/>
          <w:snapToGrid/>
          <w:color w:val="auto"/>
          <w:kern w:val="2"/>
          <w:sz w:val="24"/>
          <w:szCs w:val="24"/>
          <w:highlight w:val="none"/>
        </w:rPr>
        <w:t>开展</w:t>
      </w:r>
      <w:r>
        <w:rPr>
          <w:rFonts w:hint="eastAsia" w:ascii="仿宋" w:hAnsi="仿宋" w:eastAsia="仿宋" w:cs="仿宋"/>
          <w:b w:val="0"/>
          <w:bCs w:val="0"/>
          <w:color w:val="auto"/>
          <w:sz w:val="24"/>
          <w:szCs w:val="24"/>
          <w:highlight w:val="none"/>
        </w:rPr>
        <w:t>建设阶段性</w:t>
      </w:r>
      <w:r>
        <w:rPr>
          <w:rFonts w:hint="eastAsia" w:ascii="仿宋" w:hAnsi="仿宋" w:eastAsia="仿宋" w:cs="仿宋"/>
          <w:b w:val="0"/>
          <w:bCs w:val="0"/>
          <w:snapToGrid/>
          <w:color w:val="auto"/>
          <w:kern w:val="2"/>
          <w:sz w:val="24"/>
          <w:szCs w:val="24"/>
          <w:highlight w:val="none"/>
        </w:rPr>
        <w:t>消防验收</w:t>
      </w:r>
      <w:r>
        <w:rPr>
          <w:rFonts w:hint="eastAsia" w:ascii="仿宋" w:hAnsi="仿宋" w:eastAsia="仿宋" w:cs="仿宋"/>
          <w:b w:val="0"/>
          <w:bCs w:val="0"/>
          <w:snapToGrid/>
          <w:color w:val="auto"/>
          <w:kern w:val="2"/>
          <w:sz w:val="24"/>
          <w:szCs w:val="24"/>
          <w:highlight w:val="none"/>
          <w:lang w:eastAsia="zh-CN"/>
        </w:rPr>
        <w:t>、备案（抽查）</w:t>
      </w:r>
      <w:r>
        <w:rPr>
          <w:rFonts w:hint="eastAsia" w:ascii="仿宋" w:hAnsi="仿宋" w:eastAsia="仿宋" w:cs="仿宋"/>
          <w:b w:val="0"/>
          <w:bCs w:val="0"/>
          <w:snapToGrid/>
          <w:color w:val="auto"/>
          <w:kern w:val="2"/>
          <w:sz w:val="24"/>
          <w:szCs w:val="24"/>
          <w:highlight w:val="none"/>
        </w:rPr>
        <w:t>技术服务工作（含备案未抽中项目），图纸及资料核查服务</w:t>
      </w:r>
      <w:r>
        <w:rPr>
          <w:rFonts w:hint="eastAsia" w:ascii="仿宋" w:hAnsi="仿宋" w:eastAsia="仿宋" w:cs="仿宋"/>
          <w:b w:val="0"/>
          <w:bCs w:val="0"/>
          <w:color w:val="auto"/>
          <w:spacing w:val="-1"/>
          <w:sz w:val="24"/>
          <w:szCs w:val="24"/>
          <w:highlight w:val="none"/>
        </w:rPr>
        <w:t>、整改监督</w:t>
      </w:r>
      <w:r>
        <w:rPr>
          <w:rFonts w:hint="eastAsia" w:ascii="仿宋" w:hAnsi="仿宋" w:eastAsia="仿宋" w:cs="仿宋"/>
          <w:b w:val="0"/>
          <w:bCs w:val="0"/>
          <w:color w:val="auto"/>
          <w:spacing w:val="-1"/>
          <w:sz w:val="24"/>
          <w:szCs w:val="24"/>
          <w:highlight w:val="none"/>
          <w:lang w:eastAsia="zh-CN"/>
        </w:rPr>
        <w:t>、</w:t>
      </w:r>
      <w:r>
        <w:rPr>
          <w:rFonts w:hint="eastAsia" w:ascii="仿宋" w:hAnsi="仿宋" w:eastAsia="仿宋" w:cs="仿宋"/>
          <w:b w:val="0"/>
          <w:bCs w:val="0"/>
          <w:color w:val="auto"/>
          <w:sz w:val="24"/>
          <w:szCs w:val="24"/>
          <w:highlight w:val="none"/>
        </w:rPr>
        <w:t>现场评定</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pacing w:val="-1"/>
          <w:sz w:val="24"/>
          <w:szCs w:val="24"/>
          <w:highlight w:val="none"/>
        </w:rPr>
        <w:t>档案整理</w:t>
      </w:r>
      <w:r>
        <w:rPr>
          <w:rFonts w:hint="eastAsia" w:ascii="仿宋" w:hAnsi="仿宋" w:eastAsia="仿宋" w:cs="仿宋"/>
          <w:b w:val="0"/>
          <w:bCs w:val="0"/>
          <w:color w:val="auto"/>
          <w:spacing w:val="-1"/>
          <w:sz w:val="24"/>
          <w:szCs w:val="24"/>
          <w:highlight w:val="none"/>
          <w:lang w:val="en-US" w:eastAsia="zh-CN"/>
        </w:rPr>
        <w:t>和信访处理</w:t>
      </w:r>
      <w:r>
        <w:rPr>
          <w:rFonts w:hint="eastAsia" w:ascii="仿宋" w:hAnsi="仿宋" w:eastAsia="仿宋" w:cs="仿宋"/>
          <w:b w:val="0"/>
          <w:bCs w:val="0"/>
          <w:color w:val="auto"/>
          <w:sz w:val="24"/>
          <w:szCs w:val="24"/>
          <w:highlight w:val="none"/>
        </w:rPr>
        <w:t>等</w:t>
      </w:r>
      <w:r>
        <w:rPr>
          <w:rFonts w:hint="eastAsia" w:ascii="仿宋" w:hAnsi="仿宋" w:eastAsia="仿宋" w:cs="仿宋"/>
          <w:b w:val="0"/>
          <w:bCs w:val="0"/>
          <w:color w:val="auto"/>
          <w:sz w:val="24"/>
          <w:szCs w:val="24"/>
          <w:highlight w:val="none"/>
          <w:lang w:val="en-US" w:eastAsia="zh-CN"/>
        </w:rPr>
        <w:t>消防服务</w:t>
      </w:r>
      <w:r>
        <w:rPr>
          <w:rFonts w:hint="eastAsia" w:ascii="仿宋" w:hAnsi="仿宋" w:eastAsia="仿宋" w:cs="仿宋"/>
          <w:b w:val="0"/>
          <w:bCs w:val="0"/>
          <w:color w:val="auto"/>
          <w:sz w:val="24"/>
          <w:szCs w:val="24"/>
          <w:highlight w:val="none"/>
        </w:rPr>
        <w:t>工作，现场评定意见或报告应及时反馈，结论应清晰、明确，并对提供的意见或报告负责，提供的意见或报告须</w:t>
      </w:r>
      <w:r>
        <w:rPr>
          <w:rFonts w:hint="eastAsia" w:ascii="仿宋" w:hAnsi="仿宋" w:eastAsia="仿宋" w:cs="仿宋"/>
          <w:b w:val="0"/>
          <w:bCs w:val="0"/>
          <w:color w:val="auto"/>
          <w:sz w:val="24"/>
          <w:szCs w:val="24"/>
          <w:highlight w:val="none"/>
          <w:lang w:val="en-US" w:eastAsia="zh-CN"/>
        </w:rPr>
        <w:t>经</w:t>
      </w:r>
      <w:r>
        <w:rPr>
          <w:rFonts w:hint="eastAsia" w:ascii="仿宋" w:hAnsi="仿宋" w:eastAsia="仿宋" w:cs="仿宋"/>
          <w:b w:val="0"/>
          <w:bCs w:val="0"/>
          <w:color w:val="auto"/>
          <w:sz w:val="24"/>
          <w:szCs w:val="24"/>
          <w:highlight w:val="none"/>
        </w:rPr>
        <w:t>项目负责人</w:t>
      </w:r>
      <w:r>
        <w:rPr>
          <w:rFonts w:hint="eastAsia" w:ascii="仿宋" w:hAnsi="仿宋" w:eastAsia="仿宋" w:cs="仿宋"/>
          <w:b w:val="0"/>
          <w:bCs w:val="0"/>
          <w:color w:val="auto"/>
          <w:sz w:val="24"/>
          <w:szCs w:val="24"/>
          <w:highlight w:val="none"/>
          <w:lang w:val="en-US" w:eastAsia="zh-CN"/>
        </w:rPr>
        <w:t>和</w:t>
      </w:r>
      <w:r>
        <w:rPr>
          <w:rFonts w:hint="eastAsia" w:ascii="仿宋" w:hAnsi="仿宋" w:eastAsia="仿宋" w:cs="仿宋"/>
          <w:b w:val="0"/>
          <w:bCs w:val="0"/>
          <w:color w:val="auto"/>
          <w:sz w:val="24"/>
          <w:szCs w:val="24"/>
          <w:highlight w:val="none"/>
        </w:rPr>
        <w:t>各专业技术人员签字，</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rPr>
        <w:t>盖章确认（若存在分包，分包部分需供应商及分包单位同时盖章确认）。</w:t>
      </w:r>
    </w:p>
    <w:p w14:paraId="22F1112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i w:val="0"/>
          <w:iCs w:val="0"/>
          <w:color w:val="auto"/>
          <w:kern w:val="0"/>
          <w:sz w:val="24"/>
          <w:szCs w:val="24"/>
          <w:highlight w:val="none"/>
        </w:rPr>
        <w:t>框架协议期限</w:t>
      </w:r>
    </w:p>
    <w:p w14:paraId="57E717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i w:val="0"/>
          <w:iCs w:val="0"/>
          <w:color w:val="auto"/>
          <w:kern w:val="0"/>
          <w:sz w:val="24"/>
          <w:szCs w:val="24"/>
          <w:highlight w:val="none"/>
        </w:rPr>
        <w:t>本协议期限</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从</w:t>
      </w:r>
      <w:r>
        <w:rPr>
          <w:rFonts w:hint="eastAsia" w:ascii="仿宋" w:hAnsi="仿宋" w:eastAsia="仿宋" w:cs="仿宋"/>
          <w:b w:val="0"/>
          <w:bCs w:val="0"/>
          <w:i w:val="0"/>
          <w:iCs w:val="0"/>
          <w:color w:val="auto"/>
          <w:kern w:val="0"/>
          <w:sz w:val="24"/>
          <w:szCs w:val="24"/>
          <w:highlight w:val="none"/>
          <w:u w:val="single"/>
        </w:rPr>
        <w:t>202</w:t>
      </w:r>
      <w:r>
        <w:rPr>
          <w:rFonts w:hint="eastAsia" w:ascii="仿宋" w:hAnsi="仿宋" w:eastAsia="仿宋" w:cs="仿宋"/>
          <w:b w:val="0"/>
          <w:bCs w:val="0"/>
          <w:i w:val="0"/>
          <w:iCs w:val="0"/>
          <w:color w:val="auto"/>
          <w:kern w:val="0"/>
          <w:sz w:val="24"/>
          <w:szCs w:val="24"/>
          <w:highlight w:val="none"/>
          <w:u w:val="single"/>
          <w:lang w:val="en-US" w:eastAsia="zh-CN"/>
        </w:rPr>
        <w:t>5</w:t>
      </w:r>
      <w:r>
        <w:rPr>
          <w:rFonts w:hint="eastAsia" w:ascii="仿宋" w:hAnsi="仿宋" w:eastAsia="仿宋" w:cs="仿宋"/>
          <w:b w:val="0"/>
          <w:bCs w:val="0"/>
          <w:i w:val="0"/>
          <w:iCs w:val="0"/>
          <w:color w:val="auto"/>
          <w:kern w:val="0"/>
          <w:sz w:val="24"/>
          <w:szCs w:val="24"/>
          <w:highlight w:val="none"/>
        </w:rPr>
        <w:t>年</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rPr>
        <w:t>月</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rPr>
        <w:t>日</w:t>
      </w:r>
      <w:r>
        <w:rPr>
          <w:rFonts w:hint="eastAsia" w:ascii="仿宋" w:hAnsi="仿宋" w:eastAsia="仿宋" w:cs="仿宋"/>
          <w:b w:val="0"/>
          <w:bCs w:val="0"/>
          <w:i w:val="0"/>
          <w:iCs w:val="0"/>
          <w:color w:val="auto"/>
          <w:kern w:val="0"/>
          <w:sz w:val="24"/>
          <w:szCs w:val="24"/>
          <w:highlight w:val="none"/>
          <w:lang w:eastAsia="zh-CN"/>
        </w:rPr>
        <w:t>起</w:t>
      </w:r>
      <w:r>
        <w:rPr>
          <w:rFonts w:hint="eastAsia" w:ascii="仿宋" w:hAnsi="仿宋" w:eastAsia="仿宋" w:cs="仿宋"/>
          <w:b w:val="0"/>
          <w:bCs w:val="0"/>
          <w:i w:val="0"/>
          <w:iCs w:val="0"/>
          <w:color w:val="auto"/>
          <w:kern w:val="0"/>
          <w:sz w:val="24"/>
          <w:szCs w:val="24"/>
          <w:highlight w:val="none"/>
        </w:rPr>
        <w:t>至</w:t>
      </w:r>
      <w:r>
        <w:rPr>
          <w:rFonts w:hint="eastAsia" w:ascii="仿宋" w:hAnsi="仿宋" w:eastAsia="仿宋" w:cs="仿宋"/>
          <w:b w:val="0"/>
          <w:bCs w:val="0"/>
          <w:i w:val="0"/>
          <w:iCs w:val="0"/>
          <w:color w:val="auto"/>
          <w:kern w:val="0"/>
          <w:sz w:val="24"/>
          <w:szCs w:val="24"/>
          <w:highlight w:val="none"/>
          <w:u w:val="single"/>
          <w:lang w:val="en-US" w:eastAsia="zh-CN"/>
        </w:rPr>
        <w:t xml:space="preserve">202   </w:t>
      </w:r>
      <w:r>
        <w:rPr>
          <w:rFonts w:hint="eastAsia" w:ascii="仿宋" w:hAnsi="仿宋" w:eastAsia="仿宋" w:cs="仿宋"/>
          <w:b w:val="0"/>
          <w:bCs w:val="0"/>
          <w:i w:val="0"/>
          <w:iCs w:val="0"/>
          <w:color w:val="auto"/>
          <w:kern w:val="0"/>
          <w:sz w:val="24"/>
          <w:szCs w:val="24"/>
          <w:highlight w:val="none"/>
        </w:rPr>
        <w:t>年</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rPr>
        <w:t>月</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rPr>
        <w:t>日止。</w:t>
      </w:r>
      <w:r>
        <w:rPr>
          <w:rFonts w:hint="eastAsia" w:ascii="仿宋" w:hAnsi="仿宋" w:eastAsia="仿宋" w:cs="仿宋"/>
          <w:b w:val="0"/>
          <w:bCs w:val="0"/>
          <w:color w:val="auto"/>
          <w:kern w:val="2"/>
          <w:sz w:val="24"/>
          <w:szCs w:val="24"/>
          <w:highlight w:val="none"/>
        </w:rPr>
        <w:t>如遇</w:t>
      </w:r>
      <w:r>
        <w:rPr>
          <w:rFonts w:hint="eastAsia" w:ascii="仿宋" w:hAnsi="仿宋" w:eastAsia="仿宋" w:cs="仿宋"/>
          <w:b w:val="0"/>
          <w:bCs w:val="0"/>
          <w:color w:val="auto"/>
          <w:kern w:val="2"/>
          <w:sz w:val="24"/>
          <w:szCs w:val="24"/>
          <w:highlight w:val="none"/>
          <w:lang w:eastAsia="zh-CN"/>
        </w:rPr>
        <w:t>上级</w:t>
      </w:r>
      <w:r>
        <w:rPr>
          <w:rFonts w:hint="eastAsia" w:ascii="仿宋" w:hAnsi="仿宋" w:eastAsia="仿宋" w:cs="仿宋"/>
          <w:b w:val="0"/>
          <w:bCs w:val="0"/>
          <w:color w:val="auto"/>
          <w:kern w:val="2"/>
          <w:sz w:val="24"/>
          <w:szCs w:val="24"/>
          <w:highlight w:val="none"/>
        </w:rPr>
        <w:t>相关行业主管部门有新规定出台时，可随时终止</w:t>
      </w:r>
      <w:r>
        <w:rPr>
          <w:rFonts w:hint="eastAsia" w:ascii="仿宋" w:hAnsi="仿宋" w:eastAsia="仿宋" w:cs="仿宋"/>
          <w:b w:val="0"/>
          <w:bCs w:val="0"/>
          <w:color w:val="auto"/>
          <w:kern w:val="0"/>
          <w:sz w:val="24"/>
          <w:szCs w:val="24"/>
          <w:highlight w:val="none"/>
        </w:rPr>
        <w:t>。</w:t>
      </w:r>
    </w:p>
    <w:p w14:paraId="08657A71">
      <w:pPr>
        <w:pStyle w:val="12"/>
        <w:keepLines w:val="0"/>
        <w:pageBreakBefore w:val="0"/>
        <w:widowControl w:val="0"/>
        <w:tabs>
          <w:tab w:val="left" w:pos="840"/>
        </w:tabs>
        <w:kinsoku/>
        <w:wordWrap/>
        <w:overflowPunct/>
        <w:topLinePunct w:val="0"/>
        <w:bidi w:val="0"/>
        <w:spacing w:line="360" w:lineRule="auto"/>
        <w:ind w:firstLine="482" w:firstLineChars="200"/>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eastAsia="zh-CN"/>
        </w:rPr>
        <w:t>六</w:t>
      </w:r>
      <w:r>
        <w:rPr>
          <w:rFonts w:hint="eastAsia" w:ascii="仿宋" w:hAnsi="仿宋" w:eastAsia="仿宋" w:cs="仿宋"/>
          <w:b/>
          <w:bCs/>
          <w:i w:val="0"/>
          <w:iCs w:val="0"/>
          <w:color w:val="auto"/>
          <w:kern w:val="0"/>
          <w:sz w:val="24"/>
          <w:szCs w:val="24"/>
          <w:highlight w:val="none"/>
        </w:rPr>
        <w:t>、</w:t>
      </w:r>
      <w:r>
        <w:rPr>
          <w:rFonts w:hint="eastAsia" w:ascii="仿宋" w:hAnsi="仿宋" w:eastAsia="仿宋" w:cs="仿宋"/>
          <w:b/>
          <w:bCs/>
          <w:i w:val="0"/>
          <w:iCs w:val="0"/>
          <w:color w:val="auto"/>
          <w:kern w:val="0"/>
          <w:sz w:val="24"/>
          <w:szCs w:val="24"/>
          <w:highlight w:val="none"/>
          <w:lang w:eastAsia="zh-CN"/>
        </w:rPr>
        <w:t>收费</w:t>
      </w:r>
      <w:r>
        <w:rPr>
          <w:rFonts w:hint="eastAsia" w:ascii="仿宋" w:hAnsi="仿宋" w:eastAsia="仿宋" w:cs="仿宋"/>
          <w:b/>
          <w:bCs/>
          <w:i w:val="0"/>
          <w:iCs w:val="0"/>
          <w:color w:val="auto"/>
          <w:kern w:val="0"/>
          <w:sz w:val="24"/>
          <w:szCs w:val="24"/>
          <w:highlight w:val="none"/>
        </w:rPr>
        <w:t>标准</w:t>
      </w:r>
      <w:r>
        <w:rPr>
          <w:rFonts w:hint="eastAsia" w:ascii="仿宋" w:hAnsi="仿宋" w:eastAsia="仿宋" w:cs="仿宋"/>
          <w:b/>
          <w:bCs/>
          <w:i w:val="0"/>
          <w:iCs w:val="0"/>
          <w:color w:val="auto"/>
          <w:kern w:val="0"/>
          <w:sz w:val="24"/>
          <w:szCs w:val="24"/>
          <w:highlight w:val="none"/>
          <w:lang w:eastAsia="zh-CN"/>
        </w:rPr>
        <w:t>和支付</w:t>
      </w:r>
    </w:p>
    <w:p w14:paraId="361DAA5E">
      <w:pPr>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eastAsia" w:ascii="仿宋" w:hAnsi="仿宋" w:eastAsia="仿宋" w:cs="仿宋"/>
          <w:b w:val="0"/>
          <w:bCs w:val="0"/>
          <w:kern w:val="2"/>
          <w:sz w:val="24"/>
          <w:szCs w:val="24"/>
          <w:highlight w:val="none"/>
          <w:u w:val="single"/>
          <w:lang w:val="en-US" w:eastAsia="zh-CN" w:bidi="ar"/>
        </w:rPr>
      </w:pPr>
      <w:r>
        <w:rPr>
          <w:rFonts w:hint="eastAsia" w:ascii="仿宋" w:hAnsi="仿宋" w:eastAsia="仿宋" w:cs="仿宋"/>
          <w:b w:val="0"/>
          <w:bCs w:val="0"/>
          <w:kern w:val="2"/>
          <w:sz w:val="24"/>
          <w:szCs w:val="24"/>
          <w:highlight w:val="none"/>
          <w:u w:val="single"/>
          <w:lang w:val="en-US" w:eastAsia="zh-CN" w:bidi="ar"/>
        </w:rPr>
        <w:t>特殊建设工程项目价格为     元/平方米，其他建设工程项目价格为    元/平方米。单个项目最高服务价格为300000元/个项目，最低服务价格定为3000元/个项目。</w:t>
      </w:r>
    </w:p>
    <w:p w14:paraId="1E8543A4">
      <w:pPr>
        <w:pStyle w:val="2"/>
        <w:numPr>
          <w:ilvl w:val="0"/>
          <w:numId w:val="0"/>
        </w:numPr>
        <w:ind w:leftChars="0" w:firstLine="480" w:firstLineChars="200"/>
        <w:rPr>
          <w:rFonts w:hint="eastAsia"/>
          <w:color w:val="auto"/>
          <w:highlight w:val="none"/>
          <w:u w:val="single"/>
          <w:lang w:eastAsia="zh-CN"/>
        </w:rPr>
      </w:pPr>
      <w:r>
        <w:rPr>
          <w:rFonts w:hint="eastAsia" w:ascii="仿宋" w:eastAsia="仿宋" w:cs="仿宋"/>
          <w:b w:val="0"/>
          <w:bCs w:val="0"/>
          <w:snapToGrid w:val="0"/>
          <w:color w:val="auto"/>
          <w:kern w:val="0"/>
          <w:sz w:val="24"/>
          <w:szCs w:val="24"/>
          <w:highlight w:val="none"/>
          <w:u w:val="single"/>
          <w:lang w:val="en-US" w:eastAsia="zh-CN" w:bidi="ar-SA"/>
        </w:rPr>
        <w:t>支付方式：</w:t>
      </w:r>
      <w:r>
        <w:rPr>
          <w:rFonts w:hint="eastAsia" w:ascii="仿宋" w:hAnsi="仿宋" w:eastAsia="仿宋" w:cs="仿宋"/>
          <w:b w:val="0"/>
          <w:bCs w:val="0"/>
          <w:snapToGrid w:val="0"/>
          <w:color w:val="auto"/>
          <w:kern w:val="0"/>
          <w:sz w:val="24"/>
          <w:szCs w:val="24"/>
          <w:highlight w:val="none"/>
          <w:u w:val="single"/>
          <w:lang w:val="en-US" w:eastAsia="zh-CN" w:bidi="ar-SA"/>
        </w:rPr>
        <w:t>合同签订后，每三个月根据实际完成服务项目按实结算，由乙方提供付款支付凭证（乙方开出的正规发票）给甲方，经甲方审核确认后将费用支付给乙方。</w:t>
      </w:r>
    </w:p>
    <w:p w14:paraId="4D2D4DB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bCs/>
          <w:color w:val="auto"/>
          <w:kern w:val="0"/>
          <w:sz w:val="24"/>
          <w:szCs w:val="24"/>
          <w:highlight w:val="none"/>
          <w:lang w:eastAsia="zh-CN"/>
        </w:rPr>
        <w:t>七</w:t>
      </w:r>
      <w:r>
        <w:rPr>
          <w:rFonts w:hint="eastAsia" w:ascii="仿宋" w:hAnsi="仿宋" w:eastAsia="仿宋" w:cs="仿宋"/>
          <w:b/>
          <w:bCs/>
          <w:color w:val="auto"/>
          <w:kern w:val="0"/>
          <w:sz w:val="24"/>
          <w:szCs w:val="24"/>
          <w:highlight w:val="none"/>
        </w:rPr>
        <w:t>、甲方的权利和义务</w:t>
      </w:r>
      <w:r>
        <w:rPr>
          <w:rFonts w:hint="eastAsia" w:ascii="仿宋" w:hAnsi="仿宋" w:eastAsia="仿宋" w:cs="仿宋"/>
          <w:b w:val="0"/>
          <w:bCs w:val="0"/>
          <w:color w:val="auto"/>
          <w:kern w:val="0"/>
          <w:sz w:val="24"/>
          <w:szCs w:val="24"/>
          <w:highlight w:val="none"/>
        </w:rPr>
        <w:t xml:space="preserve"> </w:t>
      </w:r>
    </w:p>
    <w:p w14:paraId="2B8089CF">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负责选定第二阶段成交供应商。 </w:t>
      </w:r>
    </w:p>
    <w:p w14:paraId="291F7826">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进行考核。</w:t>
      </w:r>
      <w:r>
        <w:rPr>
          <w:rFonts w:hint="eastAsia" w:ascii="仿宋" w:hAnsi="仿宋" w:eastAsia="仿宋" w:cs="仿宋"/>
          <w:color w:val="auto"/>
          <w:kern w:val="0"/>
          <w:sz w:val="24"/>
          <w:szCs w:val="24"/>
          <w:highlight w:val="none"/>
          <w:lang w:val="en-US" w:eastAsia="zh-CN"/>
        </w:rPr>
        <w:t>在委托项目完成后</w:t>
      </w:r>
      <w:r>
        <w:rPr>
          <w:rFonts w:hint="eastAsia" w:ascii="仿宋" w:hAnsi="仿宋" w:eastAsia="仿宋" w:cs="仿宋"/>
          <w:color w:val="auto"/>
          <w:kern w:val="0"/>
          <w:sz w:val="24"/>
          <w:szCs w:val="24"/>
          <w:highlight w:val="none"/>
        </w:rPr>
        <w:t>根据项目</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val="en-US" w:eastAsia="zh-CN"/>
        </w:rPr>
        <w:t>对乙方</w:t>
      </w:r>
      <w:r>
        <w:rPr>
          <w:rFonts w:hint="eastAsia" w:ascii="仿宋" w:hAnsi="仿宋" w:eastAsia="仿宋" w:cs="仿宋"/>
          <w:color w:val="auto"/>
          <w:kern w:val="0"/>
          <w:sz w:val="24"/>
          <w:szCs w:val="24"/>
          <w:highlight w:val="none"/>
        </w:rPr>
        <w:t>进行</w:t>
      </w:r>
      <w:r>
        <w:rPr>
          <w:rFonts w:hint="eastAsia" w:ascii="仿宋" w:hAnsi="仿宋" w:eastAsia="仿宋" w:cs="仿宋"/>
          <w:color w:val="auto"/>
          <w:kern w:val="0"/>
          <w:sz w:val="24"/>
          <w:szCs w:val="24"/>
          <w:highlight w:val="none"/>
          <w:lang w:val="en-US" w:eastAsia="zh-CN"/>
        </w:rPr>
        <w:t>考核</w:t>
      </w:r>
      <w:r>
        <w:rPr>
          <w:rFonts w:hint="eastAsia" w:ascii="仿宋" w:hAnsi="仿宋" w:eastAsia="仿宋" w:cs="仿宋"/>
          <w:color w:val="auto"/>
          <w:kern w:val="0"/>
          <w:sz w:val="24"/>
          <w:szCs w:val="24"/>
          <w:highlight w:val="none"/>
        </w:rPr>
        <w:t>评分，按考核排名、项目特征、专业需求</w:t>
      </w:r>
      <w:r>
        <w:rPr>
          <w:rFonts w:hint="eastAsia" w:ascii="仿宋" w:hAnsi="仿宋" w:eastAsia="仿宋" w:cs="仿宋"/>
          <w:color w:val="auto"/>
          <w:kern w:val="0"/>
          <w:sz w:val="24"/>
          <w:szCs w:val="24"/>
          <w:highlight w:val="none"/>
          <w:lang w:eastAsia="zh-CN"/>
        </w:rPr>
        <w:t>分配项目</w:t>
      </w:r>
      <w:r>
        <w:rPr>
          <w:rFonts w:hint="eastAsia" w:ascii="仿宋" w:hAnsi="仿宋" w:eastAsia="仿宋" w:cs="仿宋"/>
          <w:color w:val="auto"/>
          <w:kern w:val="0"/>
          <w:sz w:val="24"/>
          <w:szCs w:val="24"/>
          <w:highlight w:val="none"/>
        </w:rPr>
        <w:t>，并对连续考核较差单位</w:t>
      </w:r>
      <w:r>
        <w:rPr>
          <w:rFonts w:hint="eastAsia" w:ascii="仿宋" w:hAnsi="仿宋" w:eastAsia="仿宋" w:cs="仿宋"/>
          <w:color w:val="auto"/>
          <w:kern w:val="0"/>
          <w:sz w:val="24"/>
          <w:szCs w:val="24"/>
          <w:highlight w:val="none"/>
          <w:lang w:val="en-US" w:eastAsia="zh-CN"/>
        </w:rPr>
        <w:t>暂停</w:t>
      </w:r>
      <w:r>
        <w:rPr>
          <w:rFonts w:hint="eastAsia" w:ascii="仿宋" w:hAnsi="仿宋" w:eastAsia="仿宋" w:cs="仿宋"/>
          <w:color w:val="auto"/>
          <w:kern w:val="0"/>
          <w:sz w:val="24"/>
          <w:szCs w:val="24"/>
          <w:highlight w:val="none"/>
        </w:rPr>
        <w:t>业务安排</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 xml:space="preserve">清退。 </w:t>
      </w:r>
    </w:p>
    <w:p w14:paraId="5AEB1290">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负责对乙方及其派出人员完成的</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 xml:space="preserve">及工作结果进行审核验收评价。 </w:t>
      </w:r>
    </w:p>
    <w:p w14:paraId="0FA7C8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有权要求乙方派出投标书所列人员，并要求乙方及其派出人员协助配合</w:t>
      </w:r>
      <w:r>
        <w:rPr>
          <w:rFonts w:hint="eastAsia" w:ascii="仿宋" w:hAnsi="仿宋" w:eastAsia="仿宋" w:cs="仿宋"/>
          <w:color w:val="auto"/>
          <w:kern w:val="0"/>
          <w:sz w:val="24"/>
          <w:szCs w:val="24"/>
          <w:highlight w:val="none"/>
          <w:lang w:eastAsia="zh-CN"/>
        </w:rPr>
        <w:t>消防技术服务</w:t>
      </w:r>
      <w:r>
        <w:rPr>
          <w:rFonts w:hint="eastAsia" w:ascii="仿宋" w:hAnsi="仿宋" w:eastAsia="仿宋" w:cs="仿宋"/>
          <w:color w:val="auto"/>
          <w:kern w:val="0"/>
          <w:sz w:val="24"/>
          <w:szCs w:val="24"/>
          <w:highlight w:val="none"/>
        </w:rPr>
        <w:t>相关工作。若乙方未按要求派出投标书中项目负责人及项目组成员或未经甲方同意更换人员，甲方有权在</w:t>
      </w:r>
      <w:r>
        <w:rPr>
          <w:rFonts w:hint="eastAsia" w:ascii="仿宋" w:hAnsi="仿宋" w:eastAsia="仿宋" w:cs="仿宋"/>
          <w:color w:val="auto"/>
          <w:kern w:val="0"/>
          <w:sz w:val="24"/>
          <w:szCs w:val="24"/>
          <w:highlight w:val="none"/>
          <w:lang w:eastAsia="zh-CN"/>
        </w:rPr>
        <w:t>项目服务</w:t>
      </w:r>
      <w:r>
        <w:rPr>
          <w:rFonts w:hint="eastAsia" w:ascii="仿宋" w:hAnsi="仿宋" w:eastAsia="仿宋" w:cs="仿宋"/>
          <w:color w:val="auto"/>
          <w:kern w:val="0"/>
          <w:sz w:val="24"/>
          <w:szCs w:val="24"/>
          <w:highlight w:val="none"/>
        </w:rPr>
        <w:t>分配中进行合理调整，取消乙方当轮业务资格及下一轮业务安排资格。</w:t>
      </w:r>
    </w:p>
    <w:p w14:paraId="68D4B344">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、根据乙方的</w:t>
      </w:r>
      <w:r>
        <w:rPr>
          <w:rFonts w:hint="eastAsia" w:ascii="仿宋" w:hAnsi="仿宋" w:eastAsia="仿宋" w:cs="仿宋"/>
          <w:color w:val="auto"/>
          <w:kern w:val="0"/>
          <w:sz w:val="24"/>
          <w:szCs w:val="24"/>
          <w:highlight w:val="none"/>
          <w:lang w:eastAsia="zh-CN"/>
        </w:rPr>
        <w:t>合理</w:t>
      </w:r>
      <w:r>
        <w:rPr>
          <w:rFonts w:hint="eastAsia" w:ascii="仿宋" w:hAnsi="仿宋" w:eastAsia="仿宋" w:cs="仿宋"/>
          <w:color w:val="auto"/>
          <w:kern w:val="0"/>
          <w:sz w:val="24"/>
          <w:szCs w:val="24"/>
          <w:highlight w:val="none"/>
        </w:rPr>
        <w:t>要求，协调处理项目实施中的相关事宜。</w:t>
      </w:r>
    </w:p>
    <w:p w14:paraId="6D40633A">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、其他应该由甲方履行的义务和承担的责任。</w:t>
      </w:r>
    </w:p>
    <w:p w14:paraId="1FFFFA65">
      <w:pPr>
        <w:pStyle w:val="12"/>
        <w:keepNext w:val="0"/>
        <w:keepLines w:val="0"/>
        <w:pageBreakBefore w:val="0"/>
        <w:widowControl w:val="0"/>
        <w:tabs>
          <w:tab w:val="left" w:pos="840"/>
        </w:tabs>
        <w:kinsoku/>
        <w:wordWrap/>
        <w:overflowPunct/>
        <w:topLinePunct w:val="0"/>
        <w:bidi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八、</w:t>
      </w:r>
      <w:r>
        <w:rPr>
          <w:rFonts w:hint="eastAsia" w:ascii="仿宋" w:hAnsi="仿宋" w:eastAsia="仿宋" w:cs="仿宋"/>
          <w:b/>
          <w:bCs/>
          <w:color w:val="auto"/>
          <w:kern w:val="0"/>
          <w:sz w:val="24"/>
          <w:szCs w:val="24"/>
          <w:highlight w:val="none"/>
        </w:rPr>
        <w:t>乙方的权利和义务</w:t>
      </w:r>
    </w:p>
    <w:p w14:paraId="33928EE5">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1.乙方可以要求甲方提供与委托内容有关的资料。</w:t>
      </w:r>
    </w:p>
    <w:p w14:paraId="55C7D114">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2.乙方可以要求甲方对有关问题作出解释和补充有关资料。</w:t>
      </w:r>
    </w:p>
    <w:p w14:paraId="37B964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3.乙方在</w:t>
      </w:r>
      <w:r>
        <w:rPr>
          <w:rFonts w:hint="eastAsia" w:ascii="仿宋" w:hAnsi="仿宋" w:eastAsia="仿宋" w:cs="仿宋"/>
          <w:color w:val="auto"/>
          <w:kern w:val="0"/>
          <w:sz w:val="24"/>
          <w:szCs w:val="24"/>
          <w:highlight w:val="none"/>
          <w:lang w:eastAsia="zh-CN"/>
        </w:rPr>
        <w:t>项目技术</w:t>
      </w:r>
      <w:r>
        <w:rPr>
          <w:rFonts w:hint="eastAsia" w:ascii="仿宋" w:hAnsi="仿宋" w:eastAsia="仿宋" w:cs="仿宋"/>
          <w:color w:val="auto"/>
          <w:kern w:val="0"/>
          <w:sz w:val="24"/>
          <w:szCs w:val="24"/>
          <w:highlight w:val="none"/>
        </w:rPr>
        <w:t>服务过程中应</w:t>
      </w:r>
      <w:r>
        <w:rPr>
          <w:rFonts w:hint="eastAsia" w:ascii="仿宋" w:hAnsi="仿宋" w:eastAsia="仿宋" w:cs="仿宋"/>
          <w:color w:val="auto"/>
          <w:kern w:val="0"/>
          <w:sz w:val="24"/>
          <w:szCs w:val="24"/>
          <w:highlight w:val="none"/>
          <w:lang w:eastAsia="zh-CN"/>
        </w:rPr>
        <w:t>严格</w:t>
      </w:r>
      <w:r>
        <w:rPr>
          <w:rFonts w:hint="eastAsia" w:ascii="仿宋" w:hAnsi="仿宋" w:eastAsia="仿宋" w:cs="仿宋"/>
          <w:color w:val="auto"/>
          <w:kern w:val="0"/>
          <w:sz w:val="24"/>
          <w:szCs w:val="24"/>
          <w:highlight w:val="none"/>
        </w:rPr>
        <w:t>遵守</w:t>
      </w:r>
      <w:r>
        <w:rPr>
          <w:rFonts w:hint="eastAsia" w:ascii="仿宋" w:hAnsi="仿宋" w:eastAsia="仿宋" w:cs="仿宋"/>
          <w:color w:val="auto"/>
          <w:kern w:val="0"/>
          <w:sz w:val="24"/>
          <w:szCs w:val="24"/>
          <w:highlight w:val="none"/>
          <w:lang w:eastAsia="zh-CN"/>
        </w:rPr>
        <w:t>廉洁和工作</w:t>
      </w:r>
      <w:r>
        <w:rPr>
          <w:rFonts w:hint="eastAsia" w:ascii="仿宋" w:hAnsi="仿宋" w:eastAsia="仿宋" w:cs="仿宋"/>
          <w:color w:val="auto"/>
          <w:kern w:val="0"/>
          <w:sz w:val="24"/>
          <w:szCs w:val="24"/>
          <w:highlight w:val="none"/>
        </w:rPr>
        <w:t>纪律、规范</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行为，严格按照</w:t>
      </w:r>
      <w:r>
        <w:rPr>
          <w:rFonts w:hint="eastAsia" w:ascii="仿宋" w:hAnsi="仿宋" w:eastAsia="仿宋" w:cs="仿宋"/>
          <w:color w:val="auto"/>
          <w:kern w:val="0"/>
          <w:sz w:val="24"/>
          <w:szCs w:val="24"/>
          <w:highlight w:val="none"/>
          <w:lang w:eastAsia="zh-CN"/>
        </w:rPr>
        <w:t>消防</w:t>
      </w:r>
      <w:r>
        <w:rPr>
          <w:rFonts w:hint="eastAsia" w:ascii="仿宋" w:hAnsi="仿宋" w:eastAsia="仿宋" w:cs="仿宋"/>
          <w:color w:val="auto"/>
          <w:kern w:val="0"/>
          <w:sz w:val="24"/>
          <w:szCs w:val="24"/>
          <w:highlight w:val="none"/>
        </w:rPr>
        <w:t>规范</w:t>
      </w:r>
      <w:r>
        <w:rPr>
          <w:rFonts w:hint="eastAsia" w:ascii="仿宋" w:hAnsi="仿宋" w:eastAsia="仿宋" w:cs="仿宋"/>
          <w:color w:val="auto"/>
          <w:kern w:val="0"/>
          <w:sz w:val="24"/>
          <w:szCs w:val="24"/>
          <w:highlight w:val="none"/>
          <w:lang w:eastAsia="zh-CN"/>
        </w:rPr>
        <w:t>标准</w:t>
      </w:r>
      <w:r>
        <w:rPr>
          <w:rFonts w:hint="eastAsia" w:ascii="仿宋" w:hAnsi="仿宋" w:eastAsia="仿宋" w:cs="仿宋"/>
          <w:color w:val="auto"/>
          <w:kern w:val="0"/>
          <w:sz w:val="24"/>
          <w:szCs w:val="24"/>
          <w:highlight w:val="none"/>
        </w:rPr>
        <w:t>要求开展工作。</w:t>
      </w:r>
    </w:p>
    <w:p w14:paraId="5284CE5D">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4.乙方应严格按照甲方的有关规定和要求实施</w:t>
      </w:r>
      <w:r>
        <w:rPr>
          <w:rFonts w:hint="eastAsia" w:ascii="仿宋" w:hAnsi="仿宋" w:eastAsia="仿宋" w:cs="仿宋"/>
          <w:color w:val="auto"/>
          <w:kern w:val="0"/>
          <w:sz w:val="24"/>
          <w:szCs w:val="24"/>
          <w:highlight w:val="none"/>
          <w:lang w:eastAsia="zh-CN"/>
        </w:rPr>
        <w:t>技术</w:t>
      </w:r>
      <w:r>
        <w:rPr>
          <w:rFonts w:hint="eastAsia" w:ascii="仿宋" w:hAnsi="仿宋" w:eastAsia="仿宋" w:cs="仿宋"/>
          <w:color w:val="auto"/>
          <w:kern w:val="0"/>
          <w:sz w:val="24"/>
          <w:szCs w:val="24"/>
          <w:highlight w:val="none"/>
        </w:rPr>
        <w:t>服务，接受甲方的监督，按期完成服务任务，并确保结果真实、合法和准确</w:t>
      </w:r>
      <w:r>
        <w:rPr>
          <w:rFonts w:hint="eastAsia" w:ascii="仿宋" w:hAnsi="仿宋" w:eastAsia="仿宋" w:cs="仿宋"/>
          <w:color w:val="auto"/>
          <w:kern w:val="0"/>
          <w:sz w:val="24"/>
          <w:szCs w:val="24"/>
          <w:highlight w:val="none"/>
          <w:lang w:eastAsia="zh-CN"/>
        </w:rPr>
        <w:t>。</w:t>
      </w:r>
    </w:p>
    <w:p w14:paraId="59C0B70A">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5.在合同履行期间，乙方应按甲方要求开展工作，在工作中遵循公平、公正、公开、合法、</w:t>
      </w:r>
      <w:r>
        <w:rPr>
          <w:rFonts w:hint="eastAsia" w:ascii="仿宋" w:hAnsi="仿宋" w:eastAsia="仿宋" w:cs="仿宋"/>
          <w:color w:val="auto"/>
          <w:kern w:val="0"/>
          <w:sz w:val="24"/>
          <w:szCs w:val="24"/>
          <w:highlight w:val="none"/>
          <w:lang w:eastAsia="zh-CN"/>
        </w:rPr>
        <w:t>合规、</w:t>
      </w:r>
      <w:r>
        <w:rPr>
          <w:rFonts w:hint="eastAsia" w:ascii="仿宋" w:hAnsi="仿宋" w:eastAsia="仿宋" w:cs="仿宋"/>
          <w:color w:val="auto"/>
          <w:kern w:val="0"/>
          <w:sz w:val="24"/>
          <w:szCs w:val="24"/>
          <w:highlight w:val="none"/>
        </w:rPr>
        <w:t>独立的原则，认真、细致、周到的进行服务。</w:t>
      </w:r>
    </w:p>
    <w:p w14:paraId="115E44E8">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乙方应严格遵守相关安全生产法律法规及操作规程，自行负责服务过程中技术人员的安全，并承担全部责任。</w:t>
      </w:r>
    </w:p>
    <w:p w14:paraId="16B37A18">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相关资料移交给乙方后，乙方有义务对所有资料进行妥善保管，确保</w:t>
      </w:r>
      <w:r>
        <w:rPr>
          <w:rFonts w:hint="eastAsia" w:ascii="仿宋" w:hAnsi="仿宋" w:eastAsia="仿宋" w:cs="仿宋"/>
          <w:color w:val="auto"/>
          <w:kern w:val="0"/>
          <w:sz w:val="24"/>
          <w:szCs w:val="24"/>
          <w:highlight w:val="none"/>
          <w:lang w:eastAsia="zh-CN"/>
        </w:rPr>
        <w:t>项目技术服务</w:t>
      </w:r>
      <w:r>
        <w:rPr>
          <w:rFonts w:hint="eastAsia" w:ascii="仿宋" w:hAnsi="仿宋" w:eastAsia="仿宋" w:cs="仿宋"/>
          <w:color w:val="auto"/>
          <w:kern w:val="0"/>
          <w:sz w:val="24"/>
          <w:szCs w:val="24"/>
          <w:highlight w:val="none"/>
        </w:rPr>
        <w:t>结束后完整移交</w:t>
      </w:r>
      <w:r>
        <w:rPr>
          <w:rFonts w:hint="eastAsia" w:ascii="仿宋" w:hAnsi="仿宋" w:eastAsia="仿宋" w:cs="仿宋"/>
          <w:color w:val="auto"/>
          <w:kern w:val="0"/>
          <w:sz w:val="24"/>
          <w:szCs w:val="24"/>
          <w:highlight w:val="none"/>
          <w:lang w:eastAsia="zh-CN"/>
        </w:rPr>
        <w:t>档案</w:t>
      </w:r>
      <w:r>
        <w:rPr>
          <w:rFonts w:hint="eastAsia" w:ascii="仿宋" w:hAnsi="仿宋" w:eastAsia="仿宋" w:cs="仿宋"/>
          <w:color w:val="auto"/>
          <w:kern w:val="0"/>
          <w:sz w:val="24"/>
          <w:szCs w:val="24"/>
          <w:highlight w:val="none"/>
        </w:rPr>
        <w:t>资料。乙方及其派出人员不得使用甲方委托事项的资料</w:t>
      </w:r>
      <w:r>
        <w:rPr>
          <w:rFonts w:hint="eastAsia" w:ascii="仿宋" w:hAnsi="仿宋" w:eastAsia="仿宋" w:cs="仿宋"/>
          <w:b w:val="0"/>
          <w:bCs w:val="0"/>
          <w:color w:val="auto"/>
          <w:kern w:val="0"/>
          <w:sz w:val="24"/>
          <w:szCs w:val="24"/>
          <w:highlight w:val="none"/>
        </w:rPr>
        <w:t>和结果，用于与委托事项无关的</w:t>
      </w:r>
      <w:r>
        <w:rPr>
          <w:rFonts w:hint="eastAsia" w:ascii="仿宋" w:hAnsi="仿宋" w:eastAsia="仿宋" w:cs="仿宋"/>
          <w:b w:val="0"/>
          <w:bCs w:val="0"/>
          <w:color w:val="auto"/>
          <w:kern w:val="0"/>
          <w:sz w:val="24"/>
          <w:szCs w:val="24"/>
          <w:highlight w:val="none"/>
          <w:lang w:eastAsia="zh-CN"/>
        </w:rPr>
        <w:t>用途</w:t>
      </w:r>
      <w:r>
        <w:rPr>
          <w:rFonts w:hint="eastAsia" w:ascii="仿宋" w:hAnsi="仿宋" w:eastAsia="仿宋" w:cs="仿宋"/>
          <w:b w:val="0"/>
          <w:bCs w:val="0"/>
          <w:color w:val="auto"/>
          <w:kern w:val="0"/>
          <w:sz w:val="24"/>
          <w:szCs w:val="24"/>
          <w:highlight w:val="none"/>
        </w:rPr>
        <w:t>。</w:t>
      </w:r>
    </w:p>
    <w:p w14:paraId="51351C6E">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.入围供应商无正当理由，不得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放弃入围资格或者退出框架协议。</w:t>
      </w:r>
    </w:p>
    <w:p w14:paraId="43B24E6B">
      <w:pPr>
        <w:pStyle w:val="12"/>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.乙方有义务在本单位中选派投标书中所列的项目组成员（必须要有项目负责人带队）参与服务工作，在本协议履行期间不得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更换服务人员。</w:t>
      </w:r>
    </w:p>
    <w:p w14:paraId="5E9823AD">
      <w:pPr>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10</w:t>
      </w:r>
      <w:r>
        <w:rPr>
          <w:rFonts w:hint="eastAsia" w:ascii="仿宋" w:hAnsi="仿宋" w:eastAsia="仿宋" w:cs="仿宋"/>
          <w:b w:val="0"/>
          <w:bCs w:val="0"/>
          <w:color w:val="auto"/>
          <w:kern w:val="0"/>
          <w:sz w:val="24"/>
          <w:szCs w:val="24"/>
          <w:highlight w:val="none"/>
        </w:rPr>
        <w:t>.乙方对其出具的成果报告真实性、合法性</w:t>
      </w:r>
      <w:r>
        <w:rPr>
          <w:rFonts w:hint="eastAsia" w:ascii="仿宋" w:hAnsi="仿宋" w:eastAsia="仿宋" w:cs="仿宋"/>
          <w:b w:val="0"/>
          <w:bCs w:val="0"/>
          <w:color w:val="auto"/>
          <w:kern w:val="0"/>
          <w:sz w:val="24"/>
          <w:szCs w:val="24"/>
          <w:highlight w:val="none"/>
          <w:lang w:eastAsia="zh-CN"/>
        </w:rPr>
        <w:t>承担法律责任</w:t>
      </w:r>
      <w:r>
        <w:rPr>
          <w:rFonts w:hint="eastAsia" w:ascii="仿宋" w:hAnsi="仿宋" w:eastAsia="仿宋" w:cs="仿宋"/>
          <w:b w:val="0"/>
          <w:bCs w:val="0"/>
          <w:color w:val="auto"/>
          <w:kern w:val="0"/>
          <w:sz w:val="24"/>
          <w:szCs w:val="24"/>
          <w:highlight w:val="none"/>
        </w:rPr>
        <w:t>。</w:t>
      </w:r>
    </w:p>
    <w:p w14:paraId="657112EA">
      <w:pPr>
        <w:pStyle w:val="12"/>
        <w:keepLines w:val="0"/>
        <w:pageBreakBefore w:val="0"/>
        <w:tabs>
          <w:tab w:val="left" w:pos="840"/>
        </w:tabs>
        <w:kinsoku/>
        <w:wordWrap/>
        <w:overflowPunct/>
        <w:topLinePunct w:val="0"/>
        <w:bidi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八</w:t>
      </w:r>
      <w:r>
        <w:rPr>
          <w:rFonts w:hint="eastAsia" w:ascii="仿宋" w:hAnsi="仿宋" w:eastAsia="仿宋" w:cs="仿宋"/>
          <w:b/>
          <w:bCs/>
          <w:color w:val="auto"/>
          <w:kern w:val="0"/>
          <w:sz w:val="24"/>
          <w:szCs w:val="24"/>
          <w:highlight w:val="none"/>
        </w:rPr>
        <w:t>、成交供应商确定</w:t>
      </w:r>
    </w:p>
    <w:p w14:paraId="3034C274">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甲方下达项目消防设计核查及消防验收任务，以轮选方式直接确定成交供应商，按项目签订消防验收技术服务委托合同。其中与建设项目有业务关联的入围供应商自动放弃该批次的服务资格。</w:t>
      </w:r>
    </w:p>
    <w:p w14:paraId="1EEA45C1">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napToGrid/>
          <w:color w:val="auto"/>
          <w:kern w:val="2"/>
          <w:sz w:val="24"/>
          <w:szCs w:val="24"/>
          <w:highlight w:val="none"/>
          <w:lang w:val="en-US" w:eastAsia="zh-CN" w:bidi="ar-SA"/>
        </w:rPr>
        <w:t>九、</w:t>
      </w:r>
      <w:r>
        <w:rPr>
          <w:rFonts w:hint="eastAsia" w:ascii="仿宋" w:hAnsi="仿宋" w:eastAsia="仿宋" w:cs="仿宋"/>
          <w:b/>
          <w:bCs/>
          <w:color w:val="auto"/>
          <w:sz w:val="24"/>
          <w:szCs w:val="24"/>
          <w:highlight w:val="none"/>
          <w:lang w:eastAsia="zh-CN"/>
        </w:rPr>
        <w:t>考核管理</w:t>
      </w:r>
    </w:p>
    <w:p w14:paraId="50393A74">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甲方组织对乙方进行考核管理，乙方应</w:t>
      </w:r>
      <w:r>
        <w:rPr>
          <w:rFonts w:hint="eastAsia" w:ascii="仿宋" w:hAnsi="仿宋" w:eastAsia="仿宋" w:cs="仿宋"/>
          <w:color w:val="auto"/>
          <w:kern w:val="0"/>
          <w:sz w:val="24"/>
          <w:szCs w:val="24"/>
          <w:highlight w:val="none"/>
          <w:lang w:val="en-US" w:eastAsia="zh-CN" w:bidi="ar-SA"/>
        </w:rPr>
        <w:t>无条件</w:t>
      </w:r>
      <w:r>
        <w:rPr>
          <w:rFonts w:hint="eastAsia" w:ascii="仿宋" w:hAnsi="仿宋" w:eastAsia="仿宋" w:cs="仿宋"/>
          <w:color w:val="auto"/>
          <w:kern w:val="0"/>
          <w:sz w:val="24"/>
          <w:szCs w:val="24"/>
          <w:highlight w:val="none"/>
        </w:rPr>
        <w:t>接受。</w:t>
      </w:r>
    </w:p>
    <w:p w14:paraId="459995AC">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十、</w:t>
      </w:r>
      <w:r>
        <w:rPr>
          <w:rFonts w:hint="eastAsia" w:ascii="仿宋" w:hAnsi="仿宋" w:eastAsia="仿宋" w:cs="仿宋"/>
          <w:b/>
          <w:bCs/>
          <w:color w:val="auto"/>
          <w:kern w:val="0"/>
          <w:sz w:val="24"/>
          <w:szCs w:val="24"/>
          <w:highlight w:val="none"/>
        </w:rPr>
        <w:t>违约责任</w:t>
      </w:r>
    </w:p>
    <w:p w14:paraId="1886DC08">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双方</w:t>
      </w:r>
      <w:r>
        <w:rPr>
          <w:rFonts w:hint="eastAsia" w:ascii="仿宋" w:hAnsi="仿宋" w:eastAsia="仿宋" w:cs="仿宋"/>
          <w:b w:val="0"/>
          <w:bCs w:val="0"/>
          <w:color w:val="auto"/>
          <w:sz w:val="24"/>
          <w:szCs w:val="24"/>
          <w:highlight w:val="none"/>
          <w:lang w:eastAsia="zh-CN"/>
        </w:rPr>
        <w:t>应</w:t>
      </w:r>
      <w:r>
        <w:rPr>
          <w:rFonts w:hint="eastAsia" w:ascii="仿宋" w:hAnsi="仿宋" w:eastAsia="仿宋" w:cs="仿宋"/>
          <w:b w:val="0"/>
          <w:bCs w:val="0"/>
          <w:color w:val="auto"/>
          <w:sz w:val="24"/>
          <w:szCs w:val="24"/>
          <w:highlight w:val="none"/>
        </w:rPr>
        <w:t>严格按</w:t>
      </w:r>
      <w:r>
        <w:rPr>
          <w:rFonts w:hint="eastAsia" w:ascii="仿宋" w:hAnsi="仿宋" w:eastAsia="仿宋" w:cs="仿宋"/>
          <w:b w:val="0"/>
          <w:bCs w:val="0"/>
          <w:color w:val="auto"/>
          <w:sz w:val="24"/>
          <w:szCs w:val="24"/>
          <w:highlight w:val="none"/>
          <w:lang w:eastAsia="zh-CN"/>
        </w:rPr>
        <w:t>本协议约定</w:t>
      </w:r>
      <w:r>
        <w:rPr>
          <w:rFonts w:hint="eastAsia" w:ascii="仿宋" w:hAnsi="仿宋" w:eastAsia="仿宋" w:cs="仿宋"/>
          <w:b w:val="0"/>
          <w:bCs w:val="0"/>
          <w:color w:val="auto"/>
          <w:sz w:val="24"/>
          <w:szCs w:val="24"/>
          <w:highlight w:val="none"/>
        </w:rPr>
        <w:t>履约。</w:t>
      </w:r>
      <w:r>
        <w:rPr>
          <w:rFonts w:hint="eastAsia" w:ascii="仿宋" w:hAnsi="仿宋" w:eastAsia="仿宋" w:cs="仿宋"/>
          <w:b w:val="0"/>
          <w:bCs w:val="0"/>
          <w:color w:val="auto"/>
          <w:sz w:val="24"/>
          <w:szCs w:val="24"/>
          <w:highlight w:val="none"/>
          <w:lang w:eastAsia="zh-CN"/>
        </w:rPr>
        <w:t>协议期内</w:t>
      </w:r>
      <w:r>
        <w:rPr>
          <w:rFonts w:hint="eastAsia" w:ascii="仿宋" w:hAnsi="仿宋" w:eastAsia="仿宋" w:cs="仿宋"/>
          <w:b w:val="0"/>
          <w:bCs w:val="0"/>
          <w:color w:val="auto"/>
          <w:sz w:val="24"/>
          <w:szCs w:val="24"/>
          <w:highlight w:val="none"/>
        </w:rPr>
        <w:t>出现下列情形，甲方有权提前终止合同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而不需要承担任何责任</w:t>
      </w:r>
      <w:r>
        <w:rPr>
          <w:rFonts w:hint="eastAsia" w:ascii="仿宋" w:hAnsi="仿宋" w:eastAsia="仿宋" w:cs="仿宋"/>
          <w:b w:val="0"/>
          <w:bCs w:val="0"/>
          <w:color w:val="auto"/>
          <w:kern w:val="0"/>
          <w:sz w:val="24"/>
          <w:szCs w:val="24"/>
          <w:highlight w:val="none"/>
          <w:lang w:eastAsia="zh-CN"/>
        </w:rPr>
        <w:t>，并</w:t>
      </w:r>
      <w:r>
        <w:rPr>
          <w:rFonts w:hint="eastAsia" w:ascii="仿宋" w:hAnsi="仿宋" w:eastAsia="仿宋" w:cs="仿宋"/>
          <w:b w:val="0"/>
          <w:bCs w:val="0"/>
          <w:color w:val="auto"/>
          <w:sz w:val="24"/>
          <w:szCs w:val="24"/>
          <w:highlight w:val="none"/>
        </w:rPr>
        <w:t>有权对乙方进行</w:t>
      </w:r>
      <w:r>
        <w:rPr>
          <w:rFonts w:hint="eastAsia" w:ascii="仿宋" w:hAnsi="仿宋" w:eastAsia="仿宋" w:cs="仿宋"/>
          <w:b w:val="0"/>
          <w:bCs w:val="0"/>
          <w:color w:val="auto"/>
          <w:sz w:val="24"/>
          <w:szCs w:val="24"/>
          <w:highlight w:val="none"/>
          <w:lang w:eastAsia="zh-CN"/>
        </w:rPr>
        <w:t>追责和</w:t>
      </w:r>
      <w:r>
        <w:rPr>
          <w:rFonts w:hint="eastAsia" w:ascii="仿宋" w:hAnsi="仿宋" w:eastAsia="仿宋" w:cs="仿宋"/>
          <w:b w:val="0"/>
          <w:bCs w:val="0"/>
          <w:color w:val="auto"/>
          <w:sz w:val="24"/>
          <w:szCs w:val="24"/>
          <w:highlight w:val="none"/>
        </w:rPr>
        <w:t>处罚</w:t>
      </w:r>
      <w:r>
        <w:rPr>
          <w:rFonts w:hint="eastAsia" w:ascii="仿宋" w:hAnsi="仿宋" w:eastAsia="仿宋" w:cs="仿宋"/>
          <w:b w:val="0"/>
          <w:bCs w:val="0"/>
          <w:color w:val="auto"/>
          <w:sz w:val="24"/>
          <w:szCs w:val="24"/>
          <w:highlight w:val="none"/>
          <w:lang w:eastAsia="zh-CN"/>
        </w:rPr>
        <w:t>：</w:t>
      </w:r>
    </w:p>
    <w:p w14:paraId="21C39A52">
      <w:pPr>
        <w:pStyle w:val="12"/>
        <w:keepNext w:val="0"/>
        <w:keepLines w:val="0"/>
        <w:pageBreakBefore w:val="0"/>
        <w:widowControl w:val="0"/>
        <w:tabs>
          <w:tab w:val="left" w:pos="840"/>
        </w:tabs>
        <w:kinsoku/>
        <w:wordWrap/>
        <w:overflowPunct/>
        <w:topLinePunct w:val="0"/>
        <w:bidi w:val="0"/>
        <w:spacing w:line="360" w:lineRule="auto"/>
        <w:ind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乙方</w:t>
      </w:r>
      <w:r>
        <w:rPr>
          <w:rFonts w:hint="eastAsia" w:ascii="仿宋" w:hAnsi="仿宋" w:eastAsia="仿宋" w:cs="仿宋"/>
          <w:b w:val="0"/>
          <w:bCs w:val="0"/>
          <w:color w:val="auto"/>
          <w:kern w:val="0"/>
          <w:sz w:val="24"/>
          <w:szCs w:val="24"/>
          <w:highlight w:val="none"/>
        </w:rPr>
        <w:t>实质性违反本协议约定的；</w:t>
      </w:r>
    </w:p>
    <w:p w14:paraId="463E688F">
      <w:pPr>
        <w:pStyle w:val="12"/>
        <w:keepNext w:val="0"/>
        <w:keepLines w:val="0"/>
        <w:pageBreakBefore w:val="0"/>
        <w:widowControl w:val="0"/>
        <w:tabs>
          <w:tab w:val="left" w:pos="840"/>
        </w:tabs>
        <w:kinsoku/>
        <w:wordWrap/>
        <w:overflowPunct/>
        <w:topLinePunct w:val="0"/>
        <w:bidi w:val="0"/>
        <w:spacing w:line="360" w:lineRule="auto"/>
        <w:ind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sz w:val="24"/>
          <w:szCs w:val="24"/>
          <w:highlight w:val="none"/>
        </w:rPr>
        <w:t>乙方</w:t>
      </w:r>
      <w:r>
        <w:rPr>
          <w:rFonts w:hint="eastAsia" w:ascii="仿宋" w:hAnsi="仿宋" w:eastAsia="仿宋" w:cs="仿宋"/>
          <w:b w:val="0"/>
          <w:bCs w:val="0"/>
          <w:color w:val="auto"/>
          <w:kern w:val="0"/>
          <w:sz w:val="24"/>
          <w:szCs w:val="24"/>
          <w:highlight w:val="none"/>
        </w:rPr>
        <w:t>有违反</w:t>
      </w:r>
      <w:r>
        <w:rPr>
          <w:rFonts w:hint="eastAsia" w:ascii="仿宋" w:hAnsi="仿宋" w:eastAsia="仿宋" w:cs="仿宋"/>
          <w:b w:val="0"/>
          <w:bCs w:val="0"/>
          <w:color w:val="auto"/>
          <w:kern w:val="0"/>
          <w:sz w:val="24"/>
          <w:szCs w:val="24"/>
          <w:highlight w:val="none"/>
          <w:lang w:eastAsia="zh-CN"/>
        </w:rPr>
        <w:t>协议</w:t>
      </w:r>
      <w:r>
        <w:rPr>
          <w:rFonts w:hint="eastAsia" w:ascii="仿宋" w:hAnsi="仿宋" w:eastAsia="仿宋" w:cs="仿宋"/>
          <w:b w:val="0"/>
          <w:bCs w:val="0"/>
          <w:color w:val="auto"/>
          <w:kern w:val="0"/>
          <w:sz w:val="24"/>
          <w:szCs w:val="24"/>
          <w:highlight w:val="none"/>
        </w:rPr>
        <w:t>约定其职责、义务的行为，在</w:t>
      </w:r>
      <w:r>
        <w:rPr>
          <w:rFonts w:hint="eastAsia" w:ascii="仿宋" w:hAnsi="仿宋" w:eastAsia="仿宋" w:cs="仿宋"/>
          <w:b w:val="0"/>
          <w:bCs w:val="0"/>
          <w:color w:val="auto"/>
          <w:kern w:val="0"/>
          <w:sz w:val="24"/>
          <w:szCs w:val="24"/>
          <w:highlight w:val="none"/>
          <w:lang w:eastAsia="zh-CN"/>
        </w:rPr>
        <w:t>甲方</w:t>
      </w:r>
      <w:r>
        <w:rPr>
          <w:rFonts w:hint="eastAsia" w:ascii="仿宋" w:hAnsi="仿宋" w:eastAsia="仿宋" w:cs="仿宋"/>
          <w:b w:val="0"/>
          <w:bCs w:val="0"/>
          <w:color w:val="auto"/>
          <w:kern w:val="0"/>
          <w:sz w:val="24"/>
          <w:szCs w:val="24"/>
          <w:highlight w:val="none"/>
        </w:rPr>
        <w:t>指定期限内未予以纠正或补救的；</w:t>
      </w:r>
    </w:p>
    <w:p w14:paraId="5D1B2DF3">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kern w:val="0"/>
          <w:sz w:val="24"/>
          <w:szCs w:val="24"/>
          <w:highlight w:val="none"/>
          <w:lang w:val="en-US" w:eastAsia="zh-CN" w:bidi="ar-SA"/>
        </w:rPr>
        <w:t>乙方未按甲方要求时限完成服务且无正当理由，或者甲方</w:t>
      </w:r>
      <w:r>
        <w:rPr>
          <w:rFonts w:hint="eastAsia" w:ascii="仿宋" w:hAnsi="仿宋" w:eastAsia="仿宋" w:cs="仿宋"/>
          <w:b w:val="0"/>
          <w:bCs w:val="0"/>
          <w:color w:val="auto"/>
          <w:sz w:val="24"/>
          <w:szCs w:val="24"/>
          <w:highlight w:val="none"/>
          <w:lang w:eastAsia="zh-CN"/>
        </w:rPr>
        <w:t>抽查</w:t>
      </w:r>
      <w:r>
        <w:rPr>
          <w:rFonts w:hint="eastAsia" w:ascii="仿宋" w:hAnsi="仿宋" w:eastAsia="仿宋" w:cs="仿宋"/>
          <w:b w:val="0"/>
          <w:bCs w:val="0"/>
          <w:color w:val="auto"/>
          <w:sz w:val="24"/>
          <w:szCs w:val="24"/>
          <w:highlight w:val="none"/>
        </w:rPr>
        <w:t>服务报告</w:t>
      </w:r>
      <w:r>
        <w:rPr>
          <w:rFonts w:hint="eastAsia" w:ascii="仿宋" w:hAnsi="仿宋" w:eastAsia="仿宋" w:cs="仿宋"/>
          <w:b w:val="0"/>
          <w:bCs w:val="0"/>
          <w:color w:val="auto"/>
          <w:sz w:val="24"/>
          <w:szCs w:val="24"/>
          <w:highlight w:val="none"/>
          <w:lang w:eastAsia="zh-CN"/>
        </w:rPr>
        <w:t>质量发现存在重大偏差，发生上述情形两次以上</w:t>
      </w:r>
      <w:r>
        <w:rPr>
          <w:rFonts w:hint="eastAsia" w:ascii="仿宋" w:hAnsi="仿宋" w:eastAsia="仿宋" w:cs="仿宋"/>
          <w:b w:val="0"/>
          <w:bCs w:val="0"/>
          <w:color w:val="auto"/>
          <w:sz w:val="24"/>
          <w:szCs w:val="24"/>
          <w:highlight w:val="none"/>
        </w:rPr>
        <w:t>的</w:t>
      </w:r>
      <w:r>
        <w:rPr>
          <w:rFonts w:hint="eastAsia" w:ascii="仿宋" w:hAnsi="仿宋" w:eastAsia="仿宋" w:cs="仿宋"/>
          <w:color w:val="auto"/>
          <w:kern w:val="0"/>
          <w:sz w:val="24"/>
          <w:szCs w:val="24"/>
          <w:highlight w:val="none"/>
          <w:lang w:val="en-US" w:eastAsia="zh-CN" w:bidi="ar-SA"/>
        </w:rPr>
        <w:t>将解除合同。</w:t>
      </w:r>
    </w:p>
    <w:p w14:paraId="7DB04E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乙方违反保密义务</w:t>
      </w:r>
      <w:r>
        <w:rPr>
          <w:rFonts w:hint="eastAsia" w:ascii="仿宋" w:hAnsi="仿宋" w:eastAsia="仿宋" w:cs="仿宋"/>
          <w:b w:val="0"/>
          <w:bCs w:val="0"/>
          <w:color w:val="auto"/>
          <w:sz w:val="24"/>
          <w:szCs w:val="24"/>
          <w:highlight w:val="none"/>
          <w:lang w:eastAsia="zh-CN"/>
        </w:rPr>
        <w:t>，泄露甲方秘密或与第三方串通损害甲方利益的</w:t>
      </w:r>
      <w:r>
        <w:rPr>
          <w:rFonts w:hint="eastAsia" w:ascii="仿宋" w:hAnsi="仿宋" w:eastAsia="仿宋" w:cs="仿宋"/>
          <w:b w:val="0"/>
          <w:bCs w:val="0"/>
          <w:color w:val="auto"/>
          <w:sz w:val="24"/>
          <w:szCs w:val="24"/>
          <w:highlight w:val="none"/>
        </w:rPr>
        <w:t>；</w:t>
      </w:r>
    </w:p>
    <w:p w14:paraId="522BB1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color w:val="auto"/>
          <w:kern w:val="0"/>
          <w:sz w:val="24"/>
          <w:szCs w:val="24"/>
          <w:highlight w:val="none"/>
          <w:lang w:val="en-US" w:eastAsia="zh-CN" w:bidi="ar-SA"/>
        </w:rPr>
        <w:t>乙方与项目相关单位或人员私下交易，接受财物、吃请等违纪行为经查实的；</w:t>
      </w:r>
    </w:p>
    <w:p w14:paraId="3A295711">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乙方受到</w:t>
      </w:r>
      <w:r>
        <w:rPr>
          <w:rFonts w:hint="eastAsia" w:ascii="仿宋" w:hAnsi="仿宋" w:eastAsia="仿宋" w:cs="仿宋"/>
          <w:b w:val="0"/>
          <w:bCs w:val="0"/>
          <w:color w:val="auto"/>
          <w:sz w:val="24"/>
          <w:szCs w:val="24"/>
          <w:highlight w:val="none"/>
          <w:lang w:eastAsia="zh-CN"/>
        </w:rPr>
        <w:t>有</w:t>
      </w:r>
      <w:r>
        <w:rPr>
          <w:rFonts w:hint="eastAsia" w:ascii="仿宋" w:hAnsi="仿宋" w:eastAsia="仿宋" w:cs="仿宋"/>
          <w:b w:val="0"/>
          <w:bCs w:val="0"/>
          <w:color w:val="auto"/>
          <w:sz w:val="24"/>
          <w:szCs w:val="24"/>
          <w:highlight w:val="none"/>
        </w:rPr>
        <w:t>关管理部门通报批评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行政处罚等处理的</w:t>
      </w:r>
      <w:r>
        <w:rPr>
          <w:rFonts w:hint="eastAsia" w:ascii="仿宋" w:hAnsi="仿宋" w:eastAsia="仿宋" w:cs="仿宋"/>
          <w:b w:val="0"/>
          <w:bCs w:val="0"/>
          <w:color w:val="auto"/>
          <w:sz w:val="24"/>
          <w:szCs w:val="24"/>
          <w:highlight w:val="none"/>
          <w:lang w:eastAsia="zh-CN"/>
        </w:rPr>
        <w:t>，或者因</w:t>
      </w:r>
      <w:r>
        <w:rPr>
          <w:rFonts w:hint="eastAsia" w:ascii="仿宋" w:hAnsi="仿宋" w:eastAsia="仿宋" w:cs="仿宋"/>
          <w:b w:val="0"/>
          <w:bCs w:val="0"/>
          <w:color w:val="auto"/>
          <w:sz w:val="24"/>
          <w:szCs w:val="24"/>
          <w:highlight w:val="none"/>
        </w:rPr>
        <w:t>乙方过失发生第三方服务质量责任事故造成严重</w:t>
      </w:r>
      <w:r>
        <w:rPr>
          <w:rFonts w:hint="eastAsia" w:ascii="仿宋" w:hAnsi="仿宋" w:eastAsia="仿宋" w:cs="仿宋"/>
          <w:b w:val="0"/>
          <w:bCs w:val="0"/>
          <w:color w:val="auto"/>
          <w:sz w:val="24"/>
          <w:szCs w:val="24"/>
          <w:highlight w:val="none"/>
          <w:lang w:eastAsia="zh-CN"/>
        </w:rPr>
        <w:t>影响</w:t>
      </w:r>
      <w:r>
        <w:rPr>
          <w:rFonts w:hint="eastAsia" w:ascii="仿宋" w:hAnsi="仿宋" w:eastAsia="仿宋" w:cs="仿宋"/>
          <w:b w:val="0"/>
          <w:bCs w:val="0"/>
          <w:color w:val="auto"/>
          <w:sz w:val="24"/>
          <w:szCs w:val="24"/>
          <w:highlight w:val="none"/>
        </w:rPr>
        <w:t>的；</w:t>
      </w:r>
    </w:p>
    <w:p w14:paraId="2F5A2172">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7、乙方出现其他违约行为并造成严重后果或损失的</w:t>
      </w:r>
      <w:r>
        <w:rPr>
          <w:rFonts w:hint="eastAsia" w:ascii="仿宋" w:hAnsi="仿宋" w:eastAsia="仿宋" w:cs="仿宋"/>
          <w:b w:val="0"/>
          <w:bCs w:val="0"/>
          <w:color w:val="auto"/>
          <w:sz w:val="24"/>
          <w:szCs w:val="24"/>
          <w:highlight w:val="none"/>
        </w:rPr>
        <w:t>。</w:t>
      </w:r>
    </w:p>
    <w:p w14:paraId="680E25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8、因乙方违约导致合同解除的，已完成服务项目剩余的20%服务费用不再支付。</w:t>
      </w:r>
    </w:p>
    <w:p w14:paraId="61937AF5">
      <w:pPr>
        <w:pageBreakBefore w:val="0"/>
        <w:widowControl/>
        <w:wordWrap/>
        <w:topLinePunct w:val="0"/>
        <w:autoSpaceDE w:val="0"/>
        <w:autoSpaceDN w:val="0"/>
        <w:bidi w:val="0"/>
        <w:snapToGrid w:val="0"/>
        <w:spacing w:line="360" w:lineRule="auto"/>
        <w:ind w:firstLine="482" w:firstLineChars="200"/>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十</w:t>
      </w:r>
      <w:r>
        <w:rPr>
          <w:rFonts w:hint="eastAsia" w:ascii="仿宋" w:hAnsi="仿宋" w:eastAsia="仿宋" w:cs="仿宋"/>
          <w:b/>
          <w:bCs/>
          <w:color w:val="auto"/>
          <w:kern w:val="0"/>
          <w:sz w:val="24"/>
          <w:szCs w:val="24"/>
          <w:highlight w:val="none"/>
          <w:lang w:eastAsia="zh-CN"/>
        </w:rPr>
        <w:t>一、争议解决</w:t>
      </w:r>
    </w:p>
    <w:p w14:paraId="6F51A621">
      <w:pPr>
        <w:pageBreakBefore w:val="0"/>
        <w:numPr>
          <w:ilvl w:val="0"/>
          <w:numId w:val="0"/>
        </w:numPr>
        <w:tabs>
          <w:tab w:val="left" w:pos="720"/>
        </w:tabs>
        <w:wordWrap/>
        <w:topLinePunct w:val="0"/>
        <w:bidi w:val="0"/>
        <w:adjustRightInd w:val="0"/>
        <w:snapToGrid w:val="0"/>
        <w:spacing w:line="360" w:lineRule="auto"/>
        <w:ind w:firstLine="480" w:firstLineChars="200"/>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双方的招投标文件如与合同不一致，应以合同为准。</w:t>
      </w:r>
      <w:r>
        <w:rPr>
          <w:rFonts w:hint="eastAsia" w:ascii="仿宋" w:hAnsi="仿宋" w:eastAsia="仿宋" w:cs="仿宋"/>
          <w:b w:val="0"/>
          <w:bCs w:val="0"/>
          <w:color w:val="auto"/>
          <w:kern w:val="0"/>
          <w:sz w:val="24"/>
          <w:szCs w:val="24"/>
          <w:highlight w:val="none"/>
        </w:rPr>
        <w:t>双方在执行合同中所发生的一切争议，应通过</w:t>
      </w:r>
      <w:r>
        <w:rPr>
          <w:rFonts w:hint="eastAsia" w:ascii="仿宋" w:hAnsi="仿宋" w:eastAsia="仿宋" w:cs="仿宋"/>
          <w:b w:val="0"/>
          <w:bCs w:val="0"/>
          <w:color w:val="auto"/>
          <w:kern w:val="0"/>
          <w:sz w:val="24"/>
          <w:szCs w:val="24"/>
          <w:highlight w:val="none"/>
          <w:lang w:eastAsia="zh-CN"/>
        </w:rPr>
        <w:t>友好</w:t>
      </w:r>
      <w:r>
        <w:rPr>
          <w:rFonts w:hint="eastAsia" w:ascii="仿宋" w:hAnsi="仿宋" w:eastAsia="仿宋" w:cs="仿宋"/>
          <w:b w:val="0"/>
          <w:bCs w:val="0"/>
          <w:color w:val="auto"/>
          <w:kern w:val="0"/>
          <w:sz w:val="24"/>
          <w:szCs w:val="24"/>
          <w:highlight w:val="none"/>
        </w:rPr>
        <w:t>协商解决</w:t>
      </w:r>
      <w:r>
        <w:rPr>
          <w:rFonts w:hint="eastAsia" w:ascii="仿宋" w:hAnsi="仿宋" w:eastAsia="仿宋" w:cs="仿宋"/>
          <w:b w:val="0"/>
          <w:bCs w:val="0"/>
          <w:snapToGrid w:val="0"/>
          <w:color w:val="auto"/>
          <w:sz w:val="24"/>
          <w:szCs w:val="24"/>
          <w:highlight w:val="none"/>
        </w:rPr>
        <w:t>，协商不一致，可以按照本合同约定向工程所在地人民法院提起诉讼。因诉讼产生的费用，包括但不限于诉讼费、保全费、保全保险费、鉴定费、律师费等由违约方承担。</w:t>
      </w:r>
    </w:p>
    <w:p w14:paraId="76161699">
      <w:pPr>
        <w:pageBreakBefore w:val="0"/>
        <w:widowControl/>
        <w:wordWrap/>
        <w:topLinePunct w:val="0"/>
        <w:bidi w:val="0"/>
        <w:snapToGrid w:val="0"/>
        <w:spacing w:line="360" w:lineRule="auto"/>
        <w:ind w:firstLine="482"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bCs/>
          <w:color w:val="auto"/>
          <w:kern w:val="0"/>
          <w:sz w:val="24"/>
          <w:szCs w:val="24"/>
          <w:highlight w:val="none"/>
        </w:rPr>
        <w:t>十</w:t>
      </w:r>
      <w:r>
        <w:rPr>
          <w:rFonts w:hint="eastAsia" w:ascii="仿宋" w:hAnsi="仿宋" w:eastAsia="仿宋" w:cs="仿宋"/>
          <w:b/>
          <w:bCs/>
          <w:color w:val="auto"/>
          <w:kern w:val="0"/>
          <w:sz w:val="24"/>
          <w:szCs w:val="24"/>
          <w:highlight w:val="none"/>
          <w:lang w:eastAsia="zh-CN"/>
        </w:rPr>
        <w:t>二</w:t>
      </w:r>
      <w:r>
        <w:rPr>
          <w:rFonts w:hint="eastAsia" w:ascii="仿宋" w:hAnsi="仿宋" w:eastAsia="仿宋" w:cs="仿宋"/>
          <w:b/>
          <w:bCs/>
          <w:color w:val="auto"/>
          <w:kern w:val="0"/>
          <w:sz w:val="24"/>
          <w:szCs w:val="24"/>
          <w:highlight w:val="none"/>
        </w:rPr>
        <w:t>、合同生效及其他</w:t>
      </w:r>
    </w:p>
    <w:p w14:paraId="32BFE604">
      <w:pPr>
        <w:pageBreakBefore w:val="0"/>
        <w:widowControl/>
        <w:wordWrap/>
        <w:topLinePunct w:val="0"/>
        <w:bidi w:val="0"/>
        <w:snapToGrid w:val="0"/>
        <w:spacing w:line="360" w:lineRule="auto"/>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1.合同经甲、乙双方签名并加盖单位公章后生效。</w:t>
      </w:r>
    </w:p>
    <w:p w14:paraId="0252AF2D">
      <w:pPr>
        <w:pageBreakBefore w:val="0"/>
        <w:widowControl/>
        <w:wordWrap/>
        <w:topLinePunct w:val="0"/>
        <w:bidi w:val="0"/>
        <w:snapToGrid w:val="0"/>
        <w:spacing w:line="360" w:lineRule="auto"/>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2.合同执行中涉及采购资金和采购内容修改或补充的，须经</w:t>
      </w:r>
      <w:r>
        <w:rPr>
          <w:rFonts w:hint="eastAsia" w:ascii="仿宋" w:hAnsi="仿宋" w:eastAsia="仿宋" w:cs="仿宋"/>
          <w:b w:val="0"/>
          <w:bCs w:val="0"/>
          <w:color w:val="auto"/>
          <w:kern w:val="0"/>
          <w:sz w:val="24"/>
          <w:szCs w:val="24"/>
          <w:highlight w:val="none"/>
          <w:u w:val="none"/>
          <w:lang w:eastAsia="zh-CN"/>
        </w:rPr>
        <w:t>相关</w:t>
      </w:r>
      <w:r>
        <w:rPr>
          <w:rFonts w:hint="eastAsia" w:ascii="仿宋" w:hAnsi="仿宋" w:eastAsia="仿宋" w:cs="仿宋"/>
          <w:b w:val="0"/>
          <w:bCs w:val="0"/>
          <w:color w:val="auto"/>
          <w:kern w:val="0"/>
          <w:sz w:val="24"/>
          <w:szCs w:val="24"/>
          <w:highlight w:val="none"/>
          <w:u w:val="none"/>
        </w:rPr>
        <w:t>部门审批，并签书面补充协议，经报政府采购监督管理部门备案后，方可作为主合同不可分割的一部分。</w:t>
      </w:r>
    </w:p>
    <w:p w14:paraId="1E0B2225">
      <w:pPr>
        <w:pageBreakBefore w:val="0"/>
        <w:widowControl/>
        <w:wordWrap/>
        <w:topLinePunct w:val="0"/>
        <w:bidi w:val="0"/>
        <w:snapToGrid w:val="0"/>
        <w:spacing w:line="360" w:lineRule="auto"/>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3.</w:t>
      </w:r>
      <w:r>
        <w:rPr>
          <w:rFonts w:hint="eastAsia" w:ascii="仿宋" w:hAnsi="仿宋" w:eastAsia="仿宋" w:cs="仿宋"/>
          <w:b w:val="0"/>
          <w:bCs w:val="0"/>
          <w:color w:val="auto"/>
          <w:kern w:val="0"/>
          <w:sz w:val="24"/>
          <w:szCs w:val="24"/>
          <w:highlight w:val="none"/>
          <w:u w:val="none"/>
          <w:lang w:eastAsia="zh-CN"/>
        </w:rPr>
        <w:t>征集</w:t>
      </w:r>
      <w:r>
        <w:rPr>
          <w:rFonts w:hint="eastAsia" w:ascii="仿宋" w:hAnsi="仿宋" w:eastAsia="仿宋" w:cs="仿宋"/>
          <w:b w:val="0"/>
          <w:bCs w:val="0"/>
          <w:color w:val="auto"/>
          <w:kern w:val="0"/>
          <w:sz w:val="24"/>
          <w:szCs w:val="24"/>
          <w:highlight w:val="none"/>
          <w:u w:val="none"/>
        </w:rPr>
        <w:t>文件、投标文件与本合同具有同等法律效力。</w:t>
      </w:r>
    </w:p>
    <w:p w14:paraId="40B4B4D1">
      <w:pPr>
        <w:pageBreakBefore w:val="0"/>
        <w:widowControl/>
        <w:wordWrap/>
        <w:topLinePunct w:val="0"/>
        <w:bidi w:val="0"/>
        <w:snapToGrid w:val="0"/>
        <w:spacing w:line="360" w:lineRule="auto"/>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4.本合同未尽事宜，遵照《民法典》有关条文执行。</w:t>
      </w:r>
    </w:p>
    <w:p w14:paraId="006DC882">
      <w:pPr>
        <w:pageBreakBefore w:val="0"/>
        <w:widowControl/>
        <w:wordWrap/>
        <w:topLinePunct w:val="0"/>
        <w:bidi w:val="0"/>
        <w:snapToGrid w:val="0"/>
        <w:spacing w:line="360" w:lineRule="auto"/>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5.本合同一式五份，具有同等法律效力，甲、乙双方各执二份，采购代理机构一份。</w:t>
      </w:r>
    </w:p>
    <w:p w14:paraId="07077DC7">
      <w:pPr>
        <w:pStyle w:val="3"/>
        <w:pageBreakBefore w:val="0"/>
        <w:numPr>
          <w:ilvl w:val="0"/>
          <w:numId w:val="0"/>
        </w:numPr>
        <w:wordWrap/>
        <w:topLinePunct w:val="0"/>
        <w:bidi w:val="0"/>
        <w:spacing w:before="0" w:after="0" w:line="360" w:lineRule="auto"/>
        <w:ind w:left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附件：</w:t>
      </w:r>
      <w:r>
        <w:rPr>
          <w:rFonts w:hint="eastAsia" w:ascii="仿宋" w:hAnsi="仿宋" w:eastAsia="仿宋" w:cs="仿宋"/>
          <w:b w:val="0"/>
          <w:bCs w:val="0"/>
          <w:color w:val="auto"/>
          <w:sz w:val="24"/>
          <w:szCs w:val="24"/>
          <w:highlight w:val="none"/>
        </w:rPr>
        <w:t>《承诺书》</w:t>
      </w:r>
    </w:p>
    <w:p w14:paraId="0F17D06A">
      <w:pPr>
        <w:spacing w:line="360" w:lineRule="auto"/>
        <w:rPr>
          <w:rFonts w:hint="eastAsia" w:ascii="仿宋" w:hAnsi="仿宋" w:eastAsia="仿宋" w:cs="仿宋"/>
          <w:color w:val="auto"/>
          <w:sz w:val="24"/>
          <w:szCs w:val="24"/>
          <w:highlight w:val="none"/>
        </w:rPr>
      </w:pPr>
    </w:p>
    <w:p w14:paraId="72BFE406">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甲方（盖章）：</w:t>
      </w:r>
      <w:r>
        <w:rPr>
          <w:rFonts w:hint="eastAsia" w:ascii="仿宋" w:hAnsi="仿宋" w:eastAsia="仿宋" w:cs="仿宋"/>
          <w:color w:val="auto"/>
          <w:kern w:val="0"/>
          <w:sz w:val="24"/>
          <w:szCs w:val="24"/>
          <w:highlight w:val="none"/>
          <w:lang w:val="en-US" w:eastAsia="zh-CN"/>
        </w:rPr>
        <w:t xml:space="preserve"> </w:t>
      </w:r>
    </w:p>
    <w:p w14:paraId="1C64DDB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kern w:val="0"/>
          <w:sz w:val="24"/>
          <w:szCs w:val="24"/>
          <w:highlight w:val="none"/>
          <w:u w:val="none"/>
        </w:rPr>
        <w:t xml:space="preserve"> </w:t>
      </w:r>
    </w:p>
    <w:p w14:paraId="36CD3693">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法定（授权）代表人： </w:t>
      </w:r>
    </w:p>
    <w:p w14:paraId="0B99708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8D6D5F7">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w:t>
      </w:r>
      <w:r>
        <w:rPr>
          <w:rFonts w:hint="eastAsia" w:ascii="仿宋" w:hAnsi="仿宋" w:eastAsia="仿宋" w:cs="仿宋"/>
          <w:color w:val="auto"/>
          <w:kern w:val="0"/>
          <w:sz w:val="24"/>
          <w:szCs w:val="24"/>
          <w:highlight w:val="none"/>
          <w:lang w:eastAsia="zh-CN"/>
        </w:rPr>
        <w:t>订</w:t>
      </w:r>
      <w:r>
        <w:rPr>
          <w:rFonts w:hint="eastAsia" w:ascii="仿宋" w:hAnsi="仿宋" w:eastAsia="仿宋" w:cs="仿宋"/>
          <w:color w:val="auto"/>
          <w:kern w:val="0"/>
          <w:sz w:val="24"/>
          <w:szCs w:val="24"/>
          <w:highlight w:val="none"/>
        </w:rPr>
        <w:t xml:space="preserve">日期：     年   月   日           </w:t>
      </w:r>
    </w:p>
    <w:p w14:paraId="6DDCB464">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p>
    <w:p w14:paraId="115F2D8A">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乙方（盖章）：</w:t>
      </w:r>
    </w:p>
    <w:p w14:paraId="1DA21847">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p w14:paraId="527F18C0">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rPr>
        <w:t>开户行：</w:t>
      </w:r>
    </w:p>
    <w:p w14:paraId="368E4619">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开户账号：</w:t>
      </w:r>
    </w:p>
    <w:p w14:paraId="69E4A304">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法定（授权）代表人：</w:t>
      </w:r>
    </w:p>
    <w:p w14:paraId="5EEEE702">
      <w:pPr>
        <w:keepLines w:val="0"/>
        <w:pageBreakBefore w:val="0"/>
        <w:kinsoku/>
        <w:wordWrap/>
        <w:overflowPunct/>
        <w:topLinePunct w:val="0"/>
        <w:autoSpaceDE/>
        <w:autoSpaceDN/>
        <w:bidi w:val="0"/>
        <w:adjustRightInd w:val="0"/>
        <w:spacing w:line="360" w:lineRule="auto"/>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p>
    <w:p w14:paraId="11930323">
      <w:pPr>
        <w:keepLines w:val="0"/>
        <w:pageBreakBefore w:val="0"/>
        <w:kinsoku/>
        <w:wordWrap/>
        <w:overflowPunct/>
        <w:topLinePunct w:val="0"/>
        <w:autoSpaceDE/>
        <w:autoSpaceDN/>
        <w:bidi w:val="0"/>
        <w:adjustRightInd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w:t>
      </w:r>
      <w:r>
        <w:rPr>
          <w:rFonts w:hint="eastAsia" w:ascii="仿宋" w:hAnsi="仿宋" w:eastAsia="仿宋" w:cs="仿宋"/>
          <w:color w:val="auto"/>
          <w:kern w:val="0"/>
          <w:sz w:val="24"/>
          <w:szCs w:val="24"/>
          <w:highlight w:val="none"/>
          <w:lang w:eastAsia="zh-CN"/>
        </w:rPr>
        <w:t>订</w:t>
      </w:r>
      <w:r>
        <w:rPr>
          <w:rFonts w:hint="eastAsia" w:ascii="仿宋" w:hAnsi="仿宋" w:eastAsia="仿宋" w:cs="仿宋"/>
          <w:color w:val="auto"/>
          <w:kern w:val="0"/>
          <w:sz w:val="24"/>
          <w:szCs w:val="24"/>
          <w:highlight w:val="none"/>
        </w:rPr>
        <w:t>日期：     年   月   日</w:t>
      </w:r>
    </w:p>
    <w:p w14:paraId="26C1B429">
      <w:pPr>
        <w:pStyle w:val="18"/>
        <w:spacing w:line="360" w:lineRule="auto"/>
        <w:rPr>
          <w:rFonts w:hint="eastAsia" w:ascii="仿宋" w:hAnsi="仿宋" w:eastAsia="仿宋" w:cs="仿宋"/>
          <w:color w:val="auto"/>
          <w:kern w:val="0"/>
          <w:sz w:val="24"/>
          <w:szCs w:val="24"/>
          <w:highlight w:val="none"/>
        </w:rPr>
      </w:pPr>
    </w:p>
    <w:p w14:paraId="282D1EB3">
      <w:pPr>
        <w:rPr>
          <w:rFonts w:hint="eastAsia" w:ascii="仿宋" w:hAnsi="仿宋" w:eastAsia="仿宋" w:cs="仿宋"/>
          <w:color w:val="auto"/>
          <w:kern w:val="0"/>
          <w:sz w:val="24"/>
          <w:szCs w:val="24"/>
          <w:highlight w:val="none"/>
        </w:rPr>
      </w:pPr>
    </w:p>
    <w:p w14:paraId="6639D8DF">
      <w:pPr>
        <w:pStyle w:val="18"/>
        <w:rPr>
          <w:rFonts w:hint="eastAsia" w:ascii="仿宋" w:hAnsi="仿宋" w:eastAsia="仿宋" w:cs="仿宋"/>
          <w:color w:val="auto"/>
          <w:kern w:val="0"/>
          <w:sz w:val="24"/>
          <w:szCs w:val="24"/>
          <w:highlight w:val="none"/>
        </w:rPr>
      </w:pPr>
    </w:p>
    <w:p w14:paraId="4E651E15">
      <w:pPr>
        <w:rPr>
          <w:rFonts w:hint="eastAsia" w:ascii="仿宋" w:hAnsi="仿宋" w:eastAsia="仿宋" w:cs="仿宋"/>
          <w:color w:val="auto"/>
          <w:kern w:val="0"/>
          <w:sz w:val="24"/>
          <w:szCs w:val="24"/>
          <w:highlight w:val="none"/>
        </w:rPr>
      </w:pPr>
    </w:p>
    <w:p w14:paraId="460EF953">
      <w:pPr>
        <w:pStyle w:val="18"/>
        <w:rPr>
          <w:rFonts w:hint="eastAsia" w:ascii="仿宋" w:hAnsi="仿宋" w:eastAsia="仿宋" w:cs="仿宋"/>
          <w:color w:val="auto"/>
          <w:kern w:val="0"/>
          <w:sz w:val="24"/>
          <w:szCs w:val="24"/>
          <w:highlight w:val="none"/>
        </w:rPr>
      </w:pPr>
    </w:p>
    <w:p w14:paraId="07F0CECC">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7D170FB0">
      <w:pPr>
        <w:pStyle w:val="18"/>
        <w:spacing w:after="0" w:line="360" w:lineRule="auto"/>
        <w:ind w:left="0" w:leftChars="0"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承</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诺</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书</w:t>
      </w:r>
    </w:p>
    <w:p w14:paraId="6CB14F91">
      <w:pPr>
        <w:pStyle w:val="18"/>
        <w:spacing w:after="0" w:line="360" w:lineRule="auto"/>
        <w:ind w:left="0" w:leftChars="0" w:firstLine="0" w:firstLineChars="0"/>
        <w:rPr>
          <w:rFonts w:ascii="仿宋" w:hAnsi="仿宋" w:eastAsia="仿宋" w:cs="仿宋"/>
          <w:color w:val="auto"/>
          <w:sz w:val="32"/>
          <w:szCs w:val="32"/>
          <w:highlight w:val="none"/>
        </w:rPr>
      </w:pPr>
    </w:p>
    <w:p w14:paraId="58B9EE73">
      <w:pPr>
        <w:pStyle w:val="18"/>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杭州市西湖区住房和城乡建设局:</w:t>
      </w:r>
    </w:p>
    <w:p w14:paraId="2F582348">
      <w:pPr>
        <w:pStyle w:val="18"/>
        <w:keepNext w:val="0"/>
        <w:keepLines w:val="0"/>
        <w:pageBreakBefore w:val="0"/>
        <w:widowControl w:val="0"/>
        <w:kinsoku/>
        <w:wordWrap/>
        <w:overflowPunct/>
        <w:topLinePunct w:val="0"/>
        <w:autoSpaceDE/>
        <w:autoSpaceDN/>
        <w:bidi w:val="0"/>
        <w:adjustRightInd/>
        <w:spacing w:after="0" w:line="600" w:lineRule="exact"/>
        <w:ind w:left="0" w:leftChars="0" w:firstLine="640"/>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切实</w:t>
      </w:r>
      <w:r>
        <w:rPr>
          <w:rFonts w:hint="eastAsia" w:ascii="仿宋" w:hAnsi="仿宋" w:eastAsia="仿宋" w:cs="仿宋"/>
          <w:color w:val="auto"/>
          <w:sz w:val="24"/>
          <w:szCs w:val="24"/>
          <w:highlight w:val="none"/>
        </w:rPr>
        <w:t>做好杭州市西湖区住房和城乡建设局建设工程消防验收技术服务封闭式框架协议采购项目消防验收技术服务工作，</w:t>
      </w:r>
      <w:r>
        <w:rPr>
          <w:rFonts w:hint="eastAsia" w:ascii="仿宋" w:hAnsi="仿宋" w:eastAsia="仿宋" w:cs="仿宋"/>
          <w:color w:val="auto"/>
          <w:sz w:val="24"/>
          <w:szCs w:val="24"/>
          <w:highlight w:val="none"/>
          <w:lang w:eastAsia="zh-CN"/>
        </w:rPr>
        <w:t>本公司</w:t>
      </w:r>
      <w:r>
        <w:rPr>
          <w:rFonts w:hint="eastAsia" w:ascii="仿宋" w:hAnsi="仿宋" w:eastAsia="仿宋" w:cs="仿宋"/>
          <w:color w:val="auto"/>
          <w:sz w:val="24"/>
          <w:szCs w:val="24"/>
          <w:highlight w:val="none"/>
        </w:rPr>
        <w:t>承诺如下：</w:t>
      </w:r>
    </w:p>
    <w:p w14:paraId="72492443">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rPr>
        <w:t>内不在</w:t>
      </w:r>
      <w:r>
        <w:rPr>
          <w:rFonts w:hint="eastAsia" w:ascii="仿宋" w:hAnsi="仿宋" w:eastAsia="仿宋" w:cs="仿宋"/>
          <w:color w:val="auto"/>
          <w:sz w:val="24"/>
          <w:szCs w:val="24"/>
          <w:highlight w:val="none"/>
          <w:lang w:val="en-US" w:eastAsia="zh-CN"/>
        </w:rPr>
        <w:t>西湖</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管辖范围内</w:t>
      </w:r>
      <w:r>
        <w:rPr>
          <w:rFonts w:hint="eastAsia" w:ascii="仿宋" w:hAnsi="仿宋" w:eastAsia="仿宋" w:cs="仿宋"/>
          <w:color w:val="auto"/>
          <w:sz w:val="24"/>
          <w:szCs w:val="24"/>
          <w:highlight w:val="none"/>
          <w:lang w:eastAsia="zh-CN"/>
        </w:rPr>
        <w:t>新</w:t>
      </w:r>
      <w:r>
        <w:rPr>
          <w:rFonts w:hint="eastAsia" w:ascii="仿宋" w:hAnsi="仿宋" w:eastAsia="仿宋" w:cs="仿宋"/>
          <w:color w:val="auto"/>
          <w:sz w:val="24"/>
          <w:szCs w:val="24"/>
          <w:highlight w:val="none"/>
        </w:rPr>
        <w:t>承接消防</w:t>
      </w:r>
      <w:r>
        <w:rPr>
          <w:rFonts w:hint="eastAsia" w:ascii="仿宋" w:hAnsi="仿宋" w:eastAsia="仿宋" w:cs="仿宋"/>
          <w:color w:val="auto"/>
          <w:sz w:val="24"/>
          <w:szCs w:val="24"/>
          <w:highlight w:val="none"/>
          <w:lang w:eastAsia="zh-CN"/>
        </w:rPr>
        <w:t>施工和消防</w:t>
      </w:r>
      <w:r>
        <w:rPr>
          <w:rFonts w:hint="eastAsia" w:ascii="仿宋" w:hAnsi="仿宋" w:eastAsia="仿宋" w:cs="仿宋"/>
          <w:color w:val="auto"/>
          <w:sz w:val="24"/>
          <w:szCs w:val="24"/>
          <w:highlight w:val="none"/>
        </w:rPr>
        <w:t>检测相关业务</w:t>
      </w:r>
      <w:r>
        <w:rPr>
          <w:rFonts w:hint="eastAsia" w:ascii="仿宋" w:hAnsi="仿宋" w:eastAsia="仿宋" w:cs="仿宋"/>
          <w:color w:val="auto"/>
          <w:sz w:val="24"/>
          <w:szCs w:val="24"/>
          <w:highlight w:val="none"/>
          <w:lang w:eastAsia="zh-CN"/>
        </w:rPr>
        <w:t>（政府投资项目入库新中签除外）</w:t>
      </w:r>
      <w:r>
        <w:rPr>
          <w:rFonts w:hint="eastAsia" w:ascii="仿宋" w:hAnsi="仿宋" w:eastAsia="仿宋" w:cs="仿宋"/>
          <w:color w:val="auto"/>
          <w:sz w:val="24"/>
          <w:szCs w:val="24"/>
          <w:highlight w:val="none"/>
        </w:rPr>
        <w:t>。</w:t>
      </w:r>
    </w:p>
    <w:p w14:paraId="4C3175B3">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rPr>
        <w:t>内不利用工作之便与项目有关单位发生业务关系，对已承接项目在</w:t>
      </w:r>
      <w:r>
        <w:rPr>
          <w:rFonts w:hint="eastAsia" w:ascii="仿宋" w:hAnsi="仿宋" w:eastAsia="仿宋" w:cs="仿宋"/>
          <w:color w:val="auto"/>
          <w:sz w:val="24"/>
          <w:szCs w:val="24"/>
          <w:highlight w:val="none"/>
          <w:lang w:eastAsia="zh-CN"/>
        </w:rPr>
        <w:t>协议签订</w:t>
      </w:r>
      <w:r>
        <w:rPr>
          <w:rFonts w:hint="eastAsia" w:ascii="仿宋" w:hAnsi="仿宋" w:eastAsia="仿宋" w:cs="仿宋"/>
          <w:color w:val="auto"/>
          <w:sz w:val="24"/>
          <w:szCs w:val="24"/>
          <w:highlight w:val="none"/>
        </w:rPr>
        <w:t>前报备并主动回避</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w:t>
      </w:r>
    </w:p>
    <w:p w14:paraId="449D8603">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三、服务期内严格遵守</w:t>
      </w:r>
      <w:r>
        <w:rPr>
          <w:rFonts w:hint="eastAsia" w:ascii="仿宋" w:hAnsi="仿宋" w:eastAsia="仿宋" w:cs="仿宋"/>
          <w:color w:val="auto"/>
          <w:sz w:val="24"/>
          <w:szCs w:val="24"/>
          <w:highlight w:val="none"/>
          <w:lang w:eastAsia="zh-CN"/>
        </w:rPr>
        <w:t>廉洁</w:t>
      </w:r>
      <w:r>
        <w:rPr>
          <w:rFonts w:hint="eastAsia" w:ascii="仿宋" w:hAnsi="仿宋" w:eastAsia="仿宋" w:cs="仿宋"/>
          <w:color w:val="auto"/>
          <w:sz w:val="24"/>
          <w:szCs w:val="24"/>
          <w:highlight w:val="none"/>
        </w:rPr>
        <w:t>规定、工作纪律和保密要求，不直接与项目单位联系、透露和反馈技术服务工作情况。</w:t>
      </w:r>
    </w:p>
    <w:p w14:paraId="0334D101">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eastAsia" w:eastAsia="仿宋"/>
          <w:color w:val="auto"/>
          <w:sz w:val="24"/>
          <w:szCs w:val="24"/>
          <w:highlight w:val="none"/>
          <w:lang w:eastAsia="zh-CN"/>
        </w:rPr>
      </w:pPr>
      <w:r>
        <w:rPr>
          <w:rFonts w:hint="eastAsia" w:ascii="仿宋" w:hAnsi="仿宋" w:eastAsia="仿宋" w:cs="仿宋"/>
          <w:color w:val="auto"/>
          <w:sz w:val="24"/>
          <w:szCs w:val="24"/>
          <w:highlight w:val="none"/>
          <w:lang w:eastAsia="zh-CN"/>
        </w:rPr>
        <w:t>四、服务期内严格遵守相关安全生产法律法规及操作规程，</w:t>
      </w:r>
      <w:r>
        <w:rPr>
          <w:rFonts w:hint="eastAsia" w:ascii="仿宋" w:hAnsi="仿宋" w:eastAsia="仿宋" w:cs="仿宋"/>
          <w:color w:val="auto"/>
          <w:kern w:val="0"/>
          <w:sz w:val="24"/>
          <w:szCs w:val="24"/>
          <w:highlight w:val="none"/>
          <w:lang w:eastAsia="zh-CN"/>
        </w:rPr>
        <w:t>自行负责服务期间本单位人员的安全并承担全部责任。</w:t>
      </w:r>
    </w:p>
    <w:p w14:paraId="79654653">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如发生上述</w:t>
      </w:r>
      <w:r>
        <w:rPr>
          <w:rFonts w:hint="eastAsia" w:ascii="仿宋" w:hAnsi="仿宋" w:eastAsia="仿宋" w:cs="仿宋"/>
          <w:color w:val="auto"/>
          <w:sz w:val="24"/>
          <w:szCs w:val="24"/>
          <w:highlight w:val="none"/>
          <w:lang w:eastAsia="zh-CN"/>
        </w:rPr>
        <w:t>违反</w:t>
      </w:r>
      <w:r>
        <w:rPr>
          <w:rFonts w:hint="eastAsia" w:ascii="仿宋" w:hAnsi="仿宋" w:eastAsia="仿宋" w:cs="仿宋"/>
          <w:color w:val="auto"/>
          <w:sz w:val="24"/>
          <w:szCs w:val="24"/>
          <w:highlight w:val="none"/>
        </w:rPr>
        <w:t>情况</w:t>
      </w:r>
      <w:r>
        <w:rPr>
          <w:rFonts w:ascii="仿宋" w:hAnsi="仿宋" w:eastAsia="仿宋" w:cs="仿宋"/>
          <w:color w:val="auto"/>
          <w:sz w:val="24"/>
          <w:szCs w:val="24"/>
          <w:highlight w:val="none"/>
        </w:rPr>
        <w:t>,我单位</w:t>
      </w:r>
      <w:r>
        <w:rPr>
          <w:rFonts w:hint="eastAsia" w:ascii="仿宋" w:hAnsi="仿宋" w:eastAsia="仿宋" w:cs="仿宋"/>
          <w:color w:val="auto"/>
          <w:sz w:val="24"/>
          <w:szCs w:val="24"/>
          <w:highlight w:val="none"/>
          <w:lang w:eastAsia="zh-CN"/>
        </w:rPr>
        <w:t>愿意</w:t>
      </w:r>
      <w:r>
        <w:rPr>
          <w:rFonts w:hint="eastAsia" w:ascii="仿宋" w:hAnsi="仿宋" w:eastAsia="仿宋" w:cs="仿宋"/>
          <w:color w:val="auto"/>
          <w:sz w:val="24"/>
          <w:szCs w:val="24"/>
          <w:highlight w:val="none"/>
        </w:rPr>
        <w:t>接受</w:t>
      </w:r>
      <w:r>
        <w:rPr>
          <w:rFonts w:hint="eastAsia" w:ascii="仿宋" w:hAnsi="仿宋" w:eastAsia="仿宋" w:cs="仿宋"/>
          <w:color w:val="auto"/>
          <w:kern w:val="0"/>
          <w:sz w:val="24"/>
          <w:szCs w:val="24"/>
          <w:highlight w:val="none"/>
          <w:lang w:eastAsia="zh-CN"/>
        </w:rPr>
        <w:t>贵办的相关处理并承担一切责任</w:t>
      </w:r>
      <w:r>
        <w:rPr>
          <w:rFonts w:hint="eastAsia" w:ascii="仿宋" w:hAnsi="仿宋" w:eastAsia="仿宋" w:cs="仿宋"/>
          <w:color w:val="auto"/>
          <w:sz w:val="24"/>
          <w:szCs w:val="24"/>
          <w:highlight w:val="none"/>
        </w:rPr>
        <w:t>。</w:t>
      </w:r>
    </w:p>
    <w:p w14:paraId="7A21D44D">
      <w:pPr>
        <w:pStyle w:val="18"/>
        <w:keepNext w:val="0"/>
        <w:keepLines w:val="0"/>
        <w:pageBreakBefore w:val="0"/>
        <w:widowControl w:val="0"/>
        <w:kinsoku/>
        <w:wordWrap/>
        <w:overflowPunct/>
        <w:topLinePunct w:val="0"/>
        <w:autoSpaceDE/>
        <w:autoSpaceDN/>
        <w:bidi w:val="0"/>
        <w:adjustRightInd/>
        <w:spacing w:after="0" w:line="600" w:lineRule="exact"/>
        <w:ind w:left="0" w:leftChars="0" w:firstLine="640"/>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特此承诺。</w:t>
      </w:r>
    </w:p>
    <w:p w14:paraId="7245E6A3">
      <w:pPr>
        <w:pStyle w:val="18"/>
        <w:keepNext w:val="0"/>
        <w:keepLines w:val="0"/>
        <w:pageBreakBefore w:val="0"/>
        <w:widowControl w:val="0"/>
        <w:kinsoku/>
        <w:wordWrap/>
        <w:overflowPunct/>
        <w:topLinePunct w:val="0"/>
        <w:autoSpaceDE/>
        <w:autoSpaceDN/>
        <w:bidi w:val="0"/>
        <w:adjustRightInd/>
        <w:spacing w:after="0" w:line="600" w:lineRule="exact"/>
        <w:ind w:left="0" w:leftChars="0" w:firstLine="640"/>
        <w:textAlignment w:val="auto"/>
        <w:rPr>
          <w:rFonts w:ascii="仿宋" w:hAnsi="仿宋" w:eastAsia="仿宋" w:cs="仿宋"/>
          <w:color w:val="auto"/>
          <w:sz w:val="24"/>
          <w:szCs w:val="24"/>
          <w:highlight w:val="none"/>
        </w:rPr>
      </w:pPr>
    </w:p>
    <w:p w14:paraId="208510EF">
      <w:pPr>
        <w:pStyle w:val="18"/>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xxxxxx有限公司</w:t>
      </w:r>
    </w:p>
    <w:p w14:paraId="640BCBA2">
      <w:pPr>
        <w:pStyle w:val="18"/>
        <w:keepNext w:val="0"/>
        <w:keepLines w:val="0"/>
        <w:pageBreakBefore w:val="0"/>
        <w:widowControl w:val="0"/>
        <w:kinsoku/>
        <w:wordWrap/>
        <w:overflowPunct/>
        <w:topLinePunct w:val="0"/>
        <w:autoSpaceDE/>
        <w:autoSpaceDN/>
        <w:bidi w:val="0"/>
        <w:adjustRightInd/>
        <w:spacing w:line="6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 xml:space="preserve">年  月  日 </w:t>
      </w:r>
    </w:p>
    <w:p w14:paraId="1C0CF7BF">
      <w:pPr>
        <w:pStyle w:val="18"/>
        <w:jc w:val="right"/>
        <w:rPr>
          <w:rFonts w:hint="eastAsia" w:ascii="仿宋" w:hAnsi="仿宋" w:eastAsia="仿宋" w:cs="仿宋"/>
          <w:color w:val="auto"/>
          <w:sz w:val="24"/>
          <w:szCs w:val="24"/>
          <w:highlight w:val="none"/>
        </w:rPr>
      </w:pPr>
    </w:p>
    <w:p w14:paraId="4C387576">
      <w:pPr>
        <w:pageBreakBefore/>
        <w:snapToGrid w:val="0"/>
        <w:spacing w:line="360" w:lineRule="auto"/>
        <w:jc w:val="center"/>
        <w:rPr>
          <w:rFonts w:ascii="黑体" w:hAnsi="黑体" w:eastAsia="黑体" w:cs="黑体"/>
          <w:color w:val="auto"/>
          <w:sz w:val="28"/>
          <w:szCs w:val="28"/>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六</w:t>
      </w:r>
      <w:r>
        <w:rPr>
          <w:rFonts w:hint="eastAsia" w:ascii="仿宋" w:hAnsi="仿宋" w:eastAsia="仿宋" w:cs="仿宋"/>
          <w:b/>
          <w:color w:val="auto"/>
          <w:sz w:val="36"/>
          <w:szCs w:val="20"/>
          <w:highlight w:val="none"/>
        </w:rPr>
        <w:t>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考核管理</w:t>
      </w:r>
    </w:p>
    <w:p w14:paraId="718C0850">
      <w:pPr>
        <w:rPr>
          <w:rFonts w:hint="eastAsia"/>
          <w:color w:val="auto"/>
          <w:highlight w:val="none"/>
        </w:rPr>
      </w:pPr>
    </w:p>
    <w:p w14:paraId="2C11FF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FFFFFF"/>
          <w:lang w:val="en-US" w:eastAsia="zh-CN"/>
        </w:rPr>
      </w:pPr>
      <w:r>
        <w:rPr>
          <w:rFonts w:hint="eastAsia" w:ascii="仿宋" w:hAnsi="仿宋" w:eastAsia="仿宋" w:cs="仿宋"/>
          <w:b/>
          <w:bCs/>
          <w:color w:val="auto"/>
          <w:sz w:val="24"/>
          <w:szCs w:val="24"/>
          <w:highlight w:val="none"/>
          <w:shd w:val="clear" w:color="auto" w:fill="FFFFFF"/>
          <w:lang w:val="en-US" w:eastAsia="zh-CN"/>
        </w:rPr>
        <w:t>一、考核依据</w:t>
      </w:r>
    </w:p>
    <w:p w14:paraId="30AFB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为规范杭州市西湖区住房和城乡建设局建设工程消防验收</w:t>
      </w:r>
      <w:r>
        <w:rPr>
          <w:rFonts w:hint="eastAsia" w:ascii="仿宋" w:hAnsi="仿宋" w:eastAsia="仿宋" w:cs="仿宋"/>
          <w:color w:val="auto"/>
          <w:sz w:val="24"/>
          <w:szCs w:val="24"/>
          <w:highlight w:val="none"/>
          <w:shd w:val="clear" w:color="auto" w:fill="FFFFFF"/>
          <w:lang w:eastAsia="zh-CN"/>
        </w:rPr>
        <w:t>技术服务机构行为，提升技术服务</w:t>
      </w:r>
      <w:r>
        <w:rPr>
          <w:rFonts w:hint="eastAsia" w:ascii="仿宋" w:hAnsi="仿宋" w:eastAsia="仿宋" w:cs="仿宋"/>
          <w:color w:val="auto"/>
          <w:sz w:val="24"/>
          <w:szCs w:val="24"/>
          <w:highlight w:val="none"/>
          <w:shd w:val="clear" w:color="auto" w:fill="FFFFFF"/>
        </w:rPr>
        <w:t>质量和</w:t>
      </w:r>
      <w:r>
        <w:rPr>
          <w:rFonts w:hint="eastAsia" w:ascii="仿宋" w:hAnsi="仿宋" w:eastAsia="仿宋" w:cs="仿宋"/>
          <w:color w:val="auto"/>
          <w:sz w:val="24"/>
          <w:szCs w:val="24"/>
          <w:highlight w:val="none"/>
          <w:shd w:val="clear" w:color="auto" w:fill="FFFFFF"/>
          <w:lang w:eastAsia="zh-CN"/>
        </w:rPr>
        <w:t>效率，保障建设工程消防设计审查验收工作质量</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eastAsia="zh-CN"/>
        </w:rPr>
        <w:t>根据《建设工程消防设计审查验收管理暂行规定》（住建部令第</w:t>
      </w:r>
      <w:r>
        <w:rPr>
          <w:rFonts w:hint="eastAsia" w:ascii="仿宋" w:hAnsi="仿宋" w:eastAsia="仿宋" w:cs="仿宋"/>
          <w:color w:val="auto"/>
          <w:sz w:val="24"/>
          <w:szCs w:val="24"/>
          <w:highlight w:val="none"/>
          <w:shd w:val="clear" w:color="auto" w:fill="FFFFFF"/>
          <w:lang w:val="en-US" w:eastAsia="zh-CN"/>
        </w:rPr>
        <w:t>58号</w:t>
      </w:r>
      <w:r>
        <w:rPr>
          <w:rFonts w:hint="eastAsia" w:ascii="仿宋" w:hAnsi="仿宋" w:eastAsia="仿宋" w:cs="仿宋"/>
          <w:color w:val="auto"/>
          <w:sz w:val="24"/>
          <w:szCs w:val="24"/>
          <w:highlight w:val="none"/>
          <w:shd w:val="clear" w:color="auto" w:fill="FFFFFF"/>
          <w:lang w:eastAsia="zh-CN"/>
        </w:rPr>
        <w:t>）《浙江省建设工程消防设计审查验收管理暂行办法》等有关规定，</w:t>
      </w:r>
      <w:r>
        <w:rPr>
          <w:rFonts w:hint="eastAsia" w:ascii="仿宋" w:hAnsi="仿宋" w:eastAsia="仿宋" w:cs="仿宋"/>
          <w:color w:val="auto"/>
          <w:sz w:val="24"/>
          <w:szCs w:val="24"/>
          <w:highlight w:val="none"/>
          <w:lang w:eastAsia="zh-CN"/>
        </w:rPr>
        <w:t>以及</w:t>
      </w:r>
      <w:r>
        <w:rPr>
          <w:rFonts w:hint="eastAsia" w:ascii="仿宋" w:hAnsi="仿宋" w:eastAsia="仿宋" w:cs="仿宋"/>
          <w:color w:val="auto"/>
          <w:sz w:val="24"/>
          <w:szCs w:val="24"/>
          <w:highlight w:val="none"/>
          <w:shd w:val="clear" w:color="auto" w:fill="FFFFFF"/>
          <w:lang w:eastAsia="zh-CN"/>
        </w:rPr>
        <w:t>征集人有关</w:t>
      </w:r>
      <w:r>
        <w:rPr>
          <w:rFonts w:hint="eastAsia" w:ascii="仿宋" w:hAnsi="仿宋" w:eastAsia="仿宋" w:cs="仿宋"/>
          <w:color w:val="auto"/>
          <w:sz w:val="24"/>
          <w:szCs w:val="24"/>
          <w:highlight w:val="none"/>
          <w:lang w:eastAsia="zh-CN"/>
        </w:rPr>
        <w:t>规范性文件、</w:t>
      </w:r>
      <w:r>
        <w:rPr>
          <w:rFonts w:hint="eastAsia" w:ascii="仿宋" w:hAnsi="仿宋" w:eastAsia="仿宋" w:cs="仿宋"/>
          <w:color w:val="auto"/>
          <w:sz w:val="24"/>
          <w:szCs w:val="24"/>
          <w:highlight w:val="none"/>
          <w:shd w:val="clear" w:color="auto" w:fill="FFFFFF"/>
          <w:lang w:eastAsia="zh-CN"/>
        </w:rPr>
        <w:t>征集文件、投标文件等要求</w:t>
      </w:r>
      <w:r>
        <w:rPr>
          <w:rFonts w:hint="eastAsia" w:ascii="仿宋" w:hAnsi="仿宋" w:eastAsia="仿宋" w:cs="仿宋"/>
          <w:color w:val="auto"/>
          <w:sz w:val="24"/>
          <w:szCs w:val="24"/>
          <w:highlight w:val="none"/>
          <w:lang w:eastAsia="zh-CN"/>
        </w:rPr>
        <w:t>，征集人对入围单位实施考核管理，</w:t>
      </w:r>
      <w:r>
        <w:rPr>
          <w:rFonts w:hint="eastAsia" w:ascii="仿宋" w:hAnsi="仿宋" w:eastAsia="仿宋" w:cs="仿宋"/>
          <w:color w:val="auto"/>
          <w:kern w:val="0"/>
          <w:sz w:val="24"/>
          <w:szCs w:val="24"/>
          <w:highlight w:val="none"/>
        </w:rPr>
        <w:t>奖优罚劣。</w:t>
      </w:r>
    </w:p>
    <w:p w14:paraId="4E0F152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二、考核方式</w:t>
      </w:r>
    </w:p>
    <w:p w14:paraId="7B363FBE">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考核分为单个</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与年度</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项目考核</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为周期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eastAsia="zh-CN"/>
        </w:rPr>
        <w:t>单个建设项目消防验收合格后实施</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年度考核</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年度</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为周期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eastAsia="zh-CN"/>
        </w:rPr>
        <w:t>框架协议期满时实施。年度考核与项目考核相结合，在各入围单位单个项目考核的基础上，进行综合评价，确定考核等级。</w:t>
      </w:r>
    </w:p>
    <w:p w14:paraId="267D05C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eastAsia="zh-CN"/>
        </w:rPr>
        <w:t>三、考核内容</w:t>
      </w:r>
    </w:p>
    <w:p w14:paraId="69A08688">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考核</w:t>
      </w:r>
      <w:r>
        <w:rPr>
          <w:rFonts w:hint="eastAsia" w:ascii="仿宋" w:hAnsi="仿宋" w:eastAsia="仿宋" w:cs="仿宋"/>
          <w:b w:val="0"/>
          <w:bCs w:val="0"/>
          <w:color w:val="auto"/>
          <w:sz w:val="24"/>
          <w:szCs w:val="24"/>
          <w:highlight w:val="none"/>
          <w:lang w:eastAsia="zh-CN"/>
        </w:rPr>
        <w:t>评价</w:t>
      </w:r>
      <w:r>
        <w:rPr>
          <w:rFonts w:hint="eastAsia" w:ascii="仿宋" w:hAnsi="仿宋" w:eastAsia="仿宋" w:cs="仿宋"/>
          <w:b w:val="0"/>
          <w:bCs w:val="0"/>
          <w:color w:val="auto"/>
          <w:sz w:val="24"/>
          <w:szCs w:val="24"/>
          <w:highlight w:val="none"/>
        </w:rPr>
        <w:t>内容</w:t>
      </w:r>
      <w:r>
        <w:rPr>
          <w:rFonts w:hint="eastAsia" w:ascii="仿宋" w:hAnsi="仿宋" w:eastAsia="仿宋" w:cs="仿宋"/>
          <w:b w:val="0"/>
          <w:bCs w:val="0"/>
          <w:color w:val="auto"/>
          <w:sz w:val="24"/>
          <w:szCs w:val="24"/>
          <w:highlight w:val="none"/>
          <w:lang w:eastAsia="zh-CN"/>
        </w:rPr>
        <w:t>主要</w:t>
      </w:r>
      <w:r>
        <w:rPr>
          <w:rFonts w:hint="eastAsia" w:ascii="仿宋" w:hAnsi="仿宋" w:eastAsia="仿宋" w:cs="仿宋"/>
          <w:b w:val="0"/>
          <w:bCs w:val="0"/>
          <w:color w:val="auto"/>
          <w:sz w:val="24"/>
          <w:szCs w:val="24"/>
          <w:highlight w:val="none"/>
        </w:rPr>
        <w:t>包括</w:t>
      </w:r>
      <w:r>
        <w:rPr>
          <w:rFonts w:hint="eastAsia" w:ascii="仿宋" w:hAnsi="仿宋" w:eastAsia="仿宋" w:cs="仿宋"/>
          <w:b w:val="0"/>
          <w:bCs w:val="0"/>
          <w:color w:val="auto"/>
          <w:sz w:val="24"/>
          <w:szCs w:val="24"/>
          <w:highlight w:val="none"/>
          <w:lang w:eastAsia="zh-CN"/>
        </w:rPr>
        <w:t>服务行为</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服务效率</w:t>
      </w:r>
      <w:r>
        <w:rPr>
          <w:rFonts w:hint="eastAsia" w:ascii="仿宋" w:hAnsi="仿宋" w:eastAsia="仿宋" w:cs="仿宋"/>
          <w:b w:val="0"/>
          <w:bCs w:val="0"/>
          <w:color w:val="auto"/>
          <w:sz w:val="24"/>
          <w:szCs w:val="24"/>
          <w:highlight w:val="none"/>
        </w:rPr>
        <w:t>、服务质量、</w:t>
      </w:r>
      <w:r>
        <w:rPr>
          <w:rFonts w:hint="eastAsia" w:ascii="仿宋" w:hAnsi="仿宋" w:eastAsia="仿宋" w:cs="仿宋"/>
          <w:b w:val="0"/>
          <w:bCs w:val="0"/>
          <w:color w:val="auto"/>
          <w:sz w:val="24"/>
          <w:szCs w:val="24"/>
          <w:highlight w:val="none"/>
          <w:lang w:eastAsia="zh-CN"/>
        </w:rPr>
        <w:t>行政支撑和服务纪律</w:t>
      </w:r>
      <w:r>
        <w:rPr>
          <w:rFonts w:hint="eastAsia" w:ascii="仿宋" w:hAnsi="仿宋" w:eastAsia="仿宋" w:cs="仿宋"/>
          <w:b w:val="0"/>
          <w:bCs w:val="0"/>
          <w:color w:val="auto"/>
          <w:sz w:val="24"/>
          <w:szCs w:val="24"/>
          <w:highlight w:val="none"/>
        </w:rPr>
        <w:t>等</w:t>
      </w:r>
      <w:r>
        <w:rPr>
          <w:rFonts w:hint="eastAsia" w:ascii="仿宋" w:hAnsi="仿宋" w:eastAsia="仿宋" w:cs="仿宋"/>
          <w:b w:val="0"/>
          <w:bCs w:val="0"/>
          <w:color w:val="auto"/>
          <w:sz w:val="24"/>
          <w:szCs w:val="24"/>
          <w:highlight w:val="none"/>
          <w:lang w:eastAsia="zh-CN"/>
        </w:rPr>
        <w:t>方面，</w:t>
      </w:r>
      <w:r>
        <w:rPr>
          <w:rFonts w:hint="eastAsia" w:ascii="仿宋" w:hAnsi="仿宋" w:eastAsia="仿宋" w:cs="仿宋"/>
          <w:b w:val="0"/>
          <w:bCs w:val="0"/>
          <w:color w:val="auto"/>
          <w:sz w:val="24"/>
          <w:szCs w:val="24"/>
          <w:highlight w:val="none"/>
        </w:rPr>
        <w:t>考核基准为100分。</w:t>
      </w:r>
      <w:r>
        <w:rPr>
          <w:rFonts w:hint="eastAsia" w:ascii="仿宋" w:hAnsi="仿宋" w:eastAsia="仿宋" w:cs="仿宋"/>
          <w:b w:val="0"/>
          <w:bCs w:val="0"/>
          <w:color w:val="auto"/>
          <w:sz w:val="24"/>
          <w:szCs w:val="24"/>
          <w:highlight w:val="none"/>
          <w:lang w:eastAsia="zh-CN"/>
        </w:rPr>
        <w:t>考核评价</w:t>
      </w:r>
      <w:r>
        <w:rPr>
          <w:rFonts w:hint="eastAsia" w:ascii="仿宋" w:hAnsi="仿宋" w:eastAsia="仿宋" w:cs="仿宋"/>
          <w:b w:val="0"/>
          <w:bCs w:val="0"/>
          <w:color w:val="auto"/>
          <w:sz w:val="24"/>
          <w:szCs w:val="24"/>
          <w:highlight w:val="none"/>
        </w:rPr>
        <w:t>实行减分制，</w:t>
      </w:r>
      <w:r>
        <w:rPr>
          <w:rFonts w:hint="eastAsia" w:ascii="仿宋" w:hAnsi="仿宋" w:eastAsia="仿宋" w:cs="仿宋"/>
          <w:color w:val="auto"/>
          <w:sz w:val="24"/>
          <w:szCs w:val="24"/>
          <w:highlight w:val="none"/>
        </w:rPr>
        <w:t>减分事项如下：</w:t>
      </w:r>
    </w:p>
    <w:p w14:paraId="0A657176">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b w:val="0"/>
          <w:bCs w:val="0"/>
          <w:color w:val="auto"/>
          <w:sz w:val="24"/>
          <w:szCs w:val="24"/>
          <w:highlight w:val="none"/>
          <w:lang w:eastAsia="zh-CN"/>
        </w:rPr>
        <w:t>服务行为</w:t>
      </w:r>
    </w:p>
    <w:p w14:paraId="71E0BAE5">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、消防设计核查</w:t>
      </w:r>
      <w:r>
        <w:rPr>
          <w:rFonts w:hint="eastAsia" w:ascii="仿宋" w:hAnsi="仿宋" w:eastAsia="仿宋" w:cs="仿宋"/>
          <w:color w:val="auto"/>
          <w:sz w:val="24"/>
          <w:szCs w:val="24"/>
          <w:highlight w:val="none"/>
        </w:rPr>
        <w:t>人员与</w:t>
      </w:r>
      <w:r>
        <w:rPr>
          <w:rFonts w:hint="eastAsia" w:ascii="仿宋" w:hAnsi="仿宋" w:eastAsia="仿宋" w:cs="仿宋"/>
          <w:color w:val="auto"/>
          <w:sz w:val="24"/>
          <w:szCs w:val="24"/>
          <w:highlight w:val="none"/>
          <w:lang w:eastAsia="zh-CN"/>
        </w:rPr>
        <w:t>预定</w:t>
      </w:r>
      <w:r>
        <w:rPr>
          <w:rFonts w:hint="eastAsia" w:ascii="仿宋" w:hAnsi="仿宋" w:eastAsia="仿宋" w:cs="仿宋"/>
          <w:color w:val="auto"/>
          <w:sz w:val="24"/>
          <w:szCs w:val="24"/>
          <w:highlight w:val="none"/>
        </w:rPr>
        <w:t>人员不一致</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w:t>
      </w:r>
    </w:p>
    <w:p w14:paraId="63E71ACE">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、项目组负责人未到现场开展工作的</w:t>
      </w:r>
      <w:r>
        <w:rPr>
          <w:rFonts w:hint="eastAsia" w:ascii="仿宋" w:hAnsi="仿宋" w:eastAsia="仿宋" w:cs="仿宋"/>
          <w:color w:val="auto"/>
          <w:sz w:val="24"/>
          <w:szCs w:val="24"/>
          <w:highlight w:val="none"/>
        </w:rPr>
        <w:t>；</w:t>
      </w:r>
    </w:p>
    <w:p w14:paraId="6D32982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、消防验收人员配置</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预定不符的；</w:t>
      </w:r>
    </w:p>
    <w:p w14:paraId="306008BA">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消防验收现场检查人员</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预定</w:t>
      </w:r>
      <w:r>
        <w:rPr>
          <w:rFonts w:hint="eastAsia" w:ascii="仿宋" w:hAnsi="仿宋" w:eastAsia="仿宋" w:cs="仿宋"/>
          <w:color w:val="auto"/>
          <w:sz w:val="24"/>
          <w:szCs w:val="24"/>
          <w:highlight w:val="none"/>
        </w:rPr>
        <w:t>人员不一致</w:t>
      </w:r>
      <w:r>
        <w:rPr>
          <w:rFonts w:hint="eastAsia" w:ascii="仿宋" w:hAnsi="仿宋" w:eastAsia="仿宋" w:cs="仿宋"/>
          <w:color w:val="auto"/>
          <w:sz w:val="24"/>
          <w:szCs w:val="24"/>
          <w:highlight w:val="none"/>
          <w:lang w:eastAsia="zh-CN"/>
        </w:rPr>
        <w:t>的。</w:t>
      </w:r>
    </w:p>
    <w:p w14:paraId="50630C7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val="0"/>
          <w:bCs w:val="0"/>
          <w:color w:val="auto"/>
          <w:sz w:val="24"/>
          <w:szCs w:val="24"/>
          <w:highlight w:val="none"/>
          <w:lang w:eastAsia="zh-CN"/>
        </w:rPr>
        <w:t>服务效率</w:t>
      </w:r>
    </w:p>
    <w:p w14:paraId="36740834">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1、未按时限要求提交消防设计核查报告的</w:t>
      </w:r>
      <w:r>
        <w:rPr>
          <w:rFonts w:hint="eastAsia" w:ascii="仿宋" w:hAnsi="仿宋" w:eastAsia="仿宋" w:cs="仿宋"/>
          <w:color w:val="auto"/>
          <w:sz w:val="24"/>
          <w:szCs w:val="24"/>
          <w:highlight w:val="none"/>
          <w:lang w:eastAsia="zh-CN"/>
        </w:rPr>
        <w:t>；</w:t>
      </w:r>
    </w:p>
    <w:p w14:paraId="36817562">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未按时限要求提交消防前期检查报告的</w:t>
      </w:r>
      <w:r>
        <w:rPr>
          <w:rFonts w:hint="eastAsia" w:ascii="仿宋" w:hAnsi="仿宋" w:eastAsia="仿宋" w:cs="仿宋"/>
          <w:color w:val="auto"/>
          <w:sz w:val="24"/>
          <w:szCs w:val="24"/>
          <w:highlight w:val="none"/>
          <w:lang w:eastAsia="zh-CN"/>
        </w:rPr>
        <w:t>；</w:t>
      </w:r>
    </w:p>
    <w:p w14:paraId="4502C5AC">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未按时限要求完成消防问题整改复查和现场评定的</w:t>
      </w:r>
      <w:r>
        <w:rPr>
          <w:rFonts w:hint="eastAsia" w:ascii="仿宋" w:hAnsi="仿宋" w:eastAsia="仿宋" w:cs="仿宋"/>
          <w:color w:val="auto"/>
          <w:sz w:val="24"/>
          <w:szCs w:val="24"/>
          <w:highlight w:val="none"/>
          <w:lang w:eastAsia="zh-CN"/>
        </w:rPr>
        <w:t>；</w:t>
      </w:r>
    </w:p>
    <w:p w14:paraId="3A0F06AE">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未按时限要求提交消防验收现场评定报告的</w:t>
      </w:r>
      <w:r>
        <w:rPr>
          <w:rFonts w:hint="eastAsia" w:ascii="仿宋" w:hAnsi="仿宋" w:eastAsia="仿宋" w:cs="仿宋"/>
          <w:color w:val="auto"/>
          <w:sz w:val="24"/>
          <w:szCs w:val="24"/>
          <w:highlight w:val="none"/>
          <w:lang w:eastAsia="zh-CN"/>
        </w:rPr>
        <w:t>。</w:t>
      </w:r>
    </w:p>
    <w:p w14:paraId="0690A115">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b w:val="0"/>
          <w:bCs w:val="0"/>
          <w:color w:val="auto"/>
          <w:sz w:val="24"/>
          <w:szCs w:val="24"/>
          <w:highlight w:val="none"/>
          <w:lang w:eastAsia="zh-CN"/>
        </w:rPr>
        <w:t>服务质量</w:t>
      </w:r>
    </w:p>
    <w:p w14:paraId="63AFC286">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技术服务检查内容不全面、检查情况过程未真实反映项目的主要问题或者技术服务结论、意见存在失实情况的。</w:t>
      </w:r>
    </w:p>
    <w:p w14:paraId="62E3E01F">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2、消防设计或现场施工存在违反工程建设消防技术标准强制性条款问题，应当发现而未发现的</w:t>
      </w:r>
      <w:r>
        <w:rPr>
          <w:rFonts w:hint="eastAsia" w:ascii="仿宋" w:hAnsi="仿宋" w:eastAsia="仿宋" w:cs="仿宋"/>
          <w:color w:val="auto"/>
          <w:sz w:val="24"/>
          <w:szCs w:val="24"/>
          <w:highlight w:val="none"/>
          <w:lang w:eastAsia="zh-CN"/>
        </w:rPr>
        <w:t>；</w:t>
      </w:r>
    </w:p>
    <w:p w14:paraId="100E8B2B">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现场施工存在与消防安全密切相关的问题（如供水供电、总平面图布局、防火防烟分区、安全疏散、灭火救援等），应当发现而未发现的</w:t>
      </w:r>
      <w:r>
        <w:rPr>
          <w:rFonts w:hint="eastAsia" w:ascii="仿宋" w:hAnsi="仿宋" w:eastAsia="仿宋" w:cs="仿宋"/>
          <w:color w:val="auto"/>
          <w:sz w:val="24"/>
          <w:szCs w:val="24"/>
          <w:highlight w:val="none"/>
          <w:lang w:eastAsia="zh-CN"/>
        </w:rPr>
        <w:t>；</w:t>
      </w:r>
    </w:p>
    <w:p w14:paraId="2765B9D8">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消防设计或现场施工存在违反工程建设消防技术标准应字条款问题，应当发现而未发现的</w:t>
      </w:r>
      <w:r>
        <w:rPr>
          <w:rFonts w:hint="eastAsia" w:ascii="仿宋" w:hAnsi="仿宋" w:eastAsia="仿宋" w:cs="仿宋"/>
          <w:color w:val="auto"/>
          <w:sz w:val="24"/>
          <w:szCs w:val="24"/>
          <w:highlight w:val="none"/>
          <w:lang w:eastAsia="zh-CN"/>
        </w:rPr>
        <w:t>；</w:t>
      </w:r>
    </w:p>
    <w:p w14:paraId="5753E904">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5、消防设计核查报告、消防验收现场评定报告等签字、盖章不符合要求的；</w:t>
      </w:r>
    </w:p>
    <w:p w14:paraId="249A4BA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（四）行政支撑</w:t>
      </w:r>
    </w:p>
    <w:p w14:paraId="0B1705CC">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1、未按要求配合委托单位开展消防设计审查验收相关工作的；</w:t>
      </w:r>
    </w:p>
    <w:p w14:paraId="5D331F7C">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color w:val="auto"/>
          <w:sz w:val="24"/>
          <w:szCs w:val="24"/>
          <w:highlight w:val="none"/>
          <w:lang w:val="en-US" w:eastAsia="zh-CN"/>
        </w:rPr>
        <w:t>未按要求配合委托单位</w:t>
      </w:r>
      <w:r>
        <w:rPr>
          <w:rFonts w:hint="eastAsia" w:ascii="仿宋" w:hAnsi="仿宋" w:eastAsia="仿宋" w:cs="仿宋"/>
          <w:b w:val="0"/>
          <w:bCs w:val="0"/>
          <w:color w:val="auto"/>
          <w:kern w:val="0"/>
          <w:sz w:val="24"/>
          <w:szCs w:val="24"/>
          <w:highlight w:val="none"/>
          <w:lang w:val="en-US" w:eastAsia="zh-CN" w:bidi="ar-SA"/>
        </w:rPr>
        <w:t>开展专项检查或提供重大消防问题处置咨询的；</w:t>
      </w:r>
    </w:p>
    <w:p w14:paraId="2A45C43C">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3、未按要求配合委托单位开展消防技术培训、咨询、论证工作的</w:t>
      </w:r>
      <w:r>
        <w:rPr>
          <w:rFonts w:hint="eastAsia" w:ascii="仿宋" w:hAnsi="仿宋" w:eastAsia="仿宋" w:cs="仿宋"/>
          <w:color w:val="auto"/>
          <w:sz w:val="24"/>
          <w:szCs w:val="24"/>
          <w:highlight w:val="none"/>
          <w:lang w:eastAsia="zh-CN"/>
        </w:rPr>
        <w:t>；</w:t>
      </w:r>
    </w:p>
    <w:p w14:paraId="0116F2F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4、未按要求每半年提交一份消防验评服务</w:t>
      </w:r>
      <w:r>
        <w:rPr>
          <w:rFonts w:hint="eastAsia" w:ascii="仿宋" w:hAnsi="仿宋" w:eastAsia="仿宋" w:cs="仿宋"/>
          <w:bCs/>
          <w:snapToGrid w:val="0"/>
          <w:color w:val="auto"/>
          <w:kern w:val="0"/>
          <w:sz w:val="24"/>
          <w:szCs w:val="24"/>
          <w:highlight w:val="none"/>
          <w:lang w:val="en-US" w:eastAsia="zh-CN" w:bidi="ar-SA"/>
        </w:rPr>
        <w:t>咨询报告的</w:t>
      </w:r>
      <w:r>
        <w:rPr>
          <w:rFonts w:hint="eastAsia" w:ascii="仿宋" w:hAnsi="仿宋" w:eastAsia="仿宋" w:cs="仿宋"/>
          <w:color w:val="auto"/>
          <w:sz w:val="24"/>
          <w:szCs w:val="24"/>
          <w:highlight w:val="none"/>
          <w:lang w:eastAsia="zh-CN"/>
        </w:rPr>
        <w:t>；</w:t>
      </w:r>
    </w:p>
    <w:p w14:paraId="44B4E4D9">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5、未按要求参加消防验评、咨询、论证等工作会议的</w:t>
      </w:r>
      <w:r>
        <w:rPr>
          <w:rFonts w:hint="eastAsia" w:ascii="仿宋" w:hAnsi="仿宋" w:eastAsia="仿宋" w:cs="仿宋"/>
          <w:color w:val="auto"/>
          <w:sz w:val="24"/>
          <w:szCs w:val="24"/>
          <w:highlight w:val="none"/>
        </w:rPr>
        <w:t>；</w:t>
      </w:r>
    </w:p>
    <w:p w14:paraId="31CA95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项目服务</w:t>
      </w:r>
      <w:r>
        <w:rPr>
          <w:rFonts w:hint="eastAsia" w:ascii="仿宋" w:hAnsi="仿宋" w:eastAsia="仿宋" w:cs="仿宋"/>
          <w:color w:val="auto"/>
          <w:sz w:val="24"/>
          <w:szCs w:val="24"/>
          <w:highlight w:val="none"/>
        </w:rPr>
        <w:t>过程中发现重大</w:t>
      </w:r>
      <w:r>
        <w:rPr>
          <w:rFonts w:hint="eastAsia" w:ascii="仿宋" w:hAnsi="仿宋" w:eastAsia="仿宋" w:cs="仿宋"/>
          <w:color w:val="auto"/>
          <w:sz w:val="24"/>
          <w:szCs w:val="24"/>
          <w:highlight w:val="none"/>
          <w:lang w:eastAsia="zh-CN"/>
        </w:rPr>
        <w:t>消防安全风险和问题</w:t>
      </w:r>
      <w:r>
        <w:rPr>
          <w:rFonts w:hint="eastAsia" w:ascii="仿宋" w:hAnsi="仿宋" w:eastAsia="仿宋" w:cs="仿宋"/>
          <w:color w:val="auto"/>
          <w:sz w:val="24"/>
          <w:szCs w:val="24"/>
          <w:highlight w:val="none"/>
        </w:rPr>
        <w:t>，未</w:t>
      </w:r>
      <w:r>
        <w:rPr>
          <w:rFonts w:hint="eastAsia" w:ascii="仿宋" w:hAnsi="仿宋" w:eastAsia="仿宋" w:cs="仿宋"/>
          <w:color w:val="auto"/>
          <w:sz w:val="24"/>
          <w:szCs w:val="24"/>
          <w:highlight w:val="none"/>
          <w:lang w:eastAsia="zh-CN"/>
        </w:rPr>
        <w:t>及时、如实</w:t>
      </w:r>
      <w:r>
        <w:rPr>
          <w:rFonts w:hint="eastAsia" w:ascii="仿宋" w:hAnsi="仿宋" w:eastAsia="仿宋" w:cs="仿宋"/>
          <w:color w:val="auto"/>
          <w:sz w:val="24"/>
          <w:szCs w:val="24"/>
          <w:highlight w:val="none"/>
        </w:rPr>
        <w:t>向委托单位报告</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w:t>
      </w:r>
    </w:p>
    <w:p w14:paraId="08FBFCAF">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eastAsia="zh-CN"/>
        </w:rPr>
        <w:t>（五）</w:t>
      </w:r>
      <w:r>
        <w:rPr>
          <w:rFonts w:hint="eastAsia" w:ascii="仿宋" w:hAnsi="仿宋" w:eastAsia="仿宋" w:cs="仿宋"/>
          <w:b w:val="0"/>
          <w:bCs w:val="0"/>
          <w:color w:val="auto"/>
          <w:sz w:val="24"/>
          <w:szCs w:val="24"/>
          <w:highlight w:val="none"/>
          <w:lang w:eastAsia="zh-CN"/>
        </w:rPr>
        <w:t>服务纪律</w:t>
      </w:r>
    </w:p>
    <w:p w14:paraId="59E90280">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bidi="ar-SA"/>
        </w:rPr>
        <w:t>违反规定与项目相关单位私下交易、接受吃请和财物等，</w:t>
      </w:r>
      <w:r>
        <w:rPr>
          <w:rFonts w:hint="eastAsia" w:ascii="仿宋" w:hAnsi="仿宋" w:eastAsia="仿宋" w:cs="仿宋"/>
          <w:b w:val="0"/>
          <w:bCs w:val="0"/>
          <w:color w:val="auto"/>
          <w:sz w:val="24"/>
          <w:szCs w:val="24"/>
          <w:highlight w:val="none"/>
          <w:lang w:val="en-US" w:eastAsia="zh-CN"/>
        </w:rPr>
        <w:t>考核</w:t>
      </w:r>
      <w:r>
        <w:rPr>
          <w:rFonts w:hint="eastAsia" w:ascii="仿宋" w:hAnsi="仿宋" w:eastAsia="仿宋" w:cs="仿宋"/>
          <w:color w:val="auto"/>
          <w:sz w:val="24"/>
          <w:szCs w:val="24"/>
          <w:highlight w:val="none"/>
          <w:lang w:eastAsia="zh-CN"/>
        </w:rPr>
        <w:t>直接确定为不合格</w:t>
      </w:r>
      <w:r>
        <w:rPr>
          <w:rFonts w:hint="eastAsia" w:ascii="仿宋" w:hAnsi="仿宋" w:eastAsia="仿宋" w:cs="仿宋"/>
          <w:color w:val="auto"/>
          <w:kern w:val="0"/>
          <w:sz w:val="24"/>
          <w:szCs w:val="24"/>
          <w:highlight w:val="none"/>
          <w:lang w:val="en-US" w:eastAsia="zh-CN" w:bidi="ar-SA"/>
        </w:rPr>
        <w:t>；</w:t>
      </w:r>
    </w:p>
    <w:p w14:paraId="2637EC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2、违反规定在杭州市西湖区行政辖区内承接消防检测或消防施工业务的，考核</w:t>
      </w:r>
      <w:r>
        <w:rPr>
          <w:rFonts w:hint="eastAsia" w:ascii="仿宋" w:hAnsi="仿宋" w:eastAsia="仿宋" w:cs="仿宋"/>
          <w:color w:val="auto"/>
          <w:sz w:val="24"/>
          <w:szCs w:val="24"/>
          <w:highlight w:val="none"/>
          <w:lang w:eastAsia="zh-CN"/>
        </w:rPr>
        <w:t>直接确定为不合格</w:t>
      </w:r>
      <w:r>
        <w:rPr>
          <w:rFonts w:hint="eastAsia" w:ascii="仿宋" w:hAnsi="仿宋" w:eastAsia="仿宋" w:cs="仿宋"/>
          <w:color w:val="auto"/>
          <w:sz w:val="24"/>
          <w:szCs w:val="24"/>
          <w:highlight w:val="none"/>
        </w:rPr>
        <w:t>；</w:t>
      </w:r>
    </w:p>
    <w:p w14:paraId="753EF6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sz w:val="24"/>
          <w:szCs w:val="24"/>
          <w:highlight w:val="none"/>
        </w:rPr>
        <w:t>违反保密义务</w:t>
      </w:r>
      <w:r>
        <w:rPr>
          <w:rFonts w:hint="eastAsia" w:ascii="仿宋" w:hAnsi="仿宋" w:eastAsia="仿宋" w:cs="仿宋"/>
          <w:b w:val="0"/>
          <w:bCs w:val="0"/>
          <w:color w:val="auto"/>
          <w:sz w:val="24"/>
          <w:szCs w:val="24"/>
          <w:highlight w:val="none"/>
          <w:lang w:eastAsia="zh-CN"/>
        </w:rPr>
        <w:t>，泄露甲方秘密或与第三方串通损害甲方利益，</w:t>
      </w:r>
      <w:r>
        <w:rPr>
          <w:rFonts w:hint="eastAsia" w:ascii="仿宋" w:hAnsi="仿宋" w:eastAsia="仿宋" w:cs="仿宋"/>
          <w:b w:val="0"/>
          <w:bCs w:val="0"/>
          <w:color w:val="auto"/>
          <w:sz w:val="24"/>
          <w:szCs w:val="24"/>
          <w:highlight w:val="none"/>
          <w:lang w:val="en-US" w:eastAsia="zh-CN"/>
        </w:rPr>
        <w:t>考核</w:t>
      </w:r>
      <w:r>
        <w:rPr>
          <w:rFonts w:hint="eastAsia" w:ascii="仿宋" w:hAnsi="仿宋" w:eastAsia="仿宋" w:cs="仿宋"/>
          <w:color w:val="auto"/>
          <w:sz w:val="24"/>
          <w:szCs w:val="24"/>
          <w:highlight w:val="none"/>
          <w:lang w:eastAsia="zh-CN"/>
        </w:rPr>
        <w:t>直接确定为不合格；</w:t>
      </w:r>
    </w:p>
    <w:p w14:paraId="5C64226A">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四、考核办法</w:t>
      </w:r>
    </w:p>
    <w:p w14:paraId="52025847">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考核</w:t>
      </w:r>
      <w:r>
        <w:rPr>
          <w:rFonts w:hint="eastAsia" w:ascii="仿宋" w:hAnsi="仿宋" w:eastAsia="仿宋" w:cs="仿宋"/>
          <w:color w:val="auto"/>
          <w:kern w:val="0"/>
          <w:sz w:val="24"/>
          <w:szCs w:val="24"/>
          <w:highlight w:val="none"/>
          <w:lang w:eastAsia="zh-CN"/>
        </w:rPr>
        <w:t>评价</w:t>
      </w:r>
      <w:r>
        <w:rPr>
          <w:rFonts w:hint="eastAsia" w:ascii="仿宋" w:hAnsi="仿宋" w:eastAsia="仿宋" w:cs="仿宋"/>
          <w:color w:val="auto"/>
          <w:kern w:val="0"/>
          <w:sz w:val="24"/>
          <w:szCs w:val="24"/>
          <w:highlight w:val="none"/>
        </w:rPr>
        <w:t>分为优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良</w:t>
      </w:r>
      <w:r>
        <w:rPr>
          <w:rFonts w:hint="eastAsia" w:ascii="仿宋" w:hAnsi="仿宋" w:eastAsia="仿宋" w:cs="仿宋"/>
          <w:color w:val="auto"/>
          <w:kern w:val="0"/>
          <w:sz w:val="24"/>
          <w:szCs w:val="24"/>
          <w:highlight w:val="none"/>
          <w:lang w:eastAsia="zh-CN"/>
        </w:rPr>
        <w:t>、合格、</w:t>
      </w:r>
      <w:r>
        <w:rPr>
          <w:rFonts w:hint="eastAsia" w:ascii="仿宋" w:hAnsi="仿宋" w:eastAsia="仿宋" w:cs="仿宋"/>
          <w:color w:val="auto"/>
          <w:kern w:val="0"/>
          <w:sz w:val="24"/>
          <w:szCs w:val="24"/>
          <w:highlight w:val="none"/>
        </w:rPr>
        <w:t>不合格</w:t>
      </w:r>
      <w:r>
        <w:rPr>
          <w:rFonts w:hint="eastAsia" w:ascii="仿宋" w:hAnsi="仿宋" w:eastAsia="仿宋" w:cs="仿宋"/>
          <w:color w:val="auto"/>
          <w:kern w:val="0"/>
          <w:sz w:val="24"/>
          <w:szCs w:val="24"/>
          <w:highlight w:val="none"/>
          <w:lang w:eastAsia="zh-CN"/>
        </w:rPr>
        <w:t>四个等级</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具体考核管理办法和考核结果运用，由征集</w:t>
      </w:r>
      <w:r>
        <w:rPr>
          <w:rFonts w:hint="eastAsia" w:ascii="仿宋" w:hAnsi="仿宋" w:eastAsia="仿宋" w:cs="仿宋"/>
          <w:color w:val="auto"/>
          <w:kern w:val="0"/>
          <w:sz w:val="24"/>
          <w:szCs w:val="24"/>
          <w:highlight w:val="none"/>
          <w:lang w:val="en-US" w:eastAsia="zh-CN" w:bidi="ar-SA"/>
        </w:rPr>
        <w:t>人在框架协议签订完成后1个月内另行制定。</w:t>
      </w:r>
    </w:p>
    <w:p w14:paraId="2F369B09">
      <w:pPr>
        <w:rPr>
          <w:rFonts w:hint="eastAsia" w:ascii="仿宋" w:hAnsi="仿宋" w:eastAsia="仿宋" w:cs="仿宋"/>
          <w:b/>
          <w:color w:val="auto"/>
          <w:sz w:val="36"/>
          <w:szCs w:val="20"/>
          <w:highlight w:val="none"/>
        </w:rPr>
      </w:pPr>
    </w:p>
    <w:p w14:paraId="6DBAC3A9">
      <w:pPr>
        <w:pageBreakBefore/>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eastAsia="zh-CN"/>
        </w:rPr>
        <w:t>七</w:t>
      </w:r>
      <w:r>
        <w:rPr>
          <w:rFonts w:hint="eastAsia" w:ascii="仿宋" w:hAnsi="仿宋" w:eastAsia="仿宋" w:cs="仿宋"/>
          <w:b/>
          <w:color w:val="auto"/>
          <w:sz w:val="36"/>
          <w:szCs w:val="20"/>
          <w:highlight w:val="none"/>
        </w:rPr>
        <w:t>部分  应提交的有关格式范例</w:t>
      </w:r>
    </w:p>
    <w:p w14:paraId="50B6E959">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投标人按照以下格式编制征集响应文件，并将报价文件、商务技术（资信）文件分别编制成册。</w:t>
      </w:r>
    </w:p>
    <w:p w14:paraId="6CD8AA84">
      <w:pPr>
        <w:spacing w:line="360" w:lineRule="auto"/>
        <w:ind w:firstLine="480" w:firstLineChars="200"/>
        <w:outlineLvl w:val="0"/>
        <w:rPr>
          <w:rFonts w:hint="eastAsia" w:ascii="仿宋" w:hAnsi="仿宋" w:eastAsia="仿宋" w:cs="仿宋"/>
          <w:color w:val="auto"/>
          <w:sz w:val="24"/>
          <w:highlight w:val="none"/>
        </w:rPr>
      </w:pPr>
    </w:p>
    <w:p w14:paraId="3CA52CF8">
      <w:pPr>
        <w:spacing w:line="360" w:lineRule="auto"/>
        <w:ind w:firstLine="480" w:firstLineChars="200"/>
        <w:outlineLvl w:val="0"/>
        <w:rPr>
          <w:rFonts w:hint="eastAsia" w:ascii="仿宋" w:hAnsi="仿宋" w:eastAsia="仿宋" w:cs="仿宋"/>
          <w:color w:val="auto"/>
          <w:sz w:val="24"/>
          <w:highlight w:val="none"/>
        </w:rPr>
      </w:pPr>
    </w:p>
    <w:p w14:paraId="64F3D90C">
      <w:pPr>
        <w:spacing w:line="360" w:lineRule="auto"/>
        <w:ind w:firstLine="480" w:firstLineChars="200"/>
        <w:outlineLvl w:val="0"/>
        <w:rPr>
          <w:rFonts w:hint="eastAsia" w:ascii="仿宋" w:hAnsi="仿宋" w:eastAsia="仿宋" w:cs="仿宋"/>
          <w:color w:val="auto"/>
          <w:sz w:val="24"/>
          <w:highlight w:val="none"/>
        </w:rPr>
      </w:pPr>
    </w:p>
    <w:p w14:paraId="7D4F285A">
      <w:pPr>
        <w:spacing w:line="360" w:lineRule="auto"/>
        <w:ind w:firstLine="480" w:firstLineChars="200"/>
        <w:outlineLvl w:val="0"/>
        <w:rPr>
          <w:rFonts w:hint="eastAsia" w:ascii="仿宋" w:hAnsi="仿宋" w:eastAsia="仿宋" w:cs="仿宋"/>
          <w:color w:val="auto"/>
          <w:sz w:val="24"/>
          <w:highlight w:val="none"/>
        </w:rPr>
      </w:pPr>
    </w:p>
    <w:p w14:paraId="4BADD433">
      <w:pPr>
        <w:spacing w:line="360" w:lineRule="auto"/>
        <w:ind w:firstLine="480" w:firstLineChars="200"/>
        <w:outlineLvl w:val="0"/>
        <w:rPr>
          <w:rFonts w:hint="eastAsia" w:ascii="仿宋" w:hAnsi="仿宋" w:eastAsia="仿宋" w:cs="仿宋"/>
          <w:color w:val="auto"/>
          <w:sz w:val="24"/>
          <w:highlight w:val="none"/>
        </w:rPr>
      </w:pPr>
    </w:p>
    <w:p w14:paraId="5D801B6F">
      <w:pPr>
        <w:snapToGrid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1E7B31">
      <w:pPr>
        <w:spacing w:line="360" w:lineRule="auto"/>
        <w:jc w:val="center"/>
        <w:outlineLvl w:val="0"/>
        <w:rPr>
          <w:rFonts w:hint="eastAsia" w:ascii="仿宋" w:hAnsi="仿宋" w:eastAsia="仿宋" w:cs="仿宋"/>
          <w:b/>
          <w:color w:val="auto"/>
          <w:kern w:val="0"/>
          <w:sz w:val="24"/>
          <w:highlight w:val="none"/>
        </w:rPr>
      </w:pPr>
    </w:p>
    <w:p w14:paraId="10CD7A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80079E">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（1）投标响应函……………………………………………………（页码）</w:t>
      </w:r>
    </w:p>
    <w:p w14:paraId="76C8D64D">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（2）开标一览表……………………………………………………（页码）</w:t>
      </w:r>
    </w:p>
    <w:p w14:paraId="007CF6A3">
      <w:pPr>
        <w:snapToGrid w:val="0"/>
        <w:spacing w:line="360" w:lineRule="auto"/>
        <w:jc w:val="center"/>
        <w:rPr>
          <w:rFonts w:hint="eastAsia" w:ascii="仿宋" w:hAnsi="仿宋" w:eastAsia="仿宋" w:cs="仿宋"/>
          <w:color w:val="auto"/>
          <w:highlight w:val="none"/>
        </w:rPr>
      </w:pPr>
    </w:p>
    <w:p w14:paraId="31DD6BCD">
      <w:pPr>
        <w:spacing w:line="360" w:lineRule="auto"/>
        <w:outlineLvl w:val="0"/>
        <w:rPr>
          <w:rFonts w:hint="eastAsia" w:ascii="仿宋" w:hAnsi="仿宋" w:eastAsia="仿宋" w:cs="仿宋"/>
          <w:color w:val="auto"/>
          <w:highlight w:val="none"/>
        </w:rPr>
      </w:pPr>
    </w:p>
    <w:p w14:paraId="3EFD9C95">
      <w:pPr>
        <w:pStyle w:val="10"/>
        <w:spacing w:line="360" w:lineRule="auto"/>
        <w:ind w:firstLine="723"/>
        <w:rPr>
          <w:rFonts w:hint="eastAsia" w:ascii="仿宋" w:hAnsi="仿宋" w:eastAsia="仿宋" w:cs="仿宋"/>
          <w:b/>
          <w:color w:val="auto"/>
          <w:sz w:val="36"/>
          <w:szCs w:val="36"/>
          <w:highlight w:val="none"/>
        </w:rPr>
      </w:pPr>
    </w:p>
    <w:p w14:paraId="515C5066">
      <w:pPr>
        <w:pStyle w:val="10"/>
        <w:spacing w:line="360" w:lineRule="auto"/>
        <w:ind w:firstLine="723"/>
        <w:rPr>
          <w:rFonts w:hint="eastAsia" w:ascii="仿宋" w:hAnsi="仿宋" w:eastAsia="仿宋" w:cs="仿宋"/>
          <w:b/>
          <w:color w:val="auto"/>
          <w:sz w:val="36"/>
          <w:szCs w:val="36"/>
          <w:highlight w:val="none"/>
        </w:rPr>
      </w:pPr>
    </w:p>
    <w:p w14:paraId="6EE21DB6">
      <w:pPr>
        <w:pStyle w:val="10"/>
        <w:spacing w:line="360" w:lineRule="auto"/>
        <w:ind w:firstLine="723"/>
        <w:rPr>
          <w:rFonts w:hint="eastAsia" w:ascii="仿宋" w:hAnsi="仿宋" w:eastAsia="仿宋" w:cs="仿宋"/>
          <w:b/>
          <w:color w:val="auto"/>
          <w:sz w:val="36"/>
          <w:szCs w:val="36"/>
          <w:highlight w:val="none"/>
        </w:rPr>
      </w:pPr>
    </w:p>
    <w:p w14:paraId="77AEF39E">
      <w:pPr>
        <w:spacing w:line="360" w:lineRule="auto"/>
        <w:rPr>
          <w:rFonts w:hint="eastAsia" w:ascii="仿宋" w:hAnsi="仿宋" w:eastAsia="仿宋" w:cs="仿宋"/>
          <w:b/>
          <w:color w:val="auto"/>
          <w:sz w:val="30"/>
          <w:szCs w:val="30"/>
          <w:highlight w:val="none"/>
        </w:rPr>
      </w:pPr>
    </w:p>
    <w:p w14:paraId="2A1E690E">
      <w:pPr>
        <w:spacing w:line="360" w:lineRule="auto"/>
        <w:rPr>
          <w:rFonts w:hint="eastAsia" w:ascii="仿宋" w:hAnsi="仿宋" w:eastAsia="仿宋" w:cs="仿宋"/>
          <w:b/>
          <w:color w:val="auto"/>
          <w:sz w:val="30"/>
          <w:szCs w:val="30"/>
          <w:highlight w:val="none"/>
        </w:rPr>
      </w:pPr>
    </w:p>
    <w:p w14:paraId="2E2A8297">
      <w:pPr>
        <w:pageBreakBefore/>
        <w:spacing w:line="360" w:lineRule="auto"/>
        <w:rPr>
          <w:rFonts w:hint="eastAsia" w:ascii="仿宋" w:hAnsi="仿宋" w:eastAsia="仿宋" w:cs="仿宋"/>
          <w:color w:val="auto"/>
          <w:szCs w:val="24"/>
          <w:highlight w:val="none"/>
        </w:rPr>
      </w:pPr>
      <w:r>
        <w:rPr>
          <w:rFonts w:hint="eastAsia" w:ascii="仿宋" w:hAnsi="仿宋" w:eastAsia="仿宋" w:cs="仿宋"/>
          <w:b/>
          <w:color w:val="auto"/>
          <w:sz w:val="30"/>
          <w:szCs w:val="30"/>
          <w:highlight w:val="none"/>
        </w:rPr>
        <w:t>1、投标响应函（格式）</w:t>
      </w:r>
    </w:p>
    <w:p w14:paraId="6F4A037B">
      <w:pPr>
        <w:pStyle w:val="31"/>
        <w:spacing w:afterLines="0" w:line="356" w:lineRule="auto"/>
        <w:ind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lang w:eastAsia="zh-CN"/>
        </w:rPr>
        <w:t>杭州市西湖区住房和城乡建设局、浙江中诚工程管理科技有限公司</w:t>
      </w:r>
    </w:p>
    <w:p w14:paraId="221889D8">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根据贵方征集文件（</w:t>
      </w:r>
      <w:r>
        <w:rPr>
          <w:rFonts w:hint="eastAsia" w:ascii="仿宋" w:hAnsi="仿宋" w:eastAsia="仿宋" w:cs="仿宋"/>
          <w:b/>
          <w:color w:val="auto"/>
          <w:szCs w:val="24"/>
          <w:highlight w:val="none"/>
          <w:u w:val="single"/>
        </w:rPr>
        <w:t>填写招标编号：</w:t>
      </w:r>
      <w:r>
        <w:rPr>
          <w:rFonts w:hint="eastAsia" w:ascii="仿宋" w:hAnsi="仿宋" w:eastAsia="仿宋" w:cs="仿宋"/>
          <w:color w:val="auto"/>
          <w:szCs w:val="24"/>
          <w:highlight w:val="none"/>
        </w:rPr>
        <w:t>）的要求，正式授权</w:t>
      </w:r>
      <w:r>
        <w:rPr>
          <w:rFonts w:hint="eastAsia" w:ascii="仿宋" w:hAnsi="仿宋" w:eastAsia="仿宋" w:cs="仿宋"/>
          <w:b/>
          <w:color w:val="auto"/>
          <w:szCs w:val="24"/>
          <w:highlight w:val="none"/>
          <w:u w:val="single"/>
        </w:rPr>
        <w:t>（全权代表姓名    、单位    、职务   ）</w:t>
      </w:r>
      <w:r>
        <w:rPr>
          <w:rFonts w:hint="eastAsia" w:ascii="仿宋" w:hAnsi="仿宋" w:eastAsia="仿宋" w:cs="仿宋"/>
          <w:color w:val="auto"/>
          <w:szCs w:val="24"/>
          <w:highlight w:val="none"/>
        </w:rPr>
        <w:t>代表投标人</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 xml:space="preserve">填写单位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提交征集响应文件。</w:t>
      </w:r>
    </w:p>
    <w:p w14:paraId="15DBDB04">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我方已完全明白征集文件的所有条款要求，兹声明同意如下：</w:t>
      </w:r>
    </w:p>
    <w:p w14:paraId="36ADE595">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1.我方同意在投标人须知规定的开标日期起遵守本征集响应文件中的承诺且在投标有效期满之前均具有约束力。</w:t>
      </w:r>
    </w:p>
    <w:p w14:paraId="2A46393E">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2.我方承诺已经具备《中华人民共和国政府采购法》中规定的参加政府采购活动的供应商应当具备的条件。</w:t>
      </w:r>
    </w:p>
    <w:p w14:paraId="4C40579A">
      <w:pPr>
        <w:pStyle w:val="31"/>
        <w:spacing w:afterLines="0" w:line="356" w:lineRule="auto"/>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w:t>
      </w:r>
      <w:r>
        <w:rPr>
          <w:rFonts w:hint="eastAsia" w:ascii="仿宋" w:hAnsi="仿宋" w:eastAsia="仿宋" w:cs="仿宋"/>
          <w:color w:val="auto"/>
          <w:highlight w:val="none"/>
        </w:rPr>
        <w:t>本公司征集响应文件中填列的技术参数、配置、服务、数量等相关内容都是真实、准确的。保证在本次项目中所提供的资料全部真实和合法。同意向</w:t>
      </w:r>
      <w:r>
        <w:rPr>
          <w:rFonts w:hint="eastAsia" w:ascii="仿宋" w:hAnsi="仿宋" w:eastAsia="仿宋" w:cs="仿宋"/>
          <w:color w:val="auto"/>
          <w:highlight w:val="none"/>
          <w:lang w:eastAsia="zh-CN"/>
        </w:rPr>
        <w:t>浙江中诚工程管理科技有限公司</w:t>
      </w:r>
      <w:r>
        <w:rPr>
          <w:rFonts w:hint="eastAsia" w:ascii="仿宋" w:hAnsi="仿宋" w:eastAsia="仿宋" w:cs="仿宋"/>
          <w:color w:val="auto"/>
          <w:highlight w:val="none"/>
        </w:rPr>
        <w:t>提供可能另外要求的与投标有关的任何数据或资料。</w:t>
      </w:r>
    </w:p>
    <w:p w14:paraId="3EFFB7B9">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4.我方理解贵方将不受你们所收到的最低报价的约束。</w:t>
      </w:r>
    </w:p>
    <w:p w14:paraId="6F22F6CA">
      <w:pPr>
        <w:pStyle w:val="5"/>
        <w:numPr>
          <w:ilvl w:val="0"/>
          <w:numId w:val="0"/>
        </w:numPr>
        <w:spacing w:line="356"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 w:val="24"/>
          <w:szCs w:val="24"/>
          <w:highlight w:val="none"/>
        </w:rPr>
        <w:t>5.本投标自开标之日（投标截止之日）起90天内有效。</w:t>
      </w:r>
    </w:p>
    <w:p w14:paraId="60854146">
      <w:pPr>
        <w:pStyle w:val="31"/>
        <w:spacing w:afterLines="0" w:line="356" w:lineRule="auto"/>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6</w:t>
      </w:r>
      <w:r>
        <w:rPr>
          <w:rFonts w:hint="eastAsia" w:ascii="仿宋" w:hAnsi="仿宋" w:eastAsia="仿宋" w:cs="仿宋"/>
          <w:color w:val="auto"/>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0BB28A9">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48B24F04">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0FF66705">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c)与征集人、其它供应商或者征集代理机构恶意串通的；</w:t>
      </w:r>
    </w:p>
    <w:p w14:paraId="00688450">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d)向征集人、征集代理机构行贿或者提供其他不正当利益的；</w:t>
      </w:r>
    </w:p>
    <w:p w14:paraId="05350ED8">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e)在招标采购过程中与征集人进行协商谈判的；</w:t>
      </w:r>
    </w:p>
    <w:p w14:paraId="51D4647C">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1568A145">
      <w:pPr>
        <w:snapToGrid w:val="0"/>
        <w:spacing w:line="35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274D2DA">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0A88FD6E">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6BF6A7F3">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                          帐号：</w:t>
      </w:r>
    </w:p>
    <w:p w14:paraId="6AE8D7C4">
      <w:pPr>
        <w:pStyle w:val="31"/>
        <w:spacing w:afterLines="0" w:line="35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67FFFA27">
      <w:pPr>
        <w:pStyle w:val="31"/>
        <w:spacing w:afterLines="0" w:line="356" w:lineRule="auto"/>
        <w:ind w:firstLine="480"/>
        <w:rPr>
          <w:rFonts w:hint="eastAsia" w:ascii="仿宋" w:hAnsi="仿宋" w:eastAsia="仿宋" w:cs="仿宋"/>
          <w:b/>
          <w:color w:val="auto"/>
          <w:sz w:val="30"/>
          <w:szCs w:val="30"/>
          <w:highlight w:val="none"/>
        </w:rPr>
      </w:pPr>
      <w:r>
        <w:rPr>
          <w:rFonts w:hint="eastAsia" w:ascii="仿宋" w:hAnsi="仿宋" w:eastAsia="仿宋" w:cs="仿宋"/>
          <w:color w:val="auto"/>
          <w:szCs w:val="24"/>
          <w:highlight w:val="none"/>
        </w:rPr>
        <w:t xml:space="preserve">投标人(电子签章)：　　　　　　　　　日期：   </w:t>
      </w:r>
    </w:p>
    <w:p w14:paraId="397D0AE9">
      <w:pPr>
        <w:pageBreakBefore/>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2、开标一览表（格式）</w:t>
      </w:r>
    </w:p>
    <w:p w14:paraId="65AEC23D">
      <w:pPr>
        <w:spacing w:line="360" w:lineRule="auto"/>
        <w:rPr>
          <w:rFonts w:hint="eastAsia" w:ascii="仿宋" w:hAnsi="仿宋" w:eastAsia="仿宋" w:cs="仿宋"/>
          <w:color w:val="auto"/>
          <w:sz w:val="24"/>
          <w:highlight w:val="none"/>
        </w:rPr>
      </w:pPr>
    </w:p>
    <w:p w14:paraId="6FA57E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p w14:paraId="64F9C8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p w14:paraId="7D2A732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招标编号：</w:t>
      </w:r>
    </w:p>
    <w:p w14:paraId="12635CC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单位：人民币元</w:t>
      </w:r>
    </w:p>
    <w:tbl>
      <w:tblPr>
        <w:tblStyle w:val="19"/>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826"/>
        <w:gridCol w:w="3634"/>
      </w:tblGrid>
      <w:tr w14:paraId="02C78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4B03DE50">
            <w:pPr>
              <w:spacing w:line="360" w:lineRule="auto"/>
              <w:jc w:val="center"/>
              <w:rPr>
                <w:rFonts w:hint="eastAsia" w:ascii="仿宋" w:hAnsi="仿宋" w:eastAsia="仿宋" w:cs="仿宋"/>
                <w:b/>
                <w:snapToGrid w:val="0"/>
                <w:color w:val="auto"/>
                <w:kern w:val="0"/>
                <w:sz w:val="22"/>
                <w:highlight w:val="none"/>
              </w:rPr>
            </w:pPr>
            <w:r>
              <w:rPr>
                <w:rFonts w:hint="eastAsia" w:ascii="仿宋" w:hAnsi="仿宋" w:eastAsia="仿宋" w:cs="仿宋"/>
                <w:b/>
                <w:snapToGrid w:val="0"/>
                <w:color w:val="auto"/>
                <w:kern w:val="0"/>
                <w:sz w:val="22"/>
                <w:highlight w:val="none"/>
              </w:rPr>
              <w:t>序号</w:t>
            </w:r>
          </w:p>
        </w:tc>
        <w:tc>
          <w:tcPr>
            <w:tcW w:w="5124" w:type="dxa"/>
            <w:gridSpan w:val="2"/>
            <w:vAlign w:val="center"/>
          </w:tcPr>
          <w:p w14:paraId="5541F83F">
            <w:pPr>
              <w:spacing w:line="360" w:lineRule="auto"/>
              <w:jc w:val="center"/>
              <w:rPr>
                <w:rFonts w:hint="eastAsia" w:ascii="仿宋" w:hAnsi="仿宋" w:eastAsia="仿宋" w:cs="仿宋"/>
                <w:b/>
                <w:snapToGrid w:val="0"/>
                <w:color w:val="auto"/>
                <w:kern w:val="0"/>
                <w:sz w:val="22"/>
                <w:highlight w:val="none"/>
              </w:rPr>
            </w:pPr>
            <w:r>
              <w:rPr>
                <w:rFonts w:hint="eastAsia" w:ascii="仿宋" w:hAnsi="仿宋" w:eastAsia="仿宋" w:cs="仿宋"/>
                <w:b/>
                <w:snapToGrid w:val="0"/>
                <w:color w:val="auto"/>
                <w:kern w:val="0"/>
                <w:sz w:val="22"/>
                <w:highlight w:val="none"/>
              </w:rPr>
              <w:t>项目名称</w:t>
            </w:r>
          </w:p>
        </w:tc>
        <w:tc>
          <w:tcPr>
            <w:tcW w:w="3634" w:type="dxa"/>
            <w:vAlign w:val="center"/>
          </w:tcPr>
          <w:p w14:paraId="09A82853">
            <w:pPr>
              <w:spacing w:line="360" w:lineRule="auto"/>
              <w:jc w:val="center"/>
              <w:rPr>
                <w:rFonts w:hint="eastAsia" w:ascii="仿宋" w:hAnsi="仿宋" w:eastAsia="仿宋" w:cs="仿宋"/>
                <w:b/>
                <w:snapToGrid w:val="0"/>
                <w:color w:val="auto"/>
                <w:kern w:val="0"/>
                <w:sz w:val="22"/>
                <w:highlight w:val="none"/>
              </w:rPr>
            </w:pPr>
            <w:r>
              <w:rPr>
                <w:rFonts w:hint="eastAsia" w:ascii="仿宋" w:hAnsi="仿宋" w:eastAsia="仿宋" w:cs="仿宋"/>
                <w:b/>
                <w:snapToGrid w:val="0"/>
                <w:color w:val="auto"/>
                <w:kern w:val="0"/>
                <w:sz w:val="22"/>
                <w:highlight w:val="none"/>
              </w:rPr>
              <w:t>响应报价（折扣率）</w:t>
            </w:r>
          </w:p>
        </w:tc>
      </w:tr>
      <w:tr w14:paraId="77A37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7E937DE2">
            <w:pPr>
              <w:spacing w:line="360" w:lineRule="auto"/>
              <w:jc w:val="center"/>
              <w:rPr>
                <w:rFonts w:hint="eastAsia" w:ascii="仿宋" w:hAnsi="仿宋" w:eastAsia="仿宋" w:cs="仿宋"/>
                <w:bCs/>
                <w:snapToGrid w:val="0"/>
                <w:color w:val="auto"/>
                <w:kern w:val="0"/>
                <w:sz w:val="22"/>
                <w:highlight w:val="none"/>
              </w:rPr>
            </w:pPr>
            <w:r>
              <w:rPr>
                <w:rFonts w:hint="eastAsia" w:ascii="仿宋" w:hAnsi="仿宋" w:eastAsia="仿宋" w:cs="仿宋"/>
                <w:bCs/>
                <w:snapToGrid w:val="0"/>
                <w:color w:val="auto"/>
                <w:kern w:val="0"/>
                <w:sz w:val="22"/>
                <w:highlight w:val="none"/>
              </w:rPr>
              <w:t>1</w:t>
            </w:r>
          </w:p>
        </w:tc>
        <w:tc>
          <w:tcPr>
            <w:tcW w:w="5124" w:type="dxa"/>
            <w:gridSpan w:val="2"/>
            <w:vAlign w:val="center"/>
          </w:tcPr>
          <w:p w14:paraId="21576542">
            <w:pPr>
              <w:spacing w:line="360" w:lineRule="auto"/>
              <w:jc w:val="center"/>
              <w:rPr>
                <w:rFonts w:hint="eastAsia" w:ascii="仿宋" w:hAnsi="仿宋" w:eastAsia="仿宋" w:cs="仿宋"/>
                <w:bCs/>
                <w:snapToGrid w:val="0"/>
                <w:color w:val="auto"/>
                <w:kern w:val="0"/>
                <w:sz w:val="22"/>
                <w:highlight w:val="none"/>
                <w:lang w:eastAsia="zh-CN"/>
              </w:rPr>
            </w:pPr>
            <w:r>
              <w:rPr>
                <w:rFonts w:hint="eastAsia" w:ascii="仿宋" w:hAnsi="仿宋" w:eastAsia="仿宋" w:cs="仿宋"/>
                <w:color w:val="auto"/>
                <w:sz w:val="24"/>
                <w:highlight w:val="none"/>
                <w:lang w:eastAsia="zh-CN"/>
              </w:rPr>
              <w:t>杭州市西湖区住房和城乡建设局建设工程消防验收技术服务框架协议采购项目（封闭式）</w:t>
            </w:r>
          </w:p>
        </w:tc>
        <w:tc>
          <w:tcPr>
            <w:tcW w:w="3634" w:type="dxa"/>
            <w:vAlign w:val="center"/>
          </w:tcPr>
          <w:p w14:paraId="2B2783F1">
            <w:pPr>
              <w:spacing w:line="360" w:lineRule="auto"/>
              <w:jc w:val="center"/>
              <w:rPr>
                <w:rFonts w:hint="eastAsia" w:ascii="仿宋" w:hAnsi="仿宋" w:eastAsia="仿宋" w:cs="仿宋"/>
                <w:bCs/>
                <w:snapToGrid w:val="0"/>
                <w:color w:val="auto"/>
                <w:kern w:val="0"/>
                <w:sz w:val="22"/>
                <w:highlight w:val="none"/>
              </w:rPr>
            </w:pPr>
          </w:p>
        </w:tc>
      </w:tr>
      <w:tr w14:paraId="738C7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14:paraId="5B5974CD">
            <w:pPr>
              <w:spacing w:line="360" w:lineRule="auto"/>
              <w:jc w:val="center"/>
              <w:rPr>
                <w:rFonts w:hint="eastAsia" w:ascii="仿宋" w:hAnsi="仿宋" w:eastAsia="仿宋" w:cs="仿宋"/>
                <w:bCs/>
                <w:snapToGrid w:val="0"/>
                <w:color w:val="auto"/>
                <w:kern w:val="0"/>
                <w:sz w:val="22"/>
                <w:highlight w:val="none"/>
              </w:rPr>
            </w:pPr>
            <w:r>
              <w:rPr>
                <w:rFonts w:hint="eastAsia" w:ascii="仿宋" w:hAnsi="仿宋" w:eastAsia="仿宋" w:cs="仿宋"/>
                <w:b/>
                <w:snapToGrid w:val="0"/>
                <w:color w:val="auto"/>
                <w:kern w:val="0"/>
                <w:sz w:val="22"/>
                <w:highlight w:val="none"/>
              </w:rPr>
              <w:t>响应报价（折扣率）</w:t>
            </w:r>
          </w:p>
        </w:tc>
        <w:tc>
          <w:tcPr>
            <w:tcW w:w="6460" w:type="dxa"/>
            <w:gridSpan w:val="2"/>
            <w:vAlign w:val="center"/>
          </w:tcPr>
          <w:p w14:paraId="581C7A03">
            <w:pPr>
              <w:spacing w:line="360" w:lineRule="auto"/>
              <w:rPr>
                <w:rFonts w:hint="eastAsia" w:ascii="仿宋" w:hAnsi="仿宋" w:eastAsia="仿宋" w:cs="仿宋"/>
                <w:bCs/>
                <w:snapToGrid w:val="0"/>
                <w:color w:val="auto"/>
                <w:kern w:val="0"/>
                <w:sz w:val="22"/>
                <w:highlight w:val="none"/>
              </w:rPr>
            </w:pPr>
            <w:r>
              <w:rPr>
                <w:rFonts w:hint="eastAsia" w:ascii="仿宋" w:hAnsi="仿宋" w:eastAsia="仿宋" w:cs="仿宋"/>
                <w:bCs/>
                <w:snapToGrid w:val="0"/>
                <w:color w:val="auto"/>
                <w:kern w:val="0"/>
                <w:sz w:val="22"/>
                <w:highlight w:val="none"/>
              </w:rPr>
              <w:t xml:space="preserve">大写：       </w:t>
            </w:r>
          </w:p>
        </w:tc>
      </w:tr>
    </w:tbl>
    <w:p w14:paraId="1116C16E">
      <w:pPr>
        <w:spacing w:line="360" w:lineRule="auto"/>
        <w:ind w:left="149" w:hanging="148" w:hangingChars="62"/>
        <w:rPr>
          <w:rFonts w:hint="eastAsia" w:ascii="仿宋" w:hAnsi="仿宋" w:eastAsia="仿宋" w:cs="仿宋"/>
          <w:color w:val="auto"/>
          <w:sz w:val="24"/>
          <w:highlight w:val="none"/>
        </w:rPr>
      </w:pPr>
    </w:p>
    <w:p w14:paraId="070FFACE">
      <w:pPr>
        <w:spacing w:line="360" w:lineRule="auto"/>
        <w:ind w:left="14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2B1456F6">
      <w:pPr>
        <w:spacing w:line="360" w:lineRule="auto"/>
        <w:ind w:left="14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1.★不按要求提供开标一览表的响应文件将被视为未实质性响应征集文件。</w:t>
      </w:r>
    </w:p>
    <w:p w14:paraId="6FBED991">
      <w:pPr>
        <w:spacing w:line="360" w:lineRule="auto"/>
        <w:ind w:left="14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2.供应商根据本项目的规定填写响应报价（折扣率）。</w:t>
      </w:r>
    </w:p>
    <w:p w14:paraId="651E97DF">
      <w:pPr>
        <w:spacing w:line="360" w:lineRule="auto"/>
        <w:ind w:left="14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3.★响应报价（折扣率）小数位保留一位小数，否则按无效标处理。</w:t>
      </w:r>
    </w:p>
    <w:p w14:paraId="71916DF2">
      <w:pPr>
        <w:pStyle w:val="31"/>
        <w:keepNext w:val="0"/>
        <w:keepLines w:val="0"/>
        <w:pageBreakBefore w:val="0"/>
        <w:widowControl/>
        <w:kinsoku/>
        <w:wordWrap/>
        <w:overflowPunct/>
        <w:topLinePunct w:val="0"/>
        <w:autoSpaceDE/>
        <w:autoSpaceDN/>
        <w:bidi w:val="0"/>
        <w:adjustRightInd/>
        <w:snapToGrid w:val="0"/>
        <w:spacing w:afterLines="0" w:line="336"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4.报价采用折扣率，最高限价以征集人制定的收费标准为基础，以该基准的</w:t>
      </w:r>
      <w:r>
        <w:rPr>
          <w:rFonts w:hint="eastAsia" w:ascii="仿宋" w:hAnsi="仿宋" w:eastAsia="仿宋" w:cs="仿宋"/>
          <w:color w:val="auto"/>
          <w:sz w:val="24"/>
          <w:highlight w:val="none"/>
          <w:lang w:val="en-US" w:eastAsia="zh-CN"/>
        </w:rPr>
        <w:t>99</w:t>
      </w:r>
      <w:r>
        <w:rPr>
          <w:rFonts w:hint="eastAsia" w:ascii="仿宋" w:hAnsi="仿宋" w:eastAsia="仿宋" w:cs="仿宋"/>
          <w:color w:val="auto"/>
          <w:sz w:val="24"/>
          <w:highlight w:val="none"/>
        </w:rPr>
        <w:t>%为最高限制单价（或最高限制折扣率），高于该报价按无效标处理。</w:t>
      </w:r>
      <w:r>
        <w:rPr>
          <w:rFonts w:hint="eastAsia" w:ascii="仿宋" w:hAnsi="仿宋" w:eastAsia="仿宋" w:cs="仿宋"/>
          <w:color w:val="auto"/>
          <w:szCs w:val="24"/>
          <w:highlight w:val="none"/>
        </w:rPr>
        <w:t>报价不作为评分依据，但作为</w:t>
      </w:r>
      <w:r>
        <w:rPr>
          <w:rFonts w:hint="eastAsia" w:ascii="仿宋" w:hAnsi="仿宋" w:eastAsia="仿宋" w:cs="仿宋"/>
          <w:color w:val="auto"/>
          <w:szCs w:val="24"/>
          <w:highlight w:val="none"/>
          <w:lang w:eastAsia="zh-CN"/>
        </w:rPr>
        <w:t>供应商得</w:t>
      </w:r>
      <w:r>
        <w:rPr>
          <w:rFonts w:hint="eastAsia" w:ascii="仿宋" w:hAnsi="仿宋" w:eastAsia="仿宋" w:cs="仿宋"/>
          <w:b w:val="0"/>
          <w:bCs/>
          <w:color w:val="auto"/>
          <w:kern w:val="0"/>
          <w:sz w:val="24"/>
          <w:highlight w:val="none"/>
        </w:rPr>
        <w:t>分</w:t>
      </w:r>
      <w:r>
        <w:rPr>
          <w:rFonts w:hint="eastAsia" w:ascii="仿宋" w:hAnsi="仿宋" w:eastAsia="仿宋" w:cs="仿宋"/>
          <w:b w:val="0"/>
          <w:bCs/>
          <w:color w:val="auto"/>
          <w:kern w:val="0"/>
          <w:sz w:val="24"/>
          <w:highlight w:val="none"/>
          <w:lang w:eastAsia="zh-CN"/>
        </w:rPr>
        <w:t>相同时的</w:t>
      </w:r>
      <w:r>
        <w:rPr>
          <w:rFonts w:hint="eastAsia" w:ascii="仿宋" w:hAnsi="仿宋" w:eastAsia="仿宋" w:cs="仿宋"/>
          <w:b w:val="0"/>
          <w:bCs/>
          <w:color w:val="auto"/>
          <w:kern w:val="0"/>
          <w:sz w:val="24"/>
          <w:highlight w:val="none"/>
        </w:rPr>
        <w:t>排序</w:t>
      </w:r>
      <w:r>
        <w:rPr>
          <w:rFonts w:hint="eastAsia" w:ascii="仿宋" w:hAnsi="仿宋" w:eastAsia="仿宋" w:cs="仿宋"/>
          <w:b w:val="0"/>
          <w:bCs/>
          <w:color w:val="auto"/>
          <w:kern w:val="0"/>
          <w:sz w:val="24"/>
          <w:highlight w:val="none"/>
          <w:lang w:eastAsia="zh-CN"/>
        </w:rPr>
        <w:t>依据</w:t>
      </w:r>
      <w:r>
        <w:rPr>
          <w:rFonts w:hint="eastAsia" w:ascii="仿宋" w:hAnsi="仿宋" w:eastAsia="仿宋" w:cs="仿宋"/>
          <w:color w:val="auto"/>
          <w:szCs w:val="24"/>
          <w:highlight w:val="none"/>
        </w:rPr>
        <w:t>。</w:t>
      </w:r>
    </w:p>
    <w:p w14:paraId="383CA89F">
      <w:pPr>
        <w:spacing w:line="360" w:lineRule="auto"/>
        <w:ind w:left="14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5.例：如填报响应报价（折扣率）为60.0%，则入围后根据</w:t>
      </w:r>
      <w:r>
        <w:rPr>
          <w:rFonts w:hint="eastAsia" w:ascii="仿宋" w:hAnsi="仿宋" w:eastAsia="仿宋" w:cs="仿宋"/>
          <w:color w:val="auto"/>
          <w:sz w:val="24"/>
          <w:highlight w:val="none"/>
          <w:lang w:eastAsia="zh-CN"/>
        </w:rPr>
        <w:t>杭州市西湖区住房和城乡建设局建设工程消防验收技术服务框架协议采购项目（封闭式）</w:t>
      </w:r>
      <w:r>
        <w:rPr>
          <w:rFonts w:hint="eastAsia" w:ascii="仿宋" w:hAnsi="仿宋" w:eastAsia="仿宋" w:cs="仿宋"/>
          <w:color w:val="auto"/>
          <w:sz w:val="24"/>
          <w:highlight w:val="none"/>
        </w:rPr>
        <w:t>的规定计算后按</w:t>
      </w:r>
      <w:r>
        <w:rPr>
          <w:rFonts w:hint="eastAsia" w:ascii="仿宋" w:hAnsi="仿宋" w:eastAsia="仿宋" w:cs="仿宋"/>
          <w:color w:val="auto"/>
          <w:sz w:val="24"/>
          <w:highlight w:val="none"/>
          <w:lang w:eastAsia="zh-CN"/>
        </w:rPr>
        <w:t>单价</w:t>
      </w:r>
      <w:r>
        <w:rPr>
          <w:rFonts w:hint="eastAsia" w:ascii="仿宋" w:hAnsi="仿宋" w:eastAsia="仿宋" w:cs="仿宋"/>
          <w:color w:val="auto"/>
          <w:sz w:val="24"/>
          <w:highlight w:val="none"/>
          <w:lang w:val="en-US" w:eastAsia="zh-CN"/>
        </w:rPr>
        <w:t>=最高限价*60</w:t>
      </w:r>
      <w:r>
        <w:rPr>
          <w:rFonts w:hint="eastAsia" w:ascii="仿宋" w:hAnsi="仿宋" w:eastAsia="仿宋" w:cs="仿宋"/>
          <w:color w:val="auto"/>
          <w:sz w:val="24"/>
          <w:highlight w:val="none"/>
        </w:rPr>
        <w:t>.0%支付服务费用。</w:t>
      </w:r>
    </w:p>
    <w:p w14:paraId="222ED2DB">
      <w:pPr>
        <w:spacing w:line="360" w:lineRule="auto"/>
        <w:ind w:left="149" w:hanging="149" w:hangingChars="62"/>
        <w:rPr>
          <w:rFonts w:hint="eastAsia" w:ascii="仿宋" w:hAnsi="仿宋" w:eastAsia="仿宋" w:cs="仿宋"/>
          <w:b/>
          <w:bCs/>
          <w:i/>
          <w:iCs/>
          <w:color w:val="auto"/>
          <w:sz w:val="24"/>
          <w:highlight w:val="none"/>
          <w:u w:val="single"/>
          <w:lang w:val="en-US" w:eastAsia="zh-CN"/>
        </w:rPr>
      </w:pPr>
      <w:r>
        <w:rPr>
          <w:rFonts w:hint="eastAsia" w:ascii="仿宋" w:hAnsi="仿宋" w:eastAsia="仿宋" w:cs="仿宋"/>
          <w:b/>
          <w:bCs/>
          <w:i/>
          <w:iCs/>
          <w:color w:val="auto"/>
          <w:sz w:val="24"/>
          <w:highlight w:val="none"/>
          <w:u w:val="single"/>
          <w:lang w:val="en-US" w:eastAsia="zh-CN"/>
        </w:rPr>
        <w:t>6.通过政采云填写报价明细表时需注意：优惠率即为折扣率。</w:t>
      </w:r>
    </w:p>
    <w:p w14:paraId="4296E007">
      <w:pPr>
        <w:spacing w:line="360" w:lineRule="auto"/>
        <w:ind w:firstLine="2"/>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1E1946E1">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            日期：    年   月   日</w:t>
      </w:r>
    </w:p>
    <w:p w14:paraId="03E3E143">
      <w:pPr>
        <w:bidi w:val="0"/>
        <w:rPr>
          <w:rFonts w:hint="eastAsia"/>
          <w:color w:val="auto"/>
          <w:highlight w:val="none"/>
        </w:rPr>
      </w:pPr>
    </w:p>
    <w:p w14:paraId="2172EFCB">
      <w:pPr>
        <w:rPr>
          <w:rFonts w:hint="eastAsia"/>
          <w:color w:val="auto"/>
          <w:highlight w:val="none"/>
        </w:rPr>
      </w:pPr>
    </w:p>
    <w:p w14:paraId="303120B7">
      <w:pPr>
        <w:pageBreakBefore/>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商务技术（资信）文件部分</w:t>
      </w:r>
    </w:p>
    <w:p w14:paraId="01174651">
      <w:pPr>
        <w:spacing w:line="360" w:lineRule="auto"/>
        <w:jc w:val="center"/>
        <w:outlineLvl w:val="0"/>
        <w:rPr>
          <w:rFonts w:hint="eastAsia" w:ascii="仿宋" w:hAnsi="仿宋" w:eastAsia="仿宋" w:cs="仿宋"/>
          <w:b/>
          <w:color w:val="auto"/>
          <w:kern w:val="0"/>
          <w:sz w:val="24"/>
          <w:highlight w:val="none"/>
        </w:rPr>
      </w:pPr>
    </w:p>
    <w:p w14:paraId="04C1992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B7966B2">
      <w:pPr>
        <w:pStyle w:val="33"/>
        <w:spacing w:line="360"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（1）法定代表人授权书 ………………………………………………………… （页码）</w:t>
      </w:r>
    </w:p>
    <w:p w14:paraId="46848638">
      <w:pPr>
        <w:pStyle w:val="33"/>
        <w:spacing w:line="360"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（2）授权代表社保证明（复印件）………………………………………………（页码）</w:t>
      </w:r>
    </w:p>
    <w:p w14:paraId="52BD1E4A">
      <w:pPr>
        <w:pStyle w:val="33"/>
        <w:spacing w:line="360"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（3）法定代表人及其授权代表的身份证复印件（正反面）……………………（页码）</w:t>
      </w:r>
    </w:p>
    <w:p w14:paraId="285D0EE4">
      <w:pPr>
        <w:pStyle w:val="33"/>
        <w:spacing w:line="360"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（4）法定代表人身份证明书………………………………………………………（页码）</w:t>
      </w:r>
    </w:p>
    <w:p w14:paraId="3589EA42">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（5）营业执照</w:t>
      </w:r>
      <w:r>
        <w:rPr>
          <w:rFonts w:hint="eastAsia" w:ascii="仿宋" w:hAnsi="仿宋" w:eastAsia="仿宋" w:cs="仿宋"/>
          <w:color w:val="auto"/>
          <w:highlight w:val="none"/>
          <w:lang w:val="zh-CN"/>
        </w:rPr>
        <w:t>，</w:t>
      </w:r>
      <w:r>
        <w:rPr>
          <w:rFonts w:hint="eastAsia" w:ascii="仿宋" w:hAnsi="仿宋" w:eastAsia="仿宋" w:cs="仿宋"/>
          <w:color w:val="auto"/>
          <w:sz w:val="24"/>
          <w:highlight w:val="none"/>
          <w:lang w:eastAsia="zh-CN"/>
        </w:rPr>
        <w:t>满足</w:t>
      </w:r>
      <w:r>
        <w:rPr>
          <w:rFonts w:hint="eastAsia" w:ascii="仿宋" w:hAnsi="仿宋" w:eastAsia="仿宋" w:cs="仿宋"/>
          <w:color w:val="auto"/>
          <w:sz w:val="24"/>
          <w:highlight w:val="none"/>
        </w:rPr>
        <w:t>特定资格要求</w:t>
      </w:r>
      <w:r>
        <w:rPr>
          <w:rFonts w:hint="eastAsia" w:ascii="仿宋" w:hAnsi="仿宋" w:eastAsia="仿宋" w:cs="仿宋"/>
          <w:color w:val="auto"/>
          <w:sz w:val="24"/>
          <w:highlight w:val="none"/>
          <w:lang w:eastAsia="zh-CN"/>
        </w:rPr>
        <w:t>的相应证明资料和承诺书</w:t>
      </w:r>
      <w:r>
        <w:rPr>
          <w:rFonts w:hint="eastAsia" w:ascii="仿宋" w:hAnsi="仿宋" w:eastAsia="仿宋" w:cs="仿宋"/>
          <w:color w:val="auto"/>
          <w:highlight w:val="none"/>
          <w:lang w:val="zh-CN"/>
        </w:rPr>
        <w:t>……………………</w:t>
      </w:r>
      <w:r>
        <w:rPr>
          <w:rFonts w:hint="eastAsia" w:ascii="仿宋" w:hAnsi="仿宋" w:eastAsia="仿宋" w:cs="仿宋"/>
          <w:color w:val="auto"/>
          <w:kern w:val="0"/>
          <w:sz w:val="24"/>
          <w:highlight w:val="none"/>
        </w:rPr>
        <w:t>（页码）</w:t>
      </w:r>
    </w:p>
    <w:p w14:paraId="22BD49E6">
      <w:pPr>
        <w:spacing w:line="360" w:lineRule="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eastAsia="仿宋"/>
          <w:color w:val="auto"/>
          <w:sz w:val="24"/>
          <w:highlight w:val="none"/>
        </w:rPr>
        <w:t>中小企业声明函</w:t>
      </w:r>
      <w:r>
        <w:rPr>
          <w:rFonts w:hint="eastAsia" w:ascii="仿宋" w:hAnsi="仿宋" w:eastAsia="仿宋" w:cs="仿宋"/>
          <w:color w:val="auto"/>
          <w:highlight w:val="none"/>
        </w:rPr>
        <w:t>…………………………………………………………………………（页码）</w:t>
      </w:r>
    </w:p>
    <w:p w14:paraId="09F877B8">
      <w:pPr>
        <w:spacing w:line="360" w:lineRule="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eastAsia="仿宋"/>
          <w:color w:val="auto"/>
          <w:sz w:val="24"/>
          <w:highlight w:val="none"/>
        </w:rPr>
        <w:t>残疾人福利性单位声明函（如有）</w:t>
      </w:r>
      <w:r>
        <w:rPr>
          <w:rFonts w:hint="eastAsia" w:ascii="仿宋" w:hAnsi="仿宋" w:eastAsia="仿宋" w:cs="仿宋"/>
          <w:color w:val="auto"/>
          <w:highlight w:val="none"/>
        </w:rPr>
        <w:t>…………………………………………………（页码）</w:t>
      </w:r>
    </w:p>
    <w:p w14:paraId="243BA83C">
      <w:pPr>
        <w:spacing w:line="360" w:lineRule="auto"/>
        <w:outlineLvl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 （</w:t>
      </w:r>
      <w:r>
        <w:rPr>
          <w:rFonts w:hint="eastAsia" w:ascii="仿宋" w:hAnsi="仿宋" w:eastAsia="仿宋" w:cs="仿宋"/>
          <w:color w:val="auto"/>
          <w:kern w:val="0"/>
          <w:sz w:val="24"/>
          <w:highlight w:val="none"/>
        </w:rPr>
        <w:t>页码）</w:t>
      </w:r>
    </w:p>
    <w:p w14:paraId="22B1D5E7">
      <w:pPr>
        <w:spacing w:line="360" w:lineRule="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）商务技术偏离表……………………………………………………………… （页码）</w:t>
      </w:r>
    </w:p>
    <w:p w14:paraId="7A381A76">
      <w:pPr>
        <w:pStyle w:val="33"/>
        <w:spacing w:line="360"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eastAsia="仿宋" w:cs="仿宋"/>
          <w:color w:val="auto"/>
          <w:highlight w:val="none"/>
          <w:lang w:val="en-US" w:eastAsia="zh-CN"/>
        </w:rPr>
        <w:t>10</w:t>
      </w:r>
      <w:r>
        <w:rPr>
          <w:rFonts w:hint="eastAsia" w:ascii="仿宋" w:hAnsi="仿宋" w:eastAsia="仿宋" w:cs="仿宋"/>
          <w:color w:val="auto"/>
          <w:highlight w:val="none"/>
        </w:rPr>
        <w:t>）廉政承诺书 ……………………………………………………………………（页码）</w:t>
      </w:r>
    </w:p>
    <w:p w14:paraId="7E5BBC1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注：以上目录是基本格式要求，各投标人可根据自身情况进一步细化。</w:t>
      </w:r>
    </w:p>
    <w:p w14:paraId="1F3BBD37">
      <w:pPr>
        <w:pageBreakBefore/>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1、法定代表人授权委托书（格式） </w:t>
      </w:r>
    </w:p>
    <w:p w14:paraId="556BC6D0">
      <w:pPr>
        <w:pStyle w:val="38"/>
        <w:keepNext/>
        <w:keepLines/>
        <w:pageBreakBefore w:val="0"/>
        <w:widowControl w:val="0"/>
        <w:kinsoku/>
        <w:wordWrap/>
        <w:overflowPunct/>
        <w:topLinePunct w:val="0"/>
        <w:autoSpaceDE/>
        <w:autoSpaceDN/>
        <w:bidi w:val="0"/>
        <w:adjustRightInd w:val="0"/>
        <w:snapToGrid/>
        <w:spacing w:line="600" w:lineRule="exact"/>
        <w:ind w:firstLine="480" w:firstLineChars="200"/>
        <w:jc w:val="left"/>
        <w:textAlignment w:val="baseline"/>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本授权委托书声明：我</w:t>
      </w:r>
      <w:r>
        <w:rPr>
          <w:rFonts w:hint="eastAsia" w:ascii="仿宋" w:hAnsi="仿宋" w:eastAsia="仿宋" w:cs="仿宋"/>
          <w:b w:val="0"/>
          <w:bCs w:val="0"/>
          <w:color w:val="auto"/>
          <w:sz w:val="24"/>
          <w:highlight w:val="none"/>
          <w:u w:val="single"/>
        </w:rPr>
        <w:t xml:space="preserve">         (填写姓名)</w:t>
      </w:r>
      <w:r>
        <w:rPr>
          <w:rFonts w:hint="eastAsia" w:ascii="仿宋" w:hAnsi="仿宋" w:eastAsia="仿宋" w:cs="仿宋"/>
          <w:b w:val="0"/>
          <w:bCs w:val="0"/>
          <w:color w:val="auto"/>
          <w:sz w:val="24"/>
          <w:highlight w:val="none"/>
        </w:rPr>
        <w:t>系</w:t>
      </w:r>
      <w:r>
        <w:rPr>
          <w:rFonts w:hint="eastAsia" w:ascii="仿宋" w:hAnsi="仿宋" w:eastAsia="仿宋" w:cs="仿宋"/>
          <w:b w:val="0"/>
          <w:bCs w:val="0"/>
          <w:color w:val="auto"/>
          <w:sz w:val="24"/>
          <w:highlight w:val="none"/>
          <w:u w:val="single"/>
        </w:rPr>
        <w:t xml:space="preserve">                   （填写投标人单位全称）</w:t>
      </w:r>
      <w:r>
        <w:rPr>
          <w:rFonts w:hint="eastAsia" w:ascii="仿宋" w:hAnsi="仿宋" w:eastAsia="仿宋" w:cs="仿宋"/>
          <w:b w:val="0"/>
          <w:bCs w:val="0"/>
          <w:color w:val="auto"/>
          <w:sz w:val="24"/>
          <w:highlight w:val="none"/>
        </w:rPr>
        <w:t>的法定代表人，现授权委托</w:t>
      </w:r>
      <w:r>
        <w:rPr>
          <w:rFonts w:hint="eastAsia" w:ascii="仿宋" w:hAnsi="仿宋" w:eastAsia="仿宋" w:cs="仿宋"/>
          <w:b w:val="0"/>
          <w:bCs w:val="0"/>
          <w:color w:val="auto"/>
          <w:sz w:val="24"/>
          <w:highlight w:val="none"/>
          <w:u w:val="single"/>
        </w:rPr>
        <w:t xml:space="preserve">                  （填写单位全称）</w:t>
      </w:r>
      <w:r>
        <w:rPr>
          <w:rFonts w:hint="eastAsia" w:ascii="仿宋" w:hAnsi="仿宋" w:eastAsia="仿宋" w:cs="仿宋"/>
          <w:b w:val="0"/>
          <w:bCs w:val="0"/>
          <w:color w:val="auto"/>
          <w:sz w:val="24"/>
          <w:highlight w:val="none"/>
        </w:rPr>
        <w:t>的（填写姓名）为我公司授权代表，</w:t>
      </w:r>
      <w:r>
        <w:rPr>
          <w:rFonts w:hint="eastAsia" w:ascii="仿宋" w:hAnsi="仿宋" w:eastAsia="仿宋" w:cs="仿宋"/>
          <w:b w:val="0"/>
          <w:bCs w:val="0"/>
          <w:color w:val="auto"/>
          <w:sz w:val="24"/>
          <w:highlight w:val="none"/>
          <w:u w:val="single"/>
        </w:rPr>
        <w:t>（填写身份证号码：                       ）</w:t>
      </w:r>
      <w:r>
        <w:rPr>
          <w:rFonts w:hint="eastAsia" w:ascii="仿宋" w:hAnsi="仿宋" w:eastAsia="仿宋" w:cs="仿宋"/>
          <w:b w:val="0"/>
          <w:bCs w:val="0"/>
          <w:color w:val="auto"/>
          <w:sz w:val="24"/>
          <w:highlight w:val="none"/>
        </w:rPr>
        <w:t>。以本公司的名义参加</w:t>
      </w:r>
      <w:r>
        <w:rPr>
          <w:rFonts w:hint="eastAsia" w:ascii="仿宋" w:hAnsi="仿宋" w:eastAsia="仿宋" w:cs="仿宋"/>
          <w:b w:val="0"/>
          <w:bCs w:val="0"/>
          <w:color w:val="auto"/>
          <w:sz w:val="24"/>
          <w:highlight w:val="none"/>
          <w:u w:val="single"/>
          <w:lang w:eastAsia="zh-CN"/>
        </w:rPr>
        <w:t>杭州市西湖区住房和城乡建设局、浙江中诚工程管理科技有限公司</w:t>
      </w:r>
      <w:r>
        <w:rPr>
          <w:rFonts w:hint="eastAsia" w:ascii="仿宋" w:hAnsi="仿宋" w:eastAsia="仿宋" w:cs="仿宋"/>
          <w:b w:val="0"/>
          <w:bCs w:val="0"/>
          <w:color w:val="auto"/>
          <w:sz w:val="24"/>
          <w:highlight w:val="none"/>
        </w:rPr>
        <w:t>组织的</w:t>
      </w:r>
      <w:r>
        <w:rPr>
          <w:rFonts w:hint="eastAsia" w:ascii="仿宋" w:hAnsi="仿宋" w:eastAsia="仿宋" w:cs="仿宋"/>
          <w:b w:val="0"/>
          <w:bCs w:val="0"/>
          <w:color w:val="auto"/>
          <w:sz w:val="24"/>
          <w:highlight w:val="none"/>
          <w:u w:val="single"/>
          <w:lang w:eastAsia="zh-CN"/>
        </w:rPr>
        <w:t>杭州市西湖区住房和城乡建设局建设工程消防验收技术服务框架协议采购项目</w:t>
      </w:r>
      <w:r>
        <w:rPr>
          <w:rFonts w:hint="eastAsia" w:ascii="仿宋" w:hAnsi="仿宋" w:eastAsia="仿宋" w:cs="仿宋"/>
          <w:b w:val="0"/>
          <w:bCs w:val="0"/>
          <w:color w:val="auto"/>
          <w:sz w:val="24"/>
          <w:szCs w:val="24"/>
          <w:highlight w:val="none"/>
          <w:u w:val="single"/>
        </w:rPr>
        <w:t>（封闭式）</w:t>
      </w:r>
      <w:r>
        <w:rPr>
          <w:rFonts w:hint="eastAsia" w:ascii="仿宋" w:hAnsi="仿宋" w:eastAsia="仿宋" w:cs="仿宋"/>
          <w:b w:val="0"/>
          <w:bCs w:val="0"/>
          <w:color w:val="auto"/>
          <w:sz w:val="24"/>
          <w:highlight w:val="none"/>
        </w:rPr>
        <w:t>投标活动。授权代表在开标、评标、合同谈判过程中所签署的一切文件和处理与之有关的一切事务，我均予以承认。</w:t>
      </w:r>
    </w:p>
    <w:p w14:paraId="7E1774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5381D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73CBEA7">
      <w:pPr>
        <w:snapToGrid w:val="0"/>
        <w:spacing w:line="360" w:lineRule="auto"/>
        <w:jc w:val="left"/>
        <w:rPr>
          <w:rFonts w:hint="eastAsia" w:ascii="仿宋" w:hAnsi="仿宋" w:eastAsia="仿宋" w:cs="仿宋"/>
          <w:color w:val="auto"/>
          <w:sz w:val="24"/>
          <w:highlight w:val="none"/>
        </w:rPr>
      </w:pPr>
    </w:p>
    <w:p w14:paraId="432ABA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5CAA829">
      <w:pPr>
        <w:spacing w:line="360" w:lineRule="auto"/>
        <w:rPr>
          <w:rFonts w:hint="eastAsia" w:ascii="仿宋" w:hAnsi="仿宋" w:eastAsia="仿宋" w:cs="仿宋"/>
          <w:color w:val="auto"/>
          <w:sz w:val="24"/>
          <w:highlight w:val="none"/>
        </w:rPr>
      </w:pPr>
    </w:p>
    <w:p w14:paraId="0FF425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34A4DDB">
      <w:pPr>
        <w:spacing w:line="360" w:lineRule="auto"/>
        <w:rPr>
          <w:rFonts w:hint="eastAsia" w:ascii="仿宋" w:hAnsi="仿宋" w:eastAsia="仿宋" w:cs="仿宋"/>
          <w:color w:val="auto"/>
          <w:sz w:val="24"/>
          <w:highlight w:val="none"/>
        </w:rPr>
      </w:pPr>
    </w:p>
    <w:p w14:paraId="58D0F11E">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1AD9442">
      <w:pPr>
        <w:spacing w:line="360" w:lineRule="auto"/>
        <w:rPr>
          <w:rFonts w:hint="eastAsia" w:ascii="仿宋" w:hAnsi="仿宋" w:eastAsia="仿宋" w:cs="仿宋"/>
          <w:color w:val="auto"/>
          <w:sz w:val="24"/>
          <w:highlight w:val="none"/>
        </w:rPr>
      </w:pPr>
    </w:p>
    <w:p w14:paraId="633A68DA">
      <w:pPr>
        <w:spacing w:line="360" w:lineRule="auto"/>
        <w:rPr>
          <w:rFonts w:hint="eastAsia" w:ascii="仿宋" w:hAnsi="仿宋" w:eastAsia="仿宋" w:cs="仿宋"/>
          <w:color w:val="auto"/>
          <w:sz w:val="24"/>
          <w:highlight w:val="none"/>
        </w:rPr>
      </w:pPr>
    </w:p>
    <w:p w14:paraId="572719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7ABBAFC3">
      <w:pPr>
        <w:spacing w:line="360" w:lineRule="auto"/>
        <w:rPr>
          <w:rFonts w:hint="eastAsia" w:ascii="仿宋" w:hAnsi="仿宋" w:eastAsia="仿宋" w:cs="仿宋"/>
          <w:color w:val="auto"/>
          <w:sz w:val="24"/>
          <w:highlight w:val="none"/>
        </w:rPr>
      </w:pPr>
    </w:p>
    <w:p w14:paraId="0923BD9B">
      <w:pPr>
        <w:spacing w:line="360" w:lineRule="auto"/>
        <w:rPr>
          <w:rFonts w:hint="eastAsia" w:ascii="仿宋" w:hAnsi="仿宋" w:eastAsia="仿宋" w:cs="仿宋"/>
          <w:color w:val="auto"/>
          <w:sz w:val="24"/>
          <w:highlight w:val="none"/>
        </w:rPr>
      </w:pPr>
    </w:p>
    <w:p w14:paraId="7A11D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10435FA7">
      <w:pPr>
        <w:spacing w:line="360" w:lineRule="auto"/>
        <w:rPr>
          <w:rFonts w:hint="eastAsia" w:ascii="仿宋" w:hAnsi="仿宋" w:eastAsia="仿宋" w:cs="仿宋"/>
          <w:color w:val="auto"/>
          <w:sz w:val="24"/>
          <w:highlight w:val="none"/>
        </w:rPr>
      </w:pPr>
    </w:p>
    <w:p w14:paraId="76B9BAAD">
      <w:pPr>
        <w:spacing w:line="360" w:lineRule="auto"/>
        <w:rPr>
          <w:rFonts w:hint="eastAsia" w:ascii="仿宋" w:hAnsi="仿宋" w:eastAsia="仿宋" w:cs="仿宋"/>
          <w:color w:val="auto"/>
          <w:sz w:val="24"/>
          <w:highlight w:val="none"/>
        </w:rPr>
      </w:pPr>
    </w:p>
    <w:p w14:paraId="097D7340">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777FCFC">
      <w:pPr>
        <w:pageBreakBefore/>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2、授权代表社保证明（复印件）</w:t>
      </w:r>
    </w:p>
    <w:p w14:paraId="4A40FA28">
      <w:pPr>
        <w:spacing w:line="360" w:lineRule="auto"/>
        <w:ind w:firstLine="480" w:firstLineChars="2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color w:val="auto"/>
          <w:sz w:val="24"/>
          <w:highlight w:val="none"/>
        </w:rPr>
        <w:t>未提供上述证明的投标做无效投标处理。</w:t>
      </w:r>
    </w:p>
    <w:p w14:paraId="083D4915">
      <w:pPr>
        <w:spacing w:line="360" w:lineRule="auto"/>
        <w:ind w:firstLine="4320" w:firstLineChars="1800"/>
        <w:rPr>
          <w:rFonts w:hint="eastAsia" w:ascii="仿宋" w:hAnsi="仿宋" w:eastAsia="仿宋" w:cs="仿宋"/>
          <w:color w:val="auto"/>
          <w:sz w:val="24"/>
          <w:highlight w:val="none"/>
        </w:rPr>
      </w:pPr>
    </w:p>
    <w:p w14:paraId="52DCEF00">
      <w:pPr>
        <w:spacing w:line="360" w:lineRule="auto"/>
        <w:ind w:firstLine="4337" w:firstLineChars="1800"/>
        <w:rPr>
          <w:rFonts w:hint="eastAsia" w:ascii="仿宋" w:hAnsi="仿宋" w:eastAsia="仿宋" w:cs="仿宋"/>
          <w:b/>
          <w:color w:val="auto"/>
          <w:sz w:val="24"/>
          <w:highlight w:val="none"/>
        </w:rPr>
      </w:pPr>
    </w:p>
    <w:p w14:paraId="35610BC1">
      <w:pPr>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3、法定代表人及其授权代表身份证复印件（正反面）</w:t>
      </w:r>
    </w:p>
    <w:p w14:paraId="760F316D">
      <w:pPr>
        <w:spacing w:line="360" w:lineRule="auto"/>
        <w:rPr>
          <w:rFonts w:hint="eastAsia" w:ascii="仿宋" w:hAnsi="仿宋" w:eastAsia="仿宋" w:cs="仿宋"/>
          <w:b/>
          <w:color w:val="auto"/>
          <w:sz w:val="24"/>
          <w:highlight w:val="none"/>
        </w:rPr>
      </w:pPr>
    </w:p>
    <w:p w14:paraId="2555D958">
      <w:pPr>
        <w:spacing w:line="360" w:lineRule="auto"/>
        <w:rPr>
          <w:rFonts w:hint="eastAsia" w:ascii="仿宋" w:hAnsi="仿宋" w:eastAsia="仿宋" w:cs="仿宋"/>
          <w:b/>
          <w:color w:val="auto"/>
          <w:sz w:val="24"/>
          <w:highlight w:val="none"/>
        </w:rPr>
      </w:pPr>
    </w:p>
    <w:p w14:paraId="36EC3329">
      <w:pPr>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4、法定代表人身份证明书(格式)</w:t>
      </w:r>
    </w:p>
    <w:p w14:paraId="04BFE9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427B41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84606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23FC02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B7FAB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6FA1E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3E5FB0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55E2D35">
      <w:pPr>
        <w:spacing w:line="360" w:lineRule="auto"/>
        <w:rPr>
          <w:rFonts w:hint="eastAsia" w:ascii="仿宋" w:hAnsi="仿宋" w:eastAsia="仿宋" w:cs="仿宋"/>
          <w:color w:val="auto"/>
          <w:sz w:val="24"/>
          <w:highlight w:val="none"/>
        </w:rPr>
      </w:pPr>
    </w:p>
    <w:p w14:paraId="6909B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                             （电子签章）</w:t>
      </w:r>
    </w:p>
    <w:p w14:paraId="74C675EF">
      <w:pPr>
        <w:spacing w:line="360" w:lineRule="auto"/>
        <w:rPr>
          <w:rFonts w:hint="eastAsia" w:ascii="仿宋" w:hAnsi="仿宋" w:eastAsia="仿宋" w:cs="仿宋"/>
          <w:color w:val="auto"/>
          <w:sz w:val="24"/>
          <w:highlight w:val="none"/>
        </w:rPr>
      </w:pPr>
    </w:p>
    <w:p w14:paraId="03088A6F">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0BC32D5">
      <w:pPr>
        <w:pageBreakBefore/>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0"/>
          <w:szCs w:val="30"/>
          <w:highlight w:val="none"/>
        </w:rPr>
        <w:t>5、</w:t>
      </w:r>
      <w:r>
        <w:rPr>
          <w:rFonts w:hint="eastAsia" w:ascii="仿宋" w:hAnsi="仿宋" w:eastAsia="仿宋" w:cs="仿宋"/>
          <w:b/>
          <w:color w:val="auto"/>
          <w:sz w:val="28"/>
          <w:szCs w:val="28"/>
          <w:highlight w:val="none"/>
        </w:rPr>
        <w:t>营业执照（或事业法人登记证或其他登记证明材料）（复印件）</w:t>
      </w:r>
    </w:p>
    <w:p w14:paraId="6D2171B7">
      <w:pPr>
        <w:spacing w:line="360" w:lineRule="auto"/>
        <w:rPr>
          <w:rFonts w:hint="eastAsia" w:ascii="仿宋" w:hAnsi="仿宋" w:eastAsia="仿宋" w:cs="仿宋"/>
          <w:b/>
          <w:color w:val="auto"/>
          <w:sz w:val="30"/>
          <w:szCs w:val="30"/>
          <w:highlight w:val="none"/>
        </w:rPr>
      </w:pPr>
    </w:p>
    <w:p w14:paraId="78219537">
      <w:pPr>
        <w:pStyle w:val="13"/>
        <w:spacing w:line="360" w:lineRule="auto"/>
        <w:ind w:firstLine="641"/>
        <w:rPr>
          <w:rFonts w:hint="eastAsia" w:ascii="仿宋" w:hAnsi="仿宋" w:eastAsia="仿宋" w:cs="仿宋"/>
          <w:b/>
          <w:color w:val="auto"/>
          <w:sz w:val="30"/>
          <w:szCs w:val="30"/>
          <w:highlight w:val="none"/>
        </w:rPr>
      </w:pPr>
    </w:p>
    <w:p w14:paraId="59BCB6B1">
      <w:pPr>
        <w:pStyle w:val="13"/>
        <w:spacing w:line="360" w:lineRule="auto"/>
        <w:ind w:firstLine="641"/>
        <w:rPr>
          <w:rFonts w:hint="eastAsia" w:ascii="仿宋" w:hAnsi="仿宋" w:eastAsia="仿宋" w:cs="仿宋"/>
          <w:b/>
          <w:color w:val="auto"/>
          <w:sz w:val="30"/>
          <w:szCs w:val="30"/>
          <w:highlight w:val="none"/>
        </w:rPr>
      </w:pPr>
    </w:p>
    <w:p w14:paraId="4F2DEB3E">
      <w:pPr>
        <w:pStyle w:val="13"/>
        <w:spacing w:line="360" w:lineRule="auto"/>
        <w:ind w:firstLine="641"/>
        <w:rPr>
          <w:rFonts w:hint="eastAsia" w:ascii="仿宋" w:hAnsi="仿宋" w:eastAsia="仿宋" w:cs="仿宋"/>
          <w:b/>
          <w:color w:val="auto"/>
          <w:sz w:val="30"/>
          <w:szCs w:val="30"/>
          <w:highlight w:val="none"/>
        </w:rPr>
      </w:pPr>
    </w:p>
    <w:p w14:paraId="4D45EB18">
      <w:pPr>
        <w:pStyle w:val="13"/>
        <w:spacing w:line="360" w:lineRule="auto"/>
        <w:ind w:firstLine="641"/>
        <w:rPr>
          <w:rFonts w:hint="eastAsia" w:ascii="仿宋" w:hAnsi="仿宋" w:eastAsia="仿宋" w:cs="仿宋"/>
          <w:b/>
          <w:color w:val="auto"/>
          <w:sz w:val="30"/>
          <w:szCs w:val="30"/>
          <w:highlight w:val="none"/>
        </w:rPr>
      </w:pPr>
    </w:p>
    <w:p w14:paraId="7095A1BE">
      <w:pPr>
        <w:pStyle w:val="13"/>
        <w:spacing w:line="360" w:lineRule="auto"/>
        <w:ind w:firstLine="641"/>
        <w:rPr>
          <w:rFonts w:hint="eastAsia" w:ascii="仿宋" w:hAnsi="仿宋" w:eastAsia="仿宋" w:cs="仿宋"/>
          <w:b/>
          <w:color w:val="auto"/>
          <w:sz w:val="30"/>
          <w:szCs w:val="30"/>
          <w:highlight w:val="none"/>
        </w:rPr>
      </w:pPr>
    </w:p>
    <w:p w14:paraId="684EA59C">
      <w:pPr>
        <w:pStyle w:val="13"/>
        <w:spacing w:line="360" w:lineRule="auto"/>
        <w:ind w:firstLine="641"/>
        <w:rPr>
          <w:rFonts w:hint="eastAsia" w:ascii="仿宋" w:hAnsi="仿宋" w:eastAsia="仿宋" w:cs="仿宋"/>
          <w:b/>
          <w:color w:val="auto"/>
          <w:sz w:val="30"/>
          <w:szCs w:val="30"/>
          <w:highlight w:val="none"/>
        </w:rPr>
      </w:pPr>
    </w:p>
    <w:p w14:paraId="43BE5BD2">
      <w:pPr>
        <w:spacing w:line="360" w:lineRule="auto"/>
        <w:rPr>
          <w:rFonts w:hint="eastAsia" w:ascii="仿宋" w:hAnsi="仿宋" w:eastAsia="仿宋" w:cs="仿宋"/>
          <w:b/>
          <w:color w:val="auto"/>
          <w:sz w:val="30"/>
          <w:szCs w:val="30"/>
          <w:highlight w:val="none"/>
        </w:rPr>
      </w:pPr>
    </w:p>
    <w:p w14:paraId="06804AF8">
      <w:pPr>
        <w:spacing w:line="360" w:lineRule="auto"/>
        <w:rPr>
          <w:rFonts w:hint="eastAsia" w:ascii="仿宋" w:hAnsi="仿宋" w:eastAsia="仿宋" w:cs="仿宋"/>
          <w:b/>
          <w:color w:val="auto"/>
          <w:sz w:val="30"/>
          <w:szCs w:val="30"/>
          <w:highlight w:val="none"/>
        </w:rPr>
      </w:pPr>
    </w:p>
    <w:p w14:paraId="29A3D0BB">
      <w:pPr>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6、征集标准相应的商务技术资料</w:t>
      </w:r>
    </w:p>
    <w:p w14:paraId="5E01E2AF">
      <w:pPr>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（按征集文件第四部分征集办法提供资料）</w:t>
      </w:r>
    </w:p>
    <w:p w14:paraId="2C25FE6D">
      <w:pPr>
        <w:spacing w:line="360" w:lineRule="auto"/>
        <w:rPr>
          <w:rFonts w:hint="eastAsia" w:ascii="仿宋" w:hAnsi="仿宋" w:eastAsia="仿宋" w:cs="仿宋"/>
          <w:b/>
          <w:color w:val="auto"/>
          <w:sz w:val="30"/>
          <w:szCs w:val="30"/>
          <w:highlight w:val="none"/>
        </w:rPr>
      </w:pPr>
    </w:p>
    <w:p w14:paraId="0394F7FF">
      <w:pPr>
        <w:spacing w:line="360" w:lineRule="auto"/>
        <w:rPr>
          <w:rFonts w:hint="eastAsia" w:ascii="仿宋" w:hAnsi="仿宋" w:eastAsia="仿宋" w:cs="仿宋"/>
          <w:b/>
          <w:color w:val="auto"/>
          <w:sz w:val="30"/>
          <w:szCs w:val="30"/>
          <w:highlight w:val="none"/>
        </w:rPr>
      </w:pPr>
    </w:p>
    <w:p w14:paraId="53291BE7">
      <w:pPr>
        <w:spacing w:line="360" w:lineRule="auto"/>
        <w:rPr>
          <w:rFonts w:hint="eastAsia" w:ascii="仿宋" w:hAnsi="仿宋" w:eastAsia="仿宋" w:cs="仿宋"/>
          <w:b/>
          <w:color w:val="auto"/>
          <w:sz w:val="30"/>
          <w:szCs w:val="30"/>
          <w:highlight w:val="none"/>
        </w:rPr>
      </w:pPr>
    </w:p>
    <w:p w14:paraId="1D8A8996">
      <w:pPr>
        <w:spacing w:line="360" w:lineRule="auto"/>
        <w:rPr>
          <w:rFonts w:hint="eastAsia" w:ascii="仿宋" w:hAnsi="仿宋" w:eastAsia="仿宋" w:cs="仿宋"/>
          <w:b/>
          <w:color w:val="auto"/>
          <w:sz w:val="30"/>
          <w:szCs w:val="30"/>
          <w:highlight w:val="none"/>
        </w:rPr>
      </w:pPr>
    </w:p>
    <w:p w14:paraId="623EFA1E">
      <w:pPr>
        <w:pageBreakBefore/>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7、商务技术偏离表</w:t>
      </w:r>
    </w:p>
    <w:p w14:paraId="5F4E78A9">
      <w:pPr>
        <w:spacing w:line="360" w:lineRule="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（由投标人根据采购需求及征集文件要求编制）</w:t>
      </w:r>
    </w:p>
    <w:tbl>
      <w:tblPr>
        <w:tblStyle w:val="1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14:paraId="1132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14:paraId="7E3DF653">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87" w:type="dxa"/>
            <w:tcBorders>
              <w:top w:val="single" w:color="auto" w:sz="4" w:space="0"/>
              <w:left w:val="single" w:color="auto" w:sz="4" w:space="0"/>
              <w:bottom w:val="single" w:color="auto" w:sz="4" w:space="0"/>
              <w:right w:val="single" w:color="auto" w:sz="4" w:space="0"/>
            </w:tcBorders>
          </w:tcPr>
          <w:p w14:paraId="188DB1CD">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征集文件要求</w:t>
            </w:r>
          </w:p>
        </w:tc>
        <w:tc>
          <w:tcPr>
            <w:tcW w:w="3818" w:type="dxa"/>
            <w:tcBorders>
              <w:top w:val="single" w:color="auto" w:sz="4" w:space="0"/>
              <w:left w:val="single" w:color="auto" w:sz="4" w:space="0"/>
              <w:bottom w:val="single" w:color="auto" w:sz="4" w:space="0"/>
              <w:right w:val="single" w:color="auto" w:sz="4" w:space="0"/>
            </w:tcBorders>
          </w:tcPr>
          <w:p w14:paraId="7F8AD6BA">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01" w:type="dxa"/>
            <w:tcBorders>
              <w:top w:val="single" w:color="auto" w:sz="4" w:space="0"/>
              <w:left w:val="single" w:color="auto" w:sz="4" w:space="0"/>
              <w:bottom w:val="single" w:color="auto" w:sz="4" w:space="0"/>
              <w:right w:val="single" w:color="auto" w:sz="4" w:space="0"/>
            </w:tcBorders>
          </w:tcPr>
          <w:p w14:paraId="00AAC6A6">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ED2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FFA05C9">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87" w:type="dxa"/>
            <w:tcBorders>
              <w:top w:val="single" w:color="auto" w:sz="4" w:space="0"/>
              <w:left w:val="single" w:color="auto" w:sz="4" w:space="0"/>
              <w:bottom w:val="single" w:color="auto" w:sz="4" w:space="0"/>
              <w:right w:val="single" w:color="auto" w:sz="4" w:space="0"/>
            </w:tcBorders>
            <w:vAlign w:val="center"/>
          </w:tcPr>
          <w:p w14:paraId="0F3E2029">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征集文件技术要求</w:t>
            </w:r>
          </w:p>
          <w:p w14:paraId="4F12144B">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14:paraId="74C1BD36">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14:paraId="794D3B24">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无偏离/正偏离/负偏离</w:t>
            </w:r>
          </w:p>
        </w:tc>
      </w:tr>
      <w:tr w14:paraId="29FB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F00C115">
            <w:pPr>
              <w:tabs>
                <w:tab w:val="left" w:pos="4905"/>
              </w:tabs>
              <w:spacing w:line="360" w:lineRule="auto"/>
              <w:jc w:val="center"/>
              <w:rPr>
                <w:rFonts w:hint="eastAsia" w:ascii="仿宋" w:hAnsi="仿宋" w:eastAsia="仿宋" w:cs="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14:paraId="39E0CC05">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14:paraId="15DEC193">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14:paraId="369CA49F">
            <w:pPr>
              <w:tabs>
                <w:tab w:val="left" w:pos="4905"/>
              </w:tabs>
              <w:spacing w:line="360" w:lineRule="auto"/>
              <w:jc w:val="center"/>
              <w:rPr>
                <w:rFonts w:hint="eastAsia" w:ascii="仿宋" w:hAnsi="仿宋" w:eastAsia="仿宋" w:cs="仿宋"/>
                <w:color w:val="auto"/>
                <w:sz w:val="24"/>
                <w:highlight w:val="none"/>
              </w:rPr>
            </w:pPr>
          </w:p>
        </w:tc>
      </w:tr>
      <w:tr w14:paraId="1434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32ED6B7">
            <w:pPr>
              <w:tabs>
                <w:tab w:val="left" w:pos="4905"/>
              </w:tabs>
              <w:spacing w:line="360" w:lineRule="auto"/>
              <w:jc w:val="center"/>
              <w:rPr>
                <w:rFonts w:hint="eastAsia" w:ascii="仿宋" w:hAnsi="仿宋" w:eastAsia="仿宋" w:cs="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14:paraId="4477EAC5">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14:paraId="0197DA14">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7A410D49">
            <w:pPr>
              <w:tabs>
                <w:tab w:val="left" w:pos="4905"/>
              </w:tabs>
              <w:spacing w:line="360" w:lineRule="auto"/>
              <w:jc w:val="center"/>
              <w:rPr>
                <w:rFonts w:hint="eastAsia" w:ascii="仿宋" w:hAnsi="仿宋" w:eastAsia="仿宋" w:cs="仿宋"/>
                <w:color w:val="auto"/>
                <w:sz w:val="24"/>
                <w:highlight w:val="none"/>
              </w:rPr>
            </w:pPr>
          </w:p>
        </w:tc>
      </w:tr>
      <w:tr w14:paraId="5008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43683FA">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87" w:type="dxa"/>
            <w:tcBorders>
              <w:top w:val="single" w:color="auto" w:sz="4" w:space="0"/>
              <w:left w:val="single" w:color="auto" w:sz="4" w:space="0"/>
              <w:bottom w:val="single" w:color="auto" w:sz="4" w:space="0"/>
              <w:right w:val="single" w:color="auto" w:sz="4" w:space="0"/>
            </w:tcBorders>
            <w:vAlign w:val="center"/>
          </w:tcPr>
          <w:p w14:paraId="559BBB6B">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14:paraId="5910FFEF">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7A300C15">
            <w:pPr>
              <w:tabs>
                <w:tab w:val="left" w:pos="4905"/>
              </w:tabs>
              <w:spacing w:line="360" w:lineRule="auto"/>
              <w:jc w:val="center"/>
              <w:rPr>
                <w:rFonts w:hint="eastAsia" w:ascii="仿宋" w:hAnsi="仿宋" w:eastAsia="仿宋" w:cs="仿宋"/>
                <w:color w:val="auto"/>
                <w:sz w:val="24"/>
                <w:highlight w:val="none"/>
              </w:rPr>
            </w:pPr>
          </w:p>
        </w:tc>
      </w:tr>
      <w:tr w14:paraId="6BAA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25CBC3C">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087" w:type="dxa"/>
            <w:tcBorders>
              <w:top w:val="single" w:color="auto" w:sz="4" w:space="0"/>
              <w:left w:val="single" w:color="auto" w:sz="4" w:space="0"/>
              <w:bottom w:val="single" w:color="auto" w:sz="4" w:space="0"/>
              <w:right w:val="single" w:color="auto" w:sz="4" w:space="0"/>
            </w:tcBorders>
            <w:vAlign w:val="center"/>
          </w:tcPr>
          <w:p w14:paraId="1280D5CB">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14:paraId="3443C3F0">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1D75BB01">
            <w:pPr>
              <w:tabs>
                <w:tab w:val="left" w:pos="4905"/>
              </w:tabs>
              <w:spacing w:line="360" w:lineRule="auto"/>
              <w:jc w:val="center"/>
              <w:rPr>
                <w:rFonts w:hint="eastAsia" w:ascii="仿宋" w:hAnsi="仿宋" w:eastAsia="仿宋" w:cs="仿宋"/>
                <w:color w:val="auto"/>
                <w:sz w:val="24"/>
                <w:highlight w:val="none"/>
              </w:rPr>
            </w:pPr>
          </w:p>
        </w:tc>
      </w:tr>
      <w:tr w14:paraId="4FF2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96359A7">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087" w:type="dxa"/>
            <w:tcBorders>
              <w:top w:val="single" w:color="auto" w:sz="4" w:space="0"/>
              <w:left w:val="single" w:color="auto" w:sz="4" w:space="0"/>
              <w:bottom w:val="single" w:color="auto" w:sz="4" w:space="0"/>
              <w:right w:val="single" w:color="auto" w:sz="4" w:space="0"/>
            </w:tcBorders>
            <w:vAlign w:val="center"/>
          </w:tcPr>
          <w:p w14:paraId="71714A8A">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14:paraId="23F22183">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733F856D">
            <w:pPr>
              <w:tabs>
                <w:tab w:val="left" w:pos="4905"/>
              </w:tabs>
              <w:spacing w:line="360" w:lineRule="auto"/>
              <w:jc w:val="center"/>
              <w:rPr>
                <w:rFonts w:hint="eastAsia" w:ascii="仿宋" w:hAnsi="仿宋" w:eastAsia="仿宋" w:cs="仿宋"/>
                <w:color w:val="auto"/>
                <w:sz w:val="24"/>
                <w:highlight w:val="none"/>
              </w:rPr>
            </w:pPr>
          </w:p>
        </w:tc>
      </w:tr>
      <w:tr w14:paraId="585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A82B24B">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087" w:type="dxa"/>
            <w:tcBorders>
              <w:top w:val="single" w:color="auto" w:sz="4" w:space="0"/>
              <w:left w:val="single" w:color="auto" w:sz="4" w:space="0"/>
              <w:bottom w:val="single" w:color="auto" w:sz="4" w:space="0"/>
              <w:right w:val="single" w:color="auto" w:sz="4" w:space="0"/>
            </w:tcBorders>
            <w:vAlign w:val="center"/>
          </w:tcPr>
          <w:p w14:paraId="0449FF22">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14:paraId="26C0D271">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72660A1A">
            <w:pPr>
              <w:tabs>
                <w:tab w:val="left" w:pos="4905"/>
              </w:tabs>
              <w:spacing w:line="360" w:lineRule="auto"/>
              <w:jc w:val="center"/>
              <w:rPr>
                <w:rFonts w:hint="eastAsia" w:ascii="仿宋" w:hAnsi="仿宋" w:eastAsia="仿宋" w:cs="仿宋"/>
                <w:color w:val="auto"/>
                <w:sz w:val="24"/>
                <w:highlight w:val="none"/>
              </w:rPr>
            </w:pPr>
          </w:p>
        </w:tc>
      </w:tr>
      <w:tr w14:paraId="11A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C84F369">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087" w:type="dxa"/>
            <w:tcBorders>
              <w:top w:val="single" w:color="auto" w:sz="4" w:space="0"/>
              <w:left w:val="single" w:color="auto" w:sz="4" w:space="0"/>
              <w:bottom w:val="single" w:color="auto" w:sz="4" w:space="0"/>
              <w:right w:val="single" w:color="auto" w:sz="4" w:space="0"/>
            </w:tcBorders>
            <w:vAlign w:val="center"/>
          </w:tcPr>
          <w:p w14:paraId="2F785B50">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14:paraId="1514757E">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2009F446">
            <w:pPr>
              <w:tabs>
                <w:tab w:val="left" w:pos="4905"/>
              </w:tabs>
              <w:spacing w:line="360" w:lineRule="auto"/>
              <w:jc w:val="center"/>
              <w:rPr>
                <w:rFonts w:hint="eastAsia" w:ascii="仿宋" w:hAnsi="仿宋" w:eastAsia="仿宋" w:cs="仿宋"/>
                <w:color w:val="auto"/>
                <w:sz w:val="24"/>
                <w:highlight w:val="none"/>
              </w:rPr>
            </w:pPr>
          </w:p>
        </w:tc>
      </w:tr>
      <w:tr w14:paraId="7F6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C14969B">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087" w:type="dxa"/>
            <w:tcBorders>
              <w:top w:val="single" w:color="auto" w:sz="4" w:space="0"/>
              <w:left w:val="single" w:color="auto" w:sz="4" w:space="0"/>
              <w:bottom w:val="single" w:color="auto" w:sz="4" w:space="0"/>
              <w:right w:val="single" w:color="auto" w:sz="4" w:space="0"/>
            </w:tcBorders>
            <w:vAlign w:val="center"/>
          </w:tcPr>
          <w:p w14:paraId="42DA3F90">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14:paraId="6454CBFB">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113AF8BA">
            <w:pPr>
              <w:tabs>
                <w:tab w:val="left" w:pos="4905"/>
              </w:tabs>
              <w:spacing w:line="360" w:lineRule="auto"/>
              <w:jc w:val="center"/>
              <w:rPr>
                <w:rFonts w:hint="eastAsia" w:ascii="仿宋" w:hAnsi="仿宋" w:eastAsia="仿宋" w:cs="仿宋"/>
                <w:color w:val="auto"/>
                <w:sz w:val="24"/>
                <w:highlight w:val="none"/>
              </w:rPr>
            </w:pPr>
          </w:p>
        </w:tc>
      </w:tr>
      <w:tr w14:paraId="7C35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23D3A8D">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087" w:type="dxa"/>
            <w:tcBorders>
              <w:top w:val="single" w:color="auto" w:sz="4" w:space="0"/>
              <w:left w:val="single" w:color="auto" w:sz="4" w:space="0"/>
              <w:bottom w:val="single" w:color="auto" w:sz="4" w:space="0"/>
              <w:right w:val="single" w:color="auto" w:sz="4" w:space="0"/>
            </w:tcBorders>
            <w:vAlign w:val="center"/>
          </w:tcPr>
          <w:p w14:paraId="713F5913">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14:paraId="7192BD6B">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35631977">
            <w:pPr>
              <w:tabs>
                <w:tab w:val="left" w:pos="4905"/>
              </w:tabs>
              <w:spacing w:line="360" w:lineRule="auto"/>
              <w:jc w:val="center"/>
              <w:rPr>
                <w:rFonts w:hint="eastAsia" w:ascii="仿宋" w:hAnsi="仿宋" w:eastAsia="仿宋" w:cs="仿宋"/>
                <w:color w:val="auto"/>
                <w:sz w:val="24"/>
                <w:highlight w:val="none"/>
              </w:rPr>
            </w:pPr>
          </w:p>
        </w:tc>
      </w:tr>
      <w:tr w14:paraId="5E0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82AB301">
            <w:pPr>
              <w:tabs>
                <w:tab w:val="left" w:pos="4905"/>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087" w:type="dxa"/>
            <w:tcBorders>
              <w:top w:val="single" w:color="auto" w:sz="4" w:space="0"/>
              <w:left w:val="single" w:color="auto" w:sz="4" w:space="0"/>
              <w:bottom w:val="single" w:color="auto" w:sz="4" w:space="0"/>
              <w:right w:val="single" w:color="auto" w:sz="4" w:space="0"/>
            </w:tcBorders>
            <w:vAlign w:val="center"/>
          </w:tcPr>
          <w:p w14:paraId="302AB4BE">
            <w:pPr>
              <w:tabs>
                <w:tab w:val="left" w:pos="490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14:paraId="6231AE4C">
            <w:pPr>
              <w:tabs>
                <w:tab w:val="left" w:pos="4905"/>
              </w:tabs>
              <w:spacing w:line="360" w:lineRule="auto"/>
              <w:rPr>
                <w:rFonts w:hint="eastAsia" w:ascii="仿宋" w:hAnsi="仿宋" w:eastAsia="仿宋" w:cs="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5EC29C3A">
            <w:pPr>
              <w:tabs>
                <w:tab w:val="left" w:pos="4905"/>
              </w:tabs>
              <w:spacing w:line="360" w:lineRule="auto"/>
              <w:jc w:val="center"/>
              <w:rPr>
                <w:rFonts w:hint="eastAsia" w:ascii="仿宋" w:hAnsi="仿宋" w:eastAsia="仿宋" w:cs="仿宋"/>
                <w:color w:val="auto"/>
                <w:sz w:val="24"/>
                <w:highlight w:val="none"/>
              </w:rPr>
            </w:pPr>
          </w:p>
        </w:tc>
      </w:tr>
    </w:tbl>
    <w:p w14:paraId="2A19D0D8">
      <w:pPr>
        <w:tabs>
          <w:tab w:val="left" w:pos="570"/>
        </w:tabs>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注：1.此表须与</w:t>
      </w:r>
      <w:r>
        <w:rPr>
          <w:rFonts w:hint="eastAsia" w:ascii="仿宋" w:hAnsi="仿宋" w:eastAsia="仿宋" w:cs="仿宋"/>
          <w:color w:val="auto"/>
          <w:kern w:val="0"/>
          <w:sz w:val="24"/>
          <w:highlight w:val="none"/>
        </w:rPr>
        <w:t>征集文件“</w:t>
      </w:r>
      <w:r>
        <w:rPr>
          <w:rFonts w:hint="eastAsia" w:ascii="仿宋" w:hAnsi="仿宋" w:eastAsia="仿宋" w:cs="仿宋"/>
          <w:color w:val="auto"/>
          <w:sz w:val="24"/>
          <w:highlight w:val="none"/>
        </w:rPr>
        <w:t>招标项目说明及要求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相应标项内的所有技术规格相比较且一一对应真实逐条填列。</w:t>
      </w:r>
    </w:p>
    <w:p w14:paraId="651B9A8F">
      <w:pPr>
        <w:tabs>
          <w:tab w:val="left" w:pos="570"/>
        </w:tabs>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2、投标人递交的技术规格书中必须真实逐条列明，否则由投标人自行承担相关风险。</w:t>
      </w:r>
    </w:p>
    <w:p w14:paraId="16B729B3">
      <w:pPr>
        <w:autoSpaceDE w:val="0"/>
        <w:autoSpaceDN w:val="0"/>
        <w:spacing w:line="360" w:lineRule="auto"/>
        <w:ind w:firstLine="5040" w:firstLineChars="2100"/>
        <w:rPr>
          <w:rFonts w:hint="eastAsia" w:ascii="仿宋" w:hAnsi="仿宋" w:eastAsia="仿宋" w:cs="仿宋"/>
          <w:color w:val="auto"/>
          <w:kern w:val="0"/>
          <w:sz w:val="24"/>
          <w:highlight w:val="none"/>
          <w:lang w:val="zh-CN"/>
        </w:rPr>
      </w:pPr>
    </w:p>
    <w:p w14:paraId="3B098281">
      <w:pPr>
        <w:spacing w:line="360" w:lineRule="auto"/>
        <w:ind w:firstLine="480" w:firstLineChars="200"/>
        <w:rPr>
          <w:rFonts w:hint="eastAsia" w:ascii="仿宋" w:hAnsi="仿宋" w:eastAsia="仿宋" w:cs="仿宋"/>
          <w:color w:val="auto"/>
          <w:sz w:val="24"/>
          <w:szCs w:val="20"/>
          <w:highlight w:val="none"/>
        </w:rPr>
      </w:pPr>
    </w:p>
    <w:p w14:paraId="52A9F97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 (电子签章)：</w:t>
      </w:r>
    </w:p>
    <w:p w14:paraId="7EF81D9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法定代表人或其授权代表(签字或盖章)：</w:t>
      </w:r>
    </w:p>
    <w:p w14:paraId="59A6EF25">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4C1AE0F6">
      <w:pPr>
        <w:spacing w:line="360" w:lineRule="auto"/>
        <w:rPr>
          <w:rFonts w:hint="eastAsia" w:ascii="仿宋" w:hAnsi="仿宋" w:eastAsia="仿宋" w:cs="仿宋"/>
          <w:b/>
          <w:color w:val="auto"/>
          <w:sz w:val="30"/>
          <w:szCs w:val="30"/>
          <w:highlight w:val="none"/>
        </w:rPr>
      </w:pPr>
    </w:p>
    <w:p w14:paraId="6D0B0240">
      <w:pPr>
        <w:spacing w:line="360" w:lineRule="auto"/>
        <w:jc w:val="center"/>
        <w:rPr>
          <w:rFonts w:hint="eastAsia" w:ascii="仿宋" w:hAnsi="仿宋" w:eastAsia="仿宋" w:cs="仿宋"/>
          <w:b/>
          <w:color w:val="auto"/>
          <w:kern w:val="0"/>
          <w:sz w:val="32"/>
          <w:szCs w:val="32"/>
          <w:highlight w:val="none"/>
        </w:rPr>
      </w:pPr>
    </w:p>
    <w:p w14:paraId="5D7EDF3E">
      <w:pPr>
        <w:pStyle w:val="34"/>
        <w:ind w:firstLine="0"/>
        <w:jc w:val="both"/>
        <w:rPr>
          <w:rFonts w:hint="eastAsia" w:ascii="仿宋" w:hAnsi="仿宋" w:eastAsia="仿宋" w:cs="仿宋"/>
          <w:color w:val="auto"/>
          <w:highlight w:val="none"/>
        </w:rPr>
      </w:pPr>
    </w:p>
    <w:p w14:paraId="69A21099">
      <w:pPr>
        <w:pStyle w:val="34"/>
        <w:pageBreakBefore/>
        <w:ind w:firstLine="0"/>
        <w:jc w:val="both"/>
        <w:rPr>
          <w:rFonts w:hint="eastAsia" w:ascii="仿宋" w:hAnsi="仿宋" w:eastAsia="仿宋" w:cs="仿宋"/>
          <w:color w:val="auto"/>
          <w:highlight w:val="none"/>
        </w:rPr>
      </w:pPr>
      <w:r>
        <w:rPr>
          <w:rFonts w:hint="eastAsia" w:ascii="仿宋" w:hAnsi="仿宋" w:eastAsia="仿宋" w:cs="仿宋"/>
          <w:color w:val="auto"/>
          <w:highlight w:val="none"/>
        </w:rPr>
        <w:t>8、廉政承诺书</w:t>
      </w:r>
    </w:p>
    <w:p w14:paraId="61F064B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杭州市西湖区住房和城乡建设局 ：    </w:t>
      </w:r>
    </w:p>
    <w:p w14:paraId="0AD52F5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 xml:space="preserve">项目招标要求参加投标。在这次投标过程中和中标后，我们将严格遵守国家法律法规要求，并郑重承诺：    </w:t>
      </w:r>
    </w:p>
    <w:p w14:paraId="3F73AD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4FB0A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1B8844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7B100E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四、不为项目有关人员及部门出国（境）、旅游等提供方便；    </w:t>
      </w:r>
    </w:p>
    <w:p w14:paraId="32DC02E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五、不为项目有关人员个人装修住房、婚丧嫁娶、配偶子女工作安排等提供好处；    </w:t>
      </w:r>
    </w:p>
    <w:p w14:paraId="59AE6A0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六、严格遵守政府采购法等法律法规，诚实守信，合法经营，坚决抵制各种违法违纪行为。    </w:t>
      </w:r>
    </w:p>
    <w:p w14:paraId="0FEF703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C1A5E08">
      <w:pPr>
        <w:autoSpaceDE w:val="0"/>
        <w:autoSpaceDN w:val="0"/>
        <w:spacing w:line="360" w:lineRule="auto"/>
        <w:jc w:val="left"/>
        <w:rPr>
          <w:rFonts w:hint="eastAsia" w:ascii="仿宋" w:hAnsi="仿宋" w:eastAsia="仿宋" w:cs="仿宋"/>
          <w:color w:val="auto"/>
          <w:kern w:val="0"/>
          <w:sz w:val="24"/>
          <w:highlight w:val="none"/>
          <w:lang w:val="zh-CN"/>
        </w:rPr>
      </w:pPr>
    </w:p>
    <w:p w14:paraId="61AB748A">
      <w:pPr>
        <w:autoSpaceDE w:val="0"/>
        <w:autoSpaceDN w:val="0"/>
        <w:spacing w:line="360" w:lineRule="auto"/>
        <w:jc w:val="left"/>
        <w:rPr>
          <w:rFonts w:hint="eastAsia" w:ascii="仿宋" w:hAnsi="仿宋" w:eastAsia="仿宋" w:cs="仿宋"/>
          <w:color w:val="auto"/>
          <w:kern w:val="0"/>
          <w:sz w:val="24"/>
          <w:highlight w:val="none"/>
          <w:lang w:val="zh-CN"/>
        </w:rPr>
      </w:pPr>
    </w:p>
    <w:p w14:paraId="5486A091">
      <w:pPr>
        <w:autoSpaceDE w:val="0"/>
        <w:autoSpaceDN w:val="0"/>
        <w:spacing w:line="360" w:lineRule="auto"/>
        <w:jc w:val="left"/>
        <w:rPr>
          <w:rFonts w:hint="eastAsia" w:ascii="仿宋" w:hAnsi="仿宋" w:eastAsia="仿宋" w:cs="仿宋"/>
          <w:color w:val="auto"/>
          <w:kern w:val="0"/>
          <w:sz w:val="24"/>
          <w:highlight w:val="none"/>
          <w:lang w:val="zh-CN"/>
        </w:rPr>
      </w:pPr>
    </w:p>
    <w:p w14:paraId="480F2741">
      <w:pPr>
        <w:spacing w:line="360" w:lineRule="auto"/>
        <w:ind w:firstLine="480" w:firstLineChars="200"/>
        <w:rPr>
          <w:rFonts w:hint="eastAsia" w:ascii="仿宋" w:hAnsi="仿宋" w:eastAsia="仿宋" w:cs="仿宋"/>
          <w:color w:val="auto"/>
          <w:sz w:val="24"/>
          <w:szCs w:val="20"/>
          <w:highlight w:val="none"/>
        </w:rPr>
      </w:pPr>
    </w:p>
    <w:p w14:paraId="643CF6B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 (电子签章)：</w:t>
      </w:r>
    </w:p>
    <w:p w14:paraId="42AE5E2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法定代表人或其授权代表(签字或盖章)：</w:t>
      </w:r>
    </w:p>
    <w:p w14:paraId="0D1BF4BC">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2A5689A2">
      <w:pPr>
        <w:spacing w:line="360" w:lineRule="auto"/>
        <w:jc w:val="center"/>
        <w:rPr>
          <w:rFonts w:hint="eastAsia" w:ascii="仿宋" w:hAnsi="仿宋" w:eastAsia="仿宋" w:cs="仿宋"/>
          <w:b/>
          <w:bCs/>
          <w:color w:val="auto"/>
          <w:sz w:val="32"/>
          <w:szCs w:val="32"/>
          <w:highlight w:val="none"/>
        </w:rPr>
      </w:pPr>
    </w:p>
    <w:p w14:paraId="4BCD3946">
      <w:pPr>
        <w:spacing w:line="360" w:lineRule="auto"/>
        <w:jc w:val="center"/>
        <w:rPr>
          <w:rFonts w:hint="eastAsia" w:ascii="仿宋" w:hAnsi="仿宋" w:eastAsia="仿宋" w:cs="仿宋"/>
          <w:b/>
          <w:bCs/>
          <w:color w:val="auto"/>
          <w:sz w:val="32"/>
          <w:szCs w:val="32"/>
          <w:highlight w:val="none"/>
        </w:rPr>
      </w:pPr>
    </w:p>
    <w:p w14:paraId="441173F0">
      <w:pPr>
        <w:pStyle w:val="3"/>
        <w:numPr>
          <w:ilvl w:val="0"/>
          <w:numId w:val="0"/>
        </w:numPr>
        <w:spacing w:before="0" w:after="0" w:line="360" w:lineRule="auto"/>
        <w:rPr>
          <w:rFonts w:hint="eastAsia" w:ascii="仿宋" w:hAnsi="仿宋" w:eastAsia="仿宋" w:cs="仿宋"/>
          <w:color w:val="auto"/>
          <w:highlight w:val="none"/>
        </w:rPr>
      </w:pPr>
    </w:p>
    <w:p w14:paraId="5A5EDFE0">
      <w:pPr>
        <w:pageBreakBefore/>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9</w:t>
      </w:r>
      <w:r>
        <w:rPr>
          <w:rFonts w:hint="eastAsia" w:ascii="仿宋" w:hAnsi="仿宋" w:eastAsia="仿宋" w:cs="仿宋"/>
          <w:b/>
          <w:color w:val="auto"/>
          <w:kern w:val="0"/>
          <w:sz w:val="32"/>
          <w:szCs w:val="32"/>
          <w:highlight w:val="none"/>
          <w:lang w:val="zh-CN"/>
        </w:rPr>
        <w:t>、落实政府采购政策需满足的资格要求</w:t>
      </w:r>
    </w:p>
    <w:p w14:paraId="3DE10E0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（根据招标公告落实政府采购政策需满足的资格要求选择提供相应的材料；未要求的，无需提供）</w:t>
      </w:r>
    </w:p>
    <w:p w14:paraId="4BEA19E3">
      <w:pPr>
        <w:snapToGrid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w:t>
      </w:r>
      <w:r>
        <w:rPr>
          <w:rFonts w:hint="eastAsia" w:ascii="仿宋" w:hAnsi="仿宋" w:eastAsia="仿宋" w:cs="仿宋"/>
          <w:b/>
          <w:color w:val="auto"/>
          <w:sz w:val="24"/>
          <w:highlight w:val="none"/>
        </w:rPr>
        <w:t>中小企业声明函</w:t>
      </w:r>
      <w:r>
        <w:rPr>
          <w:rFonts w:hint="eastAsia" w:ascii="仿宋" w:hAnsi="仿宋" w:eastAsia="仿宋" w:cs="仿宋"/>
          <w:color w:val="auto"/>
          <w:sz w:val="24"/>
          <w:highlight w:val="none"/>
        </w:rPr>
        <w:t xml:space="preserve">（附件）。 </w:t>
      </w:r>
    </w:p>
    <w:p w14:paraId="57AC34E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w:t>
      </w:r>
      <w:r>
        <w:rPr>
          <w:rFonts w:hint="eastAsia" w:ascii="仿宋" w:hAnsi="仿宋" w:eastAsia="仿宋" w:cs="仿宋"/>
          <w:b/>
          <w:color w:val="auto"/>
          <w:sz w:val="24"/>
          <w:highlight w:val="none"/>
        </w:rPr>
        <w:t>中小企业声明函</w:t>
      </w:r>
      <w:r>
        <w:rPr>
          <w:rFonts w:hint="eastAsia" w:ascii="仿宋" w:hAnsi="仿宋" w:eastAsia="仿宋" w:cs="仿宋"/>
          <w:color w:val="auto"/>
          <w:sz w:val="24"/>
          <w:highlight w:val="none"/>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ADE5C29">
      <w:pPr>
        <w:snapToGrid w:val="0"/>
        <w:spacing w:line="360" w:lineRule="auto"/>
        <w:jc w:val="center"/>
        <w:rPr>
          <w:rFonts w:hint="eastAsia" w:ascii="仿宋" w:hAnsi="仿宋" w:eastAsia="仿宋" w:cs="仿宋"/>
          <w:b/>
          <w:color w:val="auto"/>
          <w:kern w:val="0"/>
          <w:sz w:val="32"/>
          <w:szCs w:val="32"/>
          <w:highlight w:val="none"/>
          <w:lang w:val="zh-CN"/>
        </w:rPr>
      </w:pPr>
    </w:p>
    <w:p w14:paraId="6B63CC19">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4E6608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99EB9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5A64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授权代表根据征集文件规定及投标内容而对采购人、采购机构所作的任何合法承诺，包括书面澄清及相应等均对联合投标各方产生约束力。</w:t>
      </w:r>
    </w:p>
    <w:p w14:paraId="5C8C83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7ACE0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792F34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0A01C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615CC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FF2F0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60494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2CFD38F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B93351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67BB4E4">
      <w:pPr>
        <w:snapToGrid w:val="0"/>
        <w:spacing w:line="360" w:lineRule="auto"/>
        <w:ind w:firstLine="5760" w:firstLineChars="2400"/>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C0ED9C4">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0A864D98">
      <w:pPr>
        <w:pageBreakBefore/>
        <w:spacing w:line="360" w:lineRule="auto"/>
        <w:ind w:firstLine="482" w:firstLineChars="200"/>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w:t>
      </w:r>
      <w:r>
        <w:rPr>
          <w:rFonts w:hint="eastAsia" w:ascii="仿宋" w:hAnsi="仿宋" w:eastAsia="仿宋" w:cs="仿宋"/>
          <w:b/>
          <w:color w:val="auto"/>
          <w:sz w:val="24"/>
          <w:highlight w:val="none"/>
        </w:rPr>
        <w:t>中小企业声明函（附件）</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314FC305">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3B37ADB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A6BD4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CCB8D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98C0B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w:t>
      </w:r>
      <w:r>
        <w:rPr>
          <w:rFonts w:hint="eastAsia" w:ascii="仿宋" w:hAnsi="仿宋" w:eastAsia="仿宋" w:cs="仿宋"/>
          <w:color w:val="auto"/>
          <w:kern w:val="0"/>
          <w:sz w:val="24"/>
          <w:highlight w:val="none"/>
          <w:lang w:val="zh-CN"/>
        </w:rPr>
        <w:t>应商名称），具备承担XX工作内容相应资质条件且不得再次分包；</w:t>
      </w:r>
    </w:p>
    <w:p w14:paraId="33496022">
      <w:pPr>
        <w:snapToGrid w:val="0"/>
        <w:spacing w:line="360" w:lineRule="auto"/>
        <w:ind w:firstLine="964" w:firstLineChars="4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p>
    <w:p w14:paraId="241BF5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B4FB9E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7F158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608EA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60057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B91E2D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259C893">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4CF4E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E854A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7042AE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53490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2F3C881">
      <w:pPr>
        <w:snapToGrid w:val="0"/>
        <w:spacing w:line="360" w:lineRule="auto"/>
        <w:ind w:left="5039" w:leftChars="228" w:hanging="4560" w:hanging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E10CF4A">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99626E9">
      <w:pPr>
        <w:snapToGrid w:val="0"/>
        <w:spacing w:line="360" w:lineRule="auto"/>
        <w:ind w:firstLine="6000" w:firstLineChars="25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440A9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49FA3B">
      <w:pPr>
        <w:pageBreakBefore/>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业务专用章使用说明函</w:t>
      </w:r>
    </w:p>
    <w:p w14:paraId="6E7B60FE">
      <w:pPr>
        <w:spacing w:line="360" w:lineRule="auto"/>
        <w:rPr>
          <w:rFonts w:hint="eastAsia" w:ascii="仿宋" w:hAnsi="仿宋" w:eastAsia="仿宋" w:cs="仿宋"/>
          <w:color w:val="auto"/>
          <w:sz w:val="24"/>
          <w:highlight w:val="none"/>
          <w:u w:val="single"/>
        </w:rPr>
      </w:pPr>
    </w:p>
    <w:p w14:paraId="45F930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（征集人）、（征集代理机构）</w:t>
      </w:r>
    </w:p>
    <w:p w14:paraId="591EE0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你方组织的（征集项目名称）项目【征集编号：      】</w:t>
      </w:r>
      <w:r>
        <w:rPr>
          <w:rFonts w:hint="eastAsia" w:ascii="仿宋" w:hAnsi="仿宋" w:eastAsia="仿宋" w:cs="仿宋"/>
          <w:bCs/>
          <w:color w:val="auto"/>
          <w:sz w:val="24"/>
          <w:highlight w:val="none"/>
        </w:rPr>
        <w:t>征集活动中作如下说明：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A8EB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C6D9F10">
      <w:pPr>
        <w:spacing w:line="360" w:lineRule="auto"/>
        <w:ind w:firstLine="494"/>
        <w:rPr>
          <w:rFonts w:hint="eastAsia" w:ascii="仿宋" w:hAnsi="仿宋" w:eastAsia="仿宋" w:cs="仿宋"/>
          <w:color w:val="auto"/>
          <w:sz w:val="24"/>
          <w:highlight w:val="none"/>
        </w:rPr>
      </w:pPr>
    </w:p>
    <w:p w14:paraId="45B8BD8D">
      <w:pPr>
        <w:spacing w:line="360" w:lineRule="auto"/>
        <w:ind w:firstLine="494"/>
        <w:rPr>
          <w:rFonts w:hint="eastAsia" w:ascii="仿宋" w:hAnsi="仿宋" w:eastAsia="仿宋" w:cs="仿宋"/>
          <w:color w:val="auto"/>
          <w:sz w:val="24"/>
          <w:highlight w:val="none"/>
        </w:rPr>
      </w:pPr>
    </w:p>
    <w:p w14:paraId="6E35D786">
      <w:pPr>
        <w:spacing w:line="360" w:lineRule="auto"/>
        <w:ind w:firstLine="494"/>
        <w:rPr>
          <w:rFonts w:hint="eastAsia" w:ascii="仿宋" w:hAnsi="仿宋" w:eastAsia="仿宋" w:cs="仿宋"/>
          <w:color w:val="auto"/>
          <w:sz w:val="24"/>
          <w:highlight w:val="none"/>
        </w:rPr>
      </w:pPr>
    </w:p>
    <w:p w14:paraId="6E4FEDEC">
      <w:pPr>
        <w:spacing w:line="360" w:lineRule="auto"/>
        <w:ind w:firstLine="494"/>
        <w:rPr>
          <w:rFonts w:hint="eastAsia" w:ascii="仿宋" w:hAnsi="仿宋" w:eastAsia="仿宋" w:cs="仿宋"/>
          <w:color w:val="auto"/>
          <w:sz w:val="24"/>
          <w:highlight w:val="none"/>
        </w:rPr>
      </w:pPr>
    </w:p>
    <w:p w14:paraId="66F4E22C">
      <w:pPr>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6CEE1B2">
      <w:pPr>
        <w:spacing w:line="360" w:lineRule="auto"/>
        <w:ind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6E01B7A">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49EA41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Awajeq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72705BE">
      <w:pPr>
        <w:spacing w:line="360" w:lineRule="auto"/>
        <w:jc w:val="center"/>
        <w:rPr>
          <w:rFonts w:hint="eastAsia" w:ascii="仿宋" w:hAnsi="仿宋" w:eastAsia="仿宋" w:cs="仿宋"/>
          <w:b/>
          <w:bCs/>
          <w:color w:val="auto"/>
          <w:sz w:val="44"/>
          <w:szCs w:val="44"/>
          <w:highlight w:val="none"/>
        </w:rPr>
      </w:pPr>
    </w:p>
    <w:p w14:paraId="60C59749">
      <w:pPr>
        <w:spacing w:line="360" w:lineRule="auto"/>
        <w:jc w:val="center"/>
        <w:rPr>
          <w:rFonts w:hint="eastAsia" w:ascii="仿宋" w:hAnsi="仿宋" w:eastAsia="仿宋" w:cs="仿宋"/>
          <w:b/>
          <w:bCs/>
          <w:color w:val="auto"/>
          <w:sz w:val="44"/>
          <w:szCs w:val="44"/>
          <w:highlight w:val="none"/>
        </w:rPr>
      </w:pPr>
    </w:p>
    <w:p w14:paraId="2A5838B1">
      <w:pPr>
        <w:spacing w:line="360" w:lineRule="auto"/>
        <w:jc w:val="center"/>
        <w:rPr>
          <w:rFonts w:hint="eastAsia" w:ascii="仿宋" w:hAnsi="仿宋" w:eastAsia="仿宋" w:cs="仿宋"/>
          <w:b/>
          <w:bCs/>
          <w:color w:val="auto"/>
          <w:sz w:val="44"/>
          <w:szCs w:val="44"/>
          <w:highlight w:val="none"/>
        </w:rPr>
      </w:pPr>
    </w:p>
    <w:p w14:paraId="15C84364">
      <w:pPr>
        <w:spacing w:line="360" w:lineRule="auto"/>
        <w:jc w:val="center"/>
        <w:rPr>
          <w:rFonts w:hint="eastAsia" w:ascii="仿宋" w:hAnsi="仿宋" w:eastAsia="仿宋" w:cs="仿宋"/>
          <w:b/>
          <w:bCs/>
          <w:color w:val="auto"/>
          <w:sz w:val="44"/>
          <w:szCs w:val="44"/>
          <w:highlight w:val="none"/>
        </w:rPr>
      </w:pPr>
    </w:p>
    <w:p w14:paraId="4A0D5D43">
      <w:pPr>
        <w:spacing w:line="360" w:lineRule="auto"/>
        <w:jc w:val="center"/>
        <w:rPr>
          <w:rFonts w:hint="eastAsia" w:ascii="仿宋" w:hAnsi="仿宋" w:eastAsia="仿宋" w:cs="仿宋"/>
          <w:b/>
          <w:bCs/>
          <w:color w:val="auto"/>
          <w:sz w:val="44"/>
          <w:szCs w:val="44"/>
          <w:highlight w:val="none"/>
        </w:rPr>
      </w:pPr>
    </w:p>
    <w:p w14:paraId="0258A617">
      <w:pPr>
        <w:spacing w:line="360" w:lineRule="auto"/>
        <w:jc w:val="center"/>
        <w:rPr>
          <w:rFonts w:hint="eastAsia" w:ascii="仿宋" w:hAnsi="仿宋" w:eastAsia="仿宋" w:cs="仿宋"/>
          <w:b/>
          <w:bCs/>
          <w:color w:val="auto"/>
          <w:sz w:val="44"/>
          <w:szCs w:val="44"/>
          <w:highlight w:val="none"/>
        </w:rPr>
      </w:pPr>
    </w:p>
    <w:p w14:paraId="47E3698E">
      <w:pPr>
        <w:spacing w:line="360" w:lineRule="auto"/>
        <w:jc w:val="center"/>
        <w:rPr>
          <w:rFonts w:hint="eastAsia" w:ascii="仿宋" w:hAnsi="仿宋" w:eastAsia="仿宋" w:cs="仿宋"/>
          <w:b/>
          <w:bCs/>
          <w:color w:val="auto"/>
          <w:sz w:val="44"/>
          <w:szCs w:val="44"/>
          <w:highlight w:val="none"/>
        </w:rPr>
      </w:pPr>
    </w:p>
    <w:p w14:paraId="463D9EBF">
      <w:pPr>
        <w:spacing w:line="360" w:lineRule="auto"/>
        <w:jc w:val="center"/>
        <w:rPr>
          <w:rFonts w:hint="eastAsia" w:ascii="仿宋" w:hAnsi="仿宋" w:eastAsia="仿宋" w:cs="仿宋"/>
          <w:b/>
          <w:bCs/>
          <w:color w:val="auto"/>
          <w:sz w:val="44"/>
          <w:szCs w:val="44"/>
          <w:highlight w:val="none"/>
        </w:rPr>
      </w:pPr>
    </w:p>
    <w:p w14:paraId="328A1E26">
      <w:pPr>
        <w:spacing w:line="360" w:lineRule="auto"/>
        <w:jc w:val="center"/>
        <w:rPr>
          <w:rFonts w:hint="eastAsia" w:ascii="仿宋" w:hAnsi="仿宋" w:eastAsia="仿宋" w:cs="仿宋"/>
          <w:b/>
          <w:bCs/>
          <w:color w:val="auto"/>
          <w:sz w:val="44"/>
          <w:szCs w:val="44"/>
          <w:highlight w:val="none"/>
        </w:rPr>
      </w:pPr>
    </w:p>
    <w:p w14:paraId="665DF766">
      <w:pPr>
        <w:spacing w:line="360" w:lineRule="auto"/>
        <w:jc w:val="center"/>
        <w:rPr>
          <w:rFonts w:hint="eastAsia" w:ascii="仿宋" w:hAnsi="仿宋" w:eastAsia="仿宋" w:cs="仿宋"/>
          <w:b/>
          <w:bCs/>
          <w:color w:val="auto"/>
          <w:sz w:val="44"/>
          <w:szCs w:val="44"/>
          <w:highlight w:val="none"/>
        </w:rPr>
      </w:pPr>
    </w:p>
    <w:p w14:paraId="32A61836">
      <w:pPr>
        <w:pageBreakBefore/>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6F2356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2FCE5C99">
      <w:pPr>
        <w:pStyle w:val="22"/>
        <w:rPr>
          <w:rFonts w:hint="eastAsia" w:ascii="仿宋" w:hAnsi="仿宋" w:eastAsia="仿宋" w:cs="仿宋"/>
          <w:b/>
          <w:color w:val="auto"/>
          <w:highlight w:val="none"/>
        </w:rPr>
      </w:pPr>
    </w:p>
    <w:p w14:paraId="6C867FE2">
      <w:pPr>
        <w:pStyle w:val="22"/>
        <w:rPr>
          <w:rFonts w:hint="eastAsia" w:ascii="仿宋" w:hAnsi="仿宋" w:eastAsia="仿宋" w:cs="仿宋"/>
          <w:b/>
          <w:color w:val="auto"/>
          <w:highlight w:val="none"/>
        </w:rPr>
      </w:pPr>
    </w:p>
    <w:p w14:paraId="21F5A9BA">
      <w:pPr>
        <w:pStyle w:val="22"/>
        <w:rPr>
          <w:rFonts w:hint="eastAsia" w:ascii="仿宋" w:hAnsi="仿宋" w:eastAsia="仿宋" w:cs="仿宋"/>
          <w:b/>
          <w:color w:val="auto"/>
          <w:highlight w:val="none"/>
        </w:rPr>
      </w:pPr>
    </w:p>
    <w:p w14:paraId="32A41006">
      <w:pPr>
        <w:pStyle w:val="22"/>
        <w:rPr>
          <w:rFonts w:hint="eastAsia" w:ascii="仿宋" w:hAnsi="仿宋" w:eastAsia="仿宋" w:cs="仿宋"/>
          <w:b/>
          <w:color w:val="auto"/>
          <w:highlight w:val="none"/>
        </w:rPr>
      </w:pPr>
    </w:p>
    <w:p w14:paraId="3FDD0055">
      <w:pPr>
        <w:pStyle w:val="22"/>
        <w:rPr>
          <w:rFonts w:hint="eastAsia" w:ascii="仿宋" w:hAnsi="仿宋" w:eastAsia="仿宋" w:cs="仿宋"/>
          <w:b/>
          <w:color w:val="auto"/>
          <w:highlight w:val="none"/>
        </w:rPr>
      </w:pPr>
    </w:p>
    <w:p w14:paraId="6A8C8993">
      <w:pPr>
        <w:pStyle w:val="22"/>
        <w:rPr>
          <w:rFonts w:hint="eastAsia" w:ascii="仿宋" w:hAnsi="仿宋" w:eastAsia="仿宋" w:cs="仿宋"/>
          <w:b/>
          <w:color w:val="auto"/>
          <w:highlight w:val="none"/>
        </w:rPr>
      </w:pPr>
    </w:p>
    <w:p w14:paraId="0E4269C6">
      <w:pPr>
        <w:pStyle w:val="22"/>
        <w:rPr>
          <w:rFonts w:hint="eastAsia" w:ascii="仿宋" w:hAnsi="仿宋" w:eastAsia="仿宋" w:cs="仿宋"/>
          <w:b/>
          <w:color w:val="auto"/>
          <w:highlight w:val="none"/>
        </w:rPr>
      </w:pPr>
    </w:p>
    <w:p w14:paraId="0AEED063">
      <w:pPr>
        <w:pStyle w:val="22"/>
        <w:rPr>
          <w:rFonts w:hint="eastAsia" w:ascii="仿宋" w:hAnsi="仿宋" w:eastAsia="仿宋" w:cs="仿宋"/>
          <w:b/>
          <w:color w:val="auto"/>
          <w:highlight w:val="none"/>
        </w:rPr>
      </w:pPr>
    </w:p>
    <w:p w14:paraId="28D635F6">
      <w:pPr>
        <w:pStyle w:val="22"/>
        <w:rPr>
          <w:rFonts w:hint="eastAsia" w:ascii="仿宋" w:hAnsi="仿宋" w:eastAsia="仿宋" w:cs="仿宋"/>
          <w:b/>
          <w:color w:val="auto"/>
          <w:highlight w:val="none"/>
        </w:rPr>
      </w:pPr>
    </w:p>
    <w:p w14:paraId="26D446BA">
      <w:pPr>
        <w:pStyle w:val="22"/>
        <w:rPr>
          <w:rFonts w:hint="eastAsia" w:ascii="仿宋" w:hAnsi="仿宋" w:eastAsia="仿宋" w:cs="仿宋"/>
          <w:b/>
          <w:color w:val="auto"/>
          <w:highlight w:val="none"/>
        </w:rPr>
      </w:pPr>
    </w:p>
    <w:p w14:paraId="62F810E4">
      <w:pPr>
        <w:pStyle w:val="22"/>
        <w:rPr>
          <w:rFonts w:hint="eastAsia" w:ascii="仿宋" w:hAnsi="仿宋" w:eastAsia="仿宋" w:cs="仿宋"/>
          <w:b/>
          <w:color w:val="auto"/>
          <w:highlight w:val="none"/>
        </w:rPr>
      </w:pPr>
    </w:p>
    <w:p w14:paraId="732D191E">
      <w:pPr>
        <w:pStyle w:val="22"/>
        <w:rPr>
          <w:rFonts w:hint="eastAsia" w:ascii="仿宋" w:hAnsi="仿宋" w:eastAsia="仿宋" w:cs="仿宋"/>
          <w:b/>
          <w:color w:val="auto"/>
          <w:highlight w:val="none"/>
        </w:rPr>
      </w:pPr>
    </w:p>
    <w:p w14:paraId="70B14BC2">
      <w:pPr>
        <w:pStyle w:val="22"/>
        <w:rPr>
          <w:rFonts w:hint="eastAsia" w:ascii="仿宋" w:hAnsi="仿宋" w:eastAsia="仿宋" w:cs="仿宋"/>
          <w:b/>
          <w:color w:val="auto"/>
          <w:highlight w:val="none"/>
        </w:rPr>
      </w:pPr>
    </w:p>
    <w:p w14:paraId="0DF1990C">
      <w:pPr>
        <w:pStyle w:val="22"/>
        <w:rPr>
          <w:rFonts w:hint="eastAsia" w:ascii="仿宋" w:hAnsi="仿宋" w:eastAsia="仿宋" w:cs="仿宋"/>
          <w:b/>
          <w:color w:val="auto"/>
          <w:highlight w:val="none"/>
        </w:rPr>
      </w:pPr>
    </w:p>
    <w:p w14:paraId="68DFAC2B">
      <w:pPr>
        <w:pStyle w:val="22"/>
        <w:rPr>
          <w:rFonts w:hint="eastAsia" w:ascii="仿宋" w:hAnsi="仿宋" w:eastAsia="仿宋" w:cs="仿宋"/>
          <w:b/>
          <w:color w:val="auto"/>
          <w:highlight w:val="none"/>
        </w:rPr>
      </w:pPr>
    </w:p>
    <w:p w14:paraId="407C22A4">
      <w:pPr>
        <w:pStyle w:val="22"/>
        <w:rPr>
          <w:rFonts w:hint="eastAsia" w:ascii="仿宋" w:hAnsi="仿宋" w:eastAsia="仿宋" w:cs="仿宋"/>
          <w:b/>
          <w:color w:val="auto"/>
          <w:highlight w:val="none"/>
        </w:rPr>
      </w:pPr>
    </w:p>
    <w:p w14:paraId="0A622B5F">
      <w:pPr>
        <w:pStyle w:val="22"/>
        <w:rPr>
          <w:rFonts w:hint="eastAsia" w:ascii="仿宋" w:hAnsi="仿宋" w:eastAsia="仿宋" w:cs="仿宋"/>
          <w:b/>
          <w:color w:val="auto"/>
          <w:highlight w:val="none"/>
        </w:rPr>
      </w:pPr>
    </w:p>
    <w:p w14:paraId="716EA065">
      <w:pPr>
        <w:pStyle w:val="22"/>
        <w:rPr>
          <w:rFonts w:hint="eastAsia" w:ascii="仿宋" w:hAnsi="仿宋" w:eastAsia="仿宋" w:cs="仿宋"/>
          <w:b/>
          <w:color w:val="auto"/>
          <w:highlight w:val="none"/>
        </w:rPr>
      </w:pPr>
    </w:p>
    <w:p w14:paraId="45D7D8F2">
      <w:pPr>
        <w:pStyle w:val="22"/>
        <w:rPr>
          <w:rFonts w:hint="eastAsia" w:ascii="仿宋" w:hAnsi="仿宋" w:eastAsia="仿宋" w:cs="仿宋"/>
          <w:b/>
          <w:color w:val="auto"/>
          <w:highlight w:val="none"/>
        </w:rPr>
      </w:pPr>
    </w:p>
    <w:p w14:paraId="69BB97F1">
      <w:pPr>
        <w:pStyle w:val="22"/>
        <w:rPr>
          <w:rFonts w:hint="eastAsia" w:ascii="仿宋" w:hAnsi="仿宋" w:eastAsia="仿宋" w:cs="仿宋"/>
          <w:b/>
          <w:color w:val="auto"/>
          <w:highlight w:val="none"/>
        </w:rPr>
      </w:pPr>
    </w:p>
    <w:p w14:paraId="31020E77">
      <w:pPr>
        <w:pStyle w:val="22"/>
        <w:rPr>
          <w:rFonts w:hint="eastAsia" w:ascii="仿宋" w:hAnsi="仿宋" w:eastAsia="仿宋" w:cs="仿宋"/>
          <w:b/>
          <w:color w:val="auto"/>
          <w:highlight w:val="none"/>
        </w:rPr>
      </w:pPr>
    </w:p>
    <w:p w14:paraId="5DDF3DF2">
      <w:pPr>
        <w:pStyle w:val="22"/>
        <w:rPr>
          <w:rFonts w:hint="eastAsia" w:ascii="仿宋" w:hAnsi="仿宋" w:eastAsia="仿宋" w:cs="仿宋"/>
          <w:b/>
          <w:color w:val="auto"/>
          <w:highlight w:val="none"/>
        </w:rPr>
      </w:pPr>
    </w:p>
    <w:p w14:paraId="6EB9C378">
      <w:pPr>
        <w:pStyle w:val="22"/>
        <w:rPr>
          <w:rFonts w:hint="eastAsia" w:ascii="仿宋" w:hAnsi="仿宋" w:eastAsia="仿宋" w:cs="仿宋"/>
          <w:b/>
          <w:color w:val="auto"/>
          <w:highlight w:val="none"/>
        </w:rPr>
      </w:pPr>
    </w:p>
    <w:p w14:paraId="25E9C013">
      <w:pPr>
        <w:pStyle w:val="22"/>
        <w:rPr>
          <w:rFonts w:hint="eastAsia" w:ascii="仿宋" w:hAnsi="仿宋" w:eastAsia="仿宋" w:cs="仿宋"/>
          <w:b/>
          <w:color w:val="auto"/>
          <w:highlight w:val="none"/>
        </w:rPr>
      </w:pPr>
    </w:p>
    <w:p w14:paraId="39D1F664">
      <w:pPr>
        <w:pStyle w:val="22"/>
        <w:rPr>
          <w:rFonts w:hint="eastAsia" w:ascii="仿宋" w:hAnsi="仿宋" w:eastAsia="仿宋" w:cs="仿宋"/>
          <w:b/>
          <w:color w:val="auto"/>
          <w:highlight w:val="none"/>
        </w:rPr>
      </w:pPr>
    </w:p>
    <w:p w14:paraId="544D0747">
      <w:pPr>
        <w:pStyle w:val="22"/>
        <w:rPr>
          <w:rFonts w:hint="eastAsia" w:ascii="仿宋" w:hAnsi="仿宋" w:eastAsia="仿宋" w:cs="仿宋"/>
          <w:b/>
          <w:color w:val="auto"/>
          <w:highlight w:val="none"/>
        </w:rPr>
      </w:pPr>
    </w:p>
    <w:p w14:paraId="05858DAE">
      <w:pPr>
        <w:pStyle w:val="22"/>
        <w:rPr>
          <w:rFonts w:hint="eastAsia" w:ascii="仿宋" w:hAnsi="仿宋" w:eastAsia="仿宋" w:cs="仿宋"/>
          <w:b/>
          <w:color w:val="auto"/>
          <w:highlight w:val="none"/>
        </w:rPr>
      </w:pPr>
    </w:p>
    <w:p w14:paraId="782B77DF">
      <w:pPr>
        <w:pStyle w:val="22"/>
        <w:rPr>
          <w:rFonts w:hint="eastAsia" w:ascii="仿宋" w:hAnsi="仿宋" w:eastAsia="仿宋" w:cs="仿宋"/>
          <w:b/>
          <w:color w:val="auto"/>
          <w:highlight w:val="none"/>
        </w:rPr>
      </w:pPr>
    </w:p>
    <w:p w14:paraId="64D125D4">
      <w:pPr>
        <w:pStyle w:val="22"/>
        <w:rPr>
          <w:rFonts w:hint="eastAsia" w:ascii="仿宋" w:hAnsi="仿宋" w:eastAsia="仿宋" w:cs="仿宋"/>
          <w:b/>
          <w:color w:val="auto"/>
          <w:highlight w:val="none"/>
        </w:rPr>
      </w:pPr>
    </w:p>
    <w:p w14:paraId="5AE4DAA4">
      <w:pPr>
        <w:pStyle w:val="22"/>
        <w:rPr>
          <w:rFonts w:hint="eastAsia" w:ascii="仿宋" w:hAnsi="仿宋" w:eastAsia="仿宋" w:cs="仿宋"/>
          <w:b/>
          <w:color w:val="auto"/>
          <w:highlight w:val="none"/>
        </w:rPr>
      </w:pPr>
    </w:p>
    <w:p w14:paraId="7FDAA23B">
      <w:pPr>
        <w:pStyle w:val="22"/>
        <w:rPr>
          <w:rFonts w:hint="eastAsia" w:ascii="仿宋" w:hAnsi="仿宋" w:eastAsia="仿宋" w:cs="仿宋"/>
          <w:b/>
          <w:color w:val="auto"/>
          <w:highlight w:val="none"/>
        </w:rPr>
      </w:pPr>
    </w:p>
    <w:p w14:paraId="1F91B2C7">
      <w:pPr>
        <w:pStyle w:val="22"/>
        <w:rPr>
          <w:rFonts w:hint="eastAsia" w:ascii="仿宋" w:hAnsi="仿宋" w:eastAsia="仿宋" w:cs="仿宋"/>
          <w:b/>
          <w:color w:val="auto"/>
          <w:highlight w:val="none"/>
        </w:rPr>
      </w:pPr>
    </w:p>
    <w:p w14:paraId="4905D641">
      <w:pPr>
        <w:pStyle w:val="22"/>
        <w:rPr>
          <w:rFonts w:hint="eastAsia" w:ascii="仿宋" w:hAnsi="仿宋" w:eastAsia="仿宋" w:cs="仿宋"/>
          <w:b/>
          <w:color w:val="auto"/>
          <w:highlight w:val="none"/>
        </w:rPr>
      </w:pPr>
    </w:p>
    <w:p w14:paraId="1608841F">
      <w:pPr>
        <w:pStyle w:val="22"/>
        <w:rPr>
          <w:rFonts w:hint="eastAsia" w:ascii="仿宋" w:hAnsi="仿宋" w:eastAsia="仿宋" w:cs="仿宋"/>
          <w:b/>
          <w:color w:val="auto"/>
          <w:highlight w:val="none"/>
        </w:rPr>
      </w:pPr>
    </w:p>
    <w:p w14:paraId="1CC6F7CC">
      <w:pPr>
        <w:pStyle w:val="22"/>
        <w:rPr>
          <w:rFonts w:hint="eastAsia" w:ascii="仿宋" w:hAnsi="仿宋" w:eastAsia="仿宋" w:cs="仿宋"/>
          <w:b/>
          <w:color w:val="auto"/>
          <w:highlight w:val="none"/>
        </w:rPr>
      </w:pPr>
    </w:p>
    <w:p w14:paraId="36C65C01">
      <w:pPr>
        <w:pStyle w:val="22"/>
        <w:rPr>
          <w:rFonts w:hint="eastAsia" w:ascii="仿宋" w:hAnsi="仿宋" w:eastAsia="仿宋" w:cs="仿宋"/>
          <w:b/>
          <w:color w:val="auto"/>
          <w:highlight w:val="none"/>
        </w:rPr>
      </w:pPr>
    </w:p>
    <w:p w14:paraId="7AE1A1D0">
      <w:pPr>
        <w:pStyle w:val="22"/>
        <w:rPr>
          <w:rFonts w:hint="eastAsia" w:ascii="仿宋" w:hAnsi="仿宋" w:eastAsia="仿宋" w:cs="仿宋"/>
          <w:b/>
          <w:color w:val="auto"/>
          <w:highlight w:val="none"/>
        </w:rPr>
      </w:pPr>
    </w:p>
    <w:p w14:paraId="32DEA493">
      <w:pPr>
        <w:pageBreakBefore/>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中小企业声明函（服务）</w:t>
      </w:r>
    </w:p>
    <w:p w14:paraId="6CA6D51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highlight w:val="none"/>
          <w:u w:val="single"/>
        </w:rPr>
        <w:t xml:space="preserve"> xxx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xxx项目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197884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（征集文件中明确的所属行业）行业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9727B9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（征集文件中明确的所属行业）行业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C39E87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2C9EEE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A2364E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A4BB033">
      <w:pPr>
        <w:spacing w:line="360" w:lineRule="auto"/>
        <w:ind w:firstLine="5880" w:firstLineChars="2450"/>
        <w:jc w:val="left"/>
        <w:rPr>
          <w:rFonts w:hint="eastAsia" w:ascii="仿宋" w:hAnsi="仿宋" w:eastAsia="仿宋" w:cs="仿宋"/>
          <w:color w:val="auto"/>
          <w:sz w:val="24"/>
          <w:highlight w:val="none"/>
        </w:rPr>
      </w:pPr>
    </w:p>
    <w:p w14:paraId="20488088">
      <w:pPr>
        <w:spacing w:line="360" w:lineRule="auto"/>
        <w:ind w:firstLine="5880" w:firstLineChars="24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52BB08B4">
      <w:pPr>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00587D37">
      <w:pPr>
        <w:spacing w:line="360" w:lineRule="auto"/>
        <w:rPr>
          <w:rFonts w:hint="eastAsia" w:ascii="仿宋" w:hAnsi="仿宋" w:eastAsia="仿宋" w:cs="仿宋"/>
          <w:color w:val="auto"/>
          <w:sz w:val="24"/>
          <w:highlight w:val="none"/>
        </w:rPr>
      </w:pPr>
    </w:p>
    <w:p w14:paraId="003DD7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1BFB93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征集文件中明确的所属行业”依据征集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auto"/>
          <w:sz w:val="24"/>
          <w:highlight w:val="none"/>
        </w:rPr>
        <w:t>如国家颁布新的企业划型标准，则按最新标准执行。</w:t>
      </w:r>
      <w:r>
        <w:rPr>
          <w:rFonts w:hint="eastAsia" w:ascii="仿宋" w:hAnsi="仿宋" w:eastAsia="仿宋" w:cs="仿宋"/>
          <w:b/>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59DCB6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2.根据《政府采购促进中小企业发展管理办法》的通知（财库〔2020〕46号）规定，中标、成交供应商享受中小企业扶持政策的，征集人代理机构将随中标、成交结果公开中标、成交供应商的《中小企业声明函》。</w:t>
      </w:r>
    </w:p>
    <w:p w14:paraId="3BBEC8AB">
      <w:pPr>
        <w:spacing w:line="360" w:lineRule="auto"/>
        <w:rPr>
          <w:rFonts w:hint="eastAsia" w:ascii="仿宋" w:hAnsi="仿宋" w:eastAsia="仿宋" w:cs="仿宋"/>
          <w:color w:val="auto"/>
          <w:sz w:val="24"/>
          <w:highlight w:val="none"/>
        </w:rPr>
      </w:pPr>
    </w:p>
    <w:p w14:paraId="21C4EA0F">
      <w:pPr>
        <w:pageBreakBefore/>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4C0B9C38">
      <w:pPr>
        <w:spacing w:line="360" w:lineRule="auto"/>
        <w:rPr>
          <w:rFonts w:hint="eastAsia" w:ascii="仿宋" w:hAnsi="仿宋" w:eastAsia="仿宋" w:cs="仿宋"/>
          <w:b/>
          <w:color w:val="auto"/>
          <w:spacing w:val="6"/>
          <w:sz w:val="30"/>
          <w:szCs w:val="30"/>
          <w:highlight w:val="none"/>
        </w:rPr>
      </w:pPr>
    </w:p>
    <w:p w14:paraId="79E571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征集活动提供本单位制造的货物（由本单位承担工程/提供服务），或者提供其他残疾人福利性单位制造的货物（不包括使用非残疾人福利性单位注册商标的货物）。</w:t>
      </w:r>
    </w:p>
    <w:p w14:paraId="523967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A979825">
      <w:pPr>
        <w:spacing w:line="360" w:lineRule="auto"/>
        <w:ind w:firstLine="480" w:firstLineChars="200"/>
        <w:rPr>
          <w:rFonts w:hint="eastAsia" w:ascii="仿宋" w:hAnsi="仿宋" w:eastAsia="仿宋" w:cs="仿宋"/>
          <w:color w:val="auto"/>
          <w:sz w:val="24"/>
          <w:highlight w:val="none"/>
        </w:rPr>
      </w:pPr>
    </w:p>
    <w:p w14:paraId="01CDF716">
      <w:pPr>
        <w:spacing w:line="360" w:lineRule="auto"/>
        <w:ind w:firstLine="480" w:firstLineChars="200"/>
        <w:rPr>
          <w:rFonts w:hint="eastAsia" w:ascii="仿宋" w:hAnsi="仿宋" w:eastAsia="仿宋" w:cs="仿宋"/>
          <w:color w:val="auto"/>
          <w:sz w:val="24"/>
          <w:highlight w:val="none"/>
        </w:rPr>
      </w:pPr>
    </w:p>
    <w:p w14:paraId="4FA605F3">
      <w:pPr>
        <w:spacing w:line="360" w:lineRule="auto"/>
        <w:ind w:firstLine="5880" w:firstLineChars="24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声明单位（盖章）： </w:t>
      </w:r>
    </w:p>
    <w:p w14:paraId="7F8BEA0B">
      <w:pPr>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A4718C2">
      <w:pPr>
        <w:spacing w:line="360" w:lineRule="auto"/>
        <w:rPr>
          <w:rFonts w:hint="eastAsia" w:ascii="仿宋" w:hAnsi="仿宋" w:eastAsia="仿宋" w:cs="仿宋"/>
          <w:color w:val="auto"/>
          <w:sz w:val="24"/>
          <w:highlight w:val="none"/>
        </w:rPr>
      </w:pPr>
    </w:p>
    <w:p w14:paraId="19D2C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注：根据《财政部 民政部 中国残疾人联合会关于促进残疾人就业政府采购政策的通知》（财库〔2017〕141号）规定填报。</w:t>
      </w:r>
    </w:p>
    <w:p w14:paraId="429E3513">
      <w:pPr>
        <w:spacing w:line="360" w:lineRule="auto"/>
        <w:rPr>
          <w:rFonts w:hint="eastAsia" w:ascii="仿宋" w:hAnsi="仿宋" w:eastAsia="仿宋" w:cs="仿宋"/>
          <w:color w:val="auto"/>
          <w:highlight w:val="none"/>
        </w:rPr>
      </w:pPr>
    </w:p>
    <w:p w14:paraId="75BE12C7">
      <w:pPr>
        <w:spacing w:line="360" w:lineRule="auto"/>
        <w:ind w:firstLine="420" w:firstLineChars="200"/>
        <w:rPr>
          <w:rFonts w:hint="eastAsia" w:ascii="仿宋" w:hAnsi="仿宋" w:eastAsia="仿宋" w:cs="仿宋"/>
          <w:color w:val="auto"/>
          <w:highlight w:val="none"/>
        </w:rPr>
      </w:pPr>
    </w:p>
    <w:p w14:paraId="4C875C41">
      <w:pPr>
        <w:spacing w:line="360" w:lineRule="auto"/>
        <w:rPr>
          <w:rFonts w:hint="eastAsia" w:ascii="仿宋" w:hAnsi="仿宋" w:eastAsia="仿宋" w:cs="仿宋"/>
          <w:b/>
          <w:color w:val="auto"/>
          <w:sz w:val="24"/>
          <w:highlight w:val="none"/>
        </w:rPr>
      </w:pPr>
    </w:p>
    <w:p w14:paraId="7E2C6D6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8211F19">
      <w:pPr>
        <w:pageBreakBefore/>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6B3200C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63B6C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286CF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p>
    <w:p w14:paraId="1D7FA5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p>
    <w:p w14:paraId="5F38B5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25FBD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BC515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B83E5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7FC55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52F4F1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p>
    <w:p w14:paraId="14D091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征集人名称：</w:t>
      </w:r>
    </w:p>
    <w:p w14:paraId="654D7DF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征集文件获取日期：</w:t>
      </w:r>
      <w:r>
        <w:rPr>
          <w:rFonts w:hint="eastAsia" w:ascii="仿宋" w:hAnsi="仿宋" w:eastAsia="仿宋" w:cs="仿宋"/>
          <w:color w:val="auto"/>
          <w:sz w:val="24"/>
          <w:highlight w:val="none"/>
          <w:u w:val="dotted"/>
        </w:rPr>
        <w:t xml:space="preserve"> </w:t>
      </w:r>
    </w:p>
    <w:p w14:paraId="67B3C6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5A783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691A3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EF00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2B4B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5522C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BB9CE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1C1D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3E87F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80CC91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24B76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5449728">
      <w:pPr>
        <w:spacing w:line="360" w:lineRule="auto"/>
        <w:rPr>
          <w:rFonts w:hint="eastAsia" w:ascii="仿宋" w:hAnsi="仿宋" w:eastAsia="仿宋" w:cs="仿宋"/>
          <w:color w:val="auto"/>
          <w:sz w:val="24"/>
          <w:highlight w:val="none"/>
        </w:rPr>
      </w:pPr>
    </w:p>
    <w:p w14:paraId="7EC075DD">
      <w:pPr>
        <w:spacing w:line="360" w:lineRule="auto"/>
        <w:rPr>
          <w:rFonts w:hint="eastAsia" w:ascii="仿宋" w:hAnsi="仿宋" w:eastAsia="仿宋" w:cs="仿宋"/>
          <w:color w:val="auto"/>
          <w:sz w:val="24"/>
          <w:highlight w:val="none"/>
        </w:rPr>
      </w:pPr>
    </w:p>
    <w:p w14:paraId="723781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1952CAC">
      <w:pPr>
        <w:spacing w:line="360" w:lineRule="auto"/>
        <w:rPr>
          <w:rFonts w:hint="eastAsia" w:ascii="仿宋" w:hAnsi="仿宋" w:eastAsia="仿宋" w:cs="仿宋"/>
          <w:color w:val="auto"/>
          <w:sz w:val="24"/>
          <w:highlight w:val="none"/>
        </w:rPr>
      </w:pPr>
    </w:p>
    <w:p w14:paraId="5D73D4D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质疑函制作说明：</w:t>
      </w:r>
    </w:p>
    <w:p w14:paraId="215AAE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8D40D2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2F349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B1E9B1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61807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78831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4EB50F">
      <w:pPr>
        <w:pageBreakBefore/>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2C88EBC3">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各省、自治区、直辖市统计局，新疆生产建设兵团统计局，国务院各有关部门，国家统计局各调查总队：</w:t>
      </w:r>
    </w:p>
    <w:p w14:paraId="023E0345">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811636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附件：《统计上大中小微型企业划分办法（2017）》修订说明</w:t>
      </w:r>
    </w:p>
    <w:p w14:paraId="3DD43527">
      <w:pPr>
        <w:widowControl/>
        <w:shd w:val="clear" w:color="auto" w:fill="FFFFFF"/>
        <w:spacing w:line="360" w:lineRule="auto"/>
        <w:jc w:val="righ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国家统计局  </w:t>
      </w:r>
    </w:p>
    <w:p w14:paraId="595591F4">
      <w:pPr>
        <w:widowControl/>
        <w:shd w:val="clear" w:color="auto" w:fill="FFFFFF"/>
        <w:spacing w:line="360" w:lineRule="auto"/>
        <w:jc w:val="righ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2017年12月28日</w:t>
      </w:r>
    </w:p>
    <w:p w14:paraId="205DCD86">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14:paraId="3D1B6090">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48EDC413">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F9CB48">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二、本办法适用对象为在中华人民共和国境内依法设立的各种组织形式的法人企业或单位。个体工商户参照本办法进行划分。</w:t>
      </w:r>
    </w:p>
    <w:p w14:paraId="3379CF44">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F981F0C">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14:paraId="6E20B20F">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五、企业划分由政府综合统计部门根据统计年报每年确定一次，定报统计原则上不进行调整。</w:t>
      </w:r>
    </w:p>
    <w:p w14:paraId="07C374F5">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六、本办法自印发之日起执行，国家统计局2011年印发的《统计上大中小微型企业划分办法》（国统字〔2011〕75号）同时废止。</w:t>
      </w:r>
    </w:p>
    <w:p w14:paraId="44290D71">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附表：统计上大中小微型企业划分标准</w:t>
      </w:r>
    </w:p>
    <w:p w14:paraId="072ABE95">
      <w:pPr>
        <w:pStyle w:val="3"/>
        <w:numPr>
          <w:ilvl w:val="0"/>
          <w:numId w:val="0"/>
        </w:numPr>
        <w:spacing w:before="0" w:after="0" w:line="360" w:lineRule="auto"/>
        <w:rPr>
          <w:rFonts w:hint="eastAsia" w:ascii="仿宋" w:hAnsi="仿宋" w:eastAsia="仿宋" w:cs="仿宋"/>
          <w:color w:val="auto"/>
          <w:highlight w:val="none"/>
        </w:rPr>
      </w:pPr>
    </w:p>
    <w:p w14:paraId="147965B1">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1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29D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9F4D45D">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行业名称</w:t>
            </w:r>
          </w:p>
        </w:tc>
        <w:tc>
          <w:tcPr>
            <w:tcW w:w="1560" w:type="dxa"/>
            <w:tcMar>
              <w:top w:w="75" w:type="dxa"/>
              <w:left w:w="75" w:type="dxa"/>
              <w:bottom w:w="75" w:type="dxa"/>
              <w:right w:w="75" w:type="dxa"/>
            </w:tcMar>
            <w:vAlign w:val="bottom"/>
          </w:tcPr>
          <w:p w14:paraId="673E87C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指标名称</w:t>
            </w:r>
          </w:p>
        </w:tc>
        <w:tc>
          <w:tcPr>
            <w:tcW w:w="671" w:type="dxa"/>
            <w:tcMar>
              <w:top w:w="75" w:type="dxa"/>
              <w:left w:w="75" w:type="dxa"/>
              <w:bottom w:w="75" w:type="dxa"/>
              <w:right w:w="75" w:type="dxa"/>
            </w:tcMar>
            <w:vAlign w:val="bottom"/>
          </w:tcPr>
          <w:p w14:paraId="76EF4EFF">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计量单位</w:t>
            </w:r>
          </w:p>
        </w:tc>
        <w:tc>
          <w:tcPr>
            <w:tcW w:w="1231" w:type="dxa"/>
            <w:tcMar>
              <w:top w:w="75" w:type="dxa"/>
              <w:left w:w="75" w:type="dxa"/>
              <w:bottom w:w="75" w:type="dxa"/>
              <w:right w:w="75" w:type="dxa"/>
            </w:tcMar>
            <w:vAlign w:val="bottom"/>
          </w:tcPr>
          <w:p w14:paraId="0F92CDEF">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大型</w:t>
            </w:r>
          </w:p>
        </w:tc>
        <w:tc>
          <w:tcPr>
            <w:tcW w:w="1891" w:type="dxa"/>
            <w:tcMar>
              <w:top w:w="75" w:type="dxa"/>
              <w:left w:w="75" w:type="dxa"/>
              <w:bottom w:w="75" w:type="dxa"/>
              <w:right w:w="75" w:type="dxa"/>
            </w:tcMar>
            <w:vAlign w:val="bottom"/>
          </w:tcPr>
          <w:p w14:paraId="7E48D715">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中型</w:t>
            </w:r>
          </w:p>
        </w:tc>
        <w:tc>
          <w:tcPr>
            <w:tcW w:w="1730" w:type="dxa"/>
            <w:tcMar>
              <w:top w:w="75" w:type="dxa"/>
              <w:left w:w="75" w:type="dxa"/>
              <w:bottom w:w="75" w:type="dxa"/>
              <w:right w:w="75" w:type="dxa"/>
            </w:tcMar>
            <w:vAlign w:val="bottom"/>
          </w:tcPr>
          <w:p w14:paraId="06ED3991">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小型</w:t>
            </w:r>
          </w:p>
        </w:tc>
        <w:tc>
          <w:tcPr>
            <w:tcW w:w="1203" w:type="dxa"/>
            <w:tcMar>
              <w:top w:w="75" w:type="dxa"/>
              <w:left w:w="75" w:type="dxa"/>
              <w:bottom w:w="75" w:type="dxa"/>
              <w:right w:w="75" w:type="dxa"/>
            </w:tcMar>
            <w:vAlign w:val="bottom"/>
          </w:tcPr>
          <w:p w14:paraId="3B5903C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微型</w:t>
            </w:r>
          </w:p>
        </w:tc>
      </w:tr>
      <w:tr w14:paraId="58C4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44EBEC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8BCF44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52C4B1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06580C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720EE0E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458AB74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7B99F23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BD2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31D4FC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6265DC1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5CFDF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E945C8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3395C20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2F02C3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EC49FB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6F9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0F736C">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61218BC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BC75E1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7731C7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80D1B8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2A29DCD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69D472A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853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25EA5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7ABBE37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58F513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38DF3E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0925A54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047F9A2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716C6E1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459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0AA5AA0">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0BECBBD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5DB6A3D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C37D6D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006D03A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5044D2C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12C6F74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5544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E1BF9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10344F5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5695D5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F87C23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683C9AA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009EDF8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4260EC0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5A24B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E7B7FB">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6A7FEF1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7C4A7F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B0088C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7095BFE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248BA14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92E4FD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4310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ADBEBB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3A4EC27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A57FFF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9C3212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5B4AC8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3BAB570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6FC69E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1BA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7644B7">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5A61C18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56452A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6B4231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0453EA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7723F42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268A306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7943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82E84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52CEE59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F8EEF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2281C5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25FA75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BCC807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F389FD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C13F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A074D2">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1E4245C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6ABA7A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3C5A86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2DA70B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125FE02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4FB7CC7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7514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4AD5E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7A7EE17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014F00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93E029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03B7E06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3EBFA15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70F1FE2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603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4562F5">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7E889E0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79012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9D9787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643586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5383190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67172B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056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46017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D8ECAD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C8D25C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CA85F5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838082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0CA3E1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267012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18B5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A1A84B">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154B0D4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24B3B5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A95BAD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8F4975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049B328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F339FF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87E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44B3B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3382DFE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8036B1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3A56AE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20431A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25B8DF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7CFDE1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2B7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B9AEB0">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0DE431E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5FF7AD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8E6DD8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9631FE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4F860CE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30DFBE3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4C5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55E6BB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3BF9B62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DA8BF7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6FAEB1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200726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8C3E4A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E20B27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083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28A82F">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7D1D44C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EE9C5A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67114F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90B976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3DE2E14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047C8A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5A3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422F31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62641F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E211B2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79F50B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3BE7D53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59A3D2B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910796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377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385744">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59A0569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1D216E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05D452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28CC264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BCD2FB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992FA4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684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57EEA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EBA536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35F60A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9404D6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4B4840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3C2331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F651AB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BEA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68AF653">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4D6766B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935F03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CE5F6F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4153D9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4BC269F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2B31A20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68BC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C5327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0978048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23401A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83ADB8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4416CEF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1FDE921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BD2531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1BD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CD893">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2B36588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63CAD16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910FA6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54B4A04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1B210D3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25B042A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2B08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0A1AEC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756AD87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DA1C2F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07573E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07EF7B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B3EADC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48DA035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59F7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6B237">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4B8810F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066ACF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DB7F80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2E6B10FD">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4B8A1A7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6639BA2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0DEE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6C213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6AD5B18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8DCF10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605999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0D695E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ABF941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C800FF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781F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AAF59">
            <w:pPr>
              <w:widowControl/>
              <w:spacing w:line="360" w:lineRule="auto"/>
              <w:jc w:val="left"/>
              <w:rPr>
                <w:rFonts w:hint="eastAsia" w:ascii="仿宋" w:hAnsi="仿宋" w:eastAsia="仿宋" w:cs="仿宋"/>
                <w:color w:val="auto"/>
                <w:kern w:val="0"/>
                <w:sz w:val="24"/>
                <w:highlight w:val="none"/>
              </w:rPr>
            </w:pPr>
          </w:p>
        </w:tc>
        <w:tc>
          <w:tcPr>
            <w:tcW w:w="1560" w:type="dxa"/>
            <w:vAlign w:val="center"/>
          </w:tcPr>
          <w:p w14:paraId="5245BA9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5D0D98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A88E8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06D1C55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2F492D3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28D1F48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30BF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A839E6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11C9F3A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450356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B72266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50337D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413ADC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9E93F5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2DF06AC4">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说明： 　　</w:t>
      </w:r>
    </w:p>
    <w:p w14:paraId="4D6F317E">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1.大型、中型和小型企业须同时满足所列指标的下限，否则下划一档；微型企业只须满足所列指标中的一项即可。 　　</w:t>
      </w:r>
    </w:p>
    <w:p w14:paraId="7E70AB4A">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9E5AE43">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3.企业划分指标以现行统计制度为准。</w:t>
      </w:r>
    </w:p>
    <w:p w14:paraId="122438DD">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（1）从业人员，是指期末从业人员数，没有期末从业人员数的，采用全年平均人员数代替。</w:t>
      </w:r>
    </w:p>
    <w:p w14:paraId="063296F7">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5D22628">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（3）资产总额，采用资产总计代替。</w:t>
      </w:r>
    </w:p>
    <w:p w14:paraId="27FEDCEA">
      <w:pPr>
        <w:widowControl/>
        <w:spacing w:line="360" w:lineRule="auto"/>
        <w:jc w:val="left"/>
        <w:rPr>
          <w:rFonts w:hint="eastAsia" w:ascii="仿宋" w:hAnsi="仿宋" w:eastAsia="仿宋" w:cs="仿宋"/>
          <w:color w:val="auto"/>
          <w:kern w:val="0"/>
          <w:sz w:val="24"/>
          <w:highlight w:val="none"/>
        </w:rPr>
      </w:pPr>
    </w:p>
    <w:p w14:paraId="6040FE30">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4377EF0A">
      <w:pPr>
        <w:widowControl/>
        <w:shd w:val="clear" w:color="auto" w:fill="FFFFFF"/>
        <w:spacing w:line="360" w:lineRule="auto"/>
        <w:jc w:val="left"/>
        <w:textAlignment w:val="baseline"/>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一、修订背景</w:t>
      </w:r>
    </w:p>
    <w:p w14:paraId="0A69417B">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DC0E66D">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4F78700">
      <w:pPr>
        <w:widowControl/>
        <w:shd w:val="clear" w:color="auto" w:fill="FFFFFF"/>
        <w:spacing w:line="360" w:lineRule="auto"/>
        <w:jc w:val="left"/>
        <w:textAlignment w:val="baseline"/>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二、修订主要内容</w:t>
      </w:r>
    </w:p>
    <w:p w14:paraId="4E9BDA0A">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307F62D">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将交通运输业中包括的“装卸搬运和运输代理业”修改为“多式联运和运输代理业、装卸搬运”。</w:t>
      </w:r>
    </w:p>
    <w:p w14:paraId="7CDD1894">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仓储业所包括的行业中类，根据《国民经济行业分类》（GB/T4754—2017）调整为“通用仓储，低温仓储，危险品仓储，谷物、棉花等农产品仓储，中药材仓储和其他仓储业”。</w:t>
      </w:r>
    </w:p>
    <w:p w14:paraId="58CDCC15">
      <w:pPr>
        <w:widowControl/>
        <w:spacing w:line="360" w:lineRule="auto"/>
        <w:jc w:val="left"/>
        <w:rPr>
          <w:rFonts w:hint="eastAsia" w:ascii="仿宋" w:hAnsi="仿宋" w:eastAsia="仿宋" w:cs="仿宋"/>
          <w:color w:val="auto"/>
          <w:kern w:val="0"/>
          <w:sz w:val="24"/>
          <w:highlight w:val="none"/>
        </w:rPr>
      </w:pPr>
    </w:p>
    <w:p w14:paraId="4A72184B">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206A5BB8">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672C296A">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677F5B5C">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7078120">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请人民银行上海总部，各分行、营业管理部、省会（首府）城市中心支行、副省级城市中心支行会同所在省（区、市）银监局、证监局、保监局、统计局将本通知联合转发至辖内相关机构。</w:t>
      </w:r>
    </w:p>
    <w:p w14:paraId="7D5F4F81">
      <w:pPr>
        <w:widowControl/>
        <w:shd w:val="clear" w:color="auto" w:fill="FFFFFF"/>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附件：金融业企业划型标准规定</w:t>
      </w:r>
    </w:p>
    <w:p w14:paraId="4ABA6E4F">
      <w:pPr>
        <w:widowControl/>
        <w:shd w:val="clear" w:color="auto" w:fill="FFFFFF"/>
        <w:spacing w:line="360"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2714DDF2">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D74B259">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二、适用范围。本规定适用于从事《国民经济行业分类》(GB/T4754-2011)中J门类（金融业）活动的企业。</w:t>
      </w:r>
    </w:p>
    <w:p w14:paraId="22A5E7A4">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3C0593EE">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四、划型标准指标。采用一个完整会计年度中四个季度末法人并表口径的资产总额（信托公司为信托资产）平均值作为划型指标，该指标以监管部门数据为准。</w:t>
      </w:r>
    </w:p>
    <w:p w14:paraId="7C9F3E63">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五、指标标准值。依据指标标准值，将各类金融业企业划分为大、中、小、微四个规模类型，中型企业标准上限及以上的为大型企业。</w:t>
      </w:r>
    </w:p>
    <w:p w14:paraId="085D46DA">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4FABC232">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(二)银行业非存款类金融机构。资产总额1000亿元以下的为中小微型企业。其中，资产总额200亿元及以上的为中型企业，资产总额50亿元及以上的为小型企业，资产总额50亿元以下的为微型企业。</w:t>
      </w:r>
    </w:p>
    <w:p w14:paraId="18727B08">
      <w:pPr>
        <w:widowControl/>
        <w:shd w:val="clear" w:color="auto" w:fill="FFFFFF"/>
        <w:spacing w:line="360" w:lineRule="auto"/>
        <w:ind w:firstLine="360" w:firstLineChars="15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(三)贷款公司、小额贷款公司及典当行。资产总额1000亿元以下的为中小微型企业。其中，资产总额200亿元及以上的为中型企业，资产总额50亿元及以上的为小型企业，资产总额50亿元以下的为微型企业。</w:t>
      </w:r>
    </w:p>
    <w:p w14:paraId="0C7542F2">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(四)证券业金融机构。资产总额1000亿元以下的为中小微型企业。其中，资产总额100亿元及以上的为中型企业，资产总额10亿元及以上的为小型企业，资产总额10亿元以下的为微型企业。</w:t>
      </w:r>
    </w:p>
    <w:p w14:paraId="7E88DF90">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(五)保险业金融机构。资产总额5000亿元以下的为中小微型企业。其中，资产总额400亿元及以上的为中型企业，资产总额20亿元及以上的为小型企业，资产总额20亿元以下的为微型企业。</w:t>
      </w:r>
    </w:p>
    <w:p w14:paraId="71C717BF">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(六)信托公司。信托资产1000亿元以下的为中小微型企业。其中，信托资产400亿元及以上的为中型企业，信托资产20亿元及以上的为小型企业，信托资产20亿元以下的为微型企业。</w:t>
      </w:r>
    </w:p>
    <w:p w14:paraId="3477ABEA">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(七)金融控股公司。资产总额40000亿元以下的为中小微型企业。其中，资产总额5000亿元及以上的为中型企业，资产总额50亿元及以上的为小型企业，资产总额50亿元以下的为微型企业。</w:t>
      </w:r>
    </w:p>
    <w:p w14:paraId="0CD1C4C6">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B5FB1AB">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59C2E81">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七、标准值的评估和调整。金融业企业划型标准工作组毎五年对划型标准值受经济发展与通货膨胀等因素的响程度进行评估和调整。</w:t>
      </w:r>
    </w:p>
    <w:p w14:paraId="49E62895">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八、本规定的中型金融业企业标准上限即为大型金融业企业下限。国务院有关部门据此进行相关数据的统计分析，不得制定与本规定不一致的金融业企业划型标准。</w:t>
      </w:r>
    </w:p>
    <w:p w14:paraId="36DA8049">
      <w:pPr>
        <w:widowControl/>
        <w:shd w:val="clear" w:color="auto" w:fill="FFFFFF"/>
        <w:spacing w:line="360" w:lineRule="auto"/>
        <w:ind w:firstLine="360" w:firstLineChars="15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九、融资担保公司参照本规定中“除贷款公司、小额贷款公司、典当行以外的其他金融机构”标准划型。</w:t>
      </w:r>
    </w:p>
    <w:p w14:paraId="713D4B00">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十、本规定由人民银行会同银监会，证监会、保监会和统计局负责解释。</w:t>
      </w:r>
    </w:p>
    <w:p w14:paraId="7C9A235D">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十一、本规定自发布之日起实施。</w:t>
      </w:r>
    </w:p>
    <w:p w14:paraId="1F693D27">
      <w:pPr>
        <w:widowControl/>
        <w:shd w:val="clear" w:color="auto" w:fill="FFFFFF"/>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附：金融业企业划型标准</w:t>
      </w:r>
    </w:p>
    <w:p w14:paraId="370D96F5">
      <w:pPr>
        <w:widowControl/>
        <w:shd w:val="clear" w:color="auto" w:fill="FFFFFF"/>
        <w:spacing w:line="360" w:lineRule="auto"/>
        <w:jc w:val="center"/>
        <w:textAlignment w:val="baseline"/>
        <w:rPr>
          <w:rFonts w:hint="eastAsia" w:ascii="仿宋" w:hAnsi="仿宋" w:eastAsia="仿宋" w:cs="仿宋"/>
          <w:b/>
          <w:bCs/>
          <w:vanish/>
          <w:color w:val="auto"/>
          <w:kern w:val="0"/>
          <w:sz w:val="36"/>
          <w:szCs w:val="36"/>
          <w:highlight w:val="none"/>
        </w:rPr>
      </w:pPr>
      <w:r>
        <w:rPr>
          <w:rFonts w:hint="eastAsia" w:ascii="仿宋" w:hAnsi="仿宋" w:eastAsia="仿宋" w:cs="仿宋"/>
          <w:b/>
          <w:bCs/>
          <w:color w:val="auto"/>
          <w:kern w:val="0"/>
          <w:sz w:val="36"/>
          <w:szCs w:val="36"/>
          <w:highlight w:val="none"/>
        </w:rPr>
        <w:br w:type="column"/>
      </w:r>
      <w:r>
        <w:rPr>
          <w:rFonts w:hint="eastAsia" w:ascii="仿宋" w:hAnsi="仿宋" w:eastAsia="仿宋" w:cs="仿宋"/>
          <w:b/>
          <w:bCs/>
          <w:color w:val="auto"/>
          <w:kern w:val="0"/>
          <w:sz w:val="36"/>
          <w:szCs w:val="36"/>
          <w:highlight w:val="none"/>
        </w:rPr>
        <w:t>金融业企业划型标准</w:t>
      </w:r>
    </w:p>
    <w:tbl>
      <w:tblPr>
        <w:tblStyle w:val="19"/>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677"/>
        <w:gridCol w:w="690"/>
        <w:gridCol w:w="3401"/>
      </w:tblGrid>
      <w:tr w14:paraId="0019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DC70046">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行业</w:t>
            </w:r>
          </w:p>
        </w:tc>
        <w:tc>
          <w:tcPr>
            <w:tcW w:w="2677" w:type="dxa"/>
            <w:tcMar>
              <w:top w:w="75" w:type="dxa"/>
              <w:left w:w="75" w:type="dxa"/>
              <w:bottom w:w="75" w:type="dxa"/>
              <w:right w:w="75" w:type="dxa"/>
            </w:tcMar>
            <w:vAlign w:val="bottom"/>
          </w:tcPr>
          <w:p w14:paraId="72A9140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类别</w:t>
            </w:r>
          </w:p>
        </w:tc>
        <w:tc>
          <w:tcPr>
            <w:tcW w:w="690" w:type="dxa"/>
            <w:tcMar>
              <w:top w:w="75" w:type="dxa"/>
              <w:left w:w="75" w:type="dxa"/>
              <w:bottom w:w="75" w:type="dxa"/>
              <w:right w:w="75" w:type="dxa"/>
            </w:tcMar>
            <w:vAlign w:val="bottom"/>
          </w:tcPr>
          <w:p w14:paraId="451A116C">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类型</w:t>
            </w:r>
          </w:p>
        </w:tc>
        <w:tc>
          <w:tcPr>
            <w:tcW w:w="3401" w:type="dxa"/>
            <w:tcMar>
              <w:top w:w="75" w:type="dxa"/>
              <w:left w:w="75" w:type="dxa"/>
              <w:bottom w:w="75" w:type="dxa"/>
              <w:right w:w="75" w:type="dxa"/>
            </w:tcMar>
            <w:vAlign w:val="bottom"/>
          </w:tcPr>
          <w:p w14:paraId="2755D8C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资产总额</w:t>
            </w:r>
          </w:p>
        </w:tc>
      </w:tr>
      <w:tr w14:paraId="2FAB6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252C45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3FE7D00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677" w:type="dxa"/>
            <w:vMerge w:val="restart"/>
            <w:vAlign w:val="center"/>
          </w:tcPr>
          <w:p w14:paraId="36077FB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90" w:type="dxa"/>
            <w:vAlign w:val="center"/>
          </w:tcPr>
          <w:p w14:paraId="6EE958F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5B18AC8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7455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1BFAE1">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6FB1E7B5">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7981F29B">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3EDCC1D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7C23997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5BDD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92EC34">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076B7F00">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09499FB5">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5CF5F7C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41EA875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7C1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08EDF73">
            <w:pPr>
              <w:widowControl/>
              <w:spacing w:line="360" w:lineRule="auto"/>
              <w:jc w:val="left"/>
              <w:rPr>
                <w:rFonts w:hint="eastAsia" w:ascii="仿宋" w:hAnsi="仿宋" w:eastAsia="仿宋" w:cs="仿宋"/>
                <w:color w:val="auto"/>
                <w:kern w:val="0"/>
                <w:sz w:val="24"/>
                <w:highlight w:val="none"/>
              </w:rPr>
            </w:pPr>
          </w:p>
        </w:tc>
        <w:tc>
          <w:tcPr>
            <w:tcW w:w="1025" w:type="dxa"/>
            <w:vMerge w:val="restart"/>
            <w:vAlign w:val="center"/>
          </w:tcPr>
          <w:p w14:paraId="75F7D4D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677" w:type="dxa"/>
            <w:vMerge w:val="restart"/>
            <w:vAlign w:val="center"/>
          </w:tcPr>
          <w:p w14:paraId="79F9A9B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90" w:type="dxa"/>
            <w:vAlign w:val="center"/>
          </w:tcPr>
          <w:p w14:paraId="1746724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7396895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381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447F4E">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475816ED">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29C624B3">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04C5EE8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5FBE65E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511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8404C79">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78D66176">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074B5816">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3471874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5806B0A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F470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851825">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2C650508">
            <w:pPr>
              <w:widowControl/>
              <w:spacing w:line="360" w:lineRule="auto"/>
              <w:jc w:val="left"/>
              <w:rPr>
                <w:rFonts w:hint="eastAsia" w:ascii="仿宋" w:hAnsi="仿宋" w:eastAsia="仿宋" w:cs="仿宋"/>
                <w:color w:val="auto"/>
                <w:kern w:val="0"/>
                <w:sz w:val="24"/>
                <w:highlight w:val="none"/>
              </w:rPr>
            </w:pPr>
          </w:p>
        </w:tc>
        <w:tc>
          <w:tcPr>
            <w:tcW w:w="2677" w:type="dxa"/>
            <w:vMerge w:val="restart"/>
            <w:vAlign w:val="center"/>
          </w:tcPr>
          <w:p w14:paraId="42099F4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90" w:type="dxa"/>
            <w:vAlign w:val="center"/>
          </w:tcPr>
          <w:p w14:paraId="360769A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108F5F3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24FE3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E0C51E">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7AFDFCF2">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4613C9B3">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28BF82B4">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2B1D20F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0E01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0A439B">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419D26C5">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2B22AA34">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1AE37179">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0E22520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F84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50B575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677" w:type="dxa"/>
            <w:vMerge w:val="restart"/>
            <w:vAlign w:val="center"/>
          </w:tcPr>
          <w:p w14:paraId="48C26C1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90" w:type="dxa"/>
            <w:vAlign w:val="center"/>
          </w:tcPr>
          <w:p w14:paraId="2C5A849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6341538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04B6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3D42589">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4BD5821A">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4B655BF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1E4C6C6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5425F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7C1E4DC">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1D9EFC06">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2E08023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5C08A78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0004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41B5F4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677" w:type="dxa"/>
            <w:vMerge w:val="restart"/>
            <w:vAlign w:val="center"/>
          </w:tcPr>
          <w:p w14:paraId="189E2FB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90" w:type="dxa"/>
            <w:vAlign w:val="center"/>
          </w:tcPr>
          <w:p w14:paraId="23412BB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72906D0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49F7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BEADE65">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4582D574">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62C4A21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28136EC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6857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13FEAAD">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0FF32248">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56F2259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0A44BF7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71F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02AA82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392A6E3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677" w:type="dxa"/>
            <w:vMerge w:val="restart"/>
            <w:vAlign w:val="center"/>
          </w:tcPr>
          <w:p w14:paraId="2A1C8D6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90" w:type="dxa"/>
            <w:vAlign w:val="center"/>
          </w:tcPr>
          <w:p w14:paraId="31D1062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24D9BA9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1519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822D90">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2A9D7CBA">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3A69BA20">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2C03F2F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7071D46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3A3F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341370">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54808769">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68B5FFD4">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09FDFF3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1E98B31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277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0006953">
            <w:pPr>
              <w:widowControl/>
              <w:spacing w:line="360" w:lineRule="auto"/>
              <w:jc w:val="left"/>
              <w:rPr>
                <w:rFonts w:hint="eastAsia" w:ascii="仿宋" w:hAnsi="仿宋" w:eastAsia="仿宋" w:cs="仿宋"/>
                <w:color w:val="auto"/>
                <w:kern w:val="0"/>
                <w:sz w:val="24"/>
                <w:highlight w:val="none"/>
              </w:rPr>
            </w:pPr>
          </w:p>
        </w:tc>
        <w:tc>
          <w:tcPr>
            <w:tcW w:w="1025" w:type="dxa"/>
            <w:vMerge w:val="restart"/>
            <w:vAlign w:val="center"/>
          </w:tcPr>
          <w:p w14:paraId="2241BB42">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677" w:type="dxa"/>
            <w:vMerge w:val="restart"/>
            <w:vAlign w:val="center"/>
          </w:tcPr>
          <w:p w14:paraId="1DCCC35C">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90" w:type="dxa"/>
            <w:vAlign w:val="center"/>
          </w:tcPr>
          <w:p w14:paraId="2E2A699E">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215E37F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FE7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D040F0">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0AF5CC51">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24FCB05E">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34680EC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3157333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7643C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1F8CDD2">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37EF588F">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59C22651">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3CF0614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642C4E1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4922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D24B21">
            <w:pPr>
              <w:widowControl/>
              <w:spacing w:line="360" w:lineRule="auto"/>
              <w:jc w:val="left"/>
              <w:rPr>
                <w:rFonts w:hint="eastAsia" w:ascii="仿宋" w:hAnsi="仿宋" w:eastAsia="仿宋" w:cs="仿宋"/>
                <w:color w:val="auto"/>
                <w:kern w:val="0"/>
                <w:sz w:val="24"/>
                <w:highlight w:val="none"/>
              </w:rPr>
            </w:pPr>
          </w:p>
        </w:tc>
        <w:tc>
          <w:tcPr>
            <w:tcW w:w="1025" w:type="dxa"/>
            <w:vMerge w:val="restart"/>
            <w:vAlign w:val="center"/>
          </w:tcPr>
          <w:p w14:paraId="0AA491D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677" w:type="dxa"/>
            <w:vMerge w:val="restart"/>
            <w:vAlign w:val="center"/>
          </w:tcPr>
          <w:p w14:paraId="5F2BDFD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90" w:type="dxa"/>
            <w:vAlign w:val="center"/>
          </w:tcPr>
          <w:p w14:paraId="6075640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401" w:type="dxa"/>
            <w:vAlign w:val="center"/>
          </w:tcPr>
          <w:p w14:paraId="6359F718">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65E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29FC6E3">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1CB22216">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35125BE4">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35BA671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401" w:type="dxa"/>
            <w:vAlign w:val="center"/>
          </w:tcPr>
          <w:p w14:paraId="5435472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DBA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C637D8E">
            <w:pPr>
              <w:widowControl/>
              <w:spacing w:line="360" w:lineRule="auto"/>
              <w:jc w:val="left"/>
              <w:rPr>
                <w:rFonts w:hint="eastAsia" w:ascii="仿宋" w:hAnsi="仿宋" w:eastAsia="仿宋" w:cs="仿宋"/>
                <w:color w:val="auto"/>
                <w:kern w:val="0"/>
                <w:sz w:val="24"/>
                <w:highlight w:val="none"/>
              </w:rPr>
            </w:pPr>
          </w:p>
        </w:tc>
        <w:tc>
          <w:tcPr>
            <w:tcW w:w="1025" w:type="dxa"/>
            <w:vMerge w:val="continue"/>
            <w:vAlign w:val="center"/>
          </w:tcPr>
          <w:p w14:paraId="3FB610B2">
            <w:pPr>
              <w:widowControl/>
              <w:spacing w:line="360" w:lineRule="auto"/>
              <w:jc w:val="left"/>
              <w:rPr>
                <w:rFonts w:hint="eastAsia" w:ascii="仿宋" w:hAnsi="仿宋" w:eastAsia="仿宋" w:cs="仿宋"/>
                <w:color w:val="auto"/>
                <w:kern w:val="0"/>
                <w:sz w:val="24"/>
                <w:highlight w:val="none"/>
              </w:rPr>
            </w:pPr>
          </w:p>
        </w:tc>
        <w:tc>
          <w:tcPr>
            <w:tcW w:w="2677" w:type="dxa"/>
            <w:vMerge w:val="continue"/>
            <w:vAlign w:val="center"/>
          </w:tcPr>
          <w:p w14:paraId="4980B8DF">
            <w:pPr>
              <w:widowControl/>
              <w:spacing w:line="360" w:lineRule="auto"/>
              <w:jc w:val="left"/>
              <w:rPr>
                <w:rFonts w:hint="eastAsia" w:ascii="仿宋" w:hAnsi="仿宋" w:eastAsia="仿宋" w:cs="仿宋"/>
                <w:color w:val="auto"/>
                <w:kern w:val="0"/>
                <w:sz w:val="24"/>
                <w:highlight w:val="none"/>
              </w:rPr>
            </w:pPr>
          </w:p>
        </w:tc>
        <w:tc>
          <w:tcPr>
            <w:tcW w:w="690" w:type="dxa"/>
            <w:vAlign w:val="center"/>
          </w:tcPr>
          <w:p w14:paraId="6B26E37A">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401" w:type="dxa"/>
            <w:vAlign w:val="center"/>
          </w:tcPr>
          <w:p w14:paraId="6466C4B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0AEDEA2A">
      <w:pPr>
        <w:spacing w:line="360" w:lineRule="auto"/>
        <w:rPr>
          <w:rFonts w:hint="eastAsia" w:ascii="仿宋" w:hAnsi="仿宋" w:eastAsia="仿宋" w:cs="仿宋"/>
          <w:color w:val="auto"/>
          <w:highlight w:val="none"/>
        </w:rPr>
      </w:pPr>
    </w:p>
    <w:p w14:paraId="02FF6D26">
      <w:pPr>
        <w:spacing w:line="400" w:lineRule="exact"/>
        <w:rPr>
          <w:rFonts w:hint="eastAsia" w:ascii="仿宋" w:hAnsi="仿宋" w:eastAsia="仿宋" w:cs="仿宋"/>
          <w:b/>
          <w:color w:val="auto"/>
          <w:sz w:val="24"/>
          <w:highlight w:val="none"/>
        </w:rPr>
      </w:pPr>
    </w:p>
    <w:p w14:paraId="31857929">
      <w:pPr>
        <w:rPr>
          <w:color w:val="auto"/>
          <w:highlight w:val="none"/>
        </w:rPr>
      </w:pPr>
    </w:p>
    <w:sectPr>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8496">
    <w:pPr>
      <w:pStyle w:val="14"/>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024D">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297024D">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14:paraId="6672B0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BDF0">
    <w:pPr>
      <w:pStyle w:val="15"/>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6E9E">
    <w:pPr>
      <w:pStyle w:val="15"/>
      <w:pBdr>
        <w:bottom w:val="none" w:color="auto" w:sz="0" w:space="1"/>
      </w:pBdr>
      <w:jc w:val="both"/>
      <w:rPr>
        <w:rFonts w:ascii="仿宋_GB2312" w:eastAsia="仿宋_GB2312"/>
        <w:b/>
        <w:i/>
        <w:u w:val="single"/>
      </w:rPr>
    </w:pPr>
    <w:r>
      <w:t></w:t>
    </w:r>
    <w:r>
      <w:rPr>
        <w:rFonts w:hint="eastAsia"/>
      </w:rPr>
      <w:t xml:space="preserve">                                        </w:t>
    </w:r>
  </w:p>
  <w:p w14:paraId="3307A1F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9F648"/>
    <w:multiLevelType w:val="singleLevel"/>
    <w:tmpl w:val="9559F648"/>
    <w:lvl w:ilvl="0" w:tentative="0">
      <w:start w:val="1"/>
      <w:numFmt w:val="decimal"/>
      <w:suff w:val="space"/>
      <w:lvlText w:val="(%1)"/>
      <w:lvlJc w:val="left"/>
      <w:pPr>
        <w:ind w:left="425" w:hanging="425"/>
      </w:pPr>
      <w:rPr>
        <w:rFonts w:hint="default"/>
      </w:rPr>
    </w:lvl>
  </w:abstractNum>
  <w:abstractNum w:abstractNumId="1">
    <w:nsid w:val="AFB1EED4"/>
    <w:multiLevelType w:val="singleLevel"/>
    <w:tmpl w:val="AFB1EED4"/>
    <w:lvl w:ilvl="0" w:tentative="0">
      <w:start w:val="5"/>
      <w:numFmt w:val="decimal"/>
      <w:suff w:val="nothing"/>
      <w:lvlText w:val="%1、"/>
      <w:lvlJc w:val="left"/>
    </w:lvl>
  </w:abstractNum>
  <w:abstractNum w:abstractNumId="2">
    <w:nsid w:val="C5C2024F"/>
    <w:multiLevelType w:val="singleLevel"/>
    <w:tmpl w:val="C5C2024F"/>
    <w:lvl w:ilvl="0" w:tentative="0">
      <w:start w:val="2"/>
      <w:numFmt w:val="decimal"/>
      <w:lvlText w:val="%1."/>
      <w:lvlJc w:val="left"/>
      <w:pPr>
        <w:tabs>
          <w:tab w:val="left" w:pos="312"/>
        </w:tabs>
      </w:p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7140C24"/>
    <w:multiLevelType w:val="singleLevel"/>
    <w:tmpl w:val="07140C24"/>
    <w:lvl w:ilvl="0" w:tentative="0">
      <w:start w:val="4"/>
      <w:numFmt w:val="decimal"/>
      <w:lvlText w:val="%1."/>
      <w:lvlJc w:val="left"/>
      <w:pPr>
        <w:tabs>
          <w:tab w:val="left" w:pos="312"/>
        </w:tabs>
      </w:pPr>
    </w:lvl>
  </w:abstractNum>
  <w:abstractNum w:abstractNumId="5">
    <w:nsid w:val="0B1BC740"/>
    <w:multiLevelType w:val="singleLevel"/>
    <w:tmpl w:val="0B1BC740"/>
    <w:lvl w:ilvl="0" w:tentative="0">
      <w:start w:val="1"/>
      <w:numFmt w:val="decimal"/>
      <w:pStyle w:val="5"/>
      <w:lvlText w:val="%1."/>
      <w:lvlJc w:val="left"/>
      <w:pPr>
        <w:tabs>
          <w:tab w:val="left" w:pos="780"/>
        </w:tabs>
        <w:ind w:left="780" w:hanging="360"/>
      </w:pPr>
    </w:lvl>
  </w:abstractNum>
  <w:abstractNum w:abstractNumId="6">
    <w:nsid w:val="0F8A5BBA"/>
    <w:multiLevelType w:val="singleLevel"/>
    <w:tmpl w:val="0F8A5BBA"/>
    <w:lvl w:ilvl="0" w:tentative="0">
      <w:start w:val="2"/>
      <w:numFmt w:val="chineseCounting"/>
      <w:suff w:val="nothing"/>
      <w:lvlText w:val="%1、"/>
      <w:lvlJc w:val="left"/>
      <w:rPr>
        <w:rFonts w:hint="eastAsia"/>
      </w:r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E0AA31B"/>
    <w:multiLevelType w:val="singleLevel"/>
    <w:tmpl w:val="1E0AA31B"/>
    <w:lvl w:ilvl="0" w:tentative="0">
      <w:start w:val="2"/>
      <w:numFmt w:val="chineseCounting"/>
      <w:suff w:val="nothing"/>
      <w:lvlText w:val="%1、"/>
      <w:lvlJc w:val="left"/>
      <w:rPr>
        <w:rFonts w:hint="eastAsia"/>
      </w:rPr>
    </w:lvl>
  </w:abstractNum>
  <w:abstractNum w:abstractNumId="9">
    <w:nsid w:val="2B919720"/>
    <w:multiLevelType w:val="singleLevel"/>
    <w:tmpl w:val="2B919720"/>
    <w:lvl w:ilvl="0" w:tentative="0">
      <w:start w:val="1"/>
      <w:numFmt w:val="decimal"/>
      <w:suff w:val="space"/>
      <w:lvlText w:val="(%1)"/>
      <w:lvlJc w:val="left"/>
      <w:pPr>
        <w:ind w:left="425" w:hanging="425"/>
      </w:pPr>
      <w:rPr>
        <w:rFonts w:hint="default"/>
      </w:rPr>
    </w:lvl>
  </w:abstractNum>
  <w:abstractNum w:abstractNumId="10">
    <w:nsid w:val="7CF5D452"/>
    <w:multiLevelType w:val="singleLevel"/>
    <w:tmpl w:val="7CF5D452"/>
    <w:lvl w:ilvl="0" w:tentative="0">
      <w:start w:val="5"/>
      <w:numFmt w:val="chineseCounting"/>
      <w:suff w:val="space"/>
      <w:lvlText w:val="第%1部分"/>
      <w:lvlJc w:val="left"/>
      <w:rPr>
        <w:rFonts w:hint="eastAsia"/>
      </w:r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1"/>
  </w:num>
  <w:num w:numId="8">
    <w:abstractNumId w:val="9"/>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ZGZkMjIyYjViMThhNjRhMWEyZDg0YWFmZTE3MjYifQ=="/>
  </w:docVars>
  <w:rsids>
    <w:rsidRoot w:val="00DA6357"/>
    <w:rsid w:val="00006DB0"/>
    <w:rsid w:val="0002292C"/>
    <w:rsid w:val="000E6612"/>
    <w:rsid w:val="00167822"/>
    <w:rsid w:val="00286E15"/>
    <w:rsid w:val="002C5825"/>
    <w:rsid w:val="0036579F"/>
    <w:rsid w:val="00425999"/>
    <w:rsid w:val="004263F0"/>
    <w:rsid w:val="00506571"/>
    <w:rsid w:val="00547B39"/>
    <w:rsid w:val="006C0BF7"/>
    <w:rsid w:val="00704829"/>
    <w:rsid w:val="008C1DEC"/>
    <w:rsid w:val="008E5F0B"/>
    <w:rsid w:val="00B32774"/>
    <w:rsid w:val="00C94260"/>
    <w:rsid w:val="00DA6357"/>
    <w:rsid w:val="00E512E8"/>
    <w:rsid w:val="00F1191B"/>
    <w:rsid w:val="00F33628"/>
    <w:rsid w:val="0114349B"/>
    <w:rsid w:val="011436B7"/>
    <w:rsid w:val="011B0698"/>
    <w:rsid w:val="011B0BF2"/>
    <w:rsid w:val="01561ED6"/>
    <w:rsid w:val="016A58B3"/>
    <w:rsid w:val="01712059"/>
    <w:rsid w:val="01853566"/>
    <w:rsid w:val="01E116B8"/>
    <w:rsid w:val="02190F17"/>
    <w:rsid w:val="021B1F36"/>
    <w:rsid w:val="02261AC7"/>
    <w:rsid w:val="023B5CF9"/>
    <w:rsid w:val="02A64EEB"/>
    <w:rsid w:val="02CD164B"/>
    <w:rsid w:val="02D34B04"/>
    <w:rsid w:val="02D96DDA"/>
    <w:rsid w:val="02E57A12"/>
    <w:rsid w:val="03312F2D"/>
    <w:rsid w:val="0341268A"/>
    <w:rsid w:val="034E23C3"/>
    <w:rsid w:val="035508BA"/>
    <w:rsid w:val="03595A7D"/>
    <w:rsid w:val="03655CA8"/>
    <w:rsid w:val="036574C2"/>
    <w:rsid w:val="036F6334"/>
    <w:rsid w:val="03756716"/>
    <w:rsid w:val="03826148"/>
    <w:rsid w:val="03834546"/>
    <w:rsid w:val="039A6506"/>
    <w:rsid w:val="03AD2885"/>
    <w:rsid w:val="03BC4835"/>
    <w:rsid w:val="03BD0EB8"/>
    <w:rsid w:val="03DB0BD1"/>
    <w:rsid w:val="03E0273A"/>
    <w:rsid w:val="04180DCE"/>
    <w:rsid w:val="04202406"/>
    <w:rsid w:val="047D55B8"/>
    <w:rsid w:val="04BF4A4F"/>
    <w:rsid w:val="04C16FB3"/>
    <w:rsid w:val="04C46903"/>
    <w:rsid w:val="04DD16F1"/>
    <w:rsid w:val="050B6D23"/>
    <w:rsid w:val="054A620E"/>
    <w:rsid w:val="05E632AA"/>
    <w:rsid w:val="05F31CBE"/>
    <w:rsid w:val="060B569C"/>
    <w:rsid w:val="0625232A"/>
    <w:rsid w:val="06510168"/>
    <w:rsid w:val="06531D96"/>
    <w:rsid w:val="065A62DD"/>
    <w:rsid w:val="06982838"/>
    <w:rsid w:val="06AD1A82"/>
    <w:rsid w:val="06EC4B80"/>
    <w:rsid w:val="06ED64D3"/>
    <w:rsid w:val="07654BED"/>
    <w:rsid w:val="07807DD1"/>
    <w:rsid w:val="078C5190"/>
    <w:rsid w:val="0794363E"/>
    <w:rsid w:val="07B37FD6"/>
    <w:rsid w:val="07E76430"/>
    <w:rsid w:val="07EA2839"/>
    <w:rsid w:val="07F51F4E"/>
    <w:rsid w:val="07FB67F7"/>
    <w:rsid w:val="0806797F"/>
    <w:rsid w:val="08250A68"/>
    <w:rsid w:val="084D4E33"/>
    <w:rsid w:val="08620F7B"/>
    <w:rsid w:val="086E55FF"/>
    <w:rsid w:val="08DE7E02"/>
    <w:rsid w:val="08DF3686"/>
    <w:rsid w:val="08F227A2"/>
    <w:rsid w:val="090F03DC"/>
    <w:rsid w:val="09164674"/>
    <w:rsid w:val="092A297A"/>
    <w:rsid w:val="093048E8"/>
    <w:rsid w:val="0934628E"/>
    <w:rsid w:val="094C3466"/>
    <w:rsid w:val="095073FA"/>
    <w:rsid w:val="098627CD"/>
    <w:rsid w:val="09C0632E"/>
    <w:rsid w:val="09E3521A"/>
    <w:rsid w:val="09F600D5"/>
    <w:rsid w:val="0A367EDB"/>
    <w:rsid w:val="0AAB3624"/>
    <w:rsid w:val="0AAF401D"/>
    <w:rsid w:val="0AFF6E77"/>
    <w:rsid w:val="0B033ED3"/>
    <w:rsid w:val="0B3518FE"/>
    <w:rsid w:val="0B3D0003"/>
    <w:rsid w:val="0B4244A8"/>
    <w:rsid w:val="0BB24E43"/>
    <w:rsid w:val="0BC70738"/>
    <w:rsid w:val="0BCC3BA3"/>
    <w:rsid w:val="0BF743A2"/>
    <w:rsid w:val="0BFD09B9"/>
    <w:rsid w:val="0C0B75F0"/>
    <w:rsid w:val="0C2360F9"/>
    <w:rsid w:val="0C442547"/>
    <w:rsid w:val="0C605BA6"/>
    <w:rsid w:val="0C704A46"/>
    <w:rsid w:val="0CBD581F"/>
    <w:rsid w:val="0D077AC3"/>
    <w:rsid w:val="0D10651F"/>
    <w:rsid w:val="0D111CE6"/>
    <w:rsid w:val="0D217C84"/>
    <w:rsid w:val="0D6D3454"/>
    <w:rsid w:val="0D75443C"/>
    <w:rsid w:val="0DA1770B"/>
    <w:rsid w:val="0DD00AA0"/>
    <w:rsid w:val="0DE04995"/>
    <w:rsid w:val="0DEA2409"/>
    <w:rsid w:val="0E0D24E6"/>
    <w:rsid w:val="0E0F323D"/>
    <w:rsid w:val="0E1663AC"/>
    <w:rsid w:val="0E980C24"/>
    <w:rsid w:val="0EC92FBA"/>
    <w:rsid w:val="0F1306BF"/>
    <w:rsid w:val="0F1B746E"/>
    <w:rsid w:val="0F2239C9"/>
    <w:rsid w:val="0F555D2A"/>
    <w:rsid w:val="0F574322"/>
    <w:rsid w:val="0F8603D5"/>
    <w:rsid w:val="0F873CB0"/>
    <w:rsid w:val="0F9E2F73"/>
    <w:rsid w:val="0FB739BA"/>
    <w:rsid w:val="0FF1757D"/>
    <w:rsid w:val="10124683"/>
    <w:rsid w:val="102951A6"/>
    <w:rsid w:val="1042341B"/>
    <w:rsid w:val="104629AC"/>
    <w:rsid w:val="10674810"/>
    <w:rsid w:val="10807347"/>
    <w:rsid w:val="109F36F5"/>
    <w:rsid w:val="10BF5F42"/>
    <w:rsid w:val="10C30646"/>
    <w:rsid w:val="10D12FFB"/>
    <w:rsid w:val="10E01D29"/>
    <w:rsid w:val="10E439D5"/>
    <w:rsid w:val="1100347E"/>
    <w:rsid w:val="1130186C"/>
    <w:rsid w:val="114470B4"/>
    <w:rsid w:val="1170483A"/>
    <w:rsid w:val="117310CB"/>
    <w:rsid w:val="11934533"/>
    <w:rsid w:val="11962F3B"/>
    <w:rsid w:val="11DD3DAB"/>
    <w:rsid w:val="11FE3F12"/>
    <w:rsid w:val="120A386C"/>
    <w:rsid w:val="12443874"/>
    <w:rsid w:val="12792047"/>
    <w:rsid w:val="129004AD"/>
    <w:rsid w:val="129A3460"/>
    <w:rsid w:val="12D5360B"/>
    <w:rsid w:val="12E12E73"/>
    <w:rsid w:val="12EC1405"/>
    <w:rsid w:val="131503A2"/>
    <w:rsid w:val="13164916"/>
    <w:rsid w:val="135C418C"/>
    <w:rsid w:val="13751403"/>
    <w:rsid w:val="139C680A"/>
    <w:rsid w:val="13A7254B"/>
    <w:rsid w:val="13A75E69"/>
    <w:rsid w:val="13D507CB"/>
    <w:rsid w:val="14054446"/>
    <w:rsid w:val="143615E2"/>
    <w:rsid w:val="147224AA"/>
    <w:rsid w:val="14751F13"/>
    <w:rsid w:val="14B0757C"/>
    <w:rsid w:val="14DE6A69"/>
    <w:rsid w:val="14EC3E3D"/>
    <w:rsid w:val="14ED6CBC"/>
    <w:rsid w:val="14F7697C"/>
    <w:rsid w:val="150507E4"/>
    <w:rsid w:val="150A3E19"/>
    <w:rsid w:val="15300353"/>
    <w:rsid w:val="15451A28"/>
    <w:rsid w:val="154C7D77"/>
    <w:rsid w:val="157352BC"/>
    <w:rsid w:val="159C68AA"/>
    <w:rsid w:val="15AD0229"/>
    <w:rsid w:val="15AE0D2E"/>
    <w:rsid w:val="15BC13DB"/>
    <w:rsid w:val="16860D53"/>
    <w:rsid w:val="16956924"/>
    <w:rsid w:val="169A066C"/>
    <w:rsid w:val="16A16A5B"/>
    <w:rsid w:val="16B31E68"/>
    <w:rsid w:val="16BE788B"/>
    <w:rsid w:val="16D03928"/>
    <w:rsid w:val="16D55A39"/>
    <w:rsid w:val="16E962D1"/>
    <w:rsid w:val="16FC6B32"/>
    <w:rsid w:val="171C3A05"/>
    <w:rsid w:val="17306714"/>
    <w:rsid w:val="17497B89"/>
    <w:rsid w:val="174E067F"/>
    <w:rsid w:val="17616340"/>
    <w:rsid w:val="17D8582B"/>
    <w:rsid w:val="180B56C8"/>
    <w:rsid w:val="183263CA"/>
    <w:rsid w:val="184C5231"/>
    <w:rsid w:val="18560DDA"/>
    <w:rsid w:val="185750DB"/>
    <w:rsid w:val="185D11EC"/>
    <w:rsid w:val="187A7DFB"/>
    <w:rsid w:val="187F5E8D"/>
    <w:rsid w:val="18820C1F"/>
    <w:rsid w:val="189B60DB"/>
    <w:rsid w:val="18E17843"/>
    <w:rsid w:val="18F73254"/>
    <w:rsid w:val="19115478"/>
    <w:rsid w:val="19290887"/>
    <w:rsid w:val="19B74260"/>
    <w:rsid w:val="19B86039"/>
    <w:rsid w:val="19EE5F94"/>
    <w:rsid w:val="1A462B12"/>
    <w:rsid w:val="1A5F2FF9"/>
    <w:rsid w:val="1A742974"/>
    <w:rsid w:val="1A7A0A59"/>
    <w:rsid w:val="1AAC2154"/>
    <w:rsid w:val="1AC27DB1"/>
    <w:rsid w:val="1AC50AA8"/>
    <w:rsid w:val="1ACC2739"/>
    <w:rsid w:val="1ACC5D44"/>
    <w:rsid w:val="1AF72082"/>
    <w:rsid w:val="1B0421DB"/>
    <w:rsid w:val="1B0A0BFA"/>
    <w:rsid w:val="1B0C3915"/>
    <w:rsid w:val="1B4D7803"/>
    <w:rsid w:val="1B667844"/>
    <w:rsid w:val="1B9D6ED8"/>
    <w:rsid w:val="1BB560B8"/>
    <w:rsid w:val="1BC96DA5"/>
    <w:rsid w:val="1C000091"/>
    <w:rsid w:val="1C102359"/>
    <w:rsid w:val="1C1A0D4F"/>
    <w:rsid w:val="1C555F33"/>
    <w:rsid w:val="1C9A6F42"/>
    <w:rsid w:val="1CD75A11"/>
    <w:rsid w:val="1CEB5DB0"/>
    <w:rsid w:val="1CFD6DEB"/>
    <w:rsid w:val="1D4875D2"/>
    <w:rsid w:val="1D62051F"/>
    <w:rsid w:val="1D66062C"/>
    <w:rsid w:val="1D924C0E"/>
    <w:rsid w:val="1D9A07EC"/>
    <w:rsid w:val="1DCD37CF"/>
    <w:rsid w:val="1E017616"/>
    <w:rsid w:val="1E066D84"/>
    <w:rsid w:val="1E5E67A4"/>
    <w:rsid w:val="1E933BB9"/>
    <w:rsid w:val="1E9933A5"/>
    <w:rsid w:val="1E9C6DFC"/>
    <w:rsid w:val="1EC168F6"/>
    <w:rsid w:val="1EDD748A"/>
    <w:rsid w:val="1EFA2847"/>
    <w:rsid w:val="1F1A61FD"/>
    <w:rsid w:val="1F1D7927"/>
    <w:rsid w:val="1F216788"/>
    <w:rsid w:val="1F386F52"/>
    <w:rsid w:val="1F3A4446"/>
    <w:rsid w:val="1F41532E"/>
    <w:rsid w:val="1F4268AD"/>
    <w:rsid w:val="1F433E91"/>
    <w:rsid w:val="1F933745"/>
    <w:rsid w:val="1F9E295D"/>
    <w:rsid w:val="1FA85EB4"/>
    <w:rsid w:val="1FB97EE1"/>
    <w:rsid w:val="1FF335AB"/>
    <w:rsid w:val="1FFB1F04"/>
    <w:rsid w:val="20564951"/>
    <w:rsid w:val="20776669"/>
    <w:rsid w:val="20797DC7"/>
    <w:rsid w:val="20AE5F1A"/>
    <w:rsid w:val="20C87921"/>
    <w:rsid w:val="20FB779B"/>
    <w:rsid w:val="21222BEB"/>
    <w:rsid w:val="214A2504"/>
    <w:rsid w:val="214E5B76"/>
    <w:rsid w:val="216E2D30"/>
    <w:rsid w:val="21E46938"/>
    <w:rsid w:val="222C6CEF"/>
    <w:rsid w:val="22523741"/>
    <w:rsid w:val="225670DD"/>
    <w:rsid w:val="226B3CCA"/>
    <w:rsid w:val="229539D1"/>
    <w:rsid w:val="22AC3E21"/>
    <w:rsid w:val="22C9443C"/>
    <w:rsid w:val="22CC58EC"/>
    <w:rsid w:val="22D67691"/>
    <w:rsid w:val="22EE2F79"/>
    <w:rsid w:val="2347452B"/>
    <w:rsid w:val="234F3E33"/>
    <w:rsid w:val="236A3F5E"/>
    <w:rsid w:val="239B0E1A"/>
    <w:rsid w:val="23C142D5"/>
    <w:rsid w:val="23F125A3"/>
    <w:rsid w:val="2455160B"/>
    <w:rsid w:val="24CA68A3"/>
    <w:rsid w:val="2547335F"/>
    <w:rsid w:val="254F010E"/>
    <w:rsid w:val="255A441F"/>
    <w:rsid w:val="256466EF"/>
    <w:rsid w:val="25720447"/>
    <w:rsid w:val="258A3253"/>
    <w:rsid w:val="25A70245"/>
    <w:rsid w:val="25A8619C"/>
    <w:rsid w:val="25AC13AD"/>
    <w:rsid w:val="25B423A3"/>
    <w:rsid w:val="25D14407"/>
    <w:rsid w:val="25DC153F"/>
    <w:rsid w:val="25E940BF"/>
    <w:rsid w:val="25F73C8F"/>
    <w:rsid w:val="261511E5"/>
    <w:rsid w:val="262F5076"/>
    <w:rsid w:val="263938EB"/>
    <w:rsid w:val="264733A8"/>
    <w:rsid w:val="26506A81"/>
    <w:rsid w:val="26987773"/>
    <w:rsid w:val="26A93FFA"/>
    <w:rsid w:val="270B5524"/>
    <w:rsid w:val="270F55DE"/>
    <w:rsid w:val="2714241C"/>
    <w:rsid w:val="274E3552"/>
    <w:rsid w:val="2778201C"/>
    <w:rsid w:val="2792364B"/>
    <w:rsid w:val="279851F0"/>
    <w:rsid w:val="27AC7B75"/>
    <w:rsid w:val="27C337F8"/>
    <w:rsid w:val="27DA78A3"/>
    <w:rsid w:val="28166629"/>
    <w:rsid w:val="283426FA"/>
    <w:rsid w:val="285E548E"/>
    <w:rsid w:val="28A55C26"/>
    <w:rsid w:val="291F7550"/>
    <w:rsid w:val="29853D13"/>
    <w:rsid w:val="29B1506D"/>
    <w:rsid w:val="29B844D4"/>
    <w:rsid w:val="29E0084B"/>
    <w:rsid w:val="29E17C42"/>
    <w:rsid w:val="2A2C6C70"/>
    <w:rsid w:val="2A3348CB"/>
    <w:rsid w:val="2A4B6C21"/>
    <w:rsid w:val="2A5A2506"/>
    <w:rsid w:val="2A672AC6"/>
    <w:rsid w:val="2A99073A"/>
    <w:rsid w:val="2AA6332B"/>
    <w:rsid w:val="2AE700AE"/>
    <w:rsid w:val="2AF4159D"/>
    <w:rsid w:val="2B19305C"/>
    <w:rsid w:val="2B6157A4"/>
    <w:rsid w:val="2B625F08"/>
    <w:rsid w:val="2B632DA1"/>
    <w:rsid w:val="2B670345"/>
    <w:rsid w:val="2B763958"/>
    <w:rsid w:val="2B866621"/>
    <w:rsid w:val="2B8F2A7E"/>
    <w:rsid w:val="2BA80578"/>
    <w:rsid w:val="2BB120CD"/>
    <w:rsid w:val="2BCE0DAB"/>
    <w:rsid w:val="2BD73D69"/>
    <w:rsid w:val="2BF95BEB"/>
    <w:rsid w:val="2C9816C9"/>
    <w:rsid w:val="2C9B724F"/>
    <w:rsid w:val="2CBE1DAA"/>
    <w:rsid w:val="2CF47429"/>
    <w:rsid w:val="2D0F4C12"/>
    <w:rsid w:val="2D161507"/>
    <w:rsid w:val="2D1C56ED"/>
    <w:rsid w:val="2D36492D"/>
    <w:rsid w:val="2D4E3788"/>
    <w:rsid w:val="2D6D4693"/>
    <w:rsid w:val="2D8B0E02"/>
    <w:rsid w:val="2D990AC0"/>
    <w:rsid w:val="2DA05D44"/>
    <w:rsid w:val="2DB86C2F"/>
    <w:rsid w:val="2DC741A0"/>
    <w:rsid w:val="2DC87C11"/>
    <w:rsid w:val="2DCA7A82"/>
    <w:rsid w:val="2DD2778B"/>
    <w:rsid w:val="2DE17EAB"/>
    <w:rsid w:val="2DED3616"/>
    <w:rsid w:val="2E077B37"/>
    <w:rsid w:val="2E2D4304"/>
    <w:rsid w:val="2E2E49D8"/>
    <w:rsid w:val="2E505146"/>
    <w:rsid w:val="2E7326EB"/>
    <w:rsid w:val="2E825089"/>
    <w:rsid w:val="2E977033"/>
    <w:rsid w:val="2E9B78A8"/>
    <w:rsid w:val="2EB45BB2"/>
    <w:rsid w:val="2ED1532F"/>
    <w:rsid w:val="2EEA43E9"/>
    <w:rsid w:val="2F154F7A"/>
    <w:rsid w:val="2F8D5425"/>
    <w:rsid w:val="2FA572A9"/>
    <w:rsid w:val="2FB30503"/>
    <w:rsid w:val="30570096"/>
    <w:rsid w:val="30583AEB"/>
    <w:rsid w:val="305F4C7D"/>
    <w:rsid w:val="30642253"/>
    <w:rsid w:val="307631D7"/>
    <w:rsid w:val="307F2F77"/>
    <w:rsid w:val="30C73C54"/>
    <w:rsid w:val="30E63154"/>
    <w:rsid w:val="30FA7F26"/>
    <w:rsid w:val="30FD7F93"/>
    <w:rsid w:val="31161B4C"/>
    <w:rsid w:val="31370D08"/>
    <w:rsid w:val="315A7B64"/>
    <w:rsid w:val="3180616E"/>
    <w:rsid w:val="31975DF2"/>
    <w:rsid w:val="321D5868"/>
    <w:rsid w:val="32317AEB"/>
    <w:rsid w:val="32543208"/>
    <w:rsid w:val="32824C0A"/>
    <w:rsid w:val="3297706D"/>
    <w:rsid w:val="32990C1B"/>
    <w:rsid w:val="32AA5106"/>
    <w:rsid w:val="32C26E59"/>
    <w:rsid w:val="32EF70CB"/>
    <w:rsid w:val="33062068"/>
    <w:rsid w:val="337E407A"/>
    <w:rsid w:val="33835B53"/>
    <w:rsid w:val="33A859BC"/>
    <w:rsid w:val="33DC6AE9"/>
    <w:rsid w:val="33ED0611"/>
    <w:rsid w:val="33FB1BD0"/>
    <w:rsid w:val="340E092B"/>
    <w:rsid w:val="34193934"/>
    <w:rsid w:val="34C422C2"/>
    <w:rsid w:val="34D42255"/>
    <w:rsid w:val="34E67EC0"/>
    <w:rsid w:val="35086DC3"/>
    <w:rsid w:val="351E1F44"/>
    <w:rsid w:val="352B4490"/>
    <w:rsid w:val="35353859"/>
    <w:rsid w:val="354678A1"/>
    <w:rsid w:val="354C01C6"/>
    <w:rsid w:val="35596A5F"/>
    <w:rsid w:val="355A4C2A"/>
    <w:rsid w:val="3566227F"/>
    <w:rsid w:val="35843961"/>
    <w:rsid w:val="35941D23"/>
    <w:rsid w:val="35BD6178"/>
    <w:rsid w:val="35C1423B"/>
    <w:rsid w:val="35E84ACB"/>
    <w:rsid w:val="35EB1B84"/>
    <w:rsid w:val="36030C8E"/>
    <w:rsid w:val="364D1590"/>
    <w:rsid w:val="365652A6"/>
    <w:rsid w:val="36BE4CF2"/>
    <w:rsid w:val="36CF686C"/>
    <w:rsid w:val="36E52D0D"/>
    <w:rsid w:val="36E84CA0"/>
    <w:rsid w:val="36ED3958"/>
    <w:rsid w:val="370B606E"/>
    <w:rsid w:val="372376B1"/>
    <w:rsid w:val="372A359C"/>
    <w:rsid w:val="376D6B4A"/>
    <w:rsid w:val="379F2CF0"/>
    <w:rsid w:val="37AF003F"/>
    <w:rsid w:val="37C820E2"/>
    <w:rsid w:val="37E77038"/>
    <w:rsid w:val="38340684"/>
    <w:rsid w:val="383A1C56"/>
    <w:rsid w:val="38417B3C"/>
    <w:rsid w:val="386121DB"/>
    <w:rsid w:val="38653F1B"/>
    <w:rsid w:val="386F1D64"/>
    <w:rsid w:val="3888024E"/>
    <w:rsid w:val="38CE513F"/>
    <w:rsid w:val="396C238D"/>
    <w:rsid w:val="39B21655"/>
    <w:rsid w:val="39BA47A5"/>
    <w:rsid w:val="39E968DB"/>
    <w:rsid w:val="3A306308"/>
    <w:rsid w:val="3A576D7B"/>
    <w:rsid w:val="3A624F6D"/>
    <w:rsid w:val="3A6836D0"/>
    <w:rsid w:val="3A9056D3"/>
    <w:rsid w:val="3A9738F2"/>
    <w:rsid w:val="3AA0348E"/>
    <w:rsid w:val="3AB0149A"/>
    <w:rsid w:val="3ABC4F06"/>
    <w:rsid w:val="3AC81360"/>
    <w:rsid w:val="3B12065D"/>
    <w:rsid w:val="3B162FCB"/>
    <w:rsid w:val="3B180FBF"/>
    <w:rsid w:val="3B76457C"/>
    <w:rsid w:val="3B787162"/>
    <w:rsid w:val="3B7D77D7"/>
    <w:rsid w:val="3BA305F2"/>
    <w:rsid w:val="3BC61589"/>
    <w:rsid w:val="3BD21711"/>
    <w:rsid w:val="3BEC3C35"/>
    <w:rsid w:val="3BF176A1"/>
    <w:rsid w:val="3BF55114"/>
    <w:rsid w:val="3C490568"/>
    <w:rsid w:val="3C8B5A78"/>
    <w:rsid w:val="3CCC4D64"/>
    <w:rsid w:val="3CE60F00"/>
    <w:rsid w:val="3D5020F1"/>
    <w:rsid w:val="3D947471"/>
    <w:rsid w:val="3DC24C21"/>
    <w:rsid w:val="3DFF48A4"/>
    <w:rsid w:val="3E18298B"/>
    <w:rsid w:val="3E682AED"/>
    <w:rsid w:val="3E8829D5"/>
    <w:rsid w:val="3F194E8A"/>
    <w:rsid w:val="3F3C4192"/>
    <w:rsid w:val="3F480A25"/>
    <w:rsid w:val="3F586BC5"/>
    <w:rsid w:val="3F9E5949"/>
    <w:rsid w:val="3FC90835"/>
    <w:rsid w:val="3FCF04BA"/>
    <w:rsid w:val="400B578E"/>
    <w:rsid w:val="401A1DDC"/>
    <w:rsid w:val="403210D3"/>
    <w:rsid w:val="40394B1D"/>
    <w:rsid w:val="408B54F5"/>
    <w:rsid w:val="40934C11"/>
    <w:rsid w:val="40D20588"/>
    <w:rsid w:val="40F0234E"/>
    <w:rsid w:val="40FB4904"/>
    <w:rsid w:val="40FC17EF"/>
    <w:rsid w:val="41104ABE"/>
    <w:rsid w:val="41287D39"/>
    <w:rsid w:val="41396119"/>
    <w:rsid w:val="415D5C35"/>
    <w:rsid w:val="41626CEB"/>
    <w:rsid w:val="417577E3"/>
    <w:rsid w:val="41765A5E"/>
    <w:rsid w:val="41AA48AC"/>
    <w:rsid w:val="41B03F53"/>
    <w:rsid w:val="420346A7"/>
    <w:rsid w:val="4224253B"/>
    <w:rsid w:val="42313E8F"/>
    <w:rsid w:val="4258464E"/>
    <w:rsid w:val="42635D39"/>
    <w:rsid w:val="4268130C"/>
    <w:rsid w:val="4288230F"/>
    <w:rsid w:val="42A0684C"/>
    <w:rsid w:val="42F4137D"/>
    <w:rsid w:val="432F6DEC"/>
    <w:rsid w:val="43340C18"/>
    <w:rsid w:val="43351583"/>
    <w:rsid w:val="4339374E"/>
    <w:rsid w:val="43491CBD"/>
    <w:rsid w:val="434B2704"/>
    <w:rsid w:val="438576C5"/>
    <w:rsid w:val="438B7C9A"/>
    <w:rsid w:val="43A50242"/>
    <w:rsid w:val="43DB564A"/>
    <w:rsid w:val="43EE43C3"/>
    <w:rsid w:val="43F045C3"/>
    <w:rsid w:val="440A63E0"/>
    <w:rsid w:val="440C749E"/>
    <w:rsid w:val="443D047D"/>
    <w:rsid w:val="4449776E"/>
    <w:rsid w:val="444C0553"/>
    <w:rsid w:val="44557170"/>
    <w:rsid w:val="446A4F42"/>
    <w:rsid w:val="4474709B"/>
    <w:rsid w:val="44894DCD"/>
    <w:rsid w:val="449E7E49"/>
    <w:rsid w:val="44A65B45"/>
    <w:rsid w:val="44CC25DE"/>
    <w:rsid w:val="44E82C23"/>
    <w:rsid w:val="44EE7B89"/>
    <w:rsid w:val="44EF1DE0"/>
    <w:rsid w:val="44F54749"/>
    <w:rsid w:val="450F6DF9"/>
    <w:rsid w:val="451A4ECC"/>
    <w:rsid w:val="451D3816"/>
    <w:rsid w:val="4569130A"/>
    <w:rsid w:val="456B3A9C"/>
    <w:rsid w:val="45A32084"/>
    <w:rsid w:val="45AC718B"/>
    <w:rsid w:val="460E7FDD"/>
    <w:rsid w:val="46110B5E"/>
    <w:rsid w:val="461B5044"/>
    <w:rsid w:val="463A4D98"/>
    <w:rsid w:val="464F39EC"/>
    <w:rsid w:val="46506299"/>
    <w:rsid w:val="465162D8"/>
    <w:rsid w:val="4674621E"/>
    <w:rsid w:val="468E081F"/>
    <w:rsid w:val="46933A14"/>
    <w:rsid w:val="46A448ED"/>
    <w:rsid w:val="46BE19C9"/>
    <w:rsid w:val="46E02804"/>
    <w:rsid w:val="47531190"/>
    <w:rsid w:val="475528C1"/>
    <w:rsid w:val="475B4280"/>
    <w:rsid w:val="475E2707"/>
    <w:rsid w:val="477C42C0"/>
    <w:rsid w:val="477E6905"/>
    <w:rsid w:val="47941381"/>
    <w:rsid w:val="479633B5"/>
    <w:rsid w:val="479D40B1"/>
    <w:rsid w:val="47BC364C"/>
    <w:rsid w:val="47E54646"/>
    <w:rsid w:val="47FE0C53"/>
    <w:rsid w:val="48136BDF"/>
    <w:rsid w:val="48602F8B"/>
    <w:rsid w:val="487D5B1A"/>
    <w:rsid w:val="48F52D05"/>
    <w:rsid w:val="490050BA"/>
    <w:rsid w:val="493E1B26"/>
    <w:rsid w:val="493E66A4"/>
    <w:rsid w:val="49525546"/>
    <w:rsid w:val="49551F98"/>
    <w:rsid w:val="49614377"/>
    <w:rsid w:val="496567C0"/>
    <w:rsid w:val="496D6C31"/>
    <w:rsid w:val="49B62D6A"/>
    <w:rsid w:val="49C06A6C"/>
    <w:rsid w:val="4A181386"/>
    <w:rsid w:val="4A5E34F1"/>
    <w:rsid w:val="4A691CCC"/>
    <w:rsid w:val="4A6A12D2"/>
    <w:rsid w:val="4A6C1D87"/>
    <w:rsid w:val="4A957BFF"/>
    <w:rsid w:val="4A9A1634"/>
    <w:rsid w:val="4AA13E67"/>
    <w:rsid w:val="4AA14D27"/>
    <w:rsid w:val="4AD32CC2"/>
    <w:rsid w:val="4AE12F9D"/>
    <w:rsid w:val="4AE668A3"/>
    <w:rsid w:val="4B79266F"/>
    <w:rsid w:val="4BDF0453"/>
    <w:rsid w:val="4C13078F"/>
    <w:rsid w:val="4C186C00"/>
    <w:rsid w:val="4C343841"/>
    <w:rsid w:val="4CA417F4"/>
    <w:rsid w:val="4CDF4344"/>
    <w:rsid w:val="4CEA0384"/>
    <w:rsid w:val="4D2040AF"/>
    <w:rsid w:val="4D2843EE"/>
    <w:rsid w:val="4D581C6E"/>
    <w:rsid w:val="4D590AD1"/>
    <w:rsid w:val="4D741A26"/>
    <w:rsid w:val="4D93607F"/>
    <w:rsid w:val="4DC00512"/>
    <w:rsid w:val="4DD67581"/>
    <w:rsid w:val="4DF86CAA"/>
    <w:rsid w:val="4E014EE4"/>
    <w:rsid w:val="4E1A0ACA"/>
    <w:rsid w:val="4E581EFB"/>
    <w:rsid w:val="4E6E16D4"/>
    <w:rsid w:val="4E715215"/>
    <w:rsid w:val="4E8C2811"/>
    <w:rsid w:val="4E92204C"/>
    <w:rsid w:val="4EA524E3"/>
    <w:rsid w:val="4EAD5E3E"/>
    <w:rsid w:val="4ECE153A"/>
    <w:rsid w:val="4EE70B73"/>
    <w:rsid w:val="4F026EFB"/>
    <w:rsid w:val="4F44674B"/>
    <w:rsid w:val="4F530677"/>
    <w:rsid w:val="4F69610B"/>
    <w:rsid w:val="4F756362"/>
    <w:rsid w:val="4FA272EC"/>
    <w:rsid w:val="4FE05AB7"/>
    <w:rsid w:val="4FEB445E"/>
    <w:rsid w:val="4FEE28F4"/>
    <w:rsid w:val="500308B9"/>
    <w:rsid w:val="500B5483"/>
    <w:rsid w:val="506F15DF"/>
    <w:rsid w:val="5076698E"/>
    <w:rsid w:val="50835C26"/>
    <w:rsid w:val="508A3A60"/>
    <w:rsid w:val="508C2093"/>
    <w:rsid w:val="50D1615C"/>
    <w:rsid w:val="50DC7A87"/>
    <w:rsid w:val="511C4148"/>
    <w:rsid w:val="51454CAC"/>
    <w:rsid w:val="514F6CBB"/>
    <w:rsid w:val="51717838"/>
    <w:rsid w:val="518F2C4F"/>
    <w:rsid w:val="51982C79"/>
    <w:rsid w:val="51EB165B"/>
    <w:rsid w:val="51F54EFF"/>
    <w:rsid w:val="51FB05C5"/>
    <w:rsid w:val="52213CDE"/>
    <w:rsid w:val="52221797"/>
    <w:rsid w:val="522400A9"/>
    <w:rsid w:val="52293911"/>
    <w:rsid w:val="526746C6"/>
    <w:rsid w:val="52724A6F"/>
    <w:rsid w:val="52736F5A"/>
    <w:rsid w:val="52BA76BA"/>
    <w:rsid w:val="52E0611C"/>
    <w:rsid w:val="52E2611B"/>
    <w:rsid w:val="53171A36"/>
    <w:rsid w:val="53344F26"/>
    <w:rsid w:val="537658B7"/>
    <w:rsid w:val="53846603"/>
    <w:rsid w:val="53981435"/>
    <w:rsid w:val="539E6EE9"/>
    <w:rsid w:val="53CF7509"/>
    <w:rsid w:val="53E321EE"/>
    <w:rsid w:val="53F20969"/>
    <w:rsid w:val="53FE0C4B"/>
    <w:rsid w:val="542B425C"/>
    <w:rsid w:val="547A7BED"/>
    <w:rsid w:val="54855B64"/>
    <w:rsid w:val="549F1100"/>
    <w:rsid w:val="54E41597"/>
    <w:rsid w:val="54FD2E4C"/>
    <w:rsid w:val="55654C60"/>
    <w:rsid w:val="55A63D53"/>
    <w:rsid w:val="55D5183E"/>
    <w:rsid w:val="56063252"/>
    <w:rsid w:val="56157516"/>
    <w:rsid w:val="561B5A6B"/>
    <w:rsid w:val="56595C4E"/>
    <w:rsid w:val="56723AD9"/>
    <w:rsid w:val="568F52FA"/>
    <w:rsid w:val="56A84A3E"/>
    <w:rsid w:val="56A8690E"/>
    <w:rsid w:val="56B5497E"/>
    <w:rsid w:val="5700715B"/>
    <w:rsid w:val="573F28C8"/>
    <w:rsid w:val="574C3935"/>
    <w:rsid w:val="579A1033"/>
    <w:rsid w:val="579B7BC5"/>
    <w:rsid w:val="58651AA8"/>
    <w:rsid w:val="58873949"/>
    <w:rsid w:val="58A0711C"/>
    <w:rsid w:val="58A209A8"/>
    <w:rsid w:val="58AB42E3"/>
    <w:rsid w:val="58BC54DF"/>
    <w:rsid w:val="58D573EA"/>
    <w:rsid w:val="58F3149F"/>
    <w:rsid w:val="59013400"/>
    <w:rsid w:val="591E509B"/>
    <w:rsid w:val="592D6913"/>
    <w:rsid w:val="5931144C"/>
    <w:rsid w:val="59430C89"/>
    <w:rsid w:val="59657925"/>
    <w:rsid w:val="598204FD"/>
    <w:rsid w:val="59894A2F"/>
    <w:rsid w:val="599E4814"/>
    <w:rsid w:val="59BE40E8"/>
    <w:rsid w:val="59C96E64"/>
    <w:rsid w:val="5A1E62F5"/>
    <w:rsid w:val="5A236720"/>
    <w:rsid w:val="5A3362D0"/>
    <w:rsid w:val="5A601E9A"/>
    <w:rsid w:val="5A650D5A"/>
    <w:rsid w:val="5A8E253F"/>
    <w:rsid w:val="5B3060DA"/>
    <w:rsid w:val="5B3155FE"/>
    <w:rsid w:val="5B527BD3"/>
    <w:rsid w:val="5B5E200D"/>
    <w:rsid w:val="5B774466"/>
    <w:rsid w:val="5B8772DA"/>
    <w:rsid w:val="5BB96A9F"/>
    <w:rsid w:val="5BC80FBC"/>
    <w:rsid w:val="5BD63A45"/>
    <w:rsid w:val="5BF83E8E"/>
    <w:rsid w:val="5BFB1AAA"/>
    <w:rsid w:val="5C433B6E"/>
    <w:rsid w:val="5C4D111F"/>
    <w:rsid w:val="5C7659A5"/>
    <w:rsid w:val="5C7C4E64"/>
    <w:rsid w:val="5C920F69"/>
    <w:rsid w:val="5CBD6783"/>
    <w:rsid w:val="5CD75C44"/>
    <w:rsid w:val="5CDC08DD"/>
    <w:rsid w:val="5CDC2710"/>
    <w:rsid w:val="5D07138F"/>
    <w:rsid w:val="5D3B4241"/>
    <w:rsid w:val="5D3B6C0E"/>
    <w:rsid w:val="5D580FAF"/>
    <w:rsid w:val="5D647EF4"/>
    <w:rsid w:val="5D9031C3"/>
    <w:rsid w:val="5DB9307F"/>
    <w:rsid w:val="5DBE214D"/>
    <w:rsid w:val="5DC65711"/>
    <w:rsid w:val="5DE70CC9"/>
    <w:rsid w:val="5E2649EF"/>
    <w:rsid w:val="5E386C54"/>
    <w:rsid w:val="5E7A4C6C"/>
    <w:rsid w:val="5E7D3EA5"/>
    <w:rsid w:val="5EA467FA"/>
    <w:rsid w:val="5EB24D97"/>
    <w:rsid w:val="5EDD7B67"/>
    <w:rsid w:val="5EE02AEB"/>
    <w:rsid w:val="5F024770"/>
    <w:rsid w:val="5F090919"/>
    <w:rsid w:val="5F4F4E3D"/>
    <w:rsid w:val="5F5F6A06"/>
    <w:rsid w:val="5F7F1F4B"/>
    <w:rsid w:val="5F875EC9"/>
    <w:rsid w:val="5F8D16C0"/>
    <w:rsid w:val="5FA06557"/>
    <w:rsid w:val="5FD70BB6"/>
    <w:rsid w:val="5FE01DDB"/>
    <w:rsid w:val="6014503C"/>
    <w:rsid w:val="6016782A"/>
    <w:rsid w:val="60476793"/>
    <w:rsid w:val="605E5395"/>
    <w:rsid w:val="605F5ED1"/>
    <w:rsid w:val="60705B63"/>
    <w:rsid w:val="60740473"/>
    <w:rsid w:val="60811A4A"/>
    <w:rsid w:val="60D0082D"/>
    <w:rsid w:val="60E17E54"/>
    <w:rsid w:val="60E455D3"/>
    <w:rsid w:val="60ED721D"/>
    <w:rsid w:val="60FC0330"/>
    <w:rsid w:val="61340EAF"/>
    <w:rsid w:val="61404AF9"/>
    <w:rsid w:val="6145039A"/>
    <w:rsid w:val="61A802E1"/>
    <w:rsid w:val="61B31F5D"/>
    <w:rsid w:val="61C70A0E"/>
    <w:rsid w:val="61CC301A"/>
    <w:rsid w:val="61DC62AA"/>
    <w:rsid w:val="62053FC2"/>
    <w:rsid w:val="625D4E40"/>
    <w:rsid w:val="62706205"/>
    <w:rsid w:val="628D095B"/>
    <w:rsid w:val="62AD01BD"/>
    <w:rsid w:val="62E96CD0"/>
    <w:rsid w:val="631460EB"/>
    <w:rsid w:val="631C7BD0"/>
    <w:rsid w:val="6322395B"/>
    <w:rsid w:val="632A2740"/>
    <w:rsid w:val="634C7460"/>
    <w:rsid w:val="638F5E5F"/>
    <w:rsid w:val="63A21E19"/>
    <w:rsid w:val="63C55635"/>
    <w:rsid w:val="63E26D6A"/>
    <w:rsid w:val="63E539C6"/>
    <w:rsid w:val="64143CA6"/>
    <w:rsid w:val="641454A8"/>
    <w:rsid w:val="64211084"/>
    <w:rsid w:val="64267CB1"/>
    <w:rsid w:val="64672083"/>
    <w:rsid w:val="64ED2A29"/>
    <w:rsid w:val="64EF32A5"/>
    <w:rsid w:val="650B1278"/>
    <w:rsid w:val="6510514B"/>
    <w:rsid w:val="653E102A"/>
    <w:rsid w:val="65693E49"/>
    <w:rsid w:val="65AF305A"/>
    <w:rsid w:val="65BE445F"/>
    <w:rsid w:val="65E40064"/>
    <w:rsid w:val="66237DC3"/>
    <w:rsid w:val="66383CCB"/>
    <w:rsid w:val="663B3641"/>
    <w:rsid w:val="665D6079"/>
    <w:rsid w:val="666A088F"/>
    <w:rsid w:val="66736148"/>
    <w:rsid w:val="669F3D94"/>
    <w:rsid w:val="66A908B0"/>
    <w:rsid w:val="66B86039"/>
    <w:rsid w:val="66D40C17"/>
    <w:rsid w:val="66E379E3"/>
    <w:rsid w:val="66ED0A6B"/>
    <w:rsid w:val="67062B4C"/>
    <w:rsid w:val="672901E4"/>
    <w:rsid w:val="672E57FA"/>
    <w:rsid w:val="67336F21"/>
    <w:rsid w:val="674E1BB6"/>
    <w:rsid w:val="678C7D43"/>
    <w:rsid w:val="67A12616"/>
    <w:rsid w:val="67A906AE"/>
    <w:rsid w:val="67FD3BE6"/>
    <w:rsid w:val="682A4822"/>
    <w:rsid w:val="68386205"/>
    <w:rsid w:val="689405D0"/>
    <w:rsid w:val="68DE6AC2"/>
    <w:rsid w:val="693B50CC"/>
    <w:rsid w:val="694E2980"/>
    <w:rsid w:val="69720D30"/>
    <w:rsid w:val="69B726C6"/>
    <w:rsid w:val="69B903B3"/>
    <w:rsid w:val="69BE104E"/>
    <w:rsid w:val="69E83474"/>
    <w:rsid w:val="6A51239B"/>
    <w:rsid w:val="6A6D77C3"/>
    <w:rsid w:val="6A787B90"/>
    <w:rsid w:val="6A856377"/>
    <w:rsid w:val="6A8737A4"/>
    <w:rsid w:val="6AA56B3B"/>
    <w:rsid w:val="6AE36FEA"/>
    <w:rsid w:val="6B2723A5"/>
    <w:rsid w:val="6B562842"/>
    <w:rsid w:val="6BB93D27"/>
    <w:rsid w:val="6BD12C58"/>
    <w:rsid w:val="6BD414D3"/>
    <w:rsid w:val="6BD9004A"/>
    <w:rsid w:val="6BFB0DC2"/>
    <w:rsid w:val="6C033F0E"/>
    <w:rsid w:val="6C0E367A"/>
    <w:rsid w:val="6C3461AB"/>
    <w:rsid w:val="6C4E7C31"/>
    <w:rsid w:val="6C856F6E"/>
    <w:rsid w:val="6C954645"/>
    <w:rsid w:val="6D15114F"/>
    <w:rsid w:val="6D2028CB"/>
    <w:rsid w:val="6D3D6914"/>
    <w:rsid w:val="6D626A37"/>
    <w:rsid w:val="6D9069C5"/>
    <w:rsid w:val="6D9D4677"/>
    <w:rsid w:val="6DA334FE"/>
    <w:rsid w:val="6DC95571"/>
    <w:rsid w:val="6DF115D5"/>
    <w:rsid w:val="6E100499"/>
    <w:rsid w:val="6E293B12"/>
    <w:rsid w:val="6E483B7F"/>
    <w:rsid w:val="6E6E353F"/>
    <w:rsid w:val="6E82796B"/>
    <w:rsid w:val="6E855D66"/>
    <w:rsid w:val="6EAE7329"/>
    <w:rsid w:val="6EDE6D16"/>
    <w:rsid w:val="6EE92F03"/>
    <w:rsid w:val="6EEE0FE3"/>
    <w:rsid w:val="6F172ECD"/>
    <w:rsid w:val="6F550763"/>
    <w:rsid w:val="6F633A1F"/>
    <w:rsid w:val="6FAD46D2"/>
    <w:rsid w:val="6FC62478"/>
    <w:rsid w:val="6FD6007E"/>
    <w:rsid w:val="6FD7B109"/>
    <w:rsid w:val="700B6199"/>
    <w:rsid w:val="70393170"/>
    <w:rsid w:val="70A504F8"/>
    <w:rsid w:val="70E20E18"/>
    <w:rsid w:val="70F577F7"/>
    <w:rsid w:val="712F25CD"/>
    <w:rsid w:val="7135506F"/>
    <w:rsid w:val="715E6A02"/>
    <w:rsid w:val="716F7B1A"/>
    <w:rsid w:val="717C640C"/>
    <w:rsid w:val="71A82761"/>
    <w:rsid w:val="71E76F16"/>
    <w:rsid w:val="720B4AA9"/>
    <w:rsid w:val="72210EE2"/>
    <w:rsid w:val="722F76B5"/>
    <w:rsid w:val="724D2B51"/>
    <w:rsid w:val="72723A68"/>
    <w:rsid w:val="728C11FA"/>
    <w:rsid w:val="728D7C90"/>
    <w:rsid w:val="72C2325B"/>
    <w:rsid w:val="72DE35DA"/>
    <w:rsid w:val="72EF5511"/>
    <w:rsid w:val="72FA787B"/>
    <w:rsid w:val="73224384"/>
    <w:rsid w:val="73294D4F"/>
    <w:rsid w:val="73710805"/>
    <w:rsid w:val="73873251"/>
    <w:rsid w:val="739027BA"/>
    <w:rsid w:val="73AD1E5E"/>
    <w:rsid w:val="73AF7BFF"/>
    <w:rsid w:val="73CC4AB1"/>
    <w:rsid w:val="73D506B6"/>
    <w:rsid w:val="74323631"/>
    <w:rsid w:val="74341F76"/>
    <w:rsid w:val="743546B9"/>
    <w:rsid w:val="743D68E8"/>
    <w:rsid w:val="74436F43"/>
    <w:rsid w:val="7465169D"/>
    <w:rsid w:val="746C2BC4"/>
    <w:rsid w:val="747C35C1"/>
    <w:rsid w:val="74BB2697"/>
    <w:rsid w:val="75242852"/>
    <w:rsid w:val="75450800"/>
    <w:rsid w:val="75461453"/>
    <w:rsid w:val="75694283"/>
    <w:rsid w:val="757218DE"/>
    <w:rsid w:val="758312A2"/>
    <w:rsid w:val="75866AAA"/>
    <w:rsid w:val="7595203B"/>
    <w:rsid w:val="75B457CD"/>
    <w:rsid w:val="75BE03E4"/>
    <w:rsid w:val="75BF5ED1"/>
    <w:rsid w:val="75D73501"/>
    <w:rsid w:val="75F565BA"/>
    <w:rsid w:val="75F72EB3"/>
    <w:rsid w:val="760F2EAD"/>
    <w:rsid w:val="761B267C"/>
    <w:rsid w:val="765C6722"/>
    <w:rsid w:val="765D0EE5"/>
    <w:rsid w:val="76880A50"/>
    <w:rsid w:val="769F6FA8"/>
    <w:rsid w:val="76A64DDC"/>
    <w:rsid w:val="76C41B92"/>
    <w:rsid w:val="76CA40F3"/>
    <w:rsid w:val="76F00857"/>
    <w:rsid w:val="76F00AA7"/>
    <w:rsid w:val="76F24729"/>
    <w:rsid w:val="76F37E03"/>
    <w:rsid w:val="76FF59DC"/>
    <w:rsid w:val="77216E89"/>
    <w:rsid w:val="773374B3"/>
    <w:rsid w:val="77536C56"/>
    <w:rsid w:val="776948D7"/>
    <w:rsid w:val="778C2BF3"/>
    <w:rsid w:val="77E0002D"/>
    <w:rsid w:val="78462278"/>
    <w:rsid w:val="78732BBA"/>
    <w:rsid w:val="787823A0"/>
    <w:rsid w:val="78BE4BAC"/>
    <w:rsid w:val="78C41CD5"/>
    <w:rsid w:val="78D52A5A"/>
    <w:rsid w:val="78E917EE"/>
    <w:rsid w:val="78F24D75"/>
    <w:rsid w:val="79297482"/>
    <w:rsid w:val="792C75B0"/>
    <w:rsid w:val="7968629A"/>
    <w:rsid w:val="796F165C"/>
    <w:rsid w:val="7985684F"/>
    <w:rsid w:val="798A47AF"/>
    <w:rsid w:val="798C63B0"/>
    <w:rsid w:val="798C7689"/>
    <w:rsid w:val="79B825D6"/>
    <w:rsid w:val="7A1F079B"/>
    <w:rsid w:val="7A567152"/>
    <w:rsid w:val="7A7A3D31"/>
    <w:rsid w:val="7A9669E5"/>
    <w:rsid w:val="7B0128A4"/>
    <w:rsid w:val="7B3E57B8"/>
    <w:rsid w:val="7B4D15F6"/>
    <w:rsid w:val="7B7C0646"/>
    <w:rsid w:val="7BAB16BF"/>
    <w:rsid w:val="7BCD5BC6"/>
    <w:rsid w:val="7BE8353A"/>
    <w:rsid w:val="7C230068"/>
    <w:rsid w:val="7C2974F6"/>
    <w:rsid w:val="7C6458FA"/>
    <w:rsid w:val="7C7C44BA"/>
    <w:rsid w:val="7C954CB9"/>
    <w:rsid w:val="7CD95DB0"/>
    <w:rsid w:val="7CE24C65"/>
    <w:rsid w:val="7CFF195B"/>
    <w:rsid w:val="7D0D2C1A"/>
    <w:rsid w:val="7D0E1936"/>
    <w:rsid w:val="7D1A2678"/>
    <w:rsid w:val="7D75280F"/>
    <w:rsid w:val="7D7D04EA"/>
    <w:rsid w:val="7DA55C93"/>
    <w:rsid w:val="7DAC6954"/>
    <w:rsid w:val="7DBE4F43"/>
    <w:rsid w:val="7DE52535"/>
    <w:rsid w:val="7DFC046C"/>
    <w:rsid w:val="7E1F6E58"/>
    <w:rsid w:val="7E467458"/>
    <w:rsid w:val="7EC11DAF"/>
    <w:rsid w:val="7EC2325C"/>
    <w:rsid w:val="7EC45854"/>
    <w:rsid w:val="7ED32AE0"/>
    <w:rsid w:val="7EE50A3C"/>
    <w:rsid w:val="7F2D7FA3"/>
    <w:rsid w:val="7F6D3592"/>
    <w:rsid w:val="7F7C40C6"/>
    <w:rsid w:val="7FAB22C1"/>
    <w:rsid w:val="7FF62C29"/>
    <w:rsid w:val="AD7FCC7A"/>
    <w:rsid w:val="DE56F347"/>
    <w:rsid w:val="DFF56F36"/>
    <w:rsid w:val="F6DE3DEA"/>
    <w:rsid w:val="FECEE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3"/>
      </w:numPr>
    </w:pPr>
  </w:style>
  <w:style w:type="paragraph" w:styleId="6">
    <w:name w:val="Normal Indent"/>
    <w:basedOn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7">
    <w:name w:val="annotation text"/>
    <w:basedOn w:val="1"/>
    <w:qFormat/>
    <w:uiPriority w:val="0"/>
    <w:pPr>
      <w:jc w:val="left"/>
    </w:pPr>
  </w:style>
  <w:style w:type="paragraph" w:styleId="8">
    <w:name w:val="Body Text"/>
    <w:basedOn w:val="1"/>
    <w:next w:val="9"/>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9">
    <w:name w:val="Body Text First Indent"/>
    <w:basedOn w:val="8"/>
    <w:next w:val="1"/>
    <w:qFormat/>
    <w:uiPriority w:val="0"/>
    <w:pPr>
      <w:ind w:firstLine="420"/>
    </w:pPr>
    <w:rPr>
      <w:rFonts w:hAnsiTheme="minorHAnsi" w:eastAsiaTheme="minorEastAsia" w:cstheme="minorBidi"/>
      <w:snapToGrid/>
      <w:szCs w:val="22"/>
    </w:rPr>
  </w:style>
  <w:style w:type="paragraph" w:styleId="10">
    <w:name w:val="Body Text Indent"/>
    <w:basedOn w:val="1"/>
    <w:next w:val="6"/>
    <w:qFormat/>
    <w:uiPriority w:val="99"/>
    <w:pPr>
      <w:spacing w:line="480" w:lineRule="exact"/>
      <w:ind w:firstLine="480" w:firstLineChars="200"/>
    </w:pPr>
    <w:rPr>
      <w:rFonts w:ascii="宋体" w:hAnsi="宋体" w:cs="宋体"/>
      <w:sz w:val="24"/>
      <w:szCs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0"/>
    <w:pPr>
      <w:adjustRightInd w:val="0"/>
    </w:pPr>
    <w:rPr>
      <w:rFonts w:ascii="宋体" w:hAnsi="Courier New" w:eastAsia="宋体" w:cs="Arial"/>
      <w:snapToGrid w:val="0"/>
      <w:szCs w:val="21"/>
    </w:rPr>
  </w:style>
  <w:style w:type="paragraph" w:styleId="13">
    <w:name w:val="Body Text Indent 2"/>
    <w:basedOn w:val="1"/>
    <w:qFormat/>
    <w:uiPriority w:val="0"/>
    <w:pPr>
      <w:spacing w:line="500" w:lineRule="exact"/>
      <w:ind w:firstLine="511" w:firstLineChars="213"/>
    </w:pPr>
    <w:rPr>
      <w:sz w:val="24"/>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17">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18">
    <w:name w:val="Body Text First Indent 2"/>
    <w:basedOn w:val="10"/>
    <w:qFormat/>
    <w:uiPriority w:val="0"/>
    <w:pPr>
      <w:ind w:firstLine="420"/>
    </w:pPr>
  </w:style>
  <w:style w:type="character" w:styleId="21">
    <w:name w:val="page number"/>
    <w:basedOn w:val="20"/>
    <w:qFormat/>
    <w:uiPriority w:val="0"/>
    <w:rPr>
      <w:rFonts w:ascii="Arial" w:hAnsi="Arial" w:eastAsia="黑体" w:cs="Arial"/>
      <w:snapToGrid w:val="0"/>
      <w:kern w:val="0"/>
      <w:szCs w:val="21"/>
    </w:rPr>
  </w:style>
  <w:style w:type="paragraph" w:customStyle="1" w:styleId="22">
    <w:name w:val="[Normal]"/>
    <w:qFormat/>
    <w:uiPriority w:val="0"/>
    <w:rPr>
      <w:rFonts w:ascii="宋体" w:hAnsi="宋体" w:eastAsia="宋体" w:cs="Times New Roman"/>
      <w:sz w:val="24"/>
      <w:szCs w:val="22"/>
      <w:lang w:val="zh-CN" w:eastAsia="zh-CN" w:bidi="ar-SA"/>
    </w:rPr>
  </w:style>
  <w:style w:type="paragraph" w:customStyle="1" w:styleId="23">
    <w:name w:val="Default"/>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5">
    <w:name w:val="首行缩进"/>
    <w:basedOn w:val="1"/>
    <w:next w:val="8"/>
    <w:qFormat/>
    <w:uiPriority w:val="99"/>
    <w:pPr>
      <w:spacing w:line="360" w:lineRule="auto"/>
      <w:ind w:firstLine="480" w:firstLineChars="200"/>
    </w:pPr>
    <w:rPr>
      <w:sz w:val="24"/>
      <w:lang w:val="zh-CN"/>
    </w:rPr>
  </w:style>
  <w:style w:type="paragraph" w:customStyle="1" w:styleId="2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正文2"/>
    <w:basedOn w:val="1"/>
    <w:qFormat/>
    <w:uiPriority w:val="0"/>
    <w:pPr>
      <w:adjustRightInd w:val="0"/>
      <w:spacing w:before="156" w:line="360" w:lineRule="auto"/>
      <w:ind w:firstLine="510" w:firstLineChars="200"/>
    </w:pPr>
    <w:rPr>
      <w:rFonts w:eastAsia="宋体"/>
      <w:sz w:val="24"/>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31">
    <w:name w:val="正文段"/>
    <w:basedOn w:val="1"/>
    <w:qFormat/>
    <w:uiPriority w:val="0"/>
    <w:pPr>
      <w:widowControl/>
      <w:snapToGrid w:val="0"/>
      <w:spacing w:afterLines="50"/>
      <w:ind w:firstLine="200" w:firstLineChars="200"/>
    </w:pPr>
    <w:rPr>
      <w:kern w:val="0"/>
      <w:sz w:val="24"/>
      <w:szCs w:val="20"/>
    </w:rPr>
  </w:style>
  <w:style w:type="paragraph" w:customStyle="1" w:styleId="32">
    <w:name w:val="列出段落2"/>
    <w:basedOn w:val="1"/>
    <w:qFormat/>
    <w:uiPriority w:val="34"/>
    <w:pPr>
      <w:spacing w:line="440" w:lineRule="exact"/>
      <w:ind w:firstLine="420" w:firstLineChars="200"/>
    </w:pPr>
    <w:rPr>
      <w:rFonts w:eastAsia="仿宋_GB2312"/>
      <w:sz w:val="24"/>
    </w:rPr>
  </w:style>
  <w:style w:type="paragraph" w:customStyle="1" w:styleId="3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36">
    <w:name w:val="List Paragraph"/>
    <w:basedOn w:val="1"/>
    <w:qFormat/>
    <w:uiPriority w:val="99"/>
    <w:pPr>
      <w:ind w:firstLine="420" w:firstLineChars="200"/>
    </w:pPr>
  </w:style>
  <w:style w:type="paragraph" w:customStyle="1" w:styleId="37">
    <w:name w:val="正文1"/>
    <w:basedOn w:val="11"/>
    <w:next w:val="1"/>
    <w:qFormat/>
    <w:uiPriority w:val="0"/>
    <w:pPr>
      <w:jc w:val="both"/>
    </w:pPr>
    <w:rPr>
      <w:rFonts w:ascii="Times New Roman" w:hAnsi="Times New Roman"/>
      <w:kern w:val="2"/>
      <w:sz w:val="21"/>
      <w:szCs w:val="21"/>
      <w:lang w:val="en-US" w:eastAsia="zh-CN" w:bidi="ar-SA"/>
    </w:rPr>
  </w:style>
  <w:style w:type="paragraph" w:customStyle="1" w:styleId="38">
    <w:name w:val="Heading1"/>
    <w:basedOn w:val="1"/>
    <w:next w:val="1"/>
    <w:qFormat/>
    <w:uiPriority w:val="0"/>
    <w:pPr>
      <w:keepNext/>
      <w:keepLines/>
      <w:spacing w:before="340" w:after="330" w:line="576" w:lineRule="auto"/>
    </w:pPr>
    <w:rPr>
      <w:b/>
      <w:bCs/>
      <w:kern w:val="44"/>
      <w:sz w:val="44"/>
      <w:szCs w:val="44"/>
    </w:rPr>
  </w:style>
  <w:style w:type="paragraph" w:customStyle="1" w:styleId="39">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p0"/>
    <w:basedOn w:val="1"/>
    <w:qFormat/>
    <w:uiPriority w:val="0"/>
    <w:pPr>
      <w:widowControl/>
      <w:adjustRightInd/>
    </w:pPr>
    <w:rPr>
      <w:kern w:val="0"/>
      <w:szCs w:val="21"/>
    </w:rPr>
  </w:style>
  <w:style w:type="paragraph" w:customStyle="1" w:styleId="42">
    <w:name w:val="正文_0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15432</Words>
  <Characters>16453</Characters>
  <Lines>364</Lines>
  <Paragraphs>102</Paragraphs>
  <TotalTime>22</TotalTime>
  <ScaleCrop>false</ScaleCrop>
  <LinksUpToDate>false</LinksUpToDate>
  <CharactersWithSpaces>16799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2022-04-04T02:08:00Z</dcterms:created>
  <dc:creator>Administrator</dc:creator>
  <cp:lastModifiedBy>｢Lin」</cp:lastModifiedBy>
  <cp:lastPrinted>2023-11-21T15:30:00Z</cp:lastPrinted>
  <dcterms:modified xsi:type="dcterms:W3CDTF">2025-03-13T04:43:26Z</dcterms:modified>
  <dc:title>绍兴市财政局2023年政府重点投资项目绿色全过程工程造价审核服务框架协议采购项目（封闭式）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A9724899E8F74F7AA98FF3DF42AF4D25_13</vt:lpwstr>
  </property>
  <property fmtid="{D5CDD505-2E9C-101B-9397-08002B2CF9AE}" pid="4" name="KSOTemplateDocerSaveRecord">
    <vt:lpwstr>eyJoZGlkIjoiMjU4MDY2YjUzYTZkNmZjYTVhM2I5MzhmOGFjZGZjNjAiLCJ1c2VySWQiOiIxMDEzMzc4NDY2In0=</vt:lpwstr>
  </property>
</Properties>
</file>